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61D0D1" w14:textId="26DFFE46" w:rsidR="00A063F8" w:rsidRDefault="00954EE6" w:rsidP="00406BD7">
      <w:pPr>
        <w:rPr>
          <w:rFonts w:cs="Arial"/>
          <w:b/>
          <w:color w:val="4F81BD" w:themeColor="accent1"/>
          <w:sz w:val="40"/>
          <w:szCs w:val="40"/>
        </w:rPr>
      </w:pPr>
      <w:bookmarkStart w:id="0" w:name="_GoBack"/>
      <w:bookmarkEnd w:id="0"/>
      <w:r w:rsidRPr="00171022">
        <w:rPr>
          <w:rFonts w:cs="Arial"/>
          <w:b/>
          <w:noProof/>
          <w:color w:val="4F81BD" w:themeColor="accent1"/>
          <w:sz w:val="40"/>
          <w:szCs w:val="40"/>
          <w:lang w:val="en-AU" w:eastAsia="en-AU"/>
        </w:rPr>
        <w:drawing>
          <wp:anchor distT="0" distB="0" distL="114300" distR="114300" simplePos="0" relativeHeight="251687936" behindDoc="0" locked="0" layoutInCell="1" allowOverlap="1" wp14:anchorId="7A2A788D" wp14:editId="52C6E17B">
            <wp:simplePos x="0" y="0"/>
            <wp:positionH relativeFrom="margin">
              <wp:posOffset>-571500</wp:posOffset>
            </wp:positionH>
            <wp:positionV relativeFrom="paragraph">
              <wp:posOffset>0</wp:posOffset>
            </wp:positionV>
            <wp:extent cx="7105650" cy="10121900"/>
            <wp:effectExtent l="0" t="0" r="0" b="0"/>
            <wp:wrapSquare wrapText="bothSides"/>
            <wp:docPr id="34" name="Picture 34" descr="\\gbrmpa.gov.au\SHARES\Publications\2018-0311 MMP Report Covers\RRMMP-Cover-Inshore-CoralReef-16-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brmpa.gov.au\SHARES\Publications\2018-0311 MMP Report Covers\RRMMP-Cover-Inshore-CoralReef-16-17.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105650" cy="10121900"/>
                    </a:xfrm>
                    <a:prstGeom prst="rect">
                      <a:avLst/>
                    </a:prstGeom>
                    <a:noFill/>
                    <a:ln>
                      <a:noFill/>
                    </a:ln>
                  </pic:spPr>
                </pic:pic>
              </a:graphicData>
            </a:graphic>
            <wp14:sizeRelH relativeFrom="page">
              <wp14:pctWidth>0</wp14:pctWidth>
            </wp14:sizeRelH>
            <wp14:sizeRelV relativeFrom="page">
              <wp14:pctHeight>0</wp14:pctHeight>
            </wp14:sizeRelV>
          </wp:anchor>
        </w:drawing>
      </w:r>
      <w:r w:rsidR="00171022" w:rsidRPr="00171022">
        <w:rPr>
          <w:rFonts w:cs="Arial"/>
          <w:b/>
          <w:noProof/>
          <w:color w:val="4F81BD" w:themeColor="accent1"/>
          <w:sz w:val="40"/>
          <w:szCs w:val="40"/>
          <w:lang w:val="en-AU" w:eastAsia="en-AU"/>
        </w:rPr>
        <w:drawing>
          <wp:anchor distT="0" distB="0" distL="114300" distR="114300" simplePos="0" relativeHeight="251685888" behindDoc="0" locked="0" layoutInCell="1" allowOverlap="1" wp14:anchorId="7138CA3A" wp14:editId="7B971A50">
            <wp:simplePos x="0" y="0"/>
            <wp:positionH relativeFrom="margin">
              <wp:posOffset>-557530</wp:posOffset>
            </wp:positionH>
            <wp:positionV relativeFrom="paragraph">
              <wp:posOffset>1</wp:posOffset>
            </wp:positionV>
            <wp:extent cx="7105650" cy="10121900"/>
            <wp:effectExtent l="0" t="0" r="0" b="0"/>
            <wp:wrapSquare wrapText="bothSides"/>
            <wp:docPr id="18" name="Picture 18" descr="\\gbrmpa.gov.au\SHARES\Publications\2018-0311 MMP Report Covers\RRMMP-Cover-Inshore-CoralReef-16-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brmpa.gov.au\SHARES\Publications\2018-0311 MMP Report Covers\RRMMP-Cover-Inshore-CoralReef-16-17.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105650" cy="10121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194A4EA" w14:textId="3CE9B9FD" w:rsidR="008A1A24" w:rsidRPr="00F352E1" w:rsidRDefault="008A1A24" w:rsidP="00406BD7">
      <w:pPr>
        <w:rPr>
          <w:rFonts w:cs="Arial"/>
          <w:b/>
          <w:color w:val="4F81BD" w:themeColor="accent1"/>
          <w:sz w:val="40"/>
          <w:szCs w:val="40"/>
        </w:rPr>
      </w:pPr>
    </w:p>
    <w:p w14:paraId="65667895" w14:textId="575528D4" w:rsidR="008A1A24" w:rsidRPr="00954EE6" w:rsidRDefault="00C648EB" w:rsidP="00954EE6">
      <w:pPr>
        <w:jc w:val="center"/>
        <w:rPr>
          <w:rFonts w:cs="Arial"/>
          <w:b/>
          <w:color w:val="4F81BD" w:themeColor="accent1"/>
          <w:sz w:val="40"/>
          <w:szCs w:val="40"/>
        </w:rPr>
      </w:pPr>
      <w:r w:rsidRPr="00F352E1">
        <w:rPr>
          <w:noProof/>
          <w:color w:val="4F81BD" w:themeColor="accent1"/>
          <w:lang w:val="en-AU" w:eastAsia="en-AU"/>
        </w:rPr>
        <mc:AlternateContent>
          <mc:Choice Requires="wps">
            <w:drawing>
              <wp:anchor distT="0" distB="0" distL="114300" distR="114300" simplePos="0" relativeHeight="251675648" behindDoc="0" locked="0" layoutInCell="1" allowOverlap="1" wp14:anchorId="5FBBE658" wp14:editId="011279EF">
                <wp:simplePos x="0" y="0"/>
                <wp:positionH relativeFrom="column">
                  <wp:posOffset>2534285</wp:posOffset>
                </wp:positionH>
                <wp:positionV relativeFrom="paragraph">
                  <wp:posOffset>673735</wp:posOffset>
                </wp:positionV>
                <wp:extent cx="2303145" cy="1543050"/>
                <wp:effectExtent l="0" t="0" r="0" b="0"/>
                <wp:wrapNone/>
                <wp:docPr id="2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3145" cy="1543050"/>
                        </a:xfrm>
                        <a:prstGeom prst="rect">
                          <a:avLst/>
                        </a:prstGeom>
                        <a:noFill/>
                        <a:ln w="9525">
                          <a:noFill/>
                          <a:miter lim="800000"/>
                          <a:headEnd/>
                          <a:tailEnd/>
                        </a:ln>
                      </wps:spPr>
                      <wps:txbx>
                        <w:txbxContent>
                          <w:p w14:paraId="61686647" w14:textId="21FDCE63" w:rsidR="00AF0016" w:rsidRPr="007E481A" w:rsidRDefault="00AF0016" w:rsidP="00F352CD">
                            <w:pPr>
                              <w:spacing w:line="192" w:lineRule="auto"/>
                              <w:jc w:val="left"/>
                              <w:rPr>
                                <w:rFonts w:ascii="Myriad Pro" w:hAnsi="Myriad Pro"/>
                                <w:sz w:val="52"/>
                                <w:szCs w:val="52"/>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5FBBE658" id="_x0000_t202" coordsize="21600,21600" o:spt="202" path="m,l,21600r21600,l21600,xe">
                <v:stroke joinstyle="miter"/>
                <v:path gradientshapeok="t" o:connecttype="rect"/>
              </v:shapetype>
              <v:shape id="Text Box 2" o:spid="_x0000_s1026" type="#_x0000_t202" style="position:absolute;left:0;text-align:left;margin-left:199.55pt;margin-top:53.05pt;width:181.35pt;height:121.5pt;z-index:25167564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" filled="f" stroked="f">
                <v:textbox>
                  <w:txbxContent>
                    <w:p w14:paraId="61686647" w14:textId="21FDCE63" w:rsidR="00AF0016" w:rsidRPr="007E481A" w:rsidRDefault="00AF0016" w:rsidP="00F352CD">
                      <w:pPr>
                        <w:spacing w:line="192" w:lineRule="auto"/>
                        <w:jc w:val="left"/>
                        <w:rPr>
                          <w:rFonts w:ascii="Myriad Pro" w:hAnsi="Myriad Pro"/>
                          <w:sz w:val="52"/>
                          <w:szCs w:val="52"/>
                        </w:rPr>
                      </w:pPr>
                    </w:p>
                  </w:txbxContent>
                </v:textbox>
              </v:shape>
            </w:pict>
          </mc:Fallback>
        </mc:AlternateContent>
      </w:r>
      <w:r w:rsidRPr="00F352E1">
        <w:rPr>
          <w:noProof/>
          <w:color w:val="4F81BD" w:themeColor="accent1"/>
          <w:lang w:val="en-AU" w:eastAsia="en-AU"/>
        </w:rPr>
        <mc:AlternateContent>
          <mc:Choice Requires="wps">
            <w:drawing>
              <wp:anchor distT="4294967295" distB="4294967295" distL="114300" distR="114300" simplePos="0" relativeHeight="251681792" behindDoc="0" locked="0" layoutInCell="1" allowOverlap="1" wp14:anchorId="4F5AE5B7" wp14:editId="17DF1F69">
                <wp:simplePos x="0" y="0"/>
                <wp:positionH relativeFrom="column">
                  <wp:posOffset>-1448435</wp:posOffset>
                </wp:positionH>
                <wp:positionV relativeFrom="paragraph">
                  <wp:posOffset>9337039</wp:posOffset>
                </wp:positionV>
                <wp:extent cx="7044055" cy="0"/>
                <wp:effectExtent l="0" t="0" r="23495" b="19050"/>
                <wp:wrapNone/>
                <wp:docPr id="249" name="Straight Connector 249" title="design element"/>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044055" cy="0"/>
                        </a:xfrm>
                        <a:prstGeom prst="line">
                          <a:avLst/>
                        </a:prstGeom>
                        <a:ln>
                          <a:solidFill>
                            <a:schemeClr val="accent4">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0A4A1B66" id="Straight Connector 249" o:spid="_x0000_s1026" alt="Title: design element" style="position:absolute;z-index:2516817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4.05pt,735.2pt" to="440.6pt,73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" strokecolor="#ccc0d9 [1303]">
                <o:lock v:ext="edit" shapetype="f"/>
              </v:line>
            </w:pict>
          </mc:Fallback>
        </mc:AlternateContent>
      </w:r>
      <w:r w:rsidR="008A1A24" w:rsidRPr="00C63F3B">
        <w:rPr>
          <w:rFonts w:cs="Arial"/>
          <w:b/>
          <w:sz w:val="40"/>
          <w:szCs w:val="40"/>
        </w:rPr>
        <w:t>Marine Monitoring Program</w:t>
      </w:r>
    </w:p>
    <w:p w14:paraId="272CDE3F" w14:textId="77777777" w:rsidR="008A1A24" w:rsidRPr="00C63F3B" w:rsidRDefault="008A1A24">
      <w:pPr>
        <w:jc w:val="center"/>
        <w:rPr>
          <w:rFonts w:cs="Arial"/>
          <w:szCs w:val="22"/>
        </w:rPr>
      </w:pPr>
    </w:p>
    <w:p w14:paraId="7F56E2DC" w14:textId="11C158C8" w:rsidR="000A2218" w:rsidRPr="00C63F3B" w:rsidRDefault="008A1A24" w:rsidP="000A2218">
      <w:pPr>
        <w:jc w:val="center"/>
        <w:rPr>
          <w:rFonts w:cs="Arial"/>
          <w:b/>
          <w:sz w:val="32"/>
          <w:szCs w:val="32"/>
        </w:rPr>
      </w:pPr>
      <w:r w:rsidRPr="00C63F3B">
        <w:rPr>
          <w:rFonts w:cs="Arial"/>
          <w:b/>
          <w:sz w:val="32"/>
          <w:szCs w:val="32"/>
        </w:rPr>
        <w:t xml:space="preserve">Annual Report </w:t>
      </w:r>
      <w:r w:rsidR="000A2218" w:rsidRPr="00C63F3B">
        <w:rPr>
          <w:rFonts w:cs="Arial"/>
          <w:b/>
          <w:sz w:val="32"/>
          <w:szCs w:val="32"/>
        </w:rPr>
        <w:t xml:space="preserve">for </w:t>
      </w:r>
      <w:r w:rsidR="00954EE6">
        <w:rPr>
          <w:rFonts w:cs="Arial"/>
          <w:b/>
          <w:sz w:val="32"/>
          <w:szCs w:val="32"/>
        </w:rPr>
        <w:t xml:space="preserve">inshore </w:t>
      </w:r>
      <w:r w:rsidR="005C7045">
        <w:rPr>
          <w:rFonts w:cs="Arial"/>
          <w:b/>
          <w:sz w:val="32"/>
          <w:szCs w:val="32"/>
        </w:rPr>
        <w:t>c</w:t>
      </w:r>
      <w:r w:rsidR="005C7045" w:rsidRPr="00C63F3B">
        <w:rPr>
          <w:rFonts w:cs="Arial"/>
          <w:b/>
          <w:sz w:val="32"/>
          <w:szCs w:val="32"/>
        </w:rPr>
        <w:t xml:space="preserve">oral </w:t>
      </w:r>
      <w:r w:rsidR="005C7045">
        <w:rPr>
          <w:rFonts w:cs="Arial"/>
          <w:b/>
          <w:sz w:val="32"/>
          <w:szCs w:val="32"/>
        </w:rPr>
        <w:t>r</w:t>
      </w:r>
      <w:r w:rsidR="005C7045" w:rsidRPr="00C63F3B">
        <w:rPr>
          <w:rFonts w:cs="Arial"/>
          <w:b/>
          <w:sz w:val="32"/>
          <w:szCs w:val="32"/>
        </w:rPr>
        <w:t xml:space="preserve">eef </w:t>
      </w:r>
      <w:r w:rsidR="005C7045">
        <w:rPr>
          <w:rFonts w:cs="Arial"/>
          <w:b/>
          <w:sz w:val="32"/>
          <w:szCs w:val="32"/>
        </w:rPr>
        <w:t>m</w:t>
      </w:r>
      <w:r w:rsidR="005C7045" w:rsidRPr="00C63F3B">
        <w:rPr>
          <w:rFonts w:cs="Arial"/>
          <w:b/>
          <w:sz w:val="32"/>
          <w:szCs w:val="32"/>
        </w:rPr>
        <w:t>onitoring</w:t>
      </w:r>
    </w:p>
    <w:p w14:paraId="434A192B" w14:textId="77777777" w:rsidR="008A1A24" w:rsidRPr="00C63F3B" w:rsidRDefault="00243FE1">
      <w:pPr>
        <w:jc w:val="center"/>
        <w:rPr>
          <w:rFonts w:cs="Arial"/>
          <w:b/>
          <w:sz w:val="32"/>
          <w:szCs w:val="32"/>
        </w:rPr>
      </w:pPr>
      <w:r w:rsidRPr="00C63F3B">
        <w:rPr>
          <w:rFonts w:cs="Arial"/>
          <w:b/>
          <w:sz w:val="32"/>
          <w:szCs w:val="32"/>
        </w:rPr>
        <w:t xml:space="preserve">2016 </w:t>
      </w:r>
      <w:r w:rsidR="000A2218" w:rsidRPr="00C63F3B">
        <w:rPr>
          <w:rFonts w:cs="Arial"/>
          <w:b/>
          <w:sz w:val="32"/>
          <w:szCs w:val="32"/>
        </w:rPr>
        <w:t>-</w:t>
      </w:r>
      <w:r w:rsidR="006B4E2B" w:rsidRPr="00C63F3B">
        <w:rPr>
          <w:rFonts w:cs="Arial"/>
          <w:b/>
          <w:sz w:val="32"/>
          <w:szCs w:val="32"/>
        </w:rPr>
        <w:t xml:space="preserve"> 201</w:t>
      </w:r>
      <w:r w:rsidRPr="00C63F3B">
        <w:rPr>
          <w:rFonts w:cs="Arial"/>
          <w:b/>
          <w:sz w:val="32"/>
          <w:szCs w:val="32"/>
        </w:rPr>
        <w:t>7</w:t>
      </w:r>
    </w:p>
    <w:p w14:paraId="0CB45B38" w14:textId="77777777" w:rsidR="008A1A24" w:rsidRPr="00F352E1" w:rsidRDefault="008A1A24">
      <w:pPr>
        <w:jc w:val="center"/>
        <w:rPr>
          <w:rFonts w:cs="Arial"/>
          <w:b/>
          <w:color w:val="4F81BD" w:themeColor="accent1"/>
          <w:sz w:val="32"/>
          <w:szCs w:val="32"/>
        </w:rPr>
      </w:pPr>
    </w:p>
    <w:p w14:paraId="1974732E" w14:textId="5BD6CCD3" w:rsidR="008A1A24" w:rsidRPr="00954EE6" w:rsidRDefault="00954EE6" w:rsidP="00954EE6">
      <w:pPr>
        <w:tabs>
          <w:tab w:val="left" w:pos="2520"/>
          <w:tab w:val="center" w:pos="4535"/>
        </w:tabs>
        <w:jc w:val="center"/>
        <w:rPr>
          <w:rFonts w:cs="Arial"/>
          <w:sz w:val="24"/>
          <w:szCs w:val="32"/>
        </w:rPr>
      </w:pPr>
      <w:r w:rsidRPr="00954EE6">
        <w:rPr>
          <w:rFonts w:cs="Arial"/>
          <w:sz w:val="24"/>
          <w:szCs w:val="32"/>
        </w:rPr>
        <w:t>Report prepared for the Great Barrier Reef Marine Park Authority</w:t>
      </w:r>
      <w:r w:rsidR="008A1A24" w:rsidRPr="00F352E1">
        <w:rPr>
          <w:noProof/>
          <w:color w:val="4F81BD" w:themeColor="accent1"/>
          <w:lang w:val="en-AU" w:eastAsia="en-AU"/>
        </w:rPr>
        <w:drawing>
          <wp:anchor distT="0" distB="0" distL="114300" distR="114300" simplePos="0" relativeHeight="251659264" behindDoc="0" locked="0" layoutInCell="1" allowOverlap="1" wp14:anchorId="762FA190" wp14:editId="6F6A4808">
            <wp:simplePos x="0" y="0"/>
            <wp:positionH relativeFrom="margin">
              <wp:posOffset>-9225280</wp:posOffset>
            </wp:positionH>
            <wp:positionV relativeFrom="margin">
              <wp:posOffset>-3159760</wp:posOffset>
            </wp:positionV>
            <wp:extent cx="7315200" cy="1307465"/>
            <wp:effectExtent l="0" t="0" r="0" b="6985"/>
            <wp:wrapSquare wrapText="bothSides"/>
            <wp:docPr id="251" name="Picture 251" descr="anchor around authors names" title="design el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315200" cy="1307465"/>
                    </a:xfrm>
                    <a:prstGeom prst="rect">
                      <a:avLst/>
                    </a:prstGeom>
                    <a:noFill/>
                    <a:ln>
                      <a:noFill/>
                    </a:ln>
                  </pic:spPr>
                </pic:pic>
              </a:graphicData>
            </a:graphic>
          </wp:anchor>
        </w:drawing>
      </w:r>
    </w:p>
    <w:p w14:paraId="23735FCA" w14:textId="77777777" w:rsidR="008A1A24" w:rsidRDefault="008C2ED4">
      <w:pPr>
        <w:spacing w:after="880"/>
        <w:jc w:val="center"/>
        <w:rPr>
          <w:rFonts w:cs="Arial"/>
          <w:color w:val="000000" w:themeColor="text1"/>
          <w:sz w:val="24"/>
          <w:szCs w:val="24"/>
        </w:rPr>
      </w:pPr>
      <w:r w:rsidRPr="00EF2D91">
        <w:rPr>
          <w:color w:val="000000" w:themeColor="text1"/>
          <w:sz w:val="24"/>
          <w:szCs w:val="24"/>
        </w:rPr>
        <w:t>Angus Thompson,</w:t>
      </w:r>
      <w:r w:rsidR="008A1A24" w:rsidRPr="00EF2D91">
        <w:rPr>
          <w:rFonts w:cs="Arial"/>
          <w:color w:val="000000" w:themeColor="text1"/>
          <w:sz w:val="24"/>
          <w:szCs w:val="24"/>
        </w:rPr>
        <w:t xml:space="preserve"> </w:t>
      </w:r>
      <w:r w:rsidR="008A1A24" w:rsidRPr="00EF2D91">
        <w:rPr>
          <w:color w:val="000000" w:themeColor="text1"/>
          <w:sz w:val="24"/>
          <w:szCs w:val="24"/>
        </w:rPr>
        <w:t>Paul Costello, Johnston Davidson,</w:t>
      </w:r>
      <w:r w:rsidR="008A1A24" w:rsidRPr="00EF2D91">
        <w:rPr>
          <w:rFonts w:cs="Arial"/>
          <w:color w:val="000000" w:themeColor="text1"/>
          <w:sz w:val="24"/>
          <w:szCs w:val="24"/>
        </w:rPr>
        <w:t xml:space="preserve"> </w:t>
      </w:r>
      <w:r w:rsidR="00C33ABF" w:rsidRPr="00EF2D91">
        <w:rPr>
          <w:rFonts w:cs="Arial"/>
          <w:color w:val="000000" w:themeColor="text1"/>
          <w:sz w:val="24"/>
          <w:szCs w:val="24"/>
        </w:rPr>
        <w:br/>
      </w:r>
      <w:r w:rsidR="008A1A24" w:rsidRPr="00EF2D91">
        <w:rPr>
          <w:rFonts w:cs="Arial"/>
          <w:color w:val="000000" w:themeColor="text1"/>
          <w:sz w:val="24"/>
          <w:szCs w:val="24"/>
        </w:rPr>
        <w:t>Murray Logan,</w:t>
      </w:r>
      <w:r w:rsidR="00C33ABF" w:rsidRPr="00EF2D91">
        <w:rPr>
          <w:rFonts w:cs="Arial"/>
          <w:color w:val="000000" w:themeColor="text1"/>
          <w:sz w:val="24"/>
          <w:szCs w:val="24"/>
        </w:rPr>
        <w:t xml:space="preserve"> </w:t>
      </w:r>
      <w:r w:rsidR="00F742C4" w:rsidRPr="00EF2D91">
        <w:rPr>
          <w:rFonts w:cs="Arial"/>
          <w:color w:val="000000" w:themeColor="text1"/>
          <w:sz w:val="24"/>
          <w:szCs w:val="24"/>
        </w:rPr>
        <w:t xml:space="preserve">Greg Coleman, </w:t>
      </w:r>
      <w:r w:rsidR="00EF2D91" w:rsidRPr="00EF2D91">
        <w:rPr>
          <w:rFonts w:cs="Arial"/>
          <w:color w:val="000000" w:themeColor="text1"/>
          <w:sz w:val="24"/>
          <w:szCs w:val="24"/>
        </w:rPr>
        <w:t>Kevin Gunn</w:t>
      </w:r>
    </w:p>
    <w:p w14:paraId="1A7D598A" w14:textId="77777777" w:rsidR="00954EE6" w:rsidRPr="00EF2D91" w:rsidRDefault="00954EE6">
      <w:pPr>
        <w:spacing w:after="880"/>
        <w:jc w:val="center"/>
        <w:rPr>
          <w:rFonts w:cs="Arial"/>
          <w:color w:val="000000" w:themeColor="text1"/>
          <w:sz w:val="24"/>
          <w:szCs w:val="24"/>
        </w:rPr>
      </w:pPr>
    </w:p>
    <w:p w14:paraId="1C2E8514" w14:textId="77777777" w:rsidR="008A1A24" w:rsidRPr="00F352E1" w:rsidRDefault="008A1A24">
      <w:pPr>
        <w:jc w:val="center"/>
        <w:rPr>
          <w:rFonts w:cs="Arial"/>
          <w:color w:val="4F81BD" w:themeColor="accent1"/>
        </w:rPr>
      </w:pPr>
    </w:p>
    <w:p w14:paraId="3FB408B0" w14:textId="77777777" w:rsidR="008A1A24" w:rsidRPr="00F352E1" w:rsidRDefault="008A1A24">
      <w:pPr>
        <w:jc w:val="center"/>
        <w:rPr>
          <w:rFonts w:cs="Arial"/>
          <w:color w:val="4F81BD" w:themeColor="accent1"/>
        </w:rPr>
      </w:pPr>
    </w:p>
    <w:p w14:paraId="78BE1928" w14:textId="77777777" w:rsidR="008A1A24" w:rsidRPr="00F352E1" w:rsidRDefault="008A1A24">
      <w:pPr>
        <w:rPr>
          <w:rFonts w:cs="Arial"/>
          <w:color w:val="4F81BD" w:themeColor="accent1"/>
        </w:rPr>
      </w:pPr>
    </w:p>
    <w:p w14:paraId="2FD80FD7" w14:textId="77777777" w:rsidR="008A1A24" w:rsidRPr="00F352E1" w:rsidRDefault="008A1A24">
      <w:pPr>
        <w:rPr>
          <w:color w:val="4F81BD" w:themeColor="accent1"/>
        </w:rPr>
        <w:sectPr w:rsidR="008A1A24" w:rsidRPr="00F352E1" w:rsidSect="00954EE6">
          <w:headerReference w:type="default" r:id="rId15"/>
          <w:footerReference w:type="even" r:id="rId16"/>
          <w:footerReference w:type="default" r:id="rId17"/>
          <w:footerReference w:type="first" r:id="rId18"/>
          <w:pgSz w:w="11907" w:h="16840" w:code="9"/>
          <w:pgMar w:top="426" w:right="1418" w:bottom="1418" w:left="1418" w:header="567" w:footer="567" w:gutter="0"/>
          <w:pgNumType w:fmt="lowerRoman" w:start="1"/>
          <w:cols w:space="720"/>
          <w:titlePg/>
          <w:docGrid w:linePitch="299"/>
        </w:sectPr>
      </w:pPr>
    </w:p>
    <w:p w14:paraId="6C073509" w14:textId="41BCE30F" w:rsidR="008A1A24" w:rsidRPr="00F352E1" w:rsidRDefault="008A1A24">
      <w:pPr>
        <w:pStyle w:val="Infopage"/>
        <w:rPr>
          <w:color w:val="4F81BD" w:themeColor="accent1"/>
        </w:rPr>
      </w:pPr>
    </w:p>
    <w:p w14:paraId="6B8A9D9E" w14:textId="77777777" w:rsidR="008A1A24" w:rsidRPr="00DA3A00" w:rsidRDefault="008A1A24">
      <w:pPr>
        <w:pStyle w:val="Infopage"/>
        <w:rPr>
          <w:color w:val="000000" w:themeColor="text1"/>
        </w:rPr>
      </w:pPr>
      <w:r w:rsidRPr="00DA3A00">
        <w:rPr>
          <w:color w:val="000000" w:themeColor="text1"/>
        </w:rPr>
        <w:t>Australian Institute of Marine Science</w:t>
      </w:r>
    </w:p>
    <w:p w14:paraId="3FCDA046" w14:textId="77777777" w:rsidR="008A1A24" w:rsidRPr="00DA3A00" w:rsidRDefault="008A1A24">
      <w:pPr>
        <w:pStyle w:val="Infopage"/>
        <w:tabs>
          <w:tab w:val="left" w:pos="2700"/>
          <w:tab w:val="left" w:pos="5040"/>
        </w:tabs>
        <w:rPr>
          <w:color w:val="000000" w:themeColor="text1"/>
        </w:rPr>
      </w:pPr>
      <w:r w:rsidRPr="00DA3A00">
        <w:rPr>
          <w:color w:val="000000" w:themeColor="text1"/>
        </w:rPr>
        <w:t>PMB No 3</w:t>
      </w:r>
    </w:p>
    <w:p w14:paraId="4E8A6A3B" w14:textId="77777777" w:rsidR="008A1A24" w:rsidRPr="00DA3A00" w:rsidRDefault="008A1A24" w:rsidP="000449B0">
      <w:pPr>
        <w:pStyle w:val="Infopage"/>
        <w:tabs>
          <w:tab w:val="left" w:pos="2700"/>
          <w:tab w:val="left" w:pos="5040"/>
        </w:tabs>
        <w:spacing w:after="1000"/>
        <w:rPr>
          <w:color w:val="000000" w:themeColor="text1"/>
        </w:rPr>
      </w:pPr>
      <w:r w:rsidRPr="00DA3A00">
        <w:rPr>
          <w:color w:val="000000" w:themeColor="text1"/>
        </w:rPr>
        <w:t>Townsville MC Qld 4810</w:t>
      </w:r>
    </w:p>
    <w:p w14:paraId="2F1A3A3E" w14:textId="77777777" w:rsidR="00670BC8" w:rsidRPr="00D312F9" w:rsidRDefault="00D312F9" w:rsidP="00670BC8">
      <w:pPr>
        <w:pStyle w:val="Infopage"/>
        <w:spacing w:after="0"/>
        <w:rPr>
          <w:rFonts w:ascii="Arial" w:hAnsi="Arial" w:cs="Arial"/>
          <w:sz w:val="20"/>
          <w:szCs w:val="20"/>
          <w:lang w:eastAsia="en-AU"/>
        </w:rPr>
      </w:pPr>
      <w:r w:rsidRPr="00D312F9">
        <w:t>ISS</w:t>
      </w:r>
      <w:r w:rsidR="00670BC8" w:rsidRPr="00D312F9">
        <w:t xml:space="preserve">N </w:t>
      </w:r>
      <w:r w:rsidRPr="00D312F9">
        <w:rPr>
          <w:rFonts w:ascii="Arial" w:hAnsi="Arial" w:cs="Arial"/>
          <w:sz w:val="20"/>
          <w:szCs w:val="20"/>
          <w:lang w:eastAsia="en-AU"/>
        </w:rPr>
        <w:t>2208-4118</w:t>
      </w:r>
    </w:p>
    <w:p w14:paraId="1C392A14" w14:textId="77777777" w:rsidR="00670BC8" w:rsidRPr="00F352E1" w:rsidRDefault="00670BC8">
      <w:pPr>
        <w:pStyle w:val="Infopage"/>
        <w:rPr>
          <w:color w:val="4F81BD" w:themeColor="accent1"/>
        </w:rPr>
      </w:pPr>
    </w:p>
    <w:p w14:paraId="580FF4AA" w14:textId="77777777" w:rsidR="008A1A24" w:rsidRPr="00EF2D91" w:rsidRDefault="008A1A24">
      <w:pPr>
        <w:pStyle w:val="Infopage"/>
        <w:rPr>
          <w:color w:val="000000" w:themeColor="text1"/>
        </w:rPr>
      </w:pPr>
      <w:r w:rsidRPr="00EF2D91">
        <w:rPr>
          <w:color w:val="000000" w:themeColor="text1"/>
        </w:rPr>
        <w:t>This report should be cited as:</w:t>
      </w:r>
    </w:p>
    <w:p w14:paraId="772A0ED2" w14:textId="306C53EE" w:rsidR="000449B0" w:rsidRPr="00FB4FD0" w:rsidRDefault="008A1A24" w:rsidP="000449B0">
      <w:pPr>
        <w:pStyle w:val="Infopage"/>
        <w:spacing w:after="200"/>
        <w:rPr>
          <w:color w:val="4F81BD" w:themeColor="accent1"/>
        </w:rPr>
      </w:pPr>
      <w:r w:rsidRPr="00EF2D91">
        <w:rPr>
          <w:color w:val="000000" w:themeColor="text1"/>
        </w:rPr>
        <w:t>Thompson</w:t>
      </w:r>
      <w:r w:rsidR="00654991">
        <w:rPr>
          <w:color w:val="000000" w:themeColor="text1"/>
        </w:rPr>
        <w:t>,</w:t>
      </w:r>
      <w:r w:rsidRPr="00EF2D91">
        <w:rPr>
          <w:color w:val="000000" w:themeColor="text1"/>
        </w:rPr>
        <w:t xml:space="preserve"> A</w:t>
      </w:r>
      <w:r w:rsidR="00654991">
        <w:rPr>
          <w:color w:val="000000" w:themeColor="text1"/>
        </w:rPr>
        <w:t>.</w:t>
      </w:r>
      <w:r w:rsidRPr="00EF2D91">
        <w:rPr>
          <w:color w:val="000000" w:themeColor="text1"/>
        </w:rPr>
        <w:t>, Costello</w:t>
      </w:r>
      <w:r w:rsidR="00654991">
        <w:rPr>
          <w:color w:val="000000" w:themeColor="text1"/>
        </w:rPr>
        <w:t>,</w:t>
      </w:r>
      <w:r w:rsidRPr="00EF2D91">
        <w:rPr>
          <w:color w:val="000000" w:themeColor="text1"/>
        </w:rPr>
        <w:t xml:space="preserve"> P</w:t>
      </w:r>
      <w:r w:rsidR="00654991">
        <w:rPr>
          <w:color w:val="000000" w:themeColor="text1"/>
        </w:rPr>
        <w:t>.</w:t>
      </w:r>
      <w:r w:rsidRPr="00EF2D91">
        <w:rPr>
          <w:color w:val="000000" w:themeColor="text1"/>
        </w:rPr>
        <w:t>, Davidson</w:t>
      </w:r>
      <w:r w:rsidR="00654991">
        <w:rPr>
          <w:color w:val="000000" w:themeColor="text1"/>
        </w:rPr>
        <w:t>,</w:t>
      </w:r>
      <w:r w:rsidRPr="00EF2D91">
        <w:rPr>
          <w:color w:val="000000" w:themeColor="text1"/>
        </w:rPr>
        <w:t xml:space="preserve"> </w:t>
      </w:r>
      <w:r w:rsidRPr="00EF2D91">
        <w:rPr>
          <w:rFonts w:cs="Arial"/>
          <w:color w:val="000000" w:themeColor="text1"/>
        </w:rPr>
        <w:t>J</w:t>
      </w:r>
      <w:r w:rsidR="00654991">
        <w:rPr>
          <w:rFonts w:cs="Arial"/>
          <w:color w:val="000000" w:themeColor="text1"/>
        </w:rPr>
        <w:t>.</w:t>
      </w:r>
      <w:r w:rsidRPr="00EF2D91">
        <w:rPr>
          <w:rFonts w:cs="Arial"/>
          <w:color w:val="000000" w:themeColor="text1"/>
        </w:rPr>
        <w:t>,</w:t>
      </w:r>
      <w:r w:rsidR="001541DE" w:rsidRPr="00EF2D91">
        <w:rPr>
          <w:color w:val="000000" w:themeColor="text1"/>
        </w:rPr>
        <w:t xml:space="preserve"> Logan</w:t>
      </w:r>
      <w:r w:rsidR="00654991">
        <w:rPr>
          <w:color w:val="000000" w:themeColor="text1"/>
        </w:rPr>
        <w:t>,</w:t>
      </w:r>
      <w:r w:rsidR="001541DE" w:rsidRPr="00EF2D91">
        <w:rPr>
          <w:color w:val="000000" w:themeColor="text1"/>
        </w:rPr>
        <w:t xml:space="preserve"> M</w:t>
      </w:r>
      <w:r w:rsidR="00654991">
        <w:rPr>
          <w:color w:val="000000" w:themeColor="text1"/>
        </w:rPr>
        <w:t>.</w:t>
      </w:r>
      <w:r w:rsidR="001541DE" w:rsidRPr="00EF2D91">
        <w:rPr>
          <w:color w:val="000000" w:themeColor="text1"/>
        </w:rPr>
        <w:t xml:space="preserve">, </w:t>
      </w:r>
      <w:r w:rsidR="00F742C4" w:rsidRPr="00EF2D91">
        <w:rPr>
          <w:color w:val="000000" w:themeColor="text1"/>
        </w:rPr>
        <w:t>Coleman,</w:t>
      </w:r>
      <w:r w:rsidR="00654991">
        <w:rPr>
          <w:color w:val="000000" w:themeColor="text1"/>
        </w:rPr>
        <w:t xml:space="preserve"> G.,</w:t>
      </w:r>
      <w:r w:rsidR="00F742C4" w:rsidRPr="00EF2D91">
        <w:rPr>
          <w:color w:val="000000" w:themeColor="text1"/>
        </w:rPr>
        <w:t xml:space="preserve"> </w:t>
      </w:r>
      <w:r w:rsidR="00EF2D91" w:rsidRPr="00EF2D91">
        <w:rPr>
          <w:rFonts w:cs="Arial"/>
          <w:color w:val="000000" w:themeColor="text1"/>
        </w:rPr>
        <w:t>Gunn</w:t>
      </w:r>
      <w:r w:rsidR="00654991">
        <w:rPr>
          <w:rFonts w:cs="Arial"/>
          <w:color w:val="000000" w:themeColor="text1"/>
        </w:rPr>
        <w:t>,</w:t>
      </w:r>
      <w:r w:rsidR="00EF2D91" w:rsidRPr="00EF2D91">
        <w:rPr>
          <w:rFonts w:cs="Arial"/>
          <w:color w:val="000000" w:themeColor="text1"/>
        </w:rPr>
        <w:t xml:space="preserve"> K</w:t>
      </w:r>
      <w:r w:rsidR="00654991">
        <w:rPr>
          <w:rFonts w:cs="Arial"/>
          <w:color w:val="000000" w:themeColor="text1"/>
        </w:rPr>
        <w:t>.</w:t>
      </w:r>
      <w:r w:rsidR="00EF2D91" w:rsidRPr="00EF2D91">
        <w:rPr>
          <w:rFonts w:cs="Arial"/>
          <w:color w:val="000000" w:themeColor="text1"/>
        </w:rPr>
        <w:t xml:space="preserve"> </w:t>
      </w:r>
      <w:r w:rsidRPr="00EF2D91">
        <w:rPr>
          <w:color w:val="000000" w:themeColor="text1"/>
        </w:rPr>
        <w:t>201</w:t>
      </w:r>
      <w:r w:rsidR="00FD3F4C" w:rsidRPr="00EF2D91">
        <w:rPr>
          <w:color w:val="000000" w:themeColor="text1"/>
        </w:rPr>
        <w:t>8</w:t>
      </w:r>
      <w:r w:rsidR="00654991">
        <w:rPr>
          <w:color w:val="000000" w:themeColor="text1"/>
        </w:rPr>
        <w:t>,</w:t>
      </w:r>
      <w:r w:rsidRPr="00EF2D91">
        <w:rPr>
          <w:color w:val="000000" w:themeColor="text1"/>
        </w:rPr>
        <w:t xml:space="preserve"> </w:t>
      </w:r>
      <w:r w:rsidRPr="00654991">
        <w:rPr>
          <w:i/>
          <w:color w:val="000000" w:themeColor="text1"/>
        </w:rPr>
        <w:t>Marine Monitoring Program. Annua</w:t>
      </w:r>
      <w:r w:rsidR="001541DE" w:rsidRPr="00654991">
        <w:rPr>
          <w:i/>
          <w:color w:val="000000" w:themeColor="text1"/>
        </w:rPr>
        <w:t xml:space="preserve">l Report </w:t>
      </w:r>
      <w:r w:rsidR="000A2218" w:rsidRPr="00654991">
        <w:rPr>
          <w:i/>
          <w:color w:val="000000" w:themeColor="text1"/>
        </w:rPr>
        <w:t xml:space="preserve">for </w:t>
      </w:r>
      <w:r w:rsidR="00805DAB">
        <w:rPr>
          <w:i/>
          <w:color w:val="000000" w:themeColor="text1"/>
        </w:rPr>
        <w:t xml:space="preserve">inshore </w:t>
      </w:r>
      <w:r w:rsidR="000A2218" w:rsidRPr="00654991">
        <w:rPr>
          <w:i/>
          <w:color w:val="000000" w:themeColor="text1"/>
        </w:rPr>
        <w:t>coral reef monitoring:</w:t>
      </w:r>
      <w:r w:rsidR="001541DE" w:rsidRPr="00654991">
        <w:rPr>
          <w:i/>
          <w:color w:val="000000" w:themeColor="text1"/>
        </w:rPr>
        <w:t xml:space="preserve"> 201</w:t>
      </w:r>
      <w:r w:rsidR="00FD3F4C" w:rsidRPr="00654991">
        <w:rPr>
          <w:i/>
          <w:color w:val="000000" w:themeColor="text1"/>
        </w:rPr>
        <w:t>6</w:t>
      </w:r>
      <w:r w:rsidR="001541DE" w:rsidRPr="00654991">
        <w:rPr>
          <w:i/>
          <w:color w:val="000000" w:themeColor="text1"/>
        </w:rPr>
        <w:t xml:space="preserve"> </w:t>
      </w:r>
      <w:r w:rsidR="00654991">
        <w:rPr>
          <w:i/>
          <w:color w:val="000000" w:themeColor="text1"/>
        </w:rPr>
        <w:t>–</w:t>
      </w:r>
      <w:r w:rsidR="00654991" w:rsidRPr="00654991">
        <w:rPr>
          <w:i/>
          <w:color w:val="000000" w:themeColor="text1"/>
        </w:rPr>
        <w:t xml:space="preserve"> </w:t>
      </w:r>
      <w:r w:rsidR="001541DE" w:rsidRPr="00654991">
        <w:rPr>
          <w:i/>
          <w:color w:val="000000" w:themeColor="text1"/>
        </w:rPr>
        <w:t>201</w:t>
      </w:r>
      <w:r w:rsidR="00FD3F4C" w:rsidRPr="00654991">
        <w:rPr>
          <w:i/>
          <w:color w:val="000000" w:themeColor="text1"/>
        </w:rPr>
        <w:t>7</w:t>
      </w:r>
      <w:r w:rsidR="00654991" w:rsidRPr="00FB4FD0">
        <w:rPr>
          <w:color w:val="000000" w:themeColor="text1"/>
        </w:rPr>
        <w:t>,</w:t>
      </w:r>
      <w:r w:rsidRPr="00FB4FD0">
        <w:rPr>
          <w:color w:val="000000" w:themeColor="text1"/>
        </w:rPr>
        <w:t xml:space="preserve"> </w:t>
      </w:r>
      <w:r w:rsidR="00654991" w:rsidRPr="00FB4FD0">
        <w:rPr>
          <w:color w:val="000000" w:themeColor="text1"/>
        </w:rPr>
        <w:t>Great Barrier Reef Marine Park Authority</w:t>
      </w:r>
      <w:r w:rsidRPr="00FB4FD0">
        <w:rPr>
          <w:color w:val="000000" w:themeColor="text1"/>
        </w:rPr>
        <w:t>, Townsville.</w:t>
      </w:r>
      <w:r w:rsidR="00F17819" w:rsidRPr="00FB4FD0">
        <w:rPr>
          <w:color w:val="000000" w:themeColor="text1"/>
        </w:rPr>
        <w:t>1</w:t>
      </w:r>
      <w:r w:rsidR="00EF2D91" w:rsidRPr="00FB4FD0">
        <w:rPr>
          <w:color w:val="000000" w:themeColor="text1"/>
        </w:rPr>
        <w:t>4</w:t>
      </w:r>
      <w:r w:rsidR="003B5C55" w:rsidRPr="00FB4FD0">
        <w:rPr>
          <w:color w:val="000000" w:themeColor="text1"/>
        </w:rPr>
        <w:t>8</w:t>
      </w:r>
      <w:r w:rsidR="00F17819" w:rsidRPr="00FB4FD0">
        <w:rPr>
          <w:color w:val="000000" w:themeColor="text1"/>
        </w:rPr>
        <w:t xml:space="preserve"> </w:t>
      </w:r>
      <w:r w:rsidRPr="00FB4FD0">
        <w:rPr>
          <w:color w:val="000000" w:themeColor="text1"/>
        </w:rPr>
        <w:t>pp.</w:t>
      </w:r>
    </w:p>
    <w:p w14:paraId="2387922A" w14:textId="77777777" w:rsidR="000449B0" w:rsidRPr="00FB4FD0" w:rsidRDefault="000449B0" w:rsidP="000449B0">
      <w:pPr>
        <w:pStyle w:val="Infopage"/>
        <w:spacing w:after="0"/>
        <w:rPr>
          <w:color w:val="4F81BD" w:themeColor="accent1"/>
        </w:rPr>
      </w:pPr>
    </w:p>
    <w:p w14:paraId="22FF231C" w14:textId="77777777" w:rsidR="00001113" w:rsidRPr="00FB4FD0" w:rsidRDefault="000449B0" w:rsidP="00001113">
      <w:pPr>
        <w:pStyle w:val="Infopage"/>
        <w:spacing w:after="480"/>
        <w:rPr>
          <w:color w:val="4F81BD" w:themeColor="accent1"/>
        </w:rPr>
      </w:pPr>
      <w:r w:rsidRPr="00FB4FD0">
        <w:rPr>
          <w:color w:val="000000" w:themeColor="text1"/>
        </w:rPr>
        <w:t>Cover photo © AIMS 201</w:t>
      </w:r>
      <w:r w:rsidR="00073939" w:rsidRPr="00FB4FD0">
        <w:rPr>
          <w:color w:val="000000" w:themeColor="text1"/>
        </w:rPr>
        <w:t>7</w:t>
      </w:r>
      <w:r w:rsidRPr="00FB4FD0">
        <w:rPr>
          <w:color w:val="000000" w:themeColor="text1"/>
        </w:rPr>
        <w:t xml:space="preserve">: </w:t>
      </w:r>
      <w:r w:rsidR="00073939" w:rsidRPr="00FB4FD0">
        <w:rPr>
          <w:color w:val="000000" w:themeColor="text1"/>
        </w:rPr>
        <w:t>Bleached corals on the reef-slope of Dunk Island May 2017</w:t>
      </w:r>
      <w:r w:rsidRPr="00FB4FD0">
        <w:rPr>
          <w:color w:val="000000" w:themeColor="text1"/>
        </w:rPr>
        <w:t>.</w:t>
      </w:r>
    </w:p>
    <w:tbl>
      <w:tblPr>
        <w:tblStyle w:val="TableGrid"/>
        <w:tblW w:w="9242" w:type="dxa"/>
        <w:tblLayout w:type="fixed"/>
        <w:tblCellMar>
          <w:left w:w="58" w:type="dxa"/>
          <w:right w:w="58" w:type="dxa"/>
        </w:tblCellMar>
        <w:tblLook w:val="04A0" w:firstRow="1" w:lastRow="0" w:firstColumn="1" w:lastColumn="0" w:noHBand="0" w:noVBand="1"/>
        <w:tblCaption w:val="document revision history"/>
        <w:tblDescription w:val="advises report preparation status and author"/>
      </w:tblPr>
      <w:tblGrid>
        <w:gridCol w:w="378"/>
        <w:gridCol w:w="1381"/>
        <w:gridCol w:w="2799"/>
        <w:gridCol w:w="1958"/>
        <w:gridCol w:w="2726"/>
      </w:tblGrid>
      <w:tr w:rsidR="00F352E1" w:rsidRPr="00FB4FD0" w14:paraId="46451A1E" w14:textId="77777777" w:rsidTr="001E472C">
        <w:trPr>
          <w:tblHeader/>
        </w:trPr>
        <w:tc>
          <w:tcPr>
            <w:tcW w:w="1759" w:type="dxa"/>
            <w:gridSpan w:val="2"/>
          </w:tcPr>
          <w:p w14:paraId="30F2B872" w14:textId="77777777" w:rsidR="00001113" w:rsidRPr="00FB4FD0" w:rsidRDefault="00001113" w:rsidP="00F301BD">
            <w:pPr>
              <w:rPr>
                <w:color w:val="000000" w:themeColor="text1"/>
              </w:rPr>
            </w:pPr>
            <w:r w:rsidRPr="00FB4FD0">
              <w:rPr>
                <w:b/>
                <w:color w:val="000000" w:themeColor="text1"/>
              </w:rPr>
              <w:t>Revision History</w:t>
            </w:r>
            <w:r w:rsidRPr="00FB4FD0">
              <w:rPr>
                <w:color w:val="000000" w:themeColor="text1"/>
              </w:rPr>
              <w:t>:</w:t>
            </w:r>
          </w:p>
        </w:tc>
        <w:tc>
          <w:tcPr>
            <w:tcW w:w="2799" w:type="dxa"/>
          </w:tcPr>
          <w:p w14:paraId="6A9ACDFF" w14:textId="77777777" w:rsidR="00001113" w:rsidRPr="00FB4FD0" w:rsidRDefault="00001113" w:rsidP="00F301BD">
            <w:pPr>
              <w:rPr>
                <w:i/>
                <w:color w:val="000000" w:themeColor="text1"/>
              </w:rPr>
            </w:pPr>
            <w:r w:rsidRPr="00FB4FD0">
              <w:rPr>
                <w:i/>
                <w:color w:val="000000" w:themeColor="text1"/>
              </w:rPr>
              <w:t>Name</w:t>
            </w:r>
          </w:p>
        </w:tc>
        <w:tc>
          <w:tcPr>
            <w:tcW w:w="1958" w:type="dxa"/>
          </w:tcPr>
          <w:p w14:paraId="4FDD8EA5" w14:textId="77777777" w:rsidR="00001113" w:rsidRPr="00FB4FD0" w:rsidRDefault="00001113" w:rsidP="00F301BD">
            <w:pPr>
              <w:rPr>
                <w:i/>
                <w:color w:val="000000" w:themeColor="text1"/>
              </w:rPr>
            </w:pPr>
            <w:r w:rsidRPr="00FB4FD0">
              <w:rPr>
                <w:i/>
                <w:color w:val="000000" w:themeColor="text1"/>
              </w:rPr>
              <w:t>Date</w:t>
            </w:r>
          </w:p>
        </w:tc>
        <w:tc>
          <w:tcPr>
            <w:tcW w:w="2726" w:type="dxa"/>
          </w:tcPr>
          <w:p w14:paraId="01B63613" w14:textId="77777777" w:rsidR="00001113" w:rsidRPr="00FB4FD0" w:rsidRDefault="00001113" w:rsidP="00F301BD">
            <w:pPr>
              <w:rPr>
                <w:i/>
                <w:color w:val="000000" w:themeColor="text1"/>
              </w:rPr>
            </w:pPr>
            <w:r w:rsidRPr="00FB4FD0">
              <w:rPr>
                <w:i/>
                <w:color w:val="000000" w:themeColor="text1"/>
              </w:rPr>
              <w:t>Comments</w:t>
            </w:r>
          </w:p>
        </w:tc>
      </w:tr>
      <w:tr w:rsidR="00795124" w:rsidRPr="00FB4FD0" w14:paraId="29B6405B" w14:textId="77777777" w:rsidTr="001E472C">
        <w:trPr>
          <w:tblHeader/>
        </w:trPr>
        <w:tc>
          <w:tcPr>
            <w:tcW w:w="378" w:type="dxa"/>
            <w:vMerge w:val="restart"/>
            <w:vAlign w:val="center"/>
          </w:tcPr>
          <w:p w14:paraId="6407D8F9" w14:textId="77777777" w:rsidR="00001113" w:rsidRPr="00FB4FD0" w:rsidRDefault="00001113" w:rsidP="00F301BD">
            <w:pPr>
              <w:rPr>
                <w:rFonts w:ascii="Times New Roman" w:hAnsi="Times New Roman"/>
                <w:color w:val="000000" w:themeColor="text1"/>
              </w:rPr>
            </w:pPr>
            <w:r w:rsidRPr="00FB4FD0">
              <w:rPr>
                <w:rFonts w:ascii="Times New Roman" w:hAnsi="Times New Roman"/>
                <w:color w:val="000000" w:themeColor="text1"/>
              </w:rPr>
              <w:t>1</w:t>
            </w:r>
          </w:p>
        </w:tc>
        <w:tc>
          <w:tcPr>
            <w:tcW w:w="1381" w:type="dxa"/>
          </w:tcPr>
          <w:p w14:paraId="1C1BC4C4" w14:textId="77777777" w:rsidR="00001113" w:rsidRPr="00FB4FD0" w:rsidRDefault="00001113" w:rsidP="00F301BD">
            <w:pPr>
              <w:rPr>
                <w:color w:val="000000" w:themeColor="text1"/>
              </w:rPr>
            </w:pPr>
            <w:r w:rsidRPr="00FB4FD0">
              <w:rPr>
                <w:color w:val="000000" w:themeColor="text1"/>
              </w:rPr>
              <w:t>Prepared by:</w:t>
            </w:r>
          </w:p>
        </w:tc>
        <w:tc>
          <w:tcPr>
            <w:tcW w:w="2799" w:type="dxa"/>
          </w:tcPr>
          <w:p w14:paraId="705853CA" w14:textId="77777777" w:rsidR="00001113" w:rsidRPr="00FB4FD0" w:rsidRDefault="00001113" w:rsidP="00F301BD">
            <w:pPr>
              <w:rPr>
                <w:color w:val="000000" w:themeColor="text1"/>
              </w:rPr>
            </w:pPr>
            <w:r w:rsidRPr="00FB4FD0">
              <w:rPr>
                <w:color w:val="000000" w:themeColor="text1"/>
              </w:rPr>
              <w:t>Angus Thompson</w:t>
            </w:r>
          </w:p>
        </w:tc>
        <w:tc>
          <w:tcPr>
            <w:tcW w:w="1958" w:type="dxa"/>
          </w:tcPr>
          <w:p w14:paraId="07935C41" w14:textId="77777777" w:rsidR="00001113" w:rsidRPr="00FB4FD0" w:rsidRDefault="00001113" w:rsidP="00F301BD">
            <w:pPr>
              <w:rPr>
                <w:color w:val="000000" w:themeColor="text1"/>
              </w:rPr>
            </w:pPr>
          </w:p>
        </w:tc>
        <w:tc>
          <w:tcPr>
            <w:tcW w:w="2726" w:type="dxa"/>
          </w:tcPr>
          <w:p w14:paraId="3B46E46F" w14:textId="77777777" w:rsidR="00001113" w:rsidRPr="00FB4FD0" w:rsidRDefault="00001113" w:rsidP="00F301BD">
            <w:pPr>
              <w:rPr>
                <w:color w:val="000000" w:themeColor="text1"/>
              </w:rPr>
            </w:pPr>
          </w:p>
        </w:tc>
      </w:tr>
      <w:tr w:rsidR="00795124" w:rsidRPr="00FB4FD0" w14:paraId="79C105A5" w14:textId="77777777" w:rsidTr="001E472C">
        <w:trPr>
          <w:tblHeader/>
        </w:trPr>
        <w:tc>
          <w:tcPr>
            <w:tcW w:w="378" w:type="dxa"/>
            <w:vMerge/>
          </w:tcPr>
          <w:p w14:paraId="4FCFA837" w14:textId="77777777" w:rsidR="00001113" w:rsidRPr="00FB4FD0" w:rsidRDefault="00001113" w:rsidP="00F301BD">
            <w:pPr>
              <w:rPr>
                <w:color w:val="000000" w:themeColor="text1"/>
              </w:rPr>
            </w:pPr>
          </w:p>
        </w:tc>
        <w:tc>
          <w:tcPr>
            <w:tcW w:w="1381" w:type="dxa"/>
          </w:tcPr>
          <w:p w14:paraId="6C7538EB" w14:textId="77777777" w:rsidR="00001113" w:rsidRPr="00FB4FD0" w:rsidRDefault="00001113" w:rsidP="00F301BD">
            <w:pPr>
              <w:rPr>
                <w:color w:val="000000" w:themeColor="text1"/>
              </w:rPr>
            </w:pPr>
            <w:r w:rsidRPr="00FB4FD0">
              <w:rPr>
                <w:color w:val="000000" w:themeColor="text1"/>
              </w:rPr>
              <w:t>Approved by:</w:t>
            </w:r>
          </w:p>
        </w:tc>
        <w:tc>
          <w:tcPr>
            <w:tcW w:w="2799" w:type="dxa"/>
          </w:tcPr>
          <w:p w14:paraId="681581A2" w14:textId="77777777" w:rsidR="00001113" w:rsidRPr="00FB4FD0" w:rsidRDefault="00795124" w:rsidP="00D50998">
            <w:pPr>
              <w:rPr>
                <w:color w:val="000000" w:themeColor="text1"/>
              </w:rPr>
            </w:pPr>
            <w:r w:rsidRPr="00FB4FD0">
              <w:rPr>
                <w:color w:val="000000" w:themeColor="text1"/>
              </w:rPr>
              <w:t>Britta Schaffelke</w:t>
            </w:r>
          </w:p>
        </w:tc>
        <w:tc>
          <w:tcPr>
            <w:tcW w:w="1958" w:type="dxa"/>
          </w:tcPr>
          <w:p w14:paraId="1C1B2435" w14:textId="77777777" w:rsidR="00001113" w:rsidRPr="00FB4FD0" w:rsidRDefault="00795124" w:rsidP="00D72663">
            <w:pPr>
              <w:rPr>
                <w:color w:val="000000" w:themeColor="text1"/>
              </w:rPr>
            </w:pPr>
            <w:r w:rsidRPr="00FB4FD0">
              <w:rPr>
                <w:color w:val="000000" w:themeColor="text1"/>
              </w:rPr>
              <w:t>24 January 2018</w:t>
            </w:r>
          </w:p>
        </w:tc>
        <w:tc>
          <w:tcPr>
            <w:tcW w:w="2726" w:type="dxa"/>
          </w:tcPr>
          <w:p w14:paraId="5848BE7F" w14:textId="77777777" w:rsidR="00001113" w:rsidRPr="00FB4FD0" w:rsidRDefault="00001113" w:rsidP="00F301BD">
            <w:pPr>
              <w:rPr>
                <w:color w:val="000000" w:themeColor="text1"/>
              </w:rPr>
            </w:pPr>
          </w:p>
        </w:tc>
      </w:tr>
      <w:tr w:rsidR="00795124" w:rsidRPr="00FB4FD0" w14:paraId="7DB3CB81" w14:textId="77777777" w:rsidTr="001E472C">
        <w:trPr>
          <w:tblHeader/>
        </w:trPr>
        <w:tc>
          <w:tcPr>
            <w:tcW w:w="378" w:type="dxa"/>
            <w:vMerge w:val="restart"/>
            <w:vAlign w:val="center"/>
          </w:tcPr>
          <w:p w14:paraId="7D028047" w14:textId="77777777" w:rsidR="00001113" w:rsidRPr="00FB4FD0" w:rsidRDefault="00001113" w:rsidP="00F301BD">
            <w:pPr>
              <w:rPr>
                <w:rFonts w:ascii="Times New Roman" w:hAnsi="Times New Roman"/>
                <w:color w:val="000000" w:themeColor="text1"/>
              </w:rPr>
            </w:pPr>
            <w:r w:rsidRPr="00FB4FD0">
              <w:rPr>
                <w:rFonts w:ascii="Times New Roman" w:hAnsi="Times New Roman"/>
                <w:color w:val="000000" w:themeColor="text1"/>
              </w:rPr>
              <w:t>2</w:t>
            </w:r>
          </w:p>
        </w:tc>
        <w:tc>
          <w:tcPr>
            <w:tcW w:w="1381" w:type="dxa"/>
          </w:tcPr>
          <w:p w14:paraId="64000F03" w14:textId="77777777" w:rsidR="00001113" w:rsidRPr="00FB4FD0" w:rsidRDefault="0051530E" w:rsidP="00F301BD">
            <w:pPr>
              <w:rPr>
                <w:color w:val="000000" w:themeColor="text1"/>
              </w:rPr>
            </w:pPr>
            <w:r w:rsidRPr="00FB4FD0">
              <w:rPr>
                <w:color w:val="000000" w:themeColor="text1"/>
              </w:rPr>
              <w:t xml:space="preserve">Reviewed </w:t>
            </w:r>
          </w:p>
        </w:tc>
        <w:tc>
          <w:tcPr>
            <w:tcW w:w="2799" w:type="dxa"/>
          </w:tcPr>
          <w:p w14:paraId="714CE398" w14:textId="7684E42D" w:rsidR="00001113" w:rsidRPr="00FB4FD0" w:rsidRDefault="003B5C55" w:rsidP="003B5C55">
            <w:pPr>
              <w:rPr>
                <w:color w:val="000000" w:themeColor="text1"/>
              </w:rPr>
            </w:pPr>
            <w:r w:rsidRPr="00FB4FD0">
              <w:rPr>
                <w:color w:val="000000" w:themeColor="text1"/>
              </w:rPr>
              <w:t>External Reviewer</w:t>
            </w:r>
          </w:p>
        </w:tc>
        <w:tc>
          <w:tcPr>
            <w:tcW w:w="1958" w:type="dxa"/>
          </w:tcPr>
          <w:p w14:paraId="2DC42193" w14:textId="1D80864B" w:rsidR="00001113" w:rsidRPr="00FB4FD0" w:rsidRDefault="003B5C55" w:rsidP="00F301BD">
            <w:pPr>
              <w:rPr>
                <w:color w:val="000000" w:themeColor="text1"/>
              </w:rPr>
            </w:pPr>
            <w:r w:rsidRPr="00FB4FD0">
              <w:rPr>
                <w:color w:val="000000" w:themeColor="text1"/>
              </w:rPr>
              <w:t>24 April 2018</w:t>
            </w:r>
          </w:p>
        </w:tc>
        <w:tc>
          <w:tcPr>
            <w:tcW w:w="2726" w:type="dxa"/>
          </w:tcPr>
          <w:p w14:paraId="5848D8D8" w14:textId="77777777" w:rsidR="00001113" w:rsidRPr="00FB4FD0" w:rsidRDefault="00001113" w:rsidP="00F301BD">
            <w:pPr>
              <w:rPr>
                <w:color w:val="000000" w:themeColor="text1"/>
              </w:rPr>
            </w:pPr>
          </w:p>
        </w:tc>
      </w:tr>
      <w:tr w:rsidR="00795124" w:rsidRPr="00FB4FD0" w14:paraId="0F040FAE" w14:textId="77777777" w:rsidTr="001E472C">
        <w:trPr>
          <w:tblHeader/>
        </w:trPr>
        <w:tc>
          <w:tcPr>
            <w:tcW w:w="378" w:type="dxa"/>
            <w:vMerge/>
          </w:tcPr>
          <w:p w14:paraId="7593096C" w14:textId="77777777" w:rsidR="00001113" w:rsidRPr="00FB4FD0" w:rsidRDefault="00001113" w:rsidP="00F301BD">
            <w:pPr>
              <w:rPr>
                <w:color w:val="000000" w:themeColor="text1"/>
              </w:rPr>
            </w:pPr>
          </w:p>
        </w:tc>
        <w:tc>
          <w:tcPr>
            <w:tcW w:w="1381" w:type="dxa"/>
          </w:tcPr>
          <w:p w14:paraId="24DD744A" w14:textId="77777777" w:rsidR="00001113" w:rsidRPr="00FB4FD0" w:rsidRDefault="002241BC" w:rsidP="00F301BD">
            <w:pPr>
              <w:rPr>
                <w:color w:val="000000" w:themeColor="text1"/>
              </w:rPr>
            </w:pPr>
            <w:r w:rsidRPr="00FB4FD0">
              <w:rPr>
                <w:color w:val="000000" w:themeColor="text1"/>
              </w:rPr>
              <w:t xml:space="preserve">Revised </w:t>
            </w:r>
          </w:p>
        </w:tc>
        <w:tc>
          <w:tcPr>
            <w:tcW w:w="2799" w:type="dxa"/>
          </w:tcPr>
          <w:p w14:paraId="5EC2FEB1" w14:textId="54D67A0F" w:rsidR="00001113" w:rsidRPr="00FB4FD0" w:rsidRDefault="003B5C55" w:rsidP="00F301BD">
            <w:pPr>
              <w:rPr>
                <w:color w:val="000000" w:themeColor="text1"/>
              </w:rPr>
            </w:pPr>
            <w:r w:rsidRPr="00FB4FD0">
              <w:rPr>
                <w:color w:val="000000" w:themeColor="text1"/>
              </w:rPr>
              <w:t>Angus Thompson</w:t>
            </w:r>
          </w:p>
        </w:tc>
        <w:tc>
          <w:tcPr>
            <w:tcW w:w="1958" w:type="dxa"/>
          </w:tcPr>
          <w:p w14:paraId="79B1B4E6" w14:textId="63327BB2" w:rsidR="00001113" w:rsidRPr="00FB4FD0" w:rsidRDefault="003B5C55" w:rsidP="00F301BD">
            <w:pPr>
              <w:rPr>
                <w:color w:val="000000" w:themeColor="text1"/>
              </w:rPr>
            </w:pPr>
            <w:r w:rsidRPr="00FB4FD0">
              <w:rPr>
                <w:color w:val="000000" w:themeColor="text1"/>
              </w:rPr>
              <w:t>18 May 2018</w:t>
            </w:r>
          </w:p>
        </w:tc>
        <w:tc>
          <w:tcPr>
            <w:tcW w:w="2726" w:type="dxa"/>
          </w:tcPr>
          <w:p w14:paraId="3175CB46" w14:textId="77777777" w:rsidR="00001113" w:rsidRPr="00FB4FD0" w:rsidRDefault="00001113" w:rsidP="00F301BD">
            <w:pPr>
              <w:rPr>
                <w:color w:val="000000" w:themeColor="text1"/>
              </w:rPr>
            </w:pPr>
          </w:p>
        </w:tc>
      </w:tr>
    </w:tbl>
    <w:p w14:paraId="29DA321F" w14:textId="77777777" w:rsidR="00001113" w:rsidRPr="00FB4FD0" w:rsidRDefault="00001113" w:rsidP="00001113">
      <w:pPr>
        <w:rPr>
          <w:color w:val="000000" w:themeColor="text1"/>
        </w:rPr>
      </w:pPr>
    </w:p>
    <w:p w14:paraId="32C193AC" w14:textId="6763C18D" w:rsidR="008A1A24" w:rsidRPr="00FB4FD0" w:rsidRDefault="008A1A24">
      <w:pPr>
        <w:pBdr>
          <w:top w:val="single" w:sz="12" w:space="1" w:color="0070C0"/>
          <w:left w:val="single" w:sz="12" w:space="4" w:color="0070C0"/>
          <w:bottom w:val="single" w:sz="12" w:space="1" w:color="0070C0"/>
          <w:right w:val="single" w:sz="12" w:space="4" w:color="0070C0"/>
        </w:pBdr>
        <w:rPr>
          <w:rFonts w:ascii="Arial Narrow" w:eastAsia="MS Mincho" w:hAnsi="Arial Narrow" w:cs="Arial"/>
          <w:color w:val="000000" w:themeColor="text1"/>
          <w:szCs w:val="22"/>
          <w:lang w:eastAsia="ja-JP"/>
        </w:rPr>
      </w:pPr>
      <w:r w:rsidRPr="00FB4FD0">
        <w:rPr>
          <w:rFonts w:ascii="Arial Narrow" w:eastAsia="MS Mincho" w:hAnsi="Arial Narrow" w:cs="Arial"/>
          <w:color w:val="000000" w:themeColor="text1"/>
          <w:szCs w:val="22"/>
          <w:lang w:eastAsia="ja-JP"/>
        </w:rPr>
        <w:t xml:space="preserve">© </w:t>
      </w:r>
      <w:r w:rsidR="00C72A3B" w:rsidRPr="00FB4FD0">
        <w:rPr>
          <w:rFonts w:ascii="Arial Narrow" w:eastAsia="MS Mincho" w:hAnsi="Arial Narrow" w:cs="Arial"/>
          <w:color w:val="000000" w:themeColor="text1"/>
          <w:szCs w:val="22"/>
          <w:lang w:eastAsia="ja-JP"/>
        </w:rPr>
        <w:t>Commonwealth of Australia (</w:t>
      </w:r>
      <w:r w:rsidRPr="00FB4FD0">
        <w:rPr>
          <w:rFonts w:ascii="Arial Narrow" w:eastAsia="MS Mincho" w:hAnsi="Arial Narrow" w:cs="Arial"/>
          <w:color w:val="000000" w:themeColor="text1"/>
          <w:szCs w:val="22"/>
          <w:lang w:eastAsia="ja-JP"/>
        </w:rPr>
        <w:t>Australian Institute of Marine Science (AIMS)</w:t>
      </w:r>
      <w:r w:rsidR="00C72A3B" w:rsidRPr="00FB4FD0">
        <w:rPr>
          <w:rFonts w:ascii="Arial Narrow" w:eastAsia="MS Mincho" w:hAnsi="Arial Narrow" w:cs="Arial"/>
          <w:color w:val="000000" w:themeColor="text1"/>
          <w:szCs w:val="22"/>
          <w:lang w:eastAsia="ja-JP"/>
        </w:rPr>
        <w:t>)</w:t>
      </w:r>
      <w:r w:rsidRPr="00FB4FD0">
        <w:rPr>
          <w:rFonts w:ascii="Arial Narrow" w:eastAsia="MS Mincho" w:hAnsi="Arial Narrow" w:cs="Arial"/>
          <w:color w:val="000000" w:themeColor="text1"/>
          <w:szCs w:val="22"/>
          <w:lang w:eastAsia="ja-JP"/>
        </w:rPr>
        <w:t xml:space="preserve"> 201</w:t>
      </w:r>
      <w:r w:rsidR="00DA3A00" w:rsidRPr="00FB4FD0">
        <w:rPr>
          <w:rFonts w:ascii="Arial Narrow" w:eastAsia="MS Mincho" w:hAnsi="Arial Narrow" w:cs="Arial"/>
          <w:color w:val="000000" w:themeColor="text1"/>
          <w:szCs w:val="22"/>
          <w:lang w:eastAsia="ja-JP"/>
        </w:rPr>
        <w:t>8</w:t>
      </w:r>
      <w:r w:rsidRPr="00FB4FD0">
        <w:rPr>
          <w:rFonts w:ascii="Arial Narrow" w:eastAsia="MS Mincho" w:hAnsi="Arial Narrow" w:cs="Arial"/>
          <w:color w:val="000000" w:themeColor="text1"/>
          <w:szCs w:val="22"/>
          <w:lang w:eastAsia="ja-JP"/>
        </w:rPr>
        <w:t xml:space="preserve"> </w:t>
      </w:r>
    </w:p>
    <w:p w14:paraId="43AAD8D4" w14:textId="3CBB5FAD" w:rsidR="00654991" w:rsidRPr="00FB4FD0" w:rsidRDefault="00654991">
      <w:pPr>
        <w:pBdr>
          <w:top w:val="single" w:sz="12" w:space="1" w:color="0070C0"/>
          <w:left w:val="single" w:sz="12" w:space="4" w:color="0070C0"/>
          <w:bottom w:val="single" w:sz="12" w:space="1" w:color="0070C0"/>
          <w:right w:val="single" w:sz="12" w:space="4" w:color="0070C0"/>
        </w:pBdr>
        <w:rPr>
          <w:rFonts w:ascii="Arial Narrow" w:eastAsia="MS Mincho" w:hAnsi="Arial Narrow" w:cs="Arial"/>
          <w:color w:val="000000" w:themeColor="text1"/>
          <w:szCs w:val="22"/>
          <w:lang w:eastAsia="ja-JP"/>
        </w:rPr>
      </w:pPr>
      <w:r w:rsidRPr="00FB4FD0">
        <w:rPr>
          <w:rFonts w:ascii="Arial Narrow" w:eastAsia="MS Mincho" w:hAnsi="Arial Narrow" w:cs="Arial"/>
          <w:color w:val="000000" w:themeColor="text1"/>
          <w:szCs w:val="22"/>
          <w:lang w:eastAsia="ja-JP"/>
        </w:rPr>
        <w:t>Published by the Great Barrier Reef Marine Park Authority</w:t>
      </w:r>
    </w:p>
    <w:p w14:paraId="679E418D" w14:textId="77777777" w:rsidR="00AF0016" w:rsidRDefault="00C72A3B" w:rsidP="00C72A3B">
      <w:pPr>
        <w:spacing w:before="120"/>
        <w:rPr>
          <w:rFonts w:ascii="Arial Narrow" w:hAnsi="Arial Narrow"/>
          <w:color w:val="000000" w:themeColor="text1"/>
          <w:szCs w:val="22"/>
        </w:rPr>
      </w:pPr>
      <w:r w:rsidRPr="00FB4FD0">
        <w:rPr>
          <w:rFonts w:ascii="Arial Narrow" w:hAnsi="Arial Narrow"/>
          <w:color w:val="000000" w:themeColor="text1"/>
          <w:szCs w:val="22"/>
        </w:rPr>
        <w:t>This document is licensed by the Commonwealth of Australia for use under a Creative Commons By Attribution 4.0 International licence with the exception of the Coat of Arms of the Commonwealth of Australia, the logo of the Great Barrier Reef Marine Park Authority</w:t>
      </w:r>
      <w:r w:rsidR="000A4988">
        <w:rPr>
          <w:rFonts w:ascii="Arial Narrow" w:hAnsi="Arial Narrow"/>
          <w:color w:val="000000" w:themeColor="text1"/>
          <w:szCs w:val="22"/>
        </w:rPr>
        <w:t xml:space="preserve"> and the Australian Institute of Marine Science</w:t>
      </w:r>
      <w:r w:rsidRPr="00FB4FD0">
        <w:rPr>
          <w:rFonts w:ascii="Arial Narrow" w:hAnsi="Arial Narrow"/>
          <w:color w:val="000000" w:themeColor="text1"/>
          <w:szCs w:val="22"/>
        </w:rPr>
        <w:t xml:space="preserve">, any other material protected by a trademark, content supplied by third parties and any photographs. For licence conditions see: </w:t>
      </w:r>
      <w:hyperlink r:id="rId19" w:tooltip="the creative commons web site" w:history="1">
        <w:r w:rsidRPr="00FB4FD0">
          <w:rPr>
            <w:rFonts w:ascii="Arial Narrow" w:hAnsi="Arial Narrow"/>
            <w:color w:val="000000" w:themeColor="text1"/>
            <w:szCs w:val="22"/>
          </w:rPr>
          <w:t>http://creativecommons.org/licences/by/4.0</w:t>
        </w:r>
      </w:hyperlink>
      <w:r w:rsidRPr="00FB4FD0">
        <w:rPr>
          <w:rFonts w:ascii="Arial Narrow" w:hAnsi="Arial Narrow"/>
          <w:color w:val="000000" w:themeColor="text1"/>
          <w:szCs w:val="22"/>
        </w:rPr>
        <w:t xml:space="preserve"> </w:t>
      </w:r>
      <w:r w:rsidRPr="00FB4FD0">
        <w:rPr>
          <w:rFonts w:ascii="Arial Narrow" w:hAnsi="Arial Narrow"/>
          <w:color w:val="000000" w:themeColor="text1"/>
          <w:szCs w:val="22"/>
        </w:rPr>
        <w:cr/>
      </w:r>
    </w:p>
    <w:p w14:paraId="2800CCD5" w14:textId="3D459F08" w:rsidR="00C72A3B" w:rsidRDefault="00C72A3B" w:rsidP="00C72A3B">
      <w:pPr>
        <w:spacing w:before="120"/>
        <w:rPr>
          <w:rFonts w:cs="Arial"/>
          <w:sz w:val="18"/>
          <w:szCs w:val="18"/>
          <w:lang w:val="en-AU"/>
        </w:rPr>
      </w:pPr>
      <w:r w:rsidRPr="00FB4FD0">
        <w:rPr>
          <w:noProof/>
          <w:highlight w:val="yellow"/>
          <w:lang w:val="en-AU" w:eastAsia="en-AU"/>
        </w:rPr>
        <w:drawing>
          <wp:inline distT="0" distB="0" distL="0" distR="0" wp14:anchorId="41BEDC46" wp14:editId="52153B8D">
            <wp:extent cx="838200" cy="290628"/>
            <wp:effectExtent l="0" t="0" r="0" b="0"/>
            <wp:docPr id="32" name="Picture 32"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20"/>
                    </pic:cNvPr>
                    <pic:cNvPicPr/>
                  </pic:nvPicPr>
                  <pic:blipFill>
                    <a:blip r:embed="rId21" cstate="print">
                      <a:extLst>
                        <a:ext uri="{28A0092B-C50C-407E-A947-70E740481C1C}">
                          <a14:useLocalDpi xmlns:a14="http://schemas.microsoft.com/office/drawing/2010/main" val="0"/>
                        </a:ext>
                      </a:extLst>
                    </a:blip>
                    <a:stretch>
                      <a:fillRect/>
                    </a:stretch>
                  </pic:blipFill>
                  <pic:spPr>
                    <a:xfrm>
                      <a:off x="0" y="0"/>
                      <a:ext cx="868860" cy="301259"/>
                    </a:xfrm>
                    <a:prstGeom prst="rect">
                      <a:avLst/>
                    </a:prstGeom>
                  </pic:spPr>
                </pic:pic>
              </a:graphicData>
            </a:graphic>
          </wp:inline>
        </w:drawing>
      </w:r>
    </w:p>
    <w:p w14:paraId="0CD21CA5" w14:textId="77777777" w:rsidR="00C72A3B" w:rsidRDefault="00C72A3B">
      <w:pPr>
        <w:rPr>
          <w:rFonts w:ascii="Arial Narrow" w:eastAsia="MS Mincho" w:hAnsi="Arial Narrow" w:cs="Arial"/>
          <w:b/>
          <w:color w:val="000000" w:themeColor="text1"/>
          <w:szCs w:val="22"/>
          <w:lang w:eastAsia="ja-JP"/>
        </w:rPr>
      </w:pPr>
    </w:p>
    <w:p w14:paraId="2376378F" w14:textId="77777777" w:rsidR="008A1A24" w:rsidRPr="002F70E6" w:rsidRDefault="008A1A24">
      <w:pPr>
        <w:rPr>
          <w:rFonts w:ascii="Arial Narrow" w:eastAsia="MS Mincho" w:hAnsi="Arial Narrow" w:cs="Arial"/>
          <w:b/>
          <w:color w:val="000000" w:themeColor="text1"/>
          <w:szCs w:val="22"/>
          <w:lang w:eastAsia="ja-JP"/>
        </w:rPr>
      </w:pPr>
      <w:r w:rsidRPr="002F70E6">
        <w:rPr>
          <w:rFonts w:ascii="Arial Narrow" w:eastAsia="MS Mincho" w:hAnsi="Arial Narrow" w:cs="Arial"/>
          <w:b/>
          <w:color w:val="000000" w:themeColor="text1"/>
          <w:szCs w:val="22"/>
          <w:lang w:eastAsia="ja-JP"/>
        </w:rPr>
        <w:t>DISCLAIMER</w:t>
      </w:r>
    </w:p>
    <w:p w14:paraId="093E3F1F" w14:textId="77777777" w:rsidR="008A1A24" w:rsidRPr="002F70E6" w:rsidRDefault="008A1A24">
      <w:pPr>
        <w:spacing w:before="120"/>
        <w:rPr>
          <w:rFonts w:ascii="Arial Narrow" w:eastAsia="MS Mincho" w:hAnsi="Arial Narrow" w:cs="Arial"/>
          <w:color w:val="000000" w:themeColor="text1"/>
          <w:szCs w:val="22"/>
          <w:lang w:eastAsia="ja-JP"/>
        </w:rPr>
      </w:pPr>
      <w:r w:rsidRPr="002F70E6">
        <w:rPr>
          <w:rFonts w:ascii="Arial Narrow" w:eastAsia="MS Mincho" w:hAnsi="Arial Narrow" w:cs="Arial"/>
          <w:color w:val="000000" w:themeColor="text1"/>
          <w:szCs w:val="22"/>
          <w:lang w:eastAsia="ja-JP"/>
        </w:rPr>
        <w:t>While reasonable efforts have been made to ensure that the contents of this document are factually correct, AIMS does not make any representation or give any warranty regarding the accuracy, completeness, currency or suitability for any particular purpose of the information or statements contained in this document. To the extent permitted by law AIMS shall not be liable for any loss, damage, cost or expense that may be occasioned directly or indirectly through the use of or reliance on the contents of this document.</w:t>
      </w:r>
    </w:p>
    <w:p w14:paraId="34083765" w14:textId="77777777" w:rsidR="008A1A24" w:rsidRPr="002F70E6" w:rsidRDefault="008A1A24">
      <w:pPr>
        <w:spacing w:after="1100"/>
        <w:rPr>
          <w:b/>
          <w:caps/>
          <w:color w:val="000000" w:themeColor="text1"/>
        </w:rPr>
        <w:sectPr w:rsidR="008A1A24" w:rsidRPr="002F70E6" w:rsidSect="00842BCC">
          <w:headerReference w:type="even" r:id="rId22"/>
          <w:headerReference w:type="default" r:id="rId23"/>
          <w:headerReference w:type="first" r:id="rId24"/>
          <w:pgSz w:w="11907" w:h="16840" w:code="9"/>
          <w:pgMar w:top="1418" w:right="1418" w:bottom="1418" w:left="1418" w:header="709" w:footer="709" w:gutter="0"/>
          <w:pgNumType w:fmt="lowerRoman" w:start="1"/>
          <w:cols w:space="720"/>
          <w:docGrid w:linePitch="299"/>
        </w:sectPr>
      </w:pPr>
    </w:p>
    <w:p w14:paraId="3A41DAD5" w14:textId="77777777" w:rsidR="001F75A1" w:rsidRPr="005C7045" w:rsidRDefault="008A1A24" w:rsidP="001C3FA7">
      <w:pPr>
        <w:spacing w:after="360"/>
        <w:jc w:val="left"/>
        <w:rPr>
          <w:rFonts w:cs="Arial"/>
          <w:b/>
          <w:color w:val="4F81BD" w:themeColor="accent1"/>
          <w:sz w:val="32"/>
          <w:szCs w:val="32"/>
        </w:rPr>
      </w:pPr>
      <w:r w:rsidRPr="005C7045">
        <w:rPr>
          <w:rFonts w:cs="Arial"/>
          <w:b/>
          <w:color w:val="000000" w:themeColor="text1"/>
          <w:sz w:val="32"/>
          <w:szCs w:val="32"/>
        </w:rPr>
        <w:lastRenderedPageBreak/>
        <w:t>Contents</w:t>
      </w:r>
    </w:p>
    <w:p w14:paraId="7C6B5AF8" w14:textId="77777777" w:rsidR="00511129" w:rsidRDefault="003E02BD">
      <w:pPr>
        <w:pStyle w:val="TOC1"/>
        <w:rPr>
          <w:rFonts w:asciiTheme="minorHAnsi" w:eastAsiaTheme="minorEastAsia" w:hAnsiTheme="minorHAnsi" w:cstheme="minorBidi"/>
          <w:szCs w:val="22"/>
          <w:lang w:val="en-AU" w:eastAsia="en-AU"/>
        </w:rPr>
      </w:pPr>
      <w:r w:rsidRPr="00F352E1">
        <w:rPr>
          <w:color w:val="4F81BD" w:themeColor="accent1"/>
          <w:szCs w:val="22"/>
        </w:rPr>
        <w:fldChar w:fldCharType="begin"/>
      </w:r>
      <w:r w:rsidRPr="00F352E1">
        <w:rPr>
          <w:color w:val="4F81BD" w:themeColor="accent1"/>
          <w:szCs w:val="22"/>
        </w:rPr>
        <w:instrText xml:space="preserve"> TOC \o "1-3" \u </w:instrText>
      </w:r>
      <w:r w:rsidRPr="00F352E1">
        <w:rPr>
          <w:color w:val="4F81BD" w:themeColor="accent1"/>
          <w:szCs w:val="22"/>
        </w:rPr>
        <w:fldChar w:fldCharType="separate"/>
      </w:r>
      <w:r w:rsidR="00511129" w:rsidRPr="00A804CF">
        <w:rPr>
          <w14:scene3d>
            <w14:camera w14:prst="orthographicFront"/>
            <w14:lightRig w14:rig="threePt" w14:dir="t">
              <w14:rot w14:lat="0" w14:lon="0" w14:rev="0"/>
            </w14:lightRig>
          </w14:scene3d>
        </w:rPr>
        <w:t>1</w:t>
      </w:r>
      <w:r w:rsidR="00511129">
        <w:rPr>
          <w:rFonts w:asciiTheme="minorHAnsi" w:eastAsiaTheme="minorEastAsia" w:hAnsiTheme="minorHAnsi" w:cstheme="minorBidi"/>
          <w:szCs w:val="22"/>
          <w:lang w:val="en-AU" w:eastAsia="en-AU"/>
        </w:rPr>
        <w:tab/>
      </w:r>
      <w:r w:rsidR="00511129">
        <w:t>Executive Summary</w:t>
      </w:r>
      <w:r w:rsidR="00511129">
        <w:tab/>
      </w:r>
      <w:r w:rsidR="00511129">
        <w:fldChar w:fldCharType="begin"/>
      </w:r>
      <w:r w:rsidR="00511129">
        <w:instrText xml:space="preserve"> PAGEREF _Toc514408372 \h </w:instrText>
      </w:r>
      <w:r w:rsidR="00511129">
        <w:fldChar w:fldCharType="separate"/>
      </w:r>
      <w:r w:rsidR="00A75175">
        <w:t>1</w:t>
      </w:r>
      <w:r w:rsidR="00511129">
        <w:fldChar w:fldCharType="end"/>
      </w:r>
    </w:p>
    <w:p w14:paraId="3D8DD687" w14:textId="77777777" w:rsidR="00511129" w:rsidRDefault="00511129">
      <w:pPr>
        <w:pStyle w:val="TOC1"/>
        <w:rPr>
          <w:rFonts w:asciiTheme="minorHAnsi" w:eastAsiaTheme="minorEastAsia" w:hAnsiTheme="minorHAnsi" w:cstheme="minorBidi"/>
          <w:szCs w:val="22"/>
          <w:lang w:val="en-AU" w:eastAsia="en-AU"/>
        </w:rPr>
      </w:pPr>
      <w:r w:rsidRPr="00A804CF">
        <w:rPr>
          <w14:scene3d>
            <w14:camera w14:prst="orthographicFront"/>
            <w14:lightRig w14:rig="threePt" w14:dir="t">
              <w14:rot w14:lat="0" w14:lon="0" w14:rev="0"/>
            </w14:lightRig>
          </w14:scene3d>
        </w:rPr>
        <w:t>2</w:t>
      </w:r>
      <w:r>
        <w:rPr>
          <w:rFonts w:asciiTheme="minorHAnsi" w:eastAsiaTheme="minorEastAsia" w:hAnsiTheme="minorHAnsi" w:cstheme="minorBidi"/>
          <w:szCs w:val="22"/>
          <w:lang w:val="en-AU" w:eastAsia="en-AU"/>
        </w:rPr>
        <w:tab/>
      </w:r>
      <w:r>
        <w:t>Preface</w:t>
      </w:r>
      <w:r>
        <w:tab/>
      </w:r>
      <w:r>
        <w:fldChar w:fldCharType="begin"/>
      </w:r>
      <w:r>
        <w:instrText xml:space="preserve"> PAGEREF _Toc514408373 \h </w:instrText>
      </w:r>
      <w:r>
        <w:fldChar w:fldCharType="separate"/>
      </w:r>
      <w:r w:rsidR="00A75175">
        <w:t>5</w:t>
      </w:r>
      <w:r>
        <w:fldChar w:fldCharType="end"/>
      </w:r>
    </w:p>
    <w:p w14:paraId="056BCB65" w14:textId="77777777" w:rsidR="00511129" w:rsidRDefault="00511129">
      <w:pPr>
        <w:pStyle w:val="TOC1"/>
        <w:rPr>
          <w:rFonts w:asciiTheme="minorHAnsi" w:eastAsiaTheme="minorEastAsia" w:hAnsiTheme="minorHAnsi" w:cstheme="minorBidi"/>
          <w:szCs w:val="22"/>
          <w:lang w:val="en-AU" w:eastAsia="en-AU"/>
        </w:rPr>
      </w:pPr>
      <w:r w:rsidRPr="00A804CF">
        <w:rPr>
          <w14:scene3d>
            <w14:camera w14:prst="orthographicFront"/>
            <w14:lightRig w14:rig="threePt" w14:dir="t">
              <w14:rot w14:lat="0" w14:lon="0" w14:rev="0"/>
            </w14:lightRig>
          </w14:scene3d>
        </w:rPr>
        <w:t>3</w:t>
      </w:r>
      <w:r>
        <w:rPr>
          <w:rFonts w:asciiTheme="minorHAnsi" w:eastAsiaTheme="minorEastAsia" w:hAnsiTheme="minorHAnsi" w:cstheme="minorBidi"/>
          <w:szCs w:val="22"/>
          <w:lang w:val="en-AU" w:eastAsia="en-AU"/>
        </w:rPr>
        <w:tab/>
      </w:r>
      <w:r>
        <w:t>Introduction</w:t>
      </w:r>
      <w:r>
        <w:tab/>
      </w:r>
      <w:r>
        <w:fldChar w:fldCharType="begin"/>
      </w:r>
      <w:r>
        <w:instrText xml:space="preserve"> PAGEREF _Toc514408374 \h </w:instrText>
      </w:r>
      <w:r>
        <w:fldChar w:fldCharType="separate"/>
      </w:r>
      <w:r w:rsidR="00A75175">
        <w:t>6</w:t>
      </w:r>
      <w:r>
        <w:fldChar w:fldCharType="end"/>
      </w:r>
    </w:p>
    <w:p w14:paraId="136686B6" w14:textId="77777777" w:rsidR="00511129" w:rsidRDefault="00511129">
      <w:pPr>
        <w:pStyle w:val="TOC1"/>
        <w:rPr>
          <w:rFonts w:asciiTheme="minorHAnsi" w:eastAsiaTheme="minorEastAsia" w:hAnsiTheme="minorHAnsi" w:cstheme="minorBidi"/>
          <w:szCs w:val="22"/>
          <w:lang w:val="en-AU" w:eastAsia="en-AU"/>
        </w:rPr>
      </w:pPr>
      <w:r w:rsidRPr="00A804CF">
        <w:rPr>
          <w14:scene3d>
            <w14:camera w14:prst="orthographicFront"/>
            <w14:lightRig w14:rig="threePt" w14:dir="t">
              <w14:rot w14:lat="0" w14:lon="0" w14:rev="0"/>
            </w14:lightRig>
          </w14:scene3d>
        </w:rPr>
        <w:t>4</w:t>
      </w:r>
      <w:r>
        <w:rPr>
          <w:rFonts w:asciiTheme="minorHAnsi" w:eastAsiaTheme="minorEastAsia" w:hAnsiTheme="minorHAnsi" w:cstheme="minorBidi"/>
          <w:szCs w:val="22"/>
          <w:lang w:val="en-AU" w:eastAsia="en-AU"/>
        </w:rPr>
        <w:tab/>
      </w:r>
      <w:r>
        <w:t>Methods</w:t>
      </w:r>
      <w:r>
        <w:tab/>
      </w:r>
      <w:r>
        <w:fldChar w:fldCharType="begin"/>
      </w:r>
      <w:r>
        <w:instrText xml:space="preserve"> PAGEREF _Toc514408375 \h </w:instrText>
      </w:r>
      <w:r>
        <w:fldChar w:fldCharType="separate"/>
      </w:r>
      <w:r w:rsidR="00A75175">
        <w:t>9</w:t>
      </w:r>
      <w:r>
        <w:fldChar w:fldCharType="end"/>
      </w:r>
    </w:p>
    <w:p w14:paraId="5F4A9D40" w14:textId="77777777" w:rsidR="00511129" w:rsidRDefault="00511129">
      <w:pPr>
        <w:pStyle w:val="TOC2"/>
        <w:rPr>
          <w:rFonts w:asciiTheme="minorHAnsi" w:eastAsiaTheme="minorEastAsia" w:hAnsiTheme="minorHAnsi" w:cstheme="minorBidi"/>
          <w:noProof/>
          <w:szCs w:val="22"/>
          <w:lang w:val="en-AU" w:eastAsia="en-AU"/>
        </w:rPr>
      </w:pPr>
      <w:r w:rsidRPr="00A804CF">
        <w:rPr>
          <w:rFonts w:eastAsia="SimSun"/>
          <w:noProof/>
        </w:rPr>
        <w:t>4.1 Sampling design</w:t>
      </w:r>
      <w:r>
        <w:rPr>
          <w:noProof/>
        </w:rPr>
        <w:tab/>
      </w:r>
      <w:r>
        <w:rPr>
          <w:noProof/>
        </w:rPr>
        <w:fldChar w:fldCharType="begin"/>
      </w:r>
      <w:r>
        <w:rPr>
          <w:noProof/>
        </w:rPr>
        <w:instrText xml:space="preserve"> PAGEREF _Toc514408376 \h </w:instrText>
      </w:r>
      <w:r>
        <w:rPr>
          <w:noProof/>
        </w:rPr>
      </w:r>
      <w:r>
        <w:rPr>
          <w:noProof/>
        </w:rPr>
        <w:fldChar w:fldCharType="separate"/>
      </w:r>
      <w:r w:rsidR="00A75175">
        <w:rPr>
          <w:noProof/>
        </w:rPr>
        <w:t>9</w:t>
      </w:r>
      <w:r>
        <w:rPr>
          <w:noProof/>
        </w:rPr>
        <w:fldChar w:fldCharType="end"/>
      </w:r>
    </w:p>
    <w:p w14:paraId="4C7F95BD" w14:textId="77777777" w:rsidR="00511129" w:rsidRDefault="00511129">
      <w:pPr>
        <w:pStyle w:val="TOC3"/>
        <w:rPr>
          <w:rFonts w:asciiTheme="minorHAnsi" w:eastAsiaTheme="minorEastAsia" w:hAnsiTheme="minorHAnsi" w:cstheme="minorBidi"/>
          <w:color w:val="auto"/>
          <w:szCs w:val="22"/>
          <w:lang w:val="en-AU" w:eastAsia="en-AU"/>
        </w:rPr>
      </w:pPr>
      <w:r>
        <w:t>4.1.1 Site Selection</w:t>
      </w:r>
      <w:r>
        <w:tab/>
      </w:r>
      <w:r>
        <w:fldChar w:fldCharType="begin"/>
      </w:r>
      <w:r>
        <w:instrText xml:space="preserve"> PAGEREF _Toc514408377 \h </w:instrText>
      </w:r>
      <w:r>
        <w:fldChar w:fldCharType="separate"/>
      </w:r>
      <w:r w:rsidR="00A75175">
        <w:t>9</w:t>
      </w:r>
      <w:r>
        <w:fldChar w:fldCharType="end"/>
      </w:r>
    </w:p>
    <w:p w14:paraId="55A0464E" w14:textId="77777777" w:rsidR="00511129" w:rsidRDefault="00511129">
      <w:pPr>
        <w:pStyle w:val="TOC3"/>
        <w:rPr>
          <w:rFonts w:asciiTheme="minorHAnsi" w:eastAsiaTheme="minorEastAsia" w:hAnsiTheme="minorHAnsi" w:cstheme="minorBidi"/>
          <w:color w:val="auto"/>
          <w:szCs w:val="22"/>
          <w:lang w:val="en-AU" w:eastAsia="en-AU"/>
        </w:rPr>
      </w:pPr>
      <w:r>
        <w:t>4.1.2 Depth Selection</w:t>
      </w:r>
      <w:r>
        <w:tab/>
      </w:r>
      <w:r>
        <w:fldChar w:fldCharType="begin"/>
      </w:r>
      <w:r>
        <w:instrText xml:space="preserve"> PAGEREF _Toc514408378 \h </w:instrText>
      </w:r>
      <w:r>
        <w:fldChar w:fldCharType="separate"/>
      </w:r>
      <w:r w:rsidR="00A75175">
        <w:t>11</w:t>
      </w:r>
      <w:r>
        <w:fldChar w:fldCharType="end"/>
      </w:r>
    </w:p>
    <w:p w14:paraId="00B60597" w14:textId="77777777" w:rsidR="00511129" w:rsidRDefault="00511129">
      <w:pPr>
        <w:pStyle w:val="TOC3"/>
        <w:rPr>
          <w:rFonts w:asciiTheme="minorHAnsi" w:eastAsiaTheme="minorEastAsia" w:hAnsiTheme="minorHAnsi" w:cstheme="minorBidi"/>
          <w:color w:val="auto"/>
          <w:szCs w:val="22"/>
          <w:lang w:val="en-AU" w:eastAsia="en-AU"/>
        </w:rPr>
      </w:pPr>
      <w:r>
        <w:t>4.1.3 Site marking</w:t>
      </w:r>
      <w:r>
        <w:tab/>
      </w:r>
      <w:r>
        <w:fldChar w:fldCharType="begin"/>
      </w:r>
      <w:r>
        <w:instrText xml:space="preserve"> PAGEREF _Toc514408379 \h </w:instrText>
      </w:r>
      <w:r>
        <w:fldChar w:fldCharType="separate"/>
      </w:r>
      <w:r w:rsidR="00A75175">
        <w:t>11</w:t>
      </w:r>
      <w:r>
        <w:fldChar w:fldCharType="end"/>
      </w:r>
    </w:p>
    <w:p w14:paraId="620130DE" w14:textId="77777777" w:rsidR="00511129" w:rsidRDefault="00511129">
      <w:pPr>
        <w:pStyle w:val="TOC3"/>
        <w:rPr>
          <w:rFonts w:asciiTheme="minorHAnsi" w:eastAsiaTheme="minorEastAsia" w:hAnsiTheme="minorHAnsi" w:cstheme="minorBidi"/>
          <w:color w:val="auto"/>
          <w:szCs w:val="22"/>
          <w:lang w:val="en-AU" w:eastAsia="en-AU"/>
        </w:rPr>
      </w:pPr>
      <w:r>
        <w:t>4.1.4 Sampling timing and frequency</w:t>
      </w:r>
      <w:r>
        <w:tab/>
      </w:r>
      <w:r>
        <w:fldChar w:fldCharType="begin"/>
      </w:r>
      <w:r>
        <w:instrText xml:space="preserve"> PAGEREF _Toc514408380 \h </w:instrText>
      </w:r>
      <w:r>
        <w:fldChar w:fldCharType="separate"/>
      </w:r>
      <w:r w:rsidR="00A75175">
        <w:t>11</w:t>
      </w:r>
      <w:r>
        <w:fldChar w:fldCharType="end"/>
      </w:r>
    </w:p>
    <w:p w14:paraId="62BCABA2" w14:textId="77777777" w:rsidR="00511129" w:rsidRDefault="00511129">
      <w:pPr>
        <w:pStyle w:val="TOC2"/>
        <w:rPr>
          <w:rFonts w:asciiTheme="minorHAnsi" w:eastAsiaTheme="minorEastAsia" w:hAnsiTheme="minorHAnsi" w:cstheme="minorBidi"/>
          <w:noProof/>
          <w:szCs w:val="22"/>
          <w:lang w:val="en-AU" w:eastAsia="en-AU"/>
        </w:rPr>
      </w:pPr>
      <w:r w:rsidRPr="00A804CF">
        <w:rPr>
          <w:noProof/>
        </w:rPr>
        <w:t>4.3 Environmental pressures</w:t>
      </w:r>
      <w:r>
        <w:rPr>
          <w:noProof/>
        </w:rPr>
        <w:tab/>
      </w:r>
      <w:r>
        <w:rPr>
          <w:noProof/>
        </w:rPr>
        <w:fldChar w:fldCharType="begin"/>
      </w:r>
      <w:r>
        <w:rPr>
          <w:noProof/>
        </w:rPr>
        <w:instrText xml:space="preserve"> PAGEREF _Toc514408381 \h </w:instrText>
      </w:r>
      <w:r>
        <w:rPr>
          <w:noProof/>
        </w:rPr>
      </w:r>
      <w:r>
        <w:rPr>
          <w:noProof/>
        </w:rPr>
        <w:fldChar w:fldCharType="separate"/>
      </w:r>
      <w:r w:rsidR="00A75175">
        <w:rPr>
          <w:noProof/>
        </w:rPr>
        <w:t>13</w:t>
      </w:r>
      <w:r>
        <w:rPr>
          <w:noProof/>
        </w:rPr>
        <w:fldChar w:fldCharType="end"/>
      </w:r>
    </w:p>
    <w:p w14:paraId="7B115C3C" w14:textId="77777777" w:rsidR="00511129" w:rsidRDefault="00511129">
      <w:pPr>
        <w:pStyle w:val="TOC3"/>
        <w:tabs>
          <w:tab w:val="left" w:pos="1540"/>
        </w:tabs>
        <w:rPr>
          <w:rFonts w:asciiTheme="minorHAnsi" w:eastAsiaTheme="minorEastAsia" w:hAnsiTheme="minorHAnsi" w:cstheme="minorBidi"/>
          <w:color w:val="auto"/>
          <w:szCs w:val="22"/>
          <w:lang w:val="en-AU" w:eastAsia="en-AU"/>
        </w:rPr>
      </w:pPr>
      <w:r>
        <w:t>4.3.1</w:t>
      </w:r>
      <w:r>
        <w:rPr>
          <w:rFonts w:asciiTheme="minorHAnsi" w:eastAsiaTheme="minorEastAsia" w:hAnsiTheme="minorHAnsi" w:cstheme="minorBidi"/>
          <w:color w:val="auto"/>
          <w:szCs w:val="22"/>
          <w:lang w:val="en-AU" w:eastAsia="en-AU"/>
        </w:rPr>
        <w:tab/>
      </w:r>
      <w:r>
        <w:t>Water quality</w:t>
      </w:r>
      <w:r>
        <w:tab/>
      </w:r>
      <w:r>
        <w:fldChar w:fldCharType="begin"/>
      </w:r>
      <w:r>
        <w:instrText xml:space="preserve"> PAGEREF _Toc514408382 \h </w:instrText>
      </w:r>
      <w:r>
        <w:fldChar w:fldCharType="separate"/>
      </w:r>
      <w:r w:rsidR="00A75175">
        <w:t>13</w:t>
      </w:r>
      <w:r>
        <w:fldChar w:fldCharType="end"/>
      </w:r>
    </w:p>
    <w:p w14:paraId="640C69B3" w14:textId="77777777" w:rsidR="00511129" w:rsidRDefault="00511129">
      <w:pPr>
        <w:pStyle w:val="TOC3"/>
        <w:rPr>
          <w:rFonts w:asciiTheme="minorHAnsi" w:eastAsiaTheme="minorEastAsia" w:hAnsiTheme="minorHAnsi" w:cstheme="minorBidi"/>
          <w:color w:val="auto"/>
          <w:szCs w:val="22"/>
          <w:lang w:val="en-AU" w:eastAsia="en-AU"/>
        </w:rPr>
      </w:pPr>
      <w:r>
        <w:t>4.3.2 Sea temperature</w:t>
      </w:r>
      <w:r>
        <w:tab/>
      </w:r>
      <w:r>
        <w:fldChar w:fldCharType="begin"/>
      </w:r>
      <w:r>
        <w:instrText xml:space="preserve"> PAGEREF _Toc514408383 \h </w:instrText>
      </w:r>
      <w:r>
        <w:fldChar w:fldCharType="separate"/>
      </w:r>
      <w:r w:rsidR="00A75175">
        <w:t>14</w:t>
      </w:r>
      <w:r>
        <w:fldChar w:fldCharType="end"/>
      </w:r>
    </w:p>
    <w:p w14:paraId="4B3FD444" w14:textId="77777777" w:rsidR="00511129" w:rsidRDefault="00511129">
      <w:pPr>
        <w:pStyle w:val="TOC3"/>
        <w:rPr>
          <w:rFonts w:asciiTheme="minorHAnsi" w:eastAsiaTheme="minorEastAsia" w:hAnsiTheme="minorHAnsi" w:cstheme="minorBidi"/>
          <w:color w:val="auto"/>
          <w:szCs w:val="22"/>
          <w:lang w:val="en-AU" w:eastAsia="en-AU"/>
        </w:rPr>
      </w:pPr>
      <w:r>
        <w:t>4.3.3 River discharge</w:t>
      </w:r>
      <w:r>
        <w:tab/>
      </w:r>
      <w:r>
        <w:fldChar w:fldCharType="begin"/>
      </w:r>
      <w:r>
        <w:instrText xml:space="preserve"> PAGEREF _Toc514408384 \h </w:instrText>
      </w:r>
      <w:r>
        <w:fldChar w:fldCharType="separate"/>
      </w:r>
      <w:r w:rsidR="00A75175">
        <w:t>14</w:t>
      </w:r>
      <w:r>
        <w:fldChar w:fldCharType="end"/>
      </w:r>
    </w:p>
    <w:p w14:paraId="6ABEFF2E" w14:textId="77777777" w:rsidR="00511129" w:rsidRDefault="00511129">
      <w:pPr>
        <w:pStyle w:val="TOC3"/>
        <w:rPr>
          <w:rFonts w:asciiTheme="minorHAnsi" w:eastAsiaTheme="minorEastAsia" w:hAnsiTheme="minorHAnsi" w:cstheme="minorBidi"/>
          <w:color w:val="auto"/>
          <w:szCs w:val="22"/>
          <w:lang w:val="en-AU" w:eastAsia="en-AU"/>
        </w:rPr>
      </w:pPr>
      <w:r>
        <w:t>4.3.4 Sediment sampling</w:t>
      </w:r>
      <w:r>
        <w:tab/>
      </w:r>
      <w:r>
        <w:fldChar w:fldCharType="begin"/>
      </w:r>
      <w:r>
        <w:instrText xml:space="preserve"> PAGEREF _Toc514408385 \h </w:instrText>
      </w:r>
      <w:r>
        <w:fldChar w:fldCharType="separate"/>
      </w:r>
      <w:r w:rsidR="00A75175">
        <w:t>15</w:t>
      </w:r>
      <w:r>
        <w:fldChar w:fldCharType="end"/>
      </w:r>
    </w:p>
    <w:p w14:paraId="3C5076AE" w14:textId="77777777" w:rsidR="00511129" w:rsidRDefault="00511129">
      <w:pPr>
        <w:pStyle w:val="TOC3"/>
        <w:rPr>
          <w:rFonts w:asciiTheme="minorHAnsi" w:eastAsiaTheme="minorEastAsia" w:hAnsiTheme="minorHAnsi" w:cstheme="minorBidi"/>
          <w:color w:val="auto"/>
          <w:szCs w:val="22"/>
          <w:lang w:val="en-AU" w:eastAsia="en-AU"/>
        </w:rPr>
      </w:pPr>
      <w:r>
        <w:t>4.3.5 SCUBA search transects</w:t>
      </w:r>
      <w:r>
        <w:tab/>
      </w:r>
      <w:r>
        <w:fldChar w:fldCharType="begin"/>
      </w:r>
      <w:r>
        <w:instrText xml:space="preserve"> PAGEREF _Toc514408386 \h </w:instrText>
      </w:r>
      <w:r>
        <w:fldChar w:fldCharType="separate"/>
      </w:r>
      <w:r w:rsidR="00A75175">
        <w:t>15</w:t>
      </w:r>
      <w:r>
        <w:fldChar w:fldCharType="end"/>
      </w:r>
    </w:p>
    <w:p w14:paraId="75E5CB6C" w14:textId="77777777" w:rsidR="00511129" w:rsidRDefault="00511129">
      <w:pPr>
        <w:pStyle w:val="TOC2"/>
        <w:rPr>
          <w:rFonts w:asciiTheme="minorHAnsi" w:eastAsiaTheme="minorEastAsia" w:hAnsiTheme="minorHAnsi" w:cstheme="minorBidi"/>
          <w:noProof/>
          <w:szCs w:val="22"/>
          <w:lang w:val="en-AU" w:eastAsia="en-AU"/>
        </w:rPr>
      </w:pPr>
      <w:r w:rsidRPr="00A804CF">
        <w:rPr>
          <w:noProof/>
        </w:rPr>
        <w:t>4.4 Pressure presentation</w:t>
      </w:r>
      <w:r>
        <w:rPr>
          <w:noProof/>
        </w:rPr>
        <w:tab/>
      </w:r>
      <w:r>
        <w:rPr>
          <w:noProof/>
        </w:rPr>
        <w:fldChar w:fldCharType="begin"/>
      </w:r>
      <w:r>
        <w:rPr>
          <w:noProof/>
        </w:rPr>
        <w:instrText xml:space="preserve"> PAGEREF _Toc514408387 \h </w:instrText>
      </w:r>
      <w:r>
        <w:rPr>
          <w:noProof/>
        </w:rPr>
      </w:r>
      <w:r>
        <w:rPr>
          <w:noProof/>
        </w:rPr>
        <w:fldChar w:fldCharType="separate"/>
      </w:r>
      <w:r w:rsidR="00A75175">
        <w:rPr>
          <w:noProof/>
        </w:rPr>
        <w:t>17</w:t>
      </w:r>
      <w:r>
        <w:rPr>
          <w:noProof/>
        </w:rPr>
        <w:fldChar w:fldCharType="end"/>
      </w:r>
    </w:p>
    <w:p w14:paraId="0BB9E2C0" w14:textId="77777777" w:rsidR="00511129" w:rsidRDefault="00511129">
      <w:pPr>
        <w:pStyle w:val="TOC2"/>
        <w:rPr>
          <w:rFonts w:asciiTheme="minorHAnsi" w:eastAsiaTheme="minorEastAsia" w:hAnsiTheme="minorHAnsi" w:cstheme="minorBidi"/>
          <w:noProof/>
          <w:szCs w:val="22"/>
          <w:lang w:val="en-AU" w:eastAsia="en-AU"/>
        </w:rPr>
      </w:pPr>
      <w:r w:rsidRPr="00A804CF">
        <w:rPr>
          <w:noProof/>
        </w:rPr>
        <w:t>4.5 Coral community sampling</w:t>
      </w:r>
      <w:r>
        <w:rPr>
          <w:noProof/>
        </w:rPr>
        <w:tab/>
      </w:r>
      <w:r>
        <w:rPr>
          <w:noProof/>
        </w:rPr>
        <w:fldChar w:fldCharType="begin"/>
      </w:r>
      <w:r>
        <w:rPr>
          <w:noProof/>
        </w:rPr>
        <w:instrText xml:space="preserve"> PAGEREF _Toc514408388 \h </w:instrText>
      </w:r>
      <w:r>
        <w:rPr>
          <w:noProof/>
        </w:rPr>
      </w:r>
      <w:r>
        <w:rPr>
          <w:noProof/>
        </w:rPr>
        <w:fldChar w:fldCharType="separate"/>
      </w:r>
      <w:r w:rsidR="00A75175">
        <w:rPr>
          <w:noProof/>
        </w:rPr>
        <w:t>18</w:t>
      </w:r>
      <w:r>
        <w:rPr>
          <w:noProof/>
        </w:rPr>
        <w:fldChar w:fldCharType="end"/>
      </w:r>
    </w:p>
    <w:p w14:paraId="753CA49B" w14:textId="77777777" w:rsidR="00511129" w:rsidRDefault="00511129">
      <w:pPr>
        <w:pStyle w:val="TOC3"/>
        <w:rPr>
          <w:rFonts w:asciiTheme="minorHAnsi" w:eastAsiaTheme="minorEastAsia" w:hAnsiTheme="minorHAnsi" w:cstheme="minorBidi"/>
          <w:color w:val="auto"/>
          <w:szCs w:val="22"/>
          <w:lang w:val="en-AU" w:eastAsia="en-AU"/>
        </w:rPr>
      </w:pPr>
      <w:r>
        <w:t>4.5.1 Photo point intercept transects</w:t>
      </w:r>
      <w:r>
        <w:tab/>
      </w:r>
      <w:r>
        <w:fldChar w:fldCharType="begin"/>
      </w:r>
      <w:r>
        <w:instrText xml:space="preserve"> PAGEREF _Toc514408389 \h </w:instrText>
      </w:r>
      <w:r>
        <w:fldChar w:fldCharType="separate"/>
      </w:r>
      <w:r w:rsidR="00A75175">
        <w:t>18</w:t>
      </w:r>
      <w:r>
        <w:fldChar w:fldCharType="end"/>
      </w:r>
    </w:p>
    <w:p w14:paraId="3283CBBD" w14:textId="77777777" w:rsidR="00511129" w:rsidRDefault="00511129">
      <w:pPr>
        <w:pStyle w:val="TOC3"/>
        <w:rPr>
          <w:rFonts w:asciiTheme="minorHAnsi" w:eastAsiaTheme="minorEastAsia" w:hAnsiTheme="minorHAnsi" w:cstheme="minorBidi"/>
          <w:color w:val="auto"/>
          <w:szCs w:val="22"/>
          <w:lang w:val="en-AU" w:eastAsia="en-AU"/>
        </w:rPr>
      </w:pPr>
      <w:r>
        <w:t>4.5.2 Juvenile coral surveys</w:t>
      </w:r>
      <w:r>
        <w:tab/>
      </w:r>
      <w:r>
        <w:fldChar w:fldCharType="begin"/>
      </w:r>
      <w:r>
        <w:instrText xml:space="preserve"> PAGEREF _Toc514408390 \h </w:instrText>
      </w:r>
      <w:r>
        <w:fldChar w:fldCharType="separate"/>
      </w:r>
      <w:r w:rsidR="00A75175">
        <w:t>18</w:t>
      </w:r>
      <w:r>
        <w:fldChar w:fldCharType="end"/>
      </w:r>
    </w:p>
    <w:p w14:paraId="052BEE33" w14:textId="77777777" w:rsidR="00511129" w:rsidRDefault="00511129">
      <w:pPr>
        <w:pStyle w:val="TOC2"/>
        <w:rPr>
          <w:rFonts w:asciiTheme="minorHAnsi" w:eastAsiaTheme="minorEastAsia" w:hAnsiTheme="minorHAnsi" w:cstheme="minorBidi"/>
          <w:noProof/>
          <w:szCs w:val="22"/>
          <w:lang w:val="en-AU" w:eastAsia="en-AU"/>
        </w:rPr>
      </w:pPr>
      <w:r w:rsidRPr="00A804CF">
        <w:rPr>
          <w:noProof/>
        </w:rPr>
        <w:t>4.6 The Coral Index</w:t>
      </w:r>
      <w:r>
        <w:rPr>
          <w:noProof/>
        </w:rPr>
        <w:tab/>
      </w:r>
      <w:r>
        <w:rPr>
          <w:noProof/>
        </w:rPr>
        <w:fldChar w:fldCharType="begin"/>
      </w:r>
      <w:r>
        <w:rPr>
          <w:noProof/>
        </w:rPr>
        <w:instrText xml:space="preserve"> PAGEREF _Toc514408391 \h </w:instrText>
      </w:r>
      <w:r>
        <w:rPr>
          <w:noProof/>
        </w:rPr>
      </w:r>
      <w:r>
        <w:rPr>
          <w:noProof/>
        </w:rPr>
        <w:fldChar w:fldCharType="separate"/>
      </w:r>
      <w:r w:rsidR="00A75175">
        <w:rPr>
          <w:noProof/>
        </w:rPr>
        <w:t>19</w:t>
      </w:r>
      <w:r>
        <w:rPr>
          <w:noProof/>
        </w:rPr>
        <w:fldChar w:fldCharType="end"/>
      </w:r>
    </w:p>
    <w:p w14:paraId="015DDA85" w14:textId="77777777" w:rsidR="00511129" w:rsidRDefault="00511129">
      <w:pPr>
        <w:pStyle w:val="TOC3"/>
        <w:rPr>
          <w:rFonts w:asciiTheme="minorHAnsi" w:eastAsiaTheme="minorEastAsia" w:hAnsiTheme="minorHAnsi" w:cstheme="minorBidi"/>
          <w:color w:val="auto"/>
          <w:szCs w:val="22"/>
          <w:lang w:val="en-AU" w:eastAsia="en-AU"/>
        </w:rPr>
      </w:pPr>
      <w:r>
        <w:t>4.6.1 Coral Cover metric</w:t>
      </w:r>
      <w:r>
        <w:tab/>
      </w:r>
      <w:r>
        <w:fldChar w:fldCharType="begin"/>
      </w:r>
      <w:r>
        <w:instrText xml:space="preserve"> PAGEREF _Toc514408392 \h </w:instrText>
      </w:r>
      <w:r>
        <w:fldChar w:fldCharType="separate"/>
      </w:r>
      <w:r w:rsidR="00A75175">
        <w:t>19</w:t>
      </w:r>
      <w:r>
        <w:fldChar w:fldCharType="end"/>
      </w:r>
    </w:p>
    <w:p w14:paraId="0894D871" w14:textId="77777777" w:rsidR="00511129" w:rsidRDefault="00511129">
      <w:pPr>
        <w:pStyle w:val="TOC3"/>
        <w:rPr>
          <w:rFonts w:asciiTheme="minorHAnsi" w:eastAsiaTheme="minorEastAsia" w:hAnsiTheme="minorHAnsi" w:cstheme="minorBidi"/>
          <w:color w:val="auto"/>
          <w:szCs w:val="22"/>
          <w:lang w:val="en-AU" w:eastAsia="en-AU"/>
        </w:rPr>
      </w:pPr>
      <w:r>
        <w:t>4.6.2 Macroalgae metric</w:t>
      </w:r>
      <w:r>
        <w:tab/>
      </w:r>
      <w:r>
        <w:fldChar w:fldCharType="begin"/>
      </w:r>
      <w:r>
        <w:instrText xml:space="preserve"> PAGEREF _Toc514408393 \h </w:instrText>
      </w:r>
      <w:r>
        <w:fldChar w:fldCharType="separate"/>
      </w:r>
      <w:r w:rsidR="00A75175">
        <w:t>21</w:t>
      </w:r>
      <w:r>
        <w:fldChar w:fldCharType="end"/>
      </w:r>
    </w:p>
    <w:p w14:paraId="51401C66" w14:textId="77777777" w:rsidR="00511129" w:rsidRDefault="00511129">
      <w:pPr>
        <w:pStyle w:val="TOC3"/>
        <w:rPr>
          <w:rFonts w:asciiTheme="minorHAnsi" w:eastAsiaTheme="minorEastAsia" w:hAnsiTheme="minorHAnsi" w:cstheme="minorBidi"/>
          <w:color w:val="auto"/>
          <w:szCs w:val="22"/>
          <w:lang w:val="en-AU" w:eastAsia="en-AU"/>
        </w:rPr>
      </w:pPr>
      <w:r>
        <w:t>4.6.3 Density of juvenile hard corals metric</w:t>
      </w:r>
      <w:r>
        <w:tab/>
      </w:r>
      <w:r>
        <w:fldChar w:fldCharType="begin"/>
      </w:r>
      <w:r>
        <w:instrText xml:space="preserve"> PAGEREF _Toc514408394 \h </w:instrText>
      </w:r>
      <w:r>
        <w:fldChar w:fldCharType="separate"/>
      </w:r>
      <w:r w:rsidR="00A75175">
        <w:t>22</w:t>
      </w:r>
      <w:r>
        <w:fldChar w:fldCharType="end"/>
      </w:r>
    </w:p>
    <w:p w14:paraId="238E66FC" w14:textId="77777777" w:rsidR="00511129" w:rsidRDefault="00511129">
      <w:pPr>
        <w:pStyle w:val="TOC3"/>
        <w:rPr>
          <w:rFonts w:asciiTheme="minorHAnsi" w:eastAsiaTheme="minorEastAsia" w:hAnsiTheme="minorHAnsi" w:cstheme="minorBidi"/>
          <w:color w:val="auto"/>
          <w:szCs w:val="22"/>
          <w:lang w:val="en-AU" w:eastAsia="en-AU"/>
        </w:rPr>
      </w:pPr>
      <w:r>
        <w:t>4.6.4 Cover Change metric</w:t>
      </w:r>
      <w:r>
        <w:tab/>
      </w:r>
      <w:r>
        <w:fldChar w:fldCharType="begin"/>
      </w:r>
      <w:r>
        <w:instrText xml:space="preserve"> PAGEREF _Toc514408395 \h </w:instrText>
      </w:r>
      <w:r>
        <w:fldChar w:fldCharType="separate"/>
      </w:r>
      <w:r w:rsidR="00A75175">
        <w:t>23</w:t>
      </w:r>
      <w:r>
        <w:fldChar w:fldCharType="end"/>
      </w:r>
    </w:p>
    <w:p w14:paraId="29119F53" w14:textId="77777777" w:rsidR="00511129" w:rsidRDefault="00511129">
      <w:pPr>
        <w:pStyle w:val="TOC3"/>
        <w:rPr>
          <w:rFonts w:asciiTheme="minorHAnsi" w:eastAsiaTheme="minorEastAsia" w:hAnsiTheme="minorHAnsi" w:cstheme="minorBidi"/>
          <w:color w:val="auto"/>
          <w:szCs w:val="22"/>
          <w:lang w:val="en-AU" w:eastAsia="en-AU"/>
        </w:rPr>
      </w:pPr>
      <w:r>
        <w:t>4.6.5 Community Composition metric</w:t>
      </w:r>
      <w:r>
        <w:tab/>
      </w:r>
      <w:r>
        <w:fldChar w:fldCharType="begin"/>
      </w:r>
      <w:r>
        <w:instrText xml:space="preserve"> PAGEREF _Toc514408396 \h </w:instrText>
      </w:r>
      <w:r>
        <w:fldChar w:fldCharType="separate"/>
      </w:r>
      <w:r w:rsidR="00A75175">
        <w:t>24</w:t>
      </w:r>
      <w:r>
        <w:fldChar w:fldCharType="end"/>
      </w:r>
    </w:p>
    <w:p w14:paraId="2419FB76" w14:textId="77777777" w:rsidR="00511129" w:rsidRDefault="00511129">
      <w:pPr>
        <w:pStyle w:val="TOC3"/>
        <w:rPr>
          <w:rFonts w:asciiTheme="minorHAnsi" w:eastAsiaTheme="minorEastAsia" w:hAnsiTheme="minorHAnsi" w:cstheme="minorBidi"/>
          <w:color w:val="auto"/>
          <w:szCs w:val="22"/>
          <w:lang w:val="en-AU" w:eastAsia="en-AU"/>
        </w:rPr>
      </w:pPr>
      <w:r>
        <w:t>4.6.6 Aggregating indicator scores to regional scale assessments</w:t>
      </w:r>
      <w:r>
        <w:tab/>
      </w:r>
      <w:r>
        <w:fldChar w:fldCharType="begin"/>
      </w:r>
      <w:r>
        <w:instrText xml:space="preserve"> PAGEREF _Toc514408397 \h </w:instrText>
      </w:r>
      <w:r>
        <w:fldChar w:fldCharType="separate"/>
      </w:r>
      <w:r w:rsidR="00A75175">
        <w:t>26</w:t>
      </w:r>
      <w:r>
        <w:fldChar w:fldCharType="end"/>
      </w:r>
    </w:p>
    <w:p w14:paraId="13D09C36" w14:textId="77777777" w:rsidR="00511129" w:rsidRDefault="00511129">
      <w:pPr>
        <w:pStyle w:val="TOC2"/>
        <w:rPr>
          <w:rFonts w:asciiTheme="minorHAnsi" w:eastAsiaTheme="minorEastAsia" w:hAnsiTheme="minorHAnsi" w:cstheme="minorBidi"/>
          <w:noProof/>
          <w:szCs w:val="22"/>
          <w:lang w:val="en-AU" w:eastAsia="en-AU"/>
        </w:rPr>
      </w:pPr>
      <w:r w:rsidRPr="00A804CF">
        <w:rPr>
          <w:noProof/>
        </w:rPr>
        <w:t>4.7 Coral reef data analysis and presentation</w:t>
      </w:r>
      <w:r>
        <w:rPr>
          <w:noProof/>
        </w:rPr>
        <w:tab/>
      </w:r>
      <w:r>
        <w:rPr>
          <w:noProof/>
        </w:rPr>
        <w:fldChar w:fldCharType="begin"/>
      </w:r>
      <w:r>
        <w:rPr>
          <w:noProof/>
        </w:rPr>
        <w:instrText xml:space="preserve"> PAGEREF _Toc514408398 \h </w:instrText>
      </w:r>
      <w:r>
        <w:rPr>
          <w:noProof/>
        </w:rPr>
      </w:r>
      <w:r>
        <w:rPr>
          <w:noProof/>
        </w:rPr>
        <w:fldChar w:fldCharType="separate"/>
      </w:r>
      <w:r w:rsidR="00A75175">
        <w:rPr>
          <w:noProof/>
        </w:rPr>
        <w:t>27</w:t>
      </w:r>
      <w:r>
        <w:rPr>
          <w:noProof/>
        </w:rPr>
        <w:fldChar w:fldCharType="end"/>
      </w:r>
    </w:p>
    <w:p w14:paraId="45057BE3" w14:textId="77777777" w:rsidR="00511129" w:rsidRDefault="00511129">
      <w:pPr>
        <w:pStyle w:val="TOC3"/>
        <w:rPr>
          <w:rFonts w:asciiTheme="minorHAnsi" w:eastAsiaTheme="minorEastAsia" w:hAnsiTheme="minorHAnsi" w:cstheme="minorBidi"/>
          <w:color w:val="auto"/>
          <w:szCs w:val="22"/>
          <w:lang w:val="en-AU" w:eastAsia="en-AU"/>
        </w:rPr>
      </w:pPr>
      <w:r>
        <w:t>4.7.1 Variation in index and metric scores among Regions and depths</w:t>
      </w:r>
      <w:r>
        <w:tab/>
      </w:r>
      <w:r>
        <w:fldChar w:fldCharType="begin"/>
      </w:r>
      <w:r>
        <w:instrText xml:space="preserve"> PAGEREF _Toc514408399 \h </w:instrText>
      </w:r>
      <w:r>
        <w:fldChar w:fldCharType="separate"/>
      </w:r>
      <w:r w:rsidR="00A75175">
        <w:t>28</w:t>
      </w:r>
      <w:r>
        <w:fldChar w:fldCharType="end"/>
      </w:r>
    </w:p>
    <w:p w14:paraId="7E6E9D1C" w14:textId="77777777" w:rsidR="00511129" w:rsidRDefault="00511129">
      <w:pPr>
        <w:pStyle w:val="TOC3"/>
        <w:rPr>
          <w:rFonts w:asciiTheme="minorHAnsi" w:eastAsiaTheme="minorEastAsia" w:hAnsiTheme="minorHAnsi" w:cstheme="minorBidi"/>
          <w:color w:val="auto"/>
          <w:szCs w:val="22"/>
          <w:lang w:val="en-AU" w:eastAsia="en-AU"/>
        </w:rPr>
      </w:pPr>
      <w:r>
        <w:t>4.7.2 Variation in index and metric scores to gradients in water quality</w:t>
      </w:r>
      <w:r>
        <w:tab/>
      </w:r>
      <w:r>
        <w:fldChar w:fldCharType="begin"/>
      </w:r>
      <w:r>
        <w:instrText xml:space="preserve"> PAGEREF _Toc514408400 \h </w:instrText>
      </w:r>
      <w:r>
        <w:fldChar w:fldCharType="separate"/>
      </w:r>
      <w:r w:rsidR="00A75175">
        <w:t>28</w:t>
      </w:r>
      <w:r>
        <w:fldChar w:fldCharType="end"/>
      </w:r>
    </w:p>
    <w:p w14:paraId="748E3FB8" w14:textId="77777777" w:rsidR="00511129" w:rsidRDefault="00511129">
      <w:pPr>
        <w:pStyle w:val="TOC3"/>
        <w:rPr>
          <w:rFonts w:asciiTheme="minorHAnsi" w:eastAsiaTheme="minorEastAsia" w:hAnsiTheme="minorHAnsi" w:cstheme="minorBidi"/>
          <w:color w:val="auto"/>
          <w:szCs w:val="22"/>
          <w:lang w:val="en-AU" w:eastAsia="en-AU"/>
        </w:rPr>
      </w:pPr>
      <w:r>
        <w:t>4.7.3 Relationship between index and metric scores and temporal variability in environmental conditions</w:t>
      </w:r>
      <w:r>
        <w:tab/>
      </w:r>
      <w:r>
        <w:fldChar w:fldCharType="begin"/>
      </w:r>
      <w:r>
        <w:instrText xml:space="preserve"> PAGEREF _Toc514408401 \h </w:instrText>
      </w:r>
      <w:r>
        <w:fldChar w:fldCharType="separate"/>
      </w:r>
      <w:r w:rsidR="00A75175">
        <w:t>28</w:t>
      </w:r>
      <w:r>
        <w:fldChar w:fldCharType="end"/>
      </w:r>
    </w:p>
    <w:p w14:paraId="102F5C20" w14:textId="77777777" w:rsidR="00511129" w:rsidRDefault="00511129">
      <w:pPr>
        <w:pStyle w:val="TOC3"/>
        <w:rPr>
          <w:rFonts w:asciiTheme="minorHAnsi" w:eastAsiaTheme="minorEastAsia" w:hAnsiTheme="minorHAnsi" w:cstheme="minorBidi"/>
          <w:color w:val="auto"/>
          <w:szCs w:val="22"/>
          <w:lang w:val="en-AU" w:eastAsia="en-AU"/>
        </w:rPr>
      </w:pPr>
      <w:r>
        <w:t>4.7.4 Temporal trends in coral index, indicators and measured water quality.</w:t>
      </w:r>
      <w:r>
        <w:tab/>
      </w:r>
      <w:r>
        <w:fldChar w:fldCharType="begin"/>
      </w:r>
      <w:r>
        <w:instrText xml:space="preserve"> PAGEREF _Toc514408402 \h </w:instrText>
      </w:r>
      <w:r>
        <w:fldChar w:fldCharType="separate"/>
      </w:r>
      <w:r w:rsidR="00A75175">
        <w:t>29</w:t>
      </w:r>
      <w:r>
        <w:fldChar w:fldCharType="end"/>
      </w:r>
    </w:p>
    <w:p w14:paraId="03EDE8DB" w14:textId="77777777" w:rsidR="00511129" w:rsidRDefault="00511129">
      <w:pPr>
        <w:pStyle w:val="TOC3"/>
        <w:rPr>
          <w:rFonts w:asciiTheme="minorHAnsi" w:eastAsiaTheme="minorEastAsia" w:hAnsiTheme="minorHAnsi" w:cstheme="minorBidi"/>
          <w:color w:val="auto"/>
          <w:szCs w:val="22"/>
          <w:lang w:val="en-AU" w:eastAsia="en-AU"/>
        </w:rPr>
      </w:pPr>
      <w:r>
        <w:t>4.7.5 Analysis of change in index and metric scores</w:t>
      </w:r>
      <w:r>
        <w:tab/>
      </w:r>
      <w:r>
        <w:fldChar w:fldCharType="begin"/>
      </w:r>
      <w:r>
        <w:instrText xml:space="preserve"> PAGEREF _Toc514408403 \h </w:instrText>
      </w:r>
      <w:r>
        <w:fldChar w:fldCharType="separate"/>
      </w:r>
      <w:r w:rsidR="00A75175">
        <w:t>29</w:t>
      </w:r>
      <w:r>
        <w:fldChar w:fldCharType="end"/>
      </w:r>
    </w:p>
    <w:p w14:paraId="590AD9FF" w14:textId="77777777" w:rsidR="00511129" w:rsidRDefault="00511129">
      <w:pPr>
        <w:pStyle w:val="TOC1"/>
        <w:rPr>
          <w:rFonts w:asciiTheme="minorHAnsi" w:eastAsiaTheme="minorEastAsia" w:hAnsiTheme="minorHAnsi" w:cstheme="minorBidi"/>
          <w:szCs w:val="22"/>
          <w:lang w:val="en-AU" w:eastAsia="en-AU"/>
        </w:rPr>
      </w:pPr>
      <w:r w:rsidRPr="00A804CF">
        <w:rPr>
          <w14:scene3d>
            <w14:camera w14:prst="orthographicFront"/>
            <w14:lightRig w14:rig="threePt" w14:dir="t">
              <w14:rot w14:lat="0" w14:lon="0" w14:rev="0"/>
            </w14:lightRig>
          </w14:scene3d>
        </w:rPr>
        <w:t>5</w:t>
      </w:r>
      <w:r>
        <w:rPr>
          <w:rFonts w:asciiTheme="minorHAnsi" w:eastAsiaTheme="minorEastAsia" w:hAnsiTheme="minorHAnsi" w:cstheme="minorBidi"/>
          <w:szCs w:val="22"/>
          <w:lang w:val="en-AU" w:eastAsia="en-AU"/>
        </w:rPr>
        <w:tab/>
      </w:r>
      <w:r w:rsidRPr="00A804CF">
        <w:rPr>
          <w:lang w:val="en-AU" w:eastAsia="en-AU"/>
        </w:rPr>
        <w:t>Results</w:t>
      </w:r>
      <w:r>
        <w:tab/>
      </w:r>
      <w:r>
        <w:fldChar w:fldCharType="begin"/>
      </w:r>
      <w:r>
        <w:instrText xml:space="preserve"> PAGEREF _Toc514408404 \h </w:instrText>
      </w:r>
      <w:r>
        <w:fldChar w:fldCharType="separate"/>
      </w:r>
      <w:r w:rsidR="00A75175">
        <w:t>30</w:t>
      </w:r>
      <w:r>
        <w:fldChar w:fldCharType="end"/>
      </w:r>
    </w:p>
    <w:p w14:paraId="1059ED92" w14:textId="77777777" w:rsidR="00511129" w:rsidRDefault="00511129">
      <w:pPr>
        <w:pStyle w:val="TOC2"/>
        <w:rPr>
          <w:rFonts w:asciiTheme="minorHAnsi" w:eastAsiaTheme="minorEastAsia" w:hAnsiTheme="minorHAnsi" w:cstheme="minorBidi"/>
          <w:noProof/>
          <w:szCs w:val="22"/>
          <w:lang w:val="en-AU" w:eastAsia="en-AU"/>
        </w:rPr>
      </w:pPr>
      <w:r w:rsidRPr="00A804CF">
        <w:rPr>
          <w:noProof/>
        </w:rPr>
        <w:t>5.1 Variation of coral index and indicator scores observed in 2017</w:t>
      </w:r>
      <w:r>
        <w:rPr>
          <w:noProof/>
        </w:rPr>
        <w:tab/>
      </w:r>
      <w:r>
        <w:rPr>
          <w:noProof/>
        </w:rPr>
        <w:fldChar w:fldCharType="begin"/>
      </w:r>
      <w:r>
        <w:rPr>
          <w:noProof/>
        </w:rPr>
        <w:instrText xml:space="preserve"> PAGEREF _Toc514408405 \h </w:instrText>
      </w:r>
      <w:r>
        <w:rPr>
          <w:noProof/>
        </w:rPr>
      </w:r>
      <w:r>
        <w:rPr>
          <w:noProof/>
        </w:rPr>
        <w:fldChar w:fldCharType="separate"/>
      </w:r>
      <w:r w:rsidR="00A75175">
        <w:rPr>
          <w:noProof/>
        </w:rPr>
        <w:t>30</w:t>
      </w:r>
      <w:r>
        <w:rPr>
          <w:noProof/>
        </w:rPr>
        <w:fldChar w:fldCharType="end"/>
      </w:r>
    </w:p>
    <w:p w14:paraId="64FBBD06" w14:textId="77777777" w:rsidR="00511129" w:rsidRDefault="00511129">
      <w:pPr>
        <w:pStyle w:val="TOC3"/>
        <w:rPr>
          <w:rFonts w:asciiTheme="minorHAnsi" w:eastAsiaTheme="minorEastAsia" w:hAnsiTheme="minorHAnsi" w:cstheme="minorBidi"/>
          <w:color w:val="auto"/>
          <w:szCs w:val="22"/>
          <w:lang w:val="en-AU" w:eastAsia="en-AU"/>
        </w:rPr>
      </w:pPr>
      <w:r>
        <w:t>5.1.1 Regional differences</w:t>
      </w:r>
      <w:r>
        <w:tab/>
      </w:r>
      <w:r>
        <w:fldChar w:fldCharType="begin"/>
      </w:r>
      <w:r>
        <w:instrText xml:space="preserve"> PAGEREF _Toc514408406 \h </w:instrText>
      </w:r>
      <w:r>
        <w:fldChar w:fldCharType="separate"/>
      </w:r>
      <w:r w:rsidR="00A75175">
        <w:t>30</w:t>
      </w:r>
      <w:r>
        <w:fldChar w:fldCharType="end"/>
      </w:r>
    </w:p>
    <w:p w14:paraId="288F77DB" w14:textId="77777777" w:rsidR="00511129" w:rsidRDefault="00511129">
      <w:pPr>
        <w:pStyle w:val="TOC3"/>
        <w:rPr>
          <w:rFonts w:asciiTheme="minorHAnsi" w:eastAsiaTheme="minorEastAsia" w:hAnsiTheme="minorHAnsi" w:cstheme="minorBidi"/>
          <w:color w:val="auto"/>
          <w:szCs w:val="22"/>
          <w:lang w:val="en-AU" w:eastAsia="en-AU"/>
        </w:rPr>
      </w:pPr>
      <w:r>
        <w:t>5.1.2 Effect of depth</w:t>
      </w:r>
      <w:r>
        <w:tab/>
      </w:r>
      <w:r>
        <w:fldChar w:fldCharType="begin"/>
      </w:r>
      <w:r>
        <w:instrText xml:space="preserve"> PAGEREF _Toc514408407 \h </w:instrText>
      </w:r>
      <w:r>
        <w:fldChar w:fldCharType="separate"/>
      </w:r>
      <w:r w:rsidR="00A75175">
        <w:t>31</w:t>
      </w:r>
      <w:r>
        <w:fldChar w:fldCharType="end"/>
      </w:r>
    </w:p>
    <w:p w14:paraId="22F5DCE2" w14:textId="77777777" w:rsidR="00511129" w:rsidRDefault="00511129">
      <w:pPr>
        <w:pStyle w:val="TOC3"/>
        <w:rPr>
          <w:rFonts w:asciiTheme="minorHAnsi" w:eastAsiaTheme="minorEastAsia" w:hAnsiTheme="minorHAnsi" w:cstheme="minorBidi"/>
          <w:color w:val="auto"/>
          <w:szCs w:val="22"/>
          <w:lang w:val="en-AU" w:eastAsia="en-AU"/>
        </w:rPr>
      </w:pPr>
      <w:r>
        <w:t>5.1.3 Response to environmental gradients</w:t>
      </w:r>
      <w:r>
        <w:tab/>
      </w:r>
      <w:r>
        <w:fldChar w:fldCharType="begin"/>
      </w:r>
      <w:r>
        <w:instrText xml:space="preserve"> PAGEREF _Toc514408408 \h </w:instrText>
      </w:r>
      <w:r>
        <w:fldChar w:fldCharType="separate"/>
      </w:r>
      <w:r w:rsidR="00A75175">
        <w:t>32</w:t>
      </w:r>
      <w:r>
        <w:fldChar w:fldCharType="end"/>
      </w:r>
    </w:p>
    <w:p w14:paraId="4D279927" w14:textId="77777777" w:rsidR="00511129" w:rsidRDefault="00511129">
      <w:pPr>
        <w:pStyle w:val="TOC3"/>
        <w:rPr>
          <w:rFonts w:asciiTheme="minorHAnsi" w:eastAsiaTheme="minorEastAsia" w:hAnsiTheme="minorHAnsi" w:cstheme="minorBidi"/>
          <w:color w:val="auto"/>
          <w:szCs w:val="22"/>
          <w:lang w:val="en-AU" w:eastAsia="en-AU"/>
        </w:rPr>
      </w:pPr>
      <w:r>
        <w:t>5.1.4 Influence of discharge and catchment loads</w:t>
      </w:r>
      <w:r>
        <w:tab/>
      </w:r>
      <w:r>
        <w:fldChar w:fldCharType="begin"/>
      </w:r>
      <w:r>
        <w:instrText xml:space="preserve"> PAGEREF _Toc514408409 \h </w:instrText>
      </w:r>
      <w:r>
        <w:fldChar w:fldCharType="separate"/>
      </w:r>
      <w:r w:rsidR="00A75175">
        <w:t>34</w:t>
      </w:r>
      <w:r>
        <w:fldChar w:fldCharType="end"/>
      </w:r>
    </w:p>
    <w:p w14:paraId="032B38D9" w14:textId="77777777" w:rsidR="00511129" w:rsidRDefault="00511129">
      <w:pPr>
        <w:pStyle w:val="TOC2"/>
        <w:rPr>
          <w:rFonts w:asciiTheme="minorHAnsi" w:eastAsiaTheme="minorEastAsia" w:hAnsiTheme="minorHAnsi" w:cstheme="minorBidi"/>
          <w:noProof/>
          <w:szCs w:val="22"/>
          <w:lang w:val="en-AU" w:eastAsia="en-AU"/>
        </w:rPr>
      </w:pPr>
      <w:r w:rsidRPr="00A804CF">
        <w:rPr>
          <w:noProof/>
        </w:rPr>
        <w:t>5.2 Regional condition of coral communities</w:t>
      </w:r>
      <w:r>
        <w:rPr>
          <w:noProof/>
        </w:rPr>
        <w:tab/>
      </w:r>
      <w:r>
        <w:rPr>
          <w:noProof/>
        </w:rPr>
        <w:fldChar w:fldCharType="begin"/>
      </w:r>
      <w:r>
        <w:rPr>
          <w:noProof/>
        </w:rPr>
        <w:instrText xml:space="preserve"> PAGEREF _Toc514408410 \h </w:instrText>
      </w:r>
      <w:r>
        <w:rPr>
          <w:noProof/>
        </w:rPr>
      </w:r>
      <w:r>
        <w:rPr>
          <w:noProof/>
        </w:rPr>
        <w:fldChar w:fldCharType="separate"/>
      </w:r>
      <w:r w:rsidR="00A75175">
        <w:rPr>
          <w:noProof/>
        </w:rPr>
        <w:t>36</w:t>
      </w:r>
      <w:r>
        <w:rPr>
          <w:noProof/>
        </w:rPr>
        <w:fldChar w:fldCharType="end"/>
      </w:r>
    </w:p>
    <w:p w14:paraId="2C30A1D8" w14:textId="77777777" w:rsidR="00511129" w:rsidRDefault="00511129">
      <w:pPr>
        <w:pStyle w:val="TOC3"/>
        <w:rPr>
          <w:rFonts w:asciiTheme="minorHAnsi" w:eastAsiaTheme="minorEastAsia" w:hAnsiTheme="minorHAnsi" w:cstheme="minorBidi"/>
          <w:color w:val="auto"/>
          <w:szCs w:val="22"/>
          <w:lang w:val="en-AU" w:eastAsia="en-AU"/>
        </w:rPr>
      </w:pPr>
      <w:r>
        <w:t>5.2.1 Wet Tropics Region: Barron Daintree sub-region</w:t>
      </w:r>
      <w:r>
        <w:tab/>
      </w:r>
      <w:r>
        <w:fldChar w:fldCharType="begin"/>
      </w:r>
      <w:r>
        <w:instrText xml:space="preserve"> PAGEREF _Toc514408411 \h </w:instrText>
      </w:r>
      <w:r>
        <w:fldChar w:fldCharType="separate"/>
      </w:r>
      <w:r w:rsidR="00A75175">
        <w:t>36</w:t>
      </w:r>
      <w:r>
        <w:fldChar w:fldCharType="end"/>
      </w:r>
    </w:p>
    <w:p w14:paraId="60BD9A1C" w14:textId="77777777" w:rsidR="00511129" w:rsidRDefault="00511129">
      <w:pPr>
        <w:pStyle w:val="TOC3"/>
        <w:rPr>
          <w:rFonts w:asciiTheme="minorHAnsi" w:eastAsiaTheme="minorEastAsia" w:hAnsiTheme="minorHAnsi" w:cstheme="minorBidi"/>
          <w:color w:val="auto"/>
          <w:szCs w:val="22"/>
          <w:lang w:val="en-AU" w:eastAsia="en-AU"/>
        </w:rPr>
      </w:pPr>
      <w:r>
        <w:t>5.2.2 Wet Tropics Region: Johnstone Russell-Mulgrave sub-region</w:t>
      </w:r>
      <w:r>
        <w:tab/>
      </w:r>
      <w:r>
        <w:fldChar w:fldCharType="begin"/>
      </w:r>
      <w:r>
        <w:instrText xml:space="preserve"> PAGEREF _Toc514408412 \h </w:instrText>
      </w:r>
      <w:r>
        <w:fldChar w:fldCharType="separate"/>
      </w:r>
      <w:r w:rsidR="00A75175">
        <w:t>40</w:t>
      </w:r>
      <w:r>
        <w:fldChar w:fldCharType="end"/>
      </w:r>
    </w:p>
    <w:p w14:paraId="64CE0F51" w14:textId="77777777" w:rsidR="00511129" w:rsidRDefault="00511129">
      <w:pPr>
        <w:pStyle w:val="TOC3"/>
        <w:rPr>
          <w:rFonts w:asciiTheme="minorHAnsi" w:eastAsiaTheme="minorEastAsia" w:hAnsiTheme="minorHAnsi" w:cstheme="minorBidi"/>
          <w:color w:val="auto"/>
          <w:szCs w:val="22"/>
          <w:lang w:val="en-AU" w:eastAsia="en-AU"/>
        </w:rPr>
      </w:pPr>
      <w:r>
        <w:t>5.2.3 Wet Tropics Region: Herbert Tully sub-region</w:t>
      </w:r>
      <w:r>
        <w:tab/>
      </w:r>
      <w:r>
        <w:fldChar w:fldCharType="begin"/>
      </w:r>
      <w:r>
        <w:instrText xml:space="preserve"> PAGEREF _Toc514408413 \h </w:instrText>
      </w:r>
      <w:r>
        <w:fldChar w:fldCharType="separate"/>
      </w:r>
      <w:r w:rsidR="00A75175">
        <w:t>44</w:t>
      </w:r>
      <w:r>
        <w:fldChar w:fldCharType="end"/>
      </w:r>
    </w:p>
    <w:p w14:paraId="502E8CE3" w14:textId="77777777" w:rsidR="00511129" w:rsidRDefault="00511129">
      <w:pPr>
        <w:pStyle w:val="TOC3"/>
        <w:rPr>
          <w:rFonts w:asciiTheme="minorHAnsi" w:eastAsiaTheme="minorEastAsia" w:hAnsiTheme="minorHAnsi" w:cstheme="minorBidi"/>
          <w:color w:val="auto"/>
          <w:szCs w:val="22"/>
          <w:lang w:val="en-AU" w:eastAsia="en-AU"/>
        </w:rPr>
      </w:pPr>
      <w:r>
        <w:t>5.2.4 Burdekin Region</w:t>
      </w:r>
      <w:r>
        <w:tab/>
      </w:r>
      <w:r>
        <w:fldChar w:fldCharType="begin"/>
      </w:r>
      <w:r>
        <w:instrText xml:space="preserve"> PAGEREF _Toc514408414 \h </w:instrText>
      </w:r>
      <w:r>
        <w:fldChar w:fldCharType="separate"/>
      </w:r>
      <w:r w:rsidR="00A75175">
        <w:t>48</w:t>
      </w:r>
      <w:r>
        <w:fldChar w:fldCharType="end"/>
      </w:r>
    </w:p>
    <w:p w14:paraId="24DFC0F9" w14:textId="77777777" w:rsidR="00511129" w:rsidRDefault="00511129">
      <w:pPr>
        <w:pStyle w:val="TOC3"/>
        <w:rPr>
          <w:rFonts w:asciiTheme="minorHAnsi" w:eastAsiaTheme="minorEastAsia" w:hAnsiTheme="minorHAnsi" w:cstheme="minorBidi"/>
          <w:color w:val="auto"/>
          <w:szCs w:val="22"/>
          <w:lang w:val="en-AU" w:eastAsia="en-AU"/>
        </w:rPr>
      </w:pPr>
      <w:r>
        <w:t>5.2.5 Mackay Whitsunday Region</w:t>
      </w:r>
      <w:r>
        <w:tab/>
      </w:r>
      <w:r>
        <w:fldChar w:fldCharType="begin"/>
      </w:r>
      <w:r>
        <w:instrText xml:space="preserve"> PAGEREF _Toc514408415 \h </w:instrText>
      </w:r>
      <w:r>
        <w:fldChar w:fldCharType="separate"/>
      </w:r>
      <w:r w:rsidR="00A75175">
        <w:t>52</w:t>
      </w:r>
      <w:r>
        <w:fldChar w:fldCharType="end"/>
      </w:r>
    </w:p>
    <w:p w14:paraId="36FAE880" w14:textId="77777777" w:rsidR="00511129" w:rsidRDefault="00511129">
      <w:pPr>
        <w:pStyle w:val="TOC3"/>
        <w:rPr>
          <w:rFonts w:asciiTheme="minorHAnsi" w:eastAsiaTheme="minorEastAsia" w:hAnsiTheme="minorHAnsi" w:cstheme="minorBidi"/>
          <w:color w:val="auto"/>
          <w:szCs w:val="22"/>
          <w:lang w:val="en-AU" w:eastAsia="en-AU"/>
        </w:rPr>
      </w:pPr>
      <w:r>
        <w:t>5.2.6 Fitzroy Region</w:t>
      </w:r>
      <w:r>
        <w:tab/>
      </w:r>
      <w:r>
        <w:fldChar w:fldCharType="begin"/>
      </w:r>
      <w:r>
        <w:instrText xml:space="preserve"> PAGEREF _Toc514408416 \h </w:instrText>
      </w:r>
      <w:r>
        <w:fldChar w:fldCharType="separate"/>
      </w:r>
      <w:r w:rsidR="00A75175">
        <w:t>56</w:t>
      </w:r>
      <w:r>
        <w:fldChar w:fldCharType="end"/>
      </w:r>
    </w:p>
    <w:p w14:paraId="52B63A62" w14:textId="77777777" w:rsidR="00511129" w:rsidRDefault="00511129">
      <w:pPr>
        <w:pStyle w:val="TOC1"/>
        <w:rPr>
          <w:rFonts w:asciiTheme="minorHAnsi" w:eastAsiaTheme="minorEastAsia" w:hAnsiTheme="minorHAnsi" w:cstheme="minorBidi"/>
          <w:szCs w:val="22"/>
          <w:lang w:val="en-AU" w:eastAsia="en-AU"/>
        </w:rPr>
      </w:pPr>
      <w:r w:rsidRPr="00A804CF">
        <w:rPr>
          <w:lang w:val="en-AU"/>
          <w14:scene3d>
            <w14:camera w14:prst="orthographicFront"/>
            <w14:lightRig w14:rig="threePt" w14:dir="t">
              <w14:rot w14:lat="0" w14:lon="0" w14:rev="0"/>
            </w14:lightRig>
          </w14:scene3d>
        </w:rPr>
        <w:t>6</w:t>
      </w:r>
      <w:r>
        <w:rPr>
          <w:rFonts w:asciiTheme="minorHAnsi" w:eastAsiaTheme="minorEastAsia" w:hAnsiTheme="minorHAnsi" w:cstheme="minorBidi"/>
          <w:szCs w:val="22"/>
          <w:lang w:val="en-AU" w:eastAsia="en-AU"/>
        </w:rPr>
        <w:tab/>
      </w:r>
      <w:r>
        <w:t>Discussion</w:t>
      </w:r>
      <w:r>
        <w:tab/>
      </w:r>
      <w:r>
        <w:fldChar w:fldCharType="begin"/>
      </w:r>
      <w:r>
        <w:instrText xml:space="preserve"> PAGEREF _Toc514408417 \h </w:instrText>
      </w:r>
      <w:r>
        <w:fldChar w:fldCharType="separate"/>
      </w:r>
      <w:r w:rsidR="00A75175">
        <w:t>60</w:t>
      </w:r>
      <w:r>
        <w:fldChar w:fldCharType="end"/>
      </w:r>
    </w:p>
    <w:p w14:paraId="33EAB12C" w14:textId="77777777" w:rsidR="00511129" w:rsidRDefault="00511129">
      <w:pPr>
        <w:pStyle w:val="TOC2"/>
        <w:rPr>
          <w:rFonts w:asciiTheme="minorHAnsi" w:eastAsiaTheme="minorEastAsia" w:hAnsiTheme="minorHAnsi" w:cstheme="minorBidi"/>
          <w:noProof/>
          <w:szCs w:val="22"/>
          <w:lang w:val="en-AU" w:eastAsia="en-AU"/>
        </w:rPr>
      </w:pPr>
      <w:r w:rsidRPr="00A804CF">
        <w:rPr>
          <w:noProof/>
        </w:rPr>
        <w:t>6.1 Pressures</w:t>
      </w:r>
      <w:r>
        <w:rPr>
          <w:noProof/>
        </w:rPr>
        <w:tab/>
      </w:r>
      <w:r>
        <w:rPr>
          <w:noProof/>
        </w:rPr>
        <w:fldChar w:fldCharType="begin"/>
      </w:r>
      <w:r>
        <w:rPr>
          <w:noProof/>
        </w:rPr>
        <w:instrText xml:space="preserve"> PAGEREF _Toc514408418 \h </w:instrText>
      </w:r>
      <w:r>
        <w:rPr>
          <w:noProof/>
        </w:rPr>
      </w:r>
      <w:r>
        <w:rPr>
          <w:noProof/>
        </w:rPr>
        <w:fldChar w:fldCharType="separate"/>
      </w:r>
      <w:r w:rsidR="00A75175">
        <w:rPr>
          <w:noProof/>
        </w:rPr>
        <w:t>60</w:t>
      </w:r>
      <w:r>
        <w:rPr>
          <w:noProof/>
        </w:rPr>
        <w:fldChar w:fldCharType="end"/>
      </w:r>
    </w:p>
    <w:p w14:paraId="4D9BAA38" w14:textId="77777777" w:rsidR="00511129" w:rsidRDefault="00511129">
      <w:pPr>
        <w:pStyle w:val="TOC3"/>
        <w:rPr>
          <w:rFonts w:asciiTheme="minorHAnsi" w:eastAsiaTheme="minorEastAsia" w:hAnsiTheme="minorHAnsi" w:cstheme="minorBidi"/>
          <w:color w:val="auto"/>
          <w:szCs w:val="22"/>
          <w:lang w:val="en-AU" w:eastAsia="en-AU"/>
        </w:rPr>
      </w:pPr>
      <w:r>
        <w:lastRenderedPageBreak/>
        <w:t>6.1.1 Acute disturbances</w:t>
      </w:r>
      <w:r>
        <w:tab/>
      </w:r>
      <w:r>
        <w:fldChar w:fldCharType="begin"/>
      </w:r>
      <w:r>
        <w:instrText xml:space="preserve"> PAGEREF _Toc514408419 \h </w:instrText>
      </w:r>
      <w:r>
        <w:fldChar w:fldCharType="separate"/>
      </w:r>
      <w:r w:rsidR="00A75175">
        <w:t>60</w:t>
      </w:r>
      <w:r>
        <w:fldChar w:fldCharType="end"/>
      </w:r>
    </w:p>
    <w:p w14:paraId="67DDF9E3" w14:textId="77777777" w:rsidR="00511129" w:rsidRDefault="00511129">
      <w:pPr>
        <w:pStyle w:val="TOC3"/>
        <w:rPr>
          <w:rFonts w:asciiTheme="minorHAnsi" w:eastAsiaTheme="minorEastAsia" w:hAnsiTheme="minorHAnsi" w:cstheme="minorBidi"/>
          <w:color w:val="auto"/>
          <w:szCs w:val="22"/>
          <w:lang w:val="en-AU" w:eastAsia="en-AU"/>
        </w:rPr>
      </w:pPr>
      <w:r>
        <w:t>6.1.2 Chronic conditions - water quality</w:t>
      </w:r>
      <w:r>
        <w:tab/>
      </w:r>
      <w:r>
        <w:fldChar w:fldCharType="begin"/>
      </w:r>
      <w:r>
        <w:instrText xml:space="preserve"> PAGEREF _Toc514408420 \h </w:instrText>
      </w:r>
      <w:r>
        <w:fldChar w:fldCharType="separate"/>
      </w:r>
      <w:r w:rsidR="00A75175">
        <w:t>61</w:t>
      </w:r>
      <w:r>
        <w:fldChar w:fldCharType="end"/>
      </w:r>
    </w:p>
    <w:p w14:paraId="49C8679C" w14:textId="77777777" w:rsidR="00511129" w:rsidRDefault="00511129">
      <w:pPr>
        <w:pStyle w:val="TOC2"/>
        <w:rPr>
          <w:rFonts w:asciiTheme="minorHAnsi" w:eastAsiaTheme="minorEastAsia" w:hAnsiTheme="minorHAnsi" w:cstheme="minorBidi"/>
          <w:noProof/>
          <w:szCs w:val="22"/>
          <w:lang w:val="en-AU" w:eastAsia="en-AU"/>
        </w:rPr>
      </w:pPr>
      <w:r w:rsidRPr="00A804CF">
        <w:rPr>
          <w:noProof/>
        </w:rPr>
        <w:t>6.2 Ecosystem State</w:t>
      </w:r>
      <w:r>
        <w:rPr>
          <w:noProof/>
        </w:rPr>
        <w:tab/>
      </w:r>
      <w:r>
        <w:rPr>
          <w:noProof/>
        </w:rPr>
        <w:fldChar w:fldCharType="begin"/>
      </w:r>
      <w:r>
        <w:rPr>
          <w:noProof/>
        </w:rPr>
        <w:instrText xml:space="preserve"> PAGEREF _Toc514408421 \h </w:instrText>
      </w:r>
      <w:r>
        <w:rPr>
          <w:noProof/>
        </w:rPr>
      </w:r>
      <w:r>
        <w:rPr>
          <w:noProof/>
        </w:rPr>
        <w:fldChar w:fldCharType="separate"/>
      </w:r>
      <w:r w:rsidR="00A75175">
        <w:rPr>
          <w:noProof/>
        </w:rPr>
        <w:t>62</w:t>
      </w:r>
      <w:r>
        <w:rPr>
          <w:noProof/>
        </w:rPr>
        <w:fldChar w:fldCharType="end"/>
      </w:r>
    </w:p>
    <w:p w14:paraId="283BA5F6" w14:textId="77777777" w:rsidR="00511129" w:rsidRDefault="00511129">
      <w:pPr>
        <w:pStyle w:val="TOC3"/>
        <w:rPr>
          <w:rFonts w:asciiTheme="minorHAnsi" w:eastAsiaTheme="minorEastAsia" w:hAnsiTheme="minorHAnsi" w:cstheme="minorBidi"/>
          <w:color w:val="auto"/>
          <w:szCs w:val="22"/>
          <w:lang w:val="en-AU" w:eastAsia="en-AU"/>
        </w:rPr>
      </w:pPr>
      <w:r>
        <w:t>6.2.1 Coral index</w:t>
      </w:r>
      <w:r>
        <w:tab/>
      </w:r>
      <w:r>
        <w:fldChar w:fldCharType="begin"/>
      </w:r>
      <w:r>
        <w:instrText xml:space="preserve"> PAGEREF _Toc514408422 \h </w:instrText>
      </w:r>
      <w:r>
        <w:fldChar w:fldCharType="separate"/>
      </w:r>
      <w:r w:rsidR="00A75175">
        <w:t>62</w:t>
      </w:r>
      <w:r>
        <w:fldChar w:fldCharType="end"/>
      </w:r>
    </w:p>
    <w:p w14:paraId="135AA37D" w14:textId="77777777" w:rsidR="00511129" w:rsidRDefault="00511129">
      <w:pPr>
        <w:pStyle w:val="TOC3"/>
        <w:rPr>
          <w:rFonts w:asciiTheme="minorHAnsi" w:eastAsiaTheme="minorEastAsia" w:hAnsiTheme="minorHAnsi" w:cstheme="minorBidi"/>
          <w:color w:val="auto"/>
          <w:szCs w:val="22"/>
          <w:lang w:val="en-AU" w:eastAsia="en-AU"/>
        </w:rPr>
      </w:pPr>
      <w:r>
        <w:t>6.2.2 Coral cover</w:t>
      </w:r>
      <w:r>
        <w:tab/>
      </w:r>
      <w:r>
        <w:fldChar w:fldCharType="begin"/>
      </w:r>
      <w:r>
        <w:instrText xml:space="preserve"> PAGEREF _Toc514408423 \h </w:instrText>
      </w:r>
      <w:r>
        <w:fldChar w:fldCharType="separate"/>
      </w:r>
      <w:r w:rsidR="00A75175">
        <w:t>63</w:t>
      </w:r>
      <w:r>
        <w:fldChar w:fldCharType="end"/>
      </w:r>
    </w:p>
    <w:p w14:paraId="173EB313" w14:textId="77777777" w:rsidR="00511129" w:rsidRDefault="00511129">
      <w:pPr>
        <w:pStyle w:val="TOC3"/>
        <w:rPr>
          <w:rFonts w:asciiTheme="minorHAnsi" w:eastAsiaTheme="minorEastAsia" w:hAnsiTheme="minorHAnsi" w:cstheme="minorBidi"/>
          <w:color w:val="auto"/>
          <w:szCs w:val="22"/>
          <w:lang w:val="en-AU" w:eastAsia="en-AU"/>
        </w:rPr>
      </w:pPr>
      <w:r>
        <w:t>6.2.3 Rate of change in coral cover</w:t>
      </w:r>
      <w:r>
        <w:tab/>
      </w:r>
      <w:r>
        <w:fldChar w:fldCharType="begin"/>
      </w:r>
      <w:r>
        <w:instrText xml:space="preserve"> PAGEREF _Toc514408424 \h </w:instrText>
      </w:r>
      <w:r>
        <w:fldChar w:fldCharType="separate"/>
      </w:r>
      <w:r w:rsidR="00A75175">
        <w:t>64</w:t>
      </w:r>
      <w:r>
        <w:fldChar w:fldCharType="end"/>
      </w:r>
    </w:p>
    <w:p w14:paraId="5B68B060" w14:textId="77777777" w:rsidR="00511129" w:rsidRDefault="00511129">
      <w:pPr>
        <w:pStyle w:val="TOC3"/>
        <w:rPr>
          <w:rFonts w:asciiTheme="minorHAnsi" w:eastAsiaTheme="minorEastAsia" w:hAnsiTheme="minorHAnsi" w:cstheme="minorBidi"/>
          <w:color w:val="auto"/>
          <w:szCs w:val="22"/>
          <w:lang w:val="en-AU" w:eastAsia="en-AU"/>
        </w:rPr>
      </w:pPr>
      <w:r>
        <w:t>6.2.4 Composition</w:t>
      </w:r>
      <w:r>
        <w:tab/>
      </w:r>
      <w:r>
        <w:fldChar w:fldCharType="begin"/>
      </w:r>
      <w:r>
        <w:instrText xml:space="preserve"> PAGEREF _Toc514408425 \h </w:instrText>
      </w:r>
      <w:r>
        <w:fldChar w:fldCharType="separate"/>
      </w:r>
      <w:r w:rsidR="00A75175">
        <w:t>64</w:t>
      </w:r>
      <w:r>
        <w:fldChar w:fldCharType="end"/>
      </w:r>
    </w:p>
    <w:p w14:paraId="5A432FDC" w14:textId="77777777" w:rsidR="00511129" w:rsidRDefault="00511129">
      <w:pPr>
        <w:pStyle w:val="TOC3"/>
        <w:rPr>
          <w:rFonts w:asciiTheme="minorHAnsi" w:eastAsiaTheme="minorEastAsia" w:hAnsiTheme="minorHAnsi" w:cstheme="minorBidi"/>
          <w:color w:val="auto"/>
          <w:szCs w:val="22"/>
          <w:lang w:val="en-AU" w:eastAsia="en-AU"/>
        </w:rPr>
      </w:pPr>
      <w:r>
        <w:t>6.2.5 Macroalgae</w:t>
      </w:r>
      <w:r>
        <w:tab/>
      </w:r>
      <w:r>
        <w:fldChar w:fldCharType="begin"/>
      </w:r>
      <w:r>
        <w:instrText xml:space="preserve"> PAGEREF _Toc514408426 \h </w:instrText>
      </w:r>
      <w:r>
        <w:fldChar w:fldCharType="separate"/>
      </w:r>
      <w:r w:rsidR="00A75175">
        <w:t>65</w:t>
      </w:r>
      <w:r>
        <w:fldChar w:fldCharType="end"/>
      </w:r>
    </w:p>
    <w:p w14:paraId="5E8FF4B8" w14:textId="77777777" w:rsidR="00511129" w:rsidRDefault="00511129">
      <w:pPr>
        <w:pStyle w:val="TOC3"/>
        <w:rPr>
          <w:rFonts w:asciiTheme="minorHAnsi" w:eastAsiaTheme="minorEastAsia" w:hAnsiTheme="minorHAnsi" w:cstheme="minorBidi"/>
          <w:color w:val="auto"/>
          <w:szCs w:val="22"/>
          <w:lang w:val="en-AU" w:eastAsia="en-AU"/>
        </w:rPr>
      </w:pPr>
      <w:r>
        <w:t>6.2.6 Juvenile density</w:t>
      </w:r>
      <w:r>
        <w:tab/>
      </w:r>
      <w:r>
        <w:fldChar w:fldCharType="begin"/>
      </w:r>
      <w:r>
        <w:instrText xml:space="preserve"> PAGEREF _Toc514408427 \h </w:instrText>
      </w:r>
      <w:r>
        <w:fldChar w:fldCharType="separate"/>
      </w:r>
      <w:r w:rsidR="00A75175">
        <w:t>66</w:t>
      </w:r>
      <w:r>
        <w:fldChar w:fldCharType="end"/>
      </w:r>
    </w:p>
    <w:p w14:paraId="53AC22F7" w14:textId="77777777" w:rsidR="00511129" w:rsidRDefault="00511129">
      <w:pPr>
        <w:pStyle w:val="TOC2"/>
        <w:rPr>
          <w:rFonts w:asciiTheme="minorHAnsi" w:eastAsiaTheme="minorEastAsia" w:hAnsiTheme="minorHAnsi" w:cstheme="minorBidi"/>
          <w:noProof/>
          <w:szCs w:val="22"/>
          <w:lang w:val="en-AU" w:eastAsia="en-AU"/>
        </w:rPr>
      </w:pPr>
      <w:r w:rsidRPr="00A804CF">
        <w:rPr>
          <w:noProof/>
        </w:rPr>
        <w:t>6.3 Regional summaries</w:t>
      </w:r>
      <w:r>
        <w:rPr>
          <w:noProof/>
        </w:rPr>
        <w:tab/>
      </w:r>
      <w:r>
        <w:rPr>
          <w:noProof/>
        </w:rPr>
        <w:fldChar w:fldCharType="begin"/>
      </w:r>
      <w:r>
        <w:rPr>
          <w:noProof/>
        </w:rPr>
        <w:instrText xml:space="preserve"> PAGEREF _Toc514408428 \h </w:instrText>
      </w:r>
      <w:r>
        <w:rPr>
          <w:noProof/>
        </w:rPr>
      </w:r>
      <w:r>
        <w:rPr>
          <w:noProof/>
        </w:rPr>
        <w:fldChar w:fldCharType="separate"/>
      </w:r>
      <w:r w:rsidR="00A75175">
        <w:rPr>
          <w:noProof/>
        </w:rPr>
        <w:t>66</w:t>
      </w:r>
      <w:r>
        <w:rPr>
          <w:noProof/>
        </w:rPr>
        <w:fldChar w:fldCharType="end"/>
      </w:r>
    </w:p>
    <w:p w14:paraId="0DC63BB2" w14:textId="77777777" w:rsidR="00511129" w:rsidRDefault="00511129">
      <w:pPr>
        <w:pStyle w:val="TOC3"/>
        <w:rPr>
          <w:rFonts w:asciiTheme="minorHAnsi" w:eastAsiaTheme="minorEastAsia" w:hAnsiTheme="minorHAnsi" w:cstheme="minorBidi"/>
          <w:color w:val="auto"/>
          <w:szCs w:val="22"/>
          <w:lang w:val="en-AU" w:eastAsia="en-AU"/>
        </w:rPr>
      </w:pPr>
      <w:r>
        <w:t>6.3.1 Wet Tropics</w:t>
      </w:r>
      <w:r>
        <w:tab/>
      </w:r>
      <w:r>
        <w:fldChar w:fldCharType="begin"/>
      </w:r>
      <w:r>
        <w:instrText xml:space="preserve"> PAGEREF _Toc514408429 \h </w:instrText>
      </w:r>
      <w:r>
        <w:fldChar w:fldCharType="separate"/>
      </w:r>
      <w:r w:rsidR="00A75175">
        <w:t>66</w:t>
      </w:r>
      <w:r>
        <w:fldChar w:fldCharType="end"/>
      </w:r>
    </w:p>
    <w:p w14:paraId="08ECC69A" w14:textId="77777777" w:rsidR="00511129" w:rsidRDefault="00511129">
      <w:pPr>
        <w:pStyle w:val="TOC3"/>
        <w:rPr>
          <w:rFonts w:asciiTheme="minorHAnsi" w:eastAsiaTheme="minorEastAsia" w:hAnsiTheme="minorHAnsi" w:cstheme="minorBidi"/>
          <w:color w:val="auto"/>
          <w:szCs w:val="22"/>
          <w:lang w:val="en-AU" w:eastAsia="en-AU"/>
        </w:rPr>
      </w:pPr>
      <w:r>
        <w:t>6.3.2 Burdekin</w:t>
      </w:r>
      <w:r>
        <w:tab/>
      </w:r>
      <w:r>
        <w:fldChar w:fldCharType="begin"/>
      </w:r>
      <w:r>
        <w:instrText xml:space="preserve"> PAGEREF _Toc514408430 \h </w:instrText>
      </w:r>
      <w:r>
        <w:fldChar w:fldCharType="separate"/>
      </w:r>
      <w:r w:rsidR="00A75175">
        <w:t>67</w:t>
      </w:r>
      <w:r>
        <w:fldChar w:fldCharType="end"/>
      </w:r>
    </w:p>
    <w:p w14:paraId="7E8BB87D" w14:textId="77777777" w:rsidR="00511129" w:rsidRDefault="00511129">
      <w:pPr>
        <w:pStyle w:val="TOC3"/>
        <w:rPr>
          <w:rFonts w:asciiTheme="minorHAnsi" w:eastAsiaTheme="minorEastAsia" w:hAnsiTheme="minorHAnsi" w:cstheme="minorBidi"/>
          <w:color w:val="auto"/>
          <w:szCs w:val="22"/>
          <w:lang w:val="en-AU" w:eastAsia="en-AU"/>
        </w:rPr>
      </w:pPr>
      <w:r>
        <w:t>6.3.3 Mackay Whitsunday</w:t>
      </w:r>
      <w:r>
        <w:tab/>
      </w:r>
      <w:r>
        <w:fldChar w:fldCharType="begin"/>
      </w:r>
      <w:r>
        <w:instrText xml:space="preserve"> PAGEREF _Toc514408431 \h </w:instrText>
      </w:r>
      <w:r>
        <w:fldChar w:fldCharType="separate"/>
      </w:r>
      <w:r w:rsidR="00A75175">
        <w:t>68</w:t>
      </w:r>
      <w:r>
        <w:fldChar w:fldCharType="end"/>
      </w:r>
    </w:p>
    <w:p w14:paraId="51319C9A" w14:textId="77777777" w:rsidR="00511129" w:rsidRDefault="00511129">
      <w:pPr>
        <w:pStyle w:val="TOC3"/>
        <w:rPr>
          <w:rFonts w:asciiTheme="minorHAnsi" w:eastAsiaTheme="minorEastAsia" w:hAnsiTheme="minorHAnsi" w:cstheme="minorBidi"/>
          <w:color w:val="auto"/>
          <w:szCs w:val="22"/>
          <w:lang w:val="en-AU" w:eastAsia="en-AU"/>
        </w:rPr>
      </w:pPr>
      <w:r>
        <w:t>6.3.4 Fitzroy</w:t>
      </w:r>
      <w:r>
        <w:tab/>
      </w:r>
      <w:r>
        <w:fldChar w:fldCharType="begin"/>
      </w:r>
      <w:r>
        <w:instrText xml:space="preserve"> PAGEREF _Toc514408432 \h </w:instrText>
      </w:r>
      <w:r>
        <w:fldChar w:fldCharType="separate"/>
      </w:r>
      <w:r w:rsidR="00A75175">
        <w:t>68</w:t>
      </w:r>
      <w:r>
        <w:fldChar w:fldCharType="end"/>
      </w:r>
    </w:p>
    <w:p w14:paraId="7751B043" w14:textId="77777777" w:rsidR="00511129" w:rsidRDefault="00511129">
      <w:pPr>
        <w:pStyle w:val="TOC2"/>
        <w:rPr>
          <w:rFonts w:asciiTheme="minorHAnsi" w:eastAsiaTheme="minorEastAsia" w:hAnsiTheme="minorHAnsi" w:cstheme="minorBidi"/>
          <w:noProof/>
          <w:szCs w:val="22"/>
          <w:lang w:val="en-AU" w:eastAsia="en-AU"/>
        </w:rPr>
      </w:pPr>
      <w:r w:rsidRPr="00A804CF">
        <w:rPr>
          <w:noProof/>
        </w:rPr>
        <w:t>6.4 Conclusion</w:t>
      </w:r>
      <w:r>
        <w:rPr>
          <w:noProof/>
        </w:rPr>
        <w:tab/>
      </w:r>
      <w:r>
        <w:rPr>
          <w:noProof/>
        </w:rPr>
        <w:fldChar w:fldCharType="begin"/>
      </w:r>
      <w:r>
        <w:rPr>
          <w:noProof/>
        </w:rPr>
        <w:instrText xml:space="preserve"> PAGEREF _Toc514408433 \h </w:instrText>
      </w:r>
      <w:r>
        <w:rPr>
          <w:noProof/>
        </w:rPr>
      </w:r>
      <w:r>
        <w:rPr>
          <w:noProof/>
        </w:rPr>
        <w:fldChar w:fldCharType="separate"/>
      </w:r>
      <w:r w:rsidR="00A75175">
        <w:rPr>
          <w:noProof/>
        </w:rPr>
        <w:t>69</w:t>
      </w:r>
      <w:r>
        <w:rPr>
          <w:noProof/>
        </w:rPr>
        <w:fldChar w:fldCharType="end"/>
      </w:r>
    </w:p>
    <w:p w14:paraId="13E3DEE6" w14:textId="77777777" w:rsidR="00511129" w:rsidRDefault="00511129">
      <w:pPr>
        <w:pStyle w:val="TOC1"/>
        <w:rPr>
          <w:rFonts w:asciiTheme="minorHAnsi" w:eastAsiaTheme="minorEastAsia" w:hAnsiTheme="minorHAnsi" w:cstheme="minorBidi"/>
          <w:szCs w:val="22"/>
          <w:lang w:val="en-AU" w:eastAsia="en-AU"/>
        </w:rPr>
      </w:pPr>
      <w:r w:rsidRPr="00A804CF">
        <w:rPr>
          <w:color w:val="4F81BD" w:themeColor="accent1"/>
          <w14:scene3d>
            <w14:camera w14:prst="orthographicFront"/>
            <w14:lightRig w14:rig="threePt" w14:dir="t">
              <w14:rot w14:lat="0" w14:lon="0" w14:rev="0"/>
            </w14:lightRig>
          </w14:scene3d>
        </w:rPr>
        <w:t>7</w:t>
      </w:r>
      <w:r>
        <w:rPr>
          <w:rFonts w:asciiTheme="minorHAnsi" w:eastAsiaTheme="minorEastAsia" w:hAnsiTheme="minorHAnsi" w:cstheme="minorBidi"/>
          <w:szCs w:val="22"/>
          <w:lang w:val="en-AU" w:eastAsia="en-AU"/>
        </w:rPr>
        <w:tab/>
      </w:r>
      <w:r>
        <w:t>Case Study - Coral Bleaching 2017</w:t>
      </w:r>
      <w:r>
        <w:tab/>
      </w:r>
      <w:r>
        <w:fldChar w:fldCharType="begin"/>
      </w:r>
      <w:r>
        <w:instrText xml:space="preserve"> PAGEREF _Toc514408434 \h </w:instrText>
      </w:r>
      <w:r>
        <w:fldChar w:fldCharType="separate"/>
      </w:r>
      <w:r w:rsidR="00A75175">
        <w:t>71</w:t>
      </w:r>
      <w:r>
        <w:fldChar w:fldCharType="end"/>
      </w:r>
    </w:p>
    <w:p w14:paraId="27EAC80A" w14:textId="77777777" w:rsidR="00511129" w:rsidRDefault="00511129">
      <w:pPr>
        <w:pStyle w:val="TOC2"/>
        <w:rPr>
          <w:rFonts w:asciiTheme="minorHAnsi" w:eastAsiaTheme="minorEastAsia" w:hAnsiTheme="minorHAnsi" w:cstheme="minorBidi"/>
          <w:noProof/>
          <w:szCs w:val="22"/>
          <w:lang w:val="en-AU" w:eastAsia="en-AU"/>
        </w:rPr>
      </w:pPr>
      <w:r>
        <w:rPr>
          <w:noProof/>
        </w:rPr>
        <w:t>7.1 Methods</w:t>
      </w:r>
      <w:r>
        <w:rPr>
          <w:noProof/>
        </w:rPr>
        <w:tab/>
      </w:r>
      <w:r>
        <w:rPr>
          <w:noProof/>
        </w:rPr>
        <w:fldChar w:fldCharType="begin"/>
      </w:r>
      <w:r>
        <w:rPr>
          <w:noProof/>
        </w:rPr>
        <w:instrText xml:space="preserve"> PAGEREF _Toc514408435 \h </w:instrText>
      </w:r>
      <w:r>
        <w:rPr>
          <w:noProof/>
        </w:rPr>
      </w:r>
      <w:r>
        <w:rPr>
          <w:noProof/>
        </w:rPr>
        <w:fldChar w:fldCharType="separate"/>
      </w:r>
      <w:r w:rsidR="00A75175">
        <w:rPr>
          <w:noProof/>
        </w:rPr>
        <w:t>71</w:t>
      </w:r>
      <w:r>
        <w:rPr>
          <w:noProof/>
        </w:rPr>
        <w:fldChar w:fldCharType="end"/>
      </w:r>
    </w:p>
    <w:p w14:paraId="75090118" w14:textId="77777777" w:rsidR="00511129" w:rsidRDefault="00511129">
      <w:pPr>
        <w:pStyle w:val="TOC2"/>
        <w:rPr>
          <w:rFonts w:asciiTheme="minorHAnsi" w:eastAsiaTheme="minorEastAsia" w:hAnsiTheme="minorHAnsi" w:cstheme="minorBidi"/>
          <w:noProof/>
          <w:szCs w:val="22"/>
          <w:lang w:val="en-AU" w:eastAsia="en-AU"/>
        </w:rPr>
      </w:pPr>
      <w:r>
        <w:rPr>
          <w:noProof/>
        </w:rPr>
        <w:t>7.2 Discussion of Results</w:t>
      </w:r>
      <w:r>
        <w:rPr>
          <w:noProof/>
        </w:rPr>
        <w:tab/>
      </w:r>
      <w:r>
        <w:rPr>
          <w:noProof/>
        </w:rPr>
        <w:fldChar w:fldCharType="begin"/>
      </w:r>
      <w:r>
        <w:rPr>
          <w:noProof/>
        </w:rPr>
        <w:instrText xml:space="preserve"> PAGEREF _Toc514408436 \h </w:instrText>
      </w:r>
      <w:r>
        <w:rPr>
          <w:noProof/>
        </w:rPr>
      </w:r>
      <w:r>
        <w:rPr>
          <w:noProof/>
        </w:rPr>
        <w:fldChar w:fldCharType="separate"/>
      </w:r>
      <w:r w:rsidR="00A75175">
        <w:rPr>
          <w:noProof/>
        </w:rPr>
        <w:t>72</w:t>
      </w:r>
      <w:r>
        <w:rPr>
          <w:noProof/>
        </w:rPr>
        <w:fldChar w:fldCharType="end"/>
      </w:r>
    </w:p>
    <w:p w14:paraId="757BF146" w14:textId="77777777" w:rsidR="00511129" w:rsidRDefault="00511129">
      <w:pPr>
        <w:pStyle w:val="TOC2"/>
        <w:rPr>
          <w:rFonts w:asciiTheme="minorHAnsi" w:eastAsiaTheme="minorEastAsia" w:hAnsiTheme="minorHAnsi" w:cstheme="minorBidi"/>
          <w:noProof/>
          <w:szCs w:val="22"/>
          <w:lang w:val="en-AU" w:eastAsia="en-AU"/>
        </w:rPr>
      </w:pPr>
      <w:r>
        <w:rPr>
          <w:noProof/>
        </w:rPr>
        <w:t>7.3 Conclusion</w:t>
      </w:r>
      <w:r>
        <w:rPr>
          <w:noProof/>
        </w:rPr>
        <w:tab/>
      </w:r>
      <w:r>
        <w:rPr>
          <w:noProof/>
        </w:rPr>
        <w:fldChar w:fldCharType="begin"/>
      </w:r>
      <w:r>
        <w:rPr>
          <w:noProof/>
        </w:rPr>
        <w:instrText xml:space="preserve"> PAGEREF _Toc514408437 \h </w:instrText>
      </w:r>
      <w:r>
        <w:rPr>
          <w:noProof/>
        </w:rPr>
      </w:r>
      <w:r>
        <w:rPr>
          <w:noProof/>
        </w:rPr>
        <w:fldChar w:fldCharType="separate"/>
      </w:r>
      <w:r w:rsidR="00A75175">
        <w:rPr>
          <w:noProof/>
        </w:rPr>
        <w:t>74</w:t>
      </w:r>
      <w:r>
        <w:rPr>
          <w:noProof/>
        </w:rPr>
        <w:fldChar w:fldCharType="end"/>
      </w:r>
    </w:p>
    <w:p w14:paraId="2EE3F880" w14:textId="77777777" w:rsidR="00511129" w:rsidRDefault="00511129">
      <w:pPr>
        <w:pStyle w:val="TOC1"/>
        <w:rPr>
          <w:rFonts w:asciiTheme="minorHAnsi" w:eastAsiaTheme="minorEastAsia" w:hAnsiTheme="minorHAnsi" w:cstheme="minorBidi"/>
          <w:szCs w:val="22"/>
          <w:lang w:val="en-AU" w:eastAsia="en-AU"/>
        </w:rPr>
      </w:pPr>
      <w:r w:rsidRPr="00A804CF">
        <w:rPr>
          <w14:scene3d>
            <w14:camera w14:prst="orthographicFront"/>
            <w14:lightRig w14:rig="threePt" w14:dir="t">
              <w14:rot w14:lat="0" w14:lon="0" w14:rev="0"/>
            </w14:lightRig>
          </w14:scene3d>
        </w:rPr>
        <w:t>8</w:t>
      </w:r>
      <w:r>
        <w:rPr>
          <w:rFonts w:asciiTheme="minorHAnsi" w:eastAsiaTheme="minorEastAsia" w:hAnsiTheme="minorHAnsi" w:cstheme="minorBidi"/>
          <w:szCs w:val="22"/>
          <w:lang w:val="en-AU" w:eastAsia="en-AU"/>
        </w:rPr>
        <w:tab/>
      </w:r>
      <w:r>
        <w:t>Case Study – Selection of environmental covariates for reporting against coral index and indicator scores</w:t>
      </w:r>
      <w:r>
        <w:tab/>
      </w:r>
      <w:r>
        <w:fldChar w:fldCharType="begin"/>
      </w:r>
      <w:r>
        <w:instrText xml:space="preserve"> PAGEREF _Toc514408438 \h </w:instrText>
      </w:r>
      <w:r>
        <w:fldChar w:fldCharType="separate"/>
      </w:r>
      <w:r w:rsidR="00A75175">
        <w:t>79</w:t>
      </w:r>
      <w:r>
        <w:fldChar w:fldCharType="end"/>
      </w:r>
    </w:p>
    <w:p w14:paraId="7AC119E4" w14:textId="77777777" w:rsidR="00511129" w:rsidRDefault="00511129">
      <w:pPr>
        <w:pStyle w:val="TOC2"/>
        <w:rPr>
          <w:rFonts w:asciiTheme="minorHAnsi" w:eastAsiaTheme="minorEastAsia" w:hAnsiTheme="minorHAnsi" w:cstheme="minorBidi"/>
          <w:noProof/>
          <w:szCs w:val="22"/>
          <w:lang w:val="en-AU" w:eastAsia="en-AU"/>
        </w:rPr>
      </w:pPr>
      <w:r>
        <w:rPr>
          <w:noProof/>
        </w:rPr>
        <w:t>8.1</w:t>
      </w:r>
      <w:r>
        <w:rPr>
          <w:rFonts w:asciiTheme="minorHAnsi" w:eastAsiaTheme="minorEastAsia" w:hAnsiTheme="minorHAnsi" w:cstheme="minorBidi"/>
          <w:noProof/>
          <w:szCs w:val="22"/>
          <w:lang w:val="en-AU" w:eastAsia="en-AU"/>
        </w:rPr>
        <w:tab/>
      </w:r>
      <w:r>
        <w:rPr>
          <w:noProof/>
        </w:rPr>
        <w:t>Data sourced</w:t>
      </w:r>
      <w:r>
        <w:rPr>
          <w:noProof/>
        </w:rPr>
        <w:tab/>
      </w:r>
      <w:r>
        <w:rPr>
          <w:noProof/>
        </w:rPr>
        <w:fldChar w:fldCharType="begin"/>
      </w:r>
      <w:r>
        <w:rPr>
          <w:noProof/>
        </w:rPr>
        <w:instrText xml:space="preserve"> PAGEREF _Toc514408439 \h </w:instrText>
      </w:r>
      <w:r>
        <w:rPr>
          <w:noProof/>
        </w:rPr>
      </w:r>
      <w:r>
        <w:rPr>
          <w:noProof/>
        </w:rPr>
        <w:fldChar w:fldCharType="separate"/>
      </w:r>
      <w:r w:rsidR="00A75175">
        <w:rPr>
          <w:noProof/>
        </w:rPr>
        <w:t>79</w:t>
      </w:r>
      <w:r>
        <w:rPr>
          <w:noProof/>
        </w:rPr>
        <w:fldChar w:fldCharType="end"/>
      </w:r>
    </w:p>
    <w:p w14:paraId="5D0B4666" w14:textId="77777777" w:rsidR="00511129" w:rsidRDefault="00511129">
      <w:pPr>
        <w:pStyle w:val="TOC1"/>
        <w:rPr>
          <w:rFonts w:asciiTheme="minorHAnsi" w:eastAsiaTheme="minorEastAsia" w:hAnsiTheme="minorHAnsi" w:cstheme="minorBidi"/>
          <w:szCs w:val="22"/>
          <w:lang w:val="en-AU" w:eastAsia="en-AU"/>
        </w:rPr>
      </w:pPr>
      <w:r w:rsidRPr="00A804CF">
        <w:rPr>
          <w14:scene3d>
            <w14:camera w14:prst="orthographicFront"/>
            <w14:lightRig w14:rig="threePt" w14:dir="t">
              <w14:rot w14:lat="0" w14:lon="0" w14:rev="0"/>
            </w14:lightRig>
          </w14:scene3d>
        </w:rPr>
        <w:t>9</w:t>
      </w:r>
      <w:r>
        <w:rPr>
          <w:rFonts w:asciiTheme="minorHAnsi" w:eastAsiaTheme="minorEastAsia" w:hAnsiTheme="minorHAnsi" w:cstheme="minorBidi"/>
          <w:szCs w:val="22"/>
          <w:lang w:val="en-AU" w:eastAsia="en-AU"/>
        </w:rPr>
        <w:tab/>
      </w:r>
      <w:r>
        <w:t>Case Study – Inclusion of Reef Check Australia data into the Reef Report Card</w:t>
      </w:r>
      <w:r>
        <w:tab/>
      </w:r>
      <w:r>
        <w:fldChar w:fldCharType="begin"/>
      </w:r>
      <w:r>
        <w:instrText xml:space="preserve"> PAGEREF _Toc514408440 \h </w:instrText>
      </w:r>
      <w:r>
        <w:fldChar w:fldCharType="separate"/>
      </w:r>
      <w:r w:rsidR="00A75175">
        <w:t>84</w:t>
      </w:r>
      <w:r>
        <w:fldChar w:fldCharType="end"/>
      </w:r>
    </w:p>
    <w:p w14:paraId="14989997" w14:textId="77777777" w:rsidR="00511129" w:rsidRDefault="00511129">
      <w:pPr>
        <w:pStyle w:val="TOC2"/>
        <w:rPr>
          <w:rFonts w:asciiTheme="minorHAnsi" w:eastAsiaTheme="minorEastAsia" w:hAnsiTheme="minorHAnsi" w:cstheme="minorBidi"/>
          <w:noProof/>
          <w:szCs w:val="22"/>
          <w:lang w:val="en-AU" w:eastAsia="en-AU"/>
        </w:rPr>
      </w:pPr>
      <w:r>
        <w:rPr>
          <w:noProof/>
        </w:rPr>
        <w:t>9.1 Introduction</w:t>
      </w:r>
      <w:r>
        <w:rPr>
          <w:noProof/>
        </w:rPr>
        <w:tab/>
      </w:r>
      <w:r>
        <w:rPr>
          <w:noProof/>
        </w:rPr>
        <w:fldChar w:fldCharType="begin"/>
      </w:r>
      <w:r>
        <w:rPr>
          <w:noProof/>
        </w:rPr>
        <w:instrText xml:space="preserve"> PAGEREF _Toc514408441 \h </w:instrText>
      </w:r>
      <w:r>
        <w:rPr>
          <w:noProof/>
        </w:rPr>
      </w:r>
      <w:r>
        <w:rPr>
          <w:noProof/>
        </w:rPr>
        <w:fldChar w:fldCharType="separate"/>
      </w:r>
      <w:r w:rsidR="00A75175">
        <w:rPr>
          <w:noProof/>
        </w:rPr>
        <w:t>84</w:t>
      </w:r>
      <w:r>
        <w:rPr>
          <w:noProof/>
        </w:rPr>
        <w:fldChar w:fldCharType="end"/>
      </w:r>
    </w:p>
    <w:p w14:paraId="3D48E3DD" w14:textId="77777777" w:rsidR="00511129" w:rsidRDefault="00511129">
      <w:pPr>
        <w:pStyle w:val="TOC2"/>
        <w:rPr>
          <w:rFonts w:asciiTheme="minorHAnsi" w:eastAsiaTheme="minorEastAsia" w:hAnsiTheme="minorHAnsi" w:cstheme="minorBidi"/>
          <w:noProof/>
          <w:szCs w:val="22"/>
          <w:lang w:val="en-AU" w:eastAsia="en-AU"/>
        </w:rPr>
      </w:pPr>
      <w:r>
        <w:rPr>
          <w:noProof/>
        </w:rPr>
        <w:t>9.2 Methods</w:t>
      </w:r>
      <w:r>
        <w:rPr>
          <w:noProof/>
        </w:rPr>
        <w:tab/>
      </w:r>
      <w:r>
        <w:rPr>
          <w:noProof/>
        </w:rPr>
        <w:fldChar w:fldCharType="begin"/>
      </w:r>
      <w:r>
        <w:rPr>
          <w:noProof/>
        </w:rPr>
        <w:instrText xml:space="preserve"> PAGEREF _Toc514408442 \h </w:instrText>
      </w:r>
      <w:r>
        <w:rPr>
          <w:noProof/>
        </w:rPr>
      </w:r>
      <w:r>
        <w:rPr>
          <w:noProof/>
        </w:rPr>
        <w:fldChar w:fldCharType="separate"/>
      </w:r>
      <w:r w:rsidR="00A75175">
        <w:rPr>
          <w:noProof/>
        </w:rPr>
        <w:t>84</w:t>
      </w:r>
      <w:r>
        <w:rPr>
          <w:noProof/>
        </w:rPr>
        <w:fldChar w:fldCharType="end"/>
      </w:r>
    </w:p>
    <w:p w14:paraId="305A5CFE" w14:textId="77777777" w:rsidR="00511129" w:rsidRDefault="00511129">
      <w:pPr>
        <w:pStyle w:val="TOC2"/>
        <w:rPr>
          <w:rFonts w:asciiTheme="minorHAnsi" w:eastAsiaTheme="minorEastAsia" w:hAnsiTheme="minorHAnsi" w:cstheme="minorBidi"/>
          <w:noProof/>
          <w:szCs w:val="22"/>
          <w:lang w:val="en-AU" w:eastAsia="en-AU"/>
        </w:rPr>
      </w:pPr>
      <w:r>
        <w:rPr>
          <w:noProof/>
        </w:rPr>
        <w:t>9.3 Discussion of results</w:t>
      </w:r>
      <w:r>
        <w:rPr>
          <w:noProof/>
        </w:rPr>
        <w:tab/>
      </w:r>
      <w:r>
        <w:rPr>
          <w:noProof/>
        </w:rPr>
        <w:fldChar w:fldCharType="begin"/>
      </w:r>
      <w:r>
        <w:rPr>
          <w:noProof/>
        </w:rPr>
        <w:instrText xml:space="preserve"> PAGEREF _Toc514408443 \h </w:instrText>
      </w:r>
      <w:r>
        <w:rPr>
          <w:noProof/>
        </w:rPr>
      </w:r>
      <w:r>
        <w:rPr>
          <w:noProof/>
        </w:rPr>
        <w:fldChar w:fldCharType="separate"/>
      </w:r>
      <w:r w:rsidR="00A75175">
        <w:rPr>
          <w:noProof/>
        </w:rPr>
        <w:t>85</w:t>
      </w:r>
      <w:r>
        <w:rPr>
          <w:noProof/>
        </w:rPr>
        <w:fldChar w:fldCharType="end"/>
      </w:r>
    </w:p>
    <w:p w14:paraId="15AE4F99" w14:textId="77777777" w:rsidR="00511129" w:rsidRDefault="00511129">
      <w:pPr>
        <w:pStyle w:val="TOC2"/>
        <w:rPr>
          <w:rFonts w:asciiTheme="minorHAnsi" w:eastAsiaTheme="minorEastAsia" w:hAnsiTheme="minorHAnsi" w:cstheme="minorBidi"/>
          <w:noProof/>
          <w:szCs w:val="22"/>
          <w:lang w:val="en-AU" w:eastAsia="en-AU"/>
        </w:rPr>
      </w:pPr>
      <w:r>
        <w:rPr>
          <w:noProof/>
        </w:rPr>
        <w:t>9.4 Conclusion</w:t>
      </w:r>
      <w:r>
        <w:rPr>
          <w:noProof/>
        </w:rPr>
        <w:tab/>
      </w:r>
      <w:r>
        <w:rPr>
          <w:noProof/>
        </w:rPr>
        <w:fldChar w:fldCharType="begin"/>
      </w:r>
      <w:r>
        <w:rPr>
          <w:noProof/>
        </w:rPr>
        <w:instrText xml:space="preserve"> PAGEREF _Toc514408444 \h </w:instrText>
      </w:r>
      <w:r>
        <w:rPr>
          <w:noProof/>
        </w:rPr>
      </w:r>
      <w:r>
        <w:rPr>
          <w:noProof/>
        </w:rPr>
        <w:fldChar w:fldCharType="separate"/>
      </w:r>
      <w:r w:rsidR="00A75175">
        <w:rPr>
          <w:noProof/>
        </w:rPr>
        <w:t>88</w:t>
      </w:r>
      <w:r>
        <w:rPr>
          <w:noProof/>
        </w:rPr>
        <w:fldChar w:fldCharType="end"/>
      </w:r>
    </w:p>
    <w:p w14:paraId="5B305375" w14:textId="77777777" w:rsidR="00511129" w:rsidRDefault="00511129">
      <w:pPr>
        <w:pStyle w:val="TOC1"/>
        <w:rPr>
          <w:rFonts w:asciiTheme="minorHAnsi" w:eastAsiaTheme="minorEastAsia" w:hAnsiTheme="minorHAnsi" w:cstheme="minorBidi"/>
          <w:szCs w:val="22"/>
          <w:lang w:val="en-AU" w:eastAsia="en-AU"/>
        </w:rPr>
      </w:pPr>
      <w:r w:rsidRPr="00A804CF">
        <w:rPr>
          <w14:scene3d>
            <w14:camera w14:prst="orthographicFront"/>
            <w14:lightRig w14:rig="threePt" w14:dir="t">
              <w14:rot w14:lat="0" w14:lon="0" w14:rev="0"/>
            </w14:lightRig>
          </w14:scene3d>
        </w:rPr>
        <w:t>10</w:t>
      </w:r>
      <w:r>
        <w:rPr>
          <w:rFonts w:asciiTheme="minorHAnsi" w:eastAsiaTheme="minorEastAsia" w:hAnsiTheme="minorHAnsi" w:cstheme="minorBidi"/>
          <w:szCs w:val="22"/>
          <w:lang w:val="en-AU" w:eastAsia="en-AU"/>
        </w:rPr>
        <w:tab/>
      </w:r>
      <w:r>
        <w:t>Acknowledgments</w:t>
      </w:r>
      <w:r>
        <w:tab/>
      </w:r>
      <w:r>
        <w:fldChar w:fldCharType="begin"/>
      </w:r>
      <w:r>
        <w:instrText xml:space="preserve"> PAGEREF _Toc514408445 \h </w:instrText>
      </w:r>
      <w:r>
        <w:fldChar w:fldCharType="separate"/>
      </w:r>
      <w:r w:rsidR="00A75175">
        <w:t>90</w:t>
      </w:r>
      <w:r>
        <w:fldChar w:fldCharType="end"/>
      </w:r>
    </w:p>
    <w:p w14:paraId="67FE9627" w14:textId="77777777" w:rsidR="00511129" w:rsidRDefault="00511129">
      <w:pPr>
        <w:pStyle w:val="TOC1"/>
        <w:rPr>
          <w:rFonts w:asciiTheme="minorHAnsi" w:eastAsiaTheme="minorEastAsia" w:hAnsiTheme="minorHAnsi" w:cstheme="minorBidi"/>
          <w:szCs w:val="22"/>
          <w:lang w:val="en-AU" w:eastAsia="en-AU"/>
        </w:rPr>
      </w:pPr>
      <w:r w:rsidRPr="00A804CF">
        <w:rPr>
          <w14:scene3d>
            <w14:camera w14:prst="orthographicFront"/>
            <w14:lightRig w14:rig="threePt" w14:dir="t">
              <w14:rot w14:lat="0" w14:lon="0" w14:rev="0"/>
            </w14:lightRig>
          </w14:scene3d>
        </w:rPr>
        <w:t>11</w:t>
      </w:r>
      <w:r>
        <w:rPr>
          <w:rFonts w:asciiTheme="minorHAnsi" w:eastAsiaTheme="minorEastAsia" w:hAnsiTheme="minorHAnsi" w:cstheme="minorBidi"/>
          <w:szCs w:val="22"/>
          <w:lang w:val="en-AU" w:eastAsia="en-AU"/>
        </w:rPr>
        <w:tab/>
      </w:r>
      <w:r>
        <w:t>References</w:t>
      </w:r>
      <w:r>
        <w:tab/>
      </w:r>
      <w:r>
        <w:fldChar w:fldCharType="begin"/>
      </w:r>
      <w:r>
        <w:instrText xml:space="preserve"> PAGEREF _Toc514408446 \h </w:instrText>
      </w:r>
      <w:r>
        <w:fldChar w:fldCharType="separate"/>
      </w:r>
      <w:r w:rsidR="00A75175">
        <w:t>90</w:t>
      </w:r>
      <w:r>
        <w:fldChar w:fldCharType="end"/>
      </w:r>
    </w:p>
    <w:p w14:paraId="2CD35087" w14:textId="77777777" w:rsidR="00511129" w:rsidRDefault="00511129">
      <w:pPr>
        <w:pStyle w:val="TOC1"/>
        <w:rPr>
          <w:rFonts w:asciiTheme="minorHAnsi" w:eastAsiaTheme="minorEastAsia" w:hAnsiTheme="minorHAnsi" w:cstheme="minorBidi"/>
          <w:szCs w:val="22"/>
          <w:lang w:val="en-AU" w:eastAsia="en-AU"/>
        </w:rPr>
      </w:pPr>
      <w:r w:rsidRPr="00A804CF">
        <w:rPr>
          <w14:scene3d>
            <w14:camera w14:prst="orthographicFront"/>
            <w14:lightRig w14:rig="threePt" w14:dir="t">
              <w14:rot w14:lat="0" w14:lon="0" w14:rev="0"/>
            </w14:lightRig>
          </w14:scene3d>
        </w:rPr>
        <w:t>12</w:t>
      </w:r>
      <w:r>
        <w:rPr>
          <w:rFonts w:asciiTheme="minorHAnsi" w:eastAsiaTheme="minorEastAsia" w:hAnsiTheme="minorHAnsi" w:cstheme="minorBidi"/>
          <w:szCs w:val="22"/>
          <w:lang w:val="en-AU" w:eastAsia="en-AU"/>
        </w:rPr>
        <w:tab/>
      </w:r>
      <w:r>
        <w:t>Appendix 1: Additional Information</w:t>
      </w:r>
      <w:r>
        <w:tab/>
      </w:r>
      <w:r>
        <w:fldChar w:fldCharType="begin"/>
      </w:r>
      <w:r>
        <w:instrText xml:space="preserve"> PAGEREF _Toc514408447 \h </w:instrText>
      </w:r>
      <w:r>
        <w:fldChar w:fldCharType="separate"/>
      </w:r>
      <w:r w:rsidR="00A75175">
        <w:t>101</w:t>
      </w:r>
      <w:r>
        <w:fldChar w:fldCharType="end"/>
      </w:r>
    </w:p>
    <w:p w14:paraId="41C51645" w14:textId="77777777" w:rsidR="00511129" w:rsidRDefault="00511129">
      <w:pPr>
        <w:pStyle w:val="TOC1"/>
        <w:rPr>
          <w:rFonts w:asciiTheme="minorHAnsi" w:eastAsiaTheme="minorEastAsia" w:hAnsiTheme="minorHAnsi" w:cstheme="minorBidi"/>
          <w:szCs w:val="22"/>
          <w:lang w:val="en-AU" w:eastAsia="en-AU"/>
        </w:rPr>
      </w:pPr>
      <w:r w:rsidRPr="00A804CF">
        <w:rPr>
          <w14:scene3d>
            <w14:camera w14:prst="orthographicFront"/>
            <w14:lightRig w14:rig="threePt" w14:dir="t">
              <w14:rot w14:lat="0" w14:lon="0" w14:rev="0"/>
            </w14:lightRig>
          </w14:scene3d>
        </w:rPr>
        <w:t>13</w:t>
      </w:r>
      <w:r>
        <w:rPr>
          <w:rFonts w:asciiTheme="minorHAnsi" w:eastAsiaTheme="minorEastAsia" w:hAnsiTheme="minorHAnsi" w:cstheme="minorBidi"/>
          <w:szCs w:val="22"/>
          <w:lang w:val="en-AU" w:eastAsia="en-AU"/>
        </w:rPr>
        <w:tab/>
      </w:r>
      <w:r>
        <w:t>Appendix 2: Publications and presentations associated with the Program 2016-17</w:t>
      </w:r>
      <w:r>
        <w:tab/>
      </w:r>
      <w:r>
        <w:fldChar w:fldCharType="begin"/>
      </w:r>
      <w:r>
        <w:instrText xml:space="preserve"> PAGEREF _Toc514408448 \h </w:instrText>
      </w:r>
      <w:r>
        <w:fldChar w:fldCharType="separate"/>
      </w:r>
      <w:r w:rsidR="00A75175">
        <w:t>148</w:t>
      </w:r>
      <w:r>
        <w:fldChar w:fldCharType="end"/>
      </w:r>
    </w:p>
    <w:p w14:paraId="33D4CC13" w14:textId="77777777" w:rsidR="006B5C58" w:rsidRPr="0094096A" w:rsidRDefault="003E02BD" w:rsidP="007C2E42">
      <w:pPr>
        <w:pStyle w:val="TOC1"/>
      </w:pPr>
      <w:r w:rsidRPr="00F352E1">
        <w:fldChar w:fldCharType="end"/>
      </w:r>
    </w:p>
    <w:p w14:paraId="05A5B33F" w14:textId="77777777" w:rsidR="003E0227" w:rsidRPr="002D7E2A" w:rsidRDefault="003E0227" w:rsidP="00F352CD">
      <w:pPr>
        <w:rPr>
          <w:b/>
          <w:i/>
          <w:sz w:val="32"/>
        </w:rPr>
      </w:pPr>
      <w:bookmarkStart w:id="1" w:name="_Toc437424397"/>
      <w:bookmarkStart w:id="2" w:name="_Toc437424521"/>
      <w:bookmarkStart w:id="3" w:name="_Ref437429116"/>
      <w:bookmarkStart w:id="4" w:name="_Toc437432451"/>
      <w:bookmarkStart w:id="5" w:name="_Toc437432524"/>
      <w:r w:rsidRPr="002D7E2A">
        <w:rPr>
          <w:b/>
          <w:i/>
          <w:sz w:val="32"/>
        </w:rPr>
        <w:t>List of Figures and Tables</w:t>
      </w:r>
      <w:bookmarkEnd w:id="1"/>
      <w:bookmarkEnd w:id="2"/>
      <w:bookmarkEnd w:id="3"/>
      <w:bookmarkEnd w:id="4"/>
      <w:bookmarkEnd w:id="5"/>
    </w:p>
    <w:p w14:paraId="41731FDA" w14:textId="77777777" w:rsidR="00035EA5" w:rsidRDefault="00044E50">
      <w:pPr>
        <w:pStyle w:val="TableofFigures"/>
        <w:rPr>
          <w:rFonts w:asciiTheme="minorHAnsi" w:eastAsiaTheme="minorEastAsia" w:hAnsiTheme="minorHAnsi" w:cstheme="minorBidi"/>
          <w:bCs w:val="0"/>
          <w:szCs w:val="22"/>
          <w:lang w:val="en-AU" w:eastAsia="en-AU"/>
        </w:rPr>
      </w:pPr>
      <w:r w:rsidRPr="00F352E1">
        <w:rPr>
          <w:color w:val="4F81BD" w:themeColor="accent1"/>
        </w:rPr>
        <w:fldChar w:fldCharType="begin"/>
      </w:r>
      <w:r w:rsidR="004F0242" w:rsidRPr="00F352E1">
        <w:rPr>
          <w:color w:val="4F81BD" w:themeColor="accent1"/>
        </w:rPr>
        <w:instrText xml:space="preserve"> TOC \h \z \c "Figure" </w:instrText>
      </w:r>
      <w:r w:rsidRPr="00F352E1">
        <w:rPr>
          <w:color w:val="4F81BD" w:themeColor="accent1"/>
        </w:rPr>
        <w:fldChar w:fldCharType="separate"/>
      </w:r>
      <w:hyperlink w:anchor="_Toc514335646" w:history="1">
        <w:r w:rsidR="00035EA5" w:rsidRPr="00E0412B">
          <w:rPr>
            <w:rStyle w:val="Hyperlink"/>
          </w:rPr>
          <w:t>Figure 1 Regional Coral Index with contributing indicator scores.</w:t>
        </w:r>
        <w:r w:rsidR="00035EA5">
          <w:rPr>
            <w:webHidden/>
          </w:rPr>
          <w:tab/>
        </w:r>
        <w:r w:rsidR="00035EA5">
          <w:rPr>
            <w:webHidden/>
          </w:rPr>
          <w:fldChar w:fldCharType="begin"/>
        </w:r>
        <w:r w:rsidR="00035EA5">
          <w:rPr>
            <w:webHidden/>
          </w:rPr>
          <w:instrText xml:space="preserve"> PAGEREF _Toc514335646 \h </w:instrText>
        </w:r>
        <w:r w:rsidR="00035EA5">
          <w:rPr>
            <w:webHidden/>
          </w:rPr>
        </w:r>
        <w:r w:rsidR="00035EA5">
          <w:rPr>
            <w:webHidden/>
          </w:rPr>
          <w:fldChar w:fldCharType="separate"/>
        </w:r>
        <w:r w:rsidR="00A75175">
          <w:rPr>
            <w:webHidden/>
          </w:rPr>
          <w:t>4</w:t>
        </w:r>
        <w:r w:rsidR="00035EA5">
          <w:rPr>
            <w:webHidden/>
          </w:rPr>
          <w:fldChar w:fldCharType="end"/>
        </w:r>
      </w:hyperlink>
    </w:p>
    <w:p w14:paraId="7899D751" w14:textId="393C0962" w:rsidR="00035EA5" w:rsidRDefault="00A570BE">
      <w:pPr>
        <w:pStyle w:val="TableofFigures"/>
        <w:rPr>
          <w:rFonts w:asciiTheme="minorHAnsi" w:eastAsiaTheme="minorEastAsia" w:hAnsiTheme="minorHAnsi" w:cstheme="minorBidi"/>
          <w:bCs w:val="0"/>
          <w:szCs w:val="22"/>
          <w:lang w:val="en-AU" w:eastAsia="en-AU"/>
        </w:rPr>
      </w:pPr>
      <w:hyperlink w:anchor="_Toc514335647" w:history="1">
        <w:r w:rsidR="00035EA5" w:rsidRPr="00E0412B">
          <w:rPr>
            <w:rStyle w:val="Hyperlink"/>
          </w:rPr>
          <w:t>Figure 2 Sampling locations of the MMP coral and water quality monitoring..</w:t>
        </w:r>
        <w:r w:rsidR="00035EA5">
          <w:rPr>
            <w:webHidden/>
          </w:rPr>
          <w:tab/>
        </w:r>
        <w:r w:rsidR="00035EA5">
          <w:rPr>
            <w:webHidden/>
          </w:rPr>
          <w:fldChar w:fldCharType="begin"/>
        </w:r>
        <w:r w:rsidR="00035EA5">
          <w:rPr>
            <w:webHidden/>
          </w:rPr>
          <w:instrText xml:space="preserve"> PAGEREF _Toc514335647 \h </w:instrText>
        </w:r>
        <w:r w:rsidR="00035EA5">
          <w:rPr>
            <w:webHidden/>
          </w:rPr>
        </w:r>
        <w:r w:rsidR="00035EA5">
          <w:rPr>
            <w:webHidden/>
          </w:rPr>
          <w:fldChar w:fldCharType="separate"/>
        </w:r>
        <w:r w:rsidR="00A75175">
          <w:rPr>
            <w:webHidden/>
          </w:rPr>
          <w:t>10</w:t>
        </w:r>
        <w:r w:rsidR="00035EA5">
          <w:rPr>
            <w:webHidden/>
          </w:rPr>
          <w:fldChar w:fldCharType="end"/>
        </w:r>
      </w:hyperlink>
    </w:p>
    <w:p w14:paraId="40E6388F" w14:textId="02C9C769" w:rsidR="00035EA5" w:rsidRDefault="00A570BE">
      <w:pPr>
        <w:pStyle w:val="TableofFigures"/>
        <w:rPr>
          <w:rFonts w:asciiTheme="minorHAnsi" w:eastAsiaTheme="minorEastAsia" w:hAnsiTheme="minorHAnsi" w:cstheme="minorBidi"/>
          <w:bCs w:val="0"/>
          <w:szCs w:val="22"/>
          <w:lang w:val="en-AU" w:eastAsia="en-AU"/>
        </w:rPr>
      </w:pPr>
      <w:hyperlink w:anchor="_Toc514335648" w:history="1">
        <w:r w:rsidR="00035EA5" w:rsidRPr="00E0412B">
          <w:rPr>
            <w:rStyle w:val="Hyperlink"/>
          </w:rPr>
          <w:t>Figure 3 Scoring diagram for the Coral Cover metric.</w:t>
        </w:r>
        <w:r w:rsidR="00035EA5">
          <w:rPr>
            <w:webHidden/>
          </w:rPr>
          <w:tab/>
        </w:r>
        <w:r w:rsidR="00035EA5">
          <w:rPr>
            <w:webHidden/>
          </w:rPr>
          <w:fldChar w:fldCharType="begin"/>
        </w:r>
        <w:r w:rsidR="00035EA5">
          <w:rPr>
            <w:webHidden/>
          </w:rPr>
          <w:instrText xml:space="preserve"> PAGEREF _Toc514335648 \h </w:instrText>
        </w:r>
        <w:r w:rsidR="00035EA5">
          <w:rPr>
            <w:webHidden/>
          </w:rPr>
        </w:r>
        <w:r w:rsidR="00035EA5">
          <w:rPr>
            <w:webHidden/>
          </w:rPr>
          <w:fldChar w:fldCharType="separate"/>
        </w:r>
        <w:r w:rsidR="00A75175">
          <w:rPr>
            <w:webHidden/>
          </w:rPr>
          <w:t>20</w:t>
        </w:r>
        <w:r w:rsidR="00035EA5">
          <w:rPr>
            <w:webHidden/>
          </w:rPr>
          <w:fldChar w:fldCharType="end"/>
        </w:r>
      </w:hyperlink>
    </w:p>
    <w:p w14:paraId="5B14A2C9" w14:textId="4D6821A7" w:rsidR="00035EA5" w:rsidRDefault="00A570BE">
      <w:pPr>
        <w:pStyle w:val="TableofFigures"/>
        <w:rPr>
          <w:rFonts w:asciiTheme="minorHAnsi" w:eastAsiaTheme="minorEastAsia" w:hAnsiTheme="minorHAnsi" w:cstheme="minorBidi"/>
          <w:bCs w:val="0"/>
          <w:szCs w:val="22"/>
          <w:lang w:val="en-AU" w:eastAsia="en-AU"/>
        </w:rPr>
      </w:pPr>
      <w:hyperlink w:anchor="_Toc514335649" w:history="1">
        <w:r w:rsidR="00035EA5" w:rsidRPr="00E0412B">
          <w:rPr>
            <w:rStyle w:val="Hyperlink"/>
          </w:rPr>
          <w:t>Figure 4 Scoring diagram for the Macroalgae metric.</w:t>
        </w:r>
        <w:r w:rsidR="00035EA5">
          <w:rPr>
            <w:webHidden/>
          </w:rPr>
          <w:tab/>
        </w:r>
        <w:r w:rsidR="00035EA5">
          <w:rPr>
            <w:webHidden/>
          </w:rPr>
          <w:fldChar w:fldCharType="begin"/>
        </w:r>
        <w:r w:rsidR="00035EA5">
          <w:rPr>
            <w:webHidden/>
          </w:rPr>
          <w:instrText xml:space="preserve"> PAGEREF _Toc514335649 \h </w:instrText>
        </w:r>
        <w:r w:rsidR="00035EA5">
          <w:rPr>
            <w:webHidden/>
          </w:rPr>
        </w:r>
        <w:r w:rsidR="00035EA5">
          <w:rPr>
            <w:webHidden/>
          </w:rPr>
          <w:fldChar w:fldCharType="separate"/>
        </w:r>
        <w:r w:rsidR="00A75175">
          <w:rPr>
            <w:webHidden/>
          </w:rPr>
          <w:t>21</w:t>
        </w:r>
        <w:r w:rsidR="00035EA5">
          <w:rPr>
            <w:webHidden/>
          </w:rPr>
          <w:fldChar w:fldCharType="end"/>
        </w:r>
      </w:hyperlink>
    </w:p>
    <w:p w14:paraId="41B5D4E2" w14:textId="2EDFE05B" w:rsidR="00035EA5" w:rsidRDefault="00A570BE">
      <w:pPr>
        <w:pStyle w:val="TableofFigures"/>
        <w:rPr>
          <w:rFonts w:asciiTheme="minorHAnsi" w:eastAsiaTheme="minorEastAsia" w:hAnsiTheme="minorHAnsi" w:cstheme="minorBidi"/>
          <w:bCs w:val="0"/>
          <w:szCs w:val="22"/>
          <w:lang w:val="en-AU" w:eastAsia="en-AU"/>
        </w:rPr>
      </w:pPr>
      <w:hyperlink w:anchor="_Toc514335650" w:history="1">
        <w:r w:rsidR="00035EA5" w:rsidRPr="00E0412B">
          <w:rPr>
            <w:rStyle w:val="Hyperlink"/>
          </w:rPr>
          <w:t>Figure 5 Scoring diagram for the Juvenile metric.</w:t>
        </w:r>
        <w:r w:rsidR="00035EA5">
          <w:rPr>
            <w:webHidden/>
          </w:rPr>
          <w:tab/>
        </w:r>
        <w:r w:rsidR="00035EA5">
          <w:rPr>
            <w:webHidden/>
          </w:rPr>
          <w:fldChar w:fldCharType="begin"/>
        </w:r>
        <w:r w:rsidR="00035EA5">
          <w:rPr>
            <w:webHidden/>
          </w:rPr>
          <w:instrText xml:space="preserve"> PAGEREF _Toc514335650 \h </w:instrText>
        </w:r>
        <w:r w:rsidR="00035EA5">
          <w:rPr>
            <w:webHidden/>
          </w:rPr>
        </w:r>
        <w:r w:rsidR="00035EA5">
          <w:rPr>
            <w:webHidden/>
          </w:rPr>
          <w:fldChar w:fldCharType="separate"/>
        </w:r>
        <w:r w:rsidR="00A75175">
          <w:rPr>
            <w:webHidden/>
          </w:rPr>
          <w:t>22</w:t>
        </w:r>
        <w:r w:rsidR="00035EA5">
          <w:rPr>
            <w:webHidden/>
          </w:rPr>
          <w:fldChar w:fldCharType="end"/>
        </w:r>
      </w:hyperlink>
    </w:p>
    <w:p w14:paraId="77B4B019" w14:textId="77777777" w:rsidR="00035EA5" w:rsidRDefault="00A570BE">
      <w:pPr>
        <w:pStyle w:val="TableofFigures"/>
        <w:rPr>
          <w:rFonts w:asciiTheme="minorHAnsi" w:eastAsiaTheme="minorEastAsia" w:hAnsiTheme="minorHAnsi" w:cstheme="minorBidi"/>
          <w:bCs w:val="0"/>
          <w:szCs w:val="22"/>
          <w:lang w:val="en-AU" w:eastAsia="en-AU"/>
        </w:rPr>
      </w:pPr>
      <w:hyperlink w:anchor="_Toc514335651" w:history="1">
        <w:r w:rsidR="00035EA5" w:rsidRPr="00E0412B">
          <w:rPr>
            <w:rStyle w:val="Hyperlink"/>
          </w:rPr>
          <w:t>Figure 6 Scoring diagram for Cover Change metric</w:t>
        </w:r>
        <w:r w:rsidR="00035EA5">
          <w:rPr>
            <w:webHidden/>
          </w:rPr>
          <w:tab/>
        </w:r>
        <w:r w:rsidR="00035EA5">
          <w:rPr>
            <w:webHidden/>
          </w:rPr>
          <w:fldChar w:fldCharType="begin"/>
        </w:r>
        <w:r w:rsidR="00035EA5">
          <w:rPr>
            <w:webHidden/>
          </w:rPr>
          <w:instrText xml:space="preserve"> PAGEREF _Toc514335651 \h </w:instrText>
        </w:r>
        <w:r w:rsidR="00035EA5">
          <w:rPr>
            <w:webHidden/>
          </w:rPr>
        </w:r>
        <w:r w:rsidR="00035EA5">
          <w:rPr>
            <w:webHidden/>
          </w:rPr>
          <w:fldChar w:fldCharType="separate"/>
        </w:r>
        <w:r w:rsidR="00A75175">
          <w:rPr>
            <w:webHidden/>
          </w:rPr>
          <w:t>24</w:t>
        </w:r>
        <w:r w:rsidR="00035EA5">
          <w:rPr>
            <w:webHidden/>
          </w:rPr>
          <w:fldChar w:fldCharType="end"/>
        </w:r>
      </w:hyperlink>
    </w:p>
    <w:p w14:paraId="69D4B2A7" w14:textId="77777777" w:rsidR="00035EA5" w:rsidRDefault="00A570BE">
      <w:pPr>
        <w:pStyle w:val="TableofFigures"/>
        <w:rPr>
          <w:rFonts w:asciiTheme="minorHAnsi" w:eastAsiaTheme="minorEastAsia" w:hAnsiTheme="minorHAnsi" w:cstheme="minorBidi"/>
          <w:bCs w:val="0"/>
          <w:szCs w:val="22"/>
          <w:lang w:val="en-AU" w:eastAsia="en-AU"/>
        </w:rPr>
      </w:pPr>
      <w:hyperlink w:anchor="_Toc514335652" w:history="1">
        <w:r w:rsidR="00035EA5" w:rsidRPr="00E0412B">
          <w:rPr>
            <w:rStyle w:val="Hyperlink"/>
          </w:rPr>
          <w:t>Figure 7 Scoring diagram for Community Composition metric</w:t>
        </w:r>
        <w:r w:rsidR="00035EA5">
          <w:rPr>
            <w:webHidden/>
          </w:rPr>
          <w:tab/>
        </w:r>
        <w:r w:rsidR="00035EA5">
          <w:rPr>
            <w:webHidden/>
          </w:rPr>
          <w:fldChar w:fldCharType="begin"/>
        </w:r>
        <w:r w:rsidR="00035EA5">
          <w:rPr>
            <w:webHidden/>
          </w:rPr>
          <w:instrText xml:space="preserve"> PAGEREF _Toc514335652 \h </w:instrText>
        </w:r>
        <w:r w:rsidR="00035EA5">
          <w:rPr>
            <w:webHidden/>
          </w:rPr>
        </w:r>
        <w:r w:rsidR="00035EA5">
          <w:rPr>
            <w:webHidden/>
          </w:rPr>
          <w:fldChar w:fldCharType="separate"/>
        </w:r>
        <w:r w:rsidR="00A75175">
          <w:rPr>
            <w:webHidden/>
          </w:rPr>
          <w:t>25</w:t>
        </w:r>
        <w:r w:rsidR="00035EA5">
          <w:rPr>
            <w:webHidden/>
          </w:rPr>
          <w:fldChar w:fldCharType="end"/>
        </w:r>
      </w:hyperlink>
    </w:p>
    <w:p w14:paraId="1FD6AF60" w14:textId="4D1406D8" w:rsidR="00035EA5" w:rsidRDefault="00A570BE">
      <w:pPr>
        <w:pStyle w:val="TableofFigures"/>
        <w:rPr>
          <w:rFonts w:asciiTheme="minorHAnsi" w:eastAsiaTheme="minorEastAsia" w:hAnsiTheme="minorHAnsi" w:cstheme="minorBidi"/>
          <w:bCs w:val="0"/>
          <w:szCs w:val="22"/>
          <w:lang w:val="en-AU" w:eastAsia="en-AU"/>
        </w:rPr>
      </w:pPr>
      <w:hyperlink w:anchor="_Toc514335653" w:history="1">
        <w:r w:rsidR="00035EA5" w:rsidRPr="00E0412B">
          <w:rPr>
            <w:rStyle w:val="Hyperlink"/>
          </w:rPr>
          <w:t>Figure 8 Regional distributions of index and metric scores.</w:t>
        </w:r>
        <w:r w:rsidR="00035EA5">
          <w:rPr>
            <w:webHidden/>
          </w:rPr>
          <w:tab/>
        </w:r>
        <w:r w:rsidR="00035EA5">
          <w:rPr>
            <w:webHidden/>
          </w:rPr>
          <w:fldChar w:fldCharType="begin"/>
        </w:r>
        <w:r w:rsidR="00035EA5">
          <w:rPr>
            <w:webHidden/>
          </w:rPr>
          <w:instrText xml:space="preserve"> PAGEREF _Toc514335653 \h </w:instrText>
        </w:r>
        <w:r w:rsidR="00035EA5">
          <w:rPr>
            <w:webHidden/>
          </w:rPr>
        </w:r>
        <w:r w:rsidR="00035EA5">
          <w:rPr>
            <w:webHidden/>
          </w:rPr>
          <w:fldChar w:fldCharType="separate"/>
        </w:r>
        <w:r w:rsidR="00A75175">
          <w:rPr>
            <w:webHidden/>
          </w:rPr>
          <w:t>31</w:t>
        </w:r>
        <w:r w:rsidR="00035EA5">
          <w:rPr>
            <w:webHidden/>
          </w:rPr>
          <w:fldChar w:fldCharType="end"/>
        </w:r>
      </w:hyperlink>
    </w:p>
    <w:p w14:paraId="0A12AF46" w14:textId="5A6F6423" w:rsidR="00035EA5" w:rsidRDefault="00A570BE">
      <w:pPr>
        <w:pStyle w:val="TableofFigures"/>
        <w:rPr>
          <w:rFonts w:asciiTheme="minorHAnsi" w:eastAsiaTheme="minorEastAsia" w:hAnsiTheme="minorHAnsi" w:cstheme="minorBidi"/>
          <w:bCs w:val="0"/>
          <w:szCs w:val="22"/>
          <w:lang w:val="en-AU" w:eastAsia="en-AU"/>
        </w:rPr>
      </w:pPr>
      <w:hyperlink w:anchor="_Toc514335654" w:history="1">
        <w:r w:rsidR="00035EA5" w:rsidRPr="00E0412B">
          <w:rPr>
            <w:rStyle w:val="Hyperlink"/>
          </w:rPr>
          <w:t>Figure 9 Coral index and metric score relationships to environment</w:t>
        </w:r>
        <w:r w:rsidR="00035EA5">
          <w:rPr>
            <w:rStyle w:val="Hyperlink"/>
          </w:rPr>
          <w:t>al conditions at 2 m depth</w:t>
        </w:r>
        <w:r w:rsidR="00035EA5" w:rsidRPr="00E0412B">
          <w:rPr>
            <w:rStyle w:val="Hyperlink"/>
          </w:rPr>
          <w:t>.</w:t>
        </w:r>
        <w:r w:rsidR="00035EA5">
          <w:rPr>
            <w:webHidden/>
          </w:rPr>
          <w:tab/>
        </w:r>
        <w:r w:rsidR="00035EA5">
          <w:rPr>
            <w:webHidden/>
          </w:rPr>
          <w:fldChar w:fldCharType="begin"/>
        </w:r>
        <w:r w:rsidR="00035EA5">
          <w:rPr>
            <w:webHidden/>
          </w:rPr>
          <w:instrText xml:space="preserve"> PAGEREF _Toc514335654 \h </w:instrText>
        </w:r>
        <w:r w:rsidR="00035EA5">
          <w:rPr>
            <w:webHidden/>
          </w:rPr>
        </w:r>
        <w:r w:rsidR="00035EA5">
          <w:rPr>
            <w:webHidden/>
          </w:rPr>
          <w:fldChar w:fldCharType="separate"/>
        </w:r>
        <w:r w:rsidR="00A75175">
          <w:rPr>
            <w:webHidden/>
          </w:rPr>
          <w:t>32</w:t>
        </w:r>
        <w:r w:rsidR="00035EA5">
          <w:rPr>
            <w:webHidden/>
          </w:rPr>
          <w:fldChar w:fldCharType="end"/>
        </w:r>
      </w:hyperlink>
    </w:p>
    <w:p w14:paraId="09DAC927" w14:textId="7C7F9EE2" w:rsidR="00035EA5" w:rsidRDefault="00A570BE">
      <w:pPr>
        <w:pStyle w:val="TableofFigures"/>
        <w:rPr>
          <w:rFonts w:asciiTheme="minorHAnsi" w:eastAsiaTheme="minorEastAsia" w:hAnsiTheme="minorHAnsi" w:cstheme="minorBidi"/>
          <w:bCs w:val="0"/>
          <w:szCs w:val="22"/>
          <w:lang w:val="en-AU" w:eastAsia="en-AU"/>
        </w:rPr>
      </w:pPr>
      <w:hyperlink w:anchor="_Toc514335655" w:history="1">
        <w:r w:rsidR="00035EA5" w:rsidRPr="00E0412B">
          <w:rPr>
            <w:rStyle w:val="Hyperlink"/>
          </w:rPr>
          <w:t>Figure 10 Coral index and metric score relationships to environment</w:t>
        </w:r>
        <w:r w:rsidR="00035EA5">
          <w:rPr>
            <w:rStyle w:val="Hyperlink"/>
          </w:rPr>
          <w:t>al conditions at 5 m depth</w:t>
        </w:r>
        <w:r w:rsidR="00035EA5" w:rsidRPr="00E0412B">
          <w:rPr>
            <w:rStyle w:val="Hyperlink"/>
          </w:rPr>
          <w:t>.</w:t>
        </w:r>
        <w:r w:rsidR="00035EA5">
          <w:rPr>
            <w:webHidden/>
          </w:rPr>
          <w:tab/>
        </w:r>
        <w:r w:rsidR="00035EA5">
          <w:rPr>
            <w:webHidden/>
          </w:rPr>
          <w:fldChar w:fldCharType="begin"/>
        </w:r>
        <w:r w:rsidR="00035EA5">
          <w:rPr>
            <w:webHidden/>
          </w:rPr>
          <w:instrText xml:space="preserve"> PAGEREF _Toc514335655 \h </w:instrText>
        </w:r>
        <w:r w:rsidR="00035EA5">
          <w:rPr>
            <w:webHidden/>
          </w:rPr>
        </w:r>
        <w:r w:rsidR="00035EA5">
          <w:rPr>
            <w:webHidden/>
          </w:rPr>
          <w:fldChar w:fldCharType="separate"/>
        </w:r>
        <w:r w:rsidR="00A75175">
          <w:rPr>
            <w:webHidden/>
          </w:rPr>
          <w:t>33</w:t>
        </w:r>
        <w:r w:rsidR="00035EA5">
          <w:rPr>
            <w:webHidden/>
          </w:rPr>
          <w:fldChar w:fldCharType="end"/>
        </w:r>
      </w:hyperlink>
    </w:p>
    <w:p w14:paraId="2963A3E7" w14:textId="1245E53A" w:rsidR="00035EA5" w:rsidRDefault="00A570BE">
      <w:pPr>
        <w:pStyle w:val="TableofFigures"/>
        <w:rPr>
          <w:rFonts w:asciiTheme="minorHAnsi" w:eastAsiaTheme="minorEastAsia" w:hAnsiTheme="minorHAnsi" w:cstheme="minorBidi"/>
          <w:bCs w:val="0"/>
          <w:szCs w:val="22"/>
          <w:lang w:val="en-AU" w:eastAsia="en-AU"/>
        </w:rPr>
      </w:pPr>
      <w:hyperlink w:anchor="_Toc514335656" w:history="1">
        <w:r w:rsidR="00035EA5" w:rsidRPr="00E0412B">
          <w:rPr>
            <w:rStyle w:val="Hyperlink"/>
          </w:rPr>
          <w:t>Figure 11 Relationship between the coral index and runoff from local catchments.</w:t>
        </w:r>
        <w:r w:rsidR="00035EA5">
          <w:rPr>
            <w:webHidden/>
          </w:rPr>
          <w:tab/>
        </w:r>
        <w:r w:rsidR="00035EA5">
          <w:rPr>
            <w:webHidden/>
          </w:rPr>
          <w:fldChar w:fldCharType="begin"/>
        </w:r>
        <w:r w:rsidR="00035EA5">
          <w:rPr>
            <w:webHidden/>
          </w:rPr>
          <w:instrText xml:space="preserve"> PAGEREF _Toc514335656 \h </w:instrText>
        </w:r>
        <w:r w:rsidR="00035EA5">
          <w:rPr>
            <w:webHidden/>
          </w:rPr>
        </w:r>
        <w:r w:rsidR="00035EA5">
          <w:rPr>
            <w:webHidden/>
          </w:rPr>
          <w:fldChar w:fldCharType="separate"/>
        </w:r>
        <w:r w:rsidR="00A75175">
          <w:rPr>
            <w:webHidden/>
          </w:rPr>
          <w:t>35</w:t>
        </w:r>
        <w:r w:rsidR="00035EA5">
          <w:rPr>
            <w:webHidden/>
          </w:rPr>
          <w:fldChar w:fldCharType="end"/>
        </w:r>
      </w:hyperlink>
    </w:p>
    <w:p w14:paraId="6E939A60" w14:textId="692EF1EC" w:rsidR="00035EA5" w:rsidRDefault="00A570BE">
      <w:pPr>
        <w:pStyle w:val="TableofFigures"/>
        <w:rPr>
          <w:rFonts w:asciiTheme="minorHAnsi" w:eastAsiaTheme="minorEastAsia" w:hAnsiTheme="minorHAnsi" w:cstheme="minorBidi"/>
          <w:bCs w:val="0"/>
          <w:szCs w:val="22"/>
          <w:lang w:val="en-AU" w:eastAsia="en-AU"/>
        </w:rPr>
      </w:pPr>
      <w:hyperlink w:anchor="_Toc514335657" w:history="1">
        <w:r w:rsidR="00035EA5" w:rsidRPr="00E0412B">
          <w:rPr>
            <w:rStyle w:val="Hyperlink"/>
          </w:rPr>
          <w:t>Figure 12 Barron Daintree sub-region environmental pressures.</w:t>
        </w:r>
        <w:r w:rsidR="00035EA5">
          <w:rPr>
            <w:webHidden/>
          </w:rPr>
          <w:tab/>
        </w:r>
        <w:r w:rsidR="00035EA5">
          <w:rPr>
            <w:webHidden/>
          </w:rPr>
          <w:fldChar w:fldCharType="begin"/>
        </w:r>
        <w:r w:rsidR="00035EA5">
          <w:rPr>
            <w:webHidden/>
          </w:rPr>
          <w:instrText xml:space="preserve"> PAGEREF _Toc514335657 \h </w:instrText>
        </w:r>
        <w:r w:rsidR="00035EA5">
          <w:rPr>
            <w:webHidden/>
          </w:rPr>
        </w:r>
        <w:r w:rsidR="00035EA5">
          <w:rPr>
            <w:webHidden/>
          </w:rPr>
          <w:fldChar w:fldCharType="separate"/>
        </w:r>
        <w:r w:rsidR="00A75175">
          <w:rPr>
            <w:webHidden/>
          </w:rPr>
          <w:t>38</w:t>
        </w:r>
        <w:r w:rsidR="00035EA5">
          <w:rPr>
            <w:webHidden/>
          </w:rPr>
          <w:fldChar w:fldCharType="end"/>
        </w:r>
      </w:hyperlink>
    </w:p>
    <w:p w14:paraId="2F963D54" w14:textId="32CF5399" w:rsidR="00035EA5" w:rsidRDefault="00A570BE">
      <w:pPr>
        <w:pStyle w:val="TableofFigures"/>
        <w:rPr>
          <w:rFonts w:asciiTheme="minorHAnsi" w:eastAsiaTheme="minorEastAsia" w:hAnsiTheme="minorHAnsi" w:cstheme="minorBidi"/>
          <w:bCs w:val="0"/>
          <w:szCs w:val="22"/>
          <w:lang w:val="en-AU" w:eastAsia="en-AU"/>
        </w:rPr>
      </w:pPr>
      <w:hyperlink w:anchor="_Toc514335658" w:history="1">
        <w:r w:rsidR="00035EA5" w:rsidRPr="00E0412B">
          <w:rPr>
            <w:rStyle w:val="Hyperlink"/>
          </w:rPr>
          <w:t>Figure 13 Barron Daintree sub-region index and indicator trends.</w:t>
        </w:r>
        <w:r w:rsidR="00035EA5">
          <w:rPr>
            <w:webHidden/>
          </w:rPr>
          <w:tab/>
        </w:r>
        <w:r w:rsidR="00035EA5">
          <w:rPr>
            <w:webHidden/>
          </w:rPr>
          <w:fldChar w:fldCharType="begin"/>
        </w:r>
        <w:r w:rsidR="00035EA5">
          <w:rPr>
            <w:webHidden/>
          </w:rPr>
          <w:instrText xml:space="preserve"> PAGEREF _Toc514335658 \h </w:instrText>
        </w:r>
        <w:r w:rsidR="00035EA5">
          <w:rPr>
            <w:webHidden/>
          </w:rPr>
        </w:r>
        <w:r w:rsidR="00035EA5">
          <w:rPr>
            <w:webHidden/>
          </w:rPr>
          <w:fldChar w:fldCharType="separate"/>
        </w:r>
        <w:r w:rsidR="00A75175">
          <w:rPr>
            <w:webHidden/>
          </w:rPr>
          <w:t>39</w:t>
        </w:r>
        <w:r w:rsidR="00035EA5">
          <w:rPr>
            <w:webHidden/>
          </w:rPr>
          <w:fldChar w:fldCharType="end"/>
        </w:r>
      </w:hyperlink>
    </w:p>
    <w:p w14:paraId="31BB7B16" w14:textId="48AE4250" w:rsidR="00035EA5" w:rsidRDefault="00A570BE">
      <w:pPr>
        <w:pStyle w:val="TableofFigures"/>
        <w:rPr>
          <w:rFonts w:asciiTheme="minorHAnsi" w:eastAsiaTheme="minorEastAsia" w:hAnsiTheme="minorHAnsi" w:cstheme="minorBidi"/>
          <w:bCs w:val="0"/>
          <w:szCs w:val="22"/>
          <w:lang w:val="en-AU" w:eastAsia="en-AU"/>
        </w:rPr>
      </w:pPr>
      <w:hyperlink w:anchor="_Toc514335659" w:history="1">
        <w:r w:rsidR="00035EA5" w:rsidRPr="00E0412B">
          <w:rPr>
            <w:rStyle w:val="Hyperlink"/>
          </w:rPr>
          <w:t>Figure 14 Johnstone Russell-Mulgrave sub-region environmental pressures.</w:t>
        </w:r>
        <w:r w:rsidR="00035EA5">
          <w:rPr>
            <w:webHidden/>
          </w:rPr>
          <w:tab/>
        </w:r>
        <w:r w:rsidR="00035EA5">
          <w:rPr>
            <w:webHidden/>
          </w:rPr>
          <w:fldChar w:fldCharType="begin"/>
        </w:r>
        <w:r w:rsidR="00035EA5">
          <w:rPr>
            <w:webHidden/>
          </w:rPr>
          <w:instrText xml:space="preserve"> PAGEREF _Toc514335659 \h </w:instrText>
        </w:r>
        <w:r w:rsidR="00035EA5">
          <w:rPr>
            <w:webHidden/>
          </w:rPr>
        </w:r>
        <w:r w:rsidR="00035EA5">
          <w:rPr>
            <w:webHidden/>
          </w:rPr>
          <w:fldChar w:fldCharType="separate"/>
        </w:r>
        <w:r w:rsidR="00A75175">
          <w:rPr>
            <w:webHidden/>
          </w:rPr>
          <w:t>42</w:t>
        </w:r>
        <w:r w:rsidR="00035EA5">
          <w:rPr>
            <w:webHidden/>
          </w:rPr>
          <w:fldChar w:fldCharType="end"/>
        </w:r>
      </w:hyperlink>
    </w:p>
    <w:p w14:paraId="006DBDFB" w14:textId="66E667BD" w:rsidR="00035EA5" w:rsidRDefault="00A570BE">
      <w:pPr>
        <w:pStyle w:val="TableofFigures"/>
        <w:rPr>
          <w:rFonts w:asciiTheme="minorHAnsi" w:eastAsiaTheme="minorEastAsia" w:hAnsiTheme="minorHAnsi" w:cstheme="minorBidi"/>
          <w:bCs w:val="0"/>
          <w:szCs w:val="22"/>
          <w:lang w:val="en-AU" w:eastAsia="en-AU"/>
        </w:rPr>
      </w:pPr>
      <w:hyperlink w:anchor="_Toc514335660" w:history="1">
        <w:r w:rsidR="00035EA5" w:rsidRPr="00E0412B">
          <w:rPr>
            <w:rStyle w:val="Hyperlink"/>
          </w:rPr>
          <w:t>Figure 15 Johnstone Russell-Mulgrave sub-region index and indicator trends..</w:t>
        </w:r>
        <w:r w:rsidR="00035EA5">
          <w:rPr>
            <w:webHidden/>
          </w:rPr>
          <w:tab/>
        </w:r>
        <w:r w:rsidR="00035EA5">
          <w:rPr>
            <w:webHidden/>
          </w:rPr>
          <w:fldChar w:fldCharType="begin"/>
        </w:r>
        <w:r w:rsidR="00035EA5">
          <w:rPr>
            <w:webHidden/>
          </w:rPr>
          <w:instrText xml:space="preserve"> PAGEREF _Toc514335660 \h </w:instrText>
        </w:r>
        <w:r w:rsidR="00035EA5">
          <w:rPr>
            <w:webHidden/>
          </w:rPr>
        </w:r>
        <w:r w:rsidR="00035EA5">
          <w:rPr>
            <w:webHidden/>
          </w:rPr>
          <w:fldChar w:fldCharType="separate"/>
        </w:r>
        <w:r w:rsidR="00A75175">
          <w:rPr>
            <w:webHidden/>
          </w:rPr>
          <w:t>43</w:t>
        </w:r>
        <w:r w:rsidR="00035EA5">
          <w:rPr>
            <w:webHidden/>
          </w:rPr>
          <w:fldChar w:fldCharType="end"/>
        </w:r>
      </w:hyperlink>
    </w:p>
    <w:p w14:paraId="0D1E0880" w14:textId="77777777" w:rsidR="00035EA5" w:rsidRDefault="00A570BE">
      <w:pPr>
        <w:pStyle w:val="TableofFigures"/>
        <w:rPr>
          <w:rFonts w:asciiTheme="minorHAnsi" w:eastAsiaTheme="minorEastAsia" w:hAnsiTheme="minorHAnsi" w:cstheme="minorBidi"/>
          <w:bCs w:val="0"/>
          <w:szCs w:val="22"/>
          <w:lang w:val="en-AU" w:eastAsia="en-AU"/>
        </w:rPr>
      </w:pPr>
      <w:hyperlink w:anchor="_Toc514335661" w:history="1">
        <w:r w:rsidR="00035EA5" w:rsidRPr="00E0412B">
          <w:rPr>
            <w:rStyle w:val="Hyperlink"/>
          </w:rPr>
          <w:t>Figure 16 Herbert Tully sub-region environmental pressures.</w:t>
        </w:r>
        <w:r w:rsidR="00035EA5">
          <w:rPr>
            <w:webHidden/>
          </w:rPr>
          <w:tab/>
        </w:r>
        <w:r w:rsidR="00035EA5">
          <w:rPr>
            <w:webHidden/>
          </w:rPr>
          <w:fldChar w:fldCharType="begin"/>
        </w:r>
        <w:r w:rsidR="00035EA5">
          <w:rPr>
            <w:webHidden/>
          </w:rPr>
          <w:instrText xml:space="preserve"> PAGEREF _Toc514335661 \h </w:instrText>
        </w:r>
        <w:r w:rsidR="00035EA5">
          <w:rPr>
            <w:webHidden/>
          </w:rPr>
        </w:r>
        <w:r w:rsidR="00035EA5">
          <w:rPr>
            <w:webHidden/>
          </w:rPr>
          <w:fldChar w:fldCharType="separate"/>
        </w:r>
        <w:r w:rsidR="00A75175">
          <w:rPr>
            <w:webHidden/>
          </w:rPr>
          <w:t>46</w:t>
        </w:r>
        <w:r w:rsidR="00035EA5">
          <w:rPr>
            <w:webHidden/>
          </w:rPr>
          <w:fldChar w:fldCharType="end"/>
        </w:r>
      </w:hyperlink>
    </w:p>
    <w:p w14:paraId="5438C076" w14:textId="3B79E7D8" w:rsidR="00035EA5" w:rsidRDefault="00A570BE">
      <w:pPr>
        <w:pStyle w:val="TableofFigures"/>
        <w:rPr>
          <w:rFonts w:asciiTheme="minorHAnsi" w:eastAsiaTheme="minorEastAsia" w:hAnsiTheme="minorHAnsi" w:cstheme="minorBidi"/>
          <w:bCs w:val="0"/>
          <w:szCs w:val="22"/>
          <w:lang w:val="en-AU" w:eastAsia="en-AU"/>
        </w:rPr>
      </w:pPr>
      <w:hyperlink w:anchor="_Toc514335662" w:history="1">
        <w:r w:rsidR="00035EA5" w:rsidRPr="00E0412B">
          <w:rPr>
            <w:rStyle w:val="Hyperlink"/>
          </w:rPr>
          <w:t>Figure 17 Herbert Tully sub-region index and indicator trends.</w:t>
        </w:r>
        <w:r w:rsidR="00035EA5">
          <w:rPr>
            <w:webHidden/>
          </w:rPr>
          <w:tab/>
        </w:r>
        <w:r w:rsidR="00035EA5">
          <w:rPr>
            <w:webHidden/>
          </w:rPr>
          <w:fldChar w:fldCharType="begin"/>
        </w:r>
        <w:r w:rsidR="00035EA5">
          <w:rPr>
            <w:webHidden/>
          </w:rPr>
          <w:instrText xml:space="preserve"> PAGEREF _Toc514335662 \h </w:instrText>
        </w:r>
        <w:r w:rsidR="00035EA5">
          <w:rPr>
            <w:webHidden/>
          </w:rPr>
        </w:r>
        <w:r w:rsidR="00035EA5">
          <w:rPr>
            <w:webHidden/>
          </w:rPr>
          <w:fldChar w:fldCharType="separate"/>
        </w:r>
        <w:r w:rsidR="00A75175">
          <w:rPr>
            <w:webHidden/>
          </w:rPr>
          <w:t>47</w:t>
        </w:r>
        <w:r w:rsidR="00035EA5">
          <w:rPr>
            <w:webHidden/>
          </w:rPr>
          <w:fldChar w:fldCharType="end"/>
        </w:r>
      </w:hyperlink>
    </w:p>
    <w:p w14:paraId="203C496C" w14:textId="5FCF5978" w:rsidR="00035EA5" w:rsidRDefault="00A570BE">
      <w:pPr>
        <w:pStyle w:val="TableofFigures"/>
        <w:rPr>
          <w:rFonts w:asciiTheme="minorHAnsi" w:eastAsiaTheme="minorEastAsia" w:hAnsiTheme="minorHAnsi" w:cstheme="minorBidi"/>
          <w:bCs w:val="0"/>
          <w:szCs w:val="22"/>
          <w:lang w:val="en-AU" w:eastAsia="en-AU"/>
        </w:rPr>
      </w:pPr>
      <w:hyperlink w:anchor="_Toc514335663" w:history="1">
        <w:r w:rsidR="00035EA5" w:rsidRPr="00E0412B">
          <w:rPr>
            <w:rStyle w:val="Hyperlink"/>
          </w:rPr>
          <w:t>Figure 18 Burdekin Region environmental pressures.</w:t>
        </w:r>
        <w:r w:rsidR="00035EA5">
          <w:rPr>
            <w:webHidden/>
          </w:rPr>
          <w:tab/>
        </w:r>
        <w:r w:rsidR="00035EA5">
          <w:rPr>
            <w:webHidden/>
          </w:rPr>
          <w:fldChar w:fldCharType="begin"/>
        </w:r>
        <w:r w:rsidR="00035EA5">
          <w:rPr>
            <w:webHidden/>
          </w:rPr>
          <w:instrText xml:space="preserve"> PAGEREF _Toc514335663 \h </w:instrText>
        </w:r>
        <w:r w:rsidR="00035EA5">
          <w:rPr>
            <w:webHidden/>
          </w:rPr>
        </w:r>
        <w:r w:rsidR="00035EA5">
          <w:rPr>
            <w:webHidden/>
          </w:rPr>
          <w:fldChar w:fldCharType="separate"/>
        </w:r>
        <w:r w:rsidR="00A75175">
          <w:rPr>
            <w:webHidden/>
          </w:rPr>
          <w:t>50</w:t>
        </w:r>
        <w:r w:rsidR="00035EA5">
          <w:rPr>
            <w:webHidden/>
          </w:rPr>
          <w:fldChar w:fldCharType="end"/>
        </w:r>
      </w:hyperlink>
    </w:p>
    <w:p w14:paraId="43D9683C" w14:textId="41845290" w:rsidR="00035EA5" w:rsidRDefault="00A570BE">
      <w:pPr>
        <w:pStyle w:val="TableofFigures"/>
        <w:rPr>
          <w:rFonts w:asciiTheme="minorHAnsi" w:eastAsiaTheme="minorEastAsia" w:hAnsiTheme="minorHAnsi" w:cstheme="minorBidi"/>
          <w:bCs w:val="0"/>
          <w:szCs w:val="22"/>
          <w:lang w:val="en-AU" w:eastAsia="en-AU"/>
        </w:rPr>
      </w:pPr>
      <w:hyperlink w:anchor="_Toc514335664" w:history="1">
        <w:r w:rsidR="00035EA5" w:rsidRPr="00E0412B">
          <w:rPr>
            <w:rStyle w:val="Hyperlink"/>
          </w:rPr>
          <w:t>Figure 19 Burdekin Region index and indicator trends.</w:t>
        </w:r>
        <w:r w:rsidR="00035EA5">
          <w:rPr>
            <w:webHidden/>
          </w:rPr>
          <w:tab/>
        </w:r>
        <w:r w:rsidR="00035EA5">
          <w:rPr>
            <w:webHidden/>
          </w:rPr>
          <w:fldChar w:fldCharType="begin"/>
        </w:r>
        <w:r w:rsidR="00035EA5">
          <w:rPr>
            <w:webHidden/>
          </w:rPr>
          <w:instrText xml:space="preserve"> PAGEREF _Toc514335664 \h </w:instrText>
        </w:r>
        <w:r w:rsidR="00035EA5">
          <w:rPr>
            <w:webHidden/>
          </w:rPr>
        </w:r>
        <w:r w:rsidR="00035EA5">
          <w:rPr>
            <w:webHidden/>
          </w:rPr>
          <w:fldChar w:fldCharType="separate"/>
        </w:r>
        <w:r w:rsidR="00A75175">
          <w:rPr>
            <w:webHidden/>
          </w:rPr>
          <w:t>51</w:t>
        </w:r>
        <w:r w:rsidR="00035EA5">
          <w:rPr>
            <w:webHidden/>
          </w:rPr>
          <w:fldChar w:fldCharType="end"/>
        </w:r>
      </w:hyperlink>
    </w:p>
    <w:p w14:paraId="0680A1E3" w14:textId="5C3A556A" w:rsidR="00035EA5" w:rsidRDefault="00A570BE">
      <w:pPr>
        <w:pStyle w:val="TableofFigures"/>
        <w:rPr>
          <w:rFonts w:asciiTheme="minorHAnsi" w:eastAsiaTheme="minorEastAsia" w:hAnsiTheme="minorHAnsi" w:cstheme="minorBidi"/>
          <w:bCs w:val="0"/>
          <w:szCs w:val="22"/>
          <w:lang w:val="en-AU" w:eastAsia="en-AU"/>
        </w:rPr>
      </w:pPr>
      <w:hyperlink w:anchor="_Toc514335665" w:history="1">
        <w:r w:rsidR="00035EA5" w:rsidRPr="00E0412B">
          <w:rPr>
            <w:rStyle w:val="Hyperlink"/>
          </w:rPr>
          <w:t>Figure 20 Mackay Whitsunday Region environmental pressures.</w:t>
        </w:r>
        <w:r w:rsidR="00035EA5">
          <w:rPr>
            <w:webHidden/>
          </w:rPr>
          <w:tab/>
        </w:r>
        <w:r w:rsidR="00035EA5">
          <w:rPr>
            <w:webHidden/>
          </w:rPr>
          <w:fldChar w:fldCharType="begin"/>
        </w:r>
        <w:r w:rsidR="00035EA5">
          <w:rPr>
            <w:webHidden/>
          </w:rPr>
          <w:instrText xml:space="preserve"> PAGEREF _Toc514335665 \h </w:instrText>
        </w:r>
        <w:r w:rsidR="00035EA5">
          <w:rPr>
            <w:webHidden/>
          </w:rPr>
        </w:r>
        <w:r w:rsidR="00035EA5">
          <w:rPr>
            <w:webHidden/>
          </w:rPr>
          <w:fldChar w:fldCharType="separate"/>
        </w:r>
        <w:r w:rsidR="00A75175">
          <w:rPr>
            <w:webHidden/>
          </w:rPr>
          <w:t>54</w:t>
        </w:r>
        <w:r w:rsidR="00035EA5">
          <w:rPr>
            <w:webHidden/>
          </w:rPr>
          <w:fldChar w:fldCharType="end"/>
        </w:r>
      </w:hyperlink>
    </w:p>
    <w:p w14:paraId="0FCF3E03" w14:textId="1BD55A5B" w:rsidR="00035EA5" w:rsidRDefault="00A570BE">
      <w:pPr>
        <w:pStyle w:val="TableofFigures"/>
        <w:rPr>
          <w:rFonts w:asciiTheme="minorHAnsi" w:eastAsiaTheme="minorEastAsia" w:hAnsiTheme="minorHAnsi" w:cstheme="minorBidi"/>
          <w:bCs w:val="0"/>
          <w:szCs w:val="22"/>
          <w:lang w:val="en-AU" w:eastAsia="en-AU"/>
        </w:rPr>
      </w:pPr>
      <w:hyperlink w:anchor="_Toc514335666" w:history="1">
        <w:r w:rsidR="00035EA5" w:rsidRPr="00E0412B">
          <w:rPr>
            <w:rStyle w:val="Hyperlink"/>
          </w:rPr>
          <w:t>Figure 21 Mackay Whitsunday Region index and indicator trends..</w:t>
        </w:r>
        <w:r w:rsidR="00035EA5">
          <w:rPr>
            <w:webHidden/>
          </w:rPr>
          <w:tab/>
        </w:r>
        <w:r w:rsidR="00035EA5">
          <w:rPr>
            <w:webHidden/>
          </w:rPr>
          <w:fldChar w:fldCharType="begin"/>
        </w:r>
        <w:r w:rsidR="00035EA5">
          <w:rPr>
            <w:webHidden/>
          </w:rPr>
          <w:instrText xml:space="preserve"> PAGEREF _Toc514335666 \h </w:instrText>
        </w:r>
        <w:r w:rsidR="00035EA5">
          <w:rPr>
            <w:webHidden/>
          </w:rPr>
        </w:r>
        <w:r w:rsidR="00035EA5">
          <w:rPr>
            <w:webHidden/>
          </w:rPr>
          <w:fldChar w:fldCharType="separate"/>
        </w:r>
        <w:r w:rsidR="00A75175">
          <w:rPr>
            <w:webHidden/>
          </w:rPr>
          <w:t>55</w:t>
        </w:r>
        <w:r w:rsidR="00035EA5">
          <w:rPr>
            <w:webHidden/>
          </w:rPr>
          <w:fldChar w:fldCharType="end"/>
        </w:r>
      </w:hyperlink>
    </w:p>
    <w:p w14:paraId="1C8AA394" w14:textId="77777777" w:rsidR="00035EA5" w:rsidRDefault="00A570BE">
      <w:pPr>
        <w:pStyle w:val="TableofFigures"/>
        <w:rPr>
          <w:rFonts w:asciiTheme="minorHAnsi" w:eastAsiaTheme="minorEastAsia" w:hAnsiTheme="minorHAnsi" w:cstheme="minorBidi"/>
          <w:bCs w:val="0"/>
          <w:szCs w:val="22"/>
          <w:lang w:val="en-AU" w:eastAsia="en-AU"/>
        </w:rPr>
      </w:pPr>
      <w:hyperlink w:anchor="_Toc514335667" w:history="1">
        <w:r w:rsidR="00035EA5" w:rsidRPr="00E0412B">
          <w:rPr>
            <w:rStyle w:val="Hyperlink"/>
          </w:rPr>
          <w:t>Figure 22 Fitzroy Region environmental pressures.</w:t>
        </w:r>
        <w:r w:rsidR="00035EA5">
          <w:rPr>
            <w:webHidden/>
          </w:rPr>
          <w:tab/>
        </w:r>
        <w:r w:rsidR="00035EA5">
          <w:rPr>
            <w:webHidden/>
          </w:rPr>
          <w:fldChar w:fldCharType="begin"/>
        </w:r>
        <w:r w:rsidR="00035EA5">
          <w:rPr>
            <w:webHidden/>
          </w:rPr>
          <w:instrText xml:space="preserve"> PAGEREF _Toc514335667 \h </w:instrText>
        </w:r>
        <w:r w:rsidR="00035EA5">
          <w:rPr>
            <w:webHidden/>
          </w:rPr>
        </w:r>
        <w:r w:rsidR="00035EA5">
          <w:rPr>
            <w:webHidden/>
          </w:rPr>
          <w:fldChar w:fldCharType="separate"/>
        </w:r>
        <w:r w:rsidR="00A75175">
          <w:rPr>
            <w:webHidden/>
          </w:rPr>
          <w:t>58</w:t>
        </w:r>
        <w:r w:rsidR="00035EA5">
          <w:rPr>
            <w:webHidden/>
          </w:rPr>
          <w:fldChar w:fldCharType="end"/>
        </w:r>
      </w:hyperlink>
    </w:p>
    <w:p w14:paraId="0DB217DF" w14:textId="37E52D92" w:rsidR="00035EA5" w:rsidRDefault="00A570BE">
      <w:pPr>
        <w:pStyle w:val="TableofFigures"/>
        <w:rPr>
          <w:rFonts w:asciiTheme="minorHAnsi" w:eastAsiaTheme="minorEastAsia" w:hAnsiTheme="minorHAnsi" w:cstheme="minorBidi"/>
          <w:bCs w:val="0"/>
          <w:szCs w:val="22"/>
          <w:lang w:val="en-AU" w:eastAsia="en-AU"/>
        </w:rPr>
      </w:pPr>
      <w:hyperlink w:anchor="_Toc514335668" w:history="1">
        <w:r w:rsidR="00035EA5" w:rsidRPr="00E0412B">
          <w:rPr>
            <w:rStyle w:val="Hyperlink"/>
          </w:rPr>
          <w:t>Figure 23 Fitzroy Region index and indicator trends.</w:t>
        </w:r>
        <w:r w:rsidR="00035EA5">
          <w:rPr>
            <w:webHidden/>
          </w:rPr>
          <w:tab/>
        </w:r>
        <w:r w:rsidR="00035EA5">
          <w:rPr>
            <w:webHidden/>
          </w:rPr>
          <w:fldChar w:fldCharType="begin"/>
        </w:r>
        <w:r w:rsidR="00035EA5">
          <w:rPr>
            <w:webHidden/>
          </w:rPr>
          <w:instrText xml:space="preserve"> PAGEREF _Toc514335668 \h </w:instrText>
        </w:r>
        <w:r w:rsidR="00035EA5">
          <w:rPr>
            <w:webHidden/>
          </w:rPr>
        </w:r>
        <w:r w:rsidR="00035EA5">
          <w:rPr>
            <w:webHidden/>
          </w:rPr>
          <w:fldChar w:fldCharType="separate"/>
        </w:r>
        <w:r w:rsidR="00A75175">
          <w:rPr>
            <w:webHidden/>
          </w:rPr>
          <w:t>59</w:t>
        </w:r>
        <w:r w:rsidR="00035EA5">
          <w:rPr>
            <w:webHidden/>
          </w:rPr>
          <w:fldChar w:fldCharType="end"/>
        </w:r>
      </w:hyperlink>
    </w:p>
    <w:p w14:paraId="044A74D9" w14:textId="1621492E" w:rsidR="00035EA5" w:rsidRDefault="00A570BE">
      <w:pPr>
        <w:pStyle w:val="TableofFigures"/>
        <w:rPr>
          <w:rFonts w:asciiTheme="minorHAnsi" w:eastAsiaTheme="minorEastAsia" w:hAnsiTheme="minorHAnsi" w:cstheme="minorBidi"/>
          <w:bCs w:val="0"/>
          <w:szCs w:val="22"/>
          <w:lang w:val="en-AU" w:eastAsia="en-AU"/>
        </w:rPr>
      </w:pPr>
      <w:hyperlink w:anchor="_Toc514335669" w:history="1">
        <w:r w:rsidR="00035EA5" w:rsidRPr="00E0412B">
          <w:rPr>
            <w:rStyle w:val="Hyperlink"/>
          </w:rPr>
          <w:t>Figure 24</w:t>
        </w:r>
        <w:r w:rsidR="00035EA5" w:rsidRPr="00E0412B">
          <w:rPr>
            <w:rStyle w:val="Hyperlink"/>
            <w:shd w:val="clear" w:color="auto" w:fill="FFFFFF"/>
          </w:rPr>
          <w:t xml:space="preserve"> Composite map of surveyed corals across the 2016 and 2017 bleaching events.</w:t>
        </w:r>
        <w:r w:rsidR="00035EA5">
          <w:rPr>
            <w:webHidden/>
          </w:rPr>
          <w:tab/>
        </w:r>
        <w:r w:rsidR="00035EA5">
          <w:rPr>
            <w:webHidden/>
          </w:rPr>
          <w:fldChar w:fldCharType="begin"/>
        </w:r>
        <w:r w:rsidR="00035EA5">
          <w:rPr>
            <w:webHidden/>
          </w:rPr>
          <w:instrText xml:space="preserve"> PAGEREF _Toc514335669 \h </w:instrText>
        </w:r>
        <w:r w:rsidR="00035EA5">
          <w:rPr>
            <w:webHidden/>
          </w:rPr>
        </w:r>
        <w:r w:rsidR="00035EA5">
          <w:rPr>
            <w:webHidden/>
          </w:rPr>
          <w:fldChar w:fldCharType="separate"/>
        </w:r>
        <w:r w:rsidR="00A75175">
          <w:rPr>
            <w:webHidden/>
          </w:rPr>
          <w:t>72</w:t>
        </w:r>
        <w:r w:rsidR="00035EA5">
          <w:rPr>
            <w:webHidden/>
          </w:rPr>
          <w:fldChar w:fldCharType="end"/>
        </w:r>
      </w:hyperlink>
    </w:p>
    <w:p w14:paraId="37714A1A" w14:textId="431A3400" w:rsidR="00035EA5" w:rsidRDefault="00A570BE">
      <w:pPr>
        <w:pStyle w:val="TableofFigures"/>
        <w:rPr>
          <w:rFonts w:asciiTheme="minorHAnsi" w:eastAsiaTheme="minorEastAsia" w:hAnsiTheme="minorHAnsi" w:cstheme="minorBidi"/>
          <w:bCs w:val="0"/>
          <w:szCs w:val="22"/>
          <w:lang w:val="en-AU" w:eastAsia="en-AU"/>
        </w:rPr>
      </w:pPr>
      <w:hyperlink w:anchor="_Toc514335670" w:history="1">
        <w:r w:rsidR="00035EA5" w:rsidRPr="00E0412B">
          <w:rPr>
            <w:rStyle w:val="Hyperlink"/>
          </w:rPr>
          <w:t>Figure 25 Regional temperature anomalies from the 2005-2017.</w:t>
        </w:r>
        <w:r w:rsidR="00035EA5">
          <w:rPr>
            <w:webHidden/>
          </w:rPr>
          <w:tab/>
        </w:r>
        <w:r w:rsidR="00035EA5">
          <w:rPr>
            <w:webHidden/>
          </w:rPr>
          <w:fldChar w:fldCharType="begin"/>
        </w:r>
        <w:r w:rsidR="00035EA5">
          <w:rPr>
            <w:webHidden/>
          </w:rPr>
          <w:instrText xml:space="preserve"> PAGEREF _Toc514335670 \h </w:instrText>
        </w:r>
        <w:r w:rsidR="00035EA5">
          <w:rPr>
            <w:webHidden/>
          </w:rPr>
        </w:r>
        <w:r w:rsidR="00035EA5">
          <w:rPr>
            <w:webHidden/>
          </w:rPr>
          <w:fldChar w:fldCharType="separate"/>
        </w:r>
        <w:r w:rsidR="00A75175">
          <w:rPr>
            <w:webHidden/>
          </w:rPr>
          <w:t>76</w:t>
        </w:r>
        <w:r w:rsidR="00035EA5">
          <w:rPr>
            <w:webHidden/>
          </w:rPr>
          <w:fldChar w:fldCharType="end"/>
        </w:r>
      </w:hyperlink>
    </w:p>
    <w:p w14:paraId="103493CD" w14:textId="2861312C" w:rsidR="00035EA5" w:rsidRDefault="00A570BE">
      <w:pPr>
        <w:pStyle w:val="TableofFigures"/>
        <w:rPr>
          <w:rFonts w:asciiTheme="minorHAnsi" w:eastAsiaTheme="minorEastAsia" w:hAnsiTheme="minorHAnsi" w:cstheme="minorBidi"/>
          <w:bCs w:val="0"/>
          <w:szCs w:val="22"/>
          <w:lang w:val="en-AU" w:eastAsia="en-AU"/>
        </w:rPr>
      </w:pPr>
      <w:hyperlink w:anchor="_Toc514335671" w:history="1">
        <w:r w:rsidR="00035EA5" w:rsidRPr="00E0412B">
          <w:rPr>
            <w:rStyle w:val="Hyperlink"/>
          </w:rPr>
          <w:t>Figure 26 Comparison of Coral Index and Coral cover metric.</w:t>
        </w:r>
        <w:r w:rsidR="00035EA5">
          <w:rPr>
            <w:webHidden/>
          </w:rPr>
          <w:tab/>
        </w:r>
        <w:r w:rsidR="00035EA5">
          <w:rPr>
            <w:webHidden/>
          </w:rPr>
          <w:fldChar w:fldCharType="begin"/>
        </w:r>
        <w:r w:rsidR="00035EA5">
          <w:rPr>
            <w:webHidden/>
          </w:rPr>
          <w:instrText xml:space="preserve"> PAGEREF _Toc514335671 \h </w:instrText>
        </w:r>
        <w:r w:rsidR="00035EA5">
          <w:rPr>
            <w:webHidden/>
          </w:rPr>
        </w:r>
        <w:r w:rsidR="00035EA5">
          <w:rPr>
            <w:webHidden/>
          </w:rPr>
          <w:fldChar w:fldCharType="separate"/>
        </w:r>
        <w:r w:rsidR="00A75175">
          <w:rPr>
            <w:webHidden/>
          </w:rPr>
          <w:t>86</w:t>
        </w:r>
        <w:r w:rsidR="00035EA5">
          <w:rPr>
            <w:webHidden/>
          </w:rPr>
          <w:fldChar w:fldCharType="end"/>
        </w:r>
      </w:hyperlink>
    </w:p>
    <w:p w14:paraId="4C16D678" w14:textId="4FA41883" w:rsidR="00035EA5" w:rsidRDefault="00A570BE">
      <w:pPr>
        <w:pStyle w:val="TableofFigures"/>
        <w:rPr>
          <w:rFonts w:asciiTheme="minorHAnsi" w:eastAsiaTheme="minorEastAsia" w:hAnsiTheme="minorHAnsi" w:cstheme="minorBidi"/>
          <w:bCs w:val="0"/>
          <w:szCs w:val="22"/>
          <w:lang w:val="en-AU" w:eastAsia="en-AU"/>
        </w:rPr>
      </w:pPr>
      <w:hyperlink w:anchor="_Toc514335672" w:history="1">
        <w:r w:rsidR="00035EA5" w:rsidRPr="00E0412B">
          <w:rPr>
            <w:rStyle w:val="Hyperlink"/>
          </w:rPr>
          <w:t>Figure 27 Comparison of Coral cover trends.</w:t>
        </w:r>
        <w:r w:rsidR="00035EA5">
          <w:rPr>
            <w:webHidden/>
          </w:rPr>
          <w:tab/>
        </w:r>
        <w:r w:rsidR="00035EA5">
          <w:rPr>
            <w:webHidden/>
          </w:rPr>
          <w:fldChar w:fldCharType="begin"/>
        </w:r>
        <w:r w:rsidR="00035EA5">
          <w:rPr>
            <w:webHidden/>
          </w:rPr>
          <w:instrText xml:space="preserve"> PAGEREF _Toc514335672 \h </w:instrText>
        </w:r>
        <w:r w:rsidR="00035EA5">
          <w:rPr>
            <w:webHidden/>
          </w:rPr>
        </w:r>
        <w:r w:rsidR="00035EA5">
          <w:rPr>
            <w:webHidden/>
          </w:rPr>
          <w:fldChar w:fldCharType="separate"/>
        </w:r>
        <w:r w:rsidR="00A75175">
          <w:rPr>
            <w:webHidden/>
          </w:rPr>
          <w:t>87</w:t>
        </w:r>
        <w:r w:rsidR="00035EA5">
          <w:rPr>
            <w:webHidden/>
          </w:rPr>
          <w:fldChar w:fldCharType="end"/>
        </w:r>
      </w:hyperlink>
    </w:p>
    <w:p w14:paraId="232E9FDF" w14:textId="5CEBDDF1" w:rsidR="00035EA5" w:rsidRDefault="00A570BE">
      <w:pPr>
        <w:pStyle w:val="TableofFigures"/>
        <w:rPr>
          <w:rFonts w:asciiTheme="minorHAnsi" w:eastAsiaTheme="minorEastAsia" w:hAnsiTheme="minorHAnsi" w:cstheme="minorBidi"/>
          <w:bCs w:val="0"/>
          <w:szCs w:val="22"/>
          <w:lang w:val="en-AU" w:eastAsia="en-AU"/>
        </w:rPr>
      </w:pPr>
      <w:hyperlink w:anchor="_Toc514335673" w:history="1">
        <w:r w:rsidR="00035EA5" w:rsidRPr="00E0412B">
          <w:rPr>
            <w:rStyle w:val="Hyperlink"/>
          </w:rPr>
          <w:t>Figure 28 Theoretical influence of sampling intensity on precision of coral cover estimates..</w:t>
        </w:r>
        <w:r w:rsidR="00035EA5">
          <w:rPr>
            <w:webHidden/>
          </w:rPr>
          <w:tab/>
        </w:r>
        <w:r w:rsidR="00035EA5">
          <w:rPr>
            <w:webHidden/>
          </w:rPr>
          <w:fldChar w:fldCharType="begin"/>
        </w:r>
        <w:r w:rsidR="00035EA5">
          <w:rPr>
            <w:webHidden/>
          </w:rPr>
          <w:instrText xml:space="preserve"> PAGEREF _Toc514335673 \h </w:instrText>
        </w:r>
        <w:r w:rsidR="00035EA5">
          <w:rPr>
            <w:webHidden/>
          </w:rPr>
        </w:r>
        <w:r w:rsidR="00035EA5">
          <w:rPr>
            <w:webHidden/>
          </w:rPr>
          <w:fldChar w:fldCharType="separate"/>
        </w:r>
        <w:r w:rsidR="00A75175">
          <w:rPr>
            <w:webHidden/>
          </w:rPr>
          <w:t>88</w:t>
        </w:r>
        <w:r w:rsidR="00035EA5">
          <w:rPr>
            <w:webHidden/>
          </w:rPr>
          <w:fldChar w:fldCharType="end"/>
        </w:r>
      </w:hyperlink>
    </w:p>
    <w:p w14:paraId="5DC4524D" w14:textId="77777777" w:rsidR="00361331" w:rsidRPr="00F352E1" w:rsidRDefault="00044E50" w:rsidP="0026052F">
      <w:pPr>
        <w:ind w:right="284"/>
        <w:rPr>
          <w:rFonts w:cs="Arial"/>
          <w:bCs/>
          <w:color w:val="4F81BD" w:themeColor="accent1"/>
          <w:szCs w:val="22"/>
        </w:rPr>
      </w:pPr>
      <w:r w:rsidRPr="00F352E1">
        <w:rPr>
          <w:rFonts w:cs="Arial"/>
          <w:bCs/>
          <w:color w:val="4F81BD" w:themeColor="accent1"/>
          <w:szCs w:val="22"/>
        </w:rPr>
        <w:fldChar w:fldCharType="end"/>
      </w:r>
    </w:p>
    <w:p w14:paraId="364A25C4" w14:textId="1A42CE95" w:rsidR="0024084A" w:rsidRDefault="00044E50">
      <w:pPr>
        <w:pStyle w:val="TableofFigures"/>
        <w:rPr>
          <w:rFonts w:asciiTheme="minorHAnsi" w:eastAsiaTheme="minorEastAsia" w:hAnsiTheme="minorHAnsi" w:cstheme="minorBidi"/>
          <w:bCs w:val="0"/>
          <w:szCs w:val="22"/>
          <w:lang w:val="en-AU" w:eastAsia="en-AU"/>
        </w:rPr>
      </w:pPr>
      <w:r w:rsidRPr="00F352E1">
        <w:rPr>
          <w:color w:val="4F81BD" w:themeColor="accent1"/>
        </w:rPr>
        <w:fldChar w:fldCharType="begin"/>
      </w:r>
      <w:r w:rsidR="0026052F" w:rsidRPr="00F352E1">
        <w:rPr>
          <w:color w:val="4F81BD" w:themeColor="accent1"/>
        </w:rPr>
        <w:instrText xml:space="preserve"> TOC \h \z \c "Table" </w:instrText>
      </w:r>
      <w:r w:rsidRPr="00F352E1">
        <w:rPr>
          <w:color w:val="4F81BD" w:themeColor="accent1"/>
        </w:rPr>
        <w:fldChar w:fldCharType="separate"/>
      </w:r>
      <w:hyperlink w:anchor="_Toc514407849" w:history="1">
        <w:r w:rsidR="0024084A" w:rsidRPr="00302CE0">
          <w:rPr>
            <w:rStyle w:val="Hyperlink"/>
          </w:rPr>
          <w:t>Table 1 Sampling locations.</w:t>
        </w:r>
        <w:r w:rsidR="0024084A">
          <w:rPr>
            <w:webHidden/>
          </w:rPr>
          <w:tab/>
        </w:r>
        <w:r w:rsidR="0024084A">
          <w:rPr>
            <w:webHidden/>
          </w:rPr>
          <w:fldChar w:fldCharType="begin"/>
        </w:r>
        <w:r w:rsidR="0024084A">
          <w:rPr>
            <w:webHidden/>
          </w:rPr>
          <w:instrText xml:space="preserve"> PAGEREF _Toc514407849 \h </w:instrText>
        </w:r>
        <w:r w:rsidR="0024084A">
          <w:rPr>
            <w:webHidden/>
          </w:rPr>
        </w:r>
        <w:r w:rsidR="0024084A">
          <w:rPr>
            <w:webHidden/>
          </w:rPr>
          <w:fldChar w:fldCharType="separate"/>
        </w:r>
        <w:r w:rsidR="00A75175">
          <w:rPr>
            <w:webHidden/>
          </w:rPr>
          <w:t>12</w:t>
        </w:r>
        <w:r w:rsidR="0024084A">
          <w:rPr>
            <w:webHidden/>
          </w:rPr>
          <w:fldChar w:fldCharType="end"/>
        </w:r>
      </w:hyperlink>
    </w:p>
    <w:p w14:paraId="5597A3BF" w14:textId="77777777" w:rsidR="0024084A" w:rsidRDefault="00A570BE">
      <w:pPr>
        <w:pStyle w:val="TableofFigures"/>
        <w:rPr>
          <w:rFonts w:asciiTheme="minorHAnsi" w:eastAsiaTheme="minorEastAsia" w:hAnsiTheme="minorHAnsi" w:cstheme="minorBidi"/>
          <w:bCs w:val="0"/>
          <w:szCs w:val="22"/>
          <w:lang w:val="en-AU" w:eastAsia="en-AU"/>
        </w:rPr>
      </w:pPr>
      <w:hyperlink w:anchor="_Toc514407850" w:history="1">
        <w:r w:rsidR="0024084A" w:rsidRPr="00302CE0">
          <w:rPr>
            <w:rStyle w:val="Hyperlink"/>
          </w:rPr>
          <w:t>Table 2 Summary of climate and environmental data included in or considered in this report</w:t>
        </w:r>
        <w:r w:rsidR="0024084A">
          <w:rPr>
            <w:webHidden/>
          </w:rPr>
          <w:tab/>
        </w:r>
        <w:r w:rsidR="0024084A">
          <w:rPr>
            <w:webHidden/>
          </w:rPr>
          <w:fldChar w:fldCharType="begin"/>
        </w:r>
        <w:r w:rsidR="0024084A">
          <w:rPr>
            <w:webHidden/>
          </w:rPr>
          <w:instrText xml:space="preserve"> PAGEREF _Toc514407850 \h </w:instrText>
        </w:r>
        <w:r w:rsidR="0024084A">
          <w:rPr>
            <w:webHidden/>
          </w:rPr>
        </w:r>
        <w:r w:rsidR="0024084A">
          <w:rPr>
            <w:webHidden/>
          </w:rPr>
          <w:fldChar w:fldCharType="separate"/>
        </w:r>
        <w:r w:rsidR="00A75175">
          <w:rPr>
            <w:webHidden/>
          </w:rPr>
          <w:t>16</w:t>
        </w:r>
        <w:r w:rsidR="0024084A">
          <w:rPr>
            <w:webHidden/>
          </w:rPr>
          <w:fldChar w:fldCharType="end"/>
        </w:r>
      </w:hyperlink>
    </w:p>
    <w:p w14:paraId="3571C488" w14:textId="77777777" w:rsidR="0024084A" w:rsidRDefault="00A570BE">
      <w:pPr>
        <w:pStyle w:val="TableofFigures"/>
        <w:rPr>
          <w:rFonts w:asciiTheme="minorHAnsi" w:eastAsiaTheme="minorEastAsia" w:hAnsiTheme="minorHAnsi" w:cstheme="minorBidi"/>
          <w:bCs w:val="0"/>
          <w:szCs w:val="22"/>
          <w:lang w:val="en-AU" w:eastAsia="en-AU"/>
        </w:rPr>
      </w:pPr>
      <w:hyperlink w:anchor="_Toc514407851" w:history="1">
        <w:r w:rsidR="0024084A" w:rsidRPr="00302CE0">
          <w:rPr>
            <w:rStyle w:val="Hyperlink"/>
          </w:rPr>
          <w:t>Table 3 Information considered for disturbance categorisation</w:t>
        </w:r>
        <w:r w:rsidR="0024084A">
          <w:rPr>
            <w:webHidden/>
          </w:rPr>
          <w:tab/>
        </w:r>
        <w:r w:rsidR="0024084A">
          <w:rPr>
            <w:webHidden/>
          </w:rPr>
          <w:fldChar w:fldCharType="begin"/>
        </w:r>
        <w:r w:rsidR="0024084A">
          <w:rPr>
            <w:webHidden/>
          </w:rPr>
          <w:instrText xml:space="preserve"> PAGEREF _Toc514407851 \h </w:instrText>
        </w:r>
        <w:r w:rsidR="0024084A">
          <w:rPr>
            <w:webHidden/>
          </w:rPr>
        </w:r>
        <w:r w:rsidR="0024084A">
          <w:rPr>
            <w:webHidden/>
          </w:rPr>
          <w:fldChar w:fldCharType="separate"/>
        </w:r>
        <w:r w:rsidR="00A75175">
          <w:rPr>
            <w:webHidden/>
          </w:rPr>
          <w:t>17</w:t>
        </w:r>
        <w:r w:rsidR="0024084A">
          <w:rPr>
            <w:webHidden/>
          </w:rPr>
          <w:fldChar w:fldCharType="end"/>
        </w:r>
      </w:hyperlink>
    </w:p>
    <w:p w14:paraId="688D6FB1" w14:textId="77777777" w:rsidR="0024084A" w:rsidRDefault="00A570BE">
      <w:pPr>
        <w:pStyle w:val="TableofFigures"/>
        <w:rPr>
          <w:rFonts w:asciiTheme="minorHAnsi" w:eastAsiaTheme="minorEastAsia" w:hAnsiTheme="minorHAnsi" w:cstheme="minorBidi"/>
          <w:bCs w:val="0"/>
          <w:szCs w:val="22"/>
          <w:lang w:val="en-AU" w:eastAsia="en-AU"/>
        </w:rPr>
      </w:pPr>
      <w:hyperlink w:anchor="_Toc514407852" w:history="1">
        <w:r w:rsidR="0024084A" w:rsidRPr="00302CE0">
          <w:rPr>
            <w:rStyle w:val="Hyperlink"/>
          </w:rPr>
          <w:t>Table 4 Survey methods used by the MMP and LTMP to describe coral communities</w:t>
        </w:r>
        <w:r w:rsidR="0024084A">
          <w:rPr>
            <w:webHidden/>
          </w:rPr>
          <w:tab/>
        </w:r>
        <w:r w:rsidR="0024084A">
          <w:rPr>
            <w:webHidden/>
          </w:rPr>
          <w:fldChar w:fldCharType="begin"/>
        </w:r>
        <w:r w:rsidR="0024084A">
          <w:rPr>
            <w:webHidden/>
          </w:rPr>
          <w:instrText xml:space="preserve"> PAGEREF _Toc514407852 \h </w:instrText>
        </w:r>
        <w:r w:rsidR="0024084A">
          <w:rPr>
            <w:webHidden/>
          </w:rPr>
        </w:r>
        <w:r w:rsidR="0024084A">
          <w:rPr>
            <w:webHidden/>
          </w:rPr>
          <w:fldChar w:fldCharType="separate"/>
        </w:r>
        <w:r w:rsidR="00A75175">
          <w:rPr>
            <w:webHidden/>
          </w:rPr>
          <w:t>18</w:t>
        </w:r>
        <w:r w:rsidR="0024084A">
          <w:rPr>
            <w:webHidden/>
          </w:rPr>
          <w:fldChar w:fldCharType="end"/>
        </w:r>
      </w:hyperlink>
    </w:p>
    <w:p w14:paraId="1502D4C9" w14:textId="77777777" w:rsidR="0024084A" w:rsidRDefault="00A570BE">
      <w:pPr>
        <w:pStyle w:val="TableofFigures"/>
        <w:rPr>
          <w:rFonts w:asciiTheme="minorHAnsi" w:eastAsiaTheme="minorEastAsia" w:hAnsiTheme="minorHAnsi" w:cstheme="minorBidi"/>
          <w:bCs w:val="0"/>
          <w:szCs w:val="22"/>
          <w:lang w:val="en-AU" w:eastAsia="en-AU"/>
        </w:rPr>
      </w:pPr>
      <w:hyperlink w:anchor="_Toc514407853" w:history="1">
        <w:r w:rsidR="0024084A" w:rsidRPr="00302CE0">
          <w:rPr>
            <w:rStyle w:val="Hyperlink"/>
          </w:rPr>
          <w:t>Table 5 Threshold values for the assessment of coral reef condition and resilience indicators.</w:t>
        </w:r>
        <w:r w:rsidR="0024084A">
          <w:rPr>
            <w:webHidden/>
          </w:rPr>
          <w:tab/>
        </w:r>
        <w:r w:rsidR="0024084A">
          <w:rPr>
            <w:webHidden/>
          </w:rPr>
          <w:fldChar w:fldCharType="begin"/>
        </w:r>
        <w:r w:rsidR="0024084A">
          <w:rPr>
            <w:webHidden/>
          </w:rPr>
          <w:instrText xml:space="preserve"> PAGEREF _Toc514407853 \h </w:instrText>
        </w:r>
        <w:r w:rsidR="0024084A">
          <w:rPr>
            <w:webHidden/>
          </w:rPr>
        </w:r>
        <w:r w:rsidR="0024084A">
          <w:rPr>
            <w:webHidden/>
          </w:rPr>
          <w:fldChar w:fldCharType="separate"/>
        </w:r>
        <w:r w:rsidR="00A75175">
          <w:rPr>
            <w:webHidden/>
          </w:rPr>
          <w:t>27</w:t>
        </w:r>
        <w:r w:rsidR="0024084A">
          <w:rPr>
            <w:webHidden/>
          </w:rPr>
          <w:fldChar w:fldCharType="end"/>
        </w:r>
      </w:hyperlink>
    </w:p>
    <w:p w14:paraId="28A9E3AF" w14:textId="77777777" w:rsidR="0024084A" w:rsidRDefault="00A570BE">
      <w:pPr>
        <w:pStyle w:val="TableofFigures"/>
        <w:rPr>
          <w:rFonts w:asciiTheme="minorHAnsi" w:eastAsiaTheme="minorEastAsia" w:hAnsiTheme="minorHAnsi" w:cstheme="minorBidi"/>
          <w:bCs w:val="0"/>
          <w:szCs w:val="22"/>
          <w:lang w:val="en-AU" w:eastAsia="en-AU"/>
        </w:rPr>
      </w:pPr>
      <w:hyperlink w:anchor="_Toc514407854" w:history="1">
        <w:r w:rsidR="0024084A" w:rsidRPr="00302CE0">
          <w:rPr>
            <w:rStyle w:val="Hyperlink"/>
          </w:rPr>
          <w:t>Table 6 Presentation of community condition</w:t>
        </w:r>
        <w:r w:rsidR="0024084A">
          <w:rPr>
            <w:webHidden/>
          </w:rPr>
          <w:tab/>
        </w:r>
        <w:r w:rsidR="0024084A">
          <w:rPr>
            <w:webHidden/>
          </w:rPr>
          <w:fldChar w:fldCharType="begin"/>
        </w:r>
        <w:r w:rsidR="0024084A">
          <w:rPr>
            <w:webHidden/>
          </w:rPr>
          <w:instrText xml:space="preserve"> PAGEREF _Toc514407854 \h </w:instrText>
        </w:r>
        <w:r w:rsidR="0024084A">
          <w:rPr>
            <w:webHidden/>
          </w:rPr>
        </w:r>
        <w:r w:rsidR="0024084A">
          <w:rPr>
            <w:webHidden/>
          </w:rPr>
          <w:fldChar w:fldCharType="separate"/>
        </w:r>
        <w:r w:rsidR="00A75175">
          <w:rPr>
            <w:webHidden/>
          </w:rPr>
          <w:t>27</w:t>
        </w:r>
        <w:r w:rsidR="0024084A">
          <w:rPr>
            <w:webHidden/>
          </w:rPr>
          <w:fldChar w:fldCharType="end"/>
        </w:r>
      </w:hyperlink>
    </w:p>
    <w:p w14:paraId="1890810D" w14:textId="0FFBD97D" w:rsidR="0024084A" w:rsidRDefault="00A570BE">
      <w:pPr>
        <w:pStyle w:val="TableofFigures"/>
        <w:rPr>
          <w:rFonts w:asciiTheme="minorHAnsi" w:eastAsiaTheme="minorEastAsia" w:hAnsiTheme="minorHAnsi" w:cstheme="minorBidi"/>
          <w:bCs w:val="0"/>
          <w:szCs w:val="22"/>
          <w:lang w:val="en-AU" w:eastAsia="en-AU"/>
        </w:rPr>
      </w:pPr>
      <w:hyperlink w:anchor="_Toc514407855" w:history="1">
        <w:r w:rsidR="0024084A" w:rsidRPr="00302CE0">
          <w:rPr>
            <w:rStyle w:val="Hyperlink"/>
          </w:rPr>
          <w:t>Table 7 Regional differences in index and metric scores.</w:t>
        </w:r>
        <w:r w:rsidR="0024084A">
          <w:rPr>
            <w:webHidden/>
          </w:rPr>
          <w:tab/>
        </w:r>
        <w:r w:rsidR="0024084A">
          <w:rPr>
            <w:webHidden/>
          </w:rPr>
          <w:fldChar w:fldCharType="begin"/>
        </w:r>
        <w:r w:rsidR="0024084A">
          <w:rPr>
            <w:webHidden/>
          </w:rPr>
          <w:instrText xml:space="preserve"> PAGEREF _Toc514407855 \h </w:instrText>
        </w:r>
        <w:r w:rsidR="0024084A">
          <w:rPr>
            <w:webHidden/>
          </w:rPr>
        </w:r>
        <w:r w:rsidR="0024084A">
          <w:rPr>
            <w:webHidden/>
          </w:rPr>
          <w:fldChar w:fldCharType="separate"/>
        </w:r>
        <w:r w:rsidR="00A75175">
          <w:rPr>
            <w:webHidden/>
          </w:rPr>
          <w:t>30</w:t>
        </w:r>
        <w:r w:rsidR="0024084A">
          <w:rPr>
            <w:webHidden/>
          </w:rPr>
          <w:fldChar w:fldCharType="end"/>
        </w:r>
      </w:hyperlink>
    </w:p>
    <w:p w14:paraId="7AB38658" w14:textId="6DF3D0D1" w:rsidR="0024084A" w:rsidRDefault="00A570BE">
      <w:pPr>
        <w:pStyle w:val="TableofFigures"/>
        <w:rPr>
          <w:rFonts w:asciiTheme="minorHAnsi" w:eastAsiaTheme="minorEastAsia" w:hAnsiTheme="minorHAnsi" w:cstheme="minorBidi"/>
          <w:bCs w:val="0"/>
          <w:szCs w:val="22"/>
          <w:lang w:val="en-AU" w:eastAsia="en-AU"/>
        </w:rPr>
      </w:pPr>
      <w:hyperlink w:anchor="_Toc514407856" w:history="1">
        <w:r w:rsidR="0024084A" w:rsidRPr="00302CE0">
          <w:rPr>
            <w:rStyle w:val="Hyperlink"/>
          </w:rPr>
          <w:t>Table 8 Influence of depth on index and metric scores</w:t>
        </w:r>
        <w:r w:rsidR="0024084A" w:rsidRPr="00302CE0">
          <w:rPr>
            <w:rStyle w:val="Hyperlink"/>
            <w:lang w:val="en-US"/>
          </w:rPr>
          <w:t>.</w:t>
        </w:r>
        <w:r w:rsidR="0024084A">
          <w:rPr>
            <w:webHidden/>
          </w:rPr>
          <w:tab/>
        </w:r>
        <w:r w:rsidR="0024084A">
          <w:rPr>
            <w:webHidden/>
          </w:rPr>
          <w:fldChar w:fldCharType="begin"/>
        </w:r>
        <w:r w:rsidR="0024084A">
          <w:rPr>
            <w:webHidden/>
          </w:rPr>
          <w:instrText xml:space="preserve"> PAGEREF _Toc514407856 \h </w:instrText>
        </w:r>
        <w:r w:rsidR="0024084A">
          <w:rPr>
            <w:webHidden/>
          </w:rPr>
        </w:r>
        <w:r w:rsidR="0024084A">
          <w:rPr>
            <w:webHidden/>
          </w:rPr>
          <w:fldChar w:fldCharType="separate"/>
        </w:r>
        <w:r w:rsidR="00A75175">
          <w:rPr>
            <w:webHidden/>
          </w:rPr>
          <w:t>31</w:t>
        </w:r>
        <w:r w:rsidR="0024084A">
          <w:rPr>
            <w:webHidden/>
          </w:rPr>
          <w:fldChar w:fldCharType="end"/>
        </w:r>
      </w:hyperlink>
    </w:p>
    <w:p w14:paraId="5435C7C4" w14:textId="3D9EE32D" w:rsidR="0024084A" w:rsidRDefault="00A570BE">
      <w:pPr>
        <w:pStyle w:val="TableofFigures"/>
        <w:rPr>
          <w:rFonts w:asciiTheme="minorHAnsi" w:eastAsiaTheme="minorEastAsia" w:hAnsiTheme="minorHAnsi" w:cstheme="minorBidi"/>
          <w:bCs w:val="0"/>
          <w:szCs w:val="22"/>
          <w:lang w:val="en-AU" w:eastAsia="en-AU"/>
        </w:rPr>
      </w:pPr>
      <w:hyperlink w:anchor="_Toc514407857" w:history="1">
        <w:r w:rsidR="0024084A" w:rsidRPr="00302CE0">
          <w:rPr>
            <w:rStyle w:val="Hyperlink"/>
          </w:rPr>
          <w:t>Table 9 Relationship between changes in index scores and environmental conditions.</w:t>
        </w:r>
        <w:r w:rsidR="0024084A">
          <w:rPr>
            <w:webHidden/>
          </w:rPr>
          <w:tab/>
        </w:r>
        <w:r w:rsidR="0024084A">
          <w:rPr>
            <w:webHidden/>
          </w:rPr>
          <w:fldChar w:fldCharType="begin"/>
        </w:r>
        <w:r w:rsidR="0024084A">
          <w:rPr>
            <w:webHidden/>
          </w:rPr>
          <w:instrText xml:space="preserve"> PAGEREF _Toc514407857 \h </w:instrText>
        </w:r>
        <w:r w:rsidR="0024084A">
          <w:rPr>
            <w:webHidden/>
          </w:rPr>
        </w:r>
        <w:r w:rsidR="0024084A">
          <w:rPr>
            <w:webHidden/>
          </w:rPr>
          <w:fldChar w:fldCharType="separate"/>
        </w:r>
        <w:r w:rsidR="00A75175">
          <w:rPr>
            <w:webHidden/>
          </w:rPr>
          <w:t>34</w:t>
        </w:r>
        <w:r w:rsidR="0024084A">
          <w:rPr>
            <w:webHidden/>
          </w:rPr>
          <w:fldChar w:fldCharType="end"/>
        </w:r>
      </w:hyperlink>
    </w:p>
    <w:p w14:paraId="2E3D9653" w14:textId="137E1BED" w:rsidR="0024084A" w:rsidRDefault="00A570BE">
      <w:pPr>
        <w:pStyle w:val="TableofFigures"/>
        <w:rPr>
          <w:rFonts w:asciiTheme="minorHAnsi" w:eastAsiaTheme="minorEastAsia" w:hAnsiTheme="minorHAnsi" w:cstheme="minorBidi"/>
          <w:bCs w:val="0"/>
          <w:szCs w:val="22"/>
          <w:lang w:val="en-AU" w:eastAsia="en-AU"/>
        </w:rPr>
      </w:pPr>
      <w:hyperlink w:anchor="_Toc514407858" w:history="1">
        <w:r w:rsidR="0024084A" w:rsidRPr="00302CE0">
          <w:rPr>
            <w:rStyle w:val="Hyperlink"/>
          </w:rPr>
          <w:t>Table 10 Index and metric score comparisons in the Barren Daintree sub-region.</w:t>
        </w:r>
        <w:r w:rsidR="0024084A">
          <w:rPr>
            <w:webHidden/>
          </w:rPr>
          <w:tab/>
        </w:r>
        <w:r w:rsidR="0024084A">
          <w:rPr>
            <w:webHidden/>
          </w:rPr>
          <w:fldChar w:fldCharType="begin"/>
        </w:r>
        <w:r w:rsidR="0024084A">
          <w:rPr>
            <w:webHidden/>
          </w:rPr>
          <w:instrText xml:space="preserve"> PAGEREF _Toc514407858 \h </w:instrText>
        </w:r>
        <w:r w:rsidR="0024084A">
          <w:rPr>
            <w:webHidden/>
          </w:rPr>
        </w:r>
        <w:r w:rsidR="0024084A">
          <w:rPr>
            <w:webHidden/>
          </w:rPr>
          <w:fldChar w:fldCharType="separate"/>
        </w:r>
        <w:r w:rsidR="00A75175">
          <w:rPr>
            <w:webHidden/>
          </w:rPr>
          <w:t>36</w:t>
        </w:r>
        <w:r w:rsidR="0024084A">
          <w:rPr>
            <w:webHidden/>
          </w:rPr>
          <w:fldChar w:fldCharType="end"/>
        </w:r>
      </w:hyperlink>
    </w:p>
    <w:p w14:paraId="0BBCCC1E" w14:textId="6802201F" w:rsidR="0024084A" w:rsidRDefault="00A570BE">
      <w:pPr>
        <w:pStyle w:val="TableofFigures"/>
        <w:rPr>
          <w:rFonts w:asciiTheme="minorHAnsi" w:eastAsiaTheme="minorEastAsia" w:hAnsiTheme="minorHAnsi" w:cstheme="minorBidi"/>
          <w:bCs w:val="0"/>
          <w:szCs w:val="22"/>
          <w:lang w:val="en-AU" w:eastAsia="en-AU"/>
        </w:rPr>
      </w:pPr>
      <w:hyperlink w:anchor="_Toc514407859" w:history="1">
        <w:r w:rsidR="0024084A" w:rsidRPr="00302CE0">
          <w:rPr>
            <w:rStyle w:val="Hyperlink"/>
          </w:rPr>
          <w:t>Table 11 Index and metric score comparisons in the Johnstone Russell-Mulgrave sub-region.</w:t>
        </w:r>
        <w:r w:rsidR="0024084A">
          <w:rPr>
            <w:webHidden/>
          </w:rPr>
          <w:tab/>
        </w:r>
        <w:r w:rsidR="0024084A">
          <w:rPr>
            <w:webHidden/>
          </w:rPr>
          <w:fldChar w:fldCharType="begin"/>
        </w:r>
        <w:r w:rsidR="0024084A">
          <w:rPr>
            <w:webHidden/>
          </w:rPr>
          <w:instrText xml:space="preserve"> PAGEREF _Toc514407859 \h </w:instrText>
        </w:r>
        <w:r w:rsidR="0024084A">
          <w:rPr>
            <w:webHidden/>
          </w:rPr>
        </w:r>
        <w:r w:rsidR="0024084A">
          <w:rPr>
            <w:webHidden/>
          </w:rPr>
          <w:fldChar w:fldCharType="separate"/>
        </w:r>
        <w:r w:rsidR="00A75175">
          <w:rPr>
            <w:webHidden/>
          </w:rPr>
          <w:t>40</w:t>
        </w:r>
        <w:r w:rsidR="0024084A">
          <w:rPr>
            <w:webHidden/>
          </w:rPr>
          <w:fldChar w:fldCharType="end"/>
        </w:r>
      </w:hyperlink>
    </w:p>
    <w:p w14:paraId="64EF45D5" w14:textId="34973AFA" w:rsidR="0024084A" w:rsidRDefault="00A570BE">
      <w:pPr>
        <w:pStyle w:val="TableofFigures"/>
        <w:rPr>
          <w:rFonts w:asciiTheme="minorHAnsi" w:eastAsiaTheme="minorEastAsia" w:hAnsiTheme="minorHAnsi" w:cstheme="minorBidi"/>
          <w:bCs w:val="0"/>
          <w:szCs w:val="22"/>
          <w:lang w:val="en-AU" w:eastAsia="en-AU"/>
        </w:rPr>
      </w:pPr>
      <w:hyperlink w:anchor="_Toc514407860" w:history="1">
        <w:r w:rsidR="0024084A" w:rsidRPr="00302CE0">
          <w:rPr>
            <w:rStyle w:val="Hyperlink"/>
          </w:rPr>
          <w:t>Table 12 Index and metric score comparisons in the Herbert Tully sub-region.</w:t>
        </w:r>
        <w:r w:rsidR="0024084A">
          <w:rPr>
            <w:webHidden/>
          </w:rPr>
          <w:tab/>
        </w:r>
        <w:r w:rsidR="0024084A">
          <w:rPr>
            <w:webHidden/>
          </w:rPr>
          <w:fldChar w:fldCharType="begin"/>
        </w:r>
        <w:r w:rsidR="0024084A">
          <w:rPr>
            <w:webHidden/>
          </w:rPr>
          <w:instrText xml:space="preserve"> PAGEREF _Toc514407860 \h </w:instrText>
        </w:r>
        <w:r w:rsidR="0024084A">
          <w:rPr>
            <w:webHidden/>
          </w:rPr>
        </w:r>
        <w:r w:rsidR="0024084A">
          <w:rPr>
            <w:webHidden/>
          </w:rPr>
          <w:fldChar w:fldCharType="separate"/>
        </w:r>
        <w:r w:rsidR="00A75175">
          <w:rPr>
            <w:webHidden/>
          </w:rPr>
          <w:t>44</w:t>
        </w:r>
        <w:r w:rsidR="0024084A">
          <w:rPr>
            <w:webHidden/>
          </w:rPr>
          <w:fldChar w:fldCharType="end"/>
        </w:r>
      </w:hyperlink>
    </w:p>
    <w:p w14:paraId="4A56D94A" w14:textId="7A601145" w:rsidR="0024084A" w:rsidRDefault="00A570BE">
      <w:pPr>
        <w:pStyle w:val="TableofFigures"/>
        <w:rPr>
          <w:rFonts w:asciiTheme="minorHAnsi" w:eastAsiaTheme="minorEastAsia" w:hAnsiTheme="minorHAnsi" w:cstheme="minorBidi"/>
          <w:bCs w:val="0"/>
          <w:szCs w:val="22"/>
          <w:lang w:val="en-AU" w:eastAsia="en-AU"/>
        </w:rPr>
      </w:pPr>
      <w:hyperlink w:anchor="_Toc514407861" w:history="1">
        <w:r w:rsidR="0024084A" w:rsidRPr="00302CE0">
          <w:rPr>
            <w:rStyle w:val="Hyperlink"/>
          </w:rPr>
          <w:t>Table 13 Index and metric score comparisons in the Burdekin Region.</w:t>
        </w:r>
      </w:hyperlink>
      <w:r w:rsidR="00AF1EDF">
        <w:rPr>
          <w:rFonts w:asciiTheme="minorHAnsi" w:eastAsiaTheme="minorEastAsia" w:hAnsiTheme="minorHAnsi" w:cstheme="minorBidi"/>
          <w:bCs w:val="0"/>
          <w:szCs w:val="22"/>
          <w:lang w:val="en-AU" w:eastAsia="en-AU"/>
        </w:rPr>
        <w:t xml:space="preserve"> </w:t>
      </w:r>
    </w:p>
    <w:p w14:paraId="00DACEB8" w14:textId="52836B3E" w:rsidR="0024084A" w:rsidRDefault="00A570BE">
      <w:pPr>
        <w:pStyle w:val="TableofFigures"/>
        <w:rPr>
          <w:rFonts w:asciiTheme="minorHAnsi" w:eastAsiaTheme="minorEastAsia" w:hAnsiTheme="minorHAnsi" w:cstheme="minorBidi"/>
          <w:bCs w:val="0"/>
          <w:szCs w:val="22"/>
          <w:lang w:val="en-AU" w:eastAsia="en-AU"/>
        </w:rPr>
      </w:pPr>
      <w:hyperlink w:anchor="_Toc514407862" w:history="1">
        <w:r w:rsidR="0024084A" w:rsidRPr="00302CE0">
          <w:rPr>
            <w:rStyle w:val="Hyperlink"/>
          </w:rPr>
          <w:t>Table 14 Index and metric score comparisons in the Mackay Whitsunday Region.</w:t>
        </w:r>
        <w:r w:rsidR="0024084A">
          <w:rPr>
            <w:webHidden/>
          </w:rPr>
          <w:tab/>
        </w:r>
        <w:r w:rsidR="0024084A">
          <w:rPr>
            <w:webHidden/>
          </w:rPr>
          <w:fldChar w:fldCharType="begin"/>
        </w:r>
        <w:r w:rsidR="0024084A">
          <w:rPr>
            <w:webHidden/>
          </w:rPr>
          <w:instrText xml:space="preserve"> PAGEREF _Toc514407862 \h </w:instrText>
        </w:r>
        <w:r w:rsidR="0024084A">
          <w:rPr>
            <w:webHidden/>
          </w:rPr>
        </w:r>
        <w:r w:rsidR="0024084A">
          <w:rPr>
            <w:webHidden/>
          </w:rPr>
          <w:fldChar w:fldCharType="separate"/>
        </w:r>
        <w:r w:rsidR="00A75175">
          <w:rPr>
            <w:webHidden/>
          </w:rPr>
          <w:t>52</w:t>
        </w:r>
        <w:r w:rsidR="0024084A">
          <w:rPr>
            <w:webHidden/>
          </w:rPr>
          <w:fldChar w:fldCharType="end"/>
        </w:r>
      </w:hyperlink>
    </w:p>
    <w:p w14:paraId="65390C5C" w14:textId="16B60803" w:rsidR="0024084A" w:rsidRDefault="00A570BE">
      <w:pPr>
        <w:pStyle w:val="TableofFigures"/>
        <w:rPr>
          <w:rFonts w:asciiTheme="minorHAnsi" w:eastAsiaTheme="minorEastAsia" w:hAnsiTheme="minorHAnsi" w:cstheme="minorBidi"/>
          <w:bCs w:val="0"/>
          <w:szCs w:val="22"/>
          <w:lang w:val="en-AU" w:eastAsia="en-AU"/>
        </w:rPr>
      </w:pPr>
      <w:hyperlink w:anchor="_Toc514407863" w:history="1">
        <w:r w:rsidR="0024084A" w:rsidRPr="00302CE0">
          <w:rPr>
            <w:rStyle w:val="Hyperlink"/>
          </w:rPr>
          <w:t>Table 15 Index and metric score comparisons in the Fitzroy Region. Data compare the changes in scores between local maxima and minima in the index time-series.</w:t>
        </w:r>
        <w:r w:rsidR="0024084A">
          <w:rPr>
            <w:webHidden/>
          </w:rPr>
          <w:tab/>
        </w:r>
        <w:r w:rsidR="0024084A">
          <w:rPr>
            <w:webHidden/>
          </w:rPr>
          <w:fldChar w:fldCharType="begin"/>
        </w:r>
        <w:r w:rsidR="0024084A">
          <w:rPr>
            <w:webHidden/>
          </w:rPr>
          <w:instrText xml:space="preserve"> PAGEREF _Toc514407863 \h </w:instrText>
        </w:r>
        <w:r w:rsidR="0024084A">
          <w:rPr>
            <w:webHidden/>
          </w:rPr>
        </w:r>
        <w:r w:rsidR="0024084A">
          <w:rPr>
            <w:webHidden/>
          </w:rPr>
          <w:fldChar w:fldCharType="separate"/>
        </w:r>
        <w:r w:rsidR="00A75175">
          <w:rPr>
            <w:webHidden/>
          </w:rPr>
          <w:t>56</w:t>
        </w:r>
        <w:r w:rsidR="0024084A">
          <w:rPr>
            <w:webHidden/>
          </w:rPr>
          <w:fldChar w:fldCharType="end"/>
        </w:r>
      </w:hyperlink>
    </w:p>
    <w:p w14:paraId="589C0302" w14:textId="605E1070" w:rsidR="0024084A" w:rsidRDefault="00A570BE">
      <w:pPr>
        <w:pStyle w:val="TableofFigures"/>
        <w:rPr>
          <w:rFonts w:asciiTheme="minorHAnsi" w:eastAsiaTheme="minorEastAsia" w:hAnsiTheme="minorHAnsi" w:cstheme="minorBidi"/>
          <w:bCs w:val="0"/>
          <w:szCs w:val="22"/>
          <w:lang w:val="en-AU" w:eastAsia="en-AU"/>
        </w:rPr>
      </w:pPr>
      <w:hyperlink w:anchor="_Toc514407864" w:history="1">
        <w:r w:rsidR="0024084A" w:rsidRPr="00302CE0">
          <w:rPr>
            <w:rStyle w:val="Hyperlink"/>
          </w:rPr>
          <w:t>Table 16 Degree Heating Days (DHD) for 2016 and 2017 MMP (sub) regions.</w:t>
        </w:r>
        <w:r w:rsidR="0024084A">
          <w:rPr>
            <w:webHidden/>
          </w:rPr>
          <w:tab/>
        </w:r>
        <w:r w:rsidR="0024084A">
          <w:rPr>
            <w:webHidden/>
          </w:rPr>
          <w:fldChar w:fldCharType="begin"/>
        </w:r>
        <w:r w:rsidR="0024084A">
          <w:rPr>
            <w:webHidden/>
          </w:rPr>
          <w:instrText xml:space="preserve"> PAGEREF _Toc514407864 \h </w:instrText>
        </w:r>
        <w:r w:rsidR="0024084A">
          <w:rPr>
            <w:webHidden/>
          </w:rPr>
        </w:r>
        <w:r w:rsidR="0024084A">
          <w:rPr>
            <w:webHidden/>
          </w:rPr>
          <w:fldChar w:fldCharType="separate"/>
        </w:r>
        <w:r w:rsidR="00A75175">
          <w:rPr>
            <w:webHidden/>
          </w:rPr>
          <w:t>73</w:t>
        </w:r>
        <w:r w:rsidR="0024084A">
          <w:rPr>
            <w:webHidden/>
          </w:rPr>
          <w:fldChar w:fldCharType="end"/>
        </w:r>
      </w:hyperlink>
    </w:p>
    <w:p w14:paraId="742C4402" w14:textId="47EB9EF2" w:rsidR="0024084A" w:rsidRDefault="00A570BE">
      <w:pPr>
        <w:pStyle w:val="TableofFigures"/>
        <w:rPr>
          <w:rFonts w:asciiTheme="minorHAnsi" w:eastAsiaTheme="minorEastAsia" w:hAnsiTheme="minorHAnsi" w:cstheme="minorBidi"/>
          <w:bCs w:val="0"/>
          <w:szCs w:val="22"/>
          <w:lang w:val="en-AU" w:eastAsia="en-AU"/>
        </w:rPr>
      </w:pPr>
      <w:hyperlink w:anchor="_Toc514407865" w:history="1">
        <w:r w:rsidR="0024084A" w:rsidRPr="00AF1EDF">
          <w:rPr>
            <w:rStyle w:val="Hyperlink"/>
            <w:rFonts w:eastAsia="SimSun" w:cs="Arial"/>
          </w:rPr>
          <w:t>Table 17 Bleaching impacts at MMP reefs 2016</w:t>
        </w:r>
        <w:r w:rsidR="00C976D1">
          <w:rPr>
            <w:color w:val="333333"/>
            <w:sz w:val="18"/>
            <w:szCs w:val="18"/>
            <w:lang w:val="en"/>
          </w:rPr>
          <w:t>–</w:t>
        </w:r>
        <w:r w:rsidR="00C976D1" w:rsidRPr="00AF1EDF" w:rsidDel="00C976D1">
          <w:rPr>
            <w:rStyle w:val="Hyperlink"/>
            <w:rFonts w:eastAsia="SimSun" w:cs="Arial"/>
          </w:rPr>
          <w:t xml:space="preserve"> </w:t>
        </w:r>
        <w:r w:rsidR="0024084A" w:rsidRPr="00AF1EDF">
          <w:rPr>
            <w:rStyle w:val="Hyperlink"/>
            <w:rFonts w:eastAsia="SimSun" w:cs="Arial"/>
          </w:rPr>
          <w:t>17.</w:t>
        </w:r>
        <w:r w:rsidR="0024084A">
          <w:rPr>
            <w:webHidden/>
          </w:rPr>
          <w:tab/>
        </w:r>
        <w:r w:rsidR="0024084A">
          <w:rPr>
            <w:webHidden/>
          </w:rPr>
          <w:fldChar w:fldCharType="begin"/>
        </w:r>
        <w:r w:rsidR="0024084A">
          <w:rPr>
            <w:webHidden/>
          </w:rPr>
          <w:instrText xml:space="preserve"> PAGEREF _Toc514407865 \h </w:instrText>
        </w:r>
        <w:r w:rsidR="0024084A">
          <w:rPr>
            <w:webHidden/>
          </w:rPr>
        </w:r>
        <w:r w:rsidR="0024084A">
          <w:rPr>
            <w:webHidden/>
          </w:rPr>
          <w:fldChar w:fldCharType="separate"/>
        </w:r>
        <w:r w:rsidR="00A75175">
          <w:rPr>
            <w:webHidden/>
          </w:rPr>
          <w:t>77</w:t>
        </w:r>
        <w:r w:rsidR="0024084A">
          <w:rPr>
            <w:webHidden/>
          </w:rPr>
          <w:fldChar w:fldCharType="end"/>
        </w:r>
      </w:hyperlink>
    </w:p>
    <w:p w14:paraId="6139EA39" w14:textId="7B9A4960" w:rsidR="0024084A" w:rsidRDefault="00A570BE">
      <w:pPr>
        <w:pStyle w:val="TableofFigures"/>
        <w:rPr>
          <w:rFonts w:asciiTheme="minorHAnsi" w:eastAsiaTheme="minorEastAsia" w:hAnsiTheme="minorHAnsi" w:cstheme="minorBidi"/>
          <w:bCs w:val="0"/>
          <w:szCs w:val="22"/>
          <w:lang w:val="en-AU" w:eastAsia="en-AU"/>
        </w:rPr>
      </w:pPr>
      <w:hyperlink w:anchor="_Toc514407866" w:history="1">
        <w:r w:rsidR="0024084A" w:rsidRPr="00302CE0">
          <w:rPr>
            <w:rStyle w:val="Hyperlink"/>
          </w:rPr>
          <w:t>Table 18 Sensitivity of common coral genera to bleaching.</w:t>
        </w:r>
        <w:r w:rsidR="0024084A">
          <w:rPr>
            <w:webHidden/>
          </w:rPr>
          <w:tab/>
        </w:r>
        <w:r w:rsidR="0024084A">
          <w:rPr>
            <w:webHidden/>
          </w:rPr>
          <w:fldChar w:fldCharType="begin"/>
        </w:r>
        <w:r w:rsidR="0024084A">
          <w:rPr>
            <w:webHidden/>
          </w:rPr>
          <w:instrText xml:space="preserve"> PAGEREF _Toc514407866 \h </w:instrText>
        </w:r>
        <w:r w:rsidR="0024084A">
          <w:rPr>
            <w:webHidden/>
          </w:rPr>
        </w:r>
        <w:r w:rsidR="0024084A">
          <w:rPr>
            <w:webHidden/>
          </w:rPr>
          <w:fldChar w:fldCharType="separate"/>
        </w:r>
        <w:r w:rsidR="00A75175">
          <w:rPr>
            <w:webHidden/>
          </w:rPr>
          <w:t>78</w:t>
        </w:r>
        <w:r w:rsidR="0024084A">
          <w:rPr>
            <w:webHidden/>
          </w:rPr>
          <w:fldChar w:fldCharType="end"/>
        </w:r>
      </w:hyperlink>
    </w:p>
    <w:p w14:paraId="05DB8353" w14:textId="68FDE3F4" w:rsidR="0024084A" w:rsidRDefault="00A570BE">
      <w:pPr>
        <w:pStyle w:val="TableofFigures"/>
        <w:rPr>
          <w:rFonts w:asciiTheme="minorHAnsi" w:eastAsiaTheme="minorEastAsia" w:hAnsiTheme="minorHAnsi" w:cstheme="minorBidi"/>
          <w:bCs w:val="0"/>
          <w:szCs w:val="22"/>
          <w:lang w:val="en-AU" w:eastAsia="en-AU"/>
        </w:rPr>
      </w:pPr>
      <w:hyperlink w:anchor="_Toc514407867" w:history="1">
        <w:r w:rsidR="0024084A" w:rsidRPr="00302CE0">
          <w:rPr>
            <w:rStyle w:val="Hyperlink"/>
          </w:rPr>
          <w:t>Table 19 Correlation between water-quality parameters available from eReefs Marine Water Quality Dashboard..</w:t>
        </w:r>
        <w:r w:rsidR="0024084A">
          <w:rPr>
            <w:webHidden/>
          </w:rPr>
          <w:tab/>
        </w:r>
        <w:r w:rsidR="0024084A">
          <w:rPr>
            <w:webHidden/>
          </w:rPr>
          <w:fldChar w:fldCharType="begin"/>
        </w:r>
        <w:r w:rsidR="0024084A">
          <w:rPr>
            <w:webHidden/>
          </w:rPr>
          <w:instrText xml:space="preserve"> PAGEREF _Toc514407867 \h </w:instrText>
        </w:r>
        <w:r w:rsidR="0024084A">
          <w:rPr>
            <w:webHidden/>
          </w:rPr>
        </w:r>
        <w:r w:rsidR="0024084A">
          <w:rPr>
            <w:webHidden/>
          </w:rPr>
          <w:fldChar w:fldCharType="separate"/>
        </w:r>
        <w:r w:rsidR="00A75175">
          <w:rPr>
            <w:webHidden/>
          </w:rPr>
          <w:t>81</w:t>
        </w:r>
        <w:r w:rsidR="0024084A">
          <w:rPr>
            <w:webHidden/>
          </w:rPr>
          <w:fldChar w:fldCharType="end"/>
        </w:r>
      </w:hyperlink>
    </w:p>
    <w:p w14:paraId="5149A8DF" w14:textId="6F1F000C" w:rsidR="0024084A" w:rsidRDefault="00A570BE">
      <w:pPr>
        <w:pStyle w:val="TableofFigures"/>
        <w:rPr>
          <w:rFonts w:asciiTheme="minorHAnsi" w:eastAsiaTheme="minorEastAsia" w:hAnsiTheme="minorHAnsi" w:cstheme="minorBidi"/>
          <w:bCs w:val="0"/>
          <w:szCs w:val="22"/>
          <w:lang w:val="en-AU" w:eastAsia="en-AU"/>
        </w:rPr>
      </w:pPr>
      <w:hyperlink w:anchor="_Toc514407868" w:history="1">
        <w:r w:rsidR="0024084A" w:rsidRPr="00302CE0">
          <w:rPr>
            <w:rStyle w:val="Hyperlink"/>
          </w:rPr>
          <w:t>Table 20 Correlation between water-quality parameters selected from eReefs Biogeochemical 4km model.</w:t>
        </w:r>
        <w:r w:rsidR="0024084A">
          <w:rPr>
            <w:webHidden/>
          </w:rPr>
          <w:tab/>
        </w:r>
        <w:r w:rsidR="0024084A">
          <w:rPr>
            <w:webHidden/>
          </w:rPr>
          <w:fldChar w:fldCharType="begin"/>
        </w:r>
        <w:r w:rsidR="0024084A">
          <w:rPr>
            <w:webHidden/>
          </w:rPr>
          <w:instrText xml:space="preserve"> PAGEREF _Toc514407868 \h </w:instrText>
        </w:r>
        <w:r w:rsidR="0024084A">
          <w:rPr>
            <w:webHidden/>
          </w:rPr>
        </w:r>
        <w:r w:rsidR="0024084A">
          <w:rPr>
            <w:webHidden/>
          </w:rPr>
          <w:fldChar w:fldCharType="separate"/>
        </w:r>
        <w:r w:rsidR="00A75175">
          <w:rPr>
            <w:webHidden/>
          </w:rPr>
          <w:t>81</w:t>
        </w:r>
        <w:r w:rsidR="0024084A">
          <w:rPr>
            <w:webHidden/>
          </w:rPr>
          <w:fldChar w:fldCharType="end"/>
        </w:r>
      </w:hyperlink>
    </w:p>
    <w:p w14:paraId="11E042D0" w14:textId="1351C898" w:rsidR="0024084A" w:rsidRDefault="00A570BE">
      <w:pPr>
        <w:pStyle w:val="TableofFigures"/>
        <w:rPr>
          <w:rFonts w:asciiTheme="minorHAnsi" w:eastAsiaTheme="minorEastAsia" w:hAnsiTheme="minorHAnsi" w:cstheme="minorBidi"/>
          <w:bCs w:val="0"/>
          <w:szCs w:val="22"/>
          <w:lang w:val="en-AU" w:eastAsia="en-AU"/>
        </w:rPr>
      </w:pPr>
      <w:hyperlink w:anchor="_Toc514407869" w:history="1">
        <w:r w:rsidR="0024084A" w:rsidRPr="00302CE0">
          <w:rPr>
            <w:rStyle w:val="Hyperlink"/>
          </w:rPr>
          <w:t>Table 21 Correlation between estimated mean exceedance of wet-season guideline values..</w:t>
        </w:r>
        <w:r w:rsidR="0024084A">
          <w:rPr>
            <w:webHidden/>
          </w:rPr>
          <w:tab/>
        </w:r>
        <w:r w:rsidR="0024084A">
          <w:rPr>
            <w:webHidden/>
          </w:rPr>
          <w:fldChar w:fldCharType="begin"/>
        </w:r>
        <w:r w:rsidR="0024084A">
          <w:rPr>
            <w:webHidden/>
          </w:rPr>
          <w:instrText xml:space="preserve"> PAGEREF _Toc514407869 \h </w:instrText>
        </w:r>
        <w:r w:rsidR="0024084A">
          <w:rPr>
            <w:webHidden/>
          </w:rPr>
        </w:r>
        <w:r w:rsidR="0024084A">
          <w:rPr>
            <w:webHidden/>
          </w:rPr>
          <w:fldChar w:fldCharType="separate"/>
        </w:r>
        <w:r w:rsidR="00A75175">
          <w:rPr>
            <w:webHidden/>
          </w:rPr>
          <w:t>82</w:t>
        </w:r>
        <w:r w:rsidR="0024084A">
          <w:rPr>
            <w:webHidden/>
          </w:rPr>
          <w:fldChar w:fldCharType="end"/>
        </w:r>
      </w:hyperlink>
    </w:p>
    <w:p w14:paraId="636FEA32" w14:textId="438928FD" w:rsidR="0024084A" w:rsidRDefault="00A570BE">
      <w:pPr>
        <w:pStyle w:val="TableofFigures"/>
        <w:rPr>
          <w:rFonts w:asciiTheme="minorHAnsi" w:eastAsiaTheme="minorEastAsia" w:hAnsiTheme="minorHAnsi" w:cstheme="minorBidi"/>
          <w:bCs w:val="0"/>
          <w:szCs w:val="22"/>
          <w:lang w:val="en-AU" w:eastAsia="en-AU"/>
        </w:rPr>
      </w:pPr>
      <w:hyperlink w:anchor="_Toc514407870" w:history="1">
        <w:r w:rsidR="0024084A" w:rsidRPr="00302CE0">
          <w:rPr>
            <w:rStyle w:val="Hyperlink"/>
          </w:rPr>
          <w:t>Table 22 Correlation between water quality parameters estimated from niskin sampling</w:t>
        </w:r>
        <w:r w:rsidR="0024084A">
          <w:rPr>
            <w:webHidden/>
          </w:rPr>
          <w:tab/>
        </w:r>
        <w:r w:rsidR="0024084A">
          <w:rPr>
            <w:webHidden/>
          </w:rPr>
          <w:fldChar w:fldCharType="begin"/>
        </w:r>
        <w:r w:rsidR="0024084A">
          <w:rPr>
            <w:webHidden/>
          </w:rPr>
          <w:instrText xml:space="preserve"> PAGEREF _Toc514407870 \h </w:instrText>
        </w:r>
        <w:r w:rsidR="0024084A">
          <w:rPr>
            <w:webHidden/>
          </w:rPr>
        </w:r>
        <w:r w:rsidR="0024084A">
          <w:rPr>
            <w:webHidden/>
          </w:rPr>
          <w:fldChar w:fldCharType="separate"/>
        </w:r>
        <w:r w:rsidR="00A75175">
          <w:rPr>
            <w:webHidden/>
          </w:rPr>
          <w:t>82</w:t>
        </w:r>
        <w:r w:rsidR="0024084A">
          <w:rPr>
            <w:webHidden/>
          </w:rPr>
          <w:fldChar w:fldCharType="end"/>
        </w:r>
      </w:hyperlink>
    </w:p>
    <w:p w14:paraId="577868B0" w14:textId="7FF64D78" w:rsidR="0024084A" w:rsidRDefault="00A570BE">
      <w:pPr>
        <w:pStyle w:val="TableofFigures"/>
        <w:rPr>
          <w:rFonts w:asciiTheme="minorHAnsi" w:eastAsiaTheme="minorEastAsia" w:hAnsiTheme="minorHAnsi" w:cstheme="minorBidi"/>
          <w:bCs w:val="0"/>
          <w:szCs w:val="22"/>
          <w:lang w:val="en-AU" w:eastAsia="en-AU"/>
        </w:rPr>
      </w:pPr>
      <w:hyperlink w:anchor="_Toc514407871" w:history="1">
        <w:r w:rsidR="0024084A" w:rsidRPr="00302CE0">
          <w:rPr>
            <w:rStyle w:val="Hyperlink"/>
          </w:rPr>
          <w:t>Table 23 Correlation between suspended sediment related parameter estimates.</w:t>
        </w:r>
        <w:r w:rsidR="0024084A">
          <w:rPr>
            <w:webHidden/>
          </w:rPr>
          <w:tab/>
        </w:r>
        <w:r w:rsidR="0024084A">
          <w:rPr>
            <w:webHidden/>
          </w:rPr>
          <w:fldChar w:fldCharType="begin"/>
        </w:r>
        <w:r w:rsidR="0024084A">
          <w:rPr>
            <w:webHidden/>
          </w:rPr>
          <w:instrText xml:space="preserve"> PAGEREF _Toc514407871 \h </w:instrText>
        </w:r>
        <w:r w:rsidR="0024084A">
          <w:rPr>
            <w:webHidden/>
          </w:rPr>
        </w:r>
        <w:r w:rsidR="0024084A">
          <w:rPr>
            <w:webHidden/>
          </w:rPr>
          <w:fldChar w:fldCharType="separate"/>
        </w:r>
        <w:r w:rsidR="00A75175">
          <w:rPr>
            <w:webHidden/>
          </w:rPr>
          <w:t>82</w:t>
        </w:r>
        <w:r w:rsidR="0024084A">
          <w:rPr>
            <w:webHidden/>
          </w:rPr>
          <w:fldChar w:fldCharType="end"/>
        </w:r>
      </w:hyperlink>
    </w:p>
    <w:p w14:paraId="415510B0" w14:textId="2706F373" w:rsidR="0024084A" w:rsidRDefault="00A570BE">
      <w:pPr>
        <w:pStyle w:val="TableofFigures"/>
        <w:rPr>
          <w:rFonts w:asciiTheme="minorHAnsi" w:eastAsiaTheme="minorEastAsia" w:hAnsiTheme="minorHAnsi" w:cstheme="minorBidi"/>
          <w:bCs w:val="0"/>
          <w:szCs w:val="22"/>
          <w:lang w:val="en-AU" w:eastAsia="en-AU"/>
        </w:rPr>
      </w:pPr>
      <w:hyperlink w:anchor="_Toc514407872" w:history="1">
        <w:r w:rsidR="0024084A" w:rsidRPr="00302CE0">
          <w:rPr>
            <w:rStyle w:val="Hyperlink"/>
          </w:rPr>
          <w:t>Table 24 Correlation between Chlorophyll estimates..</w:t>
        </w:r>
        <w:r w:rsidR="0024084A">
          <w:rPr>
            <w:webHidden/>
          </w:rPr>
          <w:tab/>
        </w:r>
        <w:r w:rsidR="0024084A">
          <w:rPr>
            <w:webHidden/>
          </w:rPr>
          <w:fldChar w:fldCharType="begin"/>
        </w:r>
        <w:r w:rsidR="0024084A">
          <w:rPr>
            <w:webHidden/>
          </w:rPr>
          <w:instrText xml:space="preserve"> PAGEREF _Toc514407872 \h </w:instrText>
        </w:r>
        <w:r w:rsidR="0024084A">
          <w:rPr>
            <w:webHidden/>
          </w:rPr>
        </w:r>
        <w:r w:rsidR="0024084A">
          <w:rPr>
            <w:webHidden/>
          </w:rPr>
          <w:fldChar w:fldCharType="separate"/>
        </w:r>
        <w:r w:rsidR="00A75175">
          <w:rPr>
            <w:webHidden/>
          </w:rPr>
          <w:t>82</w:t>
        </w:r>
        <w:r w:rsidR="0024084A">
          <w:rPr>
            <w:webHidden/>
          </w:rPr>
          <w:fldChar w:fldCharType="end"/>
        </w:r>
      </w:hyperlink>
    </w:p>
    <w:p w14:paraId="776E073A" w14:textId="77777777" w:rsidR="0024084A" w:rsidRDefault="00A570BE">
      <w:pPr>
        <w:pStyle w:val="TableofFigures"/>
        <w:rPr>
          <w:rFonts w:asciiTheme="minorHAnsi" w:eastAsiaTheme="minorEastAsia" w:hAnsiTheme="minorHAnsi" w:cstheme="minorBidi"/>
          <w:bCs w:val="0"/>
          <w:szCs w:val="22"/>
          <w:lang w:val="en-AU" w:eastAsia="en-AU"/>
        </w:rPr>
      </w:pPr>
      <w:hyperlink w:anchor="_Toc514407873" w:history="1">
        <w:r w:rsidR="0024084A" w:rsidRPr="00302CE0">
          <w:rPr>
            <w:rStyle w:val="Hyperlink"/>
          </w:rPr>
          <w:t>Table 25 Correlation between dissolved nutrient estimates.</w:t>
        </w:r>
        <w:r w:rsidR="0024084A">
          <w:rPr>
            <w:webHidden/>
          </w:rPr>
          <w:tab/>
        </w:r>
        <w:r w:rsidR="0024084A">
          <w:rPr>
            <w:webHidden/>
          </w:rPr>
          <w:fldChar w:fldCharType="begin"/>
        </w:r>
        <w:r w:rsidR="0024084A">
          <w:rPr>
            <w:webHidden/>
          </w:rPr>
          <w:instrText xml:space="preserve"> PAGEREF _Toc514407873 \h </w:instrText>
        </w:r>
        <w:r w:rsidR="0024084A">
          <w:rPr>
            <w:webHidden/>
          </w:rPr>
        </w:r>
        <w:r w:rsidR="0024084A">
          <w:rPr>
            <w:webHidden/>
          </w:rPr>
          <w:fldChar w:fldCharType="separate"/>
        </w:r>
        <w:r w:rsidR="00A75175">
          <w:rPr>
            <w:webHidden/>
          </w:rPr>
          <w:t>83</w:t>
        </w:r>
        <w:r w:rsidR="0024084A">
          <w:rPr>
            <w:webHidden/>
          </w:rPr>
          <w:fldChar w:fldCharType="end"/>
        </w:r>
      </w:hyperlink>
    </w:p>
    <w:p w14:paraId="53182D5C" w14:textId="77777777" w:rsidR="0024084A" w:rsidRDefault="00A570BE">
      <w:pPr>
        <w:pStyle w:val="TableofFigures"/>
        <w:rPr>
          <w:rFonts w:asciiTheme="minorHAnsi" w:eastAsiaTheme="minorEastAsia" w:hAnsiTheme="minorHAnsi" w:cstheme="minorBidi"/>
          <w:bCs w:val="0"/>
          <w:szCs w:val="22"/>
          <w:lang w:val="en-AU" w:eastAsia="en-AU"/>
        </w:rPr>
      </w:pPr>
      <w:hyperlink w:anchor="_Toc514407874" w:history="1">
        <w:r w:rsidR="0024084A" w:rsidRPr="00302CE0">
          <w:rPr>
            <w:rStyle w:val="Hyperlink"/>
          </w:rPr>
          <w:t>Table 26 Correlation between particulate nutrient estimates</w:t>
        </w:r>
        <w:r w:rsidR="0024084A">
          <w:rPr>
            <w:webHidden/>
          </w:rPr>
          <w:tab/>
        </w:r>
        <w:r w:rsidR="0024084A">
          <w:rPr>
            <w:webHidden/>
          </w:rPr>
          <w:fldChar w:fldCharType="begin"/>
        </w:r>
        <w:r w:rsidR="0024084A">
          <w:rPr>
            <w:webHidden/>
          </w:rPr>
          <w:instrText xml:space="preserve"> PAGEREF _Toc514407874 \h </w:instrText>
        </w:r>
        <w:r w:rsidR="0024084A">
          <w:rPr>
            <w:webHidden/>
          </w:rPr>
        </w:r>
        <w:r w:rsidR="0024084A">
          <w:rPr>
            <w:webHidden/>
          </w:rPr>
          <w:fldChar w:fldCharType="separate"/>
        </w:r>
        <w:r w:rsidR="00A75175">
          <w:rPr>
            <w:webHidden/>
          </w:rPr>
          <w:t>83</w:t>
        </w:r>
        <w:r w:rsidR="0024084A">
          <w:rPr>
            <w:webHidden/>
          </w:rPr>
          <w:fldChar w:fldCharType="end"/>
        </w:r>
      </w:hyperlink>
    </w:p>
    <w:p w14:paraId="33766B18" w14:textId="77777777" w:rsidR="00F63B2F" w:rsidRPr="00F352E1" w:rsidRDefault="00044E50" w:rsidP="0026052F">
      <w:pPr>
        <w:ind w:right="340"/>
        <w:rPr>
          <w:color w:val="4F81BD" w:themeColor="accent1"/>
        </w:rPr>
      </w:pPr>
      <w:r w:rsidRPr="00F352E1">
        <w:rPr>
          <w:rFonts w:eastAsiaTheme="majorEastAsia" w:cs="Arial"/>
          <w:noProof/>
          <w:color w:val="4F81BD" w:themeColor="accent1"/>
        </w:rPr>
        <w:fldChar w:fldCharType="end"/>
      </w:r>
    </w:p>
    <w:p w14:paraId="60F750A8" w14:textId="77777777" w:rsidR="00F63B2F" w:rsidRPr="00F352E1" w:rsidRDefault="00F63B2F" w:rsidP="00F63B2F">
      <w:pPr>
        <w:rPr>
          <w:color w:val="4F81BD" w:themeColor="accent1"/>
        </w:rPr>
      </w:pPr>
      <w:r w:rsidRPr="00F352E1">
        <w:rPr>
          <w:color w:val="4F81BD" w:themeColor="accent1"/>
        </w:rPr>
        <w:br w:type="page"/>
      </w:r>
    </w:p>
    <w:p w14:paraId="0ADE2E2D" w14:textId="77777777" w:rsidR="006E3C16" w:rsidRPr="002D7E2A" w:rsidRDefault="006E3C16" w:rsidP="00F352CD">
      <w:pPr>
        <w:rPr>
          <w:b/>
          <w:i/>
          <w:sz w:val="32"/>
        </w:rPr>
      </w:pPr>
      <w:r w:rsidRPr="002D7E2A">
        <w:rPr>
          <w:b/>
          <w:i/>
          <w:sz w:val="32"/>
        </w:rPr>
        <w:lastRenderedPageBreak/>
        <w:t>List of Figures and Tables – Appendices</w:t>
      </w:r>
    </w:p>
    <w:bookmarkStart w:id="6" w:name="_List_of_Figures"/>
    <w:bookmarkStart w:id="7" w:name="_Toc330115298"/>
    <w:bookmarkStart w:id="8" w:name="_Toc330177377"/>
    <w:bookmarkStart w:id="9" w:name="_Toc330177721"/>
    <w:bookmarkStart w:id="10" w:name="_Toc330191319"/>
    <w:bookmarkStart w:id="11" w:name="_Toc330281932"/>
    <w:bookmarkStart w:id="12" w:name="_Toc437424398"/>
    <w:bookmarkStart w:id="13" w:name="_Toc437424522"/>
    <w:bookmarkStart w:id="14" w:name="_Toc437432452"/>
    <w:bookmarkStart w:id="15" w:name="_Toc437432525"/>
    <w:bookmarkEnd w:id="6"/>
    <w:p w14:paraId="089E3278" w14:textId="34A0189E" w:rsidR="00820027" w:rsidRDefault="0082344A">
      <w:pPr>
        <w:pStyle w:val="TableofFigures"/>
        <w:rPr>
          <w:rFonts w:asciiTheme="minorHAnsi" w:eastAsiaTheme="minorEastAsia" w:hAnsiTheme="minorHAnsi" w:cstheme="minorBidi"/>
          <w:bCs w:val="0"/>
          <w:szCs w:val="22"/>
          <w:lang w:val="en-AU" w:eastAsia="en-AU"/>
        </w:rPr>
      </w:pPr>
      <w:r w:rsidRPr="00F352E1">
        <w:rPr>
          <w:color w:val="4F81BD" w:themeColor="accent1"/>
          <w:sz w:val="24"/>
        </w:rPr>
        <w:fldChar w:fldCharType="begin"/>
      </w:r>
      <w:r w:rsidRPr="00F352E1">
        <w:rPr>
          <w:color w:val="4F81BD" w:themeColor="accent1"/>
          <w:sz w:val="24"/>
        </w:rPr>
        <w:instrText xml:space="preserve"> TOC \h \z \c "Figure A1." </w:instrText>
      </w:r>
      <w:r w:rsidRPr="00F352E1">
        <w:rPr>
          <w:color w:val="4F81BD" w:themeColor="accent1"/>
          <w:sz w:val="24"/>
        </w:rPr>
        <w:fldChar w:fldCharType="separate"/>
      </w:r>
      <w:hyperlink w:anchor="_Toc500143382" w:history="1">
        <w:r w:rsidR="00820027" w:rsidRPr="00EE170A">
          <w:rPr>
            <w:rStyle w:val="Hyperlink"/>
          </w:rPr>
          <w:t>Figure A1. 1 Barron Daintree sub-region benthic community composition.</w:t>
        </w:r>
        <w:r w:rsidR="00820027">
          <w:rPr>
            <w:webHidden/>
          </w:rPr>
          <w:tab/>
        </w:r>
        <w:r w:rsidR="00820027">
          <w:rPr>
            <w:webHidden/>
          </w:rPr>
          <w:fldChar w:fldCharType="begin"/>
        </w:r>
        <w:r w:rsidR="00820027">
          <w:rPr>
            <w:webHidden/>
          </w:rPr>
          <w:instrText xml:space="preserve"> PAGEREF _Toc500143382 \h </w:instrText>
        </w:r>
        <w:r w:rsidR="00820027">
          <w:rPr>
            <w:webHidden/>
          </w:rPr>
        </w:r>
        <w:r w:rsidR="00820027">
          <w:rPr>
            <w:webHidden/>
          </w:rPr>
          <w:fldChar w:fldCharType="separate"/>
        </w:r>
        <w:r w:rsidR="00A75175">
          <w:rPr>
            <w:webHidden/>
          </w:rPr>
          <w:t>113</w:t>
        </w:r>
        <w:r w:rsidR="00820027">
          <w:rPr>
            <w:webHidden/>
          </w:rPr>
          <w:fldChar w:fldCharType="end"/>
        </w:r>
      </w:hyperlink>
    </w:p>
    <w:p w14:paraId="3802C8F6" w14:textId="7CDD2ADB" w:rsidR="00820027" w:rsidRDefault="00A570BE">
      <w:pPr>
        <w:pStyle w:val="TableofFigures"/>
        <w:rPr>
          <w:rFonts w:asciiTheme="minorHAnsi" w:eastAsiaTheme="minorEastAsia" w:hAnsiTheme="minorHAnsi" w:cstheme="minorBidi"/>
          <w:bCs w:val="0"/>
          <w:szCs w:val="22"/>
          <w:lang w:val="en-AU" w:eastAsia="en-AU"/>
        </w:rPr>
      </w:pPr>
      <w:hyperlink w:anchor="_Toc500143383" w:history="1">
        <w:r w:rsidR="00820027" w:rsidRPr="00EE170A">
          <w:rPr>
            <w:rStyle w:val="Hyperlink"/>
          </w:rPr>
          <w:t>Figure A1. 2 Johnstone Russell-Mulgrave sub-region benthic community composition.</w:t>
        </w:r>
        <w:r w:rsidR="00820027">
          <w:rPr>
            <w:webHidden/>
          </w:rPr>
          <w:tab/>
        </w:r>
        <w:r w:rsidR="00820027">
          <w:rPr>
            <w:webHidden/>
          </w:rPr>
          <w:fldChar w:fldCharType="begin"/>
        </w:r>
        <w:r w:rsidR="00820027">
          <w:rPr>
            <w:webHidden/>
          </w:rPr>
          <w:instrText xml:space="preserve"> PAGEREF _Toc500143383 \h </w:instrText>
        </w:r>
        <w:r w:rsidR="00820027">
          <w:rPr>
            <w:webHidden/>
          </w:rPr>
        </w:r>
        <w:r w:rsidR="00820027">
          <w:rPr>
            <w:webHidden/>
          </w:rPr>
          <w:fldChar w:fldCharType="separate"/>
        </w:r>
        <w:r w:rsidR="00A75175">
          <w:rPr>
            <w:webHidden/>
          </w:rPr>
          <w:t>114</w:t>
        </w:r>
        <w:r w:rsidR="00820027">
          <w:rPr>
            <w:webHidden/>
          </w:rPr>
          <w:fldChar w:fldCharType="end"/>
        </w:r>
      </w:hyperlink>
    </w:p>
    <w:p w14:paraId="5DE45504" w14:textId="4BC1FC02" w:rsidR="00820027" w:rsidRDefault="00A570BE">
      <w:pPr>
        <w:pStyle w:val="TableofFigures"/>
        <w:rPr>
          <w:rFonts w:asciiTheme="minorHAnsi" w:eastAsiaTheme="minorEastAsia" w:hAnsiTheme="minorHAnsi" w:cstheme="minorBidi"/>
          <w:bCs w:val="0"/>
          <w:szCs w:val="22"/>
          <w:lang w:val="en-AU" w:eastAsia="en-AU"/>
        </w:rPr>
      </w:pPr>
      <w:hyperlink w:anchor="_Toc500143384" w:history="1">
        <w:r w:rsidR="00820027" w:rsidRPr="00EE170A">
          <w:rPr>
            <w:rStyle w:val="Hyperlink"/>
          </w:rPr>
          <w:t>Figure A1. 3 Herbert-Tully sub- region benthic community composition.</w:t>
        </w:r>
        <w:r w:rsidR="00820027">
          <w:rPr>
            <w:webHidden/>
          </w:rPr>
          <w:tab/>
        </w:r>
        <w:r w:rsidR="00820027">
          <w:rPr>
            <w:webHidden/>
          </w:rPr>
          <w:fldChar w:fldCharType="begin"/>
        </w:r>
        <w:r w:rsidR="00820027">
          <w:rPr>
            <w:webHidden/>
          </w:rPr>
          <w:instrText xml:space="preserve"> PAGEREF _Toc500143384 \h </w:instrText>
        </w:r>
        <w:r w:rsidR="00820027">
          <w:rPr>
            <w:webHidden/>
          </w:rPr>
        </w:r>
        <w:r w:rsidR="00820027">
          <w:rPr>
            <w:webHidden/>
          </w:rPr>
          <w:fldChar w:fldCharType="separate"/>
        </w:r>
        <w:r w:rsidR="00A75175">
          <w:rPr>
            <w:webHidden/>
          </w:rPr>
          <w:t>117</w:t>
        </w:r>
        <w:r w:rsidR="00820027">
          <w:rPr>
            <w:webHidden/>
          </w:rPr>
          <w:fldChar w:fldCharType="end"/>
        </w:r>
      </w:hyperlink>
    </w:p>
    <w:p w14:paraId="1B9E5784" w14:textId="6BEDBAA8" w:rsidR="00820027" w:rsidRDefault="00A570BE">
      <w:pPr>
        <w:pStyle w:val="TableofFigures"/>
        <w:rPr>
          <w:rFonts w:asciiTheme="minorHAnsi" w:eastAsiaTheme="minorEastAsia" w:hAnsiTheme="minorHAnsi" w:cstheme="minorBidi"/>
          <w:bCs w:val="0"/>
          <w:szCs w:val="22"/>
          <w:lang w:val="en-AU" w:eastAsia="en-AU"/>
        </w:rPr>
      </w:pPr>
      <w:hyperlink w:anchor="_Toc500143385" w:history="1">
        <w:r w:rsidR="00820027" w:rsidRPr="00EE170A">
          <w:rPr>
            <w:rStyle w:val="Hyperlink"/>
          </w:rPr>
          <w:t>Figure A1. 4 Burdekin Region benthic community composition.</w:t>
        </w:r>
        <w:r w:rsidR="00820027">
          <w:rPr>
            <w:webHidden/>
          </w:rPr>
          <w:tab/>
        </w:r>
        <w:r w:rsidR="00820027">
          <w:rPr>
            <w:webHidden/>
          </w:rPr>
          <w:fldChar w:fldCharType="begin"/>
        </w:r>
        <w:r w:rsidR="00820027">
          <w:rPr>
            <w:webHidden/>
          </w:rPr>
          <w:instrText xml:space="preserve"> PAGEREF _Toc500143385 \h </w:instrText>
        </w:r>
        <w:r w:rsidR="00820027">
          <w:rPr>
            <w:webHidden/>
          </w:rPr>
        </w:r>
        <w:r w:rsidR="00820027">
          <w:rPr>
            <w:webHidden/>
          </w:rPr>
          <w:fldChar w:fldCharType="separate"/>
        </w:r>
        <w:r w:rsidR="00A75175">
          <w:rPr>
            <w:webHidden/>
          </w:rPr>
          <w:t>119</w:t>
        </w:r>
        <w:r w:rsidR="00820027">
          <w:rPr>
            <w:webHidden/>
          </w:rPr>
          <w:fldChar w:fldCharType="end"/>
        </w:r>
      </w:hyperlink>
    </w:p>
    <w:p w14:paraId="24902D5C" w14:textId="1A1EA862" w:rsidR="00820027" w:rsidRDefault="00A570BE">
      <w:pPr>
        <w:pStyle w:val="TableofFigures"/>
        <w:rPr>
          <w:rFonts w:asciiTheme="minorHAnsi" w:eastAsiaTheme="minorEastAsia" w:hAnsiTheme="minorHAnsi" w:cstheme="minorBidi"/>
          <w:bCs w:val="0"/>
          <w:szCs w:val="22"/>
          <w:lang w:val="en-AU" w:eastAsia="en-AU"/>
        </w:rPr>
      </w:pPr>
      <w:hyperlink w:anchor="_Toc500143386" w:history="1">
        <w:r w:rsidR="00820027" w:rsidRPr="00EE170A">
          <w:rPr>
            <w:rStyle w:val="Hyperlink"/>
          </w:rPr>
          <w:t>Figure A1. 5 Mackay Whitsunday Region benthic community composition.</w:t>
        </w:r>
        <w:r w:rsidR="00820027">
          <w:rPr>
            <w:webHidden/>
          </w:rPr>
          <w:tab/>
        </w:r>
        <w:r w:rsidR="00820027">
          <w:rPr>
            <w:webHidden/>
          </w:rPr>
          <w:fldChar w:fldCharType="begin"/>
        </w:r>
        <w:r w:rsidR="00820027">
          <w:rPr>
            <w:webHidden/>
          </w:rPr>
          <w:instrText xml:space="preserve"> PAGEREF _Toc500143386 \h </w:instrText>
        </w:r>
        <w:r w:rsidR="00820027">
          <w:rPr>
            <w:webHidden/>
          </w:rPr>
        </w:r>
        <w:r w:rsidR="00820027">
          <w:rPr>
            <w:webHidden/>
          </w:rPr>
          <w:fldChar w:fldCharType="separate"/>
        </w:r>
        <w:r w:rsidR="00A75175">
          <w:rPr>
            <w:webHidden/>
          </w:rPr>
          <w:t>123</w:t>
        </w:r>
        <w:r w:rsidR="00820027">
          <w:rPr>
            <w:webHidden/>
          </w:rPr>
          <w:fldChar w:fldCharType="end"/>
        </w:r>
      </w:hyperlink>
    </w:p>
    <w:p w14:paraId="4A28E40F" w14:textId="252E7A11" w:rsidR="00820027" w:rsidRDefault="00A570BE">
      <w:pPr>
        <w:pStyle w:val="TableofFigures"/>
        <w:rPr>
          <w:rFonts w:asciiTheme="minorHAnsi" w:eastAsiaTheme="minorEastAsia" w:hAnsiTheme="minorHAnsi" w:cstheme="minorBidi"/>
          <w:bCs w:val="0"/>
          <w:szCs w:val="22"/>
          <w:lang w:val="en-AU" w:eastAsia="en-AU"/>
        </w:rPr>
      </w:pPr>
      <w:hyperlink w:anchor="_Toc500143387" w:history="1">
        <w:r w:rsidR="00820027" w:rsidRPr="00EE170A">
          <w:rPr>
            <w:rStyle w:val="Hyperlink"/>
          </w:rPr>
          <w:t>Figure A1. 6 Fitzroy Region benthic community composition.</w:t>
        </w:r>
        <w:r w:rsidR="00820027">
          <w:rPr>
            <w:webHidden/>
          </w:rPr>
          <w:tab/>
        </w:r>
        <w:r w:rsidR="00820027">
          <w:rPr>
            <w:webHidden/>
          </w:rPr>
          <w:fldChar w:fldCharType="begin"/>
        </w:r>
        <w:r w:rsidR="00820027">
          <w:rPr>
            <w:webHidden/>
          </w:rPr>
          <w:instrText xml:space="preserve"> PAGEREF _Toc500143387 \h </w:instrText>
        </w:r>
        <w:r w:rsidR="00820027">
          <w:rPr>
            <w:webHidden/>
          </w:rPr>
        </w:r>
        <w:r w:rsidR="00820027">
          <w:rPr>
            <w:webHidden/>
          </w:rPr>
          <w:fldChar w:fldCharType="separate"/>
        </w:r>
        <w:r w:rsidR="00A75175">
          <w:rPr>
            <w:webHidden/>
          </w:rPr>
          <w:t>127</w:t>
        </w:r>
        <w:r w:rsidR="00820027">
          <w:rPr>
            <w:webHidden/>
          </w:rPr>
          <w:fldChar w:fldCharType="end"/>
        </w:r>
      </w:hyperlink>
    </w:p>
    <w:p w14:paraId="1DC1F1C9" w14:textId="030D9614" w:rsidR="00820027" w:rsidRDefault="00A570BE">
      <w:pPr>
        <w:pStyle w:val="TableofFigures"/>
        <w:rPr>
          <w:rFonts w:asciiTheme="minorHAnsi" w:eastAsiaTheme="minorEastAsia" w:hAnsiTheme="minorHAnsi" w:cstheme="minorBidi"/>
          <w:bCs w:val="0"/>
          <w:szCs w:val="22"/>
          <w:lang w:val="en-AU" w:eastAsia="en-AU"/>
        </w:rPr>
      </w:pPr>
      <w:hyperlink w:anchor="_Toc500143388" w:history="1">
        <w:r w:rsidR="00820027" w:rsidRPr="00EE170A">
          <w:rPr>
            <w:rStyle w:val="Hyperlink"/>
          </w:rPr>
          <w:t>Figure A1. 7 Coral disease by year in each region.</w:t>
        </w:r>
        <w:r w:rsidR="00820027">
          <w:rPr>
            <w:webHidden/>
          </w:rPr>
          <w:tab/>
        </w:r>
        <w:r w:rsidR="00820027">
          <w:rPr>
            <w:webHidden/>
          </w:rPr>
          <w:fldChar w:fldCharType="begin"/>
        </w:r>
        <w:r w:rsidR="00820027">
          <w:rPr>
            <w:webHidden/>
          </w:rPr>
          <w:instrText xml:space="preserve"> PAGEREF _Toc500143388 \h </w:instrText>
        </w:r>
        <w:r w:rsidR="00820027">
          <w:rPr>
            <w:webHidden/>
          </w:rPr>
        </w:r>
        <w:r w:rsidR="00820027">
          <w:rPr>
            <w:webHidden/>
          </w:rPr>
          <w:fldChar w:fldCharType="separate"/>
        </w:r>
        <w:r w:rsidR="00A75175">
          <w:rPr>
            <w:webHidden/>
          </w:rPr>
          <w:t>129</w:t>
        </w:r>
        <w:r w:rsidR="00820027">
          <w:rPr>
            <w:webHidden/>
          </w:rPr>
          <w:fldChar w:fldCharType="end"/>
        </w:r>
      </w:hyperlink>
    </w:p>
    <w:p w14:paraId="346579CC" w14:textId="2F3ED6C5" w:rsidR="00820027" w:rsidRDefault="00A570BE">
      <w:pPr>
        <w:pStyle w:val="TableofFigures"/>
        <w:rPr>
          <w:rFonts w:asciiTheme="minorHAnsi" w:eastAsiaTheme="minorEastAsia" w:hAnsiTheme="minorHAnsi" w:cstheme="minorBidi"/>
          <w:bCs w:val="0"/>
          <w:szCs w:val="22"/>
          <w:lang w:val="en-AU" w:eastAsia="en-AU"/>
        </w:rPr>
      </w:pPr>
      <w:hyperlink w:anchor="_Toc500143389" w:history="1">
        <w:r w:rsidR="00820027" w:rsidRPr="00EE170A">
          <w:rPr>
            <w:rStyle w:val="Hyperlink"/>
          </w:rPr>
          <w:t xml:space="preserve">Figure A1. 8 Tropical </w:t>
        </w:r>
        <w:r w:rsidR="00CE02D3">
          <w:rPr>
            <w:rStyle w:val="Hyperlink"/>
          </w:rPr>
          <w:t>c</w:t>
        </w:r>
        <w:r w:rsidR="00820027" w:rsidRPr="00EE170A">
          <w:rPr>
            <w:rStyle w:val="Hyperlink"/>
          </w:rPr>
          <w:t>yclone Debbie track.</w:t>
        </w:r>
        <w:r w:rsidR="00820027">
          <w:rPr>
            <w:webHidden/>
          </w:rPr>
          <w:tab/>
        </w:r>
        <w:r w:rsidR="00820027">
          <w:rPr>
            <w:webHidden/>
          </w:rPr>
          <w:fldChar w:fldCharType="begin"/>
        </w:r>
        <w:r w:rsidR="00820027">
          <w:rPr>
            <w:webHidden/>
          </w:rPr>
          <w:instrText xml:space="preserve"> PAGEREF _Toc500143389 \h </w:instrText>
        </w:r>
        <w:r w:rsidR="00820027">
          <w:rPr>
            <w:webHidden/>
          </w:rPr>
        </w:r>
        <w:r w:rsidR="00820027">
          <w:rPr>
            <w:webHidden/>
          </w:rPr>
          <w:fldChar w:fldCharType="separate"/>
        </w:r>
        <w:r w:rsidR="00A75175">
          <w:rPr>
            <w:webHidden/>
          </w:rPr>
          <w:t>141</w:t>
        </w:r>
        <w:r w:rsidR="00820027">
          <w:rPr>
            <w:webHidden/>
          </w:rPr>
          <w:fldChar w:fldCharType="end"/>
        </w:r>
      </w:hyperlink>
    </w:p>
    <w:p w14:paraId="33FE4F6B" w14:textId="18D79B8D" w:rsidR="00820027" w:rsidRDefault="00A570BE">
      <w:pPr>
        <w:pStyle w:val="TableofFigures"/>
        <w:rPr>
          <w:rFonts w:asciiTheme="minorHAnsi" w:eastAsiaTheme="minorEastAsia" w:hAnsiTheme="minorHAnsi" w:cstheme="minorBidi"/>
          <w:bCs w:val="0"/>
          <w:szCs w:val="22"/>
          <w:lang w:val="en-AU" w:eastAsia="en-AU"/>
        </w:rPr>
      </w:pPr>
      <w:hyperlink w:anchor="_Toc500143390" w:history="1">
        <w:r w:rsidR="00820027" w:rsidRPr="00EE170A">
          <w:rPr>
            <w:rStyle w:val="Hyperlink"/>
          </w:rPr>
          <w:t>Figure A1. 9 Temporal trends in water quality: Baron Daintree sub-region.</w:t>
        </w:r>
        <w:r w:rsidR="00820027">
          <w:rPr>
            <w:webHidden/>
          </w:rPr>
          <w:tab/>
        </w:r>
        <w:r w:rsidR="00820027">
          <w:rPr>
            <w:webHidden/>
          </w:rPr>
          <w:fldChar w:fldCharType="begin"/>
        </w:r>
        <w:r w:rsidR="00820027">
          <w:rPr>
            <w:webHidden/>
          </w:rPr>
          <w:instrText xml:space="preserve"> PAGEREF _Toc500143390 \h </w:instrText>
        </w:r>
        <w:r w:rsidR="00820027">
          <w:rPr>
            <w:webHidden/>
          </w:rPr>
        </w:r>
        <w:r w:rsidR="00820027">
          <w:rPr>
            <w:webHidden/>
          </w:rPr>
          <w:fldChar w:fldCharType="separate"/>
        </w:r>
        <w:r w:rsidR="00A75175">
          <w:rPr>
            <w:webHidden/>
          </w:rPr>
          <w:t>142</w:t>
        </w:r>
        <w:r w:rsidR="00820027">
          <w:rPr>
            <w:webHidden/>
          </w:rPr>
          <w:fldChar w:fldCharType="end"/>
        </w:r>
      </w:hyperlink>
    </w:p>
    <w:p w14:paraId="3E397A36" w14:textId="22771ED5" w:rsidR="00820027" w:rsidRDefault="00A570BE">
      <w:pPr>
        <w:pStyle w:val="TableofFigures"/>
        <w:rPr>
          <w:rFonts w:asciiTheme="minorHAnsi" w:eastAsiaTheme="minorEastAsia" w:hAnsiTheme="minorHAnsi" w:cstheme="minorBidi"/>
          <w:bCs w:val="0"/>
          <w:szCs w:val="22"/>
          <w:lang w:val="en-AU" w:eastAsia="en-AU"/>
        </w:rPr>
      </w:pPr>
      <w:hyperlink w:anchor="_Toc500143391" w:history="1">
        <w:r w:rsidR="00820027" w:rsidRPr="00EE170A">
          <w:rPr>
            <w:rStyle w:val="Hyperlink"/>
          </w:rPr>
          <w:t>Figure A1. 10 Temporal trends in water quality: Johnstone Russell-Mulgrave sub-region.</w:t>
        </w:r>
        <w:r w:rsidR="00820027">
          <w:rPr>
            <w:webHidden/>
          </w:rPr>
          <w:tab/>
        </w:r>
        <w:r w:rsidR="00820027">
          <w:rPr>
            <w:webHidden/>
          </w:rPr>
          <w:fldChar w:fldCharType="begin"/>
        </w:r>
        <w:r w:rsidR="00820027">
          <w:rPr>
            <w:webHidden/>
          </w:rPr>
          <w:instrText xml:space="preserve"> PAGEREF _Toc500143391 \h </w:instrText>
        </w:r>
        <w:r w:rsidR="00820027">
          <w:rPr>
            <w:webHidden/>
          </w:rPr>
        </w:r>
        <w:r w:rsidR="00820027">
          <w:rPr>
            <w:webHidden/>
          </w:rPr>
          <w:fldChar w:fldCharType="separate"/>
        </w:r>
        <w:r w:rsidR="00A75175">
          <w:rPr>
            <w:webHidden/>
          </w:rPr>
          <w:t>143</w:t>
        </w:r>
        <w:r w:rsidR="00820027">
          <w:rPr>
            <w:webHidden/>
          </w:rPr>
          <w:fldChar w:fldCharType="end"/>
        </w:r>
      </w:hyperlink>
    </w:p>
    <w:p w14:paraId="3E124841" w14:textId="4EE6841B" w:rsidR="00820027" w:rsidRDefault="00A570BE">
      <w:pPr>
        <w:pStyle w:val="TableofFigures"/>
        <w:rPr>
          <w:rFonts w:asciiTheme="minorHAnsi" w:eastAsiaTheme="minorEastAsia" w:hAnsiTheme="minorHAnsi" w:cstheme="minorBidi"/>
          <w:bCs w:val="0"/>
          <w:szCs w:val="22"/>
          <w:lang w:val="en-AU" w:eastAsia="en-AU"/>
        </w:rPr>
      </w:pPr>
      <w:hyperlink w:anchor="_Toc500143392" w:history="1">
        <w:r w:rsidR="00820027" w:rsidRPr="00EE170A">
          <w:rPr>
            <w:rStyle w:val="Hyperlink"/>
          </w:rPr>
          <w:t>Figure A1. 11 Temporal trends in water quality: Herbert Tully sub-region.</w:t>
        </w:r>
        <w:r w:rsidR="00820027">
          <w:rPr>
            <w:webHidden/>
          </w:rPr>
          <w:tab/>
        </w:r>
        <w:r w:rsidR="00820027">
          <w:rPr>
            <w:webHidden/>
          </w:rPr>
          <w:fldChar w:fldCharType="begin"/>
        </w:r>
        <w:r w:rsidR="00820027">
          <w:rPr>
            <w:webHidden/>
          </w:rPr>
          <w:instrText xml:space="preserve"> PAGEREF _Toc500143392 \h </w:instrText>
        </w:r>
        <w:r w:rsidR="00820027">
          <w:rPr>
            <w:webHidden/>
          </w:rPr>
        </w:r>
        <w:r w:rsidR="00820027">
          <w:rPr>
            <w:webHidden/>
          </w:rPr>
          <w:fldChar w:fldCharType="separate"/>
        </w:r>
        <w:r w:rsidR="00A75175">
          <w:rPr>
            <w:webHidden/>
          </w:rPr>
          <w:t>144</w:t>
        </w:r>
        <w:r w:rsidR="00820027">
          <w:rPr>
            <w:webHidden/>
          </w:rPr>
          <w:fldChar w:fldCharType="end"/>
        </w:r>
      </w:hyperlink>
    </w:p>
    <w:p w14:paraId="5E6AA8E6" w14:textId="7C66D885" w:rsidR="00820027" w:rsidRDefault="00A570BE">
      <w:pPr>
        <w:pStyle w:val="TableofFigures"/>
        <w:rPr>
          <w:rFonts w:asciiTheme="minorHAnsi" w:eastAsiaTheme="minorEastAsia" w:hAnsiTheme="minorHAnsi" w:cstheme="minorBidi"/>
          <w:bCs w:val="0"/>
          <w:szCs w:val="22"/>
          <w:lang w:val="en-AU" w:eastAsia="en-AU"/>
        </w:rPr>
      </w:pPr>
      <w:hyperlink w:anchor="_Toc500143393" w:history="1">
        <w:r w:rsidR="00820027" w:rsidRPr="00EE170A">
          <w:rPr>
            <w:rStyle w:val="Hyperlink"/>
          </w:rPr>
          <w:t>Figure A1. 12 Temporal trends in water quality: Burdekin region.</w:t>
        </w:r>
        <w:r w:rsidR="00820027">
          <w:rPr>
            <w:webHidden/>
          </w:rPr>
          <w:tab/>
        </w:r>
        <w:r w:rsidR="00820027">
          <w:rPr>
            <w:webHidden/>
          </w:rPr>
          <w:fldChar w:fldCharType="begin"/>
        </w:r>
        <w:r w:rsidR="00820027">
          <w:rPr>
            <w:webHidden/>
          </w:rPr>
          <w:instrText xml:space="preserve"> PAGEREF _Toc500143393 \h </w:instrText>
        </w:r>
        <w:r w:rsidR="00820027">
          <w:rPr>
            <w:webHidden/>
          </w:rPr>
        </w:r>
        <w:r w:rsidR="00820027">
          <w:rPr>
            <w:webHidden/>
          </w:rPr>
          <w:fldChar w:fldCharType="separate"/>
        </w:r>
        <w:r w:rsidR="00A75175">
          <w:rPr>
            <w:webHidden/>
          </w:rPr>
          <w:t>145</w:t>
        </w:r>
        <w:r w:rsidR="00820027">
          <w:rPr>
            <w:webHidden/>
          </w:rPr>
          <w:fldChar w:fldCharType="end"/>
        </w:r>
      </w:hyperlink>
    </w:p>
    <w:p w14:paraId="3CDE5DBD" w14:textId="108D68EB" w:rsidR="00820027" w:rsidRDefault="00A570BE">
      <w:pPr>
        <w:pStyle w:val="TableofFigures"/>
        <w:rPr>
          <w:rFonts w:asciiTheme="minorHAnsi" w:eastAsiaTheme="minorEastAsia" w:hAnsiTheme="minorHAnsi" w:cstheme="minorBidi"/>
          <w:bCs w:val="0"/>
          <w:szCs w:val="22"/>
          <w:lang w:val="en-AU" w:eastAsia="en-AU"/>
        </w:rPr>
      </w:pPr>
      <w:hyperlink w:anchor="_Toc500143394" w:history="1">
        <w:r w:rsidR="00820027" w:rsidRPr="00EE170A">
          <w:rPr>
            <w:rStyle w:val="Hyperlink"/>
          </w:rPr>
          <w:t>Figure A1. 13 Temporal trends in water quality: Mackay Whitsundays region.</w:t>
        </w:r>
        <w:r w:rsidR="00820027">
          <w:rPr>
            <w:webHidden/>
          </w:rPr>
          <w:tab/>
        </w:r>
        <w:r w:rsidR="00820027">
          <w:rPr>
            <w:webHidden/>
          </w:rPr>
          <w:fldChar w:fldCharType="begin"/>
        </w:r>
        <w:r w:rsidR="00820027">
          <w:rPr>
            <w:webHidden/>
          </w:rPr>
          <w:instrText xml:space="preserve"> PAGEREF _Toc500143394 \h </w:instrText>
        </w:r>
        <w:r w:rsidR="00820027">
          <w:rPr>
            <w:webHidden/>
          </w:rPr>
        </w:r>
        <w:r w:rsidR="00820027">
          <w:rPr>
            <w:webHidden/>
          </w:rPr>
          <w:fldChar w:fldCharType="separate"/>
        </w:r>
        <w:r w:rsidR="00A75175">
          <w:rPr>
            <w:webHidden/>
          </w:rPr>
          <w:t>146</w:t>
        </w:r>
        <w:r w:rsidR="00820027">
          <w:rPr>
            <w:webHidden/>
          </w:rPr>
          <w:fldChar w:fldCharType="end"/>
        </w:r>
      </w:hyperlink>
    </w:p>
    <w:p w14:paraId="39BF01DD" w14:textId="1BFEC9ED" w:rsidR="00820027" w:rsidRDefault="00A570BE">
      <w:pPr>
        <w:pStyle w:val="TableofFigures"/>
        <w:rPr>
          <w:rFonts w:asciiTheme="minorHAnsi" w:eastAsiaTheme="minorEastAsia" w:hAnsiTheme="minorHAnsi" w:cstheme="minorBidi"/>
          <w:bCs w:val="0"/>
          <w:szCs w:val="22"/>
          <w:lang w:val="en-AU" w:eastAsia="en-AU"/>
        </w:rPr>
      </w:pPr>
      <w:hyperlink w:anchor="_Toc500143395" w:history="1">
        <w:r w:rsidR="00820027" w:rsidRPr="00EE170A">
          <w:rPr>
            <w:rStyle w:val="Hyperlink"/>
          </w:rPr>
          <w:t>Figure A1. 14 Temporal trends in water quality: Fitzroy region.</w:t>
        </w:r>
        <w:r w:rsidR="00820027">
          <w:rPr>
            <w:webHidden/>
          </w:rPr>
          <w:tab/>
        </w:r>
        <w:r w:rsidR="00820027">
          <w:rPr>
            <w:webHidden/>
          </w:rPr>
          <w:fldChar w:fldCharType="begin"/>
        </w:r>
        <w:r w:rsidR="00820027">
          <w:rPr>
            <w:webHidden/>
          </w:rPr>
          <w:instrText xml:space="preserve"> PAGEREF _Toc500143395 \h </w:instrText>
        </w:r>
        <w:r w:rsidR="00820027">
          <w:rPr>
            <w:webHidden/>
          </w:rPr>
        </w:r>
        <w:r w:rsidR="00820027">
          <w:rPr>
            <w:webHidden/>
          </w:rPr>
          <w:fldChar w:fldCharType="separate"/>
        </w:r>
        <w:r w:rsidR="00A75175">
          <w:rPr>
            <w:webHidden/>
          </w:rPr>
          <w:t>147</w:t>
        </w:r>
        <w:r w:rsidR="00820027">
          <w:rPr>
            <w:webHidden/>
          </w:rPr>
          <w:fldChar w:fldCharType="end"/>
        </w:r>
      </w:hyperlink>
    </w:p>
    <w:p w14:paraId="6FB74BD5" w14:textId="77777777" w:rsidR="001C3FA7" w:rsidRPr="00F352E1" w:rsidRDefault="0082344A">
      <w:pPr>
        <w:pStyle w:val="TableofFigures"/>
        <w:rPr>
          <w:rFonts w:asciiTheme="minorHAnsi" w:eastAsiaTheme="minorEastAsia" w:hAnsiTheme="minorHAnsi" w:cstheme="minorBidi"/>
          <w:bCs w:val="0"/>
          <w:color w:val="4F81BD" w:themeColor="accent1"/>
          <w:szCs w:val="22"/>
          <w:lang w:val="en-AU" w:eastAsia="en-AU"/>
        </w:rPr>
      </w:pPr>
      <w:r w:rsidRPr="00F352E1">
        <w:rPr>
          <w:bCs w:val="0"/>
          <w:color w:val="4F81BD" w:themeColor="accent1"/>
          <w:sz w:val="24"/>
        </w:rPr>
        <w:fldChar w:fldCharType="end"/>
      </w:r>
      <w:r w:rsidR="00044E50" w:rsidRPr="00F352E1">
        <w:rPr>
          <w:color w:val="4F81BD" w:themeColor="accent1"/>
          <w:szCs w:val="22"/>
        </w:rPr>
        <w:fldChar w:fldCharType="begin"/>
      </w:r>
      <w:r w:rsidR="006A31B8" w:rsidRPr="00F352E1">
        <w:rPr>
          <w:color w:val="4F81BD" w:themeColor="accent1"/>
          <w:szCs w:val="22"/>
        </w:rPr>
        <w:instrText xml:space="preserve"> TOC \h \z \c "Table A" </w:instrText>
      </w:r>
      <w:r w:rsidR="00044E50" w:rsidRPr="00F352E1">
        <w:rPr>
          <w:color w:val="4F81BD" w:themeColor="accent1"/>
          <w:szCs w:val="22"/>
        </w:rPr>
        <w:fldChar w:fldCharType="separate"/>
      </w:r>
    </w:p>
    <w:p w14:paraId="65E50E55" w14:textId="189558AD" w:rsidR="00D74CBF" w:rsidRDefault="00044E50">
      <w:pPr>
        <w:pStyle w:val="TableofFigures"/>
        <w:rPr>
          <w:rFonts w:asciiTheme="minorHAnsi" w:eastAsiaTheme="minorEastAsia" w:hAnsiTheme="minorHAnsi" w:cstheme="minorBidi"/>
          <w:bCs w:val="0"/>
          <w:szCs w:val="22"/>
          <w:lang w:val="en-AU" w:eastAsia="en-AU"/>
        </w:rPr>
      </w:pPr>
      <w:r w:rsidRPr="00F352E1">
        <w:rPr>
          <w:color w:val="4F81BD" w:themeColor="accent1"/>
          <w:szCs w:val="22"/>
        </w:rPr>
        <w:fldChar w:fldCharType="end"/>
      </w:r>
      <w:r w:rsidR="00D74CBF">
        <w:rPr>
          <w:color w:val="4F81BD" w:themeColor="accent1"/>
          <w:szCs w:val="22"/>
        </w:rPr>
        <w:fldChar w:fldCharType="begin"/>
      </w:r>
      <w:r w:rsidR="00D74CBF">
        <w:rPr>
          <w:color w:val="4F81BD" w:themeColor="accent1"/>
          <w:szCs w:val="22"/>
        </w:rPr>
        <w:instrText xml:space="preserve"> TOC \h \z \c "Table A1" </w:instrText>
      </w:r>
      <w:r w:rsidR="00D74CBF">
        <w:rPr>
          <w:color w:val="4F81BD" w:themeColor="accent1"/>
          <w:szCs w:val="22"/>
        </w:rPr>
        <w:fldChar w:fldCharType="separate"/>
      </w:r>
      <w:hyperlink w:anchor="_Toc498591416" w:history="1">
        <w:r w:rsidR="00D74CBF" w:rsidRPr="00DD0DA0">
          <w:rPr>
            <w:rStyle w:val="Hyperlink"/>
          </w:rPr>
          <w:t>Table A1. 1 Thresholds for proportion of macroalgae in the algae communities</w:t>
        </w:r>
        <w:r w:rsidR="00D74CBF">
          <w:rPr>
            <w:webHidden/>
          </w:rPr>
          <w:tab/>
        </w:r>
        <w:r w:rsidR="00D74CBF">
          <w:rPr>
            <w:webHidden/>
          </w:rPr>
          <w:fldChar w:fldCharType="begin"/>
        </w:r>
        <w:r w:rsidR="00D74CBF">
          <w:rPr>
            <w:webHidden/>
          </w:rPr>
          <w:instrText xml:space="preserve"> PAGEREF _Toc498591416 \h </w:instrText>
        </w:r>
        <w:r w:rsidR="00D74CBF">
          <w:rPr>
            <w:webHidden/>
          </w:rPr>
        </w:r>
        <w:r w:rsidR="00D74CBF">
          <w:rPr>
            <w:webHidden/>
          </w:rPr>
          <w:fldChar w:fldCharType="separate"/>
        </w:r>
        <w:r w:rsidR="00A75175">
          <w:rPr>
            <w:webHidden/>
          </w:rPr>
          <w:t>102</w:t>
        </w:r>
        <w:r w:rsidR="00D74CBF">
          <w:rPr>
            <w:webHidden/>
          </w:rPr>
          <w:fldChar w:fldCharType="end"/>
        </w:r>
      </w:hyperlink>
    </w:p>
    <w:p w14:paraId="1F63B8B5" w14:textId="34779494" w:rsidR="00D74CBF" w:rsidRDefault="00A570BE">
      <w:pPr>
        <w:pStyle w:val="TableofFigures"/>
        <w:rPr>
          <w:rFonts w:asciiTheme="minorHAnsi" w:eastAsiaTheme="minorEastAsia" w:hAnsiTheme="minorHAnsi" w:cstheme="minorBidi"/>
          <w:bCs w:val="0"/>
          <w:szCs w:val="22"/>
          <w:lang w:val="en-AU" w:eastAsia="en-AU"/>
        </w:rPr>
      </w:pPr>
      <w:hyperlink w:anchor="_Toc498591417" w:history="1">
        <w:r w:rsidR="00D74CBF" w:rsidRPr="00DD0DA0">
          <w:rPr>
            <w:rStyle w:val="Hyperlink"/>
          </w:rPr>
          <w:t>Table A1. 2 Eigenvalues for hard coral genera along</w:t>
        </w:r>
        <w:r w:rsidR="00D74CBF">
          <w:rPr>
            <w:rStyle w:val="Hyperlink"/>
          </w:rPr>
          <w:t xml:space="preserve"> constrained water quality axis</w:t>
        </w:r>
        <w:r w:rsidR="00D74CBF">
          <w:rPr>
            <w:webHidden/>
          </w:rPr>
          <w:tab/>
        </w:r>
        <w:r w:rsidR="00D74CBF">
          <w:rPr>
            <w:webHidden/>
          </w:rPr>
          <w:fldChar w:fldCharType="begin"/>
        </w:r>
        <w:r w:rsidR="00D74CBF">
          <w:rPr>
            <w:webHidden/>
          </w:rPr>
          <w:instrText xml:space="preserve"> PAGEREF _Toc498591417 \h </w:instrText>
        </w:r>
        <w:r w:rsidR="00D74CBF">
          <w:rPr>
            <w:webHidden/>
          </w:rPr>
        </w:r>
        <w:r w:rsidR="00D74CBF">
          <w:rPr>
            <w:webHidden/>
          </w:rPr>
          <w:fldChar w:fldCharType="separate"/>
        </w:r>
        <w:r w:rsidR="00A75175">
          <w:rPr>
            <w:webHidden/>
          </w:rPr>
          <w:t>103</w:t>
        </w:r>
        <w:r w:rsidR="00D74CBF">
          <w:rPr>
            <w:webHidden/>
          </w:rPr>
          <w:fldChar w:fldCharType="end"/>
        </w:r>
      </w:hyperlink>
    </w:p>
    <w:p w14:paraId="4FB1CBD3" w14:textId="6A8BC04A" w:rsidR="00D74CBF" w:rsidRDefault="00A570BE">
      <w:pPr>
        <w:pStyle w:val="TableofFigures"/>
        <w:rPr>
          <w:rFonts w:asciiTheme="minorHAnsi" w:eastAsiaTheme="minorEastAsia" w:hAnsiTheme="minorHAnsi" w:cstheme="minorBidi"/>
          <w:bCs w:val="0"/>
          <w:szCs w:val="22"/>
          <w:lang w:val="en-AU" w:eastAsia="en-AU"/>
        </w:rPr>
      </w:pPr>
      <w:hyperlink w:anchor="_Toc498591418" w:history="1">
        <w:r w:rsidR="00D74CBF" w:rsidRPr="00DD0DA0">
          <w:rPr>
            <w:rStyle w:val="Hyperlink"/>
          </w:rPr>
          <w:t>Table A1. 3 Annual freshwater discharge for the major Reef Catchments.</w:t>
        </w:r>
        <w:r w:rsidR="00D74CBF">
          <w:rPr>
            <w:webHidden/>
          </w:rPr>
          <w:tab/>
        </w:r>
        <w:r w:rsidR="00D74CBF">
          <w:rPr>
            <w:webHidden/>
          </w:rPr>
          <w:fldChar w:fldCharType="begin"/>
        </w:r>
        <w:r w:rsidR="00D74CBF">
          <w:rPr>
            <w:webHidden/>
          </w:rPr>
          <w:instrText xml:space="preserve"> PAGEREF _Toc498591418 \h </w:instrText>
        </w:r>
        <w:r w:rsidR="00D74CBF">
          <w:rPr>
            <w:webHidden/>
          </w:rPr>
        </w:r>
        <w:r w:rsidR="00D74CBF">
          <w:rPr>
            <w:webHidden/>
          </w:rPr>
          <w:fldChar w:fldCharType="separate"/>
        </w:r>
        <w:r w:rsidR="00A75175">
          <w:rPr>
            <w:webHidden/>
          </w:rPr>
          <w:t>104</w:t>
        </w:r>
        <w:r w:rsidR="00D74CBF">
          <w:rPr>
            <w:webHidden/>
          </w:rPr>
          <w:fldChar w:fldCharType="end"/>
        </w:r>
      </w:hyperlink>
    </w:p>
    <w:p w14:paraId="72E52FD9" w14:textId="0E5CBE83" w:rsidR="00D74CBF" w:rsidRDefault="00A570BE">
      <w:pPr>
        <w:pStyle w:val="TableofFigures"/>
        <w:rPr>
          <w:rFonts w:asciiTheme="minorHAnsi" w:eastAsiaTheme="minorEastAsia" w:hAnsiTheme="minorHAnsi" w:cstheme="minorBidi"/>
          <w:bCs w:val="0"/>
          <w:szCs w:val="22"/>
          <w:lang w:val="en-AU" w:eastAsia="en-AU"/>
        </w:rPr>
      </w:pPr>
      <w:hyperlink w:anchor="_Toc498591419" w:history="1">
        <w:r w:rsidR="00D74CBF" w:rsidRPr="00DD0DA0">
          <w:rPr>
            <w:rStyle w:val="Hyperlink"/>
          </w:rPr>
          <w:t>Table A1. 4 Di</w:t>
        </w:r>
        <w:r w:rsidR="00D74CBF">
          <w:rPr>
            <w:rStyle w:val="Hyperlink"/>
          </w:rPr>
          <w:t>sturbance records for each reef</w:t>
        </w:r>
        <w:r w:rsidR="00D74CBF">
          <w:rPr>
            <w:webHidden/>
          </w:rPr>
          <w:tab/>
        </w:r>
        <w:r w:rsidR="00D74CBF">
          <w:rPr>
            <w:webHidden/>
          </w:rPr>
          <w:fldChar w:fldCharType="begin"/>
        </w:r>
        <w:r w:rsidR="00D74CBF">
          <w:rPr>
            <w:webHidden/>
          </w:rPr>
          <w:instrText xml:space="preserve"> PAGEREF _Toc498591419 \h </w:instrText>
        </w:r>
        <w:r w:rsidR="00D74CBF">
          <w:rPr>
            <w:webHidden/>
          </w:rPr>
        </w:r>
        <w:r w:rsidR="00D74CBF">
          <w:rPr>
            <w:webHidden/>
          </w:rPr>
          <w:fldChar w:fldCharType="separate"/>
        </w:r>
        <w:r w:rsidR="00A75175">
          <w:rPr>
            <w:webHidden/>
          </w:rPr>
          <w:t>105</w:t>
        </w:r>
        <w:r w:rsidR="00D74CBF">
          <w:rPr>
            <w:webHidden/>
          </w:rPr>
          <w:fldChar w:fldCharType="end"/>
        </w:r>
      </w:hyperlink>
    </w:p>
    <w:p w14:paraId="5D697BA3" w14:textId="17056316" w:rsidR="00D74CBF" w:rsidRDefault="00A570BE">
      <w:pPr>
        <w:pStyle w:val="TableofFigures"/>
        <w:rPr>
          <w:rFonts w:asciiTheme="minorHAnsi" w:eastAsiaTheme="minorEastAsia" w:hAnsiTheme="minorHAnsi" w:cstheme="minorBidi"/>
          <w:bCs w:val="0"/>
          <w:szCs w:val="22"/>
          <w:lang w:val="en-AU" w:eastAsia="en-AU"/>
        </w:rPr>
      </w:pPr>
      <w:hyperlink w:anchor="_Toc498591420" w:history="1">
        <w:r w:rsidR="00D74CBF" w:rsidRPr="00DD0DA0">
          <w:rPr>
            <w:rStyle w:val="Hyperlink"/>
          </w:rPr>
          <w:t>Table A1. 5 Reef level coral index and metric scores 2017.</w:t>
        </w:r>
        <w:r w:rsidR="00D74CBF">
          <w:rPr>
            <w:webHidden/>
          </w:rPr>
          <w:tab/>
        </w:r>
        <w:r w:rsidR="00D74CBF">
          <w:rPr>
            <w:webHidden/>
          </w:rPr>
          <w:fldChar w:fldCharType="begin"/>
        </w:r>
        <w:r w:rsidR="00D74CBF">
          <w:rPr>
            <w:webHidden/>
          </w:rPr>
          <w:instrText xml:space="preserve"> PAGEREF _Toc498591420 \h </w:instrText>
        </w:r>
        <w:r w:rsidR="00D74CBF">
          <w:rPr>
            <w:webHidden/>
          </w:rPr>
        </w:r>
        <w:r w:rsidR="00D74CBF">
          <w:rPr>
            <w:webHidden/>
          </w:rPr>
          <w:fldChar w:fldCharType="separate"/>
        </w:r>
        <w:r w:rsidR="00A75175">
          <w:rPr>
            <w:webHidden/>
          </w:rPr>
          <w:t>110</w:t>
        </w:r>
        <w:r w:rsidR="00D74CBF">
          <w:rPr>
            <w:webHidden/>
          </w:rPr>
          <w:fldChar w:fldCharType="end"/>
        </w:r>
      </w:hyperlink>
    </w:p>
    <w:p w14:paraId="32B8F3F5" w14:textId="44B6FF03" w:rsidR="00D74CBF" w:rsidRDefault="00A570BE">
      <w:pPr>
        <w:pStyle w:val="TableofFigures"/>
        <w:rPr>
          <w:rFonts w:asciiTheme="minorHAnsi" w:eastAsiaTheme="minorEastAsia" w:hAnsiTheme="minorHAnsi" w:cstheme="minorBidi"/>
          <w:bCs w:val="0"/>
          <w:szCs w:val="22"/>
          <w:lang w:val="en-AU" w:eastAsia="en-AU"/>
        </w:rPr>
      </w:pPr>
      <w:hyperlink w:anchor="_Toc498591421" w:history="1">
        <w:r w:rsidR="00D74CBF" w:rsidRPr="00DD0DA0">
          <w:rPr>
            <w:rStyle w:val="Hyperlink"/>
          </w:rPr>
          <w:t>Table A1. 6 Environmental covariates for coral locations.</w:t>
        </w:r>
        <w:r w:rsidR="00D74CBF">
          <w:rPr>
            <w:webHidden/>
          </w:rPr>
          <w:tab/>
        </w:r>
        <w:r w:rsidR="00D74CBF">
          <w:rPr>
            <w:webHidden/>
          </w:rPr>
          <w:fldChar w:fldCharType="begin"/>
        </w:r>
        <w:r w:rsidR="00D74CBF">
          <w:rPr>
            <w:webHidden/>
          </w:rPr>
          <w:instrText xml:space="preserve"> PAGEREF _Toc498591421 \h </w:instrText>
        </w:r>
        <w:r w:rsidR="00D74CBF">
          <w:rPr>
            <w:webHidden/>
          </w:rPr>
        </w:r>
        <w:r w:rsidR="00D74CBF">
          <w:rPr>
            <w:webHidden/>
          </w:rPr>
          <w:fldChar w:fldCharType="separate"/>
        </w:r>
        <w:r w:rsidR="00A75175">
          <w:rPr>
            <w:webHidden/>
          </w:rPr>
          <w:t>112</w:t>
        </w:r>
        <w:r w:rsidR="00D74CBF">
          <w:rPr>
            <w:webHidden/>
          </w:rPr>
          <w:fldChar w:fldCharType="end"/>
        </w:r>
      </w:hyperlink>
    </w:p>
    <w:p w14:paraId="7C73CC60" w14:textId="3B61DC86" w:rsidR="00D74CBF" w:rsidRDefault="00A570BE">
      <w:pPr>
        <w:pStyle w:val="TableofFigures"/>
        <w:rPr>
          <w:rFonts w:asciiTheme="minorHAnsi" w:eastAsiaTheme="minorEastAsia" w:hAnsiTheme="minorHAnsi" w:cstheme="minorBidi"/>
          <w:bCs w:val="0"/>
          <w:szCs w:val="22"/>
          <w:lang w:val="en-AU" w:eastAsia="en-AU"/>
        </w:rPr>
      </w:pPr>
      <w:hyperlink w:anchor="_Toc498591422" w:history="1">
        <w:r w:rsidR="00D74CBF" w:rsidRPr="00DD0DA0">
          <w:rPr>
            <w:rStyle w:val="Hyperlink"/>
          </w:rPr>
          <w:t>Table A1. 7 Percent cover of hard coral genera 2017.</w:t>
        </w:r>
        <w:r w:rsidR="00D74CBF">
          <w:rPr>
            <w:webHidden/>
          </w:rPr>
          <w:tab/>
        </w:r>
        <w:r w:rsidR="00D74CBF">
          <w:rPr>
            <w:webHidden/>
          </w:rPr>
          <w:fldChar w:fldCharType="begin"/>
        </w:r>
        <w:r w:rsidR="00D74CBF">
          <w:rPr>
            <w:webHidden/>
          </w:rPr>
          <w:instrText xml:space="preserve"> PAGEREF _Toc498591422 \h </w:instrText>
        </w:r>
        <w:r w:rsidR="00D74CBF">
          <w:rPr>
            <w:webHidden/>
          </w:rPr>
        </w:r>
        <w:r w:rsidR="00D74CBF">
          <w:rPr>
            <w:webHidden/>
          </w:rPr>
          <w:fldChar w:fldCharType="separate"/>
        </w:r>
        <w:r w:rsidR="00A75175">
          <w:rPr>
            <w:webHidden/>
          </w:rPr>
          <w:t>130</w:t>
        </w:r>
        <w:r w:rsidR="00D74CBF">
          <w:rPr>
            <w:webHidden/>
          </w:rPr>
          <w:fldChar w:fldCharType="end"/>
        </w:r>
      </w:hyperlink>
    </w:p>
    <w:p w14:paraId="01747EEE" w14:textId="3455D0A1" w:rsidR="00D74CBF" w:rsidRDefault="00A570BE">
      <w:pPr>
        <w:pStyle w:val="TableofFigures"/>
        <w:rPr>
          <w:rFonts w:asciiTheme="minorHAnsi" w:eastAsiaTheme="minorEastAsia" w:hAnsiTheme="minorHAnsi" w:cstheme="minorBidi"/>
          <w:bCs w:val="0"/>
          <w:szCs w:val="22"/>
          <w:lang w:val="en-AU" w:eastAsia="en-AU"/>
        </w:rPr>
      </w:pPr>
      <w:hyperlink w:anchor="_Toc498591423" w:history="1">
        <w:r w:rsidR="00D74CBF" w:rsidRPr="00DD0DA0">
          <w:rPr>
            <w:rStyle w:val="Hyperlink"/>
          </w:rPr>
          <w:t>Table A1. 8 Percent cover of soft coral families 2017.</w:t>
        </w:r>
        <w:r w:rsidR="00D74CBF">
          <w:rPr>
            <w:webHidden/>
          </w:rPr>
          <w:tab/>
        </w:r>
        <w:r w:rsidR="00D74CBF">
          <w:rPr>
            <w:webHidden/>
          </w:rPr>
          <w:fldChar w:fldCharType="begin"/>
        </w:r>
        <w:r w:rsidR="00D74CBF">
          <w:rPr>
            <w:webHidden/>
          </w:rPr>
          <w:instrText xml:space="preserve"> PAGEREF _Toc498591423 \h </w:instrText>
        </w:r>
        <w:r w:rsidR="00D74CBF">
          <w:rPr>
            <w:webHidden/>
          </w:rPr>
        </w:r>
        <w:r w:rsidR="00D74CBF">
          <w:rPr>
            <w:webHidden/>
          </w:rPr>
          <w:fldChar w:fldCharType="separate"/>
        </w:r>
        <w:r w:rsidR="00A75175">
          <w:rPr>
            <w:webHidden/>
          </w:rPr>
          <w:t>134</w:t>
        </w:r>
        <w:r w:rsidR="00D74CBF">
          <w:rPr>
            <w:webHidden/>
          </w:rPr>
          <w:fldChar w:fldCharType="end"/>
        </w:r>
      </w:hyperlink>
    </w:p>
    <w:p w14:paraId="6D363445" w14:textId="5B31830F" w:rsidR="00D74CBF" w:rsidRDefault="00A570BE">
      <w:pPr>
        <w:pStyle w:val="TableofFigures"/>
        <w:rPr>
          <w:rFonts w:asciiTheme="minorHAnsi" w:eastAsiaTheme="minorEastAsia" w:hAnsiTheme="minorHAnsi" w:cstheme="minorBidi"/>
          <w:bCs w:val="0"/>
          <w:szCs w:val="22"/>
          <w:lang w:val="en-AU" w:eastAsia="en-AU"/>
        </w:rPr>
      </w:pPr>
      <w:hyperlink w:anchor="_Toc498591424" w:history="1">
        <w:r w:rsidR="00D74CBF" w:rsidRPr="00DD0DA0">
          <w:rPr>
            <w:rStyle w:val="Hyperlink"/>
          </w:rPr>
          <w:t>Table A1. 9 Percent cover of Macroalgae groups 2017.</w:t>
        </w:r>
        <w:r w:rsidR="00D74CBF">
          <w:rPr>
            <w:webHidden/>
          </w:rPr>
          <w:tab/>
        </w:r>
        <w:r w:rsidR="00D74CBF">
          <w:rPr>
            <w:webHidden/>
          </w:rPr>
          <w:fldChar w:fldCharType="begin"/>
        </w:r>
        <w:r w:rsidR="00D74CBF">
          <w:rPr>
            <w:webHidden/>
          </w:rPr>
          <w:instrText xml:space="preserve"> PAGEREF _Toc498591424 \h </w:instrText>
        </w:r>
        <w:r w:rsidR="00D74CBF">
          <w:rPr>
            <w:webHidden/>
          </w:rPr>
        </w:r>
        <w:r w:rsidR="00D74CBF">
          <w:rPr>
            <w:webHidden/>
          </w:rPr>
          <w:fldChar w:fldCharType="separate"/>
        </w:r>
        <w:r w:rsidR="00A75175">
          <w:rPr>
            <w:webHidden/>
          </w:rPr>
          <w:t>137</w:t>
        </w:r>
        <w:r w:rsidR="00D74CBF">
          <w:rPr>
            <w:webHidden/>
          </w:rPr>
          <w:fldChar w:fldCharType="end"/>
        </w:r>
      </w:hyperlink>
    </w:p>
    <w:p w14:paraId="538023AB" w14:textId="77777777" w:rsidR="006D561F" w:rsidRPr="00F352E1" w:rsidRDefault="00D74CBF">
      <w:pPr>
        <w:rPr>
          <w:rFonts w:cs="Arial"/>
          <w:color w:val="4F81BD" w:themeColor="accent1"/>
          <w:szCs w:val="22"/>
        </w:rPr>
      </w:pPr>
      <w:r>
        <w:rPr>
          <w:rFonts w:cs="Arial"/>
          <w:color w:val="4F81BD" w:themeColor="accent1"/>
          <w:szCs w:val="22"/>
        </w:rPr>
        <w:fldChar w:fldCharType="end"/>
      </w:r>
    </w:p>
    <w:p w14:paraId="75E52C03" w14:textId="77777777" w:rsidR="00274BB1" w:rsidRPr="00F352E1" w:rsidRDefault="00274BB1">
      <w:pPr>
        <w:rPr>
          <w:color w:val="4F81BD" w:themeColor="accent1"/>
        </w:rPr>
      </w:pPr>
    </w:p>
    <w:p w14:paraId="73D66792" w14:textId="77777777" w:rsidR="006E3C16" w:rsidRPr="00795124" w:rsidRDefault="005A4245">
      <w:pPr>
        <w:rPr>
          <w:b/>
        </w:rPr>
      </w:pPr>
      <w:r>
        <w:rPr>
          <w:b/>
        </w:rPr>
        <w:t>Glossary</w:t>
      </w:r>
      <w:r w:rsidR="00180836" w:rsidRPr="00795124">
        <w:rPr>
          <w:b/>
        </w:rPr>
        <w:t>:</w:t>
      </w:r>
    </w:p>
    <w:p w14:paraId="03504F3E" w14:textId="77777777" w:rsidR="00180836" w:rsidRPr="00C63F3B" w:rsidRDefault="00180836">
      <w:r w:rsidRPr="00C63F3B">
        <w:t>AIMS - Australian Institute of Marine Science</w:t>
      </w:r>
    </w:p>
    <w:p w14:paraId="3AFCB319" w14:textId="77777777" w:rsidR="00180836" w:rsidRPr="00C63F3B" w:rsidRDefault="00180836">
      <w:r w:rsidRPr="00C63F3B">
        <w:t>The Reef - Great Barrier Reef World Heritage Area</w:t>
      </w:r>
    </w:p>
    <w:p w14:paraId="0B6F9B0E" w14:textId="77777777" w:rsidR="00180836" w:rsidRPr="00C63F3B" w:rsidRDefault="00180836">
      <w:r w:rsidRPr="00C63F3B">
        <w:t>MMP- Marine Monitoring Program</w:t>
      </w:r>
    </w:p>
    <w:p w14:paraId="539C31D1" w14:textId="77777777" w:rsidR="00801421" w:rsidRPr="00C63F3B" w:rsidRDefault="00801421">
      <w:r w:rsidRPr="00C63F3B">
        <w:t>LTMP – Long Term Monitoring Program</w:t>
      </w:r>
    </w:p>
    <w:p w14:paraId="2A2FEE94" w14:textId="77777777" w:rsidR="00180836" w:rsidRPr="00C63F3B" w:rsidRDefault="00180836">
      <w:r w:rsidRPr="00C63F3B">
        <w:t>Reef Plan - Reef Water Quality Protection Plan</w:t>
      </w:r>
    </w:p>
    <w:p w14:paraId="0BE05A77" w14:textId="566C61AF" w:rsidR="00180836" w:rsidRPr="00C63F3B" w:rsidRDefault="00180836">
      <w:r w:rsidRPr="00C63F3B">
        <w:t>Reef 2050 Plan - Reef 2050 Long</w:t>
      </w:r>
      <w:r w:rsidR="005C7045">
        <w:t>-</w:t>
      </w:r>
      <w:r w:rsidRPr="00C63F3B">
        <w:t>Term Sustainability Plan</w:t>
      </w:r>
    </w:p>
    <w:p w14:paraId="38FB51A3" w14:textId="77777777" w:rsidR="00180836" w:rsidRPr="00C63F3B" w:rsidRDefault="00180836">
      <w:r w:rsidRPr="00C63F3B">
        <w:t>BOM - Bureau of Meteorology</w:t>
      </w:r>
    </w:p>
    <w:p w14:paraId="1C779BDB" w14:textId="77777777" w:rsidR="00180836" w:rsidRPr="00C63F3B" w:rsidRDefault="00180836">
      <w:r w:rsidRPr="00C63F3B">
        <w:t xml:space="preserve">JCU - James Cook University </w:t>
      </w:r>
    </w:p>
    <w:p w14:paraId="33A2D888" w14:textId="77777777" w:rsidR="00180836" w:rsidRPr="00C63F3B" w:rsidRDefault="00180836">
      <w:r w:rsidRPr="00C63F3B">
        <w:t>GBRMPA – Great Barrier Reef Marine Park Authority</w:t>
      </w:r>
    </w:p>
    <w:p w14:paraId="0959A72F" w14:textId="77777777" w:rsidR="00801421" w:rsidRPr="00C63F3B" w:rsidRDefault="003A1283">
      <w:pPr>
        <w:sectPr w:rsidR="00801421" w:rsidRPr="00C63F3B" w:rsidSect="004A3815">
          <w:headerReference w:type="even" r:id="rId25"/>
          <w:footerReference w:type="default" r:id="rId26"/>
          <w:headerReference w:type="first" r:id="rId27"/>
          <w:pgSz w:w="11907" w:h="16840" w:code="9"/>
          <w:pgMar w:top="1440" w:right="1134" w:bottom="1135" w:left="1134" w:header="709" w:footer="709" w:gutter="0"/>
          <w:pgNumType w:fmt="lowerRoman" w:start="1"/>
          <w:cols w:space="708"/>
          <w:docGrid w:linePitch="360"/>
        </w:sectPr>
      </w:pPr>
      <w:r>
        <w:t>COTS – crown-of-thorns s</w:t>
      </w:r>
      <w:r w:rsidR="00801421" w:rsidRPr="00C63F3B">
        <w:t xml:space="preserve">tarfish </w:t>
      </w:r>
    </w:p>
    <w:p w14:paraId="4F6F7E61" w14:textId="02EFC82C" w:rsidR="0001199E" w:rsidRPr="00F352E1" w:rsidRDefault="0001199E" w:rsidP="00121B7E">
      <w:pPr>
        <w:pStyle w:val="Heading1"/>
      </w:pPr>
      <w:bookmarkStart w:id="16" w:name="_Toc491847354"/>
      <w:bookmarkStart w:id="17" w:name="_Ref503361100"/>
      <w:bookmarkStart w:id="18" w:name="_Toc514408372"/>
      <w:r w:rsidRPr="00F352E1">
        <w:lastRenderedPageBreak/>
        <w:t xml:space="preserve">Executive </w:t>
      </w:r>
      <w:r w:rsidR="00DD6C5A">
        <w:t>s</w:t>
      </w:r>
      <w:r w:rsidRPr="00F352E1">
        <w:t>ummary</w:t>
      </w:r>
      <w:bookmarkEnd w:id="7"/>
      <w:bookmarkEnd w:id="8"/>
      <w:bookmarkEnd w:id="9"/>
      <w:bookmarkEnd w:id="10"/>
      <w:bookmarkEnd w:id="11"/>
      <w:bookmarkEnd w:id="12"/>
      <w:bookmarkEnd w:id="13"/>
      <w:bookmarkEnd w:id="14"/>
      <w:bookmarkEnd w:id="15"/>
      <w:bookmarkEnd w:id="16"/>
      <w:bookmarkEnd w:id="17"/>
      <w:bookmarkEnd w:id="18"/>
    </w:p>
    <w:p w14:paraId="035033F2" w14:textId="78FFCCAE" w:rsidR="006D21A5" w:rsidRPr="00A879F1" w:rsidRDefault="00077039" w:rsidP="00D2045F">
      <w:pPr>
        <w:rPr>
          <w:color w:val="000000" w:themeColor="text1"/>
        </w:rPr>
      </w:pPr>
      <w:r w:rsidRPr="00A879F1">
        <w:rPr>
          <w:rFonts w:eastAsia="MS Mincho"/>
          <w:color w:val="000000" w:themeColor="text1"/>
        </w:rPr>
        <w:t xml:space="preserve">The Marine Monitoring Program </w:t>
      </w:r>
      <w:r w:rsidR="00352B5B" w:rsidRPr="00A879F1">
        <w:rPr>
          <w:rFonts w:eastAsia="MS Mincho"/>
          <w:color w:val="000000" w:themeColor="text1"/>
        </w:rPr>
        <w:t xml:space="preserve">(MMP) was established in 2005 </w:t>
      </w:r>
      <w:r w:rsidR="00A62CC0" w:rsidRPr="00A879F1">
        <w:rPr>
          <w:rFonts w:eastAsia="MS Mincho"/>
          <w:color w:val="000000" w:themeColor="text1"/>
        </w:rPr>
        <w:t xml:space="preserve">to </w:t>
      </w:r>
      <w:r w:rsidR="00A62CC0" w:rsidRPr="00A879F1">
        <w:rPr>
          <w:rFonts w:cs="Arial"/>
          <w:color w:val="000000" w:themeColor="text1"/>
          <w:szCs w:val="22"/>
        </w:rPr>
        <w:t xml:space="preserve">assess status and trends in ecosystem health and resilience indicators for the Great Barrier Reef (the Reef). The results of </w:t>
      </w:r>
      <w:r w:rsidR="005C7045">
        <w:rPr>
          <w:rFonts w:cs="Arial"/>
          <w:color w:val="000000" w:themeColor="text1"/>
          <w:szCs w:val="22"/>
        </w:rPr>
        <w:t xml:space="preserve">this monitoring program </w:t>
      </w:r>
      <w:r w:rsidR="00A62CC0" w:rsidRPr="00A879F1">
        <w:rPr>
          <w:rFonts w:cs="Arial"/>
          <w:color w:val="000000" w:themeColor="text1"/>
          <w:szCs w:val="22"/>
        </w:rPr>
        <w:t xml:space="preserve">are integral to </w:t>
      </w:r>
      <w:r w:rsidRPr="00A879F1">
        <w:rPr>
          <w:rFonts w:cs="Arial"/>
          <w:color w:val="000000" w:themeColor="text1"/>
          <w:szCs w:val="22"/>
        </w:rPr>
        <w:t>assess</w:t>
      </w:r>
      <w:r w:rsidR="00A62CC0" w:rsidRPr="00A879F1">
        <w:rPr>
          <w:rFonts w:cs="Arial"/>
          <w:color w:val="000000" w:themeColor="text1"/>
          <w:szCs w:val="22"/>
        </w:rPr>
        <w:t>ing</w:t>
      </w:r>
      <w:r w:rsidRPr="00A879F1">
        <w:rPr>
          <w:rFonts w:cs="Arial"/>
          <w:color w:val="000000" w:themeColor="text1"/>
          <w:szCs w:val="22"/>
        </w:rPr>
        <w:t xml:space="preserve"> </w:t>
      </w:r>
      <w:r w:rsidR="00F33418" w:rsidRPr="00A879F1">
        <w:rPr>
          <w:rFonts w:cs="Arial"/>
          <w:color w:val="000000" w:themeColor="text1"/>
          <w:szCs w:val="22"/>
        </w:rPr>
        <w:t xml:space="preserve">the long-term </w:t>
      </w:r>
      <w:r w:rsidR="00A62CC0" w:rsidRPr="00A879F1">
        <w:rPr>
          <w:rFonts w:cs="Arial"/>
          <w:color w:val="000000" w:themeColor="text1"/>
          <w:szCs w:val="22"/>
        </w:rPr>
        <w:t xml:space="preserve">effectiveness of the </w:t>
      </w:r>
      <w:r w:rsidR="00A62CC0" w:rsidRPr="008C2E07">
        <w:rPr>
          <w:rFonts w:cs="Arial"/>
          <w:i/>
          <w:color w:val="000000" w:themeColor="text1"/>
          <w:szCs w:val="22"/>
        </w:rPr>
        <w:t>Reef Water Quality Protection Plan</w:t>
      </w:r>
      <w:r w:rsidR="00A62CC0" w:rsidRPr="00A879F1">
        <w:rPr>
          <w:rFonts w:cs="Arial"/>
          <w:color w:val="000000" w:themeColor="text1"/>
          <w:szCs w:val="22"/>
        </w:rPr>
        <w:t xml:space="preserve"> (Reef Plan) and are the basis for marine condition scores reported in </w:t>
      </w:r>
      <w:r w:rsidR="0051440C">
        <w:rPr>
          <w:rFonts w:cs="Arial"/>
          <w:color w:val="000000" w:themeColor="text1"/>
          <w:szCs w:val="22"/>
        </w:rPr>
        <w:t xml:space="preserve">the </w:t>
      </w:r>
      <w:r w:rsidR="00A62CC0" w:rsidRPr="00A879F1">
        <w:rPr>
          <w:rFonts w:cs="Arial"/>
          <w:color w:val="000000" w:themeColor="text1"/>
          <w:szCs w:val="22"/>
        </w:rPr>
        <w:t>annua</w:t>
      </w:r>
      <w:r w:rsidR="0051440C">
        <w:rPr>
          <w:rFonts w:cs="Arial"/>
          <w:color w:val="000000" w:themeColor="text1"/>
          <w:szCs w:val="22"/>
        </w:rPr>
        <w:t>l Great Barrier Reef Report Card and regional report cards</w:t>
      </w:r>
      <w:r w:rsidR="00AF0016">
        <w:rPr>
          <w:rFonts w:cs="Arial"/>
          <w:color w:val="000000" w:themeColor="text1"/>
          <w:szCs w:val="22"/>
        </w:rPr>
        <w:t xml:space="preserve">. </w:t>
      </w:r>
      <w:r w:rsidR="0001199E" w:rsidRPr="00A879F1">
        <w:rPr>
          <w:color w:val="000000" w:themeColor="text1"/>
        </w:rPr>
        <w:t>This report</w:t>
      </w:r>
      <w:r w:rsidR="00C071F4" w:rsidRPr="00A879F1">
        <w:rPr>
          <w:color w:val="000000" w:themeColor="text1"/>
        </w:rPr>
        <w:t xml:space="preserve"> </w:t>
      </w:r>
      <w:r w:rsidR="0001199E" w:rsidRPr="00A879F1">
        <w:rPr>
          <w:color w:val="000000" w:themeColor="text1"/>
        </w:rPr>
        <w:t xml:space="preserve">summarises </w:t>
      </w:r>
      <w:r w:rsidR="00D03AEE" w:rsidRPr="00A879F1">
        <w:rPr>
          <w:color w:val="000000" w:themeColor="text1"/>
        </w:rPr>
        <w:t xml:space="preserve">coral reef benthic community </w:t>
      </w:r>
      <w:r w:rsidR="0001199E" w:rsidRPr="00A879F1">
        <w:rPr>
          <w:color w:val="000000" w:themeColor="text1"/>
        </w:rPr>
        <w:t xml:space="preserve">results </w:t>
      </w:r>
      <w:r w:rsidR="00D03AEE" w:rsidRPr="00A879F1">
        <w:rPr>
          <w:color w:val="000000" w:themeColor="text1"/>
        </w:rPr>
        <w:t xml:space="preserve">used to derive </w:t>
      </w:r>
      <w:r w:rsidR="00C071F4" w:rsidRPr="00A879F1">
        <w:rPr>
          <w:color w:val="000000" w:themeColor="text1"/>
        </w:rPr>
        <w:t>report card scores for 201</w:t>
      </w:r>
      <w:r w:rsidR="00036C05">
        <w:rPr>
          <w:color w:val="000000" w:themeColor="text1"/>
        </w:rPr>
        <w:t>7</w:t>
      </w:r>
      <w:r w:rsidR="00C071F4" w:rsidRPr="00A879F1">
        <w:rPr>
          <w:color w:val="000000" w:themeColor="text1"/>
        </w:rPr>
        <w:t>.</w:t>
      </w:r>
      <w:r w:rsidR="00E75F5C" w:rsidRPr="00A879F1">
        <w:rPr>
          <w:color w:val="000000" w:themeColor="text1"/>
        </w:rPr>
        <w:t xml:space="preserve"> </w:t>
      </w:r>
    </w:p>
    <w:p w14:paraId="36E58330" w14:textId="58F74617" w:rsidR="005F65D5" w:rsidRPr="00A879F1" w:rsidRDefault="00736B37" w:rsidP="00D2045F">
      <w:pPr>
        <w:rPr>
          <w:color w:val="000000" w:themeColor="text1"/>
        </w:rPr>
      </w:pPr>
      <w:r w:rsidRPr="00A879F1">
        <w:rPr>
          <w:color w:val="000000" w:themeColor="text1"/>
        </w:rPr>
        <w:t xml:space="preserve">Report card scores </w:t>
      </w:r>
      <w:r w:rsidR="00707446" w:rsidRPr="00A879F1">
        <w:rPr>
          <w:color w:val="000000" w:themeColor="text1"/>
        </w:rPr>
        <w:t>are estimated at the scale</w:t>
      </w:r>
      <w:r w:rsidR="00A33FAA">
        <w:rPr>
          <w:color w:val="000000" w:themeColor="text1"/>
        </w:rPr>
        <w:t xml:space="preserve"> of</w:t>
      </w:r>
      <w:r w:rsidR="005B15BD">
        <w:rPr>
          <w:color w:val="000000" w:themeColor="text1"/>
        </w:rPr>
        <w:t xml:space="preserve"> the four</w:t>
      </w:r>
      <w:r w:rsidR="00707446" w:rsidRPr="00A879F1">
        <w:rPr>
          <w:color w:val="000000" w:themeColor="text1"/>
        </w:rPr>
        <w:t xml:space="preserve"> Natural Resource Management (NRM) regions </w:t>
      </w:r>
      <w:r w:rsidR="00A4795C" w:rsidRPr="00A879F1">
        <w:rPr>
          <w:color w:val="000000" w:themeColor="text1"/>
        </w:rPr>
        <w:t>and represent</w:t>
      </w:r>
      <w:r w:rsidRPr="00A879F1">
        <w:rPr>
          <w:color w:val="000000" w:themeColor="text1"/>
        </w:rPr>
        <w:t xml:space="preserve"> an index </w:t>
      </w:r>
      <w:r w:rsidR="00E617EE" w:rsidRPr="00A879F1">
        <w:rPr>
          <w:color w:val="000000" w:themeColor="text1"/>
        </w:rPr>
        <w:t xml:space="preserve">that aggregates over </w:t>
      </w:r>
      <w:r w:rsidR="00376522">
        <w:rPr>
          <w:color w:val="000000" w:themeColor="text1"/>
        </w:rPr>
        <w:t xml:space="preserve">metric scores derived from </w:t>
      </w:r>
      <w:r w:rsidR="00707446" w:rsidRPr="00A879F1">
        <w:rPr>
          <w:color w:val="000000" w:themeColor="text1"/>
        </w:rPr>
        <w:t xml:space="preserve">five </w:t>
      </w:r>
      <w:r w:rsidR="0001199E" w:rsidRPr="00A879F1">
        <w:rPr>
          <w:color w:val="000000" w:themeColor="text1"/>
        </w:rPr>
        <w:t>indicators</w:t>
      </w:r>
      <w:r w:rsidR="00DA4936" w:rsidRPr="00A879F1">
        <w:rPr>
          <w:color w:val="000000" w:themeColor="text1"/>
        </w:rPr>
        <w:t>; coral cover, hard coral community composition, macroalgae cover, juvenile coral density and the rate of coral cover increase</w:t>
      </w:r>
      <w:r w:rsidR="00860E07" w:rsidRPr="00A879F1">
        <w:rPr>
          <w:color w:val="000000" w:themeColor="text1"/>
        </w:rPr>
        <w:t>.</w:t>
      </w:r>
      <w:r w:rsidR="00A43F29" w:rsidRPr="00A879F1">
        <w:rPr>
          <w:color w:val="000000" w:themeColor="text1"/>
        </w:rPr>
        <w:t xml:space="preserve"> </w:t>
      </w:r>
      <w:r w:rsidR="00707446" w:rsidRPr="00A879F1">
        <w:rPr>
          <w:color w:val="000000" w:themeColor="text1"/>
        </w:rPr>
        <w:t xml:space="preserve">Data </w:t>
      </w:r>
      <w:r w:rsidR="0051440C">
        <w:rPr>
          <w:color w:val="000000" w:themeColor="text1"/>
        </w:rPr>
        <w:t>was</w:t>
      </w:r>
      <w:r w:rsidR="0051440C" w:rsidRPr="00A879F1">
        <w:rPr>
          <w:color w:val="000000" w:themeColor="text1"/>
        </w:rPr>
        <w:t xml:space="preserve"> </w:t>
      </w:r>
      <w:r w:rsidR="00707446" w:rsidRPr="00A879F1">
        <w:rPr>
          <w:color w:val="000000" w:themeColor="text1"/>
        </w:rPr>
        <w:t xml:space="preserve">derived from </w:t>
      </w:r>
      <w:r w:rsidR="00795124" w:rsidRPr="00A879F1">
        <w:rPr>
          <w:color w:val="000000" w:themeColor="text1"/>
        </w:rPr>
        <w:t>32 reefs monitored</w:t>
      </w:r>
      <w:r w:rsidR="00B71BD8">
        <w:rPr>
          <w:color w:val="000000" w:themeColor="text1"/>
        </w:rPr>
        <w:t xml:space="preserve"> </w:t>
      </w:r>
      <w:r w:rsidR="00795124">
        <w:rPr>
          <w:color w:val="000000" w:themeColor="text1"/>
        </w:rPr>
        <w:t xml:space="preserve">at </w:t>
      </w:r>
      <w:r w:rsidR="00707446" w:rsidRPr="00A879F1">
        <w:rPr>
          <w:color w:val="000000" w:themeColor="text1"/>
        </w:rPr>
        <w:t>depths</w:t>
      </w:r>
      <w:r w:rsidR="0051440C">
        <w:rPr>
          <w:color w:val="000000" w:themeColor="text1"/>
        </w:rPr>
        <w:t xml:space="preserve"> of two-metres and five-metres,</w:t>
      </w:r>
      <w:r w:rsidR="00707446" w:rsidRPr="00A879F1">
        <w:rPr>
          <w:color w:val="000000" w:themeColor="text1"/>
        </w:rPr>
        <w:t xml:space="preserve"> </w:t>
      </w:r>
      <w:r w:rsidR="005A4245">
        <w:rPr>
          <w:color w:val="000000" w:themeColor="text1"/>
        </w:rPr>
        <w:t>and</w:t>
      </w:r>
      <w:r w:rsidR="00795124">
        <w:rPr>
          <w:color w:val="000000" w:themeColor="text1"/>
        </w:rPr>
        <w:t xml:space="preserve"> an additional</w:t>
      </w:r>
      <w:r w:rsidR="00707446" w:rsidRPr="00A879F1">
        <w:rPr>
          <w:color w:val="000000" w:themeColor="text1"/>
        </w:rPr>
        <w:t xml:space="preserve"> </w:t>
      </w:r>
      <w:r w:rsidR="00795124">
        <w:rPr>
          <w:color w:val="000000" w:themeColor="text1"/>
        </w:rPr>
        <w:t>nine</w:t>
      </w:r>
      <w:r w:rsidR="00795124" w:rsidRPr="00A879F1">
        <w:rPr>
          <w:color w:val="000000" w:themeColor="text1"/>
        </w:rPr>
        <w:t xml:space="preserve"> inshore reefs </w:t>
      </w:r>
      <w:r w:rsidR="00B46783">
        <w:rPr>
          <w:color w:val="000000" w:themeColor="text1"/>
        </w:rPr>
        <w:t>were</w:t>
      </w:r>
      <w:r w:rsidR="0051440C">
        <w:rPr>
          <w:color w:val="000000" w:themeColor="text1"/>
        </w:rPr>
        <w:t xml:space="preserve"> </w:t>
      </w:r>
      <w:r w:rsidR="00795124" w:rsidRPr="00A879F1">
        <w:rPr>
          <w:color w:val="000000" w:themeColor="text1"/>
        </w:rPr>
        <w:t xml:space="preserve">monitored </w:t>
      </w:r>
      <w:r w:rsidR="00795124">
        <w:rPr>
          <w:color w:val="000000" w:themeColor="text1"/>
        </w:rPr>
        <w:t>at</w:t>
      </w:r>
      <w:r w:rsidR="00707446" w:rsidRPr="00A879F1">
        <w:rPr>
          <w:color w:val="000000" w:themeColor="text1"/>
        </w:rPr>
        <w:t xml:space="preserve"> single depths </w:t>
      </w:r>
      <w:r w:rsidR="00795124">
        <w:rPr>
          <w:color w:val="000000" w:themeColor="text1"/>
        </w:rPr>
        <w:t>by</w:t>
      </w:r>
      <w:r w:rsidR="00795124" w:rsidRPr="00A879F1">
        <w:rPr>
          <w:color w:val="000000" w:themeColor="text1"/>
        </w:rPr>
        <w:t xml:space="preserve"> </w:t>
      </w:r>
      <w:r w:rsidR="00707446" w:rsidRPr="00A879F1">
        <w:rPr>
          <w:color w:val="000000" w:themeColor="text1"/>
        </w:rPr>
        <w:t>the Australian Institute of Marine Science</w:t>
      </w:r>
      <w:r w:rsidR="0051440C">
        <w:rPr>
          <w:color w:val="000000" w:themeColor="text1"/>
        </w:rPr>
        <w:t>’s</w:t>
      </w:r>
      <w:r w:rsidR="00707446" w:rsidRPr="00A879F1">
        <w:rPr>
          <w:color w:val="000000" w:themeColor="text1"/>
        </w:rPr>
        <w:t xml:space="preserve"> Long Term Monitoring Program (LTMP)</w:t>
      </w:r>
      <w:r w:rsidR="003A1283">
        <w:rPr>
          <w:color w:val="000000" w:themeColor="text1"/>
        </w:rPr>
        <w:t xml:space="preserve"> since 2005</w:t>
      </w:r>
      <w:r w:rsidR="00707446" w:rsidRPr="00A879F1">
        <w:rPr>
          <w:color w:val="000000" w:themeColor="text1"/>
        </w:rPr>
        <w:t xml:space="preserve">. </w:t>
      </w:r>
      <w:r w:rsidR="00376522">
        <w:rPr>
          <w:color w:val="000000" w:themeColor="text1"/>
        </w:rPr>
        <w:t xml:space="preserve">The metric scores </w:t>
      </w:r>
      <w:r w:rsidR="000757B6">
        <w:rPr>
          <w:color w:val="000000" w:themeColor="text1"/>
        </w:rPr>
        <w:t xml:space="preserve">in a given year </w:t>
      </w:r>
      <w:r w:rsidR="00C55186">
        <w:rPr>
          <w:color w:val="000000" w:themeColor="text1"/>
        </w:rPr>
        <w:t>are based on the most recent observations from each of the monitored communities</w:t>
      </w:r>
      <w:r w:rsidR="000757B6">
        <w:rPr>
          <w:color w:val="000000" w:themeColor="text1"/>
        </w:rPr>
        <w:t>. T</w:t>
      </w:r>
      <w:r w:rsidR="00C55186">
        <w:rPr>
          <w:color w:val="000000" w:themeColor="text1"/>
        </w:rPr>
        <w:t xml:space="preserve">he biennial sampling design of the program means that </w:t>
      </w:r>
      <w:r w:rsidR="00376522">
        <w:rPr>
          <w:color w:val="000000" w:themeColor="text1"/>
        </w:rPr>
        <w:t>the scores for some reefs</w:t>
      </w:r>
      <w:r w:rsidR="000757B6">
        <w:rPr>
          <w:color w:val="000000" w:themeColor="text1"/>
        </w:rPr>
        <w:t xml:space="preserve"> are carried forward from the previous year</w:t>
      </w:r>
      <w:r w:rsidR="00376522">
        <w:rPr>
          <w:color w:val="000000" w:themeColor="text1"/>
        </w:rPr>
        <w:t>’s estimates</w:t>
      </w:r>
      <w:r w:rsidR="000757B6">
        <w:rPr>
          <w:color w:val="000000" w:themeColor="text1"/>
        </w:rPr>
        <w:t>.</w:t>
      </w:r>
      <w:r w:rsidR="00376522">
        <w:rPr>
          <w:color w:val="000000" w:themeColor="text1"/>
        </w:rPr>
        <w:t xml:space="preserve"> </w:t>
      </w:r>
      <w:r w:rsidR="00707446" w:rsidRPr="00A879F1">
        <w:rPr>
          <w:color w:val="000000" w:themeColor="text1"/>
        </w:rPr>
        <w:t>Interpretation of trends in the index and individual indicators was reliant on the consideration of environmental data collected at coral monitoring sites or sourced from the Australian Bureau of Meteorology, the Queensland Department of Natural Resources and Mines and the water quality subprogram of the MMP.</w:t>
      </w:r>
      <w:r w:rsidR="00E75F5C" w:rsidRPr="00A879F1">
        <w:rPr>
          <w:color w:val="000000" w:themeColor="text1"/>
        </w:rPr>
        <w:t xml:space="preserve"> </w:t>
      </w:r>
    </w:p>
    <w:p w14:paraId="1DE68BBA" w14:textId="34842EB2" w:rsidR="00DC3A6A" w:rsidRPr="00A879F1" w:rsidRDefault="00D4780D" w:rsidP="00D2045F">
      <w:pPr>
        <w:rPr>
          <w:color w:val="000000" w:themeColor="text1"/>
        </w:rPr>
      </w:pPr>
      <w:r w:rsidRPr="00A879F1">
        <w:rPr>
          <w:color w:val="000000" w:themeColor="text1"/>
        </w:rPr>
        <w:t xml:space="preserve">Conditions over the </w:t>
      </w:r>
      <w:r w:rsidR="00E16351" w:rsidRPr="00A879F1">
        <w:rPr>
          <w:color w:val="000000" w:themeColor="text1"/>
        </w:rPr>
        <w:t>201</w:t>
      </w:r>
      <w:r w:rsidR="002F70E6" w:rsidRPr="00A879F1">
        <w:rPr>
          <w:color w:val="000000" w:themeColor="text1"/>
        </w:rPr>
        <w:t>6</w:t>
      </w:r>
      <w:r w:rsidR="00C976D1">
        <w:rPr>
          <w:rFonts w:cs="Arial"/>
          <w:color w:val="333333"/>
          <w:sz w:val="18"/>
          <w:szCs w:val="18"/>
          <w:lang w:val="en"/>
        </w:rPr>
        <w:t>–</w:t>
      </w:r>
      <w:r w:rsidR="00E16351" w:rsidRPr="00A879F1">
        <w:rPr>
          <w:color w:val="000000" w:themeColor="text1"/>
        </w:rPr>
        <w:t>1</w:t>
      </w:r>
      <w:r w:rsidR="002F70E6" w:rsidRPr="00A879F1">
        <w:rPr>
          <w:color w:val="000000" w:themeColor="text1"/>
        </w:rPr>
        <w:t xml:space="preserve">7 summer were severe, resulting in damage </w:t>
      </w:r>
      <w:r w:rsidR="00A879F1">
        <w:rPr>
          <w:color w:val="000000" w:themeColor="text1"/>
        </w:rPr>
        <w:t xml:space="preserve">to coral communities </w:t>
      </w:r>
      <w:r w:rsidR="002F70E6" w:rsidRPr="00A879F1">
        <w:rPr>
          <w:color w:val="000000" w:themeColor="text1"/>
        </w:rPr>
        <w:t xml:space="preserve">in most </w:t>
      </w:r>
      <w:r w:rsidR="00E16351" w:rsidRPr="00A879F1">
        <w:rPr>
          <w:color w:val="000000" w:themeColor="text1"/>
        </w:rPr>
        <w:t xml:space="preserve">areas of the Reef covered by this report. </w:t>
      </w:r>
      <w:r w:rsidR="00A879F1">
        <w:rPr>
          <w:color w:val="000000" w:themeColor="text1"/>
        </w:rPr>
        <w:t xml:space="preserve">High summer </w:t>
      </w:r>
      <w:r w:rsidR="002F70E6" w:rsidRPr="00A879F1">
        <w:rPr>
          <w:color w:val="000000" w:themeColor="text1"/>
        </w:rPr>
        <w:t xml:space="preserve">water temperatures caused coral bleaching </w:t>
      </w:r>
      <w:r w:rsidR="00816CC4" w:rsidRPr="00A879F1">
        <w:rPr>
          <w:color w:val="000000" w:themeColor="text1"/>
        </w:rPr>
        <w:t xml:space="preserve">and subsequent mortality of </w:t>
      </w:r>
      <w:r w:rsidR="002F70E6" w:rsidRPr="00A879F1">
        <w:rPr>
          <w:color w:val="000000" w:themeColor="text1"/>
        </w:rPr>
        <w:t>coral</w:t>
      </w:r>
      <w:r w:rsidR="00816CC4" w:rsidRPr="00A879F1">
        <w:rPr>
          <w:color w:val="000000" w:themeColor="text1"/>
        </w:rPr>
        <w:t>s</w:t>
      </w:r>
      <w:r w:rsidR="002F70E6" w:rsidRPr="00A879F1">
        <w:rPr>
          <w:color w:val="000000" w:themeColor="text1"/>
        </w:rPr>
        <w:t xml:space="preserve"> in both the Wet Tropics and Burdekin regions, while </w:t>
      </w:r>
      <w:r w:rsidR="00CE02D3">
        <w:rPr>
          <w:color w:val="000000" w:themeColor="text1"/>
        </w:rPr>
        <w:t>t</w:t>
      </w:r>
      <w:r w:rsidR="002F70E6" w:rsidRPr="00A879F1">
        <w:rPr>
          <w:color w:val="000000" w:themeColor="text1"/>
        </w:rPr>
        <w:t xml:space="preserve">ropical </w:t>
      </w:r>
      <w:r w:rsidR="00CE02D3">
        <w:rPr>
          <w:color w:val="000000" w:themeColor="text1"/>
        </w:rPr>
        <w:t>c</w:t>
      </w:r>
      <w:r w:rsidR="002F70E6" w:rsidRPr="00A879F1">
        <w:rPr>
          <w:color w:val="000000" w:themeColor="text1"/>
        </w:rPr>
        <w:t xml:space="preserve">yclone Debbie </w:t>
      </w:r>
      <w:r w:rsidR="00816CC4" w:rsidRPr="00A879F1">
        <w:rPr>
          <w:color w:val="000000" w:themeColor="text1"/>
        </w:rPr>
        <w:t>severely impacted reefs exposed to storm driven waves in the Whitsunday Group</w:t>
      </w:r>
      <w:r w:rsidR="003A1283">
        <w:rPr>
          <w:color w:val="000000" w:themeColor="text1"/>
        </w:rPr>
        <w:t xml:space="preserve"> (noting that the full extent of these impacts are yet to be realised in index scores, as discussed below)</w:t>
      </w:r>
      <w:r w:rsidR="00816CC4" w:rsidRPr="00A879F1">
        <w:rPr>
          <w:color w:val="000000" w:themeColor="text1"/>
        </w:rPr>
        <w:t xml:space="preserve">. Coral communities in the Fitzroy region were not severely impacted despite flooding of the Fitzroy River in the wake of </w:t>
      </w:r>
      <w:r w:rsidR="008C2E07">
        <w:rPr>
          <w:color w:val="000000" w:themeColor="text1"/>
        </w:rPr>
        <w:t>tropical cyclone</w:t>
      </w:r>
      <w:r w:rsidR="00B71BD8">
        <w:rPr>
          <w:color w:val="000000" w:themeColor="text1"/>
        </w:rPr>
        <w:t xml:space="preserve"> </w:t>
      </w:r>
      <w:r w:rsidR="00816CC4" w:rsidRPr="00A879F1">
        <w:rPr>
          <w:color w:val="000000" w:themeColor="text1"/>
        </w:rPr>
        <w:t>Debbie.</w:t>
      </w:r>
      <w:r w:rsidR="007B74C5" w:rsidRPr="00A879F1">
        <w:rPr>
          <w:color w:val="000000" w:themeColor="text1"/>
        </w:rPr>
        <w:t xml:space="preserve"> Elevated </w:t>
      </w:r>
      <w:r w:rsidR="00795124">
        <w:rPr>
          <w:color w:val="000000" w:themeColor="text1"/>
        </w:rPr>
        <w:t>number</w:t>
      </w:r>
      <w:r w:rsidR="00986E92">
        <w:rPr>
          <w:color w:val="000000" w:themeColor="text1"/>
        </w:rPr>
        <w:t xml:space="preserve">s of coral-eating </w:t>
      </w:r>
      <w:r w:rsidR="007B74C5" w:rsidRPr="00A879F1">
        <w:rPr>
          <w:color w:val="000000" w:themeColor="text1"/>
        </w:rPr>
        <w:t>crown-of-thorns starfish</w:t>
      </w:r>
      <w:r w:rsidR="003A1283">
        <w:rPr>
          <w:color w:val="000000" w:themeColor="text1"/>
        </w:rPr>
        <w:t xml:space="preserve"> (COTS)</w:t>
      </w:r>
      <w:r w:rsidR="007B74C5" w:rsidRPr="00A879F1">
        <w:rPr>
          <w:color w:val="000000" w:themeColor="text1"/>
        </w:rPr>
        <w:t xml:space="preserve"> were restricted to reefs in the Johnstone Russell–Mulgrave sub-region of the Wet Tropics</w:t>
      </w:r>
      <w:r w:rsidR="00B63E50" w:rsidRPr="00A879F1">
        <w:rPr>
          <w:color w:val="000000" w:themeColor="text1"/>
        </w:rPr>
        <w:t xml:space="preserve"> where </w:t>
      </w:r>
      <w:r w:rsidR="00816CC4" w:rsidRPr="00A879F1">
        <w:rPr>
          <w:color w:val="000000" w:themeColor="text1"/>
        </w:rPr>
        <w:t xml:space="preserve">they compounded losses attributed primarily to coral </w:t>
      </w:r>
      <w:r w:rsidR="000A050C" w:rsidRPr="00A879F1">
        <w:rPr>
          <w:color w:val="000000" w:themeColor="text1"/>
        </w:rPr>
        <w:t>bleaching</w:t>
      </w:r>
      <w:r w:rsidR="00816CC4" w:rsidRPr="00A879F1">
        <w:rPr>
          <w:color w:val="000000" w:themeColor="text1"/>
        </w:rPr>
        <w:t>.</w:t>
      </w:r>
    </w:p>
    <w:p w14:paraId="308B2D65" w14:textId="56ABB7D1" w:rsidR="00C37013" w:rsidRPr="00A879F1" w:rsidRDefault="00FA4C14" w:rsidP="00D2045F">
      <w:pPr>
        <w:rPr>
          <w:rFonts w:cs="Arial"/>
          <w:color w:val="000000" w:themeColor="text1"/>
        </w:rPr>
      </w:pPr>
      <w:r w:rsidRPr="00A879F1">
        <w:rPr>
          <w:rFonts w:cs="Arial"/>
          <w:color w:val="000000" w:themeColor="text1"/>
        </w:rPr>
        <w:t xml:space="preserve">As a result of the impacts of </w:t>
      </w:r>
      <w:r w:rsidR="00795124">
        <w:rPr>
          <w:rFonts w:cs="Arial"/>
          <w:color w:val="000000" w:themeColor="text1"/>
        </w:rPr>
        <w:t xml:space="preserve">the </w:t>
      </w:r>
      <w:r w:rsidRPr="00A879F1">
        <w:rPr>
          <w:rFonts w:cs="Arial"/>
          <w:color w:val="000000" w:themeColor="text1"/>
        </w:rPr>
        <w:t>2016</w:t>
      </w:r>
      <w:r w:rsidR="00C976D1">
        <w:rPr>
          <w:rFonts w:cs="Arial"/>
          <w:color w:val="333333"/>
          <w:sz w:val="18"/>
          <w:szCs w:val="18"/>
          <w:lang w:val="en"/>
        </w:rPr>
        <w:t>–</w:t>
      </w:r>
      <w:r w:rsidRPr="00A879F1">
        <w:rPr>
          <w:rFonts w:cs="Arial"/>
          <w:color w:val="000000" w:themeColor="text1"/>
        </w:rPr>
        <w:t>17 summer</w:t>
      </w:r>
      <w:r w:rsidR="00795124">
        <w:rPr>
          <w:rFonts w:cs="Arial"/>
          <w:color w:val="000000" w:themeColor="text1"/>
        </w:rPr>
        <w:t>,</w:t>
      </w:r>
      <w:r w:rsidRPr="00A879F1">
        <w:rPr>
          <w:rFonts w:cs="Arial"/>
          <w:color w:val="000000" w:themeColor="text1"/>
        </w:rPr>
        <w:t xml:space="preserve"> </w:t>
      </w:r>
      <w:r w:rsidR="00094507" w:rsidRPr="00A879F1">
        <w:rPr>
          <w:rFonts w:cs="Arial"/>
          <w:color w:val="000000" w:themeColor="text1"/>
        </w:rPr>
        <w:t xml:space="preserve">coral index scores </w:t>
      </w:r>
      <w:r w:rsidRPr="00126FFC">
        <w:rPr>
          <w:rFonts w:cs="Arial"/>
          <w:color w:val="000000" w:themeColor="text1"/>
        </w:rPr>
        <w:t xml:space="preserve">declined </w:t>
      </w:r>
      <w:r w:rsidR="00772202" w:rsidRPr="00126FFC">
        <w:rPr>
          <w:rFonts w:cs="Arial"/>
          <w:color w:val="000000" w:themeColor="text1"/>
        </w:rPr>
        <w:t>sharply in the Mackay</w:t>
      </w:r>
      <w:r w:rsidR="00B71BD8">
        <w:rPr>
          <w:rFonts w:cs="Arial"/>
          <w:color w:val="000000" w:themeColor="text1"/>
        </w:rPr>
        <w:t>–</w:t>
      </w:r>
      <w:r w:rsidR="00772202" w:rsidRPr="00126FFC">
        <w:rPr>
          <w:rFonts w:cs="Arial"/>
          <w:color w:val="000000" w:themeColor="text1"/>
        </w:rPr>
        <w:t xml:space="preserve">Whitsunday Region, declined </w:t>
      </w:r>
      <w:r w:rsidR="000757B6">
        <w:rPr>
          <w:rFonts w:cs="Arial"/>
          <w:color w:val="000000" w:themeColor="text1"/>
        </w:rPr>
        <w:t>slightly</w:t>
      </w:r>
      <w:r w:rsidR="000757B6" w:rsidRPr="00126FFC">
        <w:rPr>
          <w:rFonts w:cs="Arial"/>
          <w:color w:val="000000" w:themeColor="text1"/>
        </w:rPr>
        <w:t xml:space="preserve"> </w:t>
      </w:r>
      <w:r w:rsidR="00772202" w:rsidRPr="00126FFC">
        <w:rPr>
          <w:rFonts w:cs="Arial"/>
          <w:color w:val="000000" w:themeColor="text1"/>
        </w:rPr>
        <w:t>in the Wet Tropics Region</w:t>
      </w:r>
      <w:r w:rsidR="00772202" w:rsidRPr="00A879F1">
        <w:rPr>
          <w:rFonts w:cs="Arial"/>
          <w:color w:val="000000" w:themeColor="text1"/>
        </w:rPr>
        <w:t xml:space="preserve"> and remained stable elsewhere</w:t>
      </w:r>
      <w:r w:rsidR="007B74C5" w:rsidRPr="00A879F1">
        <w:rPr>
          <w:rStyle w:val="CommentReference"/>
          <w:rFonts w:cs="Arial"/>
          <w:color w:val="000000" w:themeColor="text1"/>
          <w:sz w:val="22"/>
          <w:szCs w:val="22"/>
          <w:lang w:val="en-AU" w:eastAsia="en-AU"/>
        </w:rPr>
        <w:t>.</w:t>
      </w:r>
      <w:r w:rsidR="007B74C5" w:rsidRPr="00A879F1">
        <w:rPr>
          <w:rFonts w:cs="Arial"/>
          <w:color w:val="000000" w:themeColor="text1"/>
          <w:szCs w:val="22"/>
        </w:rPr>
        <w:t xml:space="preserve"> </w:t>
      </w:r>
      <w:r w:rsidRPr="00A879F1">
        <w:rPr>
          <w:rFonts w:cs="Arial"/>
          <w:color w:val="000000" w:themeColor="text1"/>
          <w:szCs w:val="22"/>
        </w:rPr>
        <w:t xml:space="preserve">Declines were primarily </w:t>
      </w:r>
      <w:r w:rsidRPr="00126FFC">
        <w:rPr>
          <w:rFonts w:cs="Arial"/>
          <w:color w:val="000000" w:themeColor="text1"/>
          <w:szCs w:val="22"/>
        </w:rPr>
        <w:t>due to the loss of coral</w:t>
      </w:r>
      <w:r w:rsidR="000A050C" w:rsidRPr="00126FFC">
        <w:rPr>
          <w:rFonts w:cs="Arial"/>
          <w:color w:val="000000" w:themeColor="text1"/>
          <w:szCs w:val="22"/>
        </w:rPr>
        <w:t xml:space="preserve">s resulting in declines in the </w:t>
      </w:r>
      <w:r w:rsidR="00B71BD8">
        <w:rPr>
          <w:rFonts w:cs="Arial"/>
          <w:color w:val="000000" w:themeColor="text1"/>
          <w:szCs w:val="22"/>
        </w:rPr>
        <w:t>c</w:t>
      </w:r>
      <w:r w:rsidR="000A050C" w:rsidRPr="00126FFC">
        <w:rPr>
          <w:rFonts w:cs="Arial"/>
          <w:color w:val="000000" w:themeColor="text1"/>
          <w:szCs w:val="22"/>
        </w:rPr>
        <w:t xml:space="preserve">oral </w:t>
      </w:r>
      <w:r w:rsidR="00B71BD8">
        <w:rPr>
          <w:rFonts w:cs="Arial"/>
          <w:color w:val="000000" w:themeColor="text1"/>
          <w:szCs w:val="22"/>
        </w:rPr>
        <w:t>c</w:t>
      </w:r>
      <w:r w:rsidR="000A050C" w:rsidRPr="00126FFC">
        <w:rPr>
          <w:rFonts w:cs="Arial"/>
          <w:color w:val="000000" w:themeColor="text1"/>
          <w:szCs w:val="22"/>
        </w:rPr>
        <w:t xml:space="preserve">over metric </w:t>
      </w:r>
      <w:r w:rsidRPr="00126FFC">
        <w:rPr>
          <w:rFonts w:cs="Arial"/>
          <w:color w:val="000000" w:themeColor="text1"/>
          <w:szCs w:val="22"/>
        </w:rPr>
        <w:t>that</w:t>
      </w:r>
      <w:r w:rsidR="000A050C" w:rsidRPr="00126FFC">
        <w:rPr>
          <w:rFonts w:cs="Arial"/>
          <w:color w:val="000000" w:themeColor="text1"/>
          <w:szCs w:val="22"/>
        </w:rPr>
        <w:t>,</w:t>
      </w:r>
      <w:r w:rsidRPr="00126FFC">
        <w:rPr>
          <w:rFonts w:cs="Arial"/>
          <w:color w:val="000000" w:themeColor="text1"/>
          <w:szCs w:val="22"/>
        </w:rPr>
        <w:t xml:space="preserve"> in</w:t>
      </w:r>
      <w:r w:rsidR="000A050C" w:rsidRPr="00126FFC">
        <w:rPr>
          <w:rFonts w:cs="Arial"/>
          <w:color w:val="000000" w:themeColor="text1"/>
          <w:szCs w:val="22"/>
        </w:rPr>
        <w:t>-</w:t>
      </w:r>
      <w:r w:rsidRPr="00126FFC">
        <w:rPr>
          <w:rFonts w:cs="Arial"/>
          <w:color w:val="000000" w:themeColor="text1"/>
          <w:szCs w:val="22"/>
        </w:rPr>
        <w:t>tu</w:t>
      </w:r>
      <w:r w:rsidR="000A050C" w:rsidRPr="00126FFC">
        <w:rPr>
          <w:rFonts w:cs="Arial"/>
          <w:color w:val="000000" w:themeColor="text1"/>
          <w:szCs w:val="22"/>
        </w:rPr>
        <w:t>rn,</w:t>
      </w:r>
      <w:r w:rsidRPr="00126FFC">
        <w:rPr>
          <w:rFonts w:cs="Arial"/>
          <w:color w:val="000000" w:themeColor="text1"/>
          <w:szCs w:val="22"/>
        </w:rPr>
        <w:t xml:space="preserve"> </w:t>
      </w:r>
      <w:r w:rsidR="000A050C" w:rsidRPr="00126FFC">
        <w:rPr>
          <w:rFonts w:cs="Arial"/>
          <w:color w:val="000000" w:themeColor="text1"/>
          <w:szCs w:val="22"/>
        </w:rPr>
        <w:t xml:space="preserve">precipitated </w:t>
      </w:r>
      <w:r w:rsidRPr="00126FFC">
        <w:rPr>
          <w:rFonts w:cs="Arial"/>
          <w:color w:val="000000" w:themeColor="text1"/>
          <w:szCs w:val="22"/>
        </w:rPr>
        <w:t xml:space="preserve">declines in </w:t>
      </w:r>
      <w:r w:rsidR="00B71BD8">
        <w:rPr>
          <w:rFonts w:cs="Arial"/>
          <w:color w:val="000000" w:themeColor="text1"/>
          <w:szCs w:val="22"/>
        </w:rPr>
        <w:t>c</w:t>
      </w:r>
      <w:r w:rsidR="000A050C" w:rsidRPr="00126FFC">
        <w:rPr>
          <w:rFonts w:cs="Arial"/>
          <w:color w:val="000000" w:themeColor="text1"/>
          <w:szCs w:val="22"/>
        </w:rPr>
        <w:t xml:space="preserve">ommunity </w:t>
      </w:r>
      <w:r w:rsidR="00B71BD8">
        <w:rPr>
          <w:rFonts w:cs="Arial"/>
          <w:color w:val="000000" w:themeColor="text1"/>
          <w:szCs w:val="22"/>
        </w:rPr>
        <w:t>c</w:t>
      </w:r>
      <w:r w:rsidR="000A050C" w:rsidRPr="00126FFC">
        <w:rPr>
          <w:rFonts w:cs="Arial"/>
          <w:color w:val="000000" w:themeColor="text1"/>
          <w:szCs w:val="22"/>
        </w:rPr>
        <w:t xml:space="preserve">omposition and </w:t>
      </w:r>
      <w:r w:rsidR="00B71BD8">
        <w:rPr>
          <w:rFonts w:cs="Arial"/>
          <w:color w:val="000000" w:themeColor="text1"/>
          <w:szCs w:val="22"/>
        </w:rPr>
        <w:t>j</w:t>
      </w:r>
      <w:r w:rsidR="000A050C" w:rsidRPr="00126FFC">
        <w:rPr>
          <w:rFonts w:cs="Arial"/>
          <w:color w:val="000000" w:themeColor="text1"/>
          <w:szCs w:val="22"/>
        </w:rPr>
        <w:t xml:space="preserve">uvenile </w:t>
      </w:r>
      <w:r w:rsidR="007C11C0" w:rsidRPr="00126FFC">
        <w:rPr>
          <w:rFonts w:cs="Arial"/>
          <w:color w:val="000000" w:themeColor="text1"/>
          <w:szCs w:val="22"/>
        </w:rPr>
        <w:t>metrics.</w:t>
      </w:r>
      <w:r w:rsidR="007C11C0">
        <w:rPr>
          <w:rFonts w:cs="Arial"/>
          <w:color w:val="000000" w:themeColor="text1"/>
          <w:szCs w:val="22"/>
        </w:rPr>
        <w:t xml:space="preserve"> The</w:t>
      </w:r>
      <w:r w:rsidR="00005D6C">
        <w:rPr>
          <w:rFonts w:cs="Arial"/>
          <w:color w:val="000000" w:themeColor="text1"/>
          <w:szCs w:val="22"/>
        </w:rPr>
        <w:t xml:space="preserve"> </w:t>
      </w:r>
      <w:r w:rsidR="00795124" w:rsidRPr="00A879F1">
        <w:rPr>
          <w:rFonts w:cs="Arial"/>
          <w:color w:val="000000" w:themeColor="text1"/>
          <w:szCs w:val="22"/>
        </w:rPr>
        <w:t>declines</w:t>
      </w:r>
      <w:r w:rsidR="00E616D7">
        <w:rPr>
          <w:rFonts w:cs="Arial"/>
          <w:color w:val="000000" w:themeColor="text1"/>
          <w:szCs w:val="22"/>
        </w:rPr>
        <w:t xml:space="preserve"> in the</w:t>
      </w:r>
      <w:r w:rsidR="00795124" w:rsidRPr="00A879F1">
        <w:rPr>
          <w:rFonts w:cs="Arial"/>
          <w:color w:val="000000" w:themeColor="text1"/>
          <w:szCs w:val="22"/>
        </w:rPr>
        <w:t xml:space="preserve"> </w:t>
      </w:r>
      <w:r w:rsidR="000A050C" w:rsidRPr="00A879F1">
        <w:rPr>
          <w:rFonts w:cs="Arial"/>
          <w:color w:val="000000" w:themeColor="text1"/>
          <w:szCs w:val="22"/>
        </w:rPr>
        <w:t xml:space="preserve">index </w:t>
      </w:r>
      <w:r w:rsidR="00A879F1">
        <w:rPr>
          <w:rFonts w:cs="Arial"/>
          <w:color w:val="000000" w:themeColor="text1"/>
          <w:szCs w:val="22"/>
        </w:rPr>
        <w:t>we</w:t>
      </w:r>
      <w:r w:rsidR="00795BCF" w:rsidRPr="00A879F1">
        <w:rPr>
          <w:rFonts w:cs="Arial"/>
          <w:color w:val="000000" w:themeColor="text1"/>
          <w:szCs w:val="22"/>
        </w:rPr>
        <w:t xml:space="preserve">re </w:t>
      </w:r>
      <w:r w:rsidR="003448D5">
        <w:rPr>
          <w:rFonts w:cs="Arial"/>
          <w:color w:val="000000" w:themeColor="text1"/>
          <w:szCs w:val="22"/>
        </w:rPr>
        <w:t xml:space="preserve">buffered by </w:t>
      </w:r>
      <w:r w:rsidR="007C11C0">
        <w:rPr>
          <w:rFonts w:cs="Arial"/>
          <w:color w:val="000000" w:themeColor="text1"/>
          <w:szCs w:val="22"/>
        </w:rPr>
        <w:t>the sampling designs of the monitoring programs that resulted in index scores for the nine LTMP reefs and six of the MMP reefs being based on observations that pre-dated</w:t>
      </w:r>
      <w:r w:rsidR="003448D5">
        <w:rPr>
          <w:rFonts w:cs="Arial"/>
          <w:color w:val="000000" w:themeColor="text1"/>
          <w:szCs w:val="22"/>
        </w:rPr>
        <w:t xml:space="preserve"> the 2017 summer </w:t>
      </w:r>
      <w:r w:rsidR="007C11C0">
        <w:rPr>
          <w:rFonts w:cs="Arial"/>
          <w:color w:val="000000" w:themeColor="text1"/>
          <w:szCs w:val="22"/>
        </w:rPr>
        <w:t>disturbances. I</w:t>
      </w:r>
      <w:r w:rsidR="00772202" w:rsidRPr="00A879F1">
        <w:rPr>
          <w:rFonts w:cs="Arial"/>
          <w:color w:val="000000" w:themeColor="text1"/>
          <w:szCs w:val="22"/>
        </w:rPr>
        <w:t xml:space="preserve">mproved scores for the </w:t>
      </w:r>
      <w:r w:rsidR="00005D6C">
        <w:rPr>
          <w:rFonts w:cs="Arial"/>
          <w:color w:val="000000" w:themeColor="text1"/>
          <w:szCs w:val="22"/>
        </w:rPr>
        <w:t>c</w:t>
      </w:r>
      <w:r w:rsidR="00335ADC" w:rsidRPr="00A879F1">
        <w:rPr>
          <w:rFonts w:cs="Arial"/>
          <w:color w:val="000000" w:themeColor="text1"/>
          <w:szCs w:val="22"/>
        </w:rPr>
        <w:t xml:space="preserve">oral </w:t>
      </w:r>
      <w:r w:rsidR="00005D6C">
        <w:rPr>
          <w:rFonts w:cs="Arial"/>
          <w:color w:val="000000" w:themeColor="text1"/>
          <w:szCs w:val="22"/>
        </w:rPr>
        <w:t>c</w:t>
      </w:r>
      <w:r w:rsidR="00335ADC" w:rsidRPr="00A879F1">
        <w:rPr>
          <w:rFonts w:cs="Arial"/>
          <w:color w:val="000000" w:themeColor="text1"/>
          <w:szCs w:val="22"/>
        </w:rPr>
        <w:t>hange metric</w:t>
      </w:r>
      <w:r w:rsidR="007C11C0">
        <w:rPr>
          <w:rFonts w:cs="Arial"/>
          <w:color w:val="000000" w:themeColor="text1"/>
          <w:szCs w:val="22"/>
        </w:rPr>
        <w:t xml:space="preserve"> also moderated declines in index scores</w:t>
      </w:r>
      <w:r w:rsidR="00772202" w:rsidRPr="00A879F1">
        <w:rPr>
          <w:rFonts w:cs="Arial"/>
          <w:color w:val="000000" w:themeColor="text1"/>
          <w:szCs w:val="22"/>
        </w:rPr>
        <w:t>.</w:t>
      </w:r>
      <w:r w:rsidR="00005D6C">
        <w:rPr>
          <w:rFonts w:cs="Arial"/>
          <w:color w:val="000000" w:themeColor="text1"/>
          <w:szCs w:val="22"/>
        </w:rPr>
        <w:t xml:space="preserve"> </w:t>
      </w:r>
      <w:r w:rsidR="00772202" w:rsidRPr="00A879F1">
        <w:rPr>
          <w:rFonts w:cs="Arial"/>
          <w:color w:val="000000" w:themeColor="text1"/>
          <w:szCs w:val="22"/>
        </w:rPr>
        <w:t xml:space="preserve">The </w:t>
      </w:r>
      <w:r w:rsidR="00005D6C">
        <w:rPr>
          <w:rFonts w:cs="Arial"/>
          <w:color w:val="000000" w:themeColor="text1"/>
          <w:szCs w:val="22"/>
        </w:rPr>
        <w:t>c</w:t>
      </w:r>
      <w:r w:rsidR="00772202" w:rsidRPr="00A879F1">
        <w:rPr>
          <w:rFonts w:cs="Arial"/>
          <w:color w:val="000000" w:themeColor="text1"/>
          <w:szCs w:val="22"/>
        </w:rPr>
        <w:t xml:space="preserve">oral </w:t>
      </w:r>
      <w:r w:rsidR="00005D6C">
        <w:rPr>
          <w:rFonts w:cs="Arial"/>
          <w:color w:val="000000" w:themeColor="text1"/>
          <w:szCs w:val="22"/>
        </w:rPr>
        <w:t>c</w:t>
      </w:r>
      <w:r w:rsidR="00772202" w:rsidRPr="00A879F1">
        <w:rPr>
          <w:rFonts w:cs="Arial"/>
          <w:color w:val="000000" w:themeColor="text1"/>
          <w:szCs w:val="22"/>
        </w:rPr>
        <w:t xml:space="preserve">hange metric is based on a running mean of </w:t>
      </w:r>
      <w:r w:rsidR="000757B6">
        <w:rPr>
          <w:rFonts w:cs="Arial"/>
          <w:color w:val="000000" w:themeColor="text1"/>
          <w:szCs w:val="22"/>
        </w:rPr>
        <w:t>observed changes in coral cover</w:t>
      </w:r>
      <w:r w:rsidR="000757B6" w:rsidRPr="00A879F1">
        <w:rPr>
          <w:rFonts w:cs="Arial"/>
          <w:color w:val="000000" w:themeColor="text1"/>
          <w:szCs w:val="22"/>
        </w:rPr>
        <w:t xml:space="preserve"> </w:t>
      </w:r>
      <w:r w:rsidR="00DC2FB4" w:rsidRPr="00A879F1">
        <w:rPr>
          <w:rFonts w:cs="Arial"/>
          <w:color w:val="000000" w:themeColor="text1"/>
          <w:szCs w:val="22"/>
        </w:rPr>
        <w:t xml:space="preserve">estimated during periods of recovery. Improved scores for this metric in 2017 reflected the strong recovery rates observed in the </w:t>
      </w:r>
      <w:r w:rsidR="00C976D1">
        <w:rPr>
          <w:rFonts w:cs="Arial"/>
          <w:color w:val="000000" w:themeColor="text1"/>
          <w:szCs w:val="22"/>
        </w:rPr>
        <w:t>two-to-three</w:t>
      </w:r>
      <w:r w:rsidR="00DC2FB4" w:rsidRPr="00A879F1">
        <w:rPr>
          <w:rFonts w:cs="Arial"/>
          <w:color w:val="000000" w:themeColor="text1"/>
          <w:szCs w:val="22"/>
        </w:rPr>
        <w:t xml:space="preserve"> years prior to </w:t>
      </w:r>
      <w:r w:rsidR="00335ADC" w:rsidRPr="00A879F1">
        <w:rPr>
          <w:rFonts w:cs="Arial"/>
          <w:color w:val="000000" w:themeColor="text1"/>
          <w:szCs w:val="22"/>
        </w:rPr>
        <w:t>the</w:t>
      </w:r>
      <w:r w:rsidR="00772202" w:rsidRPr="00A879F1">
        <w:rPr>
          <w:rFonts w:cs="Arial"/>
          <w:color w:val="000000" w:themeColor="text1"/>
          <w:szCs w:val="22"/>
        </w:rPr>
        <w:t xml:space="preserve"> disturbances identified</w:t>
      </w:r>
      <w:r w:rsidR="00335ADC" w:rsidRPr="00A879F1">
        <w:rPr>
          <w:rFonts w:cs="Arial"/>
          <w:color w:val="000000" w:themeColor="text1"/>
          <w:szCs w:val="22"/>
        </w:rPr>
        <w:t xml:space="preserve"> above</w:t>
      </w:r>
      <w:r w:rsidR="005C0CA1" w:rsidRPr="00A879F1">
        <w:rPr>
          <w:rFonts w:cs="Arial"/>
          <w:color w:val="000000" w:themeColor="text1"/>
        </w:rPr>
        <w:t>.</w:t>
      </w:r>
    </w:p>
    <w:p w14:paraId="665958D3" w14:textId="6BF5F96F" w:rsidR="00606B90" w:rsidRPr="004A75A3" w:rsidRDefault="002D6E82" w:rsidP="00D2045F">
      <w:pPr>
        <w:rPr>
          <w:color w:val="000000" w:themeColor="text1"/>
        </w:rPr>
      </w:pPr>
      <w:r w:rsidRPr="00A879F1">
        <w:rPr>
          <w:color w:val="000000" w:themeColor="text1"/>
        </w:rPr>
        <w:t xml:space="preserve">The </w:t>
      </w:r>
      <w:r w:rsidR="0001199E" w:rsidRPr="00A879F1">
        <w:rPr>
          <w:color w:val="000000" w:themeColor="text1"/>
        </w:rPr>
        <w:t xml:space="preserve">coral index </w:t>
      </w:r>
      <w:r w:rsidR="00705D74" w:rsidRPr="00A879F1">
        <w:rPr>
          <w:color w:val="000000" w:themeColor="text1"/>
        </w:rPr>
        <w:t xml:space="preserve">for the </w:t>
      </w:r>
      <w:r w:rsidR="0001199E" w:rsidRPr="00A879F1">
        <w:rPr>
          <w:b/>
          <w:color w:val="000000" w:themeColor="text1"/>
        </w:rPr>
        <w:t>Wet Tropics</w:t>
      </w:r>
      <w:r w:rsidR="00705D74" w:rsidRPr="00A879F1">
        <w:rPr>
          <w:color w:val="000000" w:themeColor="text1"/>
        </w:rPr>
        <w:t xml:space="preserve"> remains in the </w:t>
      </w:r>
      <w:r w:rsidR="0001199E" w:rsidRPr="00A879F1">
        <w:rPr>
          <w:color w:val="000000" w:themeColor="text1"/>
        </w:rPr>
        <w:t xml:space="preserve">‘moderate’ </w:t>
      </w:r>
      <w:r w:rsidR="00705D74" w:rsidRPr="00A879F1">
        <w:rPr>
          <w:color w:val="000000" w:themeColor="text1"/>
        </w:rPr>
        <w:t>condition category</w:t>
      </w:r>
      <w:r w:rsidR="00AD6384" w:rsidRPr="00A879F1">
        <w:rPr>
          <w:color w:val="000000" w:themeColor="text1"/>
        </w:rPr>
        <w:t xml:space="preserve">, </w:t>
      </w:r>
      <w:r w:rsidR="009F7667" w:rsidRPr="00A879F1">
        <w:rPr>
          <w:color w:val="000000" w:themeColor="text1"/>
        </w:rPr>
        <w:t>although</w:t>
      </w:r>
      <w:r w:rsidR="00AD6384" w:rsidRPr="00A879F1">
        <w:rPr>
          <w:color w:val="000000" w:themeColor="text1"/>
        </w:rPr>
        <w:t xml:space="preserve"> </w:t>
      </w:r>
      <w:r w:rsidR="00DD45CD" w:rsidRPr="00A879F1">
        <w:rPr>
          <w:color w:val="000000" w:themeColor="text1"/>
        </w:rPr>
        <w:t xml:space="preserve">has </w:t>
      </w:r>
      <w:r w:rsidR="00DC2FB4" w:rsidRPr="00A879F1">
        <w:rPr>
          <w:color w:val="000000" w:themeColor="text1"/>
        </w:rPr>
        <w:t>declined slightly from that observed in 2016</w:t>
      </w:r>
      <w:r w:rsidR="00D26ED3" w:rsidRPr="00A879F1">
        <w:rPr>
          <w:color w:val="000000" w:themeColor="text1"/>
        </w:rPr>
        <w:t xml:space="preserve"> (</w:t>
      </w:r>
      <w:r w:rsidR="00D26ED3" w:rsidRPr="00A879F1">
        <w:rPr>
          <w:color w:val="000000" w:themeColor="text1"/>
        </w:rPr>
        <w:fldChar w:fldCharType="begin"/>
      </w:r>
      <w:r w:rsidR="00D26ED3" w:rsidRPr="00A879F1">
        <w:rPr>
          <w:color w:val="000000" w:themeColor="text1"/>
        </w:rPr>
        <w:instrText xml:space="preserve"> REF _Ref491090713 \h </w:instrText>
      </w:r>
      <w:r w:rsidR="00D26ED3" w:rsidRPr="00A879F1">
        <w:rPr>
          <w:color w:val="000000" w:themeColor="text1"/>
        </w:rPr>
      </w:r>
      <w:r w:rsidR="00D26ED3" w:rsidRPr="00A879F1">
        <w:rPr>
          <w:color w:val="000000" w:themeColor="text1"/>
        </w:rPr>
        <w:fldChar w:fldCharType="separate"/>
      </w:r>
      <w:r w:rsidR="00A75175" w:rsidRPr="00F352E1">
        <w:t xml:space="preserve">Figure </w:t>
      </w:r>
      <w:r w:rsidR="00A75175">
        <w:rPr>
          <w:noProof/>
        </w:rPr>
        <w:t>1</w:t>
      </w:r>
      <w:r w:rsidR="00D26ED3" w:rsidRPr="00A879F1">
        <w:rPr>
          <w:color w:val="000000" w:themeColor="text1"/>
        </w:rPr>
        <w:fldChar w:fldCharType="end"/>
      </w:r>
      <w:r w:rsidR="00D26ED3" w:rsidRPr="00A879F1">
        <w:rPr>
          <w:color w:val="000000" w:themeColor="text1"/>
        </w:rPr>
        <w:t>)</w:t>
      </w:r>
      <w:r w:rsidR="00DC2FB4" w:rsidRPr="00A879F1">
        <w:rPr>
          <w:color w:val="000000" w:themeColor="text1"/>
        </w:rPr>
        <w:t xml:space="preserve">. </w:t>
      </w:r>
      <w:r w:rsidR="00D26ED3" w:rsidRPr="00A879F1">
        <w:rPr>
          <w:color w:val="000000" w:themeColor="text1"/>
        </w:rPr>
        <w:t xml:space="preserve">The primary cause of the decline </w:t>
      </w:r>
      <w:r w:rsidR="00A33FAA" w:rsidRPr="00A879F1">
        <w:rPr>
          <w:color w:val="000000" w:themeColor="text1"/>
        </w:rPr>
        <w:t>w</w:t>
      </w:r>
      <w:r w:rsidR="00A33FAA">
        <w:rPr>
          <w:color w:val="000000" w:themeColor="text1"/>
        </w:rPr>
        <w:t>as</w:t>
      </w:r>
      <w:r w:rsidR="00A33FAA" w:rsidRPr="00A879F1">
        <w:rPr>
          <w:color w:val="000000" w:themeColor="text1"/>
        </w:rPr>
        <w:t xml:space="preserve"> </w:t>
      </w:r>
      <w:r w:rsidR="00D26ED3" w:rsidRPr="00A879F1">
        <w:rPr>
          <w:color w:val="000000" w:themeColor="text1"/>
        </w:rPr>
        <w:t xml:space="preserve">high water temperatures resulting in coral bleaching over the </w:t>
      </w:r>
      <w:r w:rsidR="00D26ED3" w:rsidRPr="00C976D1">
        <w:rPr>
          <w:color w:val="000000" w:themeColor="text1"/>
        </w:rPr>
        <w:t>2016</w:t>
      </w:r>
      <w:r w:rsidR="00C976D1" w:rsidRPr="00C976D1">
        <w:rPr>
          <w:rFonts w:cs="Arial"/>
          <w:color w:val="333333"/>
          <w:sz w:val="18"/>
          <w:szCs w:val="18"/>
          <w:lang w:val="en"/>
        </w:rPr>
        <w:t>–</w:t>
      </w:r>
      <w:r w:rsidR="00D26ED3" w:rsidRPr="00C976D1">
        <w:rPr>
          <w:color w:val="000000" w:themeColor="text1"/>
        </w:rPr>
        <w:t>17</w:t>
      </w:r>
      <w:r w:rsidR="00D26ED3" w:rsidRPr="00A879F1">
        <w:rPr>
          <w:color w:val="000000" w:themeColor="text1"/>
        </w:rPr>
        <w:t xml:space="preserve"> summer. Compounding the impacts of coral bleaching was o</w:t>
      </w:r>
      <w:r w:rsidR="00503677" w:rsidRPr="00A879F1">
        <w:rPr>
          <w:color w:val="000000" w:themeColor="text1"/>
        </w:rPr>
        <w:t>ngoing pressure from COTS</w:t>
      </w:r>
      <w:r w:rsidR="00B05739" w:rsidRPr="00A879F1">
        <w:rPr>
          <w:color w:val="000000" w:themeColor="text1"/>
        </w:rPr>
        <w:t xml:space="preserve"> </w:t>
      </w:r>
      <w:r w:rsidR="00D26ED3" w:rsidRPr="00A879F1">
        <w:rPr>
          <w:color w:val="000000" w:themeColor="text1"/>
        </w:rPr>
        <w:t>at</w:t>
      </w:r>
      <w:r w:rsidR="00005D6C">
        <w:rPr>
          <w:color w:val="000000" w:themeColor="text1"/>
        </w:rPr>
        <w:t xml:space="preserve"> reefs in the Johnstone Russell–</w:t>
      </w:r>
      <w:r w:rsidR="00D26ED3" w:rsidRPr="00A879F1">
        <w:rPr>
          <w:color w:val="000000" w:themeColor="text1"/>
        </w:rPr>
        <w:t>Mulgrave sub-region</w:t>
      </w:r>
      <w:r w:rsidR="00503677" w:rsidRPr="00A879F1">
        <w:rPr>
          <w:color w:val="000000" w:themeColor="text1"/>
        </w:rPr>
        <w:t xml:space="preserve">. </w:t>
      </w:r>
      <w:r w:rsidR="001974D4" w:rsidRPr="00A879F1">
        <w:rPr>
          <w:color w:val="000000" w:themeColor="text1"/>
        </w:rPr>
        <w:t>Partly mitigating the influence of COTS</w:t>
      </w:r>
      <w:r w:rsidR="00976100" w:rsidRPr="00A879F1">
        <w:rPr>
          <w:color w:val="000000" w:themeColor="text1"/>
        </w:rPr>
        <w:t>,</w:t>
      </w:r>
      <w:r w:rsidR="001974D4" w:rsidRPr="00A879F1">
        <w:rPr>
          <w:color w:val="000000" w:themeColor="text1"/>
        </w:rPr>
        <w:t xml:space="preserve"> has been </w:t>
      </w:r>
      <w:r w:rsidR="00FF78CC" w:rsidRPr="00A879F1">
        <w:rPr>
          <w:color w:val="000000" w:themeColor="text1"/>
        </w:rPr>
        <w:t xml:space="preserve">an active </w:t>
      </w:r>
      <w:r w:rsidR="001974D4" w:rsidRPr="00A879F1">
        <w:rPr>
          <w:color w:val="000000" w:themeColor="text1"/>
        </w:rPr>
        <w:t>population control program</w:t>
      </w:r>
      <w:r w:rsidR="00FF78CC" w:rsidRPr="00A879F1">
        <w:rPr>
          <w:rStyle w:val="FootnoteReference"/>
          <w:color w:val="000000" w:themeColor="text1"/>
        </w:rPr>
        <w:footnoteReference w:id="1"/>
      </w:r>
      <w:r w:rsidR="001974D4" w:rsidRPr="00A879F1">
        <w:rPr>
          <w:color w:val="000000" w:themeColor="text1"/>
        </w:rPr>
        <w:t xml:space="preserve"> with </w:t>
      </w:r>
      <w:r w:rsidR="008E78BD" w:rsidRPr="00A879F1">
        <w:rPr>
          <w:color w:val="000000" w:themeColor="text1"/>
        </w:rPr>
        <w:t>1</w:t>
      </w:r>
      <w:r w:rsidR="00B96A42" w:rsidRPr="00A879F1">
        <w:rPr>
          <w:color w:val="000000" w:themeColor="text1"/>
        </w:rPr>
        <w:t>4</w:t>
      </w:r>
      <w:r w:rsidR="008E78BD" w:rsidRPr="00A879F1">
        <w:rPr>
          <w:color w:val="000000" w:themeColor="text1"/>
        </w:rPr>
        <w:t>,</w:t>
      </w:r>
      <w:r w:rsidR="00B96A42" w:rsidRPr="00A879F1">
        <w:rPr>
          <w:color w:val="000000" w:themeColor="text1"/>
        </w:rPr>
        <w:t>9</w:t>
      </w:r>
      <w:r w:rsidR="008E78BD" w:rsidRPr="00A879F1">
        <w:rPr>
          <w:color w:val="000000" w:themeColor="text1"/>
        </w:rPr>
        <w:t>9</w:t>
      </w:r>
      <w:r w:rsidR="00B96A42" w:rsidRPr="00A879F1">
        <w:rPr>
          <w:color w:val="000000" w:themeColor="text1"/>
        </w:rPr>
        <w:t>0</w:t>
      </w:r>
      <w:r w:rsidR="001974D4" w:rsidRPr="00A879F1">
        <w:rPr>
          <w:color w:val="000000" w:themeColor="text1"/>
        </w:rPr>
        <w:t xml:space="preserve"> individuals removed from the reefs reported here</w:t>
      </w:r>
      <w:r w:rsidR="00FF78CC" w:rsidRPr="00A879F1">
        <w:rPr>
          <w:color w:val="000000" w:themeColor="text1"/>
        </w:rPr>
        <w:t xml:space="preserve">in </w:t>
      </w:r>
      <w:r w:rsidR="00B96A42" w:rsidRPr="00A879F1">
        <w:rPr>
          <w:color w:val="000000" w:themeColor="text1"/>
        </w:rPr>
        <w:t xml:space="preserve">over the five years </w:t>
      </w:r>
      <w:r w:rsidR="00FF78CC" w:rsidRPr="00A879F1">
        <w:rPr>
          <w:color w:val="000000" w:themeColor="text1"/>
        </w:rPr>
        <w:t xml:space="preserve">prior to surveys </w:t>
      </w:r>
      <w:r w:rsidR="008E78BD" w:rsidRPr="00A879F1">
        <w:rPr>
          <w:color w:val="000000" w:themeColor="text1"/>
        </w:rPr>
        <w:t xml:space="preserve">in </w:t>
      </w:r>
      <w:r w:rsidR="001974D4" w:rsidRPr="00A879F1">
        <w:rPr>
          <w:color w:val="000000" w:themeColor="text1"/>
        </w:rPr>
        <w:t>201</w:t>
      </w:r>
      <w:r w:rsidR="00D26ED3" w:rsidRPr="00A879F1">
        <w:rPr>
          <w:color w:val="000000" w:themeColor="text1"/>
        </w:rPr>
        <w:t>7</w:t>
      </w:r>
      <w:r w:rsidR="00FF78CC" w:rsidRPr="004E49A0">
        <w:rPr>
          <w:color w:val="000000" w:themeColor="text1"/>
        </w:rPr>
        <w:t xml:space="preserve">. </w:t>
      </w:r>
      <w:r w:rsidR="009671C9" w:rsidRPr="008C2E07">
        <w:t>Within the region</w:t>
      </w:r>
      <w:r w:rsidR="009F7667" w:rsidRPr="008C2E07">
        <w:t>,</w:t>
      </w:r>
      <w:r w:rsidR="009671C9" w:rsidRPr="008C2E07">
        <w:t xml:space="preserve"> </w:t>
      </w:r>
      <w:r w:rsidR="001C40D0" w:rsidRPr="008C2E07">
        <w:t>although levels of bleaching were high in the Herbert Tully sub-region</w:t>
      </w:r>
      <w:r w:rsidR="00A33FAA" w:rsidRPr="008C2E07">
        <w:t>,</w:t>
      </w:r>
      <w:r w:rsidR="001C40D0" w:rsidRPr="008C2E07">
        <w:t xml:space="preserve"> the coral index continued to improve </w:t>
      </w:r>
      <w:r w:rsidR="00B47870" w:rsidRPr="008C2E07">
        <w:t xml:space="preserve">as rapid recovery of coral cover in recent years saw improvement in the </w:t>
      </w:r>
      <w:r w:rsidR="00005D6C">
        <w:t>c</w:t>
      </w:r>
      <w:r w:rsidR="00B47870" w:rsidRPr="008C2E07">
        <w:t xml:space="preserve">oral </w:t>
      </w:r>
      <w:r w:rsidR="00005D6C">
        <w:t>c</w:t>
      </w:r>
      <w:r w:rsidR="00B47870" w:rsidRPr="008C2E07">
        <w:t xml:space="preserve">hange metric offset </w:t>
      </w:r>
      <w:r w:rsidR="007919AE" w:rsidRPr="008C2E07">
        <w:t xml:space="preserve">the decline in the index scores caused by </w:t>
      </w:r>
      <w:r w:rsidR="004A75A3" w:rsidRPr="008C2E07">
        <w:t xml:space="preserve">a </w:t>
      </w:r>
      <w:r w:rsidR="00B47870" w:rsidRPr="008C2E07">
        <w:t xml:space="preserve">reduction </w:t>
      </w:r>
      <w:r w:rsidR="00B47870" w:rsidRPr="008C2E07">
        <w:lastRenderedPageBreak/>
        <w:t xml:space="preserve">in </w:t>
      </w:r>
      <w:r w:rsidR="00005D6C">
        <w:t>c</w:t>
      </w:r>
      <w:r w:rsidR="00B47870" w:rsidRPr="008C2E07">
        <w:t xml:space="preserve">oral </w:t>
      </w:r>
      <w:r w:rsidR="00005D6C">
        <w:t>c</w:t>
      </w:r>
      <w:r w:rsidR="00B47870" w:rsidRPr="008C2E07">
        <w:t xml:space="preserve">over </w:t>
      </w:r>
      <w:r w:rsidR="004A75A3" w:rsidRPr="008C2E07">
        <w:t xml:space="preserve">as a result of </w:t>
      </w:r>
      <w:r w:rsidR="00B47870" w:rsidRPr="008C2E07">
        <w:t>bleaching in 2017</w:t>
      </w:r>
      <w:r w:rsidR="00B47870" w:rsidRPr="00606B90">
        <w:rPr>
          <w:color w:val="000000" w:themeColor="text1"/>
        </w:rPr>
        <w:t xml:space="preserve">. </w:t>
      </w:r>
      <w:r w:rsidR="009671C9" w:rsidRPr="00606B90">
        <w:rPr>
          <w:color w:val="000000" w:themeColor="text1"/>
        </w:rPr>
        <w:t>In the Johnstone Russell</w:t>
      </w:r>
      <w:r w:rsidR="00005D6C">
        <w:rPr>
          <w:color w:val="000000" w:themeColor="text1"/>
        </w:rPr>
        <w:t>–</w:t>
      </w:r>
      <w:r w:rsidR="009671C9" w:rsidRPr="00606B90">
        <w:rPr>
          <w:color w:val="000000" w:themeColor="text1"/>
        </w:rPr>
        <w:t xml:space="preserve">Mulgrave sub-region the index </w:t>
      </w:r>
      <w:r w:rsidR="00173E5B" w:rsidRPr="00606B90">
        <w:rPr>
          <w:color w:val="000000" w:themeColor="text1"/>
        </w:rPr>
        <w:t xml:space="preserve">declined slightly from the </w:t>
      </w:r>
      <w:r w:rsidR="009671C9" w:rsidRPr="00606B90">
        <w:rPr>
          <w:color w:val="000000" w:themeColor="text1"/>
        </w:rPr>
        <w:t xml:space="preserve">‘good’ categorisation </w:t>
      </w:r>
      <w:r w:rsidR="00173E5B" w:rsidRPr="00606B90">
        <w:rPr>
          <w:color w:val="000000" w:themeColor="text1"/>
        </w:rPr>
        <w:t>in 2016 to ‘moderate’</w:t>
      </w:r>
      <w:r w:rsidR="003A2E80">
        <w:rPr>
          <w:color w:val="000000" w:themeColor="text1"/>
        </w:rPr>
        <w:t xml:space="preserve"> in 2017</w:t>
      </w:r>
      <w:r w:rsidR="00173E5B" w:rsidRPr="00606B90">
        <w:rPr>
          <w:color w:val="000000" w:themeColor="text1"/>
        </w:rPr>
        <w:t xml:space="preserve">. This decline was due primarily to reduced coral cover and density of juvenile corals as a result of bleaching, although ongoing </w:t>
      </w:r>
      <w:r w:rsidR="009671C9" w:rsidRPr="00606B90">
        <w:rPr>
          <w:color w:val="000000" w:themeColor="text1"/>
        </w:rPr>
        <w:t>presence of COTS</w:t>
      </w:r>
      <w:r w:rsidR="00173E5B" w:rsidRPr="00606B90">
        <w:rPr>
          <w:color w:val="000000" w:themeColor="text1"/>
        </w:rPr>
        <w:t xml:space="preserve"> at several reefs will have contributed to these declines. Generally high scores for the </w:t>
      </w:r>
      <w:r w:rsidR="00005D6C">
        <w:rPr>
          <w:color w:val="000000" w:themeColor="text1"/>
        </w:rPr>
        <w:t>m</w:t>
      </w:r>
      <w:r w:rsidR="00173E5B" w:rsidRPr="00606B90">
        <w:rPr>
          <w:color w:val="000000" w:themeColor="text1"/>
        </w:rPr>
        <w:t xml:space="preserve">acroalgae and </w:t>
      </w:r>
      <w:r w:rsidR="00005D6C">
        <w:rPr>
          <w:color w:val="000000" w:themeColor="text1"/>
        </w:rPr>
        <w:t>c</w:t>
      </w:r>
      <w:r w:rsidR="00173E5B" w:rsidRPr="00606B90">
        <w:rPr>
          <w:color w:val="000000" w:themeColor="text1"/>
        </w:rPr>
        <w:t xml:space="preserve">over </w:t>
      </w:r>
      <w:r w:rsidR="00005D6C">
        <w:rPr>
          <w:color w:val="000000" w:themeColor="text1"/>
        </w:rPr>
        <w:t>c</w:t>
      </w:r>
      <w:r w:rsidR="00173E5B" w:rsidRPr="00606B90">
        <w:rPr>
          <w:color w:val="000000" w:themeColor="text1"/>
        </w:rPr>
        <w:t>hange metric</w:t>
      </w:r>
      <w:r w:rsidR="00606B90" w:rsidRPr="00606B90">
        <w:rPr>
          <w:color w:val="000000" w:themeColor="text1"/>
        </w:rPr>
        <w:t xml:space="preserve">, due to </w:t>
      </w:r>
      <w:r w:rsidR="00173E5B" w:rsidRPr="00606B90">
        <w:rPr>
          <w:color w:val="000000" w:themeColor="text1"/>
        </w:rPr>
        <w:t xml:space="preserve">rapid increases in coral cover at reefs not harbouring COTS prior to the bleaching event, </w:t>
      </w:r>
      <w:r w:rsidR="00606B90" w:rsidRPr="00606B90">
        <w:rPr>
          <w:color w:val="000000" w:themeColor="text1"/>
        </w:rPr>
        <w:t>contribute</w:t>
      </w:r>
      <w:r w:rsidR="00A33FAA">
        <w:rPr>
          <w:color w:val="000000" w:themeColor="text1"/>
        </w:rPr>
        <w:t>d</w:t>
      </w:r>
      <w:r w:rsidR="00606B90" w:rsidRPr="00606B90">
        <w:rPr>
          <w:color w:val="000000" w:themeColor="text1"/>
        </w:rPr>
        <w:t xml:space="preserve"> to the maintenance of a moderate index score. </w:t>
      </w:r>
      <w:r w:rsidR="008A37BF" w:rsidRPr="004A75A3">
        <w:rPr>
          <w:color w:val="000000" w:themeColor="text1"/>
        </w:rPr>
        <w:t>In the Barron</w:t>
      </w:r>
      <w:r w:rsidR="00005D6C">
        <w:rPr>
          <w:color w:val="000000" w:themeColor="text1"/>
        </w:rPr>
        <w:t>–</w:t>
      </w:r>
      <w:r w:rsidR="00C93702" w:rsidRPr="004A75A3">
        <w:rPr>
          <w:color w:val="000000" w:themeColor="text1"/>
        </w:rPr>
        <w:t xml:space="preserve">Daintree </w:t>
      </w:r>
      <w:r w:rsidR="00131E09" w:rsidRPr="004A75A3">
        <w:rPr>
          <w:color w:val="000000" w:themeColor="text1"/>
        </w:rPr>
        <w:t>sub-</w:t>
      </w:r>
      <w:r w:rsidR="008A37BF" w:rsidRPr="004A75A3">
        <w:rPr>
          <w:color w:val="000000" w:themeColor="text1"/>
        </w:rPr>
        <w:t xml:space="preserve">region </w:t>
      </w:r>
      <w:r w:rsidR="009229B7" w:rsidRPr="004A75A3">
        <w:rPr>
          <w:color w:val="000000" w:themeColor="text1"/>
        </w:rPr>
        <w:t xml:space="preserve">the impacts of the bleaching event varied markedly between the two reefs surveyed after the event, </w:t>
      </w:r>
      <w:r w:rsidR="00A349DF">
        <w:rPr>
          <w:color w:val="000000" w:themeColor="text1"/>
        </w:rPr>
        <w:t>al</w:t>
      </w:r>
      <w:r w:rsidR="009229B7" w:rsidRPr="004A75A3">
        <w:rPr>
          <w:color w:val="000000" w:themeColor="text1"/>
        </w:rPr>
        <w:t xml:space="preserve">though were sufficient to see a reversal of improving index scores since 2014. Most limiting to coral community condition in </w:t>
      </w:r>
      <w:r w:rsidR="003A2E80">
        <w:rPr>
          <w:color w:val="000000" w:themeColor="text1"/>
        </w:rPr>
        <w:t>the Barron</w:t>
      </w:r>
      <w:r w:rsidR="00005D6C">
        <w:rPr>
          <w:color w:val="000000" w:themeColor="text1"/>
        </w:rPr>
        <w:t>–</w:t>
      </w:r>
      <w:r w:rsidR="003A2E80">
        <w:rPr>
          <w:color w:val="000000" w:themeColor="text1"/>
        </w:rPr>
        <w:t xml:space="preserve">Daintree sub-region in </w:t>
      </w:r>
      <w:r w:rsidR="009229B7" w:rsidRPr="004A75A3">
        <w:rPr>
          <w:color w:val="000000" w:themeColor="text1"/>
        </w:rPr>
        <w:t xml:space="preserve">2017 </w:t>
      </w:r>
      <w:r w:rsidR="004A75A3" w:rsidRPr="004A75A3">
        <w:rPr>
          <w:color w:val="000000" w:themeColor="text1"/>
        </w:rPr>
        <w:t>we</w:t>
      </w:r>
      <w:r w:rsidR="009229B7" w:rsidRPr="004A75A3">
        <w:rPr>
          <w:color w:val="000000" w:themeColor="text1"/>
        </w:rPr>
        <w:t xml:space="preserve">re low scores for </w:t>
      </w:r>
      <w:r w:rsidR="00005D6C">
        <w:rPr>
          <w:color w:val="000000" w:themeColor="text1"/>
        </w:rPr>
        <w:t>m</w:t>
      </w:r>
      <w:r w:rsidR="00846F96" w:rsidRPr="004A75A3">
        <w:rPr>
          <w:color w:val="000000" w:themeColor="text1"/>
        </w:rPr>
        <w:t>acroalgae</w:t>
      </w:r>
      <w:r w:rsidR="004A75A3" w:rsidRPr="004A75A3">
        <w:rPr>
          <w:color w:val="000000" w:themeColor="text1"/>
        </w:rPr>
        <w:t xml:space="preserve"> and </w:t>
      </w:r>
      <w:r w:rsidR="00005D6C">
        <w:rPr>
          <w:color w:val="000000" w:themeColor="text1"/>
        </w:rPr>
        <w:t>j</w:t>
      </w:r>
      <w:r w:rsidR="004A75A3" w:rsidRPr="004A75A3">
        <w:rPr>
          <w:color w:val="000000" w:themeColor="text1"/>
        </w:rPr>
        <w:t xml:space="preserve">uvenile coral metrics </w:t>
      </w:r>
      <w:r w:rsidR="009229B7" w:rsidRPr="004A75A3">
        <w:rPr>
          <w:color w:val="000000" w:themeColor="text1"/>
        </w:rPr>
        <w:t>around Snapper Island</w:t>
      </w:r>
      <w:r w:rsidR="004A75A3" w:rsidRPr="004A75A3">
        <w:rPr>
          <w:color w:val="000000" w:themeColor="text1"/>
        </w:rPr>
        <w:t xml:space="preserve"> </w:t>
      </w:r>
      <w:r w:rsidR="003A2E80">
        <w:rPr>
          <w:color w:val="000000" w:themeColor="text1"/>
        </w:rPr>
        <w:t>suggesting a potential suppression of coral recruitment as a result of high nutrient availability.</w:t>
      </w:r>
    </w:p>
    <w:p w14:paraId="0CB18E64" w14:textId="1D5127E0" w:rsidR="0001199E" w:rsidRPr="00C976D1" w:rsidRDefault="00527E48" w:rsidP="00D2045F">
      <w:r w:rsidRPr="00D36D58">
        <w:rPr>
          <w:rFonts w:cs="Arial"/>
          <w:color w:val="000000" w:themeColor="text1"/>
        </w:rPr>
        <w:t xml:space="preserve">Impacts of </w:t>
      </w:r>
      <w:r w:rsidR="00D36D58" w:rsidRPr="00D36D58">
        <w:rPr>
          <w:rFonts w:cs="Arial"/>
          <w:color w:val="000000" w:themeColor="text1"/>
        </w:rPr>
        <w:t xml:space="preserve">coral bleaching in the </w:t>
      </w:r>
      <w:r w:rsidR="00D36D58" w:rsidRPr="00D36D58">
        <w:rPr>
          <w:rFonts w:cs="Arial"/>
          <w:b/>
          <w:color w:val="000000" w:themeColor="text1"/>
        </w:rPr>
        <w:t xml:space="preserve">Burdekin </w:t>
      </w:r>
      <w:r w:rsidR="00DD6C5A">
        <w:rPr>
          <w:rFonts w:cs="Arial"/>
          <w:b/>
          <w:color w:val="000000" w:themeColor="text1"/>
        </w:rPr>
        <w:t>r</w:t>
      </w:r>
      <w:r w:rsidR="00D36D58" w:rsidRPr="00D36D58">
        <w:rPr>
          <w:rFonts w:cs="Arial"/>
          <w:b/>
          <w:color w:val="000000" w:themeColor="text1"/>
        </w:rPr>
        <w:t>egion</w:t>
      </w:r>
      <w:r w:rsidR="00F24C14">
        <w:rPr>
          <w:rFonts w:cs="Arial"/>
          <w:color w:val="000000" w:themeColor="text1"/>
        </w:rPr>
        <w:t xml:space="preserve"> in 2017 interrupted</w:t>
      </w:r>
      <w:r w:rsidR="00D36D58" w:rsidRPr="00D36D58">
        <w:rPr>
          <w:rFonts w:cs="Arial"/>
          <w:color w:val="000000" w:themeColor="text1"/>
        </w:rPr>
        <w:t xml:space="preserve"> improvement</w:t>
      </w:r>
      <w:r w:rsidR="00F24C14">
        <w:rPr>
          <w:rFonts w:cs="Arial"/>
          <w:color w:val="000000" w:themeColor="text1"/>
        </w:rPr>
        <w:t>s</w:t>
      </w:r>
      <w:r w:rsidR="00D36D58" w:rsidRPr="00D36D58">
        <w:rPr>
          <w:rFonts w:cs="Arial"/>
          <w:color w:val="000000" w:themeColor="text1"/>
        </w:rPr>
        <w:t xml:space="preserve"> in the coral index </w:t>
      </w:r>
      <w:r w:rsidR="00F24C14">
        <w:rPr>
          <w:rFonts w:cs="Arial"/>
          <w:color w:val="000000" w:themeColor="text1"/>
        </w:rPr>
        <w:t xml:space="preserve">over the period </w:t>
      </w:r>
      <w:r w:rsidR="00D36D58" w:rsidRPr="00D36D58">
        <w:rPr>
          <w:rFonts w:cs="Arial"/>
          <w:color w:val="000000" w:themeColor="text1"/>
        </w:rPr>
        <w:t xml:space="preserve">2012 and 2016 </w:t>
      </w:r>
      <w:r w:rsidR="009C028F" w:rsidRPr="00D36D58">
        <w:rPr>
          <w:rFonts w:cs="Arial"/>
          <w:color w:val="000000" w:themeColor="text1"/>
        </w:rPr>
        <w:t>(</w:t>
      </w:r>
      <w:r w:rsidR="004A2C55" w:rsidRPr="00D36D58">
        <w:rPr>
          <w:rFonts w:cs="Arial"/>
          <w:color w:val="000000" w:themeColor="text1"/>
        </w:rPr>
        <w:fldChar w:fldCharType="begin"/>
      </w:r>
      <w:r w:rsidR="004A2C55" w:rsidRPr="00D36D58">
        <w:rPr>
          <w:rFonts w:cs="Arial"/>
          <w:color w:val="000000" w:themeColor="text1"/>
        </w:rPr>
        <w:instrText xml:space="preserve"> REF _Ref491090713 \h </w:instrText>
      </w:r>
      <w:r w:rsidR="004A2C55" w:rsidRPr="00D36D58">
        <w:rPr>
          <w:rFonts w:cs="Arial"/>
          <w:color w:val="000000" w:themeColor="text1"/>
        </w:rPr>
      </w:r>
      <w:r w:rsidR="004A2C55" w:rsidRPr="00D36D58">
        <w:rPr>
          <w:rFonts w:cs="Arial"/>
          <w:color w:val="000000" w:themeColor="text1"/>
        </w:rPr>
        <w:fldChar w:fldCharType="separate"/>
      </w:r>
      <w:r w:rsidR="00A75175" w:rsidRPr="00F352E1">
        <w:t xml:space="preserve">Figure </w:t>
      </w:r>
      <w:r w:rsidR="00A75175">
        <w:rPr>
          <w:noProof/>
        </w:rPr>
        <w:t>1</w:t>
      </w:r>
      <w:r w:rsidR="004A2C55" w:rsidRPr="00D36D58">
        <w:rPr>
          <w:rFonts w:cs="Arial"/>
          <w:color w:val="000000" w:themeColor="text1"/>
        </w:rPr>
        <w:fldChar w:fldCharType="end"/>
      </w:r>
      <w:r w:rsidR="009C028F" w:rsidRPr="00D36D58">
        <w:rPr>
          <w:rFonts w:cs="Arial"/>
          <w:color w:val="000000" w:themeColor="text1"/>
        </w:rPr>
        <w:t>)</w:t>
      </w:r>
      <w:r w:rsidR="00C37013" w:rsidRPr="00D36D58">
        <w:rPr>
          <w:rFonts w:cs="Arial"/>
          <w:color w:val="000000" w:themeColor="text1"/>
        </w:rPr>
        <w:t>.</w:t>
      </w:r>
      <w:r w:rsidR="00EE0FED" w:rsidRPr="00D36D58">
        <w:rPr>
          <w:rFonts w:cs="Arial"/>
          <w:color w:val="000000" w:themeColor="text1"/>
        </w:rPr>
        <w:t xml:space="preserve"> </w:t>
      </w:r>
      <w:r w:rsidR="00F24C14" w:rsidRPr="007772EB">
        <w:rPr>
          <w:rFonts w:cs="Arial"/>
          <w:color w:val="000000" w:themeColor="text1"/>
        </w:rPr>
        <w:t xml:space="preserve">After controlling for the influence of acute disturbance events (in particular </w:t>
      </w:r>
      <w:r w:rsidR="00B46783">
        <w:rPr>
          <w:rFonts w:cs="Arial"/>
          <w:color w:val="000000" w:themeColor="text1"/>
        </w:rPr>
        <w:t>c</w:t>
      </w:r>
      <w:r w:rsidR="00F24C14" w:rsidRPr="007772EB">
        <w:rPr>
          <w:rFonts w:cs="Arial"/>
          <w:color w:val="000000" w:themeColor="text1"/>
        </w:rPr>
        <w:t xml:space="preserve">yclones) the </w:t>
      </w:r>
      <w:r w:rsidR="007772EB" w:rsidRPr="007772EB">
        <w:rPr>
          <w:rFonts w:cs="Arial"/>
          <w:color w:val="000000" w:themeColor="text1"/>
        </w:rPr>
        <w:t xml:space="preserve">rate of </w:t>
      </w:r>
      <w:r w:rsidR="00F24C14" w:rsidRPr="007772EB">
        <w:rPr>
          <w:rFonts w:cs="Arial"/>
          <w:color w:val="000000" w:themeColor="text1"/>
        </w:rPr>
        <w:t xml:space="preserve">improvement in index scores </w:t>
      </w:r>
      <w:r w:rsidR="007772EB" w:rsidRPr="007772EB">
        <w:rPr>
          <w:rFonts w:cs="Arial"/>
          <w:color w:val="000000" w:themeColor="text1"/>
        </w:rPr>
        <w:t>in this region ha</w:t>
      </w:r>
      <w:r w:rsidR="00A33FAA">
        <w:rPr>
          <w:rFonts w:cs="Arial"/>
          <w:color w:val="000000" w:themeColor="text1"/>
        </w:rPr>
        <w:t>s</w:t>
      </w:r>
      <w:r w:rsidR="007772EB" w:rsidRPr="007772EB">
        <w:rPr>
          <w:rFonts w:cs="Arial"/>
          <w:color w:val="000000" w:themeColor="text1"/>
        </w:rPr>
        <w:t xml:space="preserve"> been </w:t>
      </w:r>
      <w:r w:rsidR="00F24C14" w:rsidRPr="007772EB">
        <w:rPr>
          <w:rFonts w:cs="Arial"/>
          <w:color w:val="000000" w:themeColor="text1"/>
        </w:rPr>
        <w:t>inversely related to discharge from the region</w:t>
      </w:r>
      <w:r w:rsidR="00005D6C">
        <w:rPr>
          <w:rFonts w:cs="Arial"/>
          <w:color w:val="000000" w:themeColor="text1"/>
        </w:rPr>
        <w:t>’</w:t>
      </w:r>
      <w:r w:rsidR="00F24C14" w:rsidRPr="007772EB">
        <w:rPr>
          <w:rFonts w:cs="Arial"/>
          <w:color w:val="000000" w:themeColor="text1"/>
        </w:rPr>
        <w:t xml:space="preserve">s rivers. </w:t>
      </w:r>
      <w:r w:rsidRPr="00F24C14">
        <w:rPr>
          <w:rFonts w:cs="Arial"/>
          <w:color w:val="000000" w:themeColor="text1"/>
        </w:rPr>
        <w:t xml:space="preserve">Increases in the </w:t>
      </w:r>
      <w:r w:rsidR="00EE0FED" w:rsidRPr="00F24C14">
        <w:rPr>
          <w:rFonts w:cs="Arial"/>
          <w:color w:val="000000" w:themeColor="text1"/>
        </w:rPr>
        <w:t xml:space="preserve">coral index </w:t>
      </w:r>
      <w:r w:rsidRPr="00F24C14">
        <w:rPr>
          <w:rFonts w:cs="Arial"/>
          <w:color w:val="000000" w:themeColor="text1"/>
        </w:rPr>
        <w:t xml:space="preserve">were driven by </w:t>
      </w:r>
      <w:r w:rsidR="00F24C14" w:rsidRPr="00F24C14">
        <w:rPr>
          <w:rFonts w:cs="Arial"/>
          <w:color w:val="000000" w:themeColor="text1"/>
        </w:rPr>
        <w:t xml:space="preserve">improving </w:t>
      </w:r>
      <w:r w:rsidR="00005D6C">
        <w:rPr>
          <w:rFonts w:cs="Arial"/>
          <w:color w:val="000000" w:themeColor="text1"/>
        </w:rPr>
        <w:t>c</w:t>
      </w:r>
      <w:r w:rsidRPr="00F24C14">
        <w:rPr>
          <w:rFonts w:cs="Arial"/>
          <w:color w:val="000000" w:themeColor="text1"/>
        </w:rPr>
        <w:t xml:space="preserve">oral </w:t>
      </w:r>
      <w:r w:rsidR="00005D6C">
        <w:rPr>
          <w:rFonts w:cs="Arial"/>
          <w:color w:val="000000" w:themeColor="text1"/>
        </w:rPr>
        <w:t>c</w:t>
      </w:r>
      <w:r w:rsidR="00A33FAA" w:rsidRPr="00F24C14">
        <w:rPr>
          <w:rFonts w:cs="Arial"/>
          <w:color w:val="000000" w:themeColor="text1"/>
        </w:rPr>
        <w:t xml:space="preserve">over </w:t>
      </w:r>
      <w:r w:rsidR="00F24C14" w:rsidRPr="00F24C14">
        <w:rPr>
          <w:rFonts w:cs="Arial"/>
          <w:color w:val="000000" w:themeColor="text1"/>
        </w:rPr>
        <w:t xml:space="preserve">scores </w:t>
      </w:r>
      <w:r w:rsidR="00EE0FED" w:rsidRPr="00F24C14">
        <w:rPr>
          <w:rFonts w:cs="Arial"/>
          <w:color w:val="000000" w:themeColor="text1"/>
        </w:rPr>
        <w:t>at both 2 m and 5 m depths</w:t>
      </w:r>
      <w:r w:rsidR="00E8312B" w:rsidRPr="00F24C14">
        <w:rPr>
          <w:rFonts w:cs="Arial"/>
          <w:color w:val="000000" w:themeColor="text1"/>
        </w:rPr>
        <w:t xml:space="preserve"> and a gradual return of genera sensitive to water quality (improved </w:t>
      </w:r>
      <w:r w:rsidR="00005D6C">
        <w:rPr>
          <w:rFonts w:cs="Arial"/>
          <w:color w:val="000000" w:themeColor="text1"/>
        </w:rPr>
        <w:t>c</w:t>
      </w:r>
      <w:r w:rsidR="00E8312B" w:rsidRPr="00F24C14">
        <w:rPr>
          <w:rFonts w:cs="Arial"/>
          <w:color w:val="000000" w:themeColor="text1"/>
        </w:rPr>
        <w:t xml:space="preserve">omposition scores). </w:t>
      </w:r>
      <w:r w:rsidR="00131E09" w:rsidRPr="00F24C14">
        <w:rPr>
          <w:rFonts w:cs="Arial"/>
          <w:color w:val="000000" w:themeColor="text1"/>
        </w:rPr>
        <w:t xml:space="preserve">Although </w:t>
      </w:r>
      <w:r w:rsidR="00005D6C">
        <w:rPr>
          <w:rFonts w:cs="Arial"/>
          <w:color w:val="000000" w:themeColor="text1"/>
        </w:rPr>
        <w:t>c</w:t>
      </w:r>
      <w:r w:rsidR="00131E09" w:rsidRPr="00F24C14">
        <w:rPr>
          <w:rFonts w:cs="Arial"/>
          <w:color w:val="000000" w:themeColor="text1"/>
        </w:rPr>
        <w:t xml:space="preserve">oral </w:t>
      </w:r>
      <w:r w:rsidR="00005D6C">
        <w:rPr>
          <w:rFonts w:cs="Arial"/>
          <w:color w:val="000000" w:themeColor="text1"/>
        </w:rPr>
        <w:t>c</w:t>
      </w:r>
      <w:r w:rsidR="00A33FAA" w:rsidRPr="00F24C14">
        <w:rPr>
          <w:rFonts w:cs="Arial"/>
          <w:color w:val="000000" w:themeColor="text1"/>
        </w:rPr>
        <w:t>over</w:t>
      </w:r>
      <w:r w:rsidRPr="00F24C14">
        <w:rPr>
          <w:rFonts w:cs="Arial"/>
          <w:color w:val="000000" w:themeColor="text1"/>
        </w:rPr>
        <w:t>,</w:t>
      </w:r>
      <w:r w:rsidR="00131E09" w:rsidRPr="00F24C14">
        <w:rPr>
          <w:rFonts w:cs="Arial"/>
          <w:color w:val="000000" w:themeColor="text1"/>
        </w:rPr>
        <w:t xml:space="preserve"> increased </w:t>
      </w:r>
      <w:r w:rsidR="00F24C14" w:rsidRPr="00F24C14">
        <w:rPr>
          <w:rFonts w:cs="Arial"/>
          <w:color w:val="000000" w:themeColor="text1"/>
        </w:rPr>
        <w:t>through to 2016</w:t>
      </w:r>
      <w:r w:rsidR="00164F3F">
        <w:rPr>
          <w:rFonts w:cs="Arial"/>
          <w:color w:val="000000" w:themeColor="text1"/>
        </w:rPr>
        <w:t>,</w:t>
      </w:r>
      <w:r w:rsidR="00F24C14" w:rsidRPr="00F24C14">
        <w:rPr>
          <w:rFonts w:cs="Arial"/>
          <w:color w:val="000000" w:themeColor="text1"/>
        </w:rPr>
        <w:t xml:space="preserve"> </w:t>
      </w:r>
      <w:r w:rsidR="00131E09" w:rsidRPr="00F24C14">
        <w:rPr>
          <w:rFonts w:cs="Arial"/>
          <w:color w:val="000000" w:themeColor="text1"/>
        </w:rPr>
        <w:t xml:space="preserve">the legacy of cumulative pressures </w:t>
      </w:r>
      <w:r w:rsidR="00F24C14" w:rsidRPr="00F24C14">
        <w:rPr>
          <w:rFonts w:cs="Arial"/>
          <w:color w:val="000000" w:themeColor="text1"/>
        </w:rPr>
        <w:t xml:space="preserve">in addition to losses incurred as a result of high water temperatures over the </w:t>
      </w:r>
      <w:r w:rsidR="00F24C14" w:rsidRPr="00C976D1">
        <w:rPr>
          <w:rFonts w:cs="Arial"/>
          <w:color w:val="000000" w:themeColor="text1"/>
        </w:rPr>
        <w:t>20</w:t>
      </w:r>
      <w:r w:rsidR="005D78F2" w:rsidRPr="00C976D1">
        <w:rPr>
          <w:rFonts w:cs="Arial"/>
          <w:color w:val="000000" w:themeColor="text1"/>
        </w:rPr>
        <w:t>1</w:t>
      </w:r>
      <w:r w:rsidR="00F24C14" w:rsidRPr="00C976D1">
        <w:rPr>
          <w:rFonts w:cs="Arial"/>
          <w:color w:val="000000" w:themeColor="text1"/>
        </w:rPr>
        <w:t>6</w:t>
      </w:r>
      <w:r w:rsidR="00C976D1" w:rsidRPr="00C976D1">
        <w:rPr>
          <w:rFonts w:cs="Arial"/>
          <w:color w:val="333333"/>
          <w:sz w:val="18"/>
          <w:szCs w:val="18"/>
          <w:lang w:val="en"/>
        </w:rPr>
        <w:t>–</w:t>
      </w:r>
      <w:r w:rsidR="00F24C14" w:rsidRPr="00C976D1">
        <w:rPr>
          <w:rFonts w:cs="Arial"/>
          <w:color w:val="000000" w:themeColor="text1"/>
        </w:rPr>
        <w:t>17</w:t>
      </w:r>
      <w:r w:rsidR="001B2932">
        <w:rPr>
          <w:rFonts w:cs="Arial"/>
          <w:color w:val="000000" w:themeColor="text1"/>
        </w:rPr>
        <w:t xml:space="preserve"> summer</w:t>
      </w:r>
      <w:r w:rsidR="007772EB">
        <w:rPr>
          <w:rFonts w:cs="Arial"/>
          <w:color w:val="000000" w:themeColor="text1"/>
        </w:rPr>
        <w:t>,</w:t>
      </w:r>
      <w:r w:rsidR="00F24C14" w:rsidRPr="00F24C14">
        <w:rPr>
          <w:rFonts w:cs="Arial"/>
          <w:color w:val="000000" w:themeColor="text1"/>
        </w:rPr>
        <w:t xml:space="preserve"> sees the score for th</w:t>
      </w:r>
      <w:r w:rsidR="00B56F92" w:rsidRPr="00F24C14">
        <w:rPr>
          <w:rFonts w:cs="Arial"/>
          <w:color w:val="000000" w:themeColor="text1"/>
        </w:rPr>
        <w:t>is indictor remain</w:t>
      </w:r>
      <w:r w:rsidR="00F24C14" w:rsidRPr="00F24C14">
        <w:rPr>
          <w:rFonts w:cs="Arial"/>
          <w:color w:val="000000" w:themeColor="text1"/>
        </w:rPr>
        <w:t xml:space="preserve">ing </w:t>
      </w:r>
      <w:r w:rsidR="00B56F92" w:rsidRPr="00F24C14">
        <w:rPr>
          <w:rFonts w:cs="Arial"/>
          <w:color w:val="000000" w:themeColor="text1"/>
        </w:rPr>
        <w:t>poor.</w:t>
      </w:r>
      <w:r w:rsidR="00131E09" w:rsidRPr="00F24C14">
        <w:rPr>
          <w:rFonts w:cs="Arial"/>
          <w:color w:val="000000" w:themeColor="text1"/>
        </w:rPr>
        <w:t xml:space="preserve"> </w:t>
      </w:r>
      <w:r w:rsidR="00EE0FED" w:rsidRPr="00F24C14">
        <w:rPr>
          <w:rFonts w:cs="Arial"/>
          <w:color w:val="000000" w:themeColor="text1"/>
        </w:rPr>
        <w:t xml:space="preserve">Persistently high cover of macroalgae on the reefs </w:t>
      </w:r>
      <w:r w:rsidR="00E616D7" w:rsidRPr="00F24C14">
        <w:rPr>
          <w:rFonts w:cs="Arial"/>
          <w:color w:val="000000" w:themeColor="text1"/>
        </w:rPr>
        <w:t>also continue</w:t>
      </w:r>
      <w:r w:rsidR="00E616D7">
        <w:rPr>
          <w:rFonts w:cs="Arial"/>
          <w:color w:val="000000" w:themeColor="text1"/>
        </w:rPr>
        <w:t>d</w:t>
      </w:r>
      <w:r w:rsidR="00E616D7" w:rsidRPr="00F24C14">
        <w:rPr>
          <w:rFonts w:cs="Arial"/>
          <w:color w:val="000000" w:themeColor="text1"/>
        </w:rPr>
        <w:t xml:space="preserve"> to limit index scores</w:t>
      </w:r>
      <w:r w:rsidR="00E616D7">
        <w:rPr>
          <w:rFonts w:cs="Arial"/>
          <w:color w:val="000000" w:themeColor="text1"/>
        </w:rPr>
        <w:t>. These reefs also had the</w:t>
      </w:r>
      <w:r w:rsidR="00EE0FED" w:rsidRPr="00F24C14">
        <w:rPr>
          <w:rFonts w:cs="Arial"/>
          <w:color w:val="000000" w:themeColor="text1"/>
        </w:rPr>
        <w:t xml:space="preserve"> highest </w:t>
      </w:r>
      <w:r w:rsidR="00E616D7">
        <w:rPr>
          <w:rFonts w:cs="Arial"/>
          <w:color w:val="000000" w:themeColor="text1"/>
        </w:rPr>
        <w:t xml:space="preserve">chlorophyll </w:t>
      </w:r>
      <w:r w:rsidR="00E616D7" w:rsidRPr="008B2C03">
        <w:rPr>
          <w:rFonts w:cs="Arial"/>
          <w:i/>
          <w:color w:val="000000" w:themeColor="text1"/>
        </w:rPr>
        <w:t>a</w:t>
      </w:r>
      <w:r w:rsidR="00E616D7">
        <w:rPr>
          <w:rFonts w:cs="Arial"/>
          <w:color w:val="000000" w:themeColor="text1"/>
        </w:rPr>
        <w:t xml:space="preserve"> </w:t>
      </w:r>
      <w:r w:rsidR="00EE0FED" w:rsidRPr="00F24C14">
        <w:rPr>
          <w:rFonts w:cs="Arial"/>
          <w:color w:val="000000" w:themeColor="text1"/>
        </w:rPr>
        <w:t>concentrations</w:t>
      </w:r>
      <w:r w:rsidR="00E8312B" w:rsidRPr="00F24C14">
        <w:rPr>
          <w:rFonts w:cs="Arial"/>
          <w:color w:val="000000" w:themeColor="text1"/>
        </w:rPr>
        <w:t xml:space="preserve"> </w:t>
      </w:r>
      <w:r w:rsidR="00E616D7">
        <w:rPr>
          <w:rFonts w:cs="Arial"/>
          <w:color w:val="000000" w:themeColor="text1"/>
        </w:rPr>
        <w:t>in the water column</w:t>
      </w:r>
      <w:r w:rsidR="00F24C14" w:rsidRPr="00F24C14">
        <w:rPr>
          <w:rFonts w:cs="Arial"/>
          <w:color w:val="000000" w:themeColor="text1"/>
        </w:rPr>
        <w:t>.</w:t>
      </w:r>
      <w:r w:rsidR="001C28D6" w:rsidRPr="00F24C14">
        <w:rPr>
          <w:rFonts w:cs="Arial"/>
          <w:color w:val="000000" w:themeColor="text1"/>
        </w:rPr>
        <w:t xml:space="preserve"> </w:t>
      </w:r>
      <w:r w:rsidR="00E616D7">
        <w:rPr>
          <w:rFonts w:cs="Arial"/>
          <w:color w:val="000000" w:themeColor="text1"/>
        </w:rPr>
        <w:t xml:space="preserve">Moderating </w:t>
      </w:r>
      <w:r w:rsidR="001B2932">
        <w:rPr>
          <w:rFonts w:cs="Arial"/>
          <w:color w:val="000000" w:themeColor="text1"/>
        </w:rPr>
        <w:t xml:space="preserve">the </w:t>
      </w:r>
      <w:r w:rsidR="006A1C77">
        <w:rPr>
          <w:rFonts w:cs="Arial"/>
          <w:color w:val="000000" w:themeColor="text1"/>
        </w:rPr>
        <w:t>signal</w:t>
      </w:r>
      <w:r w:rsidR="00E616D7">
        <w:rPr>
          <w:rFonts w:cs="Arial"/>
          <w:color w:val="000000" w:themeColor="text1"/>
        </w:rPr>
        <w:t xml:space="preserve"> </w:t>
      </w:r>
      <w:r w:rsidR="001B2932">
        <w:rPr>
          <w:rFonts w:cs="Arial"/>
          <w:color w:val="000000" w:themeColor="text1"/>
        </w:rPr>
        <w:t>of the</w:t>
      </w:r>
      <w:r w:rsidR="007772EB">
        <w:rPr>
          <w:rFonts w:cs="Arial"/>
          <w:color w:val="000000" w:themeColor="text1"/>
        </w:rPr>
        <w:t xml:space="preserve"> 2017 bleaching event</w:t>
      </w:r>
      <w:r w:rsidR="001B2932">
        <w:rPr>
          <w:rFonts w:cs="Arial"/>
          <w:color w:val="000000" w:themeColor="text1"/>
        </w:rPr>
        <w:t xml:space="preserve"> </w:t>
      </w:r>
      <w:r w:rsidR="006A1C77">
        <w:rPr>
          <w:rFonts w:cs="Arial"/>
          <w:color w:val="000000" w:themeColor="text1"/>
        </w:rPr>
        <w:t xml:space="preserve">in the </w:t>
      </w:r>
      <w:r w:rsidR="001B2932">
        <w:rPr>
          <w:rFonts w:cs="Arial"/>
          <w:color w:val="000000" w:themeColor="text1"/>
        </w:rPr>
        <w:t>index scores were improvement</w:t>
      </w:r>
      <w:r w:rsidR="006A1C77">
        <w:rPr>
          <w:rFonts w:cs="Arial"/>
          <w:color w:val="000000" w:themeColor="text1"/>
        </w:rPr>
        <w:t>s</w:t>
      </w:r>
      <w:r w:rsidR="001B2932">
        <w:rPr>
          <w:rFonts w:cs="Arial"/>
          <w:color w:val="000000" w:themeColor="text1"/>
        </w:rPr>
        <w:t xml:space="preserve"> in the </w:t>
      </w:r>
      <w:r w:rsidR="00005D6C">
        <w:rPr>
          <w:rFonts w:cs="Arial"/>
          <w:color w:val="000000" w:themeColor="text1"/>
        </w:rPr>
        <w:t>c</w:t>
      </w:r>
      <w:r w:rsidR="001B2932">
        <w:rPr>
          <w:rFonts w:cs="Arial"/>
          <w:color w:val="000000" w:themeColor="text1"/>
        </w:rPr>
        <w:t xml:space="preserve">over </w:t>
      </w:r>
      <w:r w:rsidR="00005D6C">
        <w:rPr>
          <w:rFonts w:cs="Arial"/>
          <w:color w:val="000000" w:themeColor="text1"/>
        </w:rPr>
        <w:t>c</w:t>
      </w:r>
      <w:r w:rsidR="001B2932">
        <w:rPr>
          <w:rFonts w:cs="Arial"/>
          <w:color w:val="000000" w:themeColor="text1"/>
        </w:rPr>
        <w:t>hange metric</w:t>
      </w:r>
      <w:r w:rsidR="008B2C03">
        <w:rPr>
          <w:rFonts w:cs="Arial"/>
          <w:color w:val="000000" w:themeColor="text1"/>
        </w:rPr>
        <w:t>,</w:t>
      </w:r>
      <w:r w:rsidR="001B2932">
        <w:rPr>
          <w:rFonts w:cs="Arial"/>
          <w:color w:val="000000" w:themeColor="text1"/>
        </w:rPr>
        <w:t xml:space="preserve"> due to pre-bleaching recovery </w:t>
      </w:r>
      <w:r w:rsidR="008B2C03">
        <w:rPr>
          <w:rFonts w:cs="Arial"/>
          <w:color w:val="000000" w:themeColor="text1"/>
        </w:rPr>
        <w:t xml:space="preserve">of coral cover, and the yet to be assessed </w:t>
      </w:r>
      <w:r w:rsidR="001B2932">
        <w:rPr>
          <w:rFonts w:cs="Arial"/>
          <w:color w:val="000000" w:themeColor="text1"/>
        </w:rPr>
        <w:t>impact</w:t>
      </w:r>
      <w:r w:rsidR="008B2C03">
        <w:rPr>
          <w:rFonts w:cs="Arial"/>
          <w:color w:val="000000" w:themeColor="text1"/>
        </w:rPr>
        <w:t>s</w:t>
      </w:r>
      <w:r w:rsidR="001B2932">
        <w:rPr>
          <w:rFonts w:cs="Arial"/>
          <w:color w:val="000000" w:themeColor="text1"/>
        </w:rPr>
        <w:t xml:space="preserve"> </w:t>
      </w:r>
      <w:r w:rsidR="008B2C03">
        <w:rPr>
          <w:rFonts w:cs="Arial"/>
          <w:color w:val="000000" w:themeColor="text1"/>
        </w:rPr>
        <w:t>of the 2017 bleaching event at seven of the fifteen reef and depth combinations that contribute to the index.</w:t>
      </w:r>
    </w:p>
    <w:p w14:paraId="12B04FD9" w14:textId="1D9151E7" w:rsidR="0001199E" w:rsidRPr="002C5D7E" w:rsidRDefault="0001199E" w:rsidP="00D2045F">
      <w:pPr>
        <w:rPr>
          <w:color w:val="000000" w:themeColor="text1"/>
        </w:rPr>
      </w:pPr>
      <w:r w:rsidRPr="0039132A">
        <w:rPr>
          <w:color w:val="000000" w:themeColor="text1"/>
        </w:rPr>
        <w:t xml:space="preserve">The coral index in the </w:t>
      </w:r>
      <w:r w:rsidRPr="0039132A">
        <w:rPr>
          <w:b/>
          <w:color w:val="000000" w:themeColor="text1"/>
        </w:rPr>
        <w:t>Mackay</w:t>
      </w:r>
      <w:r w:rsidR="00005D6C">
        <w:rPr>
          <w:b/>
          <w:color w:val="000000" w:themeColor="text1"/>
        </w:rPr>
        <w:t>–</w:t>
      </w:r>
      <w:r w:rsidRPr="0039132A">
        <w:rPr>
          <w:b/>
          <w:color w:val="000000" w:themeColor="text1"/>
        </w:rPr>
        <w:t xml:space="preserve">Whitsunday </w:t>
      </w:r>
      <w:r w:rsidR="00DD6C5A">
        <w:rPr>
          <w:b/>
          <w:color w:val="000000" w:themeColor="text1"/>
        </w:rPr>
        <w:t>r</w:t>
      </w:r>
      <w:r w:rsidRPr="0039132A">
        <w:rPr>
          <w:b/>
          <w:color w:val="000000" w:themeColor="text1"/>
        </w:rPr>
        <w:t>egion</w:t>
      </w:r>
      <w:r w:rsidR="001B2932" w:rsidRPr="0039132A">
        <w:rPr>
          <w:color w:val="000000" w:themeColor="text1"/>
        </w:rPr>
        <w:t xml:space="preserve"> declined sharply in 2017 as a result of the severe impact</w:t>
      </w:r>
      <w:r w:rsidR="0039132A" w:rsidRPr="0039132A">
        <w:rPr>
          <w:color w:val="000000" w:themeColor="text1"/>
        </w:rPr>
        <w:t xml:space="preserve"> associated with </w:t>
      </w:r>
      <w:r w:rsidR="00B46783">
        <w:rPr>
          <w:color w:val="000000" w:themeColor="text1"/>
        </w:rPr>
        <w:t>c</w:t>
      </w:r>
      <w:r w:rsidR="0039132A" w:rsidRPr="0039132A">
        <w:rPr>
          <w:color w:val="000000" w:themeColor="text1"/>
        </w:rPr>
        <w:t xml:space="preserve">yclone Debbie. The impact of </w:t>
      </w:r>
      <w:r w:rsidR="00C976D1">
        <w:rPr>
          <w:color w:val="000000" w:themeColor="text1"/>
        </w:rPr>
        <w:t>c</w:t>
      </w:r>
      <w:r w:rsidR="0039132A" w:rsidRPr="0039132A">
        <w:rPr>
          <w:color w:val="000000" w:themeColor="text1"/>
        </w:rPr>
        <w:t xml:space="preserve">yclone Debbie returned the index score to ‘moderate’, effectively negating improvements in the index since 2012 as reefs recovered </w:t>
      </w:r>
      <w:r w:rsidR="0039132A">
        <w:rPr>
          <w:color w:val="000000" w:themeColor="text1"/>
        </w:rPr>
        <w:t>from</w:t>
      </w:r>
      <w:r w:rsidR="0039132A" w:rsidRPr="0039132A">
        <w:rPr>
          <w:color w:val="000000" w:themeColor="text1"/>
        </w:rPr>
        <w:t xml:space="preserve"> impact</w:t>
      </w:r>
      <w:r w:rsidR="0039132A">
        <w:rPr>
          <w:color w:val="000000" w:themeColor="text1"/>
        </w:rPr>
        <w:t>s</w:t>
      </w:r>
      <w:r w:rsidR="0039132A" w:rsidRPr="0039132A">
        <w:rPr>
          <w:color w:val="000000" w:themeColor="text1"/>
        </w:rPr>
        <w:t xml:space="preserve"> </w:t>
      </w:r>
      <w:r w:rsidR="0039132A">
        <w:rPr>
          <w:color w:val="000000" w:themeColor="text1"/>
        </w:rPr>
        <w:t xml:space="preserve">attributed to </w:t>
      </w:r>
      <w:r w:rsidR="00B46783" w:rsidRPr="00C976D1">
        <w:rPr>
          <w:color w:val="000000" w:themeColor="text1"/>
        </w:rPr>
        <w:t>c</w:t>
      </w:r>
      <w:r w:rsidR="0039132A" w:rsidRPr="00C976D1">
        <w:rPr>
          <w:color w:val="000000" w:themeColor="text1"/>
        </w:rPr>
        <w:t>yclone Ului</w:t>
      </w:r>
      <w:r w:rsidR="0039132A" w:rsidRPr="0039132A">
        <w:rPr>
          <w:color w:val="000000" w:themeColor="text1"/>
        </w:rPr>
        <w:t xml:space="preserve"> </w:t>
      </w:r>
      <w:r w:rsidR="00885CBB" w:rsidRPr="0039132A">
        <w:rPr>
          <w:color w:val="000000" w:themeColor="text1"/>
        </w:rPr>
        <w:t>(</w:t>
      </w:r>
      <w:r w:rsidR="004A2C55" w:rsidRPr="0039132A">
        <w:rPr>
          <w:color w:val="000000" w:themeColor="text1"/>
        </w:rPr>
        <w:fldChar w:fldCharType="begin"/>
      </w:r>
      <w:r w:rsidR="004A2C55" w:rsidRPr="0039132A">
        <w:rPr>
          <w:color w:val="000000" w:themeColor="text1"/>
        </w:rPr>
        <w:instrText xml:space="preserve"> REF _Ref491090713 \h </w:instrText>
      </w:r>
      <w:r w:rsidR="004A2C55" w:rsidRPr="0039132A">
        <w:rPr>
          <w:color w:val="000000" w:themeColor="text1"/>
        </w:rPr>
      </w:r>
      <w:r w:rsidR="004A2C55" w:rsidRPr="0039132A">
        <w:rPr>
          <w:color w:val="000000" w:themeColor="text1"/>
        </w:rPr>
        <w:fldChar w:fldCharType="separate"/>
      </w:r>
      <w:r w:rsidR="00A75175" w:rsidRPr="00F352E1">
        <w:t xml:space="preserve">Figure </w:t>
      </w:r>
      <w:r w:rsidR="00A75175">
        <w:rPr>
          <w:noProof/>
        </w:rPr>
        <w:t>1</w:t>
      </w:r>
      <w:r w:rsidR="004A2C55" w:rsidRPr="0039132A">
        <w:rPr>
          <w:color w:val="000000" w:themeColor="text1"/>
        </w:rPr>
        <w:fldChar w:fldCharType="end"/>
      </w:r>
      <w:r w:rsidR="00885CBB" w:rsidRPr="0039132A">
        <w:rPr>
          <w:color w:val="000000" w:themeColor="text1"/>
        </w:rPr>
        <w:t>)</w:t>
      </w:r>
      <w:r w:rsidRPr="0039132A">
        <w:rPr>
          <w:color w:val="000000" w:themeColor="text1"/>
        </w:rPr>
        <w:t xml:space="preserve">. </w:t>
      </w:r>
      <w:r w:rsidR="00884EFB">
        <w:rPr>
          <w:color w:val="000000" w:themeColor="text1"/>
        </w:rPr>
        <w:t xml:space="preserve">Scores for </w:t>
      </w:r>
      <w:r w:rsidR="00005D6C">
        <w:rPr>
          <w:color w:val="000000" w:themeColor="text1"/>
        </w:rPr>
        <w:t>c</w:t>
      </w:r>
      <w:r w:rsidR="00884EFB">
        <w:rPr>
          <w:color w:val="000000" w:themeColor="text1"/>
        </w:rPr>
        <w:t xml:space="preserve">oral </w:t>
      </w:r>
      <w:r w:rsidR="00005D6C">
        <w:rPr>
          <w:color w:val="000000" w:themeColor="text1"/>
        </w:rPr>
        <w:t>c</w:t>
      </w:r>
      <w:r w:rsidR="00884EFB">
        <w:rPr>
          <w:color w:val="000000" w:themeColor="text1"/>
        </w:rPr>
        <w:t xml:space="preserve">over and </w:t>
      </w:r>
      <w:r w:rsidR="00005D6C">
        <w:rPr>
          <w:color w:val="000000" w:themeColor="text1"/>
        </w:rPr>
        <w:t>j</w:t>
      </w:r>
      <w:r w:rsidR="00884EFB">
        <w:rPr>
          <w:color w:val="000000" w:themeColor="text1"/>
        </w:rPr>
        <w:t>uvenile metrics were most immediately impacted</w:t>
      </w:r>
      <w:r w:rsidR="003A2E80">
        <w:rPr>
          <w:color w:val="000000" w:themeColor="text1"/>
        </w:rPr>
        <w:t>,</w:t>
      </w:r>
      <w:r w:rsidR="00884EFB">
        <w:rPr>
          <w:color w:val="000000" w:themeColor="text1"/>
        </w:rPr>
        <w:t xml:space="preserve"> </w:t>
      </w:r>
      <w:r w:rsidR="007226C5">
        <w:rPr>
          <w:color w:val="000000" w:themeColor="text1"/>
        </w:rPr>
        <w:t xml:space="preserve">declining sharply in 2017 </w:t>
      </w:r>
      <w:r w:rsidR="009C028F" w:rsidRPr="00C54419">
        <w:rPr>
          <w:color w:val="000000" w:themeColor="text1"/>
        </w:rPr>
        <w:t>(</w:t>
      </w:r>
      <w:r w:rsidR="004A2C55" w:rsidRPr="00F352E1">
        <w:rPr>
          <w:color w:val="4F81BD" w:themeColor="accent1"/>
        </w:rPr>
        <w:fldChar w:fldCharType="begin"/>
      </w:r>
      <w:r w:rsidR="004A2C55" w:rsidRPr="00F352E1">
        <w:rPr>
          <w:color w:val="4F81BD" w:themeColor="accent1"/>
        </w:rPr>
        <w:instrText xml:space="preserve"> REF _Ref491090713 \h </w:instrText>
      </w:r>
      <w:r w:rsidR="004A2C55" w:rsidRPr="00F352E1">
        <w:rPr>
          <w:color w:val="4F81BD" w:themeColor="accent1"/>
        </w:rPr>
      </w:r>
      <w:r w:rsidR="004A2C55" w:rsidRPr="00F352E1">
        <w:rPr>
          <w:color w:val="4F81BD" w:themeColor="accent1"/>
        </w:rPr>
        <w:fldChar w:fldCharType="separate"/>
      </w:r>
      <w:r w:rsidR="00A75175" w:rsidRPr="00F352E1">
        <w:t xml:space="preserve">Figure </w:t>
      </w:r>
      <w:r w:rsidR="00A75175">
        <w:rPr>
          <w:noProof/>
        </w:rPr>
        <w:t>1</w:t>
      </w:r>
      <w:r w:rsidR="004A2C55" w:rsidRPr="00F352E1">
        <w:rPr>
          <w:color w:val="4F81BD" w:themeColor="accent1"/>
        </w:rPr>
        <w:fldChar w:fldCharType="end"/>
      </w:r>
      <w:r w:rsidRPr="007226C5">
        <w:rPr>
          <w:color w:val="000000" w:themeColor="text1"/>
        </w:rPr>
        <w:t>)</w:t>
      </w:r>
      <w:r w:rsidR="00B56789" w:rsidRPr="007226C5">
        <w:rPr>
          <w:color w:val="000000" w:themeColor="text1"/>
        </w:rPr>
        <w:t xml:space="preserve">. </w:t>
      </w:r>
      <w:r w:rsidR="007226C5" w:rsidRPr="007226C5">
        <w:rPr>
          <w:color w:val="000000" w:themeColor="text1"/>
        </w:rPr>
        <w:t xml:space="preserve">Buffering further decline in the index in 2017 </w:t>
      </w:r>
      <w:r w:rsidR="004652D2" w:rsidRPr="007226C5">
        <w:rPr>
          <w:color w:val="000000" w:themeColor="text1"/>
        </w:rPr>
        <w:t>w</w:t>
      </w:r>
      <w:r w:rsidR="004652D2">
        <w:rPr>
          <w:color w:val="000000" w:themeColor="text1"/>
        </w:rPr>
        <w:t>as</w:t>
      </w:r>
      <w:r w:rsidR="004652D2" w:rsidRPr="007226C5">
        <w:rPr>
          <w:color w:val="000000" w:themeColor="text1"/>
        </w:rPr>
        <w:t xml:space="preserve"> </w:t>
      </w:r>
      <w:r w:rsidR="007226C5" w:rsidRPr="007226C5">
        <w:rPr>
          <w:color w:val="000000" w:themeColor="text1"/>
        </w:rPr>
        <w:t xml:space="preserve">the increasing coral cover through to 2016 that resulted in high </w:t>
      </w:r>
      <w:r w:rsidR="00005D6C">
        <w:rPr>
          <w:color w:val="000000" w:themeColor="text1"/>
        </w:rPr>
        <w:t>c</w:t>
      </w:r>
      <w:r w:rsidR="007226C5" w:rsidRPr="007226C5">
        <w:rPr>
          <w:color w:val="000000" w:themeColor="text1"/>
        </w:rPr>
        <w:t>oral</w:t>
      </w:r>
      <w:r w:rsidR="00005D6C">
        <w:rPr>
          <w:color w:val="000000" w:themeColor="text1"/>
        </w:rPr>
        <w:t xml:space="preserve"> c</w:t>
      </w:r>
      <w:r w:rsidR="007226C5" w:rsidRPr="007226C5">
        <w:rPr>
          <w:color w:val="000000" w:themeColor="text1"/>
        </w:rPr>
        <w:t xml:space="preserve">over scores being carried forward </w:t>
      </w:r>
      <w:r w:rsidR="004652D2">
        <w:rPr>
          <w:color w:val="000000" w:themeColor="text1"/>
        </w:rPr>
        <w:t xml:space="preserve">from </w:t>
      </w:r>
      <w:r w:rsidR="007226C5" w:rsidRPr="007226C5">
        <w:rPr>
          <w:color w:val="000000" w:themeColor="text1"/>
        </w:rPr>
        <w:t xml:space="preserve">the </w:t>
      </w:r>
      <w:r w:rsidR="00884EFB" w:rsidRPr="007226C5">
        <w:rPr>
          <w:color w:val="000000" w:themeColor="text1"/>
        </w:rPr>
        <w:t xml:space="preserve">reefs </w:t>
      </w:r>
      <w:r w:rsidR="007226C5" w:rsidRPr="007226C5">
        <w:rPr>
          <w:color w:val="000000" w:themeColor="text1"/>
        </w:rPr>
        <w:t>last survey</w:t>
      </w:r>
      <w:r w:rsidR="004652D2">
        <w:rPr>
          <w:color w:val="000000" w:themeColor="text1"/>
        </w:rPr>
        <w:t>ed</w:t>
      </w:r>
      <w:r w:rsidR="007226C5" w:rsidRPr="007226C5">
        <w:rPr>
          <w:color w:val="000000" w:themeColor="text1"/>
        </w:rPr>
        <w:t xml:space="preserve"> prior to </w:t>
      </w:r>
      <w:r w:rsidR="00B46783">
        <w:rPr>
          <w:color w:val="000000" w:themeColor="text1"/>
        </w:rPr>
        <w:t>c</w:t>
      </w:r>
      <w:r w:rsidR="00884EFB" w:rsidRPr="007226C5">
        <w:rPr>
          <w:color w:val="000000" w:themeColor="text1"/>
        </w:rPr>
        <w:t>yclone Debbie</w:t>
      </w:r>
      <w:r w:rsidR="007226C5" w:rsidRPr="007226C5">
        <w:rPr>
          <w:color w:val="000000" w:themeColor="text1"/>
        </w:rPr>
        <w:t xml:space="preserve">. </w:t>
      </w:r>
      <w:r w:rsidR="003A2E80">
        <w:rPr>
          <w:color w:val="000000" w:themeColor="text1"/>
        </w:rPr>
        <w:t>I</w:t>
      </w:r>
      <w:r w:rsidR="007226C5" w:rsidRPr="007226C5">
        <w:rPr>
          <w:color w:val="000000" w:themeColor="text1"/>
        </w:rPr>
        <w:t xml:space="preserve">mprovement in the </w:t>
      </w:r>
      <w:r w:rsidR="00005D6C">
        <w:rPr>
          <w:color w:val="000000" w:themeColor="text1"/>
        </w:rPr>
        <w:t>c</w:t>
      </w:r>
      <w:r w:rsidR="007226C5" w:rsidRPr="007226C5">
        <w:rPr>
          <w:color w:val="000000" w:themeColor="text1"/>
        </w:rPr>
        <w:t xml:space="preserve">over </w:t>
      </w:r>
      <w:r w:rsidR="00005D6C">
        <w:rPr>
          <w:color w:val="000000" w:themeColor="text1"/>
        </w:rPr>
        <w:t>c</w:t>
      </w:r>
      <w:r w:rsidR="007226C5" w:rsidRPr="007226C5">
        <w:rPr>
          <w:color w:val="000000" w:themeColor="text1"/>
        </w:rPr>
        <w:t xml:space="preserve">hange score </w:t>
      </w:r>
      <w:r w:rsidR="003A2E80">
        <w:rPr>
          <w:color w:val="000000" w:themeColor="text1"/>
        </w:rPr>
        <w:t xml:space="preserve">reflect </w:t>
      </w:r>
      <w:r w:rsidR="001C088E">
        <w:rPr>
          <w:color w:val="000000" w:themeColor="text1"/>
        </w:rPr>
        <w:t xml:space="preserve">improved rate of increase in </w:t>
      </w:r>
      <w:r w:rsidR="003A2E80">
        <w:rPr>
          <w:color w:val="000000" w:themeColor="text1"/>
        </w:rPr>
        <w:t xml:space="preserve">coral cover </w:t>
      </w:r>
      <w:r w:rsidR="001C088E">
        <w:rPr>
          <w:color w:val="000000" w:themeColor="text1"/>
        </w:rPr>
        <w:t xml:space="preserve">in the years </w:t>
      </w:r>
      <w:r w:rsidR="003A2E80">
        <w:rPr>
          <w:color w:val="000000" w:themeColor="text1"/>
        </w:rPr>
        <w:t xml:space="preserve">prior to </w:t>
      </w:r>
      <w:r w:rsidR="00182A85">
        <w:rPr>
          <w:color w:val="000000" w:themeColor="text1"/>
        </w:rPr>
        <w:t>c</w:t>
      </w:r>
      <w:r w:rsidR="003A2E80">
        <w:rPr>
          <w:color w:val="000000" w:themeColor="text1"/>
        </w:rPr>
        <w:t>yclone Debbie</w:t>
      </w:r>
      <w:r w:rsidR="007226C5" w:rsidRPr="007226C5">
        <w:rPr>
          <w:color w:val="000000" w:themeColor="text1"/>
        </w:rPr>
        <w:t xml:space="preserve">. Finally, </w:t>
      </w:r>
      <w:r w:rsidR="00182A85">
        <w:rPr>
          <w:color w:val="000000" w:themeColor="text1"/>
        </w:rPr>
        <w:t>c</w:t>
      </w:r>
      <w:r w:rsidR="00182A85" w:rsidRPr="007226C5">
        <w:rPr>
          <w:color w:val="000000" w:themeColor="text1"/>
        </w:rPr>
        <w:t xml:space="preserve">yclone </w:t>
      </w:r>
      <w:r w:rsidR="007226C5" w:rsidRPr="007226C5">
        <w:rPr>
          <w:color w:val="000000" w:themeColor="text1"/>
        </w:rPr>
        <w:t xml:space="preserve">Debbie stripped </w:t>
      </w:r>
      <w:r w:rsidR="00884EFB" w:rsidRPr="007226C5">
        <w:rPr>
          <w:color w:val="000000" w:themeColor="text1"/>
        </w:rPr>
        <w:t xml:space="preserve">macroalgae </w:t>
      </w:r>
      <w:r w:rsidR="007226C5" w:rsidRPr="007226C5">
        <w:rPr>
          <w:color w:val="000000" w:themeColor="text1"/>
        </w:rPr>
        <w:t xml:space="preserve">from Pine Island </w:t>
      </w:r>
      <w:r w:rsidR="00884EFB" w:rsidRPr="007226C5">
        <w:rPr>
          <w:color w:val="000000" w:themeColor="text1"/>
        </w:rPr>
        <w:t xml:space="preserve">contributing to what is expected to be a temporary improvement in the </w:t>
      </w:r>
      <w:r w:rsidR="00005D6C">
        <w:rPr>
          <w:color w:val="000000" w:themeColor="text1"/>
        </w:rPr>
        <w:t>m</w:t>
      </w:r>
      <w:r w:rsidR="00884EFB" w:rsidRPr="007226C5">
        <w:rPr>
          <w:color w:val="000000" w:themeColor="text1"/>
        </w:rPr>
        <w:t xml:space="preserve">acroalgae metric. </w:t>
      </w:r>
      <w:r w:rsidR="007226C5" w:rsidRPr="007226C5">
        <w:rPr>
          <w:color w:val="000000" w:themeColor="text1"/>
        </w:rPr>
        <w:t xml:space="preserve">Once the impacts of </w:t>
      </w:r>
      <w:r w:rsidR="00182A85">
        <w:rPr>
          <w:color w:val="000000" w:themeColor="text1"/>
        </w:rPr>
        <w:t>c</w:t>
      </w:r>
      <w:r w:rsidR="00182A85" w:rsidRPr="007226C5">
        <w:rPr>
          <w:color w:val="000000" w:themeColor="text1"/>
        </w:rPr>
        <w:t xml:space="preserve">yclone </w:t>
      </w:r>
      <w:r w:rsidR="007226C5" w:rsidRPr="007226C5">
        <w:rPr>
          <w:color w:val="000000" w:themeColor="text1"/>
        </w:rPr>
        <w:t>Debbie at the reefs</w:t>
      </w:r>
      <w:r w:rsidR="001C088E">
        <w:rPr>
          <w:color w:val="000000" w:themeColor="text1"/>
        </w:rPr>
        <w:t xml:space="preserve"> not surveyed in 2017</w:t>
      </w:r>
      <w:r w:rsidR="007226C5" w:rsidRPr="007226C5">
        <w:rPr>
          <w:color w:val="000000" w:themeColor="text1"/>
        </w:rPr>
        <w:t xml:space="preserve"> </w:t>
      </w:r>
      <w:r w:rsidR="00656B0C" w:rsidRPr="007226C5">
        <w:rPr>
          <w:color w:val="000000" w:themeColor="text1"/>
        </w:rPr>
        <w:t>ha</w:t>
      </w:r>
      <w:r w:rsidR="00656B0C">
        <w:rPr>
          <w:color w:val="000000" w:themeColor="text1"/>
        </w:rPr>
        <w:t>ve</w:t>
      </w:r>
      <w:r w:rsidR="00656B0C" w:rsidRPr="007226C5">
        <w:rPr>
          <w:color w:val="000000" w:themeColor="text1"/>
        </w:rPr>
        <w:t xml:space="preserve"> </w:t>
      </w:r>
      <w:r w:rsidR="007226C5" w:rsidRPr="007226C5">
        <w:rPr>
          <w:color w:val="000000" w:themeColor="text1"/>
        </w:rPr>
        <w:t>been assessed the f</w:t>
      </w:r>
      <w:r w:rsidR="00884EFB" w:rsidRPr="007226C5">
        <w:rPr>
          <w:color w:val="000000" w:themeColor="text1"/>
        </w:rPr>
        <w:t xml:space="preserve">ull impact </w:t>
      </w:r>
      <w:r w:rsidR="00182A85">
        <w:rPr>
          <w:color w:val="000000" w:themeColor="text1"/>
        </w:rPr>
        <w:t>from the cyclone</w:t>
      </w:r>
      <w:r w:rsidR="00C976D1">
        <w:rPr>
          <w:color w:val="000000" w:themeColor="text1"/>
        </w:rPr>
        <w:t xml:space="preserve"> </w:t>
      </w:r>
      <w:r w:rsidR="00884EFB" w:rsidRPr="007226C5">
        <w:rPr>
          <w:color w:val="000000" w:themeColor="text1"/>
        </w:rPr>
        <w:t>will be realised</w:t>
      </w:r>
      <w:r w:rsidR="007226C5" w:rsidRPr="002C5D7E">
        <w:rPr>
          <w:color w:val="000000" w:themeColor="text1"/>
        </w:rPr>
        <w:t xml:space="preserve">. </w:t>
      </w:r>
      <w:r w:rsidRPr="002C5D7E">
        <w:rPr>
          <w:color w:val="000000" w:themeColor="text1"/>
        </w:rPr>
        <w:t>The influence of prevailing environmental conditions such as high turbidity, nutrient availability and sedimentation</w:t>
      </w:r>
      <w:r w:rsidR="00016CD2" w:rsidRPr="002C5D7E">
        <w:rPr>
          <w:color w:val="000000" w:themeColor="text1"/>
        </w:rPr>
        <w:t>,</w:t>
      </w:r>
      <w:r w:rsidRPr="002C5D7E">
        <w:rPr>
          <w:color w:val="000000" w:themeColor="text1"/>
        </w:rPr>
        <w:t xml:space="preserve"> have clearly selected for coral species tolerant of those conditions</w:t>
      </w:r>
      <w:r w:rsidR="00C77A69" w:rsidRPr="002C5D7E">
        <w:rPr>
          <w:color w:val="000000" w:themeColor="text1"/>
        </w:rPr>
        <w:t xml:space="preserve">. Marked differences in community composition between </w:t>
      </w:r>
      <w:r w:rsidR="00182A85">
        <w:rPr>
          <w:color w:val="000000" w:themeColor="text1"/>
        </w:rPr>
        <w:t xml:space="preserve">two-metre and five-metre </w:t>
      </w:r>
      <w:r w:rsidR="00C77A69" w:rsidRPr="002C5D7E">
        <w:rPr>
          <w:color w:val="000000" w:themeColor="text1"/>
        </w:rPr>
        <w:t xml:space="preserve">depths at most reefs </w:t>
      </w:r>
      <w:r w:rsidR="00AA6ACE" w:rsidRPr="002C5D7E">
        <w:rPr>
          <w:color w:val="000000" w:themeColor="text1"/>
        </w:rPr>
        <w:t xml:space="preserve">are </w:t>
      </w:r>
      <w:r w:rsidR="00C77A69" w:rsidRPr="002C5D7E">
        <w:rPr>
          <w:color w:val="000000" w:themeColor="text1"/>
        </w:rPr>
        <w:t xml:space="preserve">indicative of the </w:t>
      </w:r>
      <w:r w:rsidR="00976100" w:rsidRPr="002C5D7E">
        <w:rPr>
          <w:color w:val="000000" w:themeColor="text1"/>
        </w:rPr>
        <w:t xml:space="preserve">increasing </w:t>
      </w:r>
      <w:r w:rsidR="00C77A69" w:rsidRPr="002C5D7E">
        <w:rPr>
          <w:color w:val="000000" w:themeColor="text1"/>
        </w:rPr>
        <w:t xml:space="preserve">selective pressures </w:t>
      </w:r>
      <w:r w:rsidR="00AA6ACE" w:rsidRPr="002C5D7E">
        <w:rPr>
          <w:color w:val="000000" w:themeColor="text1"/>
        </w:rPr>
        <w:t xml:space="preserve">of light availability and accumulated sediments </w:t>
      </w:r>
      <w:r w:rsidR="00C9404A" w:rsidRPr="002C5D7E">
        <w:rPr>
          <w:color w:val="000000" w:themeColor="text1"/>
        </w:rPr>
        <w:t>at the deeper sites</w:t>
      </w:r>
      <w:r w:rsidR="00B56789" w:rsidRPr="002C5D7E">
        <w:rPr>
          <w:color w:val="000000" w:themeColor="text1"/>
        </w:rPr>
        <w:t xml:space="preserve">. </w:t>
      </w:r>
      <w:r w:rsidR="005634A3">
        <w:rPr>
          <w:color w:val="000000" w:themeColor="text1"/>
        </w:rPr>
        <w:t xml:space="preserve">Future monitoring will show how these </w:t>
      </w:r>
      <w:r w:rsidR="007226C5" w:rsidRPr="002C5D7E">
        <w:rPr>
          <w:color w:val="000000" w:themeColor="text1"/>
        </w:rPr>
        <w:t xml:space="preserve">challenging environmental conditions </w:t>
      </w:r>
      <w:r w:rsidR="005634A3">
        <w:rPr>
          <w:color w:val="000000" w:themeColor="text1"/>
        </w:rPr>
        <w:t>influence the recovery</w:t>
      </w:r>
      <w:r w:rsidR="002C5D7E" w:rsidRPr="002C5D7E">
        <w:rPr>
          <w:color w:val="000000" w:themeColor="text1"/>
        </w:rPr>
        <w:t xml:space="preserve"> of the</w:t>
      </w:r>
      <w:r w:rsidR="005634A3">
        <w:rPr>
          <w:color w:val="000000" w:themeColor="text1"/>
        </w:rPr>
        <w:t xml:space="preserve"> communities at</w:t>
      </w:r>
      <w:r w:rsidR="00986E92">
        <w:rPr>
          <w:color w:val="000000" w:themeColor="text1"/>
        </w:rPr>
        <w:t xml:space="preserve"> </w:t>
      </w:r>
      <w:r w:rsidR="00C976D1">
        <w:rPr>
          <w:color w:val="000000" w:themeColor="text1"/>
        </w:rPr>
        <w:t>five metre depths.</w:t>
      </w:r>
      <w:r w:rsidRPr="002C5D7E">
        <w:rPr>
          <w:color w:val="000000" w:themeColor="text1"/>
        </w:rPr>
        <w:t>.</w:t>
      </w:r>
    </w:p>
    <w:p w14:paraId="10F3F02E" w14:textId="5D2706B8" w:rsidR="005D3598" w:rsidRPr="00CE02D3" w:rsidRDefault="00AE2855" w:rsidP="00D2045F">
      <w:r w:rsidRPr="0073525E">
        <w:rPr>
          <w:rFonts w:cs="Arial"/>
          <w:color w:val="000000" w:themeColor="text1"/>
          <w:szCs w:val="22"/>
        </w:rPr>
        <w:t xml:space="preserve">The coral index in the </w:t>
      </w:r>
      <w:r w:rsidR="0001199E" w:rsidRPr="0073525E">
        <w:rPr>
          <w:rFonts w:eastAsia="SimSun" w:cs="Arial"/>
          <w:b/>
          <w:color w:val="000000" w:themeColor="text1"/>
          <w:szCs w:val="22"/>
        </w:rPr>
        <w:t xml:space="preserve">Fitzroy </w:t>
      </w:r>
      <w:r w:rsidR="00DD6C5A">
        <w:rPr>
          <w:rFonts w:eastAsia="SimSun" w:cs="Arial"/>
          <w:b/>
          <w:color w:val="000000" w:themeColor="text1"/>
          <w:szCs w:val="22"/>
        </w:rPr>
        <w:t>r</w:t>
      </w:r>
      <w:r w:rsidR="0001199E" w:rsidRPr="0073525E">
        <w:rPr>
          <w:rFonts w:eastAsia="SimSun" w:cs="Arial"/>
          <w:b/>
          <w:color w:val="000000" w:themeColor="text1"/>
          <w:szCs w:val="22"/>
        </w:rPr>
        <w:t>egion</w:t>
      </w:r>
      <w:r w:rsidR="0001199E" w:rsidRPr="0073525E">
        <w:rPr>
          <w:rFonts w:eastAsia="SimSun" w:cs="Arial"/>
          <w:color w:val="000000" w:themeColor="text1"/>
          <w:szCs w:val="22"/>
        </w:rPr>
        <w:t xml:space="preserve"> </w:t>
      </w:r>
      <w:r w:rsidRPr="0073525E">
        <w:rPr>
          <w:rFonts w:eastAsia="SimSun" w:cs="Arial"/>
          <w:color w:val="000000" w:themeColor="text1"/>
          <w:szCs w:val="22"/>
        </w:rPr>
        <w:t>remained ‘poor’ in 201</w:t>
      </w:r>
      <w:r w:rsidR="002C5D7E" w:rsidRPr="0073525E">
        <w:rPr>
          <w:rFonts w:eastAsia="SimSun" w:cs="Arial"/>
          <w:color w:val="000000" w:themeColor="text1"/>
          <w:szCs w:val="22"/>
        </w:rPr>
        <w:t>7</w:t>
      </w:r>
      <w:r w:rsidR="00B0200A" w:rsidRPr="0073525E">
        <w:rPr>
          <w:rFonts w:eastAsia="SimSun" w:cs="Arial"/>
          <w:color w:val="000000" w:themeColor="text1"/>
          <w:szCs w:val="22"/>
        </w:rPr>
        <w:t xml:space="preserve">. </w:t>
      </w:r>
      <w:r w:rsidR="005742DD" w:rsidRPr="0073525E">
        <w:rPr>
          <w:rFonts w:eastAsia="SimSun" w:cs="Arial"/>
          <w:color w:val="000000" w:themeColor="text1"/>
          <w:szCs w:val="22"/>
        </w:rPr>
        <w:t xml:space="preserve">A combination of </w:t>
      </w:r>
      <w:r w:rsidR="004652D2">
        <w:rPr>
          <w:rFonts w:eastAsia="SimSun" w:cs="Arial"/>
          <w:color w:val="000000" w:themeColor="text1"/>
          <w:szCs w:val="22"/>
        </w:rPr>
        <w:t>h</w:t>
      </w:r>
      <w:r w:rsidR="004652D2" w:rsidRPr="0073525E">
        <w:rPr>
          <w:rFonts w:eastAsia="SimSun" w:cs="Arial"/>
          <w:color w:val="000000" w:themeColor="text1"/>
          <w:szCs w:val="22"/>
        </w:rPr>
        <w:t xml:space="preserve">igh </w:t>
      </w:r>
      <w:r w:rsidR="00B0200A" w:rsidRPr="0073525E">
        <w:rPr>
          <w:rFonts w:eastAsia="SimSun" w:cs="Arial"/>
          <w:color w:val="000000" w:themeColor="text1"/>
          <w:szCs w:val="22"/>
        </w:rPr>
        <w:t xml:space="preserve">water temperatures over 2016 and 2017 </w:t>
      </w:r>
      <w:r w:rsidR="005742DD" w:rsidRPr="0073525E">
        <w:rPr>
          <w:rFonts w:eastAsia="SimSun" w:cs="Arial"/>
          <w:color w:val="000000" w:themeColor="text1"/>
          <w:szCs w:val="22"/>
        </w:rPr>
        <w:t>and</w:t>
      </w:r>
      <w:r w:rsidR="00B0200A" w:rsidRPr="0073525E">
        <w:rPr>
          <w:rFonts w:eastAsia="SimSun" w:cs="Arial"/>
          <w:color w:val="000000" w:themeColor="text1"/>
          <w:szCs w:val="22"/>
        </w:rPr>
        <w:t xml:space="preserve"> </w:t>
      </w:r>
      <w:r w:rsidR="005742DD" w:rsidRPr="0073525E">
        <w:rPr>
          <w:rFonts w:eastAsia="SimSun" w:cs="Arial"/>
          <w:color w:val="000000" w:themeColor="text1"/>
          <w:szCs w:val="22"/>
        </w:rPr>
        <w:t>potential</w:t>
      </w:r>
      <w:r w:rsidR="00B0200A" w:rsidRPr="0073525E">
        <w:rPr>
          <w:rFonts w:eastAsia="SimSun" w:cs="Arial"/>
          <w:color w:val="000000" w:themeColor="text1"/>
          <w:szCs w:val="22"/>
        </w:rPr>
        <w:t xml:space="preserve"> pressures associated with flooding in 2017</w:t>
      </w:r>
      <w:r w:rsidR="005742DD" w:rsidRPr="0073525E">
        <w:rPr>
          <w:rFonts w:eastAsia="SimSun" w:cs="Arial"/>
          <w:color w:val="000000" w:themeColor="text1"/>
          <w:szCs w:val="22"/>
        </w:rPr>
        <w:t xml:space="preserve">, have likely </w:t>
      </w:r>
      <w:r w:rsidR="00B0200A" w:rsidRPr="0073525E">
        <w:rPr>
          <w:rFonts w:eastAsia="SimSun" w:cs="Arial"/>
          <w:color w:val="000000" w:themeColor="text1"/>
          <w:szCs w:val="22"/>
        </w:rPr>
        <w:t>suppress</w:t>
      </w:r>
      <w:r w:rsidR="005742DD" w:rsidRPr="0073525E">
        <w:rPr>
          <w:rFonts w:eastAsia="SimSun" w:cs="Arial"/>
          <w:color w:val="000000" w:themeColor="text1"/>
          <w:szCs w:val="22"/>
        </w:rPr>
        <w:t>ed</w:t>
      </w:r>
      <w:r w:rsidR="00B0200A" w:rsidRPr="0073525E">
        <w:rPr>
          <w:rFonts w:eastAsia="SimSun" w:cs="Arial"/>
          <w:color w:val="000000" w:themeColor="text1"/>
          <w:szCs w:val="22"/>
        </w:rPr>
        <w:t xml:space="preserve"> the recovery of coral communities from </w:t>
      </w:r>
      <w:r w:rsidR="005742DD" w:rsidRPr="0073525E">
        <w:rPr>
          <w:rFonts w:eastAsia="SimSun" w:cs="Arial"/>
          <w:color w:val="000000" w:themeColor="text1"/>
          <w:szCs w:val="22"/>
        </w:rPr>
        <w:t xml:space="preserve">a </w:t>
      </w:r>
      <w:r w:rsidR="00B0200A" w:rsidRPr="0073525E">
        <w:rPr>
          <w:rFonts w:eastAsia="SimSun" w:cs="Arial"/>
          <w:color w:val="000000" w:themeColor="text1"/>
          <w:szCs w:val="22"/>
        </w:rPr>
        <w:t>low point</w:t>
      </w:r>
      <w:r w:rsidR="005742DD" w:rsidRPr="0073525E">
        <w:rPr>
          <w:rFonts w:eastAsia="SimSun" w:cs="Arial"/>
          <w:color w:val="000000" w:themeColor="text1"/>
          <w:szCs w:val="22"/>
        </w:rPr>
        <w:t xml:space="preserve"> reached</w:t>
      </w:r>
      <w:r w:rsidR="00B0200A" w:rsidRPr="0073525E">
        <w:rPr>
          <w:rFonts w:eastAsia="SimSun" w:cs="Arial"/>
          <w:color w:val="000000" w:themeColor="text1"/>
          <w:szCs w:val="22"/>
        </w:rPr>
        <w:t xml:space="preserve"> in 2014</w:t>
      </w:r>
      <w:r w:rsidR="00B40396" w:rsidRPr="0073525E">
        <w:rPr>
          <w:rFonts w:eastAsia="SimSun" w:cs="Arial"/>
          <w:color w:val="000000" w:themeColor="text1"/>
          <w:szCs w:val="22"/>
        </w:rPr>
        <w:t xml:space="preserve"> (</w:t>
      </w:r>
      <w:r w:rsidR="004A2C55" w:rsidRPr="0073525E">
        <w:rPr>
          <w:rFonts w:eastAsia="SimSun" w:cs="Arial"/>
          <w:color w:val="000000" w:themeColor="text1"/>
          <w:szCs w:val="22"/>
        </w:rPr>
        <w:fldChar w:fldCharType="begin"/>
      </w:r>
      <w:r w:rsidR="004A2C55" w:rsidRPr="0073525E">
        <w:rPr>
          <w:rFonts w:eastAsia="SimSun" w:cs="Arial"/>
          <w:color w:val="000000" w:themeColor="text1"/>
          <w:szCs w:val="22"/>
        </w:rPr>
        <w:instrText xml:space="preserve"> REF _Ref491090713 \h </w:instrText>
      </w:r>
      <w:r w:rsidR="004A2C55" w:rsidRPr="0073525E">
        <w:rPr>
          <w:rFonts w:eastAsia="SimSun" w:cs="Arial"/>
          <w:color w:val="000000" w:themeColor="text1"/>
          <w:szCs w:val="22"/>
        </w:rPr>
      </w:r>
      <w:r w:rsidR="004A2C55" w:rsidRPr="0073525E">
        <w:rPr>
          <w:rFonts w:eastAsia="SimSun" w:cs="Arial"/>
          <w:color w:val="000000" w:themeColor="text1"/>
          <w:szCs w:val="22"/>
        </w:rPr>
        <w:fldChar w:fldCharType="separate"/>
      </w:r>
      <w:r w:rsidR="00A75175" w:rsidRPr="00F352E1">
        <w:t xml:space="preserve">Figure </w:t>
      </w:r>
      <w:r w:rsidR="00A75175">
        <w:rPr>
          <w:noProof/>
        </w:rPr>
        <w:t>1</w:t>
      </w:r>
      <w:r w:rsidR="004A2C55" w:rsidRPr="0073525E">
        <w:rPr>
          <w:rFonts w:eastAsia="SimSun" w:cs="Arial"/>
          <w:color w:val="000000" w:themeColor="text1"/>
          <w:szCs w:val="22"/>
        </w:rPr>
        <w:fldChar w:fldCharType="end"/>
      </w:r>
      <w:r w:rsidR="00B40396" w:rsidRPr="0073525E">
        <w:rPr>
          <w:rFonts w:eastAsia="SimSun" w:cs="Arial"/>
          <w:color w:val="000000" w:themeColor="text1"/>
          <w:szCs w:val="22"/>
        </w:rPr>
        <w:t>)</w:t>
      </w:r>
      <w:r w:rsidRPr="0073525E">
        <w:rPr>
          <w:rFonts w:eastAsia="SimSun" w:cs="Arial"/>
          <w:color w:val="000000" w:themeColor="text1"/>
          <w:szCs w:val="22"/>
        </w:rPr>
        <w:t xml:space="preserve">. </w:t>
      </w:r>
      <w:r w:rsidR="0073525E">
        <w:rPr>
          <w:rFonts w:eastAsia="SimSun" w:cs="Arial"/>
          <w:color w:val="000000" w:themeColor="text1"/>
          <w:szCs w:val="22"/>
        </w:rPr>
        <w:t xml:space="preserve">The modest </w:t>
      </w:r>
      <w:r w:rsidR="0073525E" w:rsidRPr="004A091F">
        <w:rPr>
          <w:rFonts w:eastAsia="SimSun" w:cs="Arial"/>
          <w:color w:val="000000" w:themeColor="text1"/>
          <w:szCs w:val="22"/>
        </w:rPr>
        <w:t>i</w:t>
      </w:r>
      <w:r w:rsidRPr="004A091F">
        <w:rPr>
          <w:rFonts w:eastAsia="SimSun" w:cs="Arial"/>
          <w:color w:val="000000" w:themeColor="text1"/>
          <w:szCs w:val="22"/>
        </w:rPr>
        <w:t>mprovement in the index to 201</w:t>
      </w:r>
      <w:r w:rsidR="002C5D7E" w:rsidRPr="004A091F">
        <w:rPr>
          <w:rFonts w:eastAsia="SimSun" w:cs="Arial"/>
          <w:color w:val="000000" w:themeColor="text1"/>
          <w:szCs w:val="22"/>
        </w:rPr>
        <w:t>7</w:t>
      </w:r>
      <w:r w:rsidRPr="004A091F">
        <w:rPr>
          <w:rFonts w:eastAsia="SimSun" w:cs="Arial"/>
          <w:color w:val="000000" w:themeColor="text1"/>
          <w:szCs w:val="22"/>
        </w:rPr>
        <w:t xml:space="preserve"> predominantly reflect</w:t>
      </w:r>
      <w:r w:rsidR="00B40396" w:rsidRPr="004A091F">
        <w:rPr>
          <w:rFonts w:eastAsia="SimSun" w:cs="Arial"/>
          <w:color w:val="000000" w:themeColor="text1"/>
          <w:szCs w:val="22"/>
        </w:rPr>
        <w:t>s</w:t>
      </w:r>
      <w:r w:rsidRPr="004A091F">
        <w:rPr>
          <w:rFonts w:eastAsia="SimSun" w:cs="Arial"/>
          <w:color w:val="000000" w:themeColor="text1"/>
          <w:szCs w:val="22"/>
        </w:rPr>
        <w:t xml:space="preserve"> improvement in the </w:t>
      </w:r>
      <w:r w:rsidR="00986E92">
        <w:rPr>
          <w:rFonts w:eastAsia="SimSun" w:cs="Arial"/>
          <w:color w:val="000000" w:themeColor="text1"/>
          <w:szCs w:val="22"/>
        </w:rPr>
        <w:t>c</w:t>
      </w:r>
      <w:r w:rsidR="00986E92" w:rsidRPr="004A091F">
        <w:rPr>
          <w:rFonts w:eastAsia="SimSun" w:cs="Arial"/>
          <w:color w:val="000000" w:themeColor="text1"/>
          <w:szCs w:val="22"/>
        </w:rPr>
        <w:t xml:space="preserve">over </w:t>
      </w:r>
      <w:r w:rsidR="00986E92">
        <w:rPr>
          <w:rFonts w:eastAsia="SimSun" w:cs="Arial"/>
          <w:color w:val="000000" w:themeColor="text1"/>
          <w:szCs w:val="22"/>
        </w:rPr>
        <w:t>c</w:t>
      </w:r>
      <w:r w:rsidRPr="004A091F">
        <w:rPr>
          <w:rFonts w:eastAsia="SimSun" w:cs="Arial"/>
          <w:color w:val="000000" w:themeColor="text1"/>
          <w:szCs w:val="22"/>
        </w:rPr>
        <w:t>hange metric at both</w:t>
      </w:r>
      <w:r w:rsidR="00986E92">
        <w:rPr>
          <w:rFonts w:eastAsia="SimSun" w:cs="Arial"/>
          <w:color w:val="000000" w:themeColor="text1"/>
          <w:szCs w:val="22"/>
        </w:rPr>
        <w:t xml:space="preserve"> </w:t>
      </w:r>
      <w:r w:rsidR="007E7B2B">
        <w:rPr>
          <w:color w:val="000000" w:themeColor="text1"/>
        </w:rPr>
        <w:t>two-metre and five-metre</w:t>
      </w:r>
      <w:r w:rsidR="00AA6ACE" w:rsidRPr="004A091F">
        <w:rPr>
          <w:rFonts w:eastAsia="SimSun" w:cs="Arial"/>
          <w:color w:val="000000" w:themeColor="text1"/>
          <w:szCs w:val="22"/>
        </w:rPr>
        <w:t>,</w:t>
      </w:r>
      <w:r w:rsidRPr="004A091F">
        <w:rPr>
          <w:rFonts w:eastAsia="SimSun" w:cs="Arial"/>
          <w:color w:val="000000" w:themeColor="text1"/>
          <w:szCs w:val="22"/>
        </w:rPr>
        <w:t xml:space="preserve"> along with </w:t>
      </w:r>
      <w:r w:rsidR="00A541A4" w:rsidRPr="004A091F">
        <w:rPr>
          <w:rFonts w:eastAsia="SimSun" w:cs="Arial"/>
          <w:color w:val="000000" w:themeColor="text1"/>
          <w:szCs w:val="22"/>
        </w:rPr>
        <w:t xml:space="preserve">improved </w:t>
      </w:r>
      <w:r w:rsidR="00986E92">
        <w:rPr>
          <w:rFonts w:eastAsia="SimSun" w:cs="Arial"/>
          <w:color w:val="000000" w:themeColor="text1"/>
          <w:szCs w:val="22"/>
        </w:rPr>
        <w:t>j</w:t>
      </w:r>
      <w:r w:rsidR="00A541A4" w:rsidRPr="004A091F">
        <w:rPr>
          <w:rFonts w:eastAsia="SimSun" w:cs="Arial"/>
          <w:color w:val="000000" w:themeColor="text1"/>
          <w:szCs w:val="22"/>
        </w:rPr>
        <w:t xml:space="preserve">uvenile scores </w:t>
      </w:r>
      <w:r w:rsidRPr="004A091F">
        <w:rPr>
          <w:rFonts w:eastAsia="SimSun" w:cs="Arial"/>
          <w:color w:val="000000" w:themeColor="text1"/>
          <w:szCs w:val="22"/>
        </w:rPr>
        <w:t>at 2 m</w:t>
      </w:r>
      <w:r w:rsidR="00A541A4" w:rsidRPr="004A091F">
        <w:rPr>
          <w:rFonts w:eastAsia="SimSun" w:cs="Arial"/>
          <w:color w:val="000000" w:themeColor="text1"/>
          <w:szCs w:val="22"/>
        </w:rPr>
        <w:t xml:space="preserve"> depths</w:t>
      </w:r>
      <w:r w:rsidRPr="004A091F">
        <w:rPr>
          <w:rFonts w:eastAsia="SimSun" w:cs="Arial"/>
          <w:color w:val="000000" w:themeColor="text1"/>
          <w:szCs w:val="22"/>
        </w:rPr>
        <w:t xml:space="preserve">, </w:t>
      </w:r>
      <w:r w:rsidR="00A541A4" w:rsidRPr="004A091F">
        <w:rPr>
          <w:rFonts w:eastAsia="SimSun" w:cs="Arial"/>
          <w:color w:val="000000" w:themeColor="text1"/>
          <w:szCs w:val="22"/>
        </w:rPr>
        <w:t xml:space="preserve">both </w:t>
      </w:r>
      <w:r w:rsidR="00AA6ACE" w:rsidRPr="004A091F">
        <w:rPr>
          <w:rFonts w:eastAsia="SimSun" w:cs="Arial"/>
          <w:color w:val="000000" w:themeColor="text1"/>
          <w:szCs w:val="22"/>
        </w:rPr>
        <w:t xml:space="preserve">are </w:t>
      </w:r>
      <w:r w:rsidRPr="004A091F">
        <w:rPr>
          <w:rFonts w:eastAsia="SimSun" w:cs="Arial"/>
          <w:color w:val="000000" w:themeColor="text1"/>
          <w:szCs w:val="22"/>
        </w:rPr>
        <w:t xml:space="preserve">necessary precursors to future improvements in </w:t>
      </w:r>
      <w:r w:rsidR="00B40396" w:rsidRPr="004A091F">
        <w:rPr>
          <w:rFonts w:eastAsia="SimSun" w:cs="Arial"/>
          <w:color w:val="000000" w:themeColor="text1"/>
          <w:szCs w:val="22"/>
        </w:rPr>
        <w:t>the index</w:t>
      </w:r>
      <w:r w:rsidRPr="004A091F">
        <w:rPr>
          <w:rFonts w:eastAsia="SimSun" w:cs="Arial"/>
          <w:color w:val="000000" w:themeColor="text1"/>
          <w:szCs w:val="22"/>
        </w:rPr>
        <w:t>. Over the period 2006</w:t>
      </w:r>
      <w:r w:rsidR="007E7B2B">
        <w:rPr>
          <w:rFonts w:cs="Arial"/>
          <w:color w:val="333333"/>
          <w:sz w:val="18"/>
          <w:szCs w:val="18"/>
          <w:lang w:val="en"/>
        </w:rPr>
        <w:t>–</w:t>
      </w:r>
      <w:r w:rsidR="007E7B2B">
        <w:t>14</w:t>
      </w:r>
      <w:r w:rsidR="00B40396" w:rsidRPr="004A091F">
        <w:rPr>
          <w:rFonts w:eastAsia="SimSun" w:cs="Arial"/>
          <w:color w:val="000000" w:themeColor="text1"/>
          <w:szCs w:val="22"/>
        </w:rPr>
        <w:t xml:space="preserve">coral communities in </w:t>
      </w:r>
      <w:r w:rsidRPr="004A091F">
        <w:rPr>
          <w:rFonts w:eastAsia="SimSun" w:cs="Arial"/>
          <w:color w:val="000000" w:themeColor="text1"/>
          <w:szCs w:val="22"/>
        </w:rPr>
        <w:t xml:space="preserve">the region </w:t>
      </w:r>
      <w:r w:rsidR="00B40396" w:rsidRPr="004A091F">
        <w:rPr>
          <w:rFonts w:eastAsia="SimSun" w:cs="Arial"/>
          <w:color w:val="000000" w:themeColor="text1"/>
          <w:szCs w:val="22"/>
        </w:rPr>
        <w:t xml:space="preserve">were exposed </w:t>
      </w:r>
      <w:r w:rsidR="00C9404A" w:rsidRPr="004A091F">
        <w:rPr>
          <w:rFonts w:eastAsia="SimSun" w:cs="Arial"/>
          <w:color w:val="000000" w:themeColor="text1"/>
          <w:szCs w:val="22"/>
        </w:rPr>
        <w:t xml:space="preserve">to </w:t>
      </w:r>
      <w:r w:rsidR="00A541A4" w:rsidRPr="004A091F">
        <w:rPr>
          <w:rFonts w:eastAsia="SimSun" w:cs="Arial"/>
          <w:color w:val="000000" w:themeColor="text1"/>
          <w:szCs w:val="22"/>
        </w:rPr>
        <w:t xml:space="preserve">cumulative pressures associated with a </w:t>
      </w:r>
      <w:r w:rsidR="0001199E" w:rsidRPr="004A091F">
        <w:rPr>
          <w:rFonts w:eastAsia="SimSun" w:cs="Arial"/>
          <w:color w:val="000000" w:themeColor="text1"/>
          <w:szCs w:val="22"/>
        </w:rPr>
        <w:t xml:space="preserve">series of </w:t>
      </w:r>
      <w:r w:rsidR="00D14080" w:rsidRPr="004A091F">
        <w:rPr>
          <w:rFonts w:eastAsia="SimSun" w:cs="Arial"/>
          <w:color w:val="000000" w:themeColor="text1"/>
          <w:szCs w:val="22"/>
        </w:rPr>
        <w:t xml:space="preserve">acute </w:t>
      </w:r>
      <w:r w:rsidR="00A448BD" w:rsidRPr="004A091F">
        <w:rPr>
          <w:rFonts w:eastAsia="SimSun" w:cs="Arial"/>
          <w:color w:val="000000" w:themeColor="text1"/>
          <w:szCs w:val="22"/>
        </w:rPr>
        <w:t xml:space="preserve">disturbances </w:t>
      </w:r>
      <w:r w:rsidR="00D14080" w:rsidRPr="004A091F">
        <w:rPr>
          <w:rFonts w:eastAsia="SimSun" w:cs="Arial"/>
          <w:color w:val="000000" w:themeColor="text1"/>
          <w:szCs w:val="22"/>
        </w:rPr>
        <w:t xml:space="preserve">and chronic </w:t>
      </w:r>
      <w:r w:rsidR="00A541A4" w:rsidRPr="004A091F">
        <w:rPr>
          <w:rFonts w:eastAsia="SimSun" w:cs="Arial"/>
          <w:color w:val="000000" w:themeColor="text1"/>
          <w:szCs w:val="22"/>
        </w:rPr>
        <w:t>effects of water quality</w:t>
      </w:r>
      <w:r w:rsidR="00C9404A" w:rsidRPr="004A091F">
        <w:rPr>
          <w:rFonts w:eastAsia="SimSun" w:cs="Arial"/>
          <w:color w:val="000000" w:themeColor="text1"/>
          <w:szCs w:val="22"/>
        </w:rPr>
        <w:t>,</w:t>
      </w:r>
      <w:r w:rsidR="00F7583E" w:rsidRPr="004A091F">
        <w:rPr>
          <w:rFonts w:eastAsia="SimSun" w:cs="Arial"/>
          <w:color w:val="000000" w:themeColor="text1"/>
          <w:szCs w:val="22"/>
        </w:rPr>
        <w:t xml:space="preserve"> </w:t>
      </w:r>
      <w:r w:rsidR="0073525E" w:rsidRPr="004A091F">
        <w:rPr>
          <w:rFonts w:eastAsia="SimSun" w:cs="Arial"/>
          <w:color w:val="000000" w:themeColor="text1"/>
          <w:szCs w:val="22"/>
        </w:rPr>
        <w:t>and is clearly</w:t>
      </w:r>
      <w:r w:rsidR="00F7583E" w:rsidRPr="004A091F">
        <w:rPr>
          <w:rFonts w:eastAsia="SimSun" w:cs="Arial"/>
          <w:color w:val="000000" w:themeColor="text1"/>
          <w:szCs w:val="22"/>
        </w:rPr>
        <w:t xml:space="preserve"> reflected in the d</w:t>
      </w:r>
      <w:r w:rsidR="00602742" w:rsidRPr="004A091F">
        <w:rPr>
          <w:rFonts w:eastAsia="SimSun" w:cs="Arial"/>
          <w:color w:val="000000" w:themeColor="text1"/>
          <w:szCs w:val="22"/>
        </w:rPr>
        <w:t xml:space="preserve">ecline </w:t>
      </w:r>
      <w:r w:rsidR="00CA23FD" w:rsidRPr="004A091F">
        <w:rPr>
          <w:rFonts w:eastAsia="SimSun" w:cs="Arial"/>
          <w:color w:val="000000" w:themeColor="text1"/>
          <w:szCs w:val="22"/>
        </w:rPr>
        <w:t xml:space="preserve">of the coral index </w:t>
      </w:r>
      <w:r w:rsidR="00B40396" w:rsidRPr="004A091F">
        <w:rPr>
          <w:rFonts w:eastAsia="SimSun" w:cs="Arial"/>
          <w:color w:val="000000" w:themeColor="text1"/>
          <w:szCs w:val="22"/>
        </w:rPr>
        <w:t xml:space="preserve">through to </w:t>
      </w:r>
      <w:r w:rsidR="00E24DE0" w:rsidRPr="004A091F">
        <w:rPr>
          <w:rFonts w:eastAsia="SimSun" w:cs="Arial"/>
          <w:color w:val="000000" w:themeColor="text1"/>
          <w:szCs w:val="22"/>
        </w:rPr>
        <w:t>2014</w:t>
      </w:r>
      <w:r w:rsidR="00C77A69" w:rsidRPr="004A091F">
        <w:rPr>
          <w:rFonts w:eastAsia="SimSun" w:cs="Arial"/>
          <w:color w:val="000000" w:themeColor="text1"/>
          <w:szCs w:val="22"/>
        </w:rPr>
        <w:t xml:space="preserve"> (</w:t>
      </w:r>
      <w:r w:rsidR="004A2C55" w:rsidRPr="004A091F">
        <w:rPr>
          <w:rFonts w:eastAsia="SimSun" w:cs="Arial"/>
          <w:color w:val="000000" w:themeColor="text1"/>
          <w:szCs w:val="22"/>
        </w:rPr>
        <w:fldChar w:fldCharType="begin"/>
      </w:r>
      <w:r w:rsidR="004A2C55" w:rsidRPr="004A091F">
        <w:rPr>
          <w:rFonts w:eastAsia="SimSun" w:cs="Arial"/>
          <w:color w:val="000000" w:themeColor="text1"/>
          <w:szCs w:val="22"/>
        </w:rPr>
        <w:instrText xml:space="preserve"> REF _Ref491090713 \h </w:instrText>
      </w:r>
      <w:r w:rsidR="004A2C55" w:rsidRPr="004A091F">
        <w:rPr>
          <w:rFonts w:eastAsia="SimSun" w:cs="Arial"/>
          <w:color w:val="000000" w:themeColor="text1"/>
          <w:szCs w:val="22"/>
        </w:rPr>
      </w:r>
      <w:r w:rsidR="004A2C55" w:rsidRPr="004A091F">
        <w:rPr>
          <w:rFonts w:eastAsia="SimSun" w:cs="Arial"/>
          <w:color w:val="000000" w:themeColor="text1"/>
          <w:szCs w:val="22"/>
        </w:rPr>
        <w:fldChar w:fldCharType="separate"/>
      </w:r>
      <w:r w:rsidR="00A75175" w:rsidRPr="00F352E1">
        <w:t xml:space="preserve">Figure </w:t>
      </w:r>
      <w:r w:rsidR="00A75175">
        <w:rPr>
          <w:noProof/>
        </w:rPr>
        <w:t>1</w:t>
      </w:r>
      <w:r w:rsidR="004A2C55" w:rsidRPr="004A091F">
        <w:rPr>
          <w:rFonts w:eastAsia="SimSun" w:cs="Arial"/>
          <w:color w:val="000000" w:themeColor="text1"/>
          <w:szCs w:val="22"/>
        </w:rPr>
        <w:fldChar w:fldCharType="end"/>
      </w:r>
      <w:r w:rsidR="00C77A69" w:rsidRPr="004A091F">
        <w:rPr>
          <w:rFonts w:eastAsia="SimSun" w:cs="Arial"/>
          <w:color w:val="000000" w:themeColor="text1"/>
          <w:szCs w:val="22"/>
        </w:rPr>
        <w:t>)</w:t>
      </w:r>
      <w:r w:rsidR="0001199E" w:rsidRPr="004A091F">
        <w:rPr>
          <w:rFonts w:eastAsia="SimSun" w:cs="Arial"/>
          <w:color w:val="000000" w:themeColor="text1"/>
          <w:szCs w:val="22"/>
        </w:rPr>
        <w:t xml:space="preserve">. </w:t>
      </w:r>
      <w:r w:rsidR="00E24DE0" w:rsidRPr="004A091F">
        <w:rPr>
          <w:rFonts w:eastAsia="SimSun" w:cs="Arial"/>
          <w:color w:val="000000" w:themeColor="text1"/>
          <w:szCs w:val="22"/>
        </w:rPr>
        <w:t>Two acute disturbances stand out</w:t>
      </w:r>
      <w:r w:rsidR="00AA6ACE" w:rsidRPr="004A091F">
        <w:rPr>
          <w:rFonts w:eastAsia="SimSun" w:cs="Arial"/>
          <w:color w:val="000000" w:themeColor="text1"/>
          <w:szCs w:val="22"/>
        </w:rPr>
        <w:t>, h</w:t>
      </w:r>
      <w:r w:rsidR="00E24DE0" w:rsidRPr="004A091F">
        <w:rPr>
          <w:rFonts w:eastAsia="SimSun" w:cs="Arial"/>
          <w:color w:val="000000" w:themeColor="text1"/>
          <w:szCs w:val="22"/>
        </w:rPr>
        <w:t>igh water temperatures in 2006 bleached and killed corals resulting in a</w:t>
      </w:r>
      <w:r w:rsidR="007D6C42" w:rsidRPr="004A091F">
        <w:rPr>
          <w:rFonts w:eastAsia="SimSun" w:cs="Arial"/>
          <w:color w:val="000000" w:themeColor="text1"/>
          <w:szCs w:val="22"/>
        </w:rPr>
        <w:t>n</w:t>
      </w:r>
      <w:r w:rsidR="00E24DE0" w:rsidRPr="004A091F">
        <w:rPr>
          <w:rFonts w:eastAsia="SimSun" w:cs="Arial"/>
          <w:color w:val="000000" w:themeColor="text1"/>
          <w:szCs w:val="22"/>
        </w:rPr>
        <w:t xml:space="preserve"> </w:t>
      </w:r>
      <w:r w:rsidR="007D6C42" w:rsidRPr="004A091F">
        <w:rPr>
          <w:rFonts w:eastAsia="SimSun" w:cs="Arial"/>
          <w:color w:val="000000" w:themeColor="text1"/>
          <w:szCs w:val="22"/>
        </w:rPr>
        <w:t xml:space="preserve">average </w:t>
      </w:r>
      <w:r w:rsidR="00E24DE0" w:rsidRPr="004A091F">
        <w:rPr>
          <w:rFonts w:eastAsia="SimSun" w:cs="Arial"/>
          <w:color w:val="000000" w:themeColor="text1"/>
          <w:szCs w:val="22"/>
        </w:rPr>
        <w:t xml:space="preserve">reduction </w:t>
      </w:r>
      <w:r w:rsidR="007D6C42" w:rsidRPr="004A091F">
        <w:rPr>
          <w:rFonts w:eastAsia="SimSun" w:cs="Arial"/>
          <w:color w:val="000000" w:themeColor="text1"/>
          <w:szCs w:val="22"/>
        </w:rPr>
        <w:t>in coral cover of 16% across the region</w:t>
      </w:r>
      <w:r w:rsidR="00AA6ACE" w:rsidRPr="004A091F">
        <w:rPr>
          <w:rFonts w:eastAsia="SimSun" w:cs="Arial"/>
          <w:color w:val="000000" w:themeColor="text1"/>
          <w:szCs w:val="22"/>
        </w:rPr>
        <w:t xml:space="preserve">, </w:t>
      </w:r>
      <w:r w:rsidR="0073525E" w:rsidRPr="004A091F">
        <w:rPr>
          <w:rFonts w:eastAsia="SimSun" w:cs="Arial"/>
          <w:color w:val="000000" w:themeColor="text1"/>
          <w:szCs w:val="22"/>
        </w:rPr>
        <w:t>subsequently coral</w:t>
      </w:r>
      <w:r w:rsidR="00AA6ACE" w:rsidRPr="004A091F">
        <w:rPr>
          <w:rFonts w:eastAsia="SimSun" w:cs="Arial"/>
          <w:color w:val="000000" w:themeColor="text1"/>
          <w:szCs w:val="22"/>
        </w:rPr>
        <w:t xml:space="preserve"> cover </w:t>
      </w:r>
      <w:r w:rsidR="00A448BD" w:rsidRPr="004A091F">
        <w:rPr>
          <w:rFonts w:eastAsia="SimSun" w:cs="Arial"/>
          <w:color w:val="000000" w:themeColor="text1"/>
          <w:szCs w:val="22"/>
        </w:rPr>
        <w:t xml:space="preserve">was reduced by a similar amount </w:t>
      </w:r>
      <w:r w:rsidR="00AA6ACE" w:rsidRPr="004A091F">
        <w:rPr>
          <w:rFonts w:eastAsia="SimSun" w:cs="Arial"/>
          <w:color w:val="000000" w:themeColor="text1"/>
          <w:szCs w:val="22"/>
        </w:rPr>
        <w:t xml:space="preserve">in response to </w:t>
      </w:r>
      <w:r w:rsidR="00A448BD" w:rsidRPr="004A091F">
        <w:rPr>
          <w:rFonts w:eastAsia="SimSun" w:cs="Arial"/>
          <w:color w:val="000000" w:themeColor="text1"/>
          <w:szCs w:val="22"/>
        </w:rPr>
        <w:t xml:space="preserve">a </w:t>
      </w:r>
      <w:r w:rsidR="00E24DE0" w:rsidRPr="004A091F">
        <w:rPr>
          <w:rFonts w:cs="Arial"/>
          <w:color w:val="000000" w:themeColor="text1"/>
          <w:szCs w:val="22"/>
        </w:rPr>
        <w:t xml:space="preserve">major </w:t>
      </w:r>
      <w:r w:rsidR="0001199E" w:rsidRPr="004A091F">
        <w:rPr>
          <w:rFonts w:cs="Arial"/>
          <w:color w:val="000000" w:themeColor="text1"/>
          <w:szCs w:val="22"/>
        </w:rPr>
        <w:t xml:space="preserve">flood </w:t>
      </w:r>
      <w:r w:rsidR="00A448BD" w:rsidRPr="004A091F">
        <w:rPr>
          <w:rFonts w:cs="Arial"/>
          <w:color w:val="000000" w:themeColor="text1"/>
          <w:szCs w:val="22"/>
        </w:rPr>
        <w:t xml:space="preserve">event in 2011. This flood predominantly affected the </w:t>
      </w:r>
      <w:r w:rsidR="007E7B2B" w:rsidRPr="00AF0016">
        <w:rPr>
          <w:rFonts w:cs="Arial"/>
          <w:color w:val="000000" w:themeColor="text1"/>
          <w:szCs w:val="22"/>
        </w:rPr>
        <w:t>two-metre</w:t>
      </w:r>
      <w:r w:rsidR="00A448BD" w:rsidRPr="00AF0016">
        <w:rPr>
          <w:rFonts w:cs="Arial"/>
          <w:color w:val="000000" w:themeColor="text1"/>
          <w:szCs w:val="22"/>
        </w:rPr>
        <w:t xml:space="preserve"> sites</w:t>
      </w:r>
      <w:r w:rsidR="00E24DE0" w:rsidRPr="00AF0016">
        <w:rPr>
          <w:rFonts w:cs="Arial"/>
          <w:color w:val="000000" w:themeColor="text1"/>
          <w:szCs w:val="22"/>
        </w:rPr>
        <w:t xml:space="preserve"> on</w:t>
      </w:r>
      <w:r w:rsidR="0001199E" w:rsidRPr="004A091F">
        <w:rPr>
          <w:rFonts w:cs="Arial"/>
          <w:color w:val="000000" w:themeColor="text1"/>
          <w:szCs w:val="22"/>
        </w:rPr>
        <w:t xml:space="preserve"> reefs inshore of Great Keppel </w:t>
      </w:r>
      <w:r w:rsidR="0001199E" w:rsidRPr="004A091F">
        <w:rPr>
          <w:rFonts w:cs="Arial"/>
          <w:color w:val="000000" w:themeColor="text1"/>
          <w:szCs w:val="22"/>
        </w:rPr>
        <w:lastRenderedPageBreak/>
        <w:t>Island</w:t>
      </w:r>
      <w:r w:rsidR="00C77A69" w:rsidRPr="004A091F">
        <w:rPr>
          <w:rFonts w:cs="Arial"/>
          <w:color w:val="000000" w:themeColor="text1"/>
          <w:szCs w:val="22"/>
        </w:rPr>
        <w:t>,</w:t>
      </w:r>
      <w:r w:rsidR="0001199E" w:rsidRPr="004A091F">
        <w:rPr>
          <w:rFonts w:cs="Arial"/>
          <w:color w:val="000000" w:themeColor="text1"/>
          <w:szCs w:val="22"/>
        </w:rPr>
        <w:t xml:space="preserve"> </w:t>
      </w:r>
      <w:r w:rsidR="0098506C" w:rsidRPr="004A091F">
        <w:rPr>
          <w:rFonts w:cs="Arial"/>
          <w:color w:val="000000" w:themeColor="text1"/>
          <w:szCs w:val="22"/>
        </w:rPr>
        <w:t>w</w:t>
      </w:r>
      <w:r w:rsidR="00A448BD" w:rsidRPr="004A091F">
        <w:rPr>
          <w:rFonts w:cs="Arial"/>
          <w:color w:val="000000" w:themeColor="text1"/>
          <w:szCs w:val="22"/>
        </w:rPr>
        <w:t>h</w:t>
      </w:r>
      <w:r w:rsidR="00E24DE0" w:rsidRPr="004A091F">
        <w:rPr>
          <w:rFonts w:cs="Arial"/>
          <w:color w:val="000000" w:themeColor="text1"/>
          <w:szCs w:val="22"/>
        </w:rPr>
        <w:t xml:space="preserve">ere </w:t>
      </w:r>
      <w:r w:rsidR="0098506C" w:rsidRPr="004A091F">
        <w:rPr>
          <w:rFonts w:cs="Arial"/>
          <w:color w:val="000000" w:themeColor="text1"/>
          <w:szCs w:val="22"/>
        </w:rPr>
        <w:t xml:space="preserve">the </w:t>
      </w:r>
      <w:r w:rsidR="0001199E" w:rsidRPr="004A091F">
        <w:rPr>
          <w:rFonts w:cs="Arial"/>
          <w:color w:val="000000" w:themeColor="text1"/>
          <w:szCs w:val="22"/>
        </w:rPr>
        <w:t xml:space="preserve">majority of corals </w:t>
      </w:r>
      <w:r w:rsidR="00166387" w:rsidRPr="004A091F">
        <w:rPr>
          <w:rFonts w:cs="Arial"/>
          <w:color w:val="000000" w:themeColor="text1"/>
          <w:szCs w:val="22"/>
        </w:rPr>
        <w:t xml:space="preserve">were </w:t>
      </w:r>
      <w:r w:rsidR="00E24DE0" w:rsidRPr="004A091F">
        <w:rPr>
          <w:rFonts w:cs="Arial"/>
          <w:color w:val="000000" w:themeColor="text1"/>
          <w:szCs w:val="22"/>
        </w:rPr>
        <w:t>killed</w:t>
      </w:r>
      <w:r w:rsidR="0098506C" w:rsidRPr="004A091F">
        <w:rPr>
          <w:rFonts w:cs="Arial"/>
          <w:color w:val="000000" w:themeColor="text1"/>
          <w:szCs w:val="22"/>
        </w:rPr>
        <w:t xml:space="preserve"> </w:t>
      </w:r>
      <w:r w:rsidR="00166387" w:rsidRPr="004A091F">
        <w:rPr>
          <w:rFonts w:cs="Arial"/>
          <w:color w:val="000000" w:themeColor="text1"/>
          <w:szCs w:val="22"/>
        </w:rPr>
        <w:t xml:space="preserve">as a result of </w:t>
      </w:r>
      <w:r w:rsidR="0098506C" w:rsidRPr="004A091F">
        <w:rPr>
          <w:rFonts w:cs="Arial"/>
          <w:color w:val="000000" w:themeColor="text1"/>
          <w:szCs w:val="22"/>
        </w:rPr>
        <w:t>exposure to low salinity waters</w:t>
      </w:r>
      <w:r w:rsidR="00CA23FD" w:rsidRPr="004A091F">
        <w:rPr>
          <w:rFonts w:cs="Arial"/>
          <w:color w:val="000000" w:themeColor="text1"/>
          <w:szCs w:val="22"/>
        </w:rPr>
        <w:t xml:space="preserve">. </w:t>
      </w:r>
      <w:r w:rsidR="00AA6ACE" w:rsidRPr="004A091F">
        <w:rPr>
          <w:rFonts w:cs="Arial"/>
          <w:color w:val="000000" w:themeColor="text1"/>
          <w:szCs w:val="22"/>
        </w:rPr>
        <w:t>Elsewhere</w:t>
      </w:r>
      <w:r w:rsidR="006563F7" w:rsidRPr="004A091F">
        <w:rPr>
          <w:rFonts w:cs="Arial"/>
          <w:color w:val="000000" w:themeColor="text1"/>
          <w:szCs w:val="22"/>
        </w:rPr>
        <w:t>,</w:t>
      </w:r>
      <w:r w:rsidR="00AA6ACE" w:rsidRPr="004A091F">
        <w:rPr>
          <w:rFonts w:cs="Arial"/>
          <w:color w:val="000000" w:themeColor="text1"/>
          <w:szCs w:val="22"/>
        </w:rPr>
        <w:t xml:space="preserve"> increased levels of disease demonstrated a like</w:t>
      </w:r>
      <w:r w:rsidR="00540DE4" w:rsidRPr="004A091F">
        <w:rPr>
          <w:rFonts w:cs="Arial"/>
          <w:color w:val="000000" w:themeColor="text1"/>
          <w:szCs w:val="22"/>
        </w:rPr>
        <w:t xml:space="preserve">ly impact of reduced water quality during and following the flood. </w:t>
      </w:r>
      <w:r w:rsidR="007D6C42" w:rsidRPr="004A091F">
        <w:rPr>
          <w:rFonts w:cs="Arial"/>
          <w:color w:val="000000" w:themeColor="text1"/>
          <w:szCs w:val="22"/>
        </w:rPr>
        <w:t xml:space="preserve">In the periods </w:t>
      </w:r>
      <w:r w:rsidR="007D6C42" w:rsidRPr="00CE02D3">
        <w:rPr>
          <w:rFonts w:cs="Arial"/>
          <w:color w:val="000000" w:themeColor="text1"/>
          <w:szCs w:val="22"/>
        </w:rPr>
        <w:t>2007</w:t>
      </w:r>
      <w:r w:rsidR="00CE02D3">
        <w:rPr>
          <w:rFonts w:cs="Arial"/>
          <w:color w:val="333333"/>
          <w:sz w:val="18"/>
          <w:szCs w:val="18"/>
          <w:lang w:val="en"/>
        </w:rPr>
        <w:t>–</w:t>
      </w:r>
      <w:r w:rsidR="00CE02D3">
        <w:rPr>
          <w:rFonts w:cs="Arial"/>
          <w:color w:val="000000" w:themeColor="text1"/>
          <w:szCs w:val="22"/>
        </w:rPr>
        <w:t>11</w:t>
      </w:r>
      <w:r w:rsidR="007D6C42" w:rsidRPr="00CE02D3">
        <w:rPr>
          <w:rFonts w:cs="Arial"/>
          <w:color w:val="000000" w:themeColor="text1"/>
          <w:szCs w:val="22"/>
        </w:rPr>
        <w:t>and 2012</w:t>
      </w:r>
      <w:r w:rsidR="00CE02D3">
        <w:rPr>
          <w:rFonts w:cs="Arial"/>
          <w:color w:val="333333"/>
          <w:sz w:val="18"/>
          <w:szCs w:val="18"/>
          <w:lang w:val="en"/>
        </w:rPr>
        <w:t>–</w:t>
      </w:r>
      <w:r w:rsidR="00CE02D3">
        <w:rPr>
          <w:rFonts w:cs="Arial"/>
          <w:color w:val="000000" w:themeColor="text1"/>
          <w:szCs w:val="22"/>
        </w:rPr>
        <w:t>14</w:t>
      </w:r>
      <w:r w:rsidR="007D6C42" w:rsidRPr="004A091F">
        <w:rPr>
          <w:rFonts w:cs="Arial"/>
          <w:color w:val="000000" w:themeColor="text1"/>
          <w:szCs w:val="22"/>
        </w:rPr>
        <w:t xml:space="preserve">recovery from these disturbance events was hampered by a series of storms and persistently high </w:t>
      </w:r>
      <w:r w:rsidR="00016CD2" w:rsidRPr="004A091F">
        <w:rPr>
          <w:rFonts w:cs="Arial"/>
          <w:color w:val="000000" w:themeColor="text1"/>
          <w:szCs w:val="22"/>
        </w:rPr>
        <w:t xml:space="preserve">cover of </w:t>
      </w:r>
      <w:r w:rsidR="007D6C42" w:rsidRPr="004A091F">
        <w:rPr>
          <w:rFonts w:cs="Arial"/>
          <w:color w:val="000000" w:themeColor="text1"/>
          <w:szCs w:val="22"/>
        </w:rPr>
        <w:t>macroalgae, low levels of coral recruitment and low rates of coral cover increase</w:t>
      </w:r>
      <w:r w:rsidR="004A2C55" w:rsidRPr="004A091F">
        <w:rPr>
          <w:rFonts w:cs="Arial"/>
          <w:color w:val="000000" w:themeColor="text1"/>
          <w:szCs w:val="22"/>
        </w:rPr>
        <w:t xml:space="preserve"> (</w:t>
      </w:r>
      <w:r w:rsidR="004A2C55" w:rsidRPr="004A091F">
        <w:rPr>
          <w:rFonts w:cs="Arial"/>
          <w:color w:val="000000" w:themeColor="text1"/>
          <w:szCs w:val="22"/>
        </w:rPr>
        <w:fldChar w:fldCharType="begin"/>
      </w:r>
      <w:r w:rsidR="004A2C55" w:rsidRPr="004A091F">
        <w:rPr>
          <w:rFonts w:cs="Arial"/>
          <w:color w:val="000000" w:themeColor="text1"/>
          <w:szCs w:val="22"/>
        </w:rPr>
        <w:instrText xml:space="preserve"> REF _Ref491090713 \h </w:instrText>
      </w:r>
      <w:r w:rsidR="004A2C55" w:rsidRPr="004A091F">
        <w:rPr>
          <w:rFonts w:cs="Arial"/>
          <w:color w:val="000000" w:themeColor="text1"/>
          <w:szCs w:val="22"/>
        </w:rPr>
      </w:r>
      <w:r w:rsidR="004A2C55" w:rsidRPr="004A091F">
        <w:rPr>
          <w:rFonts w:cs="Arial"/>
          <w:color w:val="000000" w:themeColor="text1"/>
          <w:szCs w:val="22"/>
        </w:rPr>
        <w:fldChar w:fldCharType="separate"/>
      </w:r>
      <w:r w:rsidR="00A75175" w:rsidRPr="00F352E1">
        <w:t xml:space="preserve">Figure </w:t>
      </w:r>
      <w:r w:rsidR="00A75175">
        <w:rPr>
          <w:noProof/>
        </w:rPr>
        <w:t>1</w:t>
      </w:r>
      <w:r w:rsidR="004A2C55" w:rsidRPr="004A091F">
        <w:rPr>
          <w:rFonts w:cs="Arial"/>
          <w:color w:val="000000" w:themeColor="text1"/>
          <w:szCs w:val="22"/>
        </w:rPr>
        <w:fldChar w:fldCharType="end"/>
      </w:r>
      <w:r w:rsidR="00903C3F" w:rsidRPr="004A091F">
        <w:rPr>
          <w:rFonts w:cs="Arial"/>
          <w:color w:val="000000" w:themeColor="text1"/>
          <w:szCs w:val="22"/>
        </w:rPr>
        <w:t>)</w:t>
      </w:r>
      <w:r w:rsidR="006563F7" w:rsidRPr="004A091F">
        <w:rPr>
          <w:rFonts w:cs="Arial"/>
          <w:color w:val="000000" w:themeColor="text1"/>
          <w:szCs w:val="22"/>
        </w:rPr>
        <w:t>,</w:t>
      </w:r>
      <w:r w:rsidR="00903C3F" w:rsidRPr="004A091F">
        <w:rPr>
          <w:rFonts w:cs="Arial"/>
          <w:color w:val="000000" w:themeColor="text1"/>
          <w:szCs w:val="22"/>
        </w:rPr>
        <w:t xml:space="preserve"> </w:t>
      </w:r>
      <w:r w:rsidR="007D6C42" w:rsidRPr="004A091F">
        <w:rPr>
          <w:rFonts w:cs="Arial"/>
          <w:color w:val="000000" w:themeColor="text1"/>
          <w:szCs w:val="22"/>
        </w:rPr>
        <w:t xml:space="preserve">all of which coincided with </w:t>
      </w:r>
      <w:r w:rsidR="0098506C" w:rsidRPr="004A091F">
        <w:rPr>
          <w:rFonts w:cs="Arial"/>
          <w:color w:val="000000" w:themeColor="text1"/>
          <w:szCs w:val="22"/>
        </w:rPr>
        <w:t xml:space="preserve">a period of </w:t>
      </w:r>
      <w:r w:rsidR="007D6C42" w:rsidRPr="004A091F">
        <w:rPr>
          <w:rFonts w:cs="Arial"/>
          <w:color w:val="000000" w:themeColor="text1"/>
          <w:szCs w:val="22"/>
        </w:rPr>
        <w:t xml:space="preserve">high loads </w:t>
      </w:r>
      <w:r w:rsidR="00A448BD" w:rsidRPr="004A091F">
        <w:rPr>
          <w:rFonts w:cs="Arial"/>
          <w:color w:val="000000" w:themeColor="text1"/>
          <w:szCs w:val="22"/>
        </w:rPr>
        <w:t xml:space="preserve">of land based material </w:t>
      </w:r>
      <w:r w:rsidR="007D6C42" w:rsidRPr="004A091F">
        <w:rPr>
          <w:rFonts w:cs="Arial"/>
          <w:color w:val="000000" w:themeColor="text1"/>
          <w:szCs w:val="22"/>
        </w:rPr>
        <w:t xml:space="preserve">being delivered by the </w:t>
      </w:r>
      <w:r w:rsidR="0098506C" w:rsidRPr="004A091F">
        <w:rPr>
          <w:rFonts w:cs="Arial"/>
          <w:color w:val="000000" w:themeColor="text1"/>
          <w:szCs w:val="22"/>
        </w:rPr>
        <w:t>Fitzroy River</w:t>
      </w:r>
      <w:r w:rsidR="00B40396" w:rsidRPr="004A091F">
        <w:rPr>
          <w:rFonts w:cs="Arial"/>
          <w:color w:val="000000" w:themeColor="text1"/>
          <w:szCs w:val="22"/>
        </w:rPr>
        <w:t>.</w:t>
      </w:r>
    </w:p>
    <w:p w14:paraId="7951DEF6" w14:textId="4E7EEEB7" w:rsidR="009D29D2" w:rsidRDefault="00F7583E" w:rsidP="00D2045F">
      <w:pPr>
        <w:rPr>
          <w:color w:val="000000" w:themeColor="text1"/>
        </w:rPr>
      </w:pPr>
      <w:r w:rsidRPr="00D70994">
        <w:rPr>
          <w:color w:val="000000" w:themeColor="text1"/>
        </w:rPr>
        <w:t>Overall, i</w:t>
      </w:r>
      <w:r w:rsidR="00335CBC" w:rsidRPr="00D70994">
        <w:rPr>
          <w:color w:val="000000" w:themeColor="text1"/>
        </w:rPr>
        <w:t xml:space="preserve">t is apparent that the cumulative impact of tropical cyclones, outbreaks of </w:t>
      </w:r>
      <w:r w:rsidR="00182A85">
        <w:rPr>
          <w:color w:val="000000" w:themeColor="text1"/>
        </w:rPr>
        <w:t>COTS</w:t>
      </w:r>
      <w:r w:rsidR="00AF0016">
        <w:rPr>
          <w:color w:val="000000" w:themeColor="text1"/>
        </w:rPr>
        <w:t xml:space="preserve"> </w:t>
      </w:r>
      <w:r w:rsidR="00335CBC" w:rsidRPr="00D70994">
        <w:rPr>
          <w:color w:val="000000" w:themeColor="text1"/>
        </w:rPr>
        <w:t xml:space="preserve">and a period of high discharge carrying increased loads of nutrients and sediments to the Reef resulted in declines in coral community condition </w:t>
      </w:r>
      <w:r w:rsidR="00982EFB">
        <w:rPr>
          <w:color w:val="000000" w:themeColor="text1"/>
        </w:rPr>
        <w:t>over the period 2012</w:t>
      </w:r>
      <w:r w:rsidR="00986E92">
        <w:rPr>
          <w:color w:val="000000" w:themeColor="text1"/>
        </w:rPr>
        <w:t>–</w:t>
      </w:r>
      <w:r w:rsidR="00335CBC" w:rsidRPr="00D70994">
        <w:rPr>
          <w:color w:val="000000" w:themeColor="text1"/>
        </w:rPr>
        <w:t>2014.</w:t>
      </w:r>
      <w:r w:rsidR="00B5157B" w:rsidRPr="00D70994">
        <w:rPr>
          <w:color w:val="000000" w:themeColor="text1"/>
        </w:rPr>
        <w:t xml:space="preserve"> </w:t>
      </w:r>
      <w:r w:rsidR="00606B90" w:rsidRPr="00D70994">
        <w:rPr>
          <w:color w:val="000000" w:themeColor="text1"/>
        </w:rPr>
        <w:t xml:space="preserve">Recovery from these impacts was observed as index scores improved through to 2016 </w:t>
      </w:r>
      <w:r w:rsidR="00F74D3E" w:rsidRPr="00D70994">
        <w:rPr>
          <w:color w:val="000000" w:themeColor="text1"/>
        </w:rPr>
        <w:t xml:space="preserve">before the </w:t>
      </w:r>
      <w:r w:rsidR="004A091F" w:rsidRPr="00D70994">
        <w:rPr>
          <w:color w:val="000000" w:themeColor="text1"/>
        </w:rPr>
        <w:t>interruption</w:t>
      </w:r>
      <w:r w:rsidR="00F74D3E" w:rsidRPr="00D70994">
        <w:rPr>
          <w:color w:val="000000" w:themeColor="text1"/>
        </w:rPr>
        <w:t xml:space="preserve"> </w:t>
      </w:r>
      <w:r w:rsidR="004A091F" w:rsidRPr="00D70994">
        <w:rPr>
          <w:color w:val="000000" w:themeColor="text1"/>
        </w:rPr>
        <w:t>imposed</w:t>
      </w:r>
      <w:r w:rsidR="00F74D3E" w:rsidRPr="00D70994">
        <w:rPr>
          <w:color w:val="000000" w:themeColor="text1"/>
        </w:rPr>
        <w:t xml:space="preserve"> </w:t>
      </w:r>
      <w:r w:rsidR="004A091F" w:rsidRPr="00D70994">
        <w:rPr>
          <w:color w:val="000000" w:themeColor="text1"/>
        </w:rPr>
        <w:t>across all regions by</w:t>
      </w:r>
      <w:r w:rsidR="00606B90" w:rsidRPr="00D70994">
        <w:rPr>
          <w:color w:val="000000" w:themeColor="text1"/>
        </w:rPr>
        <w:t xml:space="preserve"> the impacts of high temperatures and </w:t>
      </w:r>
      <w:r w:rsidR="00182A85">
        <w:rPr>
          <w:color w:val="000000" w:themeColor="text1"/>
        </w:rPr>
        <w:t>t</w:t>
      </w:r>
      <w:r w:rsidR="00182A85" w:rsidRPr="00D70994">
        <w:rPr>
          <w:color w:val="000000" w:themeColor="text1"/>
        </w:rPr>
        <w:t xml:space="preserve">ropical </w:t>
      </w:r>
      <w:r w:rsidR="00182A85">
        <w:rPr>
          <w:color w:val="000000" w:themeColor="text1"/>
        </w:rPr>
        <w:t>c</w:t>
      </w:r>
      <w:r w:rsidR="00182A85" w:rsidRPr="00D70994">
        <w:rPr>
          <w:color w:val="000000" w:themeColor="text1"/>
        </w:rPr>
        <w:t xml:space="preserve">yclone </w:t>
      </w:r>
      <w:r w:rsidR="00606B90" w:rsidRPr="00D70994">
        <w:rPr>
          <w:color w:val="000000" w:themeColor="text1"/>
        </w:rPr>
        <w:t xml:space="preserve">Debbie </w:t>
      </w:r>
      <w:r w:rsidR="00724514" w:rsidRPr="00D70994">
        <w:rPr>
          <w:color w:val="000000" w:themeColor="text1"/>
        </w:rPr>
        <w:t>in 2017</w:t>
      </w:r>
      <w:r w:rsidR="00606B90" w:rsidRPr="00D70994">
        <w:rPr>
          <w:color w:val="000000" w:themeColor="text1"/>
        </w:rPr>
        <w:t xml:space="preserve"> (</w:t>
      </w:r>
      <w:r w:rsidR="00606B90" w:rsidRPr="00D70994">
        <w:rPr>
          <w:color w:val="000000" w:themeColor="text1"/>
        </w:rPr>
        <w:fldChar w:fldCharType="begin"/>
      </w:r>
      <w:r w:rsidR="00606B90" w:rsidRPr="00D70994">
        <w:rPr>
          <w:color w:val="000000" w:themeColor="text1"/>
        </w:rPr>
        <w:instrText xml:space="preserve"> REF _Ref491090713 \h </w:instrText>
      </w:r>
      <w:r w:rsidR="00606B90" w:rsidRPr="00D70994">
        <w:rPr>
          <w:color w:val="000000" w:themeColor="text1"/>
        </w:rPr>
      </w:r>
      <w:r w:rsidR="00606B90" w:rsidRPr="00D70994">
        <w:rPr>
          <w:color w:val="000000" w:themeColor="text1"/>
        </w:rPr>
        <w:fldChar w:fldCharType="separate"/>
      </w:r>
      <w:r w:rsidR="00A75175" w:rsidRPr="00F352E1">
        <w:t xml:space="preserve">Figure </w:t>
      </w:r>
      <w:r w:rsidR="00A75175">
        <w:rPr>
          <w:noProof/>
        </w:rPr>
        <w:t>1</w:t>
      </w:r>
      <w:r w:rsidR="00606B90" w:rsidRPr="00D70994">
        <w:rPr>
          <w:color w:val="000000" w:themeColor="text1"/>
        </w:rPr>
        <w:fldChar w:fldCharType="end"/>
      </w:r>
      <w:r w:rsidR="00606B90" w:rsidRPr="00D70994">
        <w:rPr>
          <w:color w:val="000000" w:themeColor="text1"/>
        </w:rPr>
        <w:t>)</w:t>
      </w:r>
      <w:r w:rsidR="00724514" w:rsidRPr="00D70994">
        <w:rPr>
          <w:color w:val="000000" w:themeColor="text1"/>
        </w:rPr>
        <w:t>.</w:t>
      </w:r>
    </w:p>
    <w:p w14:paraId="54E383CB" w14:textId="1CB9757F" w:rsidR="00335CBC" w:rsidRPr="00D70994" w:rsidRDefault="00270B1A" w:rsidP="00D2045F">
      <w:pPr>
        <w:rPr>
          <w:color w:val="000000" w:themeColor="text1"/>
        </w:rPr>
      </w:pPr>
      <w:r w:rsidRPr="00D70994">
        <w:rPr>
          <w:color w:val="000000" w:themeColor="text1"/>
        </w:rPr>
        <w:t>Given the currently accepted predictions of climate change</w:t>
      </w:r>
      <w:r w:rsidR="00982EFB">
        <w:rPr>
          <w:color w:val="000000" w:themeColor="text1"/>
        </w:rPr>
        <w:t>,</w:t>
      </w:r>
      <w:r w:rsidRPr="00D70994">
        <w:rPr>
          <w:color w:val="000000" w:themeColor="text1"/>
        </w:rPr>
        <w:t xml:space="preserve"> which indicate</w:t>
      </w:r>
      <w:r w:rsidR="00F54190" w:rsidRPr="00D70994">
        <w:rPr>
          <w:color w:val="000000" w:themeColor="text1"/>
        </w:rPr>
        <w:t xml:space="preserve"> the severity of disturbance events </w:t>
      </w:r>
      <w:r w:rsidR="00D254B2" w:rsidRPr="00D70994">
        <w:rPr>
          <w:color w:val="000000" w:themeColor="text1"/>
        </w:rPr>
        <w:t xml:space="preserve">to coral reefs </w:t>
      </w:r>
      <w:r w:rsidR="00F54190" w:rsidRPr="00D70994">
        <w:rPr>
          <w:color w:val="000000" w:themeColor="text1"/>
        </w:rPr>
        <w:t>is projected to increase</w:t>
      </w:r>
      <w:r w:rsidR="00B40396" w:rsidRPr="00D70994">
        <w:rPr>
          <w:color w:val="000000" w:themeColor="text1"/>
        </w:rPr>
        <w:t>,</w:t>
      </w:r>
      <w:r w:rsidR="00F54190" w:rsidRPr="00D70994">
        <w:rPr>
          <w:color w:val="000000" w:themeColor="text1"/>
        </w:rPr>
        <w:t xml:space="preserve"> </w:t>
      </w:r>
      <w:r w:rsidR="00D254B2" w:rsidRPr="00D70994">
        <w:rPr>
          <w:color w:val="000000" w:themeColor="text1"/>
        </w:rPr>
        <w:t xml:space="preserve">it is essential that </w:t>
      </w:r>
      <w:r w:rsidR="00AF0016">
        <w:rPr>
          <w:color w:val="000000" w:themeColor="text1"/>
        </w:rPr>
        <w:t xml:space="preserve">coral </w:t>
      </w:r>
      <w:r w:rsidR="00D254B2" w:rsidRPr="00D70994">
        <w:rPr>
          <w:color w:val="000000" w:themeColor="text1"/>
        </w:rPr>
        <w:t>communities retain the ability to recover from inevitable</w:t>
      </w:r>
      <w:r w:rsidR="008659C5" w:rsidRPr="00D70994">
        <w:rPr>
          <w:color w:val="000000" w:themeColor="text1"/>
        </w:rPr>
        <w:t xml:space="preserve"> disturbances </w:t>
      </w:r>
      <w:r w:rsidR="00073257" w:rsidRPr="00D70994">
        <w:rPr>
          <w:color w:val="000000" w:themeColor="text1"/>
        </w:rPr>
        <w:t>to</w:t>
      </w:r>
      <w:r w:rsidR="008659C5" w:rsidRPr="00D70994">
        <w:rPr>
          <w:color w:val="000000" w:themeColor="text1"/>
        </w:rPr>
        <w:t xml:space="preserve"> maintain a coral dominated state in the long-term. </w:t>
      </w:r>
      <w:r w:rsidR="00F54190" w:rsidRPr="00D70994">
        <w:rPr>
          <w:color w:val="000000" w:themeColor="text1"/>
        </w:rPr>
        <w:t xml:space="preserve">The coral index is formulated </w:t>
      </w:r>
      <w:r w:rsidR="008659C5" w:rsidRPr="00D70994">
        <w:rPr>
          <w:color w:val="000000" w:themeColor="text1"/>
        </w:rPr>
        <w:t xml:space="preserve">explicitly to </w:t>
      </w:r>
      <w:r w:rsidR="00F54190" w:rsidRPr="00D70994">
        <w:rPr>
          <w:color w:val="000000" w:themeColor="text1"/>
        </w:rPr>
        <w:t xml:space="preserve">emphasise coral </w:t>
      </w:r>
      <w:r w:rsidR="008659C5" w:rsidRPr="00D70994">
        <w:rPr>
          <w:color w:val="000000" w:themeColor="text1"/>
        </w:rPr>
        <w:t>communities’</w:t>
      </w:r>
      <w:r w:rsidR="00F54190" w:rsidRPr="00D70994">
        <w:rPr>
          <w:color w:val="000000" w:themeColor="text1"/>
        </w:rPr>
        <w:t xml:space="preserve"> </w:t>
      </w:r>
      <w:r w:rsidR="008659C5" w:rsidRPr="00D70994">
        <w:rPr>
          <w:color w:val="000000" w:themeColor="text1"/>
        </w:rPr>
        <w:t xml:space="preserve">recovery potential. </w:t>
      </w:r>
      <w:r w:rsidR="00073257" w:rsidRPr="00D70994">
        <w:rPr>
          <w:color w:val="000000" w:themeColor="text1"/>
        </w:rPr>
        <w:t>As such</w:t>
      </w:r>
      <w:r w:rsidR="00724514" w:rsidRPr="00D70994">
        <w:rPr>
          <w:color w:val="000000" w:themeColor="text1"/>
        </w:rPr>
        <w:t>,</w:t>
      </w:r>
      <w:r w:rsidR="00073257" w:rsidRPr="00D70994">
        <w:rPr>
          <w:color w:val="000000" w:themeColor="text1"/>
        </w:rPr>
        <w:t xml:space="preserve"> i</w:t>
      </w:r>
      <w:r w:rsidR="008659C5" w:rsidRPr="00D70994">
        <w:rPr>
          <w:color w:val="000000" w:themeColor="text1"/>
        </w:rPr>
        <w:t xml:space="preserve">mprovements in the index in all regions </w:t>
      </w:r>
      <w:r w:rsidR="00724514" w:rsidRPr="00D70994">
        <w:rPr>
          <w:color w:val="000000" w:themeColor="text1"/>
        </w:rPr>
        <w:t>through to</w:t>
      </w:r>
      <w:r w:rsidR="008659C5" w:rsidRPr="00D70994">
        <w:rPr>
          <w:color w:val="000000" w:themeColor="text1"/>
        </w:rPr>
        <w:t xml:space="preserve"> 2016 </w:t>
      </w:r>
      <w:r w:rsidR="00073257" w:rsidRPr="00D70994">
        <w:rPr>
          <w:color w:val="000000" w:themeColor="text1"/>
        </w:rPr>
        <w:t xml:space="preserve">are an important </w:t>
      </w:r>
      <w:r w:rsidR="008659C5" w:rsidRPr="00D70994">
        <w:rPr>
          <w:color w:val="000000" w:themeColor="text1"/>
        </w:rPr>
        <w:t>demonstrat</w:t>
      </w:r>
      <w:r w:rsidR="00073257" w:rsidRPr="00D70994">
        <w:rPr>
          <w:color w:val="000000" w:themeColor="text1"/>
        </w:rPr>
        <w:t>ion of</w:t>
      </w:r>
      <w:r w:rsidR="008659C5" w:rsidRPr="00D70994">
        <w:rPr>
          <w:color w:val="000000" w:themeColor="text1"/>
        </w:rPr>
        <w:t xml:space="preserve"> the resilience inherent in inshore coral communities </w:t>
      </w:r>
      <w:r w:rsidR="00B40396" w:rsidRPr="00D70994">
        <w:rPr>
          <w:color w:val="000000" w:themeColor="text1"/>
        </w:rPr>
        <w:t>under situations of low cumulative pressure.</w:t>
      </w:r>
      <w:r w:rsidR="008659C5" w:rsidRPr="00D70994">
        <w:rPr>
          <w:color w:val="000000" w:themeColor="text1"/>
        </w:rPr>
        <w:t xml:space="preserve"> </w:t>
      </w:r>
      <w:r w:rsidR="008F6F1C" w:rsidRPr="00D70994">
        <w:rPr>
          <w:rFonts w:cs="Arial"/>
          <w:color w:val="000000" w:themeColor="text1"/>
        </w:rPr>
        <w:t xml:space="preserve">The strong impact of acute disturbances </w:t>
      </w:r>
      <w:r w:rsidR="00CE02D3">
        <w:rPr>
          <w:rFonts w:cs="Arial"/>
          <w:color w:val="333333"/>
          <w:sz w:val="18"/>
          <w:szCs w:val="18"/>
          <w:lang w:val="en"/>
        </w:rPr>
        <w:t xml:space="preserve">— </w:t>
      </w:r>
      <w:r w:rsidR="008F6F1C" w:rsidRPr="00D70994">
        <w:rPr>
          <w:rFonts w:cs="Arial"/>
          <w:color w:val="000000" w:themeColor="text1"/>
        </w:rPr>
        <w:t xml:space="preserve">such </w:t>
      </w:r>
      <w:r w:rsidR="00AF0016" w:rsidRPr="00D70994">
        <w:rPr>
          <w:rFonts w:cs="Arial"/>
          <w:color w:val="000000" w:themeColor="text1"/>
        </w:rPr>
        <w:t>as</w:t>
      </w:r>
      <w:r w:rsidR="00AF0016" w:rsidRPr="00CE02D3">
        <w:rPr>
          <w:rFonts w:cs="Arial"/>
          <w:color w:val="333333"/>
          <w:sz w:val="18"/>
          <w:szCs w:val="18"/>
          <w:lang w:val="en"/>
        </w:rPr>
        <w:t xml:space="preserve"> </w:t>
      </w:r>
      <w:r w:rsidR="00AF0016">
        <w:rPr>
          <w:rFonts w:cs="Arial"/>
          <w:color w:val="000000" w:themeColor="text1"/>
        </w:rPr>
        <w:t>cyclones</w:t>
      </w:r>
      <w:r w:rsidR="008F6F1C" w:rsidRPr="00D70994">
        <w:rPr>
          <w:rFonts w:cs="Arial"/>
          <w:color w:val="000000" w:themeColor="text1"/>
        </w:rPr>
        <w:t xml:space="preserve">, bleaching, and </w:t>
      </w:r>
      <w:r w:rsidR="006A1C77">
        <w:rPr>
          <w:rFonts w:cs="Arial"/>
          <w:color w:val="000000" w:themeColor="text1"/>
        </w:rPr>
        <w:t xml:space="preserve">COTS </w:t>
      </w:r>
      <w:r w:rsidR="008F6F1C" w:rsidRPr="00D70994">
        <w:rPr>
          <w:rFonts w:cs="Arial"/>
          <w:color w:val="000000" w:themeColor="text1"/>
        </w:rPr>
        <w:t>outbreaks</w:t>
      </w:r>
      <w:r w:rsidR="00CE02D3">
        <w:rPr>
          <w:rFonts w:cs="Arial"/>
          <w:color w:val="000000" w:themeColor="text1"/>
        </w:rPr>
        <w:t xml:space="preserve"> </w:t>
      </w:r>
      <w:r w:rsidR="00CE02D3">
        <w:rPr>
          <w:rFonts w:cs="Arial"/>
          <w:color w:val="333333"/>
          <w:sz w:val="18"/>
          <w:szCs w:val="18"/>
          <w:lang w:val="en"/>
        </w:rPr>
        <w:t>—</w:t>
      </w:r>
      <w:r w:rsidR="008F6F1C" w:rsidRPr="00D70994">
        <w:rPr>
          <w:rFonts w:cs="Arial"/>
          <w:color w:val="000000" w:themeColor="text1"/>
        </w:rPr>
        <w:t xml:space="preserve"> on </w:t>
      </w:r>
      <w:r w:rsidR="008F6F1C" w:rsidRPr="00CE02D3">
        <w:rPr>
          <w:rFonts w:cs="Arial"/>
          <w:color w:val="000000" w:themeColor="text1"/>
        </w:rPr>
        <w:t>coral community state impose an unavoidable confounding</w:t>
      </w:r>
      <w:r w:rsidR="008F6F1C" w:rsidRPr="00D70994">
        <w:rPr>
          <w:rFonts w:cs="Arial"/>
          <w:color w:val="000000" w:themeColor="text1"/>
        </w:rPr>
        <w:t xml:space="preserve"> between the influence of these pressures and those that can be attributed to water quality.</w:t>
      </w:r>
      <w:r w:rsidR="008F6F1C" w:rsidRPr="00D70994">
        <w:rPr>
          <w:color w:val="000000" w:themeColor="text1"/>
        </w:rPr>
        <w:t xml:space="preserve"> By explicitly focusing on periods free from acute disturbance events we were able to demonstrate that </w:t>
      </w:r>
      <w:r w:rsidR="008A0828" w:rsidRPr="00D70994">
        <w:rPr>
          <w:color w:val="000000" w:themeColor="text1"/>
        </w:rPr>
        <w:t>incremental changes in the coral index, during periods when reefs should be recovering,</w:t>
      </w:r>
      <w:r w:rsidR="008F6F1C" w:rsidRPr="00D70994">
        <w:rPr>
          <w:color w:val="000000" w:themeColor="text1"/>
        </w:rPr>
        <w:t xml:space="preserve"> </w:t>
      </w:r>
      <w:r w:rsidR="006A1C77">
        <w:rPr>
          <w:color w:val="000000" w:themeColor="text1"/>
        </w:rPr>
        <w:t>were</w:t>
      </w:r>
      <w:r w:rsidR="006A1C77" w:rsidRPr="00D70994">
        <w:rPr>
          <w:color w:val="000000" w:themeColor="text1"/>
        </w:rPr>
        <w:t xml:space="preserve"> </w:t>
      </w:r>
      <w:r w:rsidR="008F6F1C" w:rsidRPr="00D70994">
        <w:rPr>
          <w:color w:val="000000" w:themeColor="text1"/>
        </w:rPr>
        <w:t xml:space="preserve">inversely related to discharge from local catchments in three of the four regions monitored. </w:t>
      </w:r>
      <w:r w:rsidR="008A0828" w:rsidRPr="00D70994">
        <w:rPr>
          <w:color w:val="000000" w:themeColor="text1"/>
        </w:rPr>
        <w:t xml:space="preserve">In combination with spatial </w:t>
      </w:r>
      <w:r w:rsidR="003841EA" w:rsidRPr="00D70994">
        <w:rPr>
          <w:color w:val="000000" w:themeColor="text1"/>
        </w:rPr>
        <w:t>analys</w:t>
      </w:r>
      <w:r w:rsidR="003841EA">
        <w:rPr>
          <w:color w:val="000000" w:themeColor="text1"/>
        </w:rPr>
        <w:t>e</w:t>
      </w:r>
      <w:r w:rsidR="003841EA" w:rsidRPr="00D70994">
        <w:rPr>
          <w:color w:val="000000" w:themeColor="text1"/>
        </w:rPr>
        <w:t xml:space="preserve">s </w:t>
      </w:r>
      <w:r w:rsidR="008A0828" w:rsidRPr="00D70994">
        <w:rPr>
          <w:color w:val="000000" w:themeColor="text1"/>
        </w:rPr>
        <w:t xml:space="preserve">that demonstrated higher index scores where </w:t>
      </w:r>
      <w:r w:rsidR="00E70413" w:rsidRPr="00D70994">
        <w:rPr>
          <w:color w:val="000000" w:themeColor="text1"/>
        </w:rPr>
        <w:t xml:space="preserve">chlorophyll </w:t>
      </w:r>
      <w:r w:rsidR="00E70413" w:rsidRPr="00D70994">
        <w:rPr>
          <w:i/>
          <w:color w:val="000000" w:themeColor="text1"/>
        </w:rPr>
        <w:t>a</w:t>
      </w:r>
      <w:r w:rsidR="00E70413" w:rsidRPr="00D70994">
        <w:rPr>
          <w:color w:val="000000" w:themeColor="text1"/>
        </w:rPr>
        <w:t xml:space="preserve"> levels were below guideline values, the temporal relationships between the recovery potential of coral communities and environmental conditions </w:t>
      </w:r>
      <w:r w:rsidR="00E76EFA" w:rsidRPr="00D70994">
        <w:rPr>
          <w:color w:val="000000" w:themeColor="text1"/>
        </w:rPr>
        <w:t xml:space="preserve">provides support for the primary premise of </w:t>
      </w:r>
      <w:r w:rsidR="00182A85">
        <w:rPr>
          <w:color w:val="000000" w:themeColor="text1"/>
        </w:rPr>
        <w:t xml:space="preserve">the </w:t>
      </w:r>
      <w:r w:rsidR="00E76EFA" w:rsidRPr="00182A85">
        <w:rPr>
          <w:i/>
          <w:color w:val="000000" w:themeColor="text1"/>
        </w:rPr>
        <w:t>Reef</w:t>
      </w:r>
      <w:r w:rsidR="003F4924">
        <w:rPr>
          <w:i/>
          <w:color w:val="000000" w:themeColor="text1"/>
        </w:rPr>
        <w:t xml:space="preserve"> </w:t>
      </w:r>
      <w:r w:rsidR="00182A85" w:rsidRPr="00182A85">
        <w:rPr>
          <w:i/>
          <w:color w:val="000000" w:themeColor="text1"/>
        </w:rPr>
        <w:t xml:space="preserve">Water Quality </w:t>
      </w:r>
      <w:r w:rsidR="003F4924">
        <w:rPr>
          <w:i/>
          <w:color w:val="000000" w:themeColor="text1"/>
        </w:rPr>
        <w:t xml:space="preserve">Protection </w:t>
      </w:r>
      <w:r w:rsidR="00E76EFA" w:rsidRPr="00182A85">
        <w:rPr>
          <w:i/>
          <w:color w:val="000000" w:themeColor="text1"/>
        </w:rPr>
        <w:t>Plan</w:t>
      </w:r>
      <w:r w:rsidR="00182A85">
        <w:rPr>
          <w:color w:val="000000" w:themeColor="text1"/>
        </w:rPr>
        <w:t xml:space="preserve"> (R</w:t>
      </w:r>
      <w:r w:rsidR="003F4924">
        <w:rPr>
          <w:color w:val="000000" w:themeColor="text1"/>
        </w:rPr>
        <w:t>eef Plan</w:t>
      </w:r>
      <w:r w:rsidR="00182A85">
        <w:rPr>
          <w:color w:val="000000" w:themeColor="text1"/>
        </w:rPr>
        <w:t>)</w:t>
      </w:r>
      <w:r w:rsidR="00E76EFA" w:rsidRPr="00D70994">
        <w:rPr>
          <w:color w:val="000000" w:themeColor="text1"/>
        </w:rPr>
        <w:t xml:space="preserve">, that </w:t>
      </w:r>
      <w:r w:rsidR="00892E75" w:rsidRPr="00D70994">
        <w:rPr>
          <w:color w:val="000000" w:themeColor="text1"/>
        </w:rPr>
        <w:t xml:space="preserve">load reduction </w:t>
      </w:r>
      <w:r w:rsidR="00E76EFA" w:rsidRPr="00D70994">
        <w:rPr>
          <w:color w:val="000000" w:themeColor="text1"/>
        </w:rPr>
        <w:t>will have downstream environmental benefits for the Reef</w:t>
      </w:r>
      <w:r w:rsidR="00892E75" w:rsidRPr="00D70994">
        <w:rPr>
          <w:color w:val="000000" w:themeColor="text1"/>
        </w:rPr>
        <w:t>.</w:t>
      </w:r>
      <w:r w:rsidR="00E75F5C" w:rsidRPr="00D70994">
        <w:rPr>
          <w:color w:val="000000" w:themeColor="text1"/>
        </w:rPr>
        <w:t xml:space="preserve"> </w:t>
      </w:r>
    </w:p>
    <w:p w14:paraId="3743E979" w14:textId="3B7367CA" w:rsidR="00335CBC" w:rsidRPr="00606B90" w:rsidRDefault="00335CBC" w:rsidP="00D2045F">
      <w:pPr>
        <w:autoSpaceDE w:val="0"/>
        <w:autoSpaceDN w:val="0"/>
        <w:adjustRightInd w:val="0"/>
        <w:rPr>
          <w:color w:val="000000" w:themeColor="text1"/>
        </w:rPr>
      </w:pPr>
      <w:r w:rsidRPr="00606B90">
        <w:rPr>
          <w:color w:val="000000" w:themeColor="text1"/>
        </w:rPr>
        <w:t xml:space="preserve">In addition to the effects of </w:t>
      </w:r>
      <w:r w:rsidR="003D1A53" w:rsidRPr="00606B90">
        <w:rPr>
          <w:color w:val="000000" w:themeColor="text1"/>
        </w:rPr>
        <w:t>run</w:t>
      </w:r>
      <w:r w:rsidR="00182A85">
        <w:rPr>
          <w:color w:val="000000" w:themeColor="text1"/>
        </w:rPr>
        <w:t>-</w:t>
      </w:r>
      <w:r w:rsidR="003D1A53" w:rsidRPr="00606B90">
        <w:rPr>
          <w:color w:val="000000" w:themeColor="text1"/>
        </w:rPr>
        <w:t xml:space="preserve">off </w:t>
      </w:r>
      <w:r w:rsidRPr="00606B90">
        <w:rPr>
          <w:color w:val="000000" w:themeColor="text1"/>
        </w:rPr>
        <w:t>on</w:t>
      </w:r>
      <w:r w:rsidR="003D1A53" w:rsidRPr="00606B90">
        <w:rPr>
          <w:color w:val="000000" w:themeColor="text1"/>
        </w:rPr>
        <w:t xml:space="preserve"> the </w:t>
      </w:r>
      <w:r w:rsidR="00E70413" w:rsidRPr="00606B90">
        <w:rPr>
          <w:color w:val="000000" w:themeColor="text1"/>
        </w:rPr>
        <w:t xml:space="preserve">condition of </w:t>
      </w:r>
      <w:r w:rsidRPr="00606B90">
        <w:rPr>
          <w:color w:val="000000" w:themeColor="text1"/>
        </w:rPr>
        <w:t>inshore reefs reported here</w:t>
      </w:r>
      <w:r w:rsidR="003D1A53" w:rsidRPr="00606B90">
        <w:rPr>
          <w:color w:val="000000" w:themeColor="text1"/>
        </w:rPr>
        <w:t>,</w:t>
      </w:r>
      <w:r w:rsidR="00E70413" w:rsidRPr="00606B90">
        <w:rPr>
          <w:color w:val="000000" w:themeColor="text1"/>
        </w:rPr>
        <w:t xml:space="preserve"> </w:t>
      </w:r>
      <w:r w:rsidRPr="00606B90">
        <w:rPr>
          <w:color w:val="000000" w:themeColor="text1"/>
        </w:rPr>
        <w:t xml:space="preserve">is </w:t>
      </w:r>
      <w:r w:rsidR="00DC3A6A" w:rsidRPr="00606B90">
        <w:rPr>
          <w:color w:val="000000" w:themeColor="text1"/>
        </w:rPr>
        <w:t xml:space="preserve">that </w:t>
      </w:r>
      <w:r w:rsidRPr="00606B90">
        <w:rPr>
          <w:color w:val="000000" w:themeColor="text1"/>
        </w:rPr>
        <w:t>increased nutrient loads delivered to the Reef lagoon during major flood events</w:t>
      </w:r>
      <w:r w:rsidR="00DC3A6A" w:rsidRPr="00606B90">
        <w:rPr>
          <w:color w:val="000000" w:themeColor="text1"/>
        </w:rPr>
        <w:t xml:space="preserve"> ha</w:t>
      </w:r>
      <w:r w:rsidR="00E70413" w:rsidRPr="00606B90">
        <w:rPr>
          <w:color w:val="000000" w:themeColor="text1"/>
        </w:rPr>
        <w:t>ve</w:t>
      </w:r>
      <w:r w:rsidR="00DC3A6A" w:rsidRPr="00606B90">
        <w:rPr>
          <w:color w:val="000000" w:themeColor="text1"/>
        </w:rPr>
        <w:t xml:space="preserve"> been linked to </w:t>
      </w:r>
      <w:r w:rsidR="009A319C" w:rsidRPr="00606B90">
        <w:rPr>
          <w:color w:val="000000" w:themeColor="text1"/>
        </w:rPr>
        <w:t>the initiation of COTS outbreaks</w:t>
      </w:r>
      <w:r w:rsidRPr="00606B90">
        <w:rPr>
          <w:color w:val="000000" w:themeColor="text1"/>
        </w:rPr>
        <w:t xml:space="preserve">. </w:t>
      </w:r>
      <w:r w:rsidR="009A319C" w:rsidRPr="00606B90">
        <w:rPr>
          <w:color w:val="000000" w:themeColor="text1"/>
        </w:rPr>
        <w:t>Although</w:t>
      </w:r>
      <w:r w:rsidRPr="00606B90">
        <w:rPr>
          <w:color w:val="000000" w:themeColor="text1"/>
        </w:rPr>
        <w:t xml:space="preserve"> not typically prevalent </w:t>
      </w:r>
      <w:r w:rsidR="00E70413" w:rsidRPr="00606B90">
        <w:rPr>
          <w:color w:val="000000" w:themeColor="text1"/>
        </w:rPr>
        <w:t xml:space="preserve">on </w:t>
      </w:r>
      <w:r w:rsidRPr="00606B90">
        <w:rPr>
          <w:color w:val="000000" w:themeColor="text1"/>
        </w:rPr>
        <w:t>inshore reefs</w:t>
      </w:r>
      <w:r w:rsidR="00BD7D51" w:rsidRPr="00606B90">
        <w:rPr>
          <w:color w:val="000000" w:themeColor="text1"/>
        </w:rPr>
        <w:t>,</w:t>
      </w:r>
      <w:r w:rsidRPr="00606B90">
        <w:rPr>
          <w:color w:val="000000" w:themeColor="text1"/>
        </w:rPr>
        <w:t xml:space="preserve"> </w:t>
      </w:r>
      <w:r w:rsidR="009A319C" w:rsidRPr="00606B90">
        <w:rPr>
          <w:color w:val="000000" w:themeColor="text1"/>
        </w:rPr>
        <w:t xml:space="preserve">elevated numbers of COTS </w:t>
      </w:r>
      <w:r w:rsidRPr="00606B90">
        <w:rPr>
          <w:color w:val="000000" w:themeColor="text1"/>
        </w:rPr>
        <w:t>in the Barron</w:t>
      </w:r>
      <w:r w:rsidR="00986E92">
        <w:rPr>
          <w:color w:val="000000" w:themeColor="text1"/>
        </w:rPr>
        <w:t>–</w:t>
      </w:r>
      <w:r w:rsidRPr="00606B90">
        <w:rPr>
          <w:color w:val="000000" w:themeColor="text1"/>
        </w:rPr>
        <w:t>Daintree and Johnstone</w:t>
      </w:r>
      <w:r w:rsidR="00986E92">
        <w:rPr>
          <w:color w:val="000000" w:themeColor="text1"/>
        </w:rPr>
        <w:t>–</w:t>
      </w:r>
      <w:r w:rsidRPr="00606B90">
        <w:rPr>
          <w:color w:val="000000" w:themeColor="text1"/>
        </w:rPr>
        <w:t>Russell</w:t>
      </w:r>
      <w:r w:rsidR="00986E92">
        <w:rPr>
          <w:color w:val="000000" w:themeColor="text1"/>
        </w:rPr>
        <w:t>–</w:t>
      </w:r>
      <w:r w:rsidRPr="00606B90">
        <w:rPr>
          <w:color w:val="000000" w:themeColor="text1"/>
        </w:rPr>
        <w:t xml:space="preserve">Mulgrave </w:t>
      </w:r>
      <w:r w:rsidR="00B41EFE" w:rsidRPr="00606B90">
        <w:rPr>
          <w:color w:val="000000" w:themeColor="text1"/>
        </w:rPr>
        <w:t>sub-</w:t>
      </w:r>
      <w:r w:rsidRPr="00606B90">
        <w:rPr>
          <w:color w:val="000000" w:themeColor="text1"/>
        </w:rPr>
        <w:t>regions in recent years mirror much larger populations observed offshore. In 201</w:t>
      </w:r>
      <w:r w:rsidR="00606B90" w:rsidRPr="00606B90">
        <w:rPr>
          <w:color w:val="000000" w:themeColor="text1"/>
        </w:rPr>
        <w:t>7</w:t>
      </w:r>
      <w:r w:rsidR="00BD7D51" w:rsidRPr="00606B90">
        <w:rPr>
          <w:color w:val="000000" w:themeColor="text1"/>
        </w:rPr>
        <w:t>,</w:t>
      </w:r>
      <w:r w:rsidRPr="00606B90">
        <w:rPr>
          <w:color w:val="000000" w:themeColor="text1"/>
        </w:rPr>
        <w:t xml:space="preserve"> small numbers of COTS were observed at Fitzroy Island, High Island and the Frankl</w:t>
      </w:r>
      <w:r w:rsidR="006563F7" w:rsidRPr="00606B90">
        <w:rPr>
          <w:color w:val="000000" w:themeColor="text1"/>
        </w:rPr>
        <w:t>and Group where a range of size-</w:t>
      </w:r>
      <w:r w:rsidRPr="00606B90">
        <w:rPr>
          <w:color w:val="000000" w:themeColor="text1"/>
        </w:rPr>
        <w:t>classes indicate ongoing recruitment</w:t>
      </w:r>
      <w:r w:rsidR="00540DE4" w:rsidRPr="00606B90">
        <w:rPr>
          <w:color w:val="000000" w:themeColor="text1"/>
        </w:rPr>
        <w:t>.</w:t>
      </w:r>
      <w:r w:rsidRPr="00606B90">
        <w:rPr>
          <w:color w:val="000000" w:themeColor="text1"/>
        </w:rPr>
        <w:t xml:space="preserve"> </w:t>
      </w:r>
      <w:r w:rsidR="006563F7" w:rsidRPr="00606B90">
        <w:rPr>
          <w:color w:val="000000" w:themeColor="text1"/>
        </w:rPr>
        <w:t>T</w:t>
      </w:r>
      <w:r w:rsidR="003D1A53" w:rsidRPr="00606B90">
        <w:rPr>
          <w:color w:val="000000" w:themeColor="text1"/>
        </w:rPr>
        <w:t xml:space="preserve">he </w:t>
      </w:r>
      <w:r w:rsidRPr="00606B90">
        <w:rPr>
          <w:color w:val="000000" w:themeColor="text1"/>
        </w:rPr>
        <w:t xml:space="preserve">densities </w:t>
      </w:r>
      <w:r w:rsidR="006563F7" w:rsidRPr="00606B90">
        <w:rPr>
          <w:color w:val="000000" w:themeColor="text1"/>
        </w:rPr>
        <w:t xml:space="preserve">of COTS </w:t>
      </w:r>
      <w:r w:rsidR="00540DE4" w:rsidRPr="00606B90">
        <w:rPr>
          <w:color w:val="000000" w:themeColor="text1"/>
        </w:rPr>
        <w:t xml:space="preserve">observed </w:t>
      </w:r>
      <w:r w:rsidR="00153351" w:rsidRPr="00606B90">
        <w:rPr>
          <w:color w:val="000000" w:themeColor="text1"/>
        </w:rPr>
        <w:t>we</w:t>
      </w:r>
      <w:r w:rsidR="003D1A53" w:rsidRPr="00606B90">
        <w:rPr>
          <w:color w:val="000000" w:themeColor="text1"/>
        </w:rPr>
        <w:t xml:space="preserve">re sufficient that as these individuals grow they are </w:t>
      </w:r>
      <w:r w:rsidRPr="00606B90">
        <w:rPr>
          <w:color w:val="000000" w:themeColor="text1"/>
        </w:rPr>
        <w:t>likely to result in future damage</w:t>
      </w:r>
      <w:r w:rsidR="003D1A53" w:rsidRPr="00606B90">
        <w:rPr>
          <w:color w:val="000000" w:themeColor="text1"/>
        </w:rPr>
        <w:t xml:space="preserve"> to</w:t>
      </w:r>
      <w:r w:rsidRPr="00606B90">
        <w:rPr>
          <w:color w:val="000000" w:themeColor="text1"/>
        </w:rPr>
        <w:t xml:space="preserve"> coral communities. </w:t>
      </w:r>
    </w:p>
    <w:p w14:paraId="4360A1EC" w14:textId="77777777" w:rsidR="00335CBC" w:rsidRPr="00F352E1" w:rsidRDefault="00335CBC" w:rsidP="0012336D">
      <w:pPr>
        <w:rPr>
          <w:rFonts w:cs="Arial"/>
          <w:color w:val="4F81BD" w:themeColor="accent1"/>
          <w:szCs w:val="22"/>
        </w:rPr>
      </w:pPr>
    </w:p>
    <w:p w14:paraId="6D30A1D7" w14:textId="77777777" w:rsidR="005D3598" w:rsidRPr="00F352E1" w:rsidRDefault="004746EB" w:rsidP="00606A50">
      <w:pPr>
        <w:pStyle w:val="Caption"/>
      </w:pPr>
      <w:bookmarkStart w:id="19" w:name="_Ref438116746"/>
      <w:bookmarkStart w:id="20" w:name="_Toc437423847"/>
      <w:bookmarkStart w:id="21" w:name="_Toc437424026"/>
      <w:bookmarkStart w:id="22" w:name="_Toc437424289"/>
      <w:bookmarkStart w:id="23" w:name="_Toc437597624"/>
      <w:bookmarkStart w:id="24" w:name="_Toc393133560"/>
      <w:r w:rsidRPr="00F352E1">
        <w:rPr>
          <w:noProof/>
          <w:lang w:val="en-AU" w:eastAsia="en-AU"/>
        </w:rPr>
        <w:lastRenderedPageBreak/>
        <w:drawing>
          <wp:inline distT="0" distB="0" distL="0" distR="0" wp14:anchorId="28B1F754" wp14:editId="71D2C7E7">
            <wp:extent cx="6096012" cy="6096012"/>
            <wp:effectExtent l="0" t="0" r="0" b="0"/>
            <wp:docPr id="2" name="Picture 2" descr="A panel of four plots showing trends in coral index and individual metric scores between 2005 and 2017 for each NRM region. Key Points are discussed in the text." title="Regional Coral index sco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ms.region.paper.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6096012" cy="6096012"/>
                    </a:xfrm>
                    <a:prstGeom prst="rect">
                      <a:avLst/>
                    </a:prstGeom>
                  </pic:spPr>
                </pic:pic>
              </a:graphicData>
            </a:graphic>
          </wp:inline>
        </w:drawing>
      </w:r>
    </w:p>
    <w:p w14:paraId="7DBD9D67" w14:textId="77777777" w:rsidR="005D3598" w:rsidRPr="00F352E1" w:rsidRDefault="005D3598" w:rsidP="00606A50">
      <w:pPr>
        <w:pStyle w:val="Caption"/>
      </w:pPr>
    </w:p>
    <w:p w14:paraId="6E4C72A0" w14:textId="77777777" w:rsidR="00541958" w:rsidRPr="00C7665D" w:rsidRDefault="00E2296B" w:rsidP="00606A50">
      <w:pPr>
        <w:pStyle w:val="Caption"/>
        <w:rPr>
          <w:vanish/>
        </w:rPr>
      </w:pPr>
      <w:bookmarkStart w:id="25" w:name="_Ref491090713"/>
      <w:bookmarkStart w:id="26" w:name="_Ref501100672"/>
      <w:bookmarkStart w:id="27" w:name="_Toc514335646"/>
      <w:bookmarkEnd w:id="19"/>
      <w:r w:rsidRPr="00F352E1">
        <w:t xml:space="preserve">Figure </w:t>
      </w:r>
      <w:r w:rsidR="00626D6B">
        <w:fldChar w:fldCharType="begin"/>
      </w:r>
      <w:r w:rsidR="00626D6B">
        <w:instrText xml:space="preserve"> SEQ Figure \* ARABIC </w:instrText>
      </w:r>
      <w:r w:rsidR="00626D6B">
        <w:fldChar w:fldCharType="separate"/>
      </w:r>
      <w:r w:rsidR="00A75175">
        <w:rPr>
          <w:noProof/>
        </w:rPr>
        <w:t>1</w:t>
      </w:r>
      <w:r w:rsidR="00626D6B">
        <w:rPr>
          <w:noProof/>
        </w:rPr>
        <w:fldChar w:fldCharType="end"/>
      </w:r>
      <w:bookmarkEnd w:id="25"/>
      <w:r w:rsidRPr="00F352E1">
        <w:t xml:space="preserve"> Regional Coral Index with contributing indicator scores.</w:t>
      </w:r>
      <w:bookmarkEnd w:id="26"/>
      <w:bookmarkEnd w:id="27"/>
      <w:r w:rsidRPr="00F352E1">
        <w:t xml:space="preserve"> </w:t>
      </w:r>
      <w:bookmarkEnd w:id="20"/>
      <w:bookmarkEnd w:id="21"/>
      <w:bookmarkEnd w:id="22"/>
      <w:bookmarkEnd w:id="23"/>
    </w:p>
    <w:p w14:paraId="05D647DC" w14:textId="77777777" w:rsidR="001D4EC5" w:rsidRPr="00C7665D" w:rsidRDefault="001D4EC5" w:rsidP="00606A50">
      <w:pPr>
        <w:pStyle w:val="Caption"/>
        <w:rPr>
          <w:rStyle w:val="IntenseReference"/>
          <w:rFonts w:eastAsia="SimSun"/>
          <w:color w:val="auto"/>
        </w:rPr>
      </w:pPr>
      <w:bookmarkStart w:id="28" w:name="_Toc437424290"/>
      <w:bookmarkStart w:id="29" w:name="_Toc437432344"/>
      <w:bookmarkStart w:id="30" w:name="_Toc437597625"/>
      <w:r w:rsidRPr="00C7665D">
        <w:rPr>
          <w:rStyle w:val="IntenseReference"/>
          <w:rFonts w:eastAsia="SimSun"/>
          <w:color w:val="auto"/>
        </w:rPr>
        <w:t xml:space="preserve">The regional Coral Index is derived from the aggregate of metric scores for indicators of coral community health.  </w:t>
      </w:r>
      <w:r w:rsidR="00244FAE">
        <w:rPr>
          <w:rStyle w:val="IntenseReference"/>
          <w:rFonts w:eastAsia="SimSun"/>
          <w:color w:val="auto"/>
        </w:rPr>
        <w:t>C</w:t>
      </w:r>
      <w:r w:rsidRPr="00C7665D">
        <w:rPr>
          <w:rStyle w:val="IntenseReference"/>
          <w:rFonts w:eastAsia="SimSun"/>
          <w:color w:val="auto"/>
        </w:rPr>
        <w:t>ontributing indicators are described in</w:t>
      </w:r>
      <w:r w:rsidR="00244FAE">
        <w:rPr>
          <w:rStyle w:val="IntenseReference"/>
          <w:rFonts w:eastAsia="SimSun"/>
          <w:color w:val="auto"/>
        </w:rPr>
        <w:t xml:space="preserve"> section 4.7 of</w:t>
      </w:r>
      <w:r w:rsidRPr="00C7665D">
        <w:rPr>
          <w:rStyle w:val="IntenseReference"/>
          <w:rFonts w:eastAsia="SimSun"/>
          <w:color w:val="auto"/>
        </w:rPr>
        <w:t xml:space="preserve"> </w:t>
      </w:r>
      <w:r w:rsidR="00FD0231" w:rsidRPr="00C7665D">
        <w:rPr>
          <w:rStyle w:val="IntenseReference"/>
          <w:rFonts w:eastAsia="SimSun"/>
          <w:color w:val="auto"/>
        </w:rPr>
        <w:t xml:space="preserve">the </w:t>
      </w:r>
      <w:r w:rsidR="006563F7" w:rsidRPr="00C7665D">
        <w:rPr>
          <w:rStyle w:val="IntenseReference"/>
          <w:rFonts w:eastAsia="SimSun"/>
          <w:color w:val="auto"/>
        </w:rPr>
        <w:t>methods</w:t>
      </w:r>
      <w:r w:rsidR="00244FAE">
        <w:rPr>
          <w:rStyle w:val="IntenseReference"/>
          <w:rFonts w:eastAsia="SimSun"/>
          <w:color w:val="auto"/>
        </w:rPr>
        <w:t>.</w:t>
      </w:r>
      <w:bookmarkEnd w:id="28"/>
      <w:bookmarkEnd w:id="29"/>
      <w:bookmarkEnd w:id="30"/>
    </w:p>
    <w:p w14:paraId="088F6D69" w14:textId="77777777" w:rsidR="008A1A24" w:rsidRPr="00F352E1" w:rsidRDefault="008A1A24">
      <w:pPr>
        <w:rPr>
          <w:color w:val="4F81BD" w:themeColor="accent1"/>
          <w:lang w:val="en-AU" w:eastAsia="en-AU"/>
        </w:rPr>
      </w:pPr>
    </w:p>
    <w:bookmarkEnd w:id="24"/>
    <w:p w14:paraId="01650840" w14:textId="77777777" w:rsidR="008A1A24" w:rsidRPr="00F352E1" w:rsidRDefault="008A1A24" w:rsidP="003F0873">
      <w:pPr>
        <w:autoSpaceDE w:val="0"/>
        <w:autoSpaceDN w:val="0"/>
        <w:adjustRightInd w:val="0"/>
        <w:spacing w:after="240"/>
        <w:rPr>
          <w:color w:val="4F81BD" w:themeColor="accent1"/>
        </w:rPr>
      </w:pPr>
      <w:r w:rsidRPr="00F352E1">
        <w:rPr>
          <w:color w:val="4F81BD" w:themeColor="accent1"/>
        </w:rPr>
        <w:br w:type="page"/>
      </w:r>
    </w:p>
    <w:p w14:paraId="1BFA2E15" w14:textId="77777777" w:rsidR="008A1A24" w:rsidRPr="00D65BEC" w:rsidRDefault="008A1A24" w:rsidP="00121B7E">
      <w:pPr>
        <w:pStyle w:val="Heading1"/>
      </w:pPr>
      <w:bookmarkStart w:id="31" w:name="_Toc437424402"/>
      <w:bookmarkStart w:id="32" w:name="_Toc437424526"/>
      <w:bookmarkStart w:id="33" w:name="_Toc437432456"/>
      <w:bookmarkStart w:id="34" w:name="_Toc437432529"/>
      <w:bookmarkStart w:id="35" w:name="_Toc491847355"/>
      <w:bookmarkStart w:id="36" w:name="_Toc514408373"/>
      <w:r w:rsidRPr="00D65BEC">
        <w:lastRenderedPageBreak/>
        <w:t>Preface</w:t>
      </w:r>
      <w:bookmarkEnd w:id="31"/>
      <w:bookmarkEnd w:id="32"/>
      <w:bookmarkEnd w:id="33"/>
      <w:bookmarkEnd w:id="34"/>
      <w:bookmarkEnd w:id="35"/>
      <w:bookmarkEnd w:id="36"/>
    </w:p>
    <w:p w14:paraId="67C6A342" w14:textId="4D6F3D98" w:rsidR="002B6DF5" w:rsidRPr="00D65BEC" w:rsidRDefault="008A1A24" w:rsidP="00D2045F">
      <w:pPr>
        <w:rPr>
          <w:szCs w:val="22"/>
        </w:rPr>
      </w:pPr>
      <w:r w:rsidRPr="00D65BEC">
        <w:t xml:space="preserve">Management of human pressures, such as enhanced nutrient </w:t>
      </w:r>
      <w:r w:rsidRPr="00362093">
        <w:t>run</w:t>
      </w:r>
      <w:r w:rsidR="00362093" w:rsidRPr="00362093">
        <w:t>-</w:t>
      </w:r>
      <w:r w:rsidRPr="00362093">
        <w:t>off</w:t>
      </w:r>
      <w:r w:rsidRPr="00D65BEC">
        <w:t xml:space="preserve"> and overfishing, is vital to provide corals</w:t>
      </w:r>
      <w:r w:rsidR="00153351" w:rsidRPr="00D65BEC">
        <w:t>,</w:t>
      </w:r>
      <w:r w:rsidRPr="00D65BEC">
        <w:t xml:space="preserve"> and reef organisms</w:t>
      </w:r>
      <w:r w:rsidR="00153351" w:rsidRPr="00D65BEC">
        <w:t xml:space="preserve"> in general,</w:t>
      </w:r>
      <w:r w:rsidRPr="00D65BEC">
        <w:t xml:space="preserve"> with the optimum conditions to cope with global stressors, such as climate change and ocean acidification (Bellwood </w:t>
      </w:r>
      <w:r w:rsidRPr="00D65BEC">
        <w:rPr>
          <w:i/>
        </w:rPr>
        <w:t>et al.</w:t>
      </w:r>
      <w:r w:rsidRPr="00D65BEC">
        <w:t xml:space="preserve"> 2004, </w:t>
      </w:r>
      <w:r w:rsidR="00BB3280">
        <w:t xml:space="preserve">Marshall </w:t>
      </w:r>
      <w:r w:rsidR="00BB3280" w:rsidRPr="00D65BEC">
        <w:t>&amp;</w:t>
      </w:r>
      <w:r w:rsidR="00BB3280">
        <w:t xml:space="preserve"> </w:t>
      </w:r>
      <w:r w:rsidRPr="00D65BEC">
        <w:t xml:space="preserve">Johnson 2007, Carpenter </w:t>
      </w:r>
      <w:r w:rsidRPr="00D65BEC">
        <w:rPr>
          <w:i/>
        </w:rPr>
        <w:t>et al.</w:t>
      </w:r>
      <w:r w:rsidRPr="00D65BEC">
        <w:t xml:space="preserve"> 2008, Mora 2008, Hughes </w:t>
      </w:r>
      <w:r w:rsidRPr="00D65BEC">
        <w:rPr>
          <w:i/>
        </w:rPr>
        <w:t>et al</w:t>
      </w:r>
      <w:r w:rsidRPr="00D65BEC">
        <w:t xml:space="preserve">. 2010). The management of water quality remains a strategic priority for the </w:t>
      </w:r>
      <w:r w:rsidRPr="00D65BEC">
        <w:rPr>
          <w:lang w:eastAsia="en-AU"/>
        </w:rPr>
        <w:t xml:space="preserve">Great Barrier Reef Marine Park Authority (GBRMPA) </w:t>
      </w:r>
      <w:r w:rsidRPr="00D65BEC">
        <w:t xml:space="preserve">to ensure the long-term protection of the coastal and inshore ecosystems of the Reef (GBRMPA 2014 a, b). A key </w:t>
      </w:r>
      <w:r w:rsidR="00635877" w:rsidRPr="00D65BEC">
        <w:t>policy</w:t>
      </w:r>
      <w:r w:rsidRPr="00D65BEC">
        <w:t xml:space="preserve"> is the </w:t>
      </w:r>
      <w:r w:rsidRPr="00362093">
        <w:rPr>
          <w:i/>
        </w:rPr>
        <w:t>Reef Water Quality Protection Plan</w:t>
      </w:r>
      <w:r w:rsidRPr="00362093">
        <w:t xml:space="preserve"> (Reef Plan; Anon</w:t>
      </w:r>
      <w:r w:rsidR="005345E1" w:rsidRPr="00362093">
        <w:t>.</w:t>
      </w:r>
      <w:r w:rsidRPr="00362093">
        <w:t xml:space="preserve"> 2013), </w:t>
      </w:r>
      <w:r w:rsidR="00153351" w:rsidRPr="00362093">
        <w:t>a component of</w:t>
      </w:r>
      <w:r w:rsidR="003F4924" w:rsidRPr="00362093">
        <w:t xml:space="preserve"> the </w:t>
      </w:r>
      <w:r w:rsidR="003F4924" w:rsidRPr="00362093">
        <w:rPr>
          <w:i/>
        </w:rPr>
        <w:t>Reef 2050 Long-</w:t>
      </w:r>
      <w:r w:rsidRPr="00362093">
        <w:rPr>
          <w:i/>
        </w:rPr>
        <w:t>Term Sustainability Plan</w:t>
      </w:r>
      <w:r w:rsidR="00F01498" w:rsidRPr="00D65BEC">
        <w:t xml:space="preserve"> (Reef 2050 Plan; Commonwealth of Australia, 2015)</w:t>
      </w:r>
      <w:r w:rsidR="006563F7" w:rsidRPr="00D65BEC">
        <w:t>,</w:t>
      </w:r>
      <w:r w:rsidR="00E75F5C" w:rsidRPr="00D65BEC">
        <w:t xml:space="preserve"> </w:t>
      </w:r>
      <w:r w:rsidRPr="00D65BEC">
        <w:t xml:space="preserve">which provides a framework for the integrated management of the </w:t>
      </w:r>
      <w:r w:rsidR="00F01498" w:rsidRPr="00D65BEC">
        <w:t>Great Ba</w:t>
      </w:r>
      <w:r w:rsidR="00180836" w:rsidRPr="00D65BEC">
        <w:t>rrier Reef World Heritage Area</w:t>
      </w:r>
      <w:r w:rsidRPr="00D65BEC">
        <w:t>.</w:t>
      </w:r>
      <w:r w:rsidRPr="00D65BEC">
        <w:rPr>
          <w:szCs w:val="22"/>
        </w:rPr>
        <w:t xml:space="preserve"> </w:t>
      </w:r>
    </w:p>
    <w:p w14:paraId="4A721931" w14:textId="14122EDA" w:rsidR="008A1A24" w:rsidRPr="00F352E1" w:rsidRDefault="008A1A24" w:rsidP="00D2045F">
      <w:pPr>
        <w:rPr>
          <w:color w:val="4F81BD" w:themeColor="accent1"/>
          <w:lang w:eastAsia="en-AU"/>
        </w:rPr>
      </w:pPr>
      <w:r w:rsidRPr="00D65BEC">
        <w:rPr>
          <w:lang w:eastAsia="en-AU"/>
        </w:rPr>
        <w:t>The Marine Monitoring Program (MMP)</w:t>
      </w:r>
      <w:r w:rsidR="00153351" w:rsidRPr="00D65BEC">
        <w:rPr>
          <w:lang w:eastAsia="en-AU"/>
        </w:rPr>
        <w:t xml:space="preserve"> </w:t>
      </w:r>
      <w:r w:rsidRPr="00D65BEC">
        <w:rPr>
          <w:lang w:eastAsia="en-AU"/>
        </w:rPr>
        <w:t xml:space="preserve">was designed and developed by </w:t>
      </w:r>
      <w:r w:rsidRPr="006756ED">
        <w:rPr>
          <w:lang w:eastAsia="en-AU"/>
        </w:rPr>
        <w:t xml:space="preserve">the </w:t>
      </w:r>
      <w:r w:rsidRPr="006756ED">
        <w:t>GBRMPA in</w:t>
      </w:r>
      <w:r w:rsidRPr="00D65BEC">
        <w:t xml:space="preserve"> collaboration with science agencies and is currently funded by the </w:t>
      </w:r>
      <w:r w:rsidR="00C04305" w:rsidRPr="00D65BEC">
        <w:t xml:space="preserve">Australian Government </w:t>
      </w:r>
      <w:r w:rsidR="00502A11" w:rsidRPr="00D65BEC">
        <w:t>Reef</w:t>
      </w:r>
      <w:r w:rsidRPr="00D65BEC">
        <w:t xml:space="preserve"> P</w:t>
      </w:r>
      <w:r w:rsidR="00C04305" w:rsidRPr="00D65BEC">
        <w:t>rogramme</w:t>
      </w:r>
      <w:r w:rsidR="00E10AD2" w:rsidRPr="00D65BEC">
        <w:t xml:space="preserve"> and co-funding from research partners</w:t>
      </w:r>
      <w:r w:rsidRPr="00D65BEC">
        <w:t>.</w:t>
      </w:r>
      <w:r w:rsidRPr="00D65BEC">
        <w:rPr>
          <w:lang w:eastAsia="en-AU"/>
        </w:rPr>
        <w:t xml:space="preserve"> A summary of the MMP’s overall goals and objectives and a description of the sub-programs are available </w:t>
      </w:r>
      <w:r w:rsidR="00C976D1">
        <w:rPr>
          <w:lang w:eastAsia="en-AU"/>
        </w:rPr>
        <w:t>o</w:t>
      </w:r>
      <w:r w:rsidR="00C976D1" w:rsidRPr="00362093">
        <w:rPr>
          <w:lang w:eastAsia="en-AU"/>
        </w:rPr>
        <w:t xml:space="preserve">n </w:t>
      </w:r>
      <w:hyperlink r:id="rId29" w:history="1">
        <w:r w:rsidR="00D368F0" w:rsidRPr="00362093">
          <w:rPr>
            <w:rStyle w:val="Hyperlink"/>
            <w:color w:val="auto"/>
            <w:lang w:eastAsia="en-AU"/>
          </w:rPr>
          <w:t xml:space="preserve">the </w:t>
        </w:r>
        <w:r w:rsidR="00C976D1" w:rsidRPr="00362093">
          <w:rPr>
            <w:rStyle w:val="Hyperlink"/>
            <w:color w:val="auto"/>
            <w:lang w:eastAsia="en-AU"/>
          </w:rPr>
          <w:t xml:space="preserve">Marine Park Authority’s </w:t>
        </w:r>
        <w:r w:rsidR="00D368F0" w:rsidRPr="00362093">
          <w:rPr>
            <w:rStyle w:val="Hyperlink"/>
            <w:color w:val="auto"/>
            <w:lang w:eastAsia="en-AU"/>
          </w:rPr>
          <w:t>website</w:t>
        </w:r>
      </w:hyperlink>
      <w:r w:rsidRPr="00D65BEC">
        <w:rPr>
          <w:lang w:eastAsia="en-AU"/>
        </w:rPr>
        <w:t xml:space="preserve"> and </w:t>
      </w:r>
      <w:hyperlink r:id="rId30" w:tooltip="A summary of the MMP’s overall goals and objectives and a description of the sub-programs" w:history="1">
        <w:r w:rsidR="00D368F0" w:rsidRPr="00D65BEC">
          <w:rPr>
            <w:rStyle w:val="Hyperlink"/>
            <w:color w:val="auto"/>
          </w:rPr>
          <w:t>the e-atlas website</w:t>
        </w:r>
      </w:hyperlink>
      <w:r w:rsidRPr="006A6972">
        <w:t xml:space="preserve">. The MMP forms an integral part of the </w:t>
      </w:r>
      <w:r w:rsidRPr="006A6972">
        <w:rPr>
          <w:i/>
        </w:rPr>
        <w:t>Paddock to Reef Integrated Monitoring, Modelling and Reporting Program</w:t>
      </w:r>
      <w:r w:rsidRPr="006A6972">
        <w:t xml:space="preserve">, which is a key action of </w:t>
      </w:r>
      <w:r w:rsidRPr="00362093">
        <w:rPr>
          <w:i/>
        </w:rPr>
        <w:t>Reef Plan</w:t>
      </w:r>
      <w:r w:rsidRPr="006A6972">
        <w:t xml:space="preserve"> designed to evaluate the efficiency and effectiveness of implementation and report on progress towards </w:t>
      </w:r>
      <w:r w:rsidRPr="00362093">
        <w:rPr>
          <w:i/>
        </w:rPr>
        <w:t>Reef Plan</w:t>
      </w:r>
      <w:r w:rsidRPr="006A6972">
        <w:t xml:space="preserve"> goals and targets. A key output of the Paddock to Reef Program is an annual report card, including an assessment of Reef water quality and ecosystem condition</w:t>
      </w:r>
      <w:r w:rsidR="00264512" w:rsidRPr="006A6972">
        <w:t>,</w:t>
      </w:r>
      <w:r w:rsidRPr="006A6972">
        <w:t xml:space="preserve"> which</w:t>
      </w:r>
      <w:r w:rsidR="00264512" w:rsidRPr="006A6972">
        <w:t xml:space="preserve"> is based on MMP</w:t>
      </w:r>
      <w:r w:rsidRPr="006A6972">
        <w:t xml:space="preserve"> information (</w:t>
      </w:r>
      <w:hyperlink r:id="rId31" w:tooltip="The first Annual Reef Plan Report Card for 2009 (Anon. 2011), serves as a baseline for future assessments, recently with report cards for 2010 and 2011 " w:history="1">
        <w:r w:rsidRPr="00D65BEC">
          <w:rPr>
            <w:rStyle w:val="Hyperlink"/>
            <w:color w:val="auto"/>
          </w:rPr>
          <w:t>www.reefplan.qld.gov.au</w:t>
        </w:r>
      </w:hyperlink>
      <w:r w:rsidRPr="00D65BEC">
        <w:t>).</w:t>
      </w:r>
      <w:r w:rsidR="002B6DF5" w:rsidRPr="00D65BEC">
        <w:rPr>
          <w:lang w:eastAsia="en-AU"/>
        </w:rPr>
        <w:t xml:space="preserve"> </w:t>
      </w:r>
    </w:p>
    <w:p w14:paraId="163D58DA" w14:textId="3FC71EB4" w:rsidR="00153351" w:rsidRPr="006A6972" w:rsidRDefault="008A1A24" w:rsidP="00D2045F">
      <w:pPr>
        <w:rPr>
          <w:rFonts w:cs="Arial"/>
        </w:rPr>
      </w:pPr>
      <w:r w:rsidRPr="00A723D2">
        <w:rPr>
          <w:color w:val="000000" w:themeColor="text1"/>
        </w:rPr>
        <w:t>The Australian Institute of Marine Science (AIMS) and GBRMPA ente</w:t>
      </w:r>
      <w:r w:rsidR="00872986" w:rsidRPr="00A723D2">
        <w:rPr>
          <w:color w:val="000000" w:themeColor="text1"/>
        </w:rPr>
        <w:t xml:space="preserve">red into a </w:t>
      </w:r>
      <w:r w:rsidR="006756ED">
        <w:rPr>
          <w:color w:val="000000" w:themeColor="text1"/>
        </w:rPr>
        <w:t>partnership</w:t>
      </w:r>
      <w:r w:rsidR="00872986" w:rsidRPr="00A723D2">
        <w:rPr>
          <w:color w:val="000000" w:themeColor="text1"/>
        </w:rPr>
        <w:t xml:space="preserve"> agreeme</w:t>
      </w:r>
      <w:r w:rsidRPr="00A723D2">
        <w:rPr>
          <w:color w:val="000000" w:themeColor="text1"/>
        </w:rPr>
        <w:t xml:space="preserve">nt to provide </w:t>
      </w:r>
      <w:r w:rsidR="00AC2275" w:rsidRPr="00A723D2">
        <w:rPr>
          <w:color w:val="000000" w:themeColor="text1"/>
        </w:rPr>
        <w:t xml:space="preserve">inshore coral reef </w:t>
      </w:r>
      <w:r w:rsidRPr="00A723D2">
        <w:rPr>
          <w:color w:val="000000" w:themeColor="text1"/>
        </w:rPr>
        <w:t xml:space="preserve">monitoring under the </w:t>
      </w:r>
      <w:r w:rsidRPr="00A723D2">
        <w:rPr>
          <w:color w:val="000000" w:themeColor="text1"/>
          <w:lang w:eastAsia="en-AU"/>
        </w:rPr>
        <w:t xml:space="preserve">MMP </w:t>
      </w:r>
      <w:r w:rsidR="00A65BE1" w:rsidRPr="00A723D2">
        <w:rPr>
          <w:color w:val="000000" w:themeColor="text1"/>
          <w:lang w:eastAsia="en-AU"/>
        </w:rPr>
        <w:t>in</w:t>
      </w:r>
      <w:r w:rsidRPr="00A723D2">
        <w:rPr>
          <w:color w:val="000000" w:themeColor="text1"/>
          <w:lang w:eastAsia="en-AU"/>
        </w:rPr>
        <w:t xml:space="preserve"> 201</w:t>
      </w:r>
      <w:r w:rsidR="00A723D2" w:rsidRPr="00A723D2">
        <w:rPr>
          <w:color w:val="000000" w:themeColor="text1"/>
          <w:lang w:eastAsia="en-AU"/>
        </w:rPr>
        <w:t>7</w:t>
      </w:r>
      <w:r w:rsidR="00226BCC" w:rsidRPr="00A723D2">
        <w:rPr>
          <w:color w:val="000000" w:themeColor="text1"/>
          <w:lang w:eastAsia="en-AU"/>
        </w:rPr>
        <w:t xml:space="preserve"> and 201</w:t>
      </w:r>
      <w:r w:rsidR="00A723D2" w:rsidRPr="00A723D2">
        <w:rPr>
          <w:color w:val="000000" w:themeColor="text1"/>
          <w:lang w:eastAsia="en-AU"/>
        </w:rPr>
        <w:t>8</w:t>
      </w:r>
      <w:r w:rsidRPr="00A723D2">
        <w:rPr>
          <w:color w:val="000000" w:themeColor="text1"/>
          <w:lang w:eastAsia="en-AU"/>
        </w:rPr>
        <w:t>.</w:t>
      </w:r>
      <w:r w:rsidRPr="00F352E1">
        <w:rPr>
          <w:color w:val="4F81BD" w:themeColor="accent1"/>
          <w:lang w:eastAsia="en-AU"/>
        </w:rPr>
        <w:t xml:space="preserve"> </w:t>
      </w:r>
      <w:r w:rsidRPr="00426920">
        <w:rPr>
          <w:lang w:eastAsia="en-AU"/>
        </w:rPr>
        <w:t>Th</w:t>
      </w:r>
      <w:r w:rsidR="00AC2275" w:rsidRPr="00426920">
        <w:rPr>
          <w:lang w:eastAsia="en-AU"/>
        </w:rPr>
        <w:t xml:space="preserve">is </w:t>
      </w:r>
      <w:r w:rsidRPr="00426920">
        <w:rPr>
          <w:lang w:eastAsia="en-AU"/>
        </w:rPr>
        <w:t xml:space="preserve">monitoring </w:t>
      </w:r>
      <w:r w:rsidR="00AC2275" w:rsidRPr="00426920">
        <w:rPr>
          <w:lang w:eastAsia="en-AU"/>
        </w:rPr>
        <w:t>is</w:t>
      </w:r>
      <w:r w:rsidRPr="00426920">
        <w:rPr>
          <w:lang w:eastAsia="en-AU"/>
        </w:rPr>
        <w:t xml:space="preserve"> largely an extension of activities established under previous a</w:t>
      </w:r>
      <w:r w:rsidR="00AC2275" w:rsidRPr="00426920">
        <w:rPr>
          <w:lang w:eastAsia="en-AU"/>
        </w:rPr>
        <w:t xml:space="preserve">greements covering </w:t>
      </w:r>
      <w:r w:rsidRPr="00426920">
        <w:rPr>
          <w:lang w:eastAsia="en-AU"/>
        </w:rPr>
        <w:t>2005 to 201</w:t>
      </w:r>
      <w:r w:rsidR="001D3B25" w:rsidRPr="00426920">
        <w:rPr>
          <w:lang w:eastAsia="en-AU"/>
        </w:rPr>
        <w:t>4</w:t>
      </w:r>
      <w:r w:rsidR="00AC2275" w:rsidRPr="00426920">
        <w:rPr>
          <w:lang w:eastAsia="en-AU"/>
        </w:rPr>
        <w:t>.</w:t>
      </w:r>
      <w:r w:rsidR="00E75F5C" w:rsidRPr="00426920">
        <w:rPr>
          <w:lang w:eastAsia="en-AU"/>
        </w:rPr>
        <w:t xml:space="preserve"> </w:t>
      </w:r>
      <w:r w:rsidR="00934A33" w:rsidRPr="00426920">
        <w:rPr>
          <w:lang w:eastAsia="en-AU"/>
        </w:rPr>
        <w:t xml:space="preserve">This </w:t>
      </w:r>
      <w:r w:rsidRPr="00426920">
        <w:rPr>
          <w:lang w:eastAsia="en-AU"/>
        </w:rPr>
        <w:t>report</w:t>
      </w:r>
      <w:r w:rsidR="004D0692" w:rsidRPr="00426920">
        <w:rPr>
          <w:lang w:eastAsia="en-AU"/>
        </w:rPr>
        <w:t xml:space="preserve"> </w:t>
      </w:r>
      <w:r w:rsidRPr="00426920">
        <w:rPr>
          <w:lang w:eastAsia="en-AU"/>
        </w:rPr>
        <w:t xml:space="preserve">covers </w:t>
      </w:r>
      <w:r w:rsidR="00872986" w:rsidRPr="00426920">
        <w:rPr>
          <w:lang w:eastAsia="en-AU"/>
        </w:rPr>
        <w:t xml:space="preserve">coral reef monitoring </w:t>
      </w:r>
      <w:r w:rsidRPr="00426920">
        <w:rPr>
          <w:lang w:eastAsia="en-AU"/>
        </w:rPr>
        <w:t xml:space="preserve">conducted </w:t>
      </w:r>
      <w:r w:rsidR="007D6AD0">
        <w:rPr>
          <w:lang w:eastAsia="en-AU"/>
        </w:rPr>
        <w:t xml:space="preserve">by the MMP until </w:t>
      </w:r>
      <w:r w:rsidR="00872986" w:rsidRPr="00426920">
        <w:rPr>
          <w:lang w:eastAsia="en-AU"/>
        </w:rPr>
        <w:t>August 20</w:t>
      </w:r>
      <w:r w:rsidR="00E10AD2" w:rsidRPr="00426920">
        <w:rPr>
          <w:lang w:eastAsia="en-AU"/>
        </w:rPr>
        <w:t>17</w:t>
      </w:r>
      <w:r w:rsidR="00226BCC" w:rsidRPr="00426920">
        <w:rPr>
          <w:lang w:eastAsia="en-AU"/>
        </w:rPr>
        <w:t xml:space="preserve"> </w:t>
      </w:r>
      <w:r w:rsidRPr="00426920">
        <w:rPr>
          <w:lang w:eastAsia="en-AU"/>
        </w:rPr>
        <w:t xml:space="preserve">with inclusion of data from </w:t>
      </w:r>
      <w:r w:rsidR="007D6AD0">
        <w:rPr>
          <w:lang w:eastAsia="en-AU"/>
        </w:rPr>
        <w:t xml:space="preserve">inshore reefs monitored by the </w:t>
      </w:r>
      <w:r w:rsidR="00180836" w:rsidRPr="00426920">
        <w:rPr>
          <w:lang w:eastAsia="en-AU"/>
        </w:rPr>
        <w:t xml:space="preserve">AIMS </w:t>
      </w:r>
      <w:r w:rsidR="00872986" w:rsidRPr="00426920">
        <w:rPr>
          <w:lang w:eastAsia="en-AU"/>
        </w:rPr>
        <w:t>L</w:t>
      </w:r>
      <w:r w:rsidR="00180836" w:rsidRPr="00426920">
        <w:rPr>
          <w:lang w:eastAsia="en-AU"/>
        </w:rPr>
        <w:t>ong-Term Monitoring Program (LTMP)</w:t>
      </w:r>
      <w:r w:rsidR="007D6AD0">
        <w:rPr>
          <w:lang w:eastAsia="en-AU"/>
        </w:rPr>
        <w:t xml:space="preserve"> from 2005 to 2016</w:t>
      </w:r>
      <w:r w:rsidRPr="00426920">
        <w:t>.</w:t>
      </w:r>
      <w:r w:rsidR="00934A33" w:rsidRPr="00426920">
        <w:t xml:space="preserve"> In</w:t>
      </w:r>
      <w:r w:rsidR="00153351" w:rsidRPr="00426920">
        <w:t>-</w:t>
      </w:r>
      <w:r w:rsidR="00934A33" w:rsidRPr="00426920">
        <w:rPr>
          <w:lang w:eastAsia="en-AU"/>
        </w:rPr>
        <w:t xml:space="preserve">keeping with the overarching objective of the MMP, to </w:t>
      </w:r>
      <w:r w:rsidR="00934A33" w:rsidRPr="00426920">
        <w:rPr>
          <w:rFonts w:cs="Arial"/>
          <w:i/>
          <w:szCs w:val="22"/>
        </w:rPr>
        <w:t>“Assess trends in ecosystem health and resilience indicators for the Great Barrier Reef in relation to water quality and its linkages to end-of-catchment loads</w:t>
      </w:r>
      <w:r w:rsidR="00934A33" w:rsidRPr="00426920">
        <w:rPr>
          <w:rFonts w:cs="Arial"/>
          <w:i/>
        </w:rPr>
        <w:t xml:space="preserve">”, </w:t>
      </w:r>
      <w:r w:rsidR="00934A33" w:rsidRPr="00426920">
        <w:rPr>
          <w:rFonts w:cs="Arial"/>
        </w:rPr>
        <w:t xml:space="preserve">key water quality results reported by (Waterhouse </w:t>
      </w:r>
      <w:r w:rsidR="00934A33" w:rsidRPr="00426920">
        <w:rPr>
          <w:rFonts w:cs="Arial"/>
          <w:i/>
        </w:rPr>
        <w:t>et al.</w:t>
      </w:r>
      <w:r w:rsidR="00934A33" w:rsidRPr="00426920">
        <w:rPr>
          <w:rFonts w:cs="Arial"/>
        </w:rPr>
        <w:t xml:space="preserve"> 201</w:t>
      </w:r>
      <w:r w:rsidR="00A723D2">
        <w:rPr>
          <w:rFonts w:cs="Arial"/>
        </w:rPr>
        <w:t>8</w:t>
      </w:r>
      <w:r w:rsidR="00934A33" w:rsidRPr="00426920">
        <w:rPr>
          <w:rFonts w:cs="Arial"/>
        </w:rPr>
        <w:t xml:space="preserve">) </w:t>
      </w:r>
      <w:r w:rsidR="00934A33" w:rsidRPr="006A6972">
        <w:rPr>
          <w:rFonts w:cs="Arial"/>
        </w:rPr>
        <w:t>are replicated here as required for interpretation.</w:t>
      </w:r>
    </w:p>
    <w:p w14:paraId="4A8653D3" w14:textId="77777777" w:rsidR="00153351" w:rsidRPr="00F352E1" w:rsidRDefault="00153351">
      <w:pPr>
        <w:jc w:val="left"/>
        <w:rPr>
          <w:rFonts w:cs="Arial"/>
          <w:color w:val="4F81BD" w:themeColor="accent1"/>
        </w:rPr>
      </w:pPr>
      <w:r w:rsidRPr="00F352E1">
        <w:rPr>
          <w:rFonts w:cs="Arial"/>
          <w:color w:val="4F81BD" w:themeColor="accent1"/>
        </w:rPr>
        <w:br w:type="page"/>
      </w:r>
    </w:p>
    <w:p w14:paraId="1E4A9B13" w14:textId="77777777" w:rsidR="008A1A24" w:rsidRPr="006A6972" w:rsidRDefault="008A1A24" w:rsidP="00121B7E">
      <w:pPr>
        <w:pStyle w:val="Heading1"/>
      </w:pPr>
      <w:bookmarkStart w:id="37" w:name="_Toc167192422"/>
      <w:bookmarkStart w:id="38" w:name="_Toc437424403"/>
      <w:bookmarkStart w:id="39" w:name="_Toc437424527"/>
      <w:bookmarkStart w:id="40" w:name="_Toc437432457"/>
      <w:bookmarkStart w:id="41" w:name="_Toc437432530"/>
      <w:bookmarkStart w:id="42" w:name="_Toc491847356"/>
      <w:bookmarkStart w:id="43" w:name="_Toc514408374"/>
      <w:bookmarkStart w:id="44" w:name="_Toc330104786"/>
      <w:bookmarkStart w:id="45" w:name="_Toc330104937"/>
      <w:bookmarkStart w:id="46" w:name="_Toc330105841"/>
      <w:bookmarkStart w:id="47" w:name="_Toc330113421"/>
      <w:bookmarkStart w:id="48" w:name="_Toc330115339"/>
      <w:bookmarkStart w:id="49" w:name="_Toc330177419"/>
      <w:bookmarkStart w:id="50" w:name="_Toc330177763"/>
      <w:bookmarkStart w:id="51" w:name="_Toc330191361"/>
      <w:bookmarkStart w:id="52" w:name="_Toc330281974"/>
      <w:r w:rsidRPr="006A6972">
        <w:lastRenderedPageBreak/>
        <w:t>Introduction</w:t>
      </w:r>
      <w:bookmarkEnd w:id="37"/>
      <w:bookmarkEnd w:id="38"/>
      <w:bookmarkEnd w:id="39"/>
      <w:bookmarkEnd w:id="40"/>
      <w:bookmarkEnd w:id="41"/>
      <w:bookmarkEnd w:id="42"/>
      <w:bookmarkEnd w:id="43"/>
    </w:p>
    <w:p w14:paraId="2F2BDE14" w14:textId="77777777" w:rsidR="00A937E5" w:rsidRPr="006A6972" w:rsidRDefault="00A937E5" w:rsidP="00D2045F">
      <w:r w:rsidRPr="006A6972">
        <w:t>It is well documented that sediment and nutrient loads carried by land run</w:t>
      </w:r>
      <w:r w:rsidR="00801421" w:rsidRPr="006A6972">
        <w:t>-</w:t>
      </w:r>
      <w:r w:rsidRPr="006A6972">
        <w:t xml:space="preserve">off into the coastal and inshore zones of the Great Barrier Reef </w:t>
      </w:r>
      <w:r w:rsidR="00F01498" w:rsidRPr="006A6972">
        <w:t xml:space="preserve">World Heritage Area </w:t>
      </w:r>
      <w:r w:rsidRPr="006A6972">
        <w:rPr>
          <w:rFonts w:eastAsia="MS Mincho"/>
          <w:lang w:eastAsia="ja-JP"/>
        </w:rPr>
        <w:t>(</w:t>
      </w:r>
      <w:r w:rsidR="00226BCC" w:rsidRPr="006A6972">
        <w:rPr>
          <w:rFonts w:eastAsia="MS Mincho"/>
          <w:lang w:eastAsia="ja-JP"/>
        </w:rPr>
        <w:t xml:space="preserve">the </w:t>
      </w:r>
      <w:r w:rsidRPr="006A6972">
        <w:t>Reef)</w:t>
      </w:r>
      <w:r w:rsidRPr="006A6972">
        <w:rPr>
          <w:rFonts w:eastAsia="MS Mincho"/>
          <w:lang w:eastAsia="ja-JP"/>
        </w:rPr>
        <w:t xml:space="preserve"> </w:t>
      </w:r>
      <w:r w:rsidRPr="006A6972">
        <w:t xml:space="preserve">have increased since European settlement (e.g., Kroon </w:t>
      </w:r>
      <w:r w:rsidRPr="006A6972">
        <w:rPr>
          <w:i/>
        </w:rPr>
        <w:t>et al</w:t>
      </w:r>
      <w:r w:rsidR="00522D23" w:rsidRPr="006A6972">
        <w:t>. 2012,</w:t>
      </w:r>
      <w:r w:rsidRPr="006A6972">
        <w:t xml:space="preserve"> Waters </w:t>
      </w:r>
      <w:r w:rsidRPr="006A6972">
        <w:rPr>
          <w:i/>
        </w:rPr>
        <w:t>et al.</w:t>
      </w:r>
      <w:r w:rsidRPr="006A6972">
        <w:t xml:space="preserve"> 2014). </w:t>
      </w:r>
      <w:r w:rsidR="00153351" w:rsidRPr="006A6972">
        <w:t>Ongoing concern</w:t>
      </w:r>
      <w:r w:rsidRPr="006A6972">
        <w:t xml:space="preserve"> </w:t>
      </w:r>
      <w:r w:rsidR="00646C53" w:rsidRPr="006A6972">
        <w:t xml:space="preserve">that </w:t>
      </w:r>
      <w:r w:rsidRPr="006A6972">
        <w:t xml:space="preserve">these increases were </w:t>
      </w:r>
      <w:r w:rsidR="00646C53" w:rsidRPr="006A6972">
        <w:t xml:space="preserve">negatively impacting </w:t>
      </w:r>
      <w:r w:rsidRPr="006A6972">
        <w:t xml:space="preserve">the Reef ecosystem triggered the formulation </w:t>
      </w:r>
      <w:r w:rsidR="00646C53" w:rsidRPr="006A6972">
        <w:t xml:space="preserve">and subsequent updating </w:t>
      </w:r>
      <w:r w:rsidRPr="006A6972">
        <w:t xml:space="preserve">of the Reef Water Quality Protection Plan (Reef Plan) for </w:t>
      </w:r>
      <w:r w:rsidR="00934A33" w:rsidRPr="006A6972">
        <w:t xml:space="preserve">adjacent </w:t>
      </w:r>
      <w:r w:rsidRPr="006A6972">
        <w:t xml:space="preserve">catchments </w:t>
      </w:r>
      <w:r w:rsidR="00522D23" w:rsidRPr="006A6972">
        <w:t>(Anon. 2003,</w:t>
      </w:r>
      <w:r w:rsidRPr="006A6972">
        <w:t xml:space="preserve"> 2009</w:t>
      </w:r>
      <w:r w:rsidR="00646C53" w:rsidRPr="006A6972">
        <w:t>, 2013</w:t>
      </w:r>
      <w:r w:rsidRPr="006A6972">
        <w:t xml:space="preserve">). The </w:t>
      </w:r>
      <w:r w:rsidRPr="00362093">
        <w:rPr>
          <w:i/>
        </w:rPr>
        <w:t>Reef 2050 Plan</w:t>
      </w:r>
      <w:r w:rsidRPr="006A6972">
        <w:t xml:space="preserve"> </w:t>
      </w:r>
      <w:r w:rsidR="009A63A3" w:rsidRPr="006A6972">
        <w:t xml:space="preserve">includes the </w:t>
      </w:r>
      <w:r w:rsidR="009A63A3" w:rsidRPr="00362093">
        <w:rPr>
          <w:i/>
        </w:rPr>
        <w:t>Reef Plan</w:t>
      </w:r>
      <w:r w:rsidR="009A63A3" w:rsidRPr="006A6972">
        <w:t xml:space="preserve"> </w:t>
      </w:r>
      <w:r w:rsidRPr="006A6972">
        <w:t xml:space="preserve">actions and initiatives to </w:t>
      </w:r>
      <w:r w:rsidR="009A63A3" w:rsidRPr="006A6972">
        <w:t xml:space="preserve">change </w:t>
      </w:r>
      <w:r w:rsidRPr="006A6972">
        <w:t>land management practices to achieve improvement in downstream water quality of creeks and rivers. These actions and initiatives should, with time, lead to improved water quality in the coastal and inshore Reef that</w:t>
      </w:r>
      <w:r w:rsidR="002D755D" w:rsidRPr="006A6972">
        <w:t>,</w:t>
      </w:r>
      <w:r w:rsidRPr="006A6972">
        <w:t xml:space="preserve"> in turn</w:t>
      </w:r>
      <w:r w:rsidR="002D755D" w:rsidRPr="006A6972">
        <w:t>,</w:t>
      </w:r>
      <w:r w:rsidRPr="006A6972">
        <w:t xml:space="preserve"> support the ongoing health and resilience of </w:t>
      </w:r>
      <w:r w:rsidR="009A63A3" w:rsidRPr="006A6972">
        <w:t xml:space="preserve">the </w:t>
      </w:r>
      <w:r w:rsidRPr="006A6972">
        <w:t xml:space="preserve">Great Barrier Reef (see Brodie </w:t>
      </w:r>
      <w:r w:rsidRPr="006A6972">
        <w:rPr>
          <w:i/>
        </w:rPr>
        <w:t>et al.</w:t>
      </w:r>
      <w:r w:rsidRPr="006A6972">
        <w:t xml:space="preserve"> 2012</w:t>
      </w:r>
      <w:r w:rsidR="00A63E90" w:rsidRPr="006A6972">
        <w:t>a</w:t>
      </w:r>
      <w:r w:rsidRPr="006A6972">
        <w:t xml:space="preserve"> for a discussion of expected time lags in the ecosystem response). </w:t>
      </w:r>
    </w:p>
    <w:p w14:paraId="40F36541" w14:textId="77777777" w:rsidR="00A937E5" w:rsidRPr="006A6972" w:rsidRDefault="00A937E5" w:rsidP="00D2045F">
      <w:r w:rsidRPr="00362093">
        <w:rPr>
          <w:i/>
        </w:rPr>
        <w:t>Reef Plan</w:t>
      </w:r>
      <w:r w:rsidRPr="006A6972">
        <w:t xml:space="preserve"> can be considered in a </w:t>
      </w:r>
      <w:r w:rsidRPr="006A6972">
        <w:rPr>
          <w:i/>
        </w:rPr>
        <w:t>Drivers-Pressures-States-Impacts-Responses</w:t>
      </w:r>
      <w:r w:rsidRPr="006A6972">
        <w:t xml:space="preserve"> (DPSIR) framework (Maxim </w:t>
      </w:r>
      <w:r w:rsidRPr="006A6972">
        <w:rPr>
          <w:i/>
        </w:rPr>
        <w:t>et al.</w:t>
      </w:r>
      <w:r w:rsidRPr="006A6972">
        <w:t xml:space="preserve"> 2009, Rehr </w:t>
      </w:r>
      <w:r w:rsidRPr="006A6972">
        <w:rPr>
          <w:i/>
        </w:rPr>
        <w:t>et al.</w:t>
      </w:r>
      <w:r w:rsidRPr="006A6972">
        <w:t xml:space="preserve"> 2012). Socio-economic factors are the </w:t>
      </w:r>
      <w:r w:rsidRPr="006A6972">
        <w:rPr>
          <w:i/>
        </w:rPr>
        <w:t>drivers</w:t>
      </w:r>
      <w:r w:rsidRPr="006A6972">
        <w:t xml:space="preserve"> of human activ</w:t>
      </w:r>
      <w:r w:rsidR="00463651" w:rsidRPr="006A6972">
        <w:t>ities</w:t>
      </w:r>
      <w:r w:rsidRPr="006A6972">
        <w:t xml:space="preserve"> from local</w:t>
      </w:r>
      <w:r w:rsidR="00BA365B" w:rsidRPr="006A6972">
        <w:t xml:space="preserve"> -</w:t>
      </w:r>
      <w:r w:rsidRPr="006A6972">
        <w:t xml:space="preserve"> within catchment</w:t>
      </w:r>
      <w:r w:rsidR="00153351" w:rsidRPr="006A6972">
        <w:t>,</w:t>
      </w:r>
      <w:r w:rsidR="00BA365B" w:rsidRPr="006A6972">
        <w:t xml:space="preserve"> </w:t>
      </w:r>
      <w:r w:rsidRPr="006A6972">
        <w:t>through to global scale</w:t>
      </w:r>
      <w:r w:rsidR="00BA365B" w:rsidRPr="006A6972">
        <w:t>s</w:t>
      </w:r>
      <w:r w:rsidRPr="006A6972">
        <w:t>. Human activities result</w:t>
      </w:r>
      <w:r w:rsidR="009A63A3" w:rsidRPr="006A6972">
        <w:t xml:space="preserve"> in</w:t>
      </w:r>
      <w:r w:rsidRPr="006A6972">
        <w:t xml:space="preserve"> </w:t>
      </w:r>
      <w:r w:rsidR="00BA365B" w:rsidRPr="006A6972">
        <w:t>local</w:t>
      </w:r>
      <w:r w:rsidRPr="006A6972">
        <w:t xml:space="preserve"> </w:t>
      </w:r>
      <w:r w:rsidR="00BA365B" w:rsidRPr="006A6972">
        <w:t xml:space="preserve">scale </w:t>
      </w:r>
      <w:r w:rsidRPr="006A6972">
        <w:rPr>
          <w:i/>
        </w:rPr>
        <w:t>pressures</w:t>
      </w:r>
      <w:r w:rsidRPr="006A6972">
        <w:t xml:space="preserve"> on downstream ecosystems such as increased exposure to sediments, nutrients and toxicants th</w:t>
      </w:r>
      <w:r w:rsidR="00BA365B" w:rsidRPr="006A6972">
        <w:t>rough to</w:t>
      </w:r>
      <w:r w:rsidRPr="006A6972">
        <w:t xml:space="preserve"> global </w:t>
      </w:r>
      <w:r w:rsidRPr="006A6972">
        <w:rPr>
          <w:i/>
        </w:rPr>
        <w:t>pressures</w:t>
      </w:r>
      <w:r w:rsidRPr="006A6972">
        <w:t xml:space="preserve"> such as climate change. These </w:t>
      </w:r>
      <w:r w:rsidRPr="006A6972">
        <w:rPr>
          <w:i/>
        </w:rPr>
        <w:t>pressures</w:t>
      </w:r>
      <w:r w:rsidRPr="006A6972">
        <w:t xml:space="preserve"> change the </w:t>
      </w:r>
      <w:r w:rsidRPr="006A6972">
        <w:rPr>
          <w:i/>
        </w:rPr>
        <w:t>state</w:t>
      </w:r>
      <w:r w:rsidRPr="006A6972">
        <w:t xml:space="preserve"> of </w:t>
      </w:r>
      <w:r w:rsidR="00CF3475" w:rsidRPr="006A6972">
        <w:t>the</w:t>
      </w:r>
      <w:r w:rsidRPr="006A6972">
        <w:t xml:space="preserve"> Reef ecosystems. This </w:t>
      </w:r>
      <w:r w:rsidRPr="006A6972">
        <w:rPr>
          <w:i/>
        </w:rPr>
        <w:t>state</w:t>
      </w:r>
      <w:r w:rsidRPr="006A6972">
        <w:t xml:space="preserve"> can then be interpreted in terms of </w:t>
      </w:r>
      <w:r w:rsidRPr="006A6972">
        <w:rPr>
          <w:i/>
        </w:rPr>
        <w:t>impact</w:t>
      </w:r>
      <w:r w:rsidRPr="006A6972">
        <w:t xml:space="preserve"> on desirable ecosystem functioning or services that in turn can be used to inform decisions as to the need for </w:t>
      </w:r>
      <w:r w:rsidRPr="006A6972">
        <w:rPr>
          <w:i/>
        </w:rPr>
        <w:t>response</w:t>
      </w:r>
      <w:r w:rsidRPr="006A6972">
        <w:t xml:space="preserve"> such as policy or regulatory actions to alleviate that </w:t>
      </w:r>
      <w:r w:rsidRPr="006A6972">
        <w:rPr>
          <w:i/>
        </w:rPr>
        <w:t>impact</w:t>
      </w:r>
      <w:r w:rsidRPr="006A6972">
        <w:t>.</w:t>
      </w:r>
    </w:p>
    <w:p w14:paraId="54804D19" w14:textId="77777777" w:rsidR="00A937E5" w:rsidRPr="006A6972" w:rsidRDefault="00A937E5" w:rsidP="00D2045F">
      <w:pPr>
        <w:rPr>
          <w:lang w:val="en-US"/>
        </w:rPr>
      </w:pPr>
      <w:r w:rsidRPr="006A6972">
        <w:t xml:space="preserve">To allow the full application of a DPSIR framework requires the monitoring of both </w:t>
      </w:r>
      <w:r w:rsidRPr="006A6972">
        <w:rPr>
          <w:i/>
        </w:rPr>
        <w:t xml:space="preserve">pressures </w:t>
      </w:r>
      <w:r w:rsidRPr="006A6972">
        <w:t xml:space="preserve">and </w:t>
      </w:r>
      <w:r w:rsidRPr="006A6972">
        <w:rPr>
          <w:i/>
        </w:rPr>
        <w:t>states</w:t>
      </w:r>
      <w:r w:rsidRPr="006A6972">
        <w:t xml:space="preserve"> that should be reported</w:t>
      </w:r>
      <w:r w:rsidR="00D127D6" w:rsidRPr="006A6972">
        <w:t>,</w:t>
      </w:r>
      <w:r w:rsidRPr="006A6972">
        <w:t xml:space="preserve"> where possible</w:t>
      </w:r>
      <w:r w:rsidR="00D127D6" w:rsidRPr="006A6972">
        <w:t>,</w:t>
      </w:r>
      <w:r w:rsidRPr="006A6972">
        <w:t xml:space="preserve"> in terms of </w:t>
      </w:r>
      <w:r w:rsidRPr="006A6972">
        <w:rPr>
          <w:i/>
        </w:rPr>
        <w:t>impacts</w:t>
      </w:r>
      <w:r w:rsidRPr="006A6972">
        <w:t xml:space="preserve"> so that appropriate management </w:t>
      </w:r>
      <w:r w:rsidRPr="006A6972">
        <w:rPr>
          <w:i/>
        </w:rPr>
        <w:t>responses</w:t>
      </w:r>
      <w:r w:rsidRPr="006A6972">
        <w:t xml:space="preserve"> can be devised, or conversely, the outcomes of existing m</w:t>
      </w:r>
      <w:r w:rsidR="00714423" w:rsidRPr="006A6972">
        <w:t xml:space="preserve">anagement strategies assessed. </w:t>
      </w:r>
      <w:r w:rsidRPr="00362093">
        <w:rPr>
          <w:i/>
        </w:rPr>
        <w:t>Reef Plan</w:t>
      </w:r>
      <w:r w:rsidRPr="006A6972">
        <w:t xml:space="preserve"> actions included the establishment of monitoring programs extending from the paddock to the Reef (Anon. 20</w:t>
      </w:r>
      <w:r w:rsidR="00AC248D">
        <w:t>11</w:t>
      </w:r>
      <w:r w:rsidRPr="006A6972">
        <w:t xml:space="preserve">), to assess the effectiveness of </w:t>
      </w:r>
      <w:r w:rsidRPr="00362093">
        <w:rPr>
          <w:i/>
        </w:rPr>
        <w:t>Reef Plan's</w:t>
      </w:r>
      <w:r w:rsidRPr="006A6972">
        <w:t xml:space="preserve"> implementation. The MMP is an integral part of this monitoring</w:t>
      </w:r>
      <w:r w:rsidR="00E10AD2" w:rsidRPr="006A6972">
        <w:t>,</w:t>
      </w:r>
      <w:r w:rsidRPr="006A6972">
        <w:t xml:space="preserve"> providing </w:t>
      </w:r>
      <w:r w:rsidRPr="006A6972">
        <w:rPr>
          <w:lang w:val="en-US"/>
        </w:rPr>
        <w:t>physicochemical and biological data to document th</w:t>
      </w:r>
      <w:r w:rsidR="00463651" w:rsidRPr="006A6972">
        <w:rPr>
          <w:lang w:val="en-US"/>
        </w:rPr>
        <w:t>e</w:t>
      </w:r>
      <w:r w:rsidRPr="006A6972">
        <w:rPr>
          <w:lang w:val="en-US"/>
        </w:rPr>
        <w:t xml:space="preserve"> state of</w:t>
      </w:r>
      <w:r w:rsidR="00BA365B" w:rsidRPr="006A6972">
        <w:rPr>
          <w:lang w:val="en-US"/>
        </w:rPr>
        <w:t xml:space="preserve">: </w:t>
      </w:r>
      <w:r w:rsidRPr="006A6972">
        <w:rPr>
          <w:lang w:val="en-US"/>
        </w:rPr>
        <w:t>coral reefs</w:t>
      </w:r>
      <w:r w:rsidR="00BA365B" w:rsidRPr="006A6972">
        <w:rPr>
          <w:lang w:val="en-US"/>
        </w:rPr>
        <w:t xml:space="preserve">, </w:t>
      </w:r>
      <w:r w:rsidRPr="006A6972">
        <w:rPr>
          <w:lang w:val="en-US"/>
        </w:rPr>
        <w:t>seagrass beds</w:t>
      </w:r>
      <w:r w:rsidR="00BA365B" w:rsidRPr="006A6972">
        <w:rPr>
          <w:lang w:val="en-US"/>
        </w:rPr>
        <w:t>,</w:t>
      </w:r>
      <w:r w:rsidRPr="006A6972">
        <w:rPr>
          <w:lang w:val="en-US"/>
        </w:rPr>
        <w:t xml:space="preserve"> </w:t>
      </w:r>
      <w:r w:rsidR="00BA365B" w:rsidRPr="006A6972">
        <w:rPr>
          <w:lang w:val="en-US"/>
        </w:rPr>
        <w:t xml:space="preserve">water quality and concentrations of pesticides </w:t>
      </w:r>
      <w:r w:rsidRPr="006A6972">
        <w:rPr>
          <w:lang w:val="en-US"/>
        </w:rPr>
        <w:t xml:space="preserve">in inshore areas of the Reef. The MMP additionally collates observations of extrinsic pressures such as sea temperature variability, occurrence of tropical cyclones, river discharge volumes and </w:t>
      </w:r>
      <w:r w:rsidR="00E10AD2" w:rsidRPr="006A6972">
        <w:rPr>
          <w:lang w:val="en-US"/>
        </w:rPr>
        <w:t xml:space="preserve">coral </w:t>
      </w:r>
      <w:r w:rsidRPr="006A6972">
        <w:rPr>
          <w:lang w:val="en-US"/>
        </w:rPr>
        <w:t xml:space="preserve">predator populations that must be considered in any assessment of water quality </w:t>
      </w:r>
      <w:r w:rsidR="00BA365B" w:rsidRPr="006A6972">
        <w:rPr>
          <w:lang w:val="en-US"/>
        </w:rPr>
        <w:t>impacts on</w:t>
      </w:r>
      <w:r w:rsidRPr="006A6972">
        <w:rPr>
          <w:lang w:val="en-US"/>
        </w:rPr>
        <w:t xml:space="preserve"> ecosystem state.</w:t>
      </w:r>
      <w:r w:rsidR="00570B67" w:rsidRPr="006A6972">
        <w:rPr>
          <w:lang w:val="en-US"/>
        </w:rPr>
        <w:t xml:space="preserve"> Ultimately the state </w:t>
      </w:r>
      <w:r w:rsidR="00BD5271" w:rsidRPr="006A6972">
        <w:rPr>
          <w:lang w:val="en-US"/>
        </w:rPr>
        <w:t xml:space="preserve">of </w:t>
      </w:r>
      <w:r w:rsidR="00570B67" w:rsidRPr="006A6972">
        <w:rPr>
          <w:lang w:val="en-US"/>
        </w:rPr>
        <w:t xml:space="preserve">marine waters and the ecosystems of the Reef will provide both a basis for assessing the success of </w:t>
      </w:r>
      <w:r w:rsidR="00570B67" w:rsidRPr="00362093">
        <w:rPr>
          <w:i/>
          <w:lang w:val="en-US"/>
        </w:rPr>
        <w:t>Reef Plan</w:t>
      </w:r>
      <w:r w:rsidR="00570B67" w:rsidRPr="006A6972">
        <w:rPr>
          <w:lang w:val="en-US"/>
        </w:rPr>
        <w:t xml:space="preserve"> and the </w:t>
      </w:r>
      <w:r w:rsidR="008D2A85" w:rsidRPr="006A6972">
        <w:rPr>
          <w:lang w:val="en-US"/>
        </w:rPr>
        <w:t>necessity for future management strategies</w:t>
      </w:r>
      <w:r w:rsidR="00570B67" w:rsidRPr="006A6972">
        <w:rPr>
          <w:lang w:val="en-US"/>
        </w:rPr>
        <w:t>.</w:t>
      </w:r>
    </w:p>
    <w:p w14:paraId="591A93CB" w14:textId="77777777" w:rsidR="00A937E5" w:rsidRPr="006A6972" w:rsidRDefault="00A937E5" w:rsidP="00D2045F">
      <w:r w:rsidRPr="006A6972">
        <w:rPr>
          <w:lang w:val="en-US"/>
        </w:rPr>
        <w:t>The coral reef component of the MMP is based on the general understanding that healthy and resilient coral communities exist in a dynamic equilibrium</w:t>
      </w:r>
      <w:r w:rsidR="00F25002" w:rsidRPr="006A6972">
        <w:rPr>
          <w:lang w:val="en-US"/>
        </w:rPr>
        <w:t>,</w:t>
      </w:r>
      <w:r w:rsidRPr="006A6972">
        <w:rPr>
          <w:lang w:val="en-US"/>
        </w:rPr>
        <w:t xml:space="preserve"> with communities in a cycle of recovery punctuated by acute disturbance events. </w:t>
      </w:r>
      <w:r w:rsidR="00121FC3" w:rsidRPr="006A6972">
        <w:t xml:space="preserve">Common disturbances to inshore reefs include cyclones (often </w:t>
      </w:r>
      <w:r w:rsidR="00824A42">
        <w:t>coinciding</w:t>
      </w:r>
      <w:r w:rsidR="00824A42" w:rsidRPr="006A6972">
        <w:t xml:space="preserve"> </w:t>
      </w:r>
      <w:r w:rsidR="00121FC3" w:rsidRPr="006A6972">
        <w:t xml:space="preserve">with flooding), thermal bleaching, and outbreaks of crown-of-thorns </w:t>
      </w:r>
      <w:r w:rsidR="009109BA" w:rsidRPr="006A6972">
        <w:t>s</w:t>
      </w:r>
      <w:r w:rsidR="005634A3">
        <w:t>tarfish</w:t>
      </w:r>
      <w:r w:rsidR="00E15C32" w:rsidRPr="006A6972">
        <w:t xml:space="preserve"> (COTS)</w:t>
      </w:r>
      <w:r w:rsidR="00121FC3" w:rsidRPr="006A6972">
        <w:t xml:space="preserve">, all of which can result in widespread mortality of corals (e.g. Sweatman </w:t>
      </w:r>
      <w:r w:rsidR="00121FC3" w:rsidRPr="006A6972">
        <w:rPr>
          <w:i/>
        </w:rPr>
        <w:t>et al.</w:t>
      </w:r>
      <w:r w:rsidR="00121FC3" w:rsidRPr="006A6972">
        <w:t xml:space="preserve"> 2007, Osborne </w:t>
      </w:r>
      <w:r w:rsidR="00121FC3" w:rsidRPr="006A6972">
        <w:rPr>
          <w:i/>
        </w:rPr>
        <w:t>et al.</w:t>
      </w:r>
      <w:r w:rsidR="00BA365B" w:rsidRPr="006A6972">
        <w:t xml:space="preserve"> 2011)</w:t>
      </w:r>
      <w:r w:rsidR="00121FC3" w:rsidRPr="006A6972">
        <w:t xml:space="preserve">. </w:t>
      </w:r>
      <w:r w:rsidRPr="006A6972">
        <w:rPr>
          <w:lang w:val="en-US"/>
        </w:rPr>
        <w:t xml:space="preserve">The potential impact of </w:t>
      </w:r>
      <w:r w:rsidR="005F61D7" w:rsidRPr="006A6972">
        <w:rPr>
          <w:lang w:val="en-US"/>
        </w:rPr>
        <w:t xml:space="preserve">elevated nutrients </w:t>
      </w:r>
      <w:r w:rsidRPr="006A6972">
        <w:rPr>
          <w:lang w:val="en-US"/>
        </w:rPr>
        <w:t xml:space="preserve">carried into the system as runoff </w:t>
      </w:r>
      <w:r w:rsidR="00824A42">
        <w:rPr>
          <w:lang w:val="en-US"/>
        </w:rPr>
        <w:t>may</w:t>
      </w:r>
      <w:r w:rsidR="00824A42" w:rsidRPr="006A6972">
        <w:rPr>
          <w:lang w:val="en-US"/>
        </w:rPr>
        <w:t xml:space="preserve"> </w:t>
      </w:r>
      <w:r w:rsidR="005F61D7" w:rsidRPr="006A6972">
        <w:rPr>
          <w:lang w:val="en-US"/>
        </w:rPr>
        <w:t>compound the influences of acute disturbances by: increasing</w:t>
      </w:r>
      <w:r w:rsidR="00121FC3" w:rsidRPr="006A6972">
        <w:rPr>
          <w:lang w:val="en-US"/>
        </w:rPr>
        <w:t xml:space="preserve"> the susceptibility of corals to </w:t>
      </w:r>
      <w:r w:rsidR="00CA2A9D" w:rsidRPr="006A6972">
        <w:rPr>
          <w:lang w:val="en-US"/>
        </w:rPr>
        <w:t>disease (</w:t>
      </w:r>
      <w:r w:rsidR="00CA2A9D" w:rsidRPr="006A6972">
        <w:rPr>
          <w:rFonts w:cs="Arial"/>
        </w:rPr>
        <w:t xml:space="preserve">Bruno </w:t>
      </w:r>
      <w:r w:rsidR="00CA2A9D" w:rsidRPr="006A6972">
        <w:rPr>
          <w:rFonts w:cs="Arial"/>
          <w:i/>
        </w:rPr>
        <w:t>et al.</w:t>
      </w:r>
      <w:r w:rsidR="00CA2A9D" w:rsidRPr="006A6972">
        <w:rPr>
          <w:rFonts w:cs="Arial"/>
        </w:rPr>
        <w:t xml:space="preserve"> 2003, Haapkylä </w:t>
      </w:r>
      <w:r w:rsidR="00CA2A9D" w:rsidRPr="006A6972">
        <w:rPr>
          <w:rFonts w:cs="Arial"/>
          <w:i/>
        </w:rPr>
        <w:t>et al</w:t>
      </w:r>
      <w:r w:rsidR="00CA2A9D" w:rsidRPr="006A6972">
        <w:rPr>
          <w:rFonts w:cs="Arial"/>
        </w:rPr>
        <w:t xml:space="preserve">. 2011, Weber </w:t>
      </w:r>
      <w:r w:rsidR="00CA2A9D" w:rsidRPr="006A6972">
        <w:rPr>
          <w:rFonts w:cs="Arial"/>
          <w:i/>
        </w:rPr>
        <w:t>et al.</w:t>
      </w:r>
      <w:r w:rsidR="00CA2A9D" w:rsidRPr="006A6972">
        <w:rPr>
          <w:rFonts w:cs="Arial"/>
        </w:rPr>
        <w:t xml:space="preserve"> 2012, Vega Thurber </w:t>
      </w:r>
      <w:r w:rsidR="00CA2A9D" w:rsidRPr="006A6972">
        <w:rPr>
          <w:rFonts w:cs="Arial"/>
          <w:i/>
        </w:rPr>
        <w:t>et al.</w:t>
      </w:r>
      <w:r w:rsidR="00CA2A9D" w:rsidRPr="006A6972">
        <w:rPr>
          <w:rFonts w:cs="Arial"/>
        </w:rPr>
        <w:t xml:space="preserve"> 2013)</w:t>
      </w:r>
      <w:r w:rsidR="00CF3475" w:rsidRPr="006A6972">
        <w:rPr>
          <w:lang w:val="en-US"/>
        </w:rPr>
        <w:t>,</w:t>
      </w:r>
      <w:r w:rsidR="00A77C75" w:rsidRPr="006A6972">
        <w:rPr>
          <w:lang w:val="en-US"/>
        </w:rPr>
        <w:t xml:space="preserve"> </w:t>
      </w:r>
      <w:r w:rsidR="005F61D7" w:rsidRPr="006A6972">
        <w:rPr>
          <w:lang w:val="en-US"/>
        </w:rPr>
        <w:t>p</w:t>
      </w:r>
      <w:r w:rsidR="00E15C32" w:rsidRPr="006A6972">
        <w:rPr>
          <w:lang w:val="en-US"/>
        </w:rPr>
        <w:t>romot</w:t>
      </w:r>
      <w:r w:rsidR="005F61D7" w:rsidRPr="006A6972">
        <w:rPr>
          <w:lang w:val="en-US"/>
        </w:rPr>
        <w:t>ing</w:t>
      </w:r>
      <w:r w:rsidR="00E15C32" w:rsidRPr="006A6972">
        <w:rPr>
          <w:lang w:val="en-US"/>
        </w:rPr>
        <w:t xml:space="preserve"> outbreaks of COTS (Wooldridge &amp; Brodie 2015) and increas</w:t>
      </w:r>
      <w:r w:rsidR="005F61D7" w:rsidRPr="006A6972">
        <w:rPr>
          <w:lang w:val="en-US"/>
        </w:rPr>
        <w:t xml:space="preserve">ing </w:t>
      </w:r>
      <w:r w:rsidR="00E15C32" w:rsidRPr="006A6972">
        <w:rPr>
          <w:lang w:val="en-US"/>
        </w:rPr>
        <w:t>susceptibility to thermal stress (</w:t>
      </w:r>
      <w:r w:rsidR="00EC540D" w:rsidRPr="006A6972">
        <w:rPr>
          <w:lang w:val="en-US"/>
        </w:rPr>
        <w:t xml:space="preserve">Wooldridge &amp; Done 2004, Wiedenmann </w:t>
      </w:r>
      <w:r w:rsidR="00EC540D" w:rsidRPr="006A6972">
        <w:rPr>
          <w:i/>
          <w:lang w:val="en-US"/>
        </w:rPr>
        <w:t>et al.</w:t>
      </w:r>
      <w:r w:rsidR="00EC540D" w:rsidRPr="006A6972">
        <w:rPr>
          <w:lang w:val="en-US"/>
        </w:rPr>
        <w:t xml:space="preserve"> 2013</w:t>
      </w:r>
      <w:r w:rsidR="00E15C32" w:rsidRPr="006A6972">
        <w:rPr>
          <w:lang w:val="en-US"/>
        </w:rPr>
        <w:t>)</w:t>
      </w:r>
      <w:r w:rsidR="005F61D7" w:rsidRPr="006A6972">
        <w:rPr>
          <w:lang w:val="en-US"/>
        </w:rPr>
        <w:t xml:space="preserve">. Pollutants in runoff may also </w:t>
      </w:r>
      <w:r w:rsidR="00121FC3" w:rsidRPr="006A6972">
        <w:rPr>
          <w:lang w:val="en-US"/>
        </w:rPr>
        <w:t xml:space="preserve">suppress the recovery process (Schaffelke </w:t>
      </w:r>
      <w:r w:rsidR="00121FC3" w:rsidRPr="006A6972">
        <w:rPr>
          <w:i/>
          <w:lang w:val="en-US"/>
        </w:rPr>
        <w:t>et al.</w:t>
      </w:r>
      <w:r w:rsidR="00121FC3" w:rsidRPr="006A6972">
        <w:rPr>
          <w:lang w:val="en-US"/>
        </w:rPr>
        <w:t xml:space="preserve"> 2013)</w:t>
      </w:r>
      <w:r w:rsidR="00EC540D" w:rsidRPr="006A6972">
        <w:rPr>
          <w:lang w:val="en-US"/>
        </w:rPr>
        <w:t>.</w:t>
      </w:r>
      <w:r w:rsidR="00121FC3" w:rsidRPr="006A6972">
        <w:rPr>
          <w:lang w:val="en-US"/>
        </w:rPr>
        <w:t xml:space="preserve"> </w:t>
      </w:r>
      <w:r w:rsidRPr="006A6972">
        <w:t xml:space="preserve">The replacement of corals lost to disturbance is reliant on both the recruitment of new colonies and regeneration of existing colonies from remaining tissue fragments (Smith 2008, Diaz-Pulido </w:t>
      </w:r>
      <w:r w:rsidRPr="006A6972">
        <w:rPr>
          <w:i/>
        </w:rPr>
        <w:t>et al.</w:t>
      </w:r>
      <w:r w:rsidRPr="006A6972">
        <w:t xml:space="preserve"> 2009).</w:t>
      </w:r>
      <w:r w:rsidR="00714423" w:rsidRPr="006A6972">
        <w:t xml:space="preserve"> </w:t>
      </w:r>
      <w:r w:rsidRPr="006A6972">
        <w:t>Elevated concentrations of nutrients, agr</w:t>
      </w:r>
      <w:r w:rsidR="00A77C75" w:rsidRPr="006A6972">
        <w:t>o</w:t>
      </w:r>
      <w:r w:rsidRPr="006A6972">
        <w:t xml:space="preserve">chemicals, and turbidity can negatively affect reproduction in corals (reviewed by Fabricius 2005, van Dam </w:t>
      </w:r>
      <w:r w:rsidRPr="006A6972">
        <w:rPr>
          <w:i/>
        </w:rPr>
        <w:t>et al.</w:t>
      </w:r>
      <w:r w:rsidRPr="006A6972">
        <w:t xml:space="preserve"> 2011</w:t>
      </w:r>
      <w:r w:rsidR="00336583">
        <w:t>,</w:t>
      </w:r>
      <w:r w:rsidRPr="006A6972">
        <w:t xml:space="preserve"> Erftemeijer </w:t>
      </w:r>
      <w:r w:rsidRPr="006A6972">
        <w:rPr>
          <w:i/>
        </w:rPr>
        <w:t>et al.</w:t>
      </w:r>
      <w:r w:rsidRPr="006A6972">
        <w:t xml:space="preserve"> 2012). High rates of sediment deposition and accumulation on surfaces can affect larval settlement (Babcock </w:t>
      </w:r>
      <w:r w:rsidR="005A065B" w:rsidRPr="006A6972">
        <w:t>&amp;</w:t>
      </w:r>
      <w:r w:rsidRPr="006A6972">
        <w:t xml:space="preserve"> Smith 2002, Baird </w:t>
      </w:r>
      <w:r w:rsidRPr="006A6972">
        <w:rPr>
          <w:i/>
        </w:rPr>
        <w:t>et al.</w:t>
      </w:r>
      <w:r w:rsidRPr="006A6972">
        <w:t xml:space="preserve"> 2003, Fabricius </w:t>
      </w:r>
      <w:r w:rsidRPr="006A6972">
        <w:rPr>
          <w:i/>
        </w:rPr>
        <w:t>et al.</w:t>
      </w:r>
      <w:r w:rsidRPr="006A6972">
        <w:t xml:space="preserve"> 2003</w:t>
      </w:r>
      <w:r w:rsidR="00336583">
        <w:t xml:space="preserve">, Ricardo </w:t>
      </w:r>
      <w:r w:rsidR="00336583" w:rsidRPr="00336583">
        <w:rPr>
          <w:i/>
        </w:rPr>
        <w:t>et al.</w:t>
      </w:r>
      <w:r w:rsidR="00336583">
        <w:t xml:space="preserve"> </w:t>
      </w:r>
      <w:r w:rsidR="00336583" w:rsidRPr="00336583">
        <w:t>2017</w:t>
      </w:r>
      <w:r w:rsidRPr="00336583">
        <w:t>)</w:t>
      </w:r>
      <w:r w:rsidRPr="006A6972">
        <w:t xml:space="preserve"> and smother juvenile corals (Harrison </w:t>
      </w:r>
      <w:r w:rsidR="005A065B" w:rsidRPr="006A6972">
        <w:t>&amp;</w:t>
      </w:r>
      <w:r w:rsidRPr="006A6972">
        <w:t xml:space="preserve"> Wallace 1990, Rogers 1990, Fabricius </w:t>
      </w:r>
      <w:r w:rsidR="005A065B" w:rsidRPr="006A6972">
        <w:t>&amp;</w:t>
      </w:r>
      <w:r w:rsidRPr="006A6972">
        <w:t xml:space="preserve"> Wolanski 2000). In addition, macroalgae have higher abundance in areas with high water column chlorophyll</w:t>
      </w:r>
      <w:r w:rsidR="00372F57" w:rsidRPr="006A6972">
        <w:t xml:space="preserve"> </w:t>
      </w:r>
      <w:r w:rsidRPr="006A6972">
        <w:t xml:space="preserve">concentrations, indicating higher nutrient availability (De’ath </w:t>
      </w:r>
      <w:r w:rsidR="005A065B" w:rsidRPr="006A6972">
        <w:t>&amp;</w:t>
      </w:r>
      <w:r w:rsidRPr="006A6972">
        <w:t xml:space="preserve"> Fabricius 2010</w:t>
      </w:r>
      <w:r w:rsidR="001B4F6D" w:rsidRPr="006A6972">
        <w:t xml:space="preserve">, Petus </w:t>
      </w:r>
      <w:r w:rsidR="001B4F6D" w:rsidRPr="006A6972">
        <w:rPr>
          <w:i/>
        </w:rPr>
        <w:t>et al.</w:t>
      </w:r>
      <w:r w:rsidR="001B4F6D" w:rsidRPr="006A6972">
        <w:t xml:space="preserve"> 2016</w:t>
      </w:r>
      <w:r w:rsidRPr="006A6972">
        <w:t xml:space="preserve">). High macroalgal abundance may suppress reef resilience (e.g. Hughes </w:t>
      </w:r>
      <w:r w:rsidRPr="006A6972">
        <w:rPr>
          <w:i/>
        </w:rPr>
        <w:t>et al.</w:t>
      </w:r>
      <w:r w:rsidRPr="006A6972">
        <w:t xml:space="preserve"> 2007, Cheal </w:t>
      </w:r>
      <w:r w:rsidRPr="006A6972">
        <w:rPr>
          <w:i/>
        </w:rPr>
        <w:t>et al.</w:t>
      </w:r>
      <w:r w:rsidR="009F400E" w:rsidRPr="006A6972">
        <w:t xml:space="preserve"> 2010,</w:t>
      </w:r>
      <w:r w:rsidRPr="006A6972">
        <w:t xml:space="preserve"> Foster </w:t>
      </w:r>
      <w:r w:rsidRPr="006A6972">
        <w:rPr>
          <w:i/>
        </w:rPr>
        <w:t>et al.</w:t>
      </w:r>
      <w:r w:rsidR="009F400E" w:rsidRPr="006A6972">
        <w:t xml:space="preserve"> 200</w:t>
      </w:r>
      <w:r w:rsidR="00477193" w:rsidRPr="006A6972">
        <w:t>8</w:t>
      </w:r>
      <w:r w:rsidR="009F400E" w:rsidRPr="006A6972">
        <w:t>,</w:t>
      </w:r>
      <w:r w:rsidRPr="006A6972">
        <w:t xml:space="preserve"> but see Bruno </w:t>
      </w:r>
      <w:r w:rsidRPr="006A6972">
        <w:rPr>
          <w:i/>
        </w:rPr>
        <w:t>et al.</w:t>
      </w:r>
      <w:r w:rsidRPr="006A6972">
        <w:t xml:space="preserve"> 2009) by increased </w:t>
      </w:r>
      <w:r w:rsidRPr="006A6972">
        <w:lastRenderedPageBreak/>
        <w:t xml:space="preserve">competition for space or changing the microenvironment into which corals settle and grow (e.g. McCook </w:t>
      </w:r>
      <w:r w:rsidRPr="006A6972">
        <w:rPr>
          <w:i/>
        </w:rPr>
        <w:t>et al.</w:t>
      </w:r>
      <w:r w:rsidR="00522D23" w:rsidRPr="006A6972">
        <w:t xml:space="preserve"> 2001</w:t>
      </w:r>
      <w:r w:rsidRPr="006A6972">
        <w:t xml:space="preserve">, Hauri </w:t>
      </w:r>
      <w:r w:rsidRPr="006A6972">
        <w:rPr>
          <w:i/>
        </w:rPr>
        <w:t>et al.</w:t>
      </w:r>
      <w:r w:rsidRPr="006A6972">
        <w:t xml:space="preserve"> 2010). Macroalgae have been documented to suppress fecundity (Foster </w:t>
      </w:r>
      <w:r w:rsidRPr="006A6972">
        <w:rPr>
          <w:i/>
        </w:rPr>
        <w:t>et al.</w:t>
      </w:r>
      <w:r w:rsidRPr="006A6972">
        <w:t xml:space="preserve"> 2008), reduce recruitment of hard corals (Birrell </w:t>
      </w:r>
      <w:r w:rsidRPr="006A6972">
        <w:rPr>
          <w:i/>
        </w:rPr>
        <w:t>et al.</w:t>
      </w:r>
      <w:r w:rsidRPr="006A6972">
        <w:t xml:space="preserve"> 2008</w:t>
      </w:r>
      <w:r w:rsidR="00DF305A" w:rsidRPr="006A6972">
        <w:t>b</w:t>
      </w:r>
      <w:r w:rsidRPr="006A6972">
        <w:t xml:space="preserve">, Diaz-Pulido </w:t>
      </w:r>
      <w:r w:rsidRPr="006A6972">
        <w:rPr>
          <w:i/>
        </w:rPr>
        <w:t>et al.</w:t>
      </w:r>
      <w:r w:rsidRPr="006A6972">
        <w:t xml:space="preserve"> 2010), diminish the capacity of growth among local coral communities (Fabricius 2005),and suppress coral recovery by altering microbial communities associated with corals (Morrow </w:t>
      </w:r>
      <w:r w:rsidRPr="006A6972">
        <w:rPr>
          <w:i/>
        </w:rPr>
        <w:t>et al</w:t>
      </w:r>
      <w:r w:rsidRPr="006A6972">
        <w:t xml:space="preserve">. 2012, Vega Thurber </w:t>
      </w:r>
      <w:r w:rsidRPr="006A6972">
        <w:rPr>
          <w:i/>
        </w:rPr>
        <w:t>et al</w:t>
      </w:r>
      <w:r w:rsidR="00CB4912" w:rsidRPr="006A6972">
        <w:rPr>
          <w:i/>
        </w:rPr>
        <w:t>.</w:t>
      </w:r>
      <w:r w:rsidR="00CB4912" w:rsidRPr="006A6972">
        <w:t xml:space="preserve"> 2012).</w:t>
      </w:r>
    </w:p>
    <w:p w14:paraId="6BA4B92C" w14:textId="77777777" w:rsidR="00A937E5" w:rsidRPr="006A6972" w:rsidRDefault="00A937E5" w:rsidP="00D2045F">
      <w:r w:rsidRPr="006A6972">
        <w:t xml:space="preserve">In addition to influences on the early life stages of corals, changes in water quality have been shown to increase incidence of coral disease: for example </w:t>
      </w:r>
      <w:r w:rsidRPr="006A6972">
        <w:rPr>
          <w:rFonts w:cs="Arial"/>
          <w:szCs w:val="22"/>
        </w:rPr>
        <w:t xml:space="preserve">increased organic carbon concentrations promote coral diseases and mortality (Kline </w:t>
      </w:r>
      <w:r w:rsidRPr="006A6972">
        <w:rPr>
          <w:rFonts w:cs="Arial"/>
          <w:i/>
          <w:szCs w:val="22"/>
        </w:rPr>
        <w:t>et al</w:t>
      </w:r>
      <w:r w:rsidRPr="006A6972">
        <w:rPr>
          <w:rFonts w:cs="Arial"/>
          <w:szCs w:val="22"/>
        </w:rPr>
        <w:t xml:space="preserve">. 2006, Kuntz </w:t>
      </w:r>
      <w:r w:rsidRPr="006A6972">
        <w:rPr>
          <w:rFonts w:cs="Arial"/>
          <w:i/>
          <w:szCs w:val="22"/>
        </w:rPr>
        <w:t>et al</w:t>
      </w:r>
      <w:r w:rsidRPr="006A6972">
        <w:rPr>
          <w:rFonts w:cs="Arial"/>
          <w:szCs w:val="22"/>
        </w:rPr>
        <w:t xml:space="preserve">. 2005). The selective pressure of water quality on coral communities is clearly evident in changes in community composition </w:t>
      </w:r>
      <w:r w:rsidRPr="006A6972">
        <w:t xml:space="preserve">along environmental gradients (De’ath </w:t>
      </w:r>
      <w:r w:rsidR="005A065B" w:rsidRPr="006A6972">
        <w:t>&amp;</w:t>
      </w:r>
      <w:r w:rsidRPr="006A6972">
        <w:t xml:space="preserve"> Fabricius 2010, Thompson </w:t>
      </w:r>
      <w:r w:rsidRPr="006A6972">
        <w:rPr>
          <w:i/>
        </w:rPr>
        <w:t>et al.</w:t>
      </w:r>
      <w:r w:rsidRPr="006A6972">
        <w:t xml:space="preserve"> 2010, Uthicke </w:t>
      </w:r>
      <w:r w:rsidRPr="006A6972">
        <w:rPr>
          <w:i/>
        </w:rPr>
        <w:t>et al.</w:t>
      </w:r>
      <w:r w:rsidRPr="006A6972">
        <w:t xml:space="preserve"> 2010, Fabricius </w:t>
      </w:r>
      <w:r w:rsidRPr="006A6972">
        <w:rPr>
          <w:i/>
        </w:rPr>
        <w:t>et al</w:t>
      </w:r>
      <w:r w:rsidRPr="006A6972">
        <w:t>. 2012). Corals derive energy in two ways, by feeding on ingested particles and plankton</w:t>
      </w:r>
      <w:r w:rsidR="00E10AD2" w:rsidRPr="006A6972">
        <w:t>ic</w:t>
      </w:r>
      <w:r w:rsidRPr="006A6972">
        <w:t xml:space="preserve"> organisms and from the photosynthesis of their symbiotic algae (zooxanthellae). The ability to compensate</w:t>
      </w:r>
      <w:r w:rsidR="00A723D2">
        <w:t>,</w:t>
      </w:r>
      <w:r w:rsidRPr="006A6972">
        <w:t xml:space="preserve"> by feeding</w:t>
      </w:r>
      <w:r w:rsidR="00A723D2">
        <w:t>,</w:t>
      </w:r>
      <w:r w:rsidRPr="006A6972">
        <w:t xml:space="preserve"> where there is a reduction in energy derived from photosynthesis, e.g. as a result of light attenuation in turbid waters</w:t>
      </w:r>
      <w:r w:rsidR="00424239">
        <w:t xml:space="preserve"> (Bessell-Brown </w:t>
      </w:r>
      <w:r w:rsidR="00424239" w:rsidRPr="00424239">
        <w:rPr>
          <w:i/>
        </w:rPr>
        <w:t>et al.</w:t>
      </w:r>
      <w:r w:rsidR="00424239">
        <w:t xml:space="preserve"> 2017</w:t>
      </w:r>
      <w:r w:rsidR="004A1168">
        <w:t>a</w:t>
      </w:r>
      <w:r w:rsidR="00424239">
        <w:t>)</w:t>
      </w:r>
      <w:r w:rsidRPr="006A6972">
        <w:t xml:space="preserve">, varies between species (Anthony 1999, Anthony </w:t>
      </w:r>
      <w:r w:rsidR="005A065B" w:rsidRPr="006A6972">
        <w:t>&amp;</w:t>
      </w:r>
      <w:r w:rsidRPr="006A6972">
        <w:t xml:space="preserve"> Fabricius 2000). Similarly, the energy required to shed sediment varies between species due to differences in the efficiencies of passive (largely depending on growth form) or active (such as mucus production) strategies for sediment removal (Rogers 1990, Stafford-Smith </w:t>
      </w:r>
      <w:r w:rsidR="005A065B" w:rsidRPr="006A6972">
        <w:t>&amp;</w:t>
      </w:r>
      <w:r w:rsidRPr="006A6972">
        <w:t xml:space="preserve"> Ormond 1992</w:t>
      </w:r>
      <w:r w:rsidR="00336583">
        <w:t xml:space="preserve">, Duckworth </w:t>
      </w:r>
      <w:r w:rsidR="00336583" w:rsidRPr="00336583">
        <w:rPr>
          <w:i/>
        </w:rPr>
        <w:t>et al.</w:t>
      </w:r>
      <w:r w:rsidR="00336583">
        <w:t xml:space="preserve"> 2017</w:t>
      </w:r>
      <w:r w:rsidRPr="006A6972">
        <w:t xml:space="preserve">). At the same time, high nutrient levels may favour particle feeders such as sponges and heterotrophic soft corals which are potential space competitors of hard corals. The </w:t>
      </w:r>
      <w:r w:rsidR="00A723D2">
        <w:t xml:space="preserve">cumulative </w:t>
      </w:r>
      <w:r w:rsidRPr="006A6972">
        <w:t xml:space="preserve">result </w:t>
      </w:r>
      <w:r w:rsidR="00A723D2">
        <w:t xml:space="preserve">of these processes </w:t>
      </w:r>
      <w:r w:rsidRPr="006A6972">
        <w:t xml:space="preserve">is that the combination of environmental parameters at a given location will disproportionately favour some species and thus influence the community composition of coral reef benthos. </w:t>
      </w:r>
      <w:r w:rsidR="00A723D2">
        <w:t>This variability in corals</w:t>
      </w:r>
      <w:r w:rsidR="00633138">
        <w:t>’</w:t>
      </w:r>
      <w:r w:rsidR="00A723D2">
        <w:t xml:space="preserve"> </w:t>
      </w:r>
      <w:r w:rsidR="00A9237C" w:rsidRPr="006A6972">
        <w:t xml:space="preserve">tolerances to environmental pressures </w:t>
      </w:r>
      <w:r w:rsidR="00A9237C">
        <w:t xml:space="preserve">allows </w:t>
      </w:r>
      <w:r w:rsidRPr="006A6972">
        <w:t xml:space="preserve">coral communities </w:t>
      </w:r>
      <w:r w:rsidR="00A9237C">
        <w:t xml:space="preserve">to </w:t>
      </w:r>
      <w:r w:rsidRPr="006A6972">
        <w:t xml:space="preserve">occur in a wide range of environmental settings (e.g. Done 1982, Fabricius </w:t>
      </w:r>
      <w:r w:rsidR="005A065B" w:rsidRPr="006A6972">
        <w:t>&amp;</w:t>
      </w:r>
      <w:r w:rsidR="0001742D" w:rsidRPr="006A6972">
        <w:t xml:space="preserve"> De’ath 2001</w:t>
      </w:r>
      <w:r w:rsidRPr="006A6972">
        <w:t xml:space="preserve">, DeVantier </w:t>
      </w:r>
      <w:r w:rsidRPr="006A6972">
        <w:rPr>
          <w:i/>
        </w:rPr>
        <w:t>et al.</w:t>
      </w:r>
      <w:r w:rsidRPr="006A6972">
        <w:t xml:space="preserve"> 2006, De’ath </w:t>
      </w:r>
      <w:r w:rsidR="005A065B" w:rsidRPr="006A6972">
        <w:t>&amp;</w:t>
      </w:r>
      <w:r w:rsidRPr="006A6972">
        <w:t xml:space="preserve"> Fabricius 2010). </w:t>
      </w:r>
    </w:p>
    <w:p w14:paraId="2960B270" w14:textId="77777777" w:rsidR="00A937E5" w:rsidRPr="006A6972" w:rsidRDefault="00A937E5" w:rsidP="00D2045F">
      <w:r w:rsidRPr="006A6972">
        <w:t xml:space="preserve">Coral reefs in the coastal and inshore zones of the </w:t>
      </w:r>
      <w:r w:rsidRPr="006A6972">
        <w:rPr>
          <w:rFonts w:eastAsia="MS Mincho"/>
        </w:rPr>
        <w:t>Reef</w:t>
      </w:r>
      <w:r w:rsidRPr="006A6972">
        <w:t xml:space="preserve">, which are often fringing reefs around continental islands, are </w:t>
      </w:r>
      <w:r w:rsidR="002F24B6" w:rsidRPr="006A6972">
        <w:t>subject to high</w:t>
      </w:r>
      <w:r w:rsidRPr="006A6972">
        <w:t xml:space="preserve"> turbid</w:t>
      </w:r>
      <w:r w:rsidR="002F24B6" w:rsidRPr="006A6972">
        <w:t xml:space="preserve">ity </w:t>
      </w:r>
      <w:r w:rsidRPr="006A6972">
        <w:t xml:space="preserve">due to frequent exposure to re-suspended sediment and episodic flood events. It is difficult to quantify the changes to coral reef communities caused by runoff of excess nutrients and sediments because of the lack of historical biological and environmental data that predate significant land use changes on the catchment. However, recent research has strengthened the evidence for causal relationships between water quality changes and the decline of some coral reefs and seagrass meadows in these zones (reviewed in Brodie </w:t>
      </w:r>
      <w:r w:rsidRPr="006A6972">
        <w:rPr>
          <w:i/>
        </w:rPr>
        <w:t>et al.</w:t>
      </w:r>
      <w:r w:rsidRPr="006A6972">
        <w:t xml:space="preserve"> 2012</w:t>
      </w:r>
      <w:r w:rsidR="00A63E90" w:rsidRPr="006A6972">
        <w:t>b</w:t>
      </w:r>
      <w:r w:rsidRPr="006A6972">
        <w:t xml:space="preserve"> and Schaffelke </w:t>
      </w:r>
      <w:r w:rsidRPr="006A6972">
        <w:rPr>
          <w:i/>
        </w:rPr>
        <w:t>et al.</w:t>
      </w:r>
      <w:r w:rsidRPr="006A6972">
        <w:t xml:space="preserve"> 2013</w:t>
      </w:r>
      <w:r w:rsidR="00626D6B">
        <w:t xml:space="preserve">, Clark </w:t>
      </w:r>
      <w:r w:rsidR="00626D6B" w:rsidRPr="00626D6B">
        <w:rPr>
          <w:i/>
        </w:rPr>
        <w:t>et al</w:t>
      </w:r>
      <w:r w:rsidR="00626D6B">
        <w:t>. 2017</w:t>
      </w:r>
      <w:r w:rsidRPr="006A6972">
        <w:t>).</w:t>
      </w:r>
    </w:p>
    <w:p w14:paraId="7DAA4A6D" w14:textId="2F10F24D" w:rsidR="00A937E5" w:rsidRPr="006A6972" w:rsidRDefault="00A937E5" w:rsidP="00D2045F">
      <w:r w:rsidRPr="006A6972">
        <w:t xml:space="preserve">Given that the benthic communities </w:t>
      </w:r>
      <w:r w:rsidR="001B4F6D" w:rsidRPr="006A6972">
        <w:t>i</w:t>
      </w:r>
      <w:r w:rsidRPr="006A6972">
        <w:t xml:space="preserve">n inshore </w:t>
      </w:r>
      <w:r w:rsidR="001B4F6D" w:rsidRPr="006A6972">
        <w:t>areas</w:t>
      </w:r>
      <w:r w:rsidRPr="006A6972">
        <w:t xml:space="preserve"> of the Reef show clear responses to gradients in turbidity, sedimentation rate and nutrient availability</w:t>
      </w:r>
      <w:r w:rsidR="00E22D3F" w:rsidRPr="006A6972">
        <w:t xml:space="preserve"> (</w:t>
      </w:r>
      <w:r w:rsidR="00A02048" w:rsidRPr="006A6972">
        <w:t xml:space="preserve">van Woesik </w:t>
      </w:r>
      <w:r w:rsidR="00A02048" w:rsidRPr="006A6972">
        <w:rPr>
          <w:i/>
        </w:rPr>
        <w:t>et al.</w:t>
      </w:r>
      <w:r w:rsidR="00A02048" w:rsidRPr="006A6972">
        <w:t xml:space="preserve"> 1999, </w:t>
      </w:r>
      <w:r w:rsidR="009A16C8" w:rsidRPr="006A6972">
        <w:t xml:space="preserve">Fabricius </w:t>
      </w:r>
      <w:r w:rsidR="00A02048" w:rsidRPr="006A6972">
        <w:t xml:space="preserve">&amp; De’ath 2001, Fabricius </w:t>
      </w:r>
      <w:r w:rsidR="009A16C8" w:rsidRPr="006A6972">
        <w:rPr>
          <w:i/>
        </w:rPr>
        <w:t>et al.</w:t>
      </w:r>
      <w:r w:rsidR="009A16C8" w:rsidRPr="006A6972">
        <w:t xml:space="preserve"> 2005,</w:t>
      </w:r>
      <w:r w:rsidR="00A02048" w:rsidRPr="006A6972">
        <w:t xml:space="preserve"> Wismer </w:t>
      </w:r>
      <w:r w:rsidR="00A02048" w:rsidRPr="006A6972">
        <w:rPr>
          <w:i/>
        </w:rPr>
        <w:t>et al.</w:t>
      </w:r>
      <w:r w:rsidR="00A02048" w:rsidRPr="006A6972">
        <w:t xml:space="preserve"> 2009,</w:t>
      </w:r>
      <w:r w:rsidR="009A16C8" w:rsidRPr="006A6972">
        <w:t xml:space="preserve"> </w:t>
      </w:r>
      <w:r w:rsidR="00E22D3F" w:rsidRPr="006A6972">
        <w:t xml:space="preserve">Uthicke </w:t>
      </w:r>
      <w:r w:rsidR="00E22D3F" w:rsidRPr="006A6972">
        <w:rPr>
          <w:i/>
        </w:rPr>
        <w:t>et al.</w:t>
      </w:r>
      <w:r w:rsidR="00E22D3F" w:rsidRPr="006A6972">
        <w:t xml:space="preserve"> 2010</w:t>
      </w:r>
      <w:r w:rsidR="009A16C8" w:rsidRPr="006A6972">
        <w:t xml:space="preserve">, Fabricius </w:t>
      </w:r>
      <w:r w:rsidR="009A16C8" w:rsidRPr="006A6972">
        <w:rPr>
          <w:i/>
        </w:rPr>
        <w:t>et al.</w:t>
      </w:r>
      <w:r w:rsidR="009A16C8" w:rsidRPr="006A6972">
        <w:t xml:space="preserve"> 2012</w:t>
      </w:r>
      <w:r w:rsidR="00E22D3F" w:rsidRPr="006A6972">
        <w:t>)</w:t>
      </w:r>
      <w:r w:rsidRPr="006A6972">
        <w:t>, improved land management practices have the potential to reduce levels of chronic environmental stresses that impact coral reef communities. However, recent assessments raise the question whether these actions will be sufficient to ensure the resilience of the Reef ecosystems into th</w:t>
      </w:r>
      <w:r w:rsidR="00522D23" w:rsidRPr="006A6972">
        <w:t>e future (Bartley 2014a,</w:t>
      </w:r>
      <w:r w:rsidR="00457EB1" w:rsidRPr="006A6972">
        <w:t xml:space="preserve"> </w:t>
      </w:r>
      <w:r w:rsidR="00522D23" w:rsidRPr="006A6972">
        <w:t>b,</w:t>
      </w:r>
      <w:r w:rsidRPr="006A6972">
        <w:t xml:space="preserve"> Kroon </w:t>
      </w:r>
      <w:r w:rsidRPr="006A6972">
        <w:rPr>
          <w:i/>
        </w:rPr>
        <w:t>et al.</w:t>
      </w:r>
      <w:r w:rsidRPr="006A6972">
        <w:t xml:space="preserve"> 2014). Nutrients</w:t>
      </w:r>
      <w:r w:rsidR="00F25002" w:rsidRPr="006A6972">
        <w:t>,</w:t>
      </w:r>
      <w:r w:rsidRPr="006A6972">
        <w:t xml:space="preserve"> </w:t>
      </w:r>
      <w:r w:rsidR="00F25002" w:rsidRPr="006A6972">
        <w:t>that</w:t>
      </w:r>
      <w:r w:rsidRPr="006A6972">
        <w:t xml:space="preserve"> sustain t</w:t>
      </w:r>
      <w:r w:rsidRPr="006A6972">
        <w:rPr>
          <w:rFonts w:eastAsia="MS Mincho"/>
          <w:lang w:eastAsia="ja-JP"/>
        </w:rPr>
        <w:t>he biological productivity of the Reef</w:t>
      </w:r>
      <w:r w:rsidR="00F25002" w:rsidRPr="006A6972">
        <w:rPr>
          <w:rFonts w:eastAsia="MS Mincho"/>
          <w:lang w:eastAsia="ja-JP"/>
        </w:rPr>
        <w:t>,</w:t>
      </w:r>
      <w:r w:rsidRPr="006A6972">
        <w:rPr>
          <w:rFonts w:eastAsia="MS Mincho"/>
          <w:lang w:eastAsia="ja-JP"/>
        </w:rPr>
        <w:t xml:space="preserve"> are supplied by a number of processes and sources such as upwelling of nutrient-enriched deep water from the Coral Sea and nitrogen fixation by bacteria (Furnas </w:t>
      </w:r>
      <w:r w:rsidRPr="006A6972">
        <w:rPr>
          <w:rFonts w:eastAsia="MS Mincho"/>
          <w:i/>
          <w:lang w:eastAsia="ja-JP"/>
        </w:rPr>
        <w:t>et al.</w:t>
      </w:r>
      <w:r w:rsidRPr="006A6972">
        <w:rPr>
          <w:rFonts w:eastAsia="MS Mincho"/>
          <w:lang w:eastAsia="ja-JP"/>
        </w:rPr>
        <w:t xml:space="preserve"> 2011). However, land runoff is the largest source of new nutrients to the inshore Reef, especially during monsoonal flood events</w:t>
      </w:r>
      <w:r w:rsidR="007D6AD0">
        <w:rPr>
          <w:rFonts w:eastAsia="MS Mincho"/>
          <w:lang w:eastAsia="ja-JP"/>
        </w:rPr>
        <w:t xml:space="preserve"> </w:t>
      </w:r>
      <w:r w:rsidR="007D6AD0" w:rsidRPr="006A6972">
        <w:rPr>
          <w:rFonts w:eastAsia="MS Mincho"/>
          <w:lang w:eastAsia="ja-JP"/>
        </w:rPr>
        <w:t>(</w:t>
      </w:r>
      <w:r w:rsidR="007D6AD0" w:rsidRPr="007D6AD0">
        <w:rPr>
          <w:rFonts w:eastAsia="MS Mincho"/>
          <w:lang w:eastAsia="ja-JP"/>
        </w:rPr>
        <w:t xml:space="preserve">Furnas </w:t>
      </w:r>
      <w:r w:rsidR="007D6AD0" w:rsidRPr="007D6AD0">
        <w:rPr>
          <w:rFonts w:eastAsia="MS Mincho"/>
          <w:i/>
          <w:lang w:eastAsia="ja-JP"/>
        </w:rPr>
        <w:t>et al</w:t>
      </w:r>
      <w:r w:rsidR="007D6AD0" w:rsidRPr="007D6AD0">
        <w:rPr>
          <w:rFonts w:eastAsia="MS Mincho"/>
          <w:lang w:eastAsia="ja-JP"/>
        </w:rPr>
        <w:t xml:space="preserve">. </w:t>
      </w:r>
      <w:r w:rsidR="007D6AD0">
        <w:rPr>
          <w:rFonts w:eastAsia="MS Mincho"/>
          <w:lang w:eastAsia="ja-JP"/>
        </w:rPr>
        <w:t>2011</w:t>
      </w:r>
      <w:r w:rsidR="007D6AD0" w:rsidRPr="006A6972">
        <w:rPr>
          <w:rFonts w:eastAsia="MS Mincho"/>
          <w:lang w:eastAsia="ja-JP"/>
        </w:rPr>
        <w:t>)</w:t>
      </w:r>
      <w:r w:rsidRPr="006A6972">
        <w:rPr>
          <w:rFonts w:eastAsia="MS Mincho"/>
          <w:lang w:eastAsia="ja-JP"/>
        </w:rPr>
        <w:t xml:space="preserve">. </w:t>
      </w:r>
      <w:r w:rsidRPr="006A6972">
        <w:t>These</w:t>
      </w:r>
      <w:r w:rsidRPr="006A6972">
        <w:rPr>
          <w:rFonts w:eastAsia="MS Mincho"/>
          <w:lang w:eastAsia="ja-JP"/>
        </w:rPr>
        <w:t xml:space="preserve"> nutrients augment the regional stocks of nutrients already stored in biomass or detritus (Furnas </w:t>
      </w:r>
      <w:r w:rsidRPr="006A6972">
        <w:rPr>
          <w:rFonts w:eastAsia="MS Mincho"/>
          <w:i/>
          <w:lang w:eastAsia="ja-JP"/>
        </w:rPr>
        <w:t>et al.</w:t>
      </w:r>
      <w:r w:rsidRPr="006A6972">
        <w:rPr>
          <w:rFonts w:eastAsia="MS Mincho"/>
          <w:lang w:eastAsia="ja-JP"/>
        </w:rPr>
        <w:t xml:space="preserve"> 2011) which are continuously recycled to supply nutrients for marine plants and bacteria (Furnas </w:t>
      </w:r>
      <w:r w:rsidRPr="006A6972">
        <w:rPr>
          <w:rFonts w:eastAsia="MS Mincho"/>
          <w:i/>
          <w:iCs/>
          <w:lang w:eastAsia="ja-JP"/>
        </w:rPr>
        <w:t>et al.</w:t>
      </w:r>
      <w:r w:rsidRPr="006A6972">
        <w:rPr>
          <w:rFonts w:eastAsia="MS Mincho"/>
          <w:lang w:eastAsia="ja-JP"/>
        </w:rPr>
        <w:t xml:space="preserve"> 2005, Furnas </w:t>
      </w:r>
      <w:r w:rsidRPr="006A6972">
        <w:rPr>
          <w:rFonts w:eastAsia="MS Mincho"/>
          <w:i/>
          <w:lang w:eastAsia="ja-JP"/>
        </w:rPr>
        <w:t>et al.</w:t>
      </w:r>
      <w:r w:rsidRPr="006A6972">
        <w:rPr>
          <w:rFonts w:eastAsia="MS Mincho"/>
          <w:lang w:eastAsia="ja-JP"/>
        </w:rPr>
        <w:t xml:space="preserve"> 2011). </w:t>
      </w:r>
    </w:p>
    <w:p w14:paraId="08F62C57" w14:textId="382C3B3B" w:rsidR="00A937E5" w:rsidRPr="007724D0" w:rsidRDefault="00A937E5" w:rsidP="00D2045F">
      <w:r w:rsidRPr="006A6972">
        <w:t>The complexity of interactions between benthic communities and environmental pressures makes it important to synthesi</w:t>
      </w:r>
      <w:r w:rsidR="00E22D3F" w:rsidRPr="006A6972">
        <w:t>ze</w:t>
      </w:r>
      <w:r w:rsidRPr="006A6972">
        <w:t xml:space="preserve"> coral community condition </w:t>
      </w:r>
      <w:r w:rsidR="00D70490" w:rsidRPr="006A6972">
        <w:t xml:space="preserve">in a way that relates </w:t>
      </w:r>
      <w:r w:rsidR="008B424F" w:rsidRPr="006A6972">
        <w:t xml:space="preserve">to </w:t>
      </w:r>
      <w:r w:rsidR="00D70490" w:rsidRPr="006A6972">
        <w:t>the pressures of interest.</w:t>
      </w:r>
      <w:r w:rsidRPr="006A6972">
        <w:t xml:space="preserve"> </w:t>
      </w:r>
      <w:r w:rsidR="008B424F" w:rsidRPr="006A6972">
        <w:t xml:space="preserve">The Reef report card includes coral index scores to annually summarise condition of coral communities in inshore areas of the Reef. </w:t>
      </w:r>
      <w:r w:rsidR="00FF323C" w:rsidRPr="006A6972">
        <w:t xml:space="preserve">The purpose of this report is to provide the data, </w:t>
      </w:r>
      <w:r w:rsidR="00CA052E" w:rsidRPr="006A6972">
        <w:t>analys</w:t>
      </w:r>
      <w:r w:rsidR="00CA052E">
        <w:t>e</w:t>
      </w:r>
      <w:r w:rsidR="00CA052E" w:rsidRPr="006A6972">
        <w:t xml:space="preserve">s </w:t>
      </w:r>
      <w:r w:rsidR="00FF323C" w:rsidRPr="006A6972">
        <w:t>and interpretation underpinning coral index scores included in the 201</w:t>
      </w:r>
      <w:r w:rsidR="006C2175" w:rsidRPr="007724D0">
        <w:t>7</w:t>
      </w:r>
      <w:r w:rsidR="00FF323C" w:rsidRPr="007724D0">
        <w:t xml:space="preserve"> Reef report card.</w:t>
      </w:r>
      <w:r w:rsidR="00FF323C" w:rsidRPr="007724D0" w:rsidDel="00FF323C">
        <w:t xml:space="preserve"> </w:t>
      </w:r>
    </w:p>
    <w:p w14:paraId="670FB914" w14:textId="77777777" w:rsidR="00E40E18" w:rsidRPr="007724D0" w:rsidRDefault="00A937E5" w:rsidP="00D2045F">
      <w:pPr>
        <w:autoSpaceDE w:val="0"/>
        <w:autoSpaceDN w:val="0"/>
        <w:adjustRightInd w:val="0"/>
        <w:rPr>
          <w:rFonts w:ascii="ArialMT" w:hAnsi="ArialMT"/>
        </w:rPr>
      </w:pPr>
      <w:r w:rsidRPr="007724D0">
        <w:rPr>
          <w:rFonts w:eastAsia="MS Mincho"/>
        </w:rPr>
        <w:t>In order to relate</w:t>
      </w:r>
      <w:r w:rsidR="00E40E18" w:rsidRPr="007724D0">
        <w:rPr>
          <w:rFonts w:eastAsia="MS Mincho"/>
        </w:rPr>
        <w:t xml:space="preserve"> changes in the condition of </w:t>
      </w:r>
      <w:r w:rsidRPr="007724D0">
        <w:rPr>
          <w:rFonts w:eastAsia="MS Mincho"/>
        </w:rPr>
        <w:t>coral reef communit</w:t>
      </w:r>
      <w:r w:rsidR="00E40E18" w:rsidRPr="007724D0">
        <w:rPr>
          <w:rFonts w:eastAsia="MS Mincho"/>
        </w:rPr>
        <w:t xml:space="preserve">ies to </w:t>
      </w:r>
      <w:r w:rsidRPr="007724D0">
        <w:rPr>
          <w:rFonts w:eastAsia="MS Mincho"/>
        </w:rPr>
        <w:t>variations in local reef water quality, th</w:t>
      </w:r>
      <w:r w:rsidR="00E40E18" w:rsidRPr="007724D0">
        <w:rPr>
          <w:rFonts w:eastAsia="MS Mincho"/>
        </w:rPr>
        <w:t>e coral</w:t>
      </w:r>
      <w:r w:rsidRPr="007724D0">
        <w:rPr>
          <w:rFonts w:eastAsia="MS Mincho"/>
        </w:rPr>
        <w:t xml:space="preserve"> component of the MMP has </w:t>
      </w:r>
      <w:r w:rsidR="009203B3" w:rsidRPr="007724D0">
        <w:rPr>
          <w:rFonts w:eastAsia="MS Mincho"/>
        </w:rPr>
        <w:t xml:space="preserve">the </w:t>
      </w:r>
      <w:r w:rsidR="00E40E18" w:rsidRPr="007724D0">
        <w:rPr>
          <w:rFonts w:eastAsia="MS Mincho"/>
        </w:rPr>
        <w:t xml:space="preserve">overarching objective </w:t>
      </w:r>
      <w:r w:rsidR="006D2358" w:rsidRPr="007724D0">
        <w:rPr>
          <w:rFonts w:eastAsia="MS Mincho"/>
        </w:rPr>
        <w:t>to “</w:t>
      </w:r>
      <w:r w:rsidR="006D2358" w:rsidRPr="007724D0">
        <w:rPr>
          <w:rFonts w:eastAsia="MS Mincho"/>
          <w:i/>
        </w:rPr>
        <w:t xml:space="preserve">quantify the extent, </w:t>
      </w:r>
      <w:r w:rsidR="006D2358" w:rsidRPr="007724D0">
        <w:rPr>
          <w:rFonts w:eastAsia="MS Mincho"/>
          <w:i/>
        </w:rPr>
        <w:lastRenderedPageBreak/>
        <w:t>frequency and intensity of acute and chronic impacts on the condition and trend of inshore coral reefs and their subsequent recovery</w:t>
      </w:r>
      <w:r w:rsidR="006D2358" w:rsidRPr="007724D0">
        <w:rPr>
          <w:rFonts w:eastAsia="MS Mincho"/>
        </w:rPr>
        <w:t xml:space="preserve">”. </w:t>
      </w:r>
      <w:r w:rsidR="00E40E18" w:rsidRPr="007724D0">
        <w:rPr>
          <w:rFonts w:eastAsia="MS Mincho"/>
        </w:rPr>
        <w:t>The specific objectives are to</w:t>
      </w:r>
      <w:r w:rsidR="00E40E18" w:rsidRPr="007724D0">
        <w:rPr>
          <w:rFonts w:ascii="ArialMT" w:hAnsi="ArialMT"/>
        </w:rPr>
        <w:t xml:space="preserve"> monitor, assess and report:</w:t>
      </w:r>
    </w:p>
    <w:p w14:paraId="613C2C4D" w14:textId="77777777" w:rsidR="00E40E18" w:rsidRPr="007724D0" w:rsidRDefault="00E40E18" w:rsidP="00D2045F">
      <w:pPr>
        <w:pStyle w:val="ListParagraph"/>
        <w:numPr>
          <w:ilvl w:val="0"/>
          <w:numId w:val="16"/>
        </w:numPr>
        <w:autoSpaceDE w:val="0"/>
        <w:autoSpaceDN w:val="0"/>
        <w:adjustRightInd w:val="0"/>
        <w:jc w:val="left"/>
        <w:rPr>
          <w:rFonts w:ascii="ArialMT" w:hAnsi="ArialMT"/>
        </w:rPr>
      </w:pPr>
      <w:r w:rsidRPr="007724D0">
        <w:rPr>
          <w:rFonts w:ascii="ArialMT" w:hAnsi="ArialMT"/>
        </w:rPr>
        <w:t xml:space="preserve">the condition and trend of Great Barrier Reef inshore coral reefs </w:t>
      </w:r>
      <w:r w:rsidR="003E344F" w:rsidRPr="007724D0">
        <w:rPr>
          <w:rFonts w:ascii="ArialMT" w:hAnsi="ArialMT"/>
        </w:rPr>
        <w:t>in relation to</w:t>
      </w:r>
      <w:r w:rsidR="00E75F5C" w:rsidRPr="007724D0">
        <w:rPr>
          <w:rFonts w:ascii="ArialMT" w:hAnsi="ArialMT"/>
        </w:rPr>
        <w:t xml:space="preserve"> </w:t>
      </w:r>
      <w:r w:rsidRPr="007724D0">
        <w:rPr>
          <w:rFonts w:ascii="ArialMT" w:hAnsi="ArialMT"/>
        </w:rPr>
        <w:t>desired outcomes</w:t>
      </w:r>
      <w:r w:rsidR="00E75F5C" w:rsidRPr="007724D0">
        <w:rPr>
          <w:rFonts w:ascii="ArialMT" w:hAnsi="ArialMT" w:cs="ArialMT"/>
          <w:szCs w:val="22"/>
        </w:rPr>
        <w:t xml:space="preserve"> </w:t>
      </w:r>
      <w:r w:rsidR="00183BB7" w:rsidRPr="007724D0">
        <w:rPr>
          <w:rFonts w:ascii="ArialMT" w:hAnsi="ArialMT" w:cs="ArialMT"/>
          <w:szCs w:val="22"/>
        </w:rPr>
        <w:t>(expressed as coral index scores)</w:t>
      </w:r>
      <w:r w:rsidRPr="007724D0">
        <w:rPr>
          <w:rFonts w:ascii="ArialMT" w:hAnsi="ArialMT"/>
        </w:rPr>
        <w:t xml:space="preserve"> along identified or expected gradients in water quality;</w:t>
      </w:r>
    </w:p>
    <w:p w14:paraId="5C7C5F5C" w14:textId="77777777" w:rsidR="00E40E18" w:rsidRPr="007724D0" w:rsidRDefault="00E40E18" w:rsidP="00D2045F">
      <w:pPr>
        <w:pStyle w:val="ListParagraph"/>
        <w:numPr>
          <w:ilvl w:val="0"/>
          <w:numId w:val="16"/>
        </w:numPr>
        <w:autoSpaceDE w:val="0"/>
        <w:autoSpaceDN w:val="0"/>
        <w:adjustRightInd w:val="0"/>
        <w:jc w:val="left"/>
        <w:rPr>
          <w:rFonts w:ascii="ArialMT" w:hAnsi="ArialMT" w:cs="ArialMT"/>
          <w:szCs w:val="22"/>
        </w:rPr>
      </w:pPr>
      <w:r w:rsidRPr="007724D0">
        <w:rPr>
          <w:rFonts w:ascii="ArialMT" w:hAnsi="ArialMT" w:cs="ArialMT"/>
          <w:szCs w:val="22"/>
        </w:rPr>
        <w:t>the extent, frequency and intensity of acute and chronic impacts on the condition of Great Barrier Reef inshore coral reefs</w:t>
      </w:r>
      <w:r w:rsidR="003E344F" w:rsidRPr="007724D0">
        <w:rPr>
          <w:rFonts w:ascii="ArialMT" w:hAnsi="ArialMT" w:cs="ArialMT"/>
          <w:szCs w:val="22"/>
        </w:rPr>
        <w:t xml:space="preserve">, including exposure to flood plumes </w:t>
      </w:r>
      <w:r w:rsidRPr="007724D0">
        <w:rPr>
          <w:rFonts w:ascii="ArialMT" w:hAnsi="ArialMT" w:cs="ArialMT"/>
          <w:szCs w:val="22"/>
        </w:rPr>
        <w:t xml:space="preserve">sediments, nutrients and pesticides; </w:t>
      </w:r>
    </w:p>
    <w:p w14:paraId="2A634103" w14:textId="77777777" w:rsidR="00E40E18" w:rsidRPr="007724D0" w:rsidRDefault="00E40E18" w:rsidP="00D2045F">
      <w:pPr>
        <w:pStyle w:val="ListParagraph"/>
        <w:numPr>
          <w:ilvl w:val="0"/>
          <w:numId w:val="16"/>
        </w:numPr>
        <w:autoSpaceDE w:val="0"/>
        <w:autoSpaceDN w:val="0"/>
        <w:adjustRightInd w:val="0"/>
        <w:jc w:val="left"/>
        <w:rPr>
          <w:rFonts w:ascii="ArialMT" w:hAnsi="ArialMT" w:cs="ArialMT"/>
          <w:szCs w:val="22"/>
        </w:rPr>
      </w:pPr>
      <w:r w:rsidRPr="007724D0">
        <w:rPr>
          <w:rFonts w:ascii="ArialMT" w:hAnsi="ArialMT" w:cs="ArialMT"/>
          <w:szCs w:val="22"/>
        </w:rPr>
        <w:t xml:space="preserve">the recovery </w:t>
      </w:r>
      <w:r w:rsidR="003E344F" w:rsidRPr="007724D0">
        <w:rPr>
          <w:rFonts w:ascii="ArialMT" w:hAnsi="ArialMT" w:cs="ArialMT"/>
          <w:szCs w:val="22"/>
        </w:rPr>
        <w:t xml:space="preserve">in condition </w:t>
      </w:r>
      <w:r w:rsidRPr="007724D0">
        <w:rPr>
          <w:rFonts w:ascii="ArialMT" w:hAnsi="ArialMT" w:cs="ArialMT"/>
          <w:szCs w:val="22"/>
        </w:rPr>
        <w:t xml:space="preserve">of Great Barrier Reef inshore coral reefs from </w:t>
      </w:r>
      <w:r w:rsidR="003E344F" w:rsidRPr="007724D0">
        <w:rPr>
          <w:rFonts w:ascii="ArialMT" w:hAnsi="ArialMT" w:cs="ArialMT"/>
          <w:szCs w:val="22"/>
        </w:rPr>
        <w:t xml:space="preserve">acute and chronic impacts including </w:t>
      </w:r>
      <w:r w:rsidRPr="007724D0">
        <w:rPr>
          <w:rFonts w:ascii="ArialMT" w:hAnsi="ArialMT" w:cs="ArialMT"/>
          <w:szCs w:val="22"/>
        </w:rPr>
        <w:t>exposure to flood plumes, sediment</w:t>
      </w:r>
      <w:r w:rsidR="00673D1A" w:rsidRPr="007724D0">
        <w:rPr>
          <w:rFonts w:ascii="ArialMT" w:hAnsi="ArialMT" w:cs="ArialMT"/>
          <w:szCs w:val="22"/>
        </w:rPr>
        <w:t>s, nutrients and pesticides;</w:t>
      </w:r>
    </w:p>
    <w:p w14:paraId="3CC1DBD8" w14:textId="77777777" w:rsidR="00E40E18" w:rsidRPr="007724D0" w:rsidRDefault="00E40E18" w:rsidP="00D2045F">
      <w:pPr>
        <w:pStyle w:val="ListParagraph"/>
        <w:numPr>
          <w:ilvl w:val="0"/>
          <w:numId w:val="16"/>
        </w:numPr>
        <w:autoSpaceDE w:val="0"/>
        <w:autoSpaceDN w:val="0"/>
        <w:adjustRightInd w:val="0"/>
        <w:jc w:val="left"/>
        <w:rPr>
          <w:rFonts w:ascii="ArialMT" w:hAnsi="ArialMT" w:cs="ArialMT"/>
          <w:szCs w:val="22"/>
        </w:rPr>
      </w:pPr>
      <w:r w:rsidRPr="007724D0">
        <w:rPr>
          <w:rFonts w:ascii="ArialMT" w:hAnsi="ArialMT" w:cs="ArialMT"/>
          <w:szCs w:val="22"/>
        </w:rPr>
        <w:t xml:space="preserve">trends in </w:t>
      </w:r>
      <w:r w:rsidR="003E344F" w:rsidRPr="007724D0">
        <w:rPr>
          <w:rFonts w:ascii="ArialMT" w:hAnsi="ArialMT" w:cs="ArialMT"/>
          <w:szCs w:val="22"/>
        </w:rPr>
        <w:t>incidences</w:t>
      </w:r>
      <w:r w:rsidRPr="007724D0">
        <w:rPr>
          <w:rFonts w:ascii="ArialMT" w:hAnsi="ArialMT" w:cs="ArialMT"/>
          <w:szCs w:val="22"/>
        </w:rPr>
        <w:t xml:space="preserve"> of coral mortality attributed to coral disease, Crown of Thorns Starfish, </w:t>
      </w:r>
      <w:r w:rsidRPr="007724D0">
        <w:rPr>
          <w:rFonts w:ascii="ArialMT" w:hAnsi="ArialMT" w:cs="ArialMT"/>
          <w:i/>
          <w:szCs w:val="22"/>
        </w:rPr>
        <w:t>Drupella</w:t>
      </w:r>
      <w:r w:rsidRPr="007724D0">
        <w:rPr>
          <w:rFonts w:ascii="ArialMT" w:hAnsi="ArialMT" w:cs="ArialMT"/>
          <w:szCs w:val="22"/>
        </w:rPr>
        <w:t xml:space="preserve">, </w:t>
      </w:r>
      <w:r w:rsidRPr="007724D0">
        <w:rPr>
          <w:rFonts w:ascii="ArialMT" w:hAnsi="ArialMT" w:cs="ArialMT"/>
          <w:i/>
          <w:szCs w:val="22"/>
        </w:rPr>
        <w:t>Cliona</w:t>
      </w:r>
      <w:r w:rsidRPr="007724D0">
        <w:rPr>
          <w:rFonts w:ascii="ArialMT" w:hAnsi="ArialMT" w:cs="ArialMT"/>
          <w:szCs w:val="22"/>
        </w:rPr>
        <w:t>, physical damage and coral bleaching.</w:t>
      </w:r>
    </w:p>
    <w:p w14:paraId="741BB971" w14:textId="77777777" w:rsidR="005C1709" w:rsidRPr="007724D0" w:rsidRDefault="005C1709" w:rsidP="00D2045F">
      <w:pPr>
        <w:rPr>
          <w:rFonts w:eastAsia="MS Mincho"/>
        </w:rPr>
      </w:pPr>
    </w:p>
    <w:p w14:paraId="66A62B4B" w14:textId="77777777" w:rsidR="00A87E86" w:rsidRDefault="005F61D7" w:rsidP="00D2045F">
      <w:pPr>
        <w:rPr>
          <w:rFonts w:eastAsia="MS Mincho"/>
        </w:rPr>
      </w:pPr>
      <w:r w:rsidRPr="007724D0">
        <w:rPr>
          <w:rFonts w:eastAsia="MS Mincho"/>
        </w:rPr>
        <w:t xml:space="preserve">This report includes </w:t>
      </w:r>
      <w:r w:rsidR="00824A42">
        <w:rPr>
          <w:rFonts w:eastAsia="MS Mincho"/>
        </w:rPr>
        <w:t>three</w:t>
      </w:r>
      <w:r w:rsidR="00824A42" w:rsidRPr="007724D0">
        <w:rPr>
          <w:rFonts w:eastAsia="MS Mincho"/>
        </w:rPr>
        <w:t xml:space="preserve"> </w:t>
      </w:r>
      <w:r w:rsidRPr="007724D0">
        <w:rPr>
          <w:rFonts w:eastAsia="MS Mincho"/>
        </w:rPr>
        <w:t xml:space="preserve">case studies. </w:t>
      </w:r>
      <w:r w:rsidR="005A2F58" w:rsidRPr="007724D0">
        <w:rPr>
          <w:rFonts w:eastAsia="MS Mincho"/>
        </w:rPr>
        <w:t>D</w:t>
      </w:r>
      <w:r w:rsidR="00A82A90" w:rsidRPr="007724D0">
        <w:rPr>
          <w:rFonts w:eastAsia="MS Mincho"/>
        </w:rPr>
        <w:t xml:space="preserve">uring </w:t>
      </w:r>
      <w:r w:rsidR="005A2F58" w:rsidRPr="007724D0">
        <w:rPr>
          <w:rFonts w:eastAsia="MS Mincho"/>
        </w:rPr>
        <w:t xml:space="preserve">early </w:t>
      </w:r>
      <w:r w:rsidR="00A82A90" w:rsidRPr="007724D0">
        <w:rPr>
          <w:rFonts w:eastAsia="MS Mincho"/>
        </w:rPr>
        <w:t>201</w:t>
      </w:r>
      <w:r w:rsidR="006C2175" w:rsidRPr="007724D0">
        <w:rPr>
          <w:rFonts w:eastAsia="MS Mincho"/>
        </w:rPr>
        <w:t>7</w:t>
      </w:r>
      <w:r w:rsidR="00A82A90" w:rsidRPr="007724D0">
        <w:rPr>
          <w:rFonts w:eastAsia="MS Mincho"/>
        </w:rPr>
        <w:t xml:space="preserve"> high sea water temperatures caused severe bleaching to parts of the Reef. </w:t>
      </w:r>
      <w:r w:rsidR="006C2175" w:rsidRPr="007724D0">
        <w:rPr>
          <w:rFonts w:eastAsia="MS Mincho"/>
        </w:rPr>
        <w:t>In contrast to the 2016 bleaching event, the 2017 event saw widespread bleaching of reefs monitored by the MMP in the Wet Tropics and Burdekin regions. A</w:t>
      </w:r>
      <w:r w:rsidR="005A2F58" w:rsidRPr="007724D0">
        <w:rPr>
          <w:rFonts w:eastAsia="MS Mincho"/>
        </w:rPr>
        <w:t xml:space="preserve"> summary of the </w:t>
      </w:r>
      <w:r w:rsidR="00A82A90" w:rsidRPr="007724D0">
        <w:rPr>
          <w:rFonts w:eastAsia="MS Mincho"/>
        </w:rPr>
        <w:t xml:space="preserve">impacts of this event </w:t>
      </w:r>
      <w:r w:rsidR="005A2F58" w:rsidRPr="007724D0">
        <w:rPr>
          <w:rFonts w:eastAsia="MS Mincho"/>
        </w:rPr>
        <w:t>is included</w:t>
      </w:r>
      <w:r w:rsidR="00E6123B" w:rsidRPr="007724D0">
        <w:rPr>
          <w:rFonts w:eastAsia="MS Mincho"/>
        </w:rPr>
        <w:t xml:space="preserve"> (</w:t>
      </w:r>
      <w:r w:rsidR="00F74624">
        <w:rPr>
          <w:rFonts w:eastAsia="MS Mincho"/>
        </w:rPr>
        <w:t>s</w:t>
      </w:r>
      <w:r w:rsidR="00E6123B" w:rsidRPr="007724D0">
        <w:rPr>
          <w:rFonts w:eastAsia="MS Mincho"/>
        </w:rPr>
        <w:t>ection 7)</w:t>
      </w:r>
      <w:r w:rsidR="00A82A90" w:rsidRPr="007724D0">
        <w:rPr>
          <w:rFonts w:eastAsia="MS Mincho"/>
        </w:rPr>
        <w:t xml:space="preserve">. </w:t>
      </w:r>
    </w:p>
    <w:p w14:paraId="0FD7D735" w14:textId="13E9164F" w:rsidR="00A937E5" w:rsidRPr="007724D0" w:rsidRDefault="00D8109C" w:rsidP="00D2045F">
      <w:pPr>
        <w:rPr>
          <w:rFonts w:eastAsia="MS Mincho"/>
        </w:rPr>
      </w:pPr>
      <w:r w:rsidRPr="007724D0">
        <w:rPr>
          <w:rFonts w:eastAsia="MS Mincho"/>
        </w:rPr>
        <w:t xml:space="preserve">Secondly, </w:t>
      </w:r>
      <w:r w:rsidR="00181E84" w:rsidRPr="007724D0">
        <w:rPr>
          <w:rFonts w:eastAsia="MS Mincho"/>
        </w:rPr>
        <w:t>essential to the overarching objectives of the MMP is</w:t>
      </w:r>
      <w:r w:rsidR="00244FAE">
        <w:rPr>
          <w:rFonts w:eastAsia="MS Mincho"/>
        </w:rPr>
        <w:t xml:space="preserve"> the identification of</w:t>
      </w:r>
      <w:r w:rsidR="00181E84" w:rsidRPr="007724D0">
        <w:rPr>
          <w:rFonts w:eastAsia="MS Mincho"/>
        </w:rPr>
        <w:t xml:space="preserve"> key water quality covariates that influence benthic communities</w:t>
      </w:r>
      <w:r w:rsidR="00795802">
        <w:rPr>
          <w:rFonts w:eastAsia="MS Mincho"/>
        </w:rPr>
        <w:t xml:space="preserve"> of</w:t>
      </w:r>
      <w:r w:rsidR="00181E84" w:rsidRPr="007724D0">
        <w:rPr>
          <w:rFonts w:eastAsia="MS Mincho"/>
        </w:rPr>
        <w:t xml:space="preserve"> inshore reefs. A detailed analysis of the available data and the response of </w:t>
      </w:r>
      <w:r w:rsidR="001C2000" w:rsidRPr="007724D0">
        <w:rPr>
          <w:rFonts w:eastAsia="MS Mincho"/>
        </w:rPr>
        <w:t>ecosystem health and resilience indicators</w:t>
      </w:r>
      <w:r w:rsidR="001C2000">
        <w:rPr>
          <w:rFonts w:eastAsia="MS Mincho"/>
        </w:rPr>
        <w:t xml:space="preserve"> at both spatial and temporal scales</w:t>
      </w:r>
      <w:r w:rsidR="001C2000" w:rsidRPr="007724D0">
        <w:rPr>
          <w:rFonts w:eastAsia="MS Mincho"/>
        </w:rPr>
        <w:t xml:space="preserve"> is provided</w:t>
      </w:r>
      <w:r w:rsidR="00181E84" w:rsidRPr="007724D0">
        <w:rPr>
          <w:rFonts w:eastAsia="MS Mincho"/>
        </w:rPr>
        <w:t xml:space="preserve"> </w:t>
      </w:r>
      <w:r w:rsidR="00E6123B" w:rsidRPr="007724D0">
        <w:rPr>
          <w:rFonts w:eastAsia="MS Mincho"/>
        </w:rPr>
        <w:t>(section 8)</w:t>
      </w:r>
      <w:r w:rsidRPr="007724D0">
        <w:rPr>
          <w:rFonts w:eastAsia="MS Mincho"/>
        </w:rPr>
        <w:t>.</w:t>
      </w:r>
    </w:p>
    <w:p w14:paraId="6667C280" w14:textId="436DD8B6" w:rsidR="00A82A90" w:rsidRPr="007724D0" w:rsidRDefault="001C2000" w:rsidP="00D2045F">
      <w:pPr>
        <w:jc w:val="left"/>
        <w:rPr>
          <w:rFonts w:eastAsia="MS Mincho"/>
        </w:rPr>
      </w:pPr>
      <w:r>
        <w:rPr>
          <w:rFonts w:eastAsia="MS Mincho"/>
        </w:rPr>
        <w:t xml:space="preserve">Finally, </w:t>
      </w:r>
      <w:r w:rsidR="00D45E5C">
        <w:rPr>
          <w:rFonts w:eastAsia="MS Mincho"/>
        </w:rPr>
        <w:t>a</w:t>
      </w:r>
      <w:r w:rsidR="00D45E5C" w:rsidRPr="00D45E5C">
        <w:rPr>
          <w:rFonts w:eastAsia="MS Mincho"/>
        </w:rPr>
        <w:t xml:space="preserve"> key component of the </w:t>
      </w:r>
      <w:r w:rsidR="00D45E5C" w:rsidRPr="00362093">
        <w:rPr>
          <w:rFonts w:eastAsia="MS Mincho"/>
          <w:i/>
        </w:rPr>
        <w:t>Reef 2050 Plan</w:t>
      </w:r>
      <w:r w:rsidR="00D45E5C" w:rsidRPr="00D45E5C">
        <w:rPr>
          <w:rFonts w:eastAsia="MS Mincho"/>
        </w:rPr>
        <w:t xml:space="preserve"> is establishing the Reef </w:t>
      </w:r>
      <w:r w:rsidR="00362093">
        <w:rPr>
          <w:rFonts w:eastAsia="MS Mincho"/>
        </w:rPr>
        <w:t xml:space="preserve">2050 </w:t>
      </w:r>
      <w:r w:rsidR="00D45E5C" w:rsidRPr="00D45E5C">
        <w:rPr>
          <w:rFonts w:eastAsia="MS Mincho"/>
        </w:rPr>
        <w:t>Integrated Monitoring and Reporting Program (RIMReP) for the reef and its adjacent catchments.</w:t>
      </w:r>
      <w:r w:rsidR="00D45E5C" w:rsidRPr="00D729E6">
        <w:rPr>
          <w:rFonts w:eastAsia="MS Mincho"/>
        </w:rPr>
        <w:t xml:space="preserve"> </w:t>
      </w:r>
      <w:r w:rsidR="00D45E5C">
        <w:rPr>
          <w:rFonts w:eastAsia="MS Mincho"/>
        </w:rPr>
        <w:t xml:space="preserve">The intention behind </w:t>
      </w:r>
      <w:r w:rsidR="00D45E5C" w:rsidRPr="00D45E5C">
        <w:rPr>
          <w:rFonts w:eastAsia="MS Mincho"/>
        </w:rPr>
        <w:t xml:space="preserve">RIMReP </w:t>
      </w:r>
      <w:r w:rsidR="00D45E5C">
        <w:rPr>
          <w:rFonts w:eastAsia="MS Mincho"/>
        </w:rPr>
        <w:t>is to</w:t>
      </w:r>
      <w:r w:rsidR="00A87E86">
        <w:rPr>
          <w:rFonts w:eastAsia="MS Mincho"/>
        </w:rPr>
        <w:t>;</w:t>
      </w:r>
      <w:r w:rsidR="00D45E5C" w:rsidRPr="00D45E5C">
        <w:rPr>
          <w:rFonts w:eastAsia="MS Mincho"/>
        </w:rPr>
        <w:t xml:space="preserve"> </w:t>
      </w:r>
      <w:r w:rsidR="00A87E86" w:rsidRPr="007724D0">
        <w:rPr>
          <w:rFonts w:eastAsia="MS Mincho"/>
          <w:i/>
        </w:rPr>
        <w:t>“</w:t>
      </w:r>
      <w:r w:rsidR="00A87E86">
        <w:rPr>
          <w:rFonts w:eastAsia="MS Mincho"/>
          <w:i/>
        </w:rPr>
        <w:t>C</w:t>
      </w:r>
      <w:r w:rsidR="00D45E5C" w:rsidRPr="007724D0">
        <w:rPr>
          <w:rFonts w:eastAsia="MS Mincho"/>
          <w:i/>
        </w:rPr>
        <w:t>oordinate, align and integrate existing programs to capitalise on investment, improve efficiency and avoid duplication</w:t>
      </w:r>
      <w:r w:rsidR="00A87E86" w:rsidRPr="007724D0">
        <w:rPr>
          <w:rFonts w:eastAsia="MS Mincho"/>
          <w:i/>
        </w:rPr>
        <w:t>”</w:t>
      </w:r>
      <w:r w:rsidR="00A87E86">
        <w:rPr>
          <w:rFonts w:eastAsia="MS Mincho"/>
        </w:rPr>
        <w:t>.</w:t>
      </w:r>
      <w:r w:rsidR="00D45E5C" w:rsidRPr="00D45E5C">
        <w:rPr>
          <w:rFonts w:eastAsia="MS Mincho"/>
        </w:rPr>
        <w:t xml:space="preserve"> </w:t>
      </w:r>
      <w:r w:rsidR="00D45E5C">
        <w:rPr>
          <w:rFonts w:eastAsia="MS Mincho"/>
        </w:rPr>
        <w:t>In this interest, we provide an assessment of data collected under the citizen science program, ReefCheck Australia</w:t>
      </w:r>
      <w:r w:rsidR="00A87E86">
        <w:rPr>
          <w:rFonts w:eastAsia="MS Mincho"/>
        </w:rPr>
        <w:t xml:space="preserve"> (RCA)</w:t>
      </w:r>
      <w:r w:rsidR="00D45E5C">
        <w:rPr>
          <w:rFonts w:eastAsia="MS Mincho"/>
        </w:rPr>
        <w:t xml:space="preserve">, and </w:t>
      </w:r>
      <w:r w:rsidR="00A87E86">
        <w:rPr>
          <w:rFonts w:eastAsia="MS Mincho"/>
        </w:rPr>
        <w:t>the</w:t>
      </w:r>
      <w:r w:rsidR="00D45E5C">
        <w:rPr>
          <w:rFonts w:eastAsia="MS Mincho"/>
        </w:rPr>
        <w:t xml:space="preserve"> potential for inclusion </w:t>
      </w:r>
      <w:r w:rsidR="00A87E86">
        <w:rPr>
          <w:rFonts w:eastAsia="MS Mincho"/>
        </w:rPr>
        <w:t xml:space="preserve">of the data </w:t>
      </w:r>
      <w:r w:rsidR="00D45E5C">
        <w:rPr>
          <w:rFonts w:eastAsia="MS Mincho"/>
        </w:rPr>
        <w:t xml:space="preserve">in MMP reporting and the annual </w:t>
      </w:r>
      <w:r w:rsidR="00362093" w:rsidRPr="00362093">
        <w:rPr>
          <w:rFonts w:eastAsia="MS Mincho"/>
          <w:i/>
        </w:rPr>
        <w:t>Great Barrier Reef Report Card</w:t>
      </w:r>
      <w:r w:rsidR="00DD6C5A">
        <w:rPr>
          <w:rFonts w:eastAsia="MS Mincho"/>
          <w:i/>
        </w:rPr>
        <w:t xml:space="preserve"> </w:t>
      </w:r>
      <w:r w:rsidR="00D45E5C">
        <w:rPr>
          <w:rFonts w:eastAsia="MS Mincho"/>
        </w:rPr>
        <w:t>(section 9)</w:t>
      </w:r>
      <w:r w:rsidR="00A82A90" w:rsidRPr="007724D0">
        <w:rPr>
          <w:rFonts w:eastAsia="MS Mincho"/>
        </w:rPr>
        <w:br w:type="page"/>
      </w:r>
    </w:p>
    <w:p w14:paraId="359D95D2" w14:textId="77777777" w:rsidR="001C3FA7" w:rsidRPr="00673D1A" w:rsidRDefault="003708B0" w:rsidP="00121B7E">
      <w:pPr>
        <w:pStyle w:val="Heading1"/>
      </w:pPr>
      <w:bookmarkStart w:id="53" w:name="_Toc491847357"/>
      <w:bookmarkStart w:id="54" w:name="_Ref500251897"/>
      <w:bookmarkStart w:id="55" w:name="_Toc514408375"/>
      <w:r w:rsidRPr="00673D1A">
        <w:lastRenderedPageBreak/>
        <w:t>Methods</w:t>
      </w:r>
      <w:bookmarkEnd w:id="53"/>
      <w:bookmarkEnd w:id="54"/>
      <w:bookmarkEnd w:id="55"/>
    </w:p>
    <w:p w14:paraId="798973A6" w14:textId="77777777" w:rsidR="006305E9" w:rsidRPr="00673D1A" w:rsidRDefault="006E5CD3" w:rsidP="009C0112">
      <w:pPr>
        <w:pStyle w:val="Heading2"/>
        <w:spacing w:before="240" w:after="240"/>
        <w:rPr>
          <w:rFonts w:eastAsia="SimSun"/>
          <w:color w:val="auto"/>
        </w:rPr>
      </w:pPr>
      <w:bookmarkStart w:id="56" w:name="_Toc491847358"/>
      <w:bookmarkStart w:id="57" w:name="_Toc514408376"/>
      <w:r w:rsidRPr="00673D1A">
        <w:rPr>
          <w:rFonts w:eastAsia="SimSun"/>
          <w:color w:val="auto"/>
        </w:rPr>
        <w:t xml:space="preserve">4.1 </w:t>
      </w:r>
      <w:r w:rsidR="006305E9" w:rsidRPr="00673D1A">
        <w:rPr>
          <w:rFonts w:eastAsia="SimSun"/>
          <w:color w:val="auto"/>
        </w:rPr>
        <w:t>Sampling design</w:t>
      </w:r>
      <w:bookmarkEnd w:id="56"/>
      <w:bookmarkEnd w:id="57"/>
    </w:p>
    <w:p w14:paraId="2926A9C2" w14:textId="77777777" w:rsidR="00AF3BB1" w:rsidRPr="00673D1A" w:rsidRDefault="00334128" w:rsidP="00D2045F">
      <w:pPr>
        <w:rPr>
          <w:rFonts w:eastAsia="MS Mincho"/>
        </w:rPr>
      </w:pPr>
      <w:r w:rsidRPr="00673D1A">
        <w:rPr>
          <w:rFonts w:eastAsia="MS Mincho"/>
        </w:rPr>
        <w:t xml:space="preserve">Monitoring of inshore coral reef communities </w:t>
      </w:r>
      <w:r w:rsidR="000B1196" w:rsidRPr="00673D1A">
        <w:rPr>
          <w:rFonts w:eastAsia="MS Mincho"/>
        </w:rPr>
        <w:t>occurs at</w:t>
      </w:r>
      <w:r w:rsidRPr="00673D1A">
        <w:rPr>
          <w:rFonts w:eastAsia="MS Mincho"/>
        </w:rPr>
        <w:t xml:space="preserve"> reefs adjacent to four of the six </w:t>
      </w:r>
      <w:r w:rsidR="005178A5" w:rsidRPr="00673D1A">
        <w:rPr>
          <w:rFonts w:eastAsia="MS Mincho"/>
        </w:rPr>
        <w:t>natural r</w:t>
      </w:r>
      <w:r w:rsidRPr="00673D1A">
        <w:rPr>
          <w:rFonts w:eastAsia="MS Mincho"/>
        </w:rPr>
        <w:t xml:space="preserve">esource </w:t>
      </w:r>
      <w:r w:rsidR="005178A5" w:rsidRPr="00673D1A">
        <w:rPr>
          <w:rFonts w:eastAsia="MS Mincho"/>
        </w:rPr>
        <w:t>m</w:t>
      </w:r>
      <w:r w:rsidRPr="00673D1A">
        <w:rPr>
          <w:rFonts w:eastAsia="MS Mincho"/>
        </w:rPr>
        <w:t xml:space="preserve">anagement (NRM) regions with catchments draining into the Reef: Wet Tropics, Burdekin, </w:t>
      </w:r>
      <w:r w:rsidR="00AF3BB1" w:rsidRPr="00673D1A">
        <w:rPr>
          <w:rFonts w:eastAsia="MS Mincho"/>
        </w:rPr>
        <w:t xml:space="preserve">Mackay Whitsunday and Fitzroy. No reefs are included adjacent to Cape York due to logistic and occupational health and safety issues relating to diving in coastal waters in this region. </w:t>
      </w:r>
      <w:r w:rsidR="005178A5" w:rsidRPr="00673D1A">
        <w:rPr>
          <w:rFonts w:eastAsia="MS Mincho"/>
        </w:rPr>
        <w:t>L</w:t>
      </w:r>
      <w:r w:rsidR="00AF3BB1" w:rsidRPr="00673D1A">
        <w:rPr>
          <w:rFonts w:eastAsia="MS Mincho"/>
        </w:rPr>
        <w:t xml:space="preserve">imited development of coral reefs </w:t>
      </w:r>
      <w:r w:rsidR="005178A5" w:rsidRPr="00673D1A">
        <w:rPr>
          <w:rFonts w:eastAsia="MS Mincho"/>
        </w:rPr>
        <w:t xml:space="preserve">in nearshore waters </w:t>
      </w:r>
      <w:r w:rsidR="00AF3BB1" w:rsidRPr="00673D1A">
        <w:rPr>
          <w:rFonts w:eastAsia="MS Mincho"/>
        </w:rPr>
        <w:t xml:space="preserve">adjacent to the Burnett Mary NRM region </w:t>
      </w:r>
      <w:r w:rsidR="005178A5" w:rsidRPr="00673D1A">
        <w:rPr>
          <w:rFonts w:eastAsia="MS Mincho"/>
        </w:rPr>
        <w:t>precluded s</w:t>
      </w:r>
      <w:r w:rsidR="00AF3BB1" w:rsidRPr="00673D1A">
        <w:rPr>
          <w:rFonts w:eastAsia="MS Mincho"/>
        </w:rPr>
        <w:t>ampling</w:t>
      </w:r>
      <w:r w:rsidR="005178A5" w:rsidRPr="00673D1A">
        <w:rPr>
          <w:rFonts w:eastAsia="MS Mincho"/>
        </w:rPr>
        <w:t xml:space="preserve"> there</w:t>
      </w:r>
      <w:r w:rsidR="00AF3BB1" w:rsidRPr="00673D1A">
        <w:rPr>
          <w:rFonts w:eastAsia="MS Mincho"/>
        </w:rPr>
        <w:t xml:space="preserve">. </w:t>
      </w:r>
      <w:r w:rsidR="008218B9" w:rsidRPr="00673D1A">
        <w:t>Sub-regions were included in the Wet Tropics NRM to more closely align reefs with the combined catchments of; the Barron and Daintree rivers, the Johnstone and Russell-Mulgrave Rivers, and the Herbert and Tully rivers</w:t>
      </w:r>
      <w:r w:rsidR="004633BA">
        <w:t>.</w:t>
      </w:r>
    </w:p>
    <w:p w14:paraId="4B4B3418" w14:textId="77777777" w:rsidR="00944204" w:rsidRPr="00673D1A" w:rsidRDefault="00FE4FD7" w:rsidP="009C0112">
      <w:pPr>
        <w:pStyle w:val="Heading3"/>
      </w:pPr>
      <w:bookmarkStart w:id="58" w:name="_Toc514408377"/>
      <w:r w:rsidRPr="00673D1A">
        <w:t xml:space="preserve">4.1.1 </w:t>
      </w:r>
      <w:r w:rsidR="00944204" w:rsidRPr="00673D1A">
        <w:t>Site Selection</w:t>
      </w:r>
      <w:bookmarkEnd w:id="58"/>
    </w:p>
    <w:p w14:paraId="1F1A5489" w14:textId="792D7571" w:rsidR="00944204" w:rsidRPr="00673D1A" w:rsidRDefault="00A525C1" w:rsidP="00D2045F">
      <w:r w:rsidRPr="00673D1A">
        <w:t xml:space="preserve">Initial selection of sites was jointly decided by an </w:t>
      </w:r>
      <w:r w:rsidR="00944204" w:rsidRPr="00673D1A">
        <w:t xml:space="preserve">expert panel </w:t>
      </w:r>
      <w:r w:rsidRPr="00673D1A">
        <w:t xml:space="preserve">chaired by </w:t>
      </w:r>
      <w:r w:rsidR="00944204" w:rsidRPr="00673D1A">
        <w:t>the GBRM</w:t>
      </w:r>
      <w:r w:rsidR="00074B4A" w:rsidRPr="00673D1A">
        <w:t>PA</w:t>
      </w:r>
      <w:r w:rsidR="00944204" w:rsidRPr="00673D1A">
        <w:t>. The selection was based upon two primary considerations:</w:t>
      </w:r>
    </w:p>
    <w:p w14:paraId="5029E11D" w14:textId="77777777" w:rsidR="00944204" w:rsidRPr="00673D1A" w:rsidRDefault="008218B9" w:rsidP="00D2045F">
      <w:pPr>
        <w:numPr>
          <w:ilvl w:val="0"/>
          <w:numId w:val="2"/>
        </w:numPr>
        <w:tabs>
          <w:tab w:val="clear" w:pos="720"/>
          <w:tab w:val="num" w:pos="360"/>
        </w:tabs>
        <w:ind w:left="360"/>
      </w:pPr>
      <w:r w:rsidRPr="00673D1A">
        <w:t>Within the Reef</w:t>
      </w:r>
      <w:r w:rsidR="00D72B67" w:rsidRPr="00673D1A">
        <w:t>,</w:t>
      </w:r>
      <w:r w:rsidRPr="00673D1A">
        <w:t xml:space="preserve"> strong gradients in water quality </w:t>
      </w:r>
      <w:r w:rsidRPr="00673D1A">
        <w:rPr>
          <w:rFonts w:eastAsia="MS Mincho"/>
        </w:rPr>
        <w:t xml:space="preserve">exist with distance from the coast and </w:t>
      </w:r>
      <w:r w:rsidRPr="00673D1A">
        <w:rPr>
          <w:rFonts w:ascii="Helvetica" w:hAnsi="Helvetica" w:cs="Helvetica"/>
          <w:szCs w:val="22"/>
        </w:rPr>
        <w:t>increasing distance from rivers</w:t>
      </w:r>
      <w:r w:rsidR="000B1196" w:rsidRPr="00673D1A">
        <w:rPr>
          <w:rFonts w:ascii="Helvetica" w:hAnsi="Helvetica" w:cs="Helvetica"/>
          <w:szCs w:val="22"/>
        </w:rPr>
        <w:t>, particularly</w:t>
      </w:r>
      <w:r w:rsidRPr="00673D1A">
        <w:rPr>
          <w:rFonts w:ascii="Helvetica" w:hAnsi="Helvetica" w:cs="Helvetica"/>
          <w:szCs w:val="22"/>
        </w:rPr>
        <w:t xml:space="preserve"> in a northerly direction (Larcombe </w:t>
      </w:r>
      <w:r w:rsidRPr="00673D1A">
        <w:rPr>
          <w:rFonts w:ascii="Helvetica" w:hAnsi="Helvetica" w:cs="Helvetica"/>
          <w:i/>
          <w:szCs w:val="22"/>
        </w:rPr>
        <w:t>et al.</w:t>
      </w:r>
      <w:r w:rsidRPr="00673D1A">
        <w:rPr>
          <w:rFonts w:ascii="Helvetica" w:hAnsi="Helvetica" w:cs="Helvetica"/>
          <w:szCs w:val="22"/>
        </w:rPr>
        <w:t xml:space="preserve"> 1995, Brinkman </w:t>
      </w:r>
      <w:r w:rsidRPr="00673D1A">
        <w:rPr>
          <w:rFonts w:ascii="Helvetica" w:hAnsi="Helvetica" w:cs="Helvetica"/>
          <w:i/>
          <w:szCs w:val="22"/>
        </w:rPr>
        <w:t>et al.</w:t>
      </w:r>
      <w:r w:rsidRPr="00673D1A">
        <w:rPr>
          <w:rFonts w:ascii="Helvetica" w:hAnsi="Helvetica" w:cs="Helvetica"/>
          <w:szCs w:val="22"/>
        </w:rPr>
        <w:t xml:space="preserve"> 2011)</w:t>
      </w:r>
      <w:r w:rsidR="008774A5" w:rsidRPr="00673D1A">
        <w:rPr>
          <w:rFonts w:eastAsia="MS Mincho"/>
        </w:rPr>
        <w:t xml:space="preserve">. </w:t>
      </w:r>
      <w:r w:rsidRPr="00673D1A">
        <w:rPr>
          <w:rFonts w:eastAsia="MS Mincho"/>
        </w:rPr>
        <w:t>The selection of reefs for inclusion in the sampling design was informed by the desire to include reefs spanning these gradients so as to facilitate the teasing out of water quality associated impacts</w:t>
      </w:r>
      <w:r w:rsidR="00FC59EE" w:rsidRPr="00673D1A">
        <w:rPr>
          <w:rFonts w:eastAsia="MS Mincho"/>
        </w:rPr>
        <w:t>.</w:t>
      </w:r>
    </w:p>
    <w:p w14:paraId="71ADEB1A" w14:textId="77777777" w:rsidR="00944204" w:rsidRPr="00673D1A" w:rsidRDefault="00944204" w:rsidP="00D2045F">
      <w:pPr>
        <w:numPr>
          <w:ilvl w:val="0"/>
          <w:numId w:val="2"/>
        </w:numPr>
        <w:tabs>
          <w:tab w:val="clear" w:pos="720"/>
          <w:tab w:val="num" w:pos="360"/>
        </w:tabs>
        <w:ind w:left="360"/>
      </w:pPr>
      <w:r w:rsidRPr="00673D1A">
        <w:t xml:space="preserve">Sampling locations were selected where there was either an existing coral reef community or evidence (in the form of carbonate-based substratum) of past coral reef development. Exact locations were selected without prior investigation, once a section of reef had been identified that was of sufficient size to accommodate </w:t>
      </w:r>
      <w:r w:rsidR="00A525C1" w:rsidRPr="00673D1A">
        <w:t xml:space="preserve">the </w:t>
      </w:r>
      <w:r w:rsidRPr="00673D1A">
        <w:t>sampling design a marker was deployed from the surface and transects established from this point.</w:t>
      </w:r>
    </w:p>
    <w:p w14:paraId="38212EEB" w14:textId="77777777" w:rsidR="009B342F" w:rsidRPr="00673D1A" w:rsidRDefault="00944204" w:rsidP="00D2045F">
      <w:r w:rsidRPr="00673D1A">
        <w:t xml:space="preserve">In the Wet Tropics region, where few reefs exist in the inshore zone and well-developed reefs existed on more than one aspect of an island, </w:t>
      </w:r>
      <w:r w:rsidR="008218B9" w:rsidRPr="00673D1A">
        <w:t xml:space="preserve">separate </w:t>
      </w:r>
      <w:r w:rsidRPr="00673D1A">
        <w:t xml:space="preserve">reefs </w:t>
      </w:r>
      <w:r w:rsidR="008218B9" w:rsidRPr="00673D1A">
        <w:t xml:space="preserve">on windward and leeward aspects </w:t>
      </w:r>
      <w:r w:rsidRPr="00673D1A">
        <w:t xml:space="preserve">were included in the design. Coral reef communities can be quite different on windward compared to leeward reefs even though the surrounding water quality is relatively similar. Differences in wave and current regimes determine whether materials, e.g. sediments, fresh water, nutrients or toxins imported by flood events, accumulate or disperse and hence determine the exposure of benthic communities to environmental stresses. A list of the selected reefs is presented in </w:t>
      </w:r>
      <w:r w:rsidR="004A2C55" w:rsidRPr="00673D1A">
        <w:fldChar w:fldCharType="begin"/>
      </w:r>
      <w:r w:rsidR="004A2C55" w:rsidRPr="00673D1A">
        <w:instrText xml:space="preserve"> REF _Ref491091079 \h </w:instrText>
      </w:r>
      <w:r w:rsidR="004A2C55" w:rsidRPr="00673D1A">
        <w:fldChar w:fldCharType="separate"/>
      </w:r>
      <w:r w:rsidR="00A75175" w:rsidRPr="00F352E1">
        <w:t xml:space="preserve">Table </w:t>
      </w:r>
      <w:r w:rsidR="00A75175">
        <w:rPr>
          <w:noProof/>
        </w:rPr>
        <w:t>1</w:t>
      </w:r>
      <w:r w:rsidR="004A2C55" w:rsidRPr="00673D1A">
        <w:fldChar w:fldCharType="end"/>
      </w:r>
      <w:r w:rsidR="004A2C55" w:rsidRPr="00673D1A">
        <w:t xml:space="preserve"> </w:t>
      </w:r>
      <w:r w:rsidRPr="00673D1A">
        <w:t xml:space="preserve">and the geographic locations are shown in </w:t>
      </w:r>
      <w:r w:rsidR="004A2C55" w:rsidRPr="00673D1A">
        <w:fldChar w:fldCharType="begin"/>
      </w:r>
      <w:r w:rsidR="004A2C55" w:rsidRPr="00673D1A">
        <w:instrText xml:space="preserve"> REF _Ref491090953 \h </w:instrText>
      </w:r>
      <w:r w:rsidR="004A2C55" w:rsidRPr="00673D1A">
        <w:fldChar w:fldCharType="separate"/>
      </w:r>
      <w:r w:rsidR="00A75175" w:rsidRPr="00673D1A">
        <w:t xml:space="preserve">Figure </w:t>
      </w:r>
      <w:r w:rsidR="00A75175">
        <w:rPr>
          <w:noProof/>
        </w:rPr>
        <w:t>2</w:t>
      </w:r>
      <w:r w:rsidR="004A2C55" w:rsidRPr="00673D1A">
        <w:fldChar w:fldCharType="end"/>
      </w:r>
      <w:r w:rsidR="004A2C55" w:rsidRPr="00673D1A">
        <w:t xml:space="preserve"> </w:t>
      </w:r>
      <w:r w:rsidR="009B342F" w:rsidRPr="00673D1A">
        <w:t>and</w:t>
      </w:r>
      <w:r w:rsidR="008F6652">
        <w:t>,</w:t>
      </w:r>
      <w:r w:rsidR="009B342F" w:rsidRPr="00673D1A">
        <w:t xml:space="preserve"> </w:t>
      </w:r>
      <w:r w:rsidR="00FC59EE" w:rsidRPr="00673D1A">
        <w:t>in more detail</w:t>
      </w:r>
      <w:r w:rsidR="008F6652">
        <w:t>,</w:t>
      </w:r>
      <w:r w:rsidR="00FC59EE" w:rsidRPr="00673D1A">
        <w:t xml:space="preserve"> </w:t>
      </w:r>
      <w:r w:rsidR="009B342F" w:rsidRPr="00673D1A">
        <w:t>on maps within each (sub-) regional section</w:t>
      </w:r>
      <w:r w:rsidR="00074B4A" w:rsidRPr="00673D1A">
        <w:t xml:space="preserve"> of the results</w:t>
      </w:r>
      <w:r w:rsidR="009B342F" w:rsidRPr="00673D1A">
        <w:t>.</w:t>
      </w:r>
    </w:p>
    <w:p w14:paraId="6C11CB8E" w14:textId="77777777" w:rsidR="0033239F" w:rsidRPr="00673D1A" w:rsidRDefault="00074B4A" w:rsidP="00D2045F">
      <w:r w:rsidRPr="00673D1A">
        <w:t>Since the program began in 2005 t</w:t>
      </w:r>
      <w:r w:rsidR="0033239F" w:rsidRPr="00673D1A">
        <w:t xml:space="preserve">here have been two changes to the selection of reefs sampled. In 2005 and 2006 three mainland fringing reef locations were sampled along the Daintree coast. Concerns over increasing crocodile populations in this area led to the cessation of sampling at these locations. In 2015 a revision of the marine water quality monitoring component of the MMP resulted in </w:t>
      </w:r>
      <w:r w:rsidR="007F59AA">
        <w:t xml:space="preserve">modifications to the sampling design for water quality. This included </w:t>
      </w:r>
      <w:r w:rsidR="0033239F" w:rsidRPr="00673D1A">
        <w:t>a concentration of sampling effort along a gradient away from the Tully River mouth. To better match the water quality sampling to the coral reef sampling in the Tully-Herbert sub-region a new reef site was initiated at Bedarra and sampl</w:t>
      </w:r>
      <w:r w:rsidR="008774A5" w:rsidRPr="00673D1A">
        <w:t>ing at King Reef discontinued.</w:t>
      </w:r>
    </w:p>
    <w:p w14:paraId="01BAECCB" w14:textId="77777777" w:rsidR="0033239F" w:rsidRPr="00673D1A" w:rsidRDefault="009B342F" w:rsidP="00D2045F">
      <w:r w:rsidRPr="00673D1A">
        <w:t xml:space="preserve">In addition to reefs monitored by the MMP data from inshore reefs monitored by the AIMS long-term monitoring program </w:t>
      </w:r>
      <w:r w:rsidR="00FC59EE" w:rsidRPr="00673D1A">
        <w:t xml:space="preserve">(LTMP) </w:t>
      </w:r>
      <w:r w:rsidRPr="00673D1A">
        <w:t>have been included in this report (</w:t>
      </w:r>
      <w:r w:rsidR="004A2C55" w:rsidRPr="00673D1A">
        <w:fldChar w:fldCharType="begin"/>
      </w:r>
      <w:r w:rsidR="004A2C55" w:rsidRPr="00673D1A">
        <w:instrText xml:space="preserve"> REF _Ref491091079 \h </w:instrText>
      </w:r>
      <w:r w:rsidR="004A2C55" w:rsidRPr="00673D1A">
        <w:fldChar w:fldCharType="separate"/>
      </w:r>
      <w:r w:rsidR="00A75175" w:rsidRPr="00F352E1">
        <w:t xml:space="preserve">Table </w:t>
      </w:r>
      <w:r w:rsidR="00A75175">
        <w:rPr>
          <w:noProof/>
        </w:rPr>
        <w:t>1</w:t>
      </w:r>
      <w:r w:rsidR="004A2C55" w:rsidRPr="00673D1A">
        <w:fldChar w:fldCharType="end"/>
      </w:r>
      <w:r w:rsidR="004A2C55" w:rsidRPr="00673D1A">
        <w:t xml:space="preserve">, </w:t>
      </w:r>
      <w:r w:rsidR="004A2C55" w:rsidRPr="00673D1A">
        <w:fldChar w:fldCharType="begin"/>
      </w:r>
      <w:r w:rsidR="004A2C55" w:rsidRPr="00673D1A">
        <w:instrText xml:space="preserve"> REF _Ref491090713 \h </w:instrText>
      </w:r>
      <w:r w:rsidR="004A2C55" w:rsidRPr="00673D1A">
        <w:fldChar w:fldCharType="separate"/>
      </w:r>
      <w:r w:rsidR="00A75175" w:rsidRPr="00F352E1">
        <w:t xml:space="preserve">Figure </w:t>
      </w:r>
      <w:r w:rsidR="00A75175">
        <w:rPr>
          <w:noProof/>
        </w:rPr>
        <w:t>1</w:t>
      </w:r>
      <w:r w:rsidR="004A2C55" w:rsidRPr="00673D1A">
        <w:fldChar w:fldCharType="end"/>
      </w:r>
      <w:r w:rsidRPr="00673D1A">
        <w:t xml:space="preserve">). </w:t>
      </w:r>
      <w:r w:rsidR="00A82A90" w:rsidRPr="00673D1A">
        <w:t>A</w:t>
      </w:r>
      <w:r w:rsidR="0033239F" w:rsidRPr="00673D1A">
        <w:t xml:space="preserve">s the MMP sites at Middle </w:t>
      </w:r>
      <w:r w:rsidR="00FC59EE" w:rsidRPr="00673D1A">
        <w:t>R</w:t>
      </w:r>
      <w:r w:rsidR="0033239F" w:rsidRPr="00673D1A">
        <w:t>eef in the Burdekin region were co-located with LTMP sites this reef was also removed from the MMP sampling schedule in 2015.</w:t>
      </w:r>
      <w:r w:rsidR="00FC59EE" w:rsidRPr="00673D1A">
        <w:t xml:space="preserve"> </w:t>
      </w:r>
    </w:p>
    <w:p w14:paraId="7B1AD1ED" w14:textId="77777777" w:rsidR="009B342F" w:rsidRPr="00673D1A" w:rsidRDefault="009B342F" w:rsidP="009B342F"/>
    <w:p w14:paraId="4EF47B6B" w14:textId="77777777" w:rsidR="009B342F" w:rsidRPr="00673D1A" w:rsidRDefault="009B342F" w:rsidP="00944204"/>
    <w:p w14:paraId="142F8E44" w14:textId="77777777" w:rsidR="00B815F5" w:rsidRPr="00673D1A" w:rsidRDefault="00B815F5" w:rsidP="00B815F5">
      <w:pPr>
        <w:rPr>
          <w:rStyle w:val="Heading4Char"/>
          <w:rFonts w:eastAsia="Times New Roman"/>
          <w:i w:val="0"/>
          <w:szCs w:val="20"/>
          <w:lang w:eastAsia="en-AU"/>
        </w:rPr>
      </w:pPr>
      <w:r w:rsidRPr="00673D1A">
        <w:rPr>
          <w:noProof/>
          <w:lang w:val="en-AU" w:eastAsia="en-AU"/>
        </w:rPr>
        <w:lastRenderedPageBreak/>
        <w:drawing>
          <wp:inline distT="0" distB="0" distL="0" distR="0" wp14:anchorId="578750D4" wp14:editId="7D34B4EC">
            <wp:extent cx="5419344" cy="6577584"/>
            <wp:effectExtent l="0" t="0" r="0" b="0"/>
            <wp:docPr id="10" name="Picture 10" descr="Location of sites monitored by the MMP and LTMP as listed in Table 1." title="Figure 2 Sampling location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 24reefs for Angus plus LTMP [Converted].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419344" cy="6577584"/>
                    </a:xfrm>
                    <a:prstGeom prst="rect">
                      <a:avLst/>
                    </a:prstGeom>
                  </pic:spPr>
                </pic:pic>
              </a:graphicData>
            </a:graphic>
          </wp:inline>
        </w:drawing>
      </w:r>
    </w:p>
    <w:p w14:paraId="7F718ABC" w14:textId="77777777" w:rsidR="00B815F5" w:rsidRPr="009808B7" w:rsidRDefault="004A2C55" w:rsidP="00606A50">
      <w:pPr>
        <w:pStyle w:val="Caption"/>
        <w:rPr>
          <w:rStyle w:val="IntenseReference"/>
          <w:rFonts w:eastAsia="SimSun"/>
        </w:rPr>
      </w:pPr>
      <w:bookmarkStart w:id="59" w:name="_Ref491090953"/>
      <w:bookmarkStart w:id="60" w:name="_Ref469988513"/>
      <w:bookmarkStart w:id="61" w:name="_Toc514335647"/>
      <w:r w:rsidRPr="00673D1A">
        <w:t xml:space="preserve">Figure </w:t>
      </w:r>
      <w:r w:rsidR="00626D6B">
        <w:fldChar w:fldCharType="begin"/>
      </w:r>
      <w:r w:rsidR="00626D6B">
        <w:instrText xml:space="preserve"> SEQ Figure \* ARABIC </w:instrText>
      </w:r>
      <w:r w:rsidR="00626D6B">
        <w:fldChar w:fldCharType="separate"/>
      </w:r>
      <w:r w:rsidR="00A75175">
        <w:rPr>
          <w:noProof/>
        </w:rPr>
        <w:t>2</w:t>
      </w:r>
      <w:r w:rsidR="00626D6B">
        <w:rPr>
          <w:noProof/>
        </w:rPr>
        <w:fldChar w:fldCharType="end"/>
      </w:r>
      <w:bookmarkEnd w:id="59"/>
      <w:r w:rsidRPr="00673D1A">
        <w:t xml:space="preserve"> Sampling locations of the MMP coral and water quality monitoring.</w:t>
      </w:r>
      <w:bookmarkEnd w:id="60"/>
      <w:r w:rsidR="00B815F5" w:rsidRPr="00673D1A">
        <w:rPr>
          <w:rStyle w:val="IntenseReference"/>
          <w:rFonts w:eastAsia="SimSun"/>
          <w:bCs w:val="0"/>
          <w:color w:val="auto"/>
        </w:rPr>
        <w:t xml:space="preserve"> </w:t>
      </w:r>
      <w:r w:rsidR="00B815F5" w:rsidRPr="00626D6B">
        <w:rPr>
          <w:rStyle w:val="IntenseReference"/>
          <w:rFonts w:eastAsia="SimSun"/>
        </w:rPr>
        <w:t>Table 1 (below) describes monitoring activities undertaken at each location. NRM Region boundaries are represented by coloured catchment areas.</w:t>
      </w:r>
      <w:bookmarkEnd w:id="61"/>
    </w:p>
    <w:p w14:paraId="41E44BCD" w14:textId="77777777" w:rsidR="00156D38" w:rsidRPr="00673D1A" w:rsidRDefault="00156D38">
      <w:pPr>
        <w:jc w:val="left"/>
        <w:rPr>
          <w:sz w:val="20"/>
        </w:rPr>
      </w:pPr>
      <w:r w:rsidRPr="00673D1A">
        <w:rPr>
          <w:sz w:val="20"/>
        </w:rPr>
        <w:br w:type="page"/>
      </w:r>
    </w:p>
    <w:p w14:paraId="6E3CDAE6" w14:textId="5FFF6E01" w:rsidR="00944204" w:rsidRPr="00673D1A" w:rsidRDefault="00FE4FD7" w:rsidP="009C0112">
      <w:pPr>
        <w:pStyle w:val="Heading3"/>
      </w:pPr>
      <w:bookmarkStart w:id="62" w:name="_Toc514408378"/>
      <w:r w:rsidRPr="00673D1A">
        <w:lastRenderedPageBreak/>
        <w:t xml:space="preserve">4.1.2 </w:t>
      </w:r>
      <w:r w:rsidR="00944204" w:rsidRPr="00673D1A">
        <w:t xml:space="preserve">Depth </w:t>
      </w:r>
      <w:r w:rsidR="00DD6C5A">
        <w:t>s</w:t>
      </w:r>
      <w:r w:rsidR="00944204" w:rsidRPr="00673D1A">
        <w:t>election</w:t>
      </w:r>
      <w:bookmarkEnd w:id="62"/>
    </w:p>
    <w:p w14:paraId="2FA6AB2F" w14:textId="77777777" w:rsidR="00944204" w:rsidRPr="00673D1A" w:rsidRDefault="00DF3C79" w:rsidP="00D2045F">
      <w:r w:rsidRPr="00673D1A">
        <w:t xml:space="preserve">Within the turbid inshore waters of the </w:t>
      </w:r>
      <w:r w:rsidR="006F21FE" w:rsidRPr="00673D1A">
        <w:t xml:space="preserve">Reef </w:t>
      </w:r>
      <w:r w:rsidRPr="00673D1A">
        <w:t xml:space="preserve">the composition of coral communities varies strongly with depth as a result of differing exposure to pressures and disturbances </w:t>
      </w:r>
      <w:r w:rsidR="00944204" w:rsidRPr="00673D1A">
        <w:t>(</w:t>
      </w:r>
      <w:r w:rsidRPr="00673D1A">
        <w:t xml:space="preserve">e.g. </w:t>
      </w:r>
      <w:r w:rsidR="00944204" w:rsidRPr="00673D1A">
        <w:t xml:space="preserve">Sweatman </w:t>
      </w:r>
      <w:r w:rsidR="00944204" w:rsidRPr="00673D1A">
        <w:rPr>
          <w:i/>
        </w:rPr>
        <w:t>et al.</w:t>
      </w:r>
      <w:r w:rsidR="00944204" w:rsidRPr="00673D1A">
        <w:t xml:space="preserve"> 2007)</w:t>
      </w:r>
      <w:r w:rsidRPr="00673D1A">
        <w:t xml:space="preserve">. For the MMP transects were selected at two depths. </w:t>
      </w:r>
      <w:r w:rsidR="00944204" w:rsidRPr="00673D1A">
        <w:t xml:space="preserve">The lower limit for the inshore coral surveys was selected at </w:t>
      </w:r>
      <w:r w:rsidR="00AA72A3" w:rsidRPr="00673D1A">
        <w:t>5 m</w:t>
      </w:r>
      <w:r w:rsidR="00575B10" w:rsidRPr="00673D1A">
        <w:t xml:space="preserve"> </w:t>
      </w:r>
      <w:r w:rsidR="00944204" w:rsidRPr="00673D1A">
        <w:t>below datum, because coral communities rapidly diminish below this depth at many reefs</w:t>
      </w:r>
      <w:r w:rsidRPr="00673D1A">
        <w:t xml:space="preserve">. A shallower depth of </w:t>
      </w:r>
      <w:r w:rsidR="00AA72A3" w:rsidRPr="00673D1A">
        <w:t>2 m</w:t>
      </w:r>
      <w:r w:rsidR="00575B10" w:rsidRPr="00673D1A">
        <w:t xml:space="preserve"> </w:t>
      </w:r>
      <w:r w:rsidR="00944204" w:rsidRPr="00673D1A">
        <w:t xml:space="preserve">below datum was selected </w:t>
      </w:r>
      <w:r w:rsidRPr="00673D1A">
        <w:t xml:space="preserve">as a compromise between a desire to sample the reef crest and </w:t>
      </w:r>
      <w:r w:rsidR="00944204" w:rsidRPr="00673D1A">
        <w:t>logistical reasons, including the inability to use the photo technique in very shallow water</w:t>
      </w:r>
      <w:r w:rsidR="008F6652">
        <w:t xml:space="preserve"> and the potential for </w:t>
      </w:r>
      <w:r w:rsidR="00944204" w:rsidRPr="00673D1A">
        <w:t xml:space="preserve">site markers creating a danger to </w:t>
      </w:r>
      <w:r w:rsidR="000673F1" w:rsidRPr="00673D1A">
        <w:t xml:space="preserve">navigation. </w:t>
      </w:r>
      <w:r w:rsidR="00944204" w:rsidRPr="00673D1A">
        <w:t>The AIMS LTMP sites are not as consistently depth defined as those of the MMP with most sites set in the range of 5-7</w:t>
      </w:r>
      <w:r w:rsidR="00575B10" w:rsidRPr="00673D1A">
        <w:t xml:space="preserve">m </w:t>
      </w:r>
      <w:r w:rsidR="00944204" w:rsidRPr="00673D1A">
        <w:t>below LAT. Middle Reef is the exception with sites there at approximately 3</w:t>
      </w:r>
      <w:r w:rsidR="00575B10" w:rsidRPr="00673D1A">
        <w:t xml:space="preserve">m </w:t>
      </w:r>
      <w:r w:rsidR="00944204" w:rsidRPr="00673D1A">
        <w:t>below LAT.</w:t>
      </w:r>
    </w:p>
    <w:p w14:paraId="2801E6D8" w14:textId="77777777" w:rsidR="00944204" w:rsidRPr="00673D1A" w:rsidRDefault="00FE4FD7" w:rsidP="009C0112">
      <w:pPr>
        <w:pStyle w:val="Heading3"/>
      </w:pPr>
      <w:bookmarkStart w:id="63" w:name="_Toc514408379"/>
      <w:r w:rsidRPr="00673D1A">
        <w:t xml:space="preserve">4.1.3 </w:t>
      </w:r>
      <w:r w:rsidR="00944204" w:rsidRPr="00673D1A">
        <w:t>Site marking</w:t>
      </w:r>
      <w:bookmarkEnd w:id="63"/>
    </w:p>
    <w:p w14:paraId="6C01ABDB" w14:textId="77777777" w:rsidR="00E0160D" w:rsidRPr="00673D1A" w:rsidRDefault="00944204" w:rsidP="00D2045F">
      <w:r w:rsidRPr="00673D1A">
        <w:t>At each reef</w:t>
      </w:r>
      <w:r w:rsidR="008F6652">
        <w:t>,</w:t>
      </w:r>
      <w:r w:rsidR="00F73646" w:rsidRPr="00673D1A">
        <w:t xml:space="preserve"> </w:t>
      </w:r>
      <w:r w:rsidRPr="00673D1A">
        <w:t>two sites separated by at least 25</w:t>
      </w:r>
      <w:r w:rsidR="00AA72A3" w:rsidRPr="00673D1A">
        <w:t>0 m</w:t>
      </w:r>
      <w:r w:rsidR="00575B10" w:rsidRPr="00673D1A">
        <w:t xml:space="preserve"> </w:t>
      </w:r>
      <w:r w:rsidRPr="00673D1A">
        <w:t>were selected</w:t>
      </w:r>
      <w:r w:rsidR="009B342F" w:rsidRPr="00673D1A">
        <w:t xml:space="preserve"> along a similar aspect</w:t>
      </w:r>
      <w:r w:rsidRPr="00673D1A">
        <w:t>. These sites are permanently marked with steel fence posts at the beginning of each of five 2</w:t>
      </w:r>
      <w:r w:rsidR="00AA72A3" w:rsidRPr="00673D1A">
        <w:t>0 m</w:t>
      </w:r>
      <w:r w:rsidR="00575B10" w:rsidRPr="00673D1A">
        <w:t xml:space="preserve"> </w:t>
      </w:r>
      <w:r w:rsidRPr="00673D1A">
        <w:t>transects and smaller (1</w:t>
      </w:r>
      <w:r w:rsidR="00AA72A3" w:rsidRPr="00673D1A">
        <w:t>0 m</w:t>
      </w:r>
      <w:r w:rsidRPr="00673D1A">
        <w:t>m diameter) steel rods at the 1</w:t>
      </w:r>
      <w:r w:rsidR="00AA72A3" w:rsidRPr="00673D1A">
        <w:t>0 m</w:t>
      </w:r>
      <w:r w:rsidR="00575B10" w:rsidRPr="00673D1A">
        <w:t xml:space="preserve"> </w:t>
      </w:r>
      <w:r w:rsidRPr="00673D1A">
        <w:t>mark and the end of each transect. Compass bearings and measured distances record the transect path between these permanent markers. Transects were set initially by running two 6</w:t>
      </w:r>
      <w:r w:rsidR="00AA72A3" w:rsidRPr="00673D1A">
        <w:t>0 m</w:t>
      </w:r>
      <w:r w:rsidR="00575B10" w:rsidRPr="00673D1A">
        <w:t xml:space="preserve"> </w:t>
      </w:r>
      <w:r w:rsidRPr="00673D1A">
        <w:t xml:space="preserve">fibreglass tape measures out along the desired </w:t>
      </w:r>
      <w:r w:rsidR="00AA72A3" w:rsidRPr="00673D1A">
        <w:t>5 m</w:t>
      </w:r>
      <w:r w:rsidR="00575B10" w:rsidRPr="00673D1A">
        <w:t xml:space="preserve"> </w:t>
      </w:r>
      <w:r w:rsidRPr="00673D1A">
        <w:t xml:space="preserve">or </w:t>
      </w:r>
      <w:r w:rsidR="00AA72A3" w:rsidRPr="00673D1A">
        <w:t>2 m</w:t>
      </w:r>
      <w:r w:rsidR="00575B10" w:rsidRPr="00673D1A">
        <w:t xml:space="preserve"> </w:t>
      </w:r>
      <w:r w:rsidRPr="00673D1A">
        <w:t xml:space="preserve">depth contour. Digital depth gauges were used along with tide heights from the closest location included in ‘Seafarer Tides’ electronic tide charts produced by the Australian Hydrographic Service to set transects as close as possible to the desired depths of </w:t>
      </w:r>
      <w:r w:rsidR="00AA72A3" w:rsidRPr="00673D1A">
        <w:t>5 m</w:t>
      </w:r>
      <w:r w:rsidR="00575B10" w:rsidRPr="00673D1A">
        <w:t xml:space="preserve"> </w:t>
      </w:r>
      <w:r w:rsidRPr="00673D1A">
        <w:t xml:space="preserve">and </w:t>
      </w:r>
      <w:r w:rsidR="00AA72A3" w:rsidRPr="00673D1A">
        <w:t>2 m</w:t>
      </w:r>
      <w:r w:rsidR="00575B10" w:rsidRPr="00673D1A">
        <w:t xml:space="preserve"> </w:t>
      </w:r>
      <w:r w:rsidRPr="00673D1A">
        <w:t>below lowest astronomical tide (LAT). Consecutive 2</w:t>
      </w:r>
      <w:r w:rsidR="00AA72A3" w:rsidRPr="00673D1A">
        <w:t>0 m</w:t>
      </w:r>
      <w:r w:rsidR="00575B10" w:rsidRPr="00673D1A">
        <w:t xml:space="preserve"> </w:t>
      </w:r>
      <w:r w:rsidRPr="00673D1A">
        <w:t>transects were separated by 5</w:t>
      </w:r>
      <w:r w:rsidR="00DF3C79" w:rsidRPr="00673D1A">
        <w:t xml:space="preserve"> </w:t>
      </w:r>
      <w:r w:rsidRPr="00673D1A">
        <w:t>m. The position of the first picket of each site was recorded by GPS. Site directions and waypoints are stored electronically in AIMS databases.</w:t>
      </w:r>
      <w:r w:rsidR="00E0160D" w:rsidRPr="00673D1A">
        <w:t xml:space="preserve"> </w:t>
      </w:r>
    </w:p>
    <w:p w14:paraId="172AE407" w14:textId="77777777" w:rsidR="009B342F" w:rsidRPr="00673D1A" w:rsidRDefault="00FE4FD7" w:rsidP="009C0112">
      <w:pPr>
        <w:pStyle w:val="Heading3"/>
      </w:pPr>
      <w:bookmarkStart w:id="64" w:name="_Toc514408380"/>
      <w:r w:rsidRPr="00673D1A">
        <w:t xml:space="preserve">4.1.4 </w:t>
      </w:r>
      <w:r w:rsidR="009B342F" w:rsidRPr="00673D1A">
        <w:t xml:space="preserve">Sampling </w:t>
      </w:r>
      <w:r w:rsidR="00186731" w:rsidRPr="00673D1A">
        <w:t xml:space="preserve">timing and </w:t>
      </w:r>
      <w:r w:rsidR="009B342F" w:rsidRPr="00673D1A">
        <w:t>frequency</w:t>
      </w:r>
      <w:bookmarkEnd w:id="64"/>
    </w:p>
    <w:p w14:paraId="637A9092" w14:textId="77777777" w:rsidR="00954B71" w:rsidRPr="00673D1A" w:rsidRDefault="009B342F" w:rsidP="00D2045F">
      <w:r w:rsidRPr="00673D1A">
        <w:t xml:space="preserve">Coral reef surveys were undertaken predominantly over the months May-July as this allows the </w:t>
      </w:r>
      <w:r w:rsidR="008F6652">
        <w:t>bulk of</w:t>
      </w:r>
      <w:r w:rsidR="008F6652" w:rsidRPr="00673D1A">
        <w:t xml:space="preserve"> </w:t>
      </w:r>
      <w:r w:rsidRPr="00673D1A">
        <w:t xml:space="preserve">influences </w:t>
      </w:r>
      <w:r w:rsidR="008F6652">
        <w:t>resulting from</w:t>
      </w:r>
      <w:r w:rsidRPr="00673D1A">
        <w:t xml:space="preserve"> summer disturbances</w:t>
      </w:r>
      <w:r w:rsidR="008F6652">
        <w:t>,</w:t>
      </w:r>
      <w:r w:rsidRPr="00673D1A">
        <w:t xml:space="preserve"> such as cyclones and bleaching events</w:t>
      </w:r>
      <w:r w:rsidR="008F6652">
        <w:t>,</w:t>
      </w:r>
      <w:r w:rsidRPr="00673D1A">
        <w:t xml:space="preserve"> to be realised</w:t>
      </w:r>
      <w:r w:rsidR="004304DE" w:rsidRPr="00673D1A">
        <w:t>. A</w:t>
      </w:r>
      <w:r w:rsidRPr="00673D1A">
        <w:t>lthough the acute events occur over summer</w:t>
      </w:r>
      <w:r w:rsidR="003E5B8F" w:rsidRPr="00673D1A">
        <w:t>,</w:t>
      </w:r>
      <w:r w:rsidRPr="00673D1A">
        <w:t xml:space="preserve"> the stress incurred can cause ongoing mortality for several months. The winter sampling also protects observers from potential risk from marine s</w:t>
      </w:r>
      <w:r w:rsidR="008774A5" w:rsidRPr="00673D1A">
        <w:t>tingers over the summer months.</w:t>
      </w:r>
      <w:r w:rsidRPr="00673D1A">
        <w:t xml:space="preserve"> The exception </w:t>
      </w:r>
      <w:r w:rsidR="00186731" w:rsidRPr="00673D1A">
        <w:t>was</w:t>
      </w:r>
      <w:r w:rsidRPr="00673D1A">
        <w:t xml:space="preserve"> Snapper Island where sampling occurred typically in the months August –</w:t>
      </w:r>
      <w:r w:rsidR="00DF3C79" w:rsidRPr="00673D1A">
        <w:t xml:space="preserve"> </w:t>
      </w:r>
      <w:r w:rsidRPr="00673D1A">
        <w:t xml:space="preserve">October. </w:t>
      </w:r>
    </w:p>
    <w:p w14:paraId="70091B6F" w14:textId="4646EE33" w:rsidR="009B342F" w:rsidRPr="007724D0" w:rsidRDefault="009B342F" w:rsidP="00D2045F">
      <w:r w:rsidRPr="00673D1A">
        <w:t xml:space="preserve">The frequency of survey has changed </w:t>
      </w:r>
      <w:r w:rsidR="006E15E7" w:rsidRPr="00673D1A">
        <w:t xml:space="preserve">gradually over time </w:t>
      </w:r>
      <w:r w:rsidR="00954B71" w:rsidRPr="00673D1A">
        <w:t>due to bu</w:t>
      </w:r>
      <w:r w:rsidRPr="00673D1A">
        <w:t>dgetary constraint</w:t>
      </w:r>
      <w:r w:rsidR="00954B71" w:rsidRPr="00673D1A">
        <w:t>s</w:t>
      </w:r>
      <w:r w:rsidRPr="00673D1A">
        <w:t>. In 2005 and 2006 all MMP reefs were surveyed. From 2007 through to 2014</w:t>
      </w:r>
      <w:r w:rsidR="00954B71" w:rsidRPr="00673D1A">
        <w:t xml:space="preserve"> a</w:t>
      </w:r>
      <w:r w:rsidRPr="00673D1A">
        <w:t xml:space="preserve"> subset of reefs at which there were </w:t>
      </w:r>
      <w:r w:rsidR="00954B71" w:rsidRPr="00673D1A">
        <w:t>co-</w:t>
      </w:r>
      <w:r w:rsidRPr="00673D1A">
        <w:t>locat</w:t>
      </w:r>
      <w:r w:rsidR="00CA29DC" w:rsidRPr="00673D1A">
        <w:t>ed water sampling sites</w:t>
      </w:r>
      <w:r w:rsidR="00D52BB7" w:rsidRPr="00673D1A">
        <w:t xml:space="preserve">, </w:t>
      </w:r>
      <w:r w:rsidRPr="00673D1A">
        <w:t>were classified as “core”</w:t>
      </w:r>
      <w:r w:rsidR="00954B71" w:rsidRPr="00673D1A">
        <w:t xml:space="preserve"> reefs</w:t>
      </w:r>
      <w:r w:rsidR="00D52BB7" w:rsidRPr="00673D1A">
        <w:t>,</w:t>
      </w:r>
      <w:r w:rsidR="00954B71" w:rsidRPr="00673D1A">
        <w:t xml:space="preserve"> and sampled</w:t>
      </w:r>
      <w:r w:rsidRPr="00673D1A">
        <w:t xml:space="preserve"> annually</w:t>
      </w:r>
      <w:r w:rsidR="00954B71" w:rsidRPr="00673D1A">
        <w:t>. T</w:t>
      </w:r>
      <w:r w:rsidRPr="00673D1A">
        <w:t>he remaining reefs were classified as “cycle” and sampled only in altern</w:t>
      </w:r>
      <w:r w:rsidR="00954B71" w:rsidRPr="00673D1A">
        <w:t>ate years with half sampled in o</w:t>
      </w:r>
      <w:r w:rsidRPr="00673D1A">
        <w:t>dd numbered years (i.e. 2009,</w:t>
      </w:r>
      <w:r w:rsidR="00954B71" w:rsidRPr="00673D1A">
        <w:t xml:space="preserve"> </w:t>
      </w:r>
      <w:r w:rsidR="00457EB1" w:rsidRPr="00673D1A">
        <w:t>2011 &amp;</w:t>
      </w:r>
      <w:r w:rsidR="00954B71" w:rsidRPr="00673D1A">
        <w:t xml:space="preserve"> </w:t>
      </w:r>
      <w:r w:rsidRPr="00673D1A">
        <w:t>2013) and the remain</w:t>
      </w:r>
      <w:r w:rsidR="00954B71" w:rsidRPr="00673D1A">
        <w:t>der</w:t>
      </w:r>
      <w:r w:rsidRPr="00673D1A">
        <w:t xml:space="preserve"> in even numbered years. When an acute disturbance was suspected to have impacted cycle reefs during the preceding summer they were resurveyed irrespective of their odd or even year classification so as to gain the best estimate of the impact of the acute event and book</w:t>
      </w:r>
      <w:r w:rsidR="002C7DAF">
        <w:t>-</w:t>
      </w:r>
      <w:r w:rsidRPr="00673D1A">
        <w:t xml:space="preserve">end the start of the recovery period. </w:t>
      </w:r>
      <w:r w:rsidR="003D3103" w:rsidRPr="00673D1A">
        <w:t>F</w:t>
      </w:r>
      <w:r w:rsidRPr="00673D1A">
        <w:t>urther f</w:t>
      </w:r>
      <w:r w:rsidR="003D3103" w:rsidRPr="00673D1A">
        <w:t xml:space="preserve">unding reductions necessitated the adoption of a biennial sampling cycle for all </w:t>
      </w:r>
      <w:r w:rsidRPr="00673D1A">
        <w:t>reefs</w:t>
      </w:r>
      <w:r w:rsidR="003D3103" w:rsidRPr="00673D1A">
        <w:t xml:space="preserve">, </w:t>
      </w:r>
      <w:r w:rsidR="003E5B8F" w:rsidRPr="00673D1A">
        <w:t>al</w:t>
      </w:r>
      <w:r w:rsidR="003D3103" w:rsidRPr="00673D1A">
        <w:t>though</w:t>
      </w:r>
      <w:r w:rsidRPr="00673D1A">
        <w:t xml:space="preserve"> a contingency</w:t>
      </w:r>
      <w:r w:rsidR="00162AE6" w:rsidRPr="00673D1A">
        <w:t xml:space="preserve"> for the out-of-</w:t>
      </w:r>
      <w:r w:rsidRPr="00673D1A">
        <w:t>phase resampling of reefs impacted by acute disturbance was maintained.</w:t>
      </w:r>
      <w:r w:rsidR="00A82A90" w:rsidRPr="00F352E1">
        <w:rPr>
          <w:color w:val="4F81BD" w:themeColor="accent1"/>
        </w:rPr>
        <w:t xml:space="preserve"> </w:t>
      </w:r>
      <w:r w:rsidR="00A82A90" w:rsidRPr="007724D0">
        <w:t xml:space="preserve">In </w:t>
      </w:r>
      <w:r w:rsidR="007F59AA" w:rsidRPr="007724D0">
        <w:t xml:space="preserve">2017 </w:t>
      </w:r>
      <w:r w:rsidR="003E5B8F" w:rsidRPr="007724D0">
        <w:t>out-of-</w:t>
      </w:r>
      <w:r w:rsidR="002C7DAF">
        <w:t>phase</w:t>
      </w:r>
      <w:r w:rsidR="008A1C10" w:rsidRPr="007724D0">
        <w:t xml:space="preserve"> </w:t>
      </w:r>
      <w:r w:rsidR="002C7DAF">
        <w:t xml:space="preserve">sampling was undertaken at most </w:t>
      </w:r>
      <w:r w:rsidR="000673F1">
        <w:t xml:space="preserve">reefs </w:t>
      </w:r>
      <w:r w:rsidR="000673F1" w:rsidRPr="007724D0">
        <w:t>in</w:t>
      </w:r>
      <w:r w:rsidR="008A1C10" w:rsidRPr="007724D0">
        <w:t xml:space="preserve"> the Wet Tropics</w:t>
      </w:r>
      <w:r w:rsidR="007F59AA" w:rsidRPr="007724D0">
        <w:t>,</w:t>
      </w:r>
      <w:r w:rsidR="008A1C10" w:rsidRPr="007724D0">
        <w:t xml:space="preserve"> Burdekin </w:t>
      </w:r>
      <w:r w:rsidR="007F59AA" w:rsidRPr="007724D0">
        <w:t xml:space="preserve">and Whitsunday </w:t>
      </w:r>
      <w:r w:rsidR="000673F1">
        <w:t>r</w:t>
      </w:r>
      <w:r w:rsidR="008A1C10" w:rsidRPr="007724D0">
        <w:t xml:space="preserve">egions </w:t>
      </w:r>
      <w:r w:rsidR="002C7DAF">
        <w:t xml:space="preserve">to capture </w:t>
      </w:r>
      <w:r w:rsidR="008A1C10" w:rsidRPr="007724D0">
        <w:t>the impact of coral bleaching</w:t>
      </w:r>
      <w:r w:rsidR="007F59AA" w:rsidRPr="007724D0">
        <w:t xml:space="preserve"> and </w:t>
      </w:r>
      <w:r w:rsidR="00CE02D3">
        <w:t>c</w:t>
      </w:r>
      <w:r w:rsidR="00CE02D3" w:rsidRPr="007724D0">
        <w:t xml:space="preserve">yclone </w:t>
      </w:r>
      <w:r w:rsidR="007F59AA" w:rsidRPr="007724D0">
        <w:t>Debbie</w:t>
      </w:r>
      <w:r w:rsidR="008A1C10" w:rsidRPr="007724D0">
        <w:t xml:space="preserve">. </w:t>
      </w:r>
      <w:r w:rsidR="007F59AA" w:rsidRPr="007724D0">
        <w:t>In total</w:t>
      </w:r>
      <w:r w:rsidR="007A688E" w:rsidRPr="007724D0">
        <w:t>,</w:t>
      </w:r>
      <w:r w:rsidR="007F59AA" w:rsidRPr="007724D0">
        <w:t xml:space="preserve"> </w:t>
      </w:r>
      <w:r w:rsidR="002C7DAF">
        <w:t>nine</w:t>
      </w:r>
      <w:r w:rsidR="002C7DAF" w:rsidRPr="007724D0">
        <w:t xml:space="preserve"> </w:t>
      </w:r>
      <w:r w:rsidR="007A688E" w:rsidRPr="007724D0">
        <w:t>out-of-</w:t>
      </w:r>
      <w:r w:rsidR="002C7DAF">
        <w:t>phase</w:t>
      </w:r>
      <w:r w:rsidR="007A688E" w:rsidRPr="007724D0">
        <w:t xml:space="preserve"> reefs were surveyed across the four regions</w:t>
      </w:r>
      <w:r w:rsidR="002C7DAF">
        <w:t xml:space="preserve"> (Table 1)</w:t>
      </w:r>
      <w:r w:rsidR="007A688E" w:rsidRPr="007724D0">
        <w:t>.</w:t>
      </w:r>
    </w:p>
    <w:p w14:paraId="286E6ED5" w14:textId="77777777" w:rsidR="00DA550A" w:rsidRPr="00F352E1" w:rsidRDefault="00DA550A">
      <w:pPr>
        <w:jc w:val="left"/>
        <w:rPr>
          <w:rStyle w:val="Heading7Char"/>
          <w:rFonts w:eastAsia="SimSun"/>
          <w:color w:val="4F81BD" w:themeColor="accent1"/>
        </w:rPr>
      </w:pPr>
      <w:r w:rsidRPr="00F352E1">
        <w:rPr>
          <w:rStyle w:val="Heading7Char"/>
          <w:rFonts w:eastAsia="SimSun"/>
          <w:color w:val="4F81BD" w:themeColor="accent1"/>
        </w:rPr>
        <w:br w:type="page"/>
      </w:r>
    </w:p>
    <w:p w14:paraId="2F9E9E72" w14:textId="77777777" w:rsidR="00117212" w:rsidRPr="00E47793" w:rsidRDefault="004A2C55" w:rsidP="00606A50">
      <w:pPr>
        <w:pStyle w:val="Caption"/>
      </w:pPr>
      <w:bookmarkStart w:id="65" w:name="_Ref491091079"/>
      <w:bookmarkStart w:id="66" w:name="_Ref470179946"/>
      <w:bookmarkStart w:id="67" w:name="_Toc514407849"/>
      <w:r w:rsidRPr="00F352E1">
        <w:lastRenderedPageBreak/>
        <w:t xml:space="preserve">Table </w:t>
      </w:r>
      <w:r w:rsidR="00626D6B">
        <w:fldChar w:fldCharType="begin"/>
      </w:r>
      <w:r w:rsidR="00626D6B">
        <w:instrText xml:space="preserve"> SEQ Table \* ARABIC </w:instrText>
      </w:r>
      <w:r w:rsidR="00626D6B">
        <w:fldChar w:fldCharType="separate"/>
      </w:r>
      <w:r w:rsidR="00A75175">
        <w:rPr>
          <w:noProof/>
        </w:rPr>
        <w:t>1</w:t>
      </w:r>
      <w:r w:rsidR="00626D6B">
        <w:rPr>
          <w:noProof/>
        </w:rPr>
        <w:fldChar w:fldCharType="end"/>
      </w:r>
      <w:bookmarkEnd w:id="65"/>
      <w:r w:rsidRPr="00F352E1">
        <w:t xml:space="preserve"> Sampling locations.</w:t>
      </w:r>
      <w:bookmarkEnd w:id="66"/>
      <w:r w:rsidR="00B815F5" w:rsidRPr="00F352E1">
        <w:rPr>
          <w:rStyle w:val="IntenseReference"/>
          <w:rFonts w:eastAsia="SimSun"/>
          <w:color w:val="4F81BD" w:themeColor="accent1"/>
        </w:rPr>
        <w:t xml:space="preserve"> </w:t>
      </w:r>
      <w:r w:rsidR="00E47793" w:rsidRPr="00E47793">
        <w:rPr>
          <w:rStyle w:val="IntenseReference"/>
          <w:rFonts w:eastAsia="SimSun"/>
        </w:rPr>
        <w:t>Black dots mark reefs surveyed as per sampling design, the “+” symbol indicates reefs surveyed out of schedule to assess disturbance. At each reef surveys of juvenile coral densities, benthic cover estimates derived from photo point intercept transects and scuba searches for incidence of coral mortality are undertaken. WQ, indicates reefs at which water quality monitoring is undertaken, * indicates WQ was ceased in 2014, and ** indicates WQ was begun in 2015.</w:t>
      </w:r>
      <w:r w:rsidR="007B45AA">
        <w:rPr>
          <w:rStyle w:val="IntenseReference"/>
          <w:rFonts w:eastAsia="SimSun"/>
        </w:rPr>
        <w:t>shading indicated reefs discontinued by the MMP.</w:t>
      </w:r>
      <w:bookmarkEnd w:id="67"/>
    </w:p>
    <w:tbl>
      <w:tblPr>
        <w:tblStyle w:val="TableGrid"/>
        <w:tblW w:w="9067" w:type="dxa"/>
        <w:tblLayout w:type="fixed"/>
        <w:tblLook w:val="04A0" w:firstRow="1" w:lastRow="0" w:firstColumn="1" w:lastColumn="0" w:noHBand="0" w:noVBand="1"/>
        <w:tblCaption w:val="matricx of survey reefs by years in which they were sampled"/>
        <w:tblDescription w:val="Illustrates the years each reef was sampled between 2005 and 2017"/>
      </w:tblPr>
      <w:tblGrid>
        <w:gridCol w:w="1271"/>
        <w:gridCol w:w="1843"/>
        <w:gridCol w:w="567"/>
        <w:gridCol w:w="414"/>
        <w:gridCol w:w="414"/>
        <w:gridCol w:w="414"/>
        <w:gridCol w:w="415"/>
        <w:gridCol w:w="414"/>
        <w:gridCol w:w="414"/>
        <w:gridCol w:w="415"/>
        <w:gridCol w:w="414"/>
        <w:gridCol w:w="414"/>
        <w:gridCol w:w="415"/>
        <w:gridCol w:w="414"/>
        <w:gridCol w:w="414"/>
        <w:gridCol w:w="415"/>
      </w:tblGrid>
      <w:tr w:rsidR="004F2C1A" w:rsidRPr="00C7665D" w14:paraId="764183AF" w14:textId="77777777" w:rsidTr="004F2C1A">
        <w:trPr>
          <w:cantSplit/>
          <w:trHeight w:val="1067"/>
          <w:tblHeader/>
        </w:trPr>
        <w:tc>
          <w:tcPr>
            <w:tcW w:w="1271" w:type="dxa"/>
            <w:vAlign w:val="center"/>
          </w:tcPr>
          <w:p w14:paraId="733156AD" w14:textId="77777777" w:rsidR="004F2C1A" w:rsidRPr="00C7665D" w:rsidRDefault="004F2C1A" w:rsidP="004F2C1A">
            <w:pPr>
              <w:rPr>
                <w:rStyle w:val="IntenseReference"/>
                <w:color w:val="auto"/>
              </w:rPr>
            </w:pPr>
            <w:r>
              <w:rPr>
                <w:rStyle w:val="IntenseReference"/>
                <w:color w:val="auto"/>
              </w:rPr>
              <w:t>(</w:t>
            </w:r>
            <w:r w:rsidRPr="00C7665D">
              <w:rPr>
                <w:rStyle w:val="IntenseReference"/>
                <w:color w:val="auto"/>
              </w:rPr>
              <w:t>Sub</w:t>
            </w:r>
            <w:r>
              <w:rPr>
                <w:rStyle w:val="IntenseReference"/>
                <w:color w:val="auto"/>
              </w:rPr>
              <w:t>-)</w:t>
            </w:r>
            <w:r w:rsidRPr="00C7665D">
              <w:rPr>
                <w:rStyle w:val="IntenseReference"/>
                <w:color w:val="auto"/>
              </w:rPr>
              <w:t xml:space="preserve"> Region</w:t>
            </w:r>
          </w:p>
        </w:tc>
        <w:tc>
          <w:tcPr>
            <w:tcW w:w="1843" w:type="dxa"/>
            <w:vAlign w:val="center"/>
          </w:tcPr>
          <w:p w14:paraId="46D70DD4" w14:textId="77777777" w:rsidR="004F2C1A" w:rsidRPr="00C7665D" w:rsidRDefault="004F2C1A" w:rsidP="00651AE0">
            <w:pPr>
              <w:jc w:val="center"/>
              <w:rPr>
                <w:rStyle w:val="IntenseReference"/>
                <w:color w:val="auto"/>
              </w:rPr>
            </w:pPr>
            <w:r w:rsidRPr="00C7665D">
              <w:rPr>
                <w:rStyle w:val="IntenseReference"/>
                <w:color w:val="auto"/>
              </w:rPr>
              <w:t>Reef</w:t>
            </w:r>
          </w:p>
        </w:tc>
        <w:tc>
          <w:tcPr>
            <w:tcW w:w="567" w:type="dxa"/>
            <w:textDirection w:val="btLr"/>
            <w:vAlign w:val="center"/>
          </w:tcPr>
          <w:p w14:paraId="433A55E8" w14:textId="77777777" w:rsidR="004F2C1A" w:rsidRPr="00C7665D" w:rsidRDefault="004F2C1A" w:rsidP="00651AE0">
            <w:pPr>
              <w:ind w:left="113" w:right="113"/>
              <w:jc w:val="center"/>
              <w:rPr>
                <w:rStyle w:val="IntenseReference"/>
                <w:color w:val="auto"/>
              </w:rPr>
            </w:pPr>
            <w:r w:rsidRPr="00C7665D">
              <w:rPr>
                <w:rStyle w:val="IntenseReference"/>
                <w:color w:val="auto"/>
              </w:rPr>
              <w:t>Program</w:t>
            </w:r>
          </w:p>
        </w:tc>
        <w:tc>
          <w:tcPr>
            <w:tcW w:w="414" w:type="dxa"/>
            <w:textDirection w:val="btLr"/>
            <w:vAlign w:val="center"/>
          </w:tcPr>
          <w:p w14:paraId="2FFE8198" w14:textId="77777777" w:rsidR="004F2C1A" w:rsidRPr="00C7665D" w:rsidRDefault="004F2C1A" w:rsidP="00651AE0">
            <w:pPr>
              <w:ind w:left="113" w:right="113"/>
              <w:jc w:val="center"/>
              <w:rPr>
                <w:rStyle w:val="IntenseReference"/>
                <w:color w:val="auto"/>
              </w:rPr>
            </w:pPr>
            <w:r w:rsidRPr="00C7665D">
              <w:rPr>
                <w:rStyle w:val="IntenseReference"/>
                <w:color w:val="auto"/>
              </w:rPr>
              <w:t>2005</w:t>
            </w:r>
          </w:p>
        </w:tc>
        <w:tc>
          <w:tcPr>
            <w:tcW w:w="414" w:type="dxa"/>
            <w:textDirection w:val="btLr"/>
            <w:vAlign w:val="center"/>
          </w:tcPr>
          <w:p w14:paraId="51BE75AA" w14:textId="77777777" w:rsidR="004F2C1A" w:rsidRPr="00C7665D" w:rsidRDefault="004F2C1A" w:rsidP="00651AE0">
            <w:pPr>
              <w:ind w:left="113" w:right="113"/>
              <w:jc w:val="center"/>
              <w:rPr>
                <w:rStyle w:val="IntenseReference"/>
                <w:color w:val="auto"/>
              </w:rPr>
            </w:pPr>
            <w:r w:rsidRPr="00C7665D">
              <w:rPr>
                <w:rStyle w:val="IntenseReference"/>
                <w:color w:val="auto"/>
              </w:rPr>
              <w:t>2006</w:t>
            </w:r>
          </w:p>
        </w:tc>
        <w:tc>
          <w:tcPr>
            <w:tcW w:w="414" w:type="dxa"/>
            <w:textDirection w:val="btLr"/>
            <w:vAlign w:val="center"/>
          </w:tcPr>
          <w:p w14:paraId="12B4E59C" w14:textId="77777777" w:rsidR="004F2C1A" w:rsidRPr="00C7665D" w:rsidRDefault="004F2C1A" w:rsidP="00651AE0">
            <w:pPr>
              <w:ind w:left="113" w:right="113"/>
              <w:jc w:val="center"/>
              <w:rPr>
                <w:rStyle w:val="IntenseReference"/>
                <w:color w:val="auto"/>
              </w:rPr>
            </w:pPr>
            <w:r w:rsidRPr="00C7665D">
              <w:rPr>
                <w:rStyle w:val="IntenseReference"/>
                <w:color w:val="auto"/>
              </w:rPr>
              <w:t>2007</w:t>
            </w:r>
          </w:p>
        </w:tc>
        <w:tc>
          <w:tcPr>
            <w:tcW w:w="415" w:type="dxa"/>
            <w:textDirection w:val="btLr"/>
            <w:vAlign w:val="center"/>
          </w:tcPr>
          <w:p w14:paraId="40D945E6" w14:textId="77777777" w:rsidR="004F2C1A" w:rsidRPr="00C7665D" w:rsidRDefault="004F2C1A" w:rsidP="00651AE0">
            <w:pPr>
              <w:ind w:left="113" w:right="113"/>
              <w:jc w:val="center"/>
              <w:rPr>
                <w:rStyle w:val="IntenseReference"/>
                <w:color w:val="auto"/>
              </w:rPr>
            </w:pPr>
            <w:r w:rsidRPr="00C7665D">
              <w:rPr>
                <w:rStyle w:val="IntenseReference"/>
                <w:color w:val="auto"/>
              </w:rPr>
              <w:t>2008</w:t>
            </w:r>
          </w:p>
        </w:tc>
        <w:tc>
          <w:tcPr>
            <w:tcW w:w="414" w:type="dxa"/>
            <w:textDirection w:val="btLr"/>
            <w:vAlign w:val="center"/>
          </w:tcPr>
          <w:p w14:paraId="6A5B532E" w14:textId="77777777" w:rsidR="004F2C1A" w:rsidRPr="00C7665D" w:rsidRDefault="004F2C1A" w:rsidP="00651AE0">
            <w:pPr>
              <w:ind w:left="113" w:right="113"/>
              <w:jc w:val="center"/>
              <w:rPr>
                <w:rStyle w:val="IntenseReference"/>
                <w:color w:val="auto"/>
              </w:rPr>
            </w:pPr>
            <w:r w:rsidRPr="00C7665D">
              <w:rPr>
                <w:rStyle w:val="IntenseReference"/>
                <w:color w:val="auto"/>
              </w:rPr>
              <w:t>2009</w:t>
            </w:r>
          </w:p>
        </w:tc>
        <w:tc>
          <w:tcPr>
            <w:tcW w:w="414" w:type="dxa"/>
            <w:textDirection w:val="btLr"/>
            <w:vAlign w:val="center"/>
          </w:tcPr>
          <w:p w14:paraId="4C93089E" w14:textId="77777777" w:rsidR="004F2C1A" w:rsidRPr="00C7665D" w:rsidRDefault="004F2C1A" w:rsidP="00651AE0">
            <w:pPr>
              <w:ind w:left="113" w:right="113"/>
              <w:jc w:val="center"/>
              <w:rPr>
                <w:rStyle w:val="IntenseReference"/>
                <w:color w:val="auto"/>
              </w:rPr>
            </w:pPr>
            <w:r w:rsidRPr="00C7665D">
              <w:rPr>
                <w:rStyle w:val="IntenseReference"/>
                <w:color w:val="auto"/>
              </w:rPr>
              <w:t>2010</w:t>
            </w:r>
          </w:p>
        </w:tc>
        <w:tc>
          <w:tcPr>
            <w:tcW w:w="415" w:type="dxa"/>
            <w:textDirection w:val="btLr"/>
            <w:vAlign w:val="center"/>
          </w:tcPr>
          <w:p w14:paraId="3FBE675F" w14:textId="77777777" w:rsidR="004F2C1A" w:rsidRPr="00C7665D" w:rsidRDefault="004F2C1A" w:rsidP="00651AE0">
            <w:pPr>
              <w:ind w:left="113" w:right="113"/>
              <w:jc w:val="center"/>
              <w:rPr>
                <w:rStyle w:val="IntenseReference"/>
                <w:color w:val="auto"/>
              </w:rPr>
            </w:pPr>
            <w:r w:rsidRPr="00C7665D">
              <w:rPr>
                <w:rStyle w:val="IntenseReference"/>
                <w:color w:val="auto"/>
              </w:rPr>
              <w:t>2011</w:t>
            </w:r>
          </w:p>
        </w:tc>
        <w:tc>
          <w:tcPr>
            <w:tcW w:w="414" w:type="dxa"/>
            <w:textDirection w:val="btLr"/>
            <w:vAlign w:val="center"/>
          </w:tcPr>
          <w:p w14:paraId="0690766A" w14:textId="77777777" w:rsidR="004F2C1A" w:rsidRPr="00C7665D" w:rsidRDefault="004F2C1A" w:rsidP="00651AE0">
            <w:pPr>
              <w:ind w:left="113" w:right="113"/>
              <w:jc w:val="center"/>
              <w:rPr>
                <w:rStyle w:val="IntenseReference"/>
                <w:color w:val="auto"/>
              </w:rPr>
            </w:pPr>
            <w:r w:rsidRPr="00C7665D">
              <w:rPr>
                <w:rStyle w:val="IntenseReference"/>
                <w:color w:val="auto"/>
              </w:rPr>
              <w:t>2012</w:t>
            </w:r>
          </w:p>
        </w:tc>
        <w:tc>
          <w:tcPr>
            <w:tcW w:w="414" w:type="dxa"/>
            <w:textDirection w:val="btLr"/>
            <w:vAlign w:val="center"/>
          </w:tcPr>
          <w:p w14:paraId="6F1B7E3F" w14:textId="77777777" w:rsidR="004F2C1A" w:rsidRPr="00C7665D" w:rsidRDefault="004F2C1A" w:rsidP="00651AE0">
            <w:pPr>
              <w:ind w:left="113" w:right="113"/>
              <w:jc w:val="center"/>
              <w:rPr>
                <w:rStyle w:val="IntenseReference"/>
                <w:color w:val="auto"/>
              </w:rPr>
            </w:pPr>
            <w:r w:rsidRPr="00C7665D">
              <w:rPr>
                <w:rStyle w:val="IntenseReference"/>
                <w:color w:val="auto"/>
              </w:rPr>
              <w:t>2013</w:t>
            </w:r>
          </w:p>
        </w:tc>
        <w:tc>
          <w:tcPr>
            <w:tcW w:w="415" w:type="dxa"/>
            <w:textDirection w:val="btLr"/>
            <w:vAlign w:val="center"/>
          </w:tcPr>
          <w:p w14:paraId="0CC72A81" w14:textId="77777777" w:rsidR="004F2C1A" w:rsidRPr="00C7665D" w:rsidRDefault="004F2C1A" w:rsidP="00651AE0">
            <w:pPr>
              <w:ind w:left="113" w:right="113"/>
              <w:jc w:val="center"/>
              <w:rPr>
                <w:rStyle w:val="IntenseReference"/>
                <w:color w:val="auto"/>
              </w:rPr>
            </w:pPr>
            <w:r w:rsidRPr="00C7665D">
              <w:rPr>
                <w:rStyle w:val="IntenseReference"/>
                <w:color w:val="auto"/>
              </w:rPr>
              <w:t>2014</w:t>
            </w:r>
          </w:p>
        </w:tc>
        <w:tc>
          <w:tcPr>
            <w:tcW w:w="414" w:type="dxa"/>
            <w:textDirection w:val="btLr"/>
            <w:vAlign w:val="center"/>
          </w:tcPr>
          <w:p w14:paraId="4FB654D4" w14:textId="77777777" w:rsidR="004F2C1A" w:rsidRPr="00C7665D" w:rsidRDefault="004F2C1A" w:rsidP="00651AE0">
            <w:pPr>
              <w:ind w:left="113" w:right="113"/>
              <w:jc w:val="center"/>
              <w:rPr>
                <w:rStyle w:val="IntenseReference"/>
                <w:color w:val="auto"/>
              </w:rPr>
            </w:pPr>
            <w:r w:rsidRPr="00C7665D">
              <w:rPr>
                <w:rStyle w:val="IntenseReference"/>
                <w:color w:val="auto"/>
              </w:rPr>
              <w:t>2015</w:t>
            </w:r>
          </w:p>
        </w:tc>
        <w:tc>
          <w:tcPr>
            <w:tcW w:w="414" w:type="dxa"/>
            <w:textDirection w:val="btLr"/>
          </w:tcPr>
          <w:p w14:paraId="20E12B2D" w14:textId="77777777" w:rsidR="004F2C1A" w:rsidRPr="00C7665D" w:rsidRDefault="004F2C1A" w:rsidP="00651AE0">
            <w:pPr>
              <w:ind w:left="113" w:right="113"/>
              <w:jc w:val="center"/>
              <w:rPr>
                <w:rStyle w:val="IntenseReference"/>
                <w:color w:val="auto"/>
              </w:rPr>
            </w:pPr>
            <w:r w:rsidRPr="00C7665D">
              <w:rPr>
                <w:rStyle w:val="IntenseReference"/>
                <w:color w:val="auto"/>
              </w:rPr>
              <w:t>2016</w:t>
            </w:r>
          </w:p>
        </w:tc>
        <w:tc>
          <w:tcPr>
            <w:tcW w:w="415" w:type="dxa"/>
            <w:textDirection w:val="btLr"/>
          </w:tcPr>
          <w:p w14:paraId="79420EDF" w14:textId="77777777" w:rsidR="004F2C1A" w:rsidRPr="00C7665D" w:rsidRDefault="004F2C1A" w:rsidP="00651AE0">
            <w:pPr>
              <w:ind w:left="113" w:right="113"/>
              <w:jc w:val="center"/>
              <w:rPr>
                <w:rStyle w:val="IntenseReference"/>
                <w:color w:val="auto"/>
              </w:rPr>
            </w:pPr>
            <w:r w:rsidRPr="00C7665D">
              <w:rPr>
                <w:rStyle w:val="IntenseReference"/>
                <w:color w:val="auto"/>
              </w:rPr>
              <w:t>2017</w:t>
            </w:r>
          </w:p>
        </w:tc>
      </w:tr>
      <w:tr w:rsidR="004F2C1A" w:rsidRPr="00C7665D" w14:paraId="1C98CDF9" w14:textId="77777777" w:rsidTr="004F2C1A">
        <w:tc>
          <w:tcPr>
            <w:tcW w:w="1271" w:type="dxa"/>
            <w:vMerge w:val="restart"/>
            <w:vAlign w:val="center"/>
          </w:tcPr>
          <w:p w14:paraId="4A65C862" w14:textId="77777777" w:rsidR="004F2C1A" w:rsidRPr="00C7665D" w:rsidRDefault="004F2C1A" w:rsidP="00613E31">
            <w:pPr>
              <w:jc w:val="center"/>
              <w:rPr>
                <w:rStyle w:val="IntenseReference"/>
                <w:color w:val="auto"/>
              </w:rPr>
            </w:pPr>
            <w:r w:rsidRPr="00C7665D">
              <w:rPr>
                <w:rStyle w:val="IntenseReference"/>
                <w:color w:val="auto"/>
              </w:rPr>
              <w:t>Barron Daintree</w:t>
            </w:r>
          </w:p>
        </w:tc>
        <w:tc>
          <w:tcPr>
            <w:tcW w:w="1843" w:type="dxa"/>
            <w:tcMar>
              <w:left w:w="28" w:type="dxa"/>
              <w:right w:w="28" w:type="dxa"/>
            </w:tcMar>
            <w:vAlign w:val="bottom"/>
          </w:tcPr>
          <w:p w14:paraId="3DC54286" w14:textId="77777777" w:rsidR="004F2C1A" w:rsidRPr="00C7665D" w:rsidRDefault="004F2C1A" w:rsidP="00B815F5">
            <w:pPr>
              <w:rPr>
                <w:rStyle w:val="IntenseReference"/>
                <w:color w:val="auto"/>
              </w:rPr>
            </w:pPr>
            <w:r w:rsidRPr="00C7665D">
              <w:rPr>
                <w:rStyle w:val="IntenseReference"/>
                <w:color w:val="auto"/>
              </w:rPr>
              <w:t>Cape Tribulation North</w:t>
            </w:r>
          </w:p>
        </w:tc>
        <w:tc>
          <w:tcPr>
            <w:tcW w:w="567" w:type="dxa"/>
            <w:tcMar>
              <w:left w:w="28" w:type="dxa"/>
              <w:right w:w="28" w:type="dxa"/>
            </w:tcMar>
          </w:tcPr>
          <w:p w14:paraId="5395F03C" w14:textId="77777777" w:rsidR="004F2C1A" w:rsidRPr="00C7665D" w:rsidRDefault="004F2C1A" w:rsidP="00B815F5">
            <w:pPr>
              <w:rPr>
                <w:rStyle w:val="IntenseReference"/>
                <w:color w:val="auto"/>
              </w:rPr>
            </w:pPr>
            <w:r w:rsidRPr="00C7665D">
              <w:rPr>
                <w:rStyle w:val="IntenseReference"/>
                <w:color w:val="auto"/>
              </w:rPr>
              <w:t>MMP</w:t>
            </w:r>
          </w:p>
        </w:tc>
        <w:tc>
          <w:tcPr>
            <w:tcW w:w="414" w:type="dxa"/>
          </w:tcPr>
          <w:p w14:paraId="3A2E1AAB"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15C1E90A"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shd w:val="clear" w:color="auto" w:fill="F2F2F2" w:themeFill="background1" w:themeFillShade="F2"/>
          </w:tcPr>
          <w:p w14:paraId="4B15F315" w14:textId="77777777" w:rsidR="004F2C1A" w:rsidRPr="00C7665D" w:rsidRDefault="004F2C1A" w:rsidP="00B815F5">
            <w:pPr>
              <w:rPr>
                <w:rFonts w:ascii="Arial Narrow" w:hAnsi="Arial Narrow" w:cs="Arial"/>
                <w:szCs w:val="22"/>
              </w:rPr>
            </w:pPr>
          </w:p>
        </w:tc>
        <w:tc>
          <w:tcPr>
            <w:tcW w:w="415" w:type="dxa"/>
            <w:shd w:val="clear" w:color="auto" w:fill="F2F2F2" w:themeFill="background1" w:themeFillShade="F2"/>
          </w:tcPr>
          <w:p w14:paraId="241B4D4A" w14:textId="77777777" w:rsidR="004F2C1A" w:rsidRPr="00C7665D" w:rsidRDefault="004F2C1A" w:rsidP="00B815F5">
            <w:pPr>
              <w:rPr>
                <w:rFonts w:ascii="Arial Narrow" w:hAnsi="Arial Narrow" w:cs="Arial"/>
                <w:szCs w:val="22"/>
              </w:rPr>
            </w:pPr>
          </w:p>
        </w:tc>
        <w:tc>
          <w:tcPr>
            <w:tcW w:w="414" w:type="dxa"/>
            <w:shd w:val="clear" w:color="auto" w:fill="F2F2F2" w:themeFill="background1" w:themeFillShade="F2"/>
          </w:tcPr>
          <w:p w14:paraId="4670CF7F" w14:textId="77777777" w:rsidR="004F2C1A" w:rsidRPr="00C7665D" w:rsidRDefault="004F2C1A" w:rsidP="00B815F5">
            <w:pPr>
              <w:rPr>
                <w:rFonts w:ascii="Arial Narrow" w:hAnsi="Arial Narrow" w:cs="Arial"/>
                <w:szCs w:val="22"/>
              </w:rPr>
            </w:pPr>
          </w:p>
        </w:tc>
        <w:tc>
          <w:tcPr>
            <w:tcW w:w="414" w:type="dxa"/>
            <w:shd w:val="clear" w:color="auto" w:fill="F2F2F2" w:themeFill="background1" w:themeFillShade="F2"/>
          </w:tcPr>
          <w:p w14:paraId="70D51D24" w14:textId="77777777" w:rsidR="004F2C1A" w:rsidRPr="00C7665D" w:rsidRDefault="004F2C1A" w:rsidP="00B815F5">
            <w:pPr>
              <w:rPr>
                <w:rFonts w:ascii="Arial Narrow" w:hAnsi="Arial Narrow" w:cs="Arial"/>
                <w:szCs w:val="22"/>
              </w:rPr>
            </w:pPr>
          </w:p>
        </w:tc>
        <w:tc>
          <w:tcPr>
            <w:tcW w:w="415" w:type="dxa"/>
            <w:shd w:val="clear" w:color="auto" w:fill="F2F2F2" w:themeFill="background1" w:themeFillShade="F2"/>
          </w:tcPr>
          <w:p w14:paraId="3ACBDE65" w14:textId="77777777" w:rsidR="004F2C1A" w:rsidRPr="00C7665D" w:rsidRDefault="004F2C1A" w:rsidP="00B815F5">
            <w:pPr>
              <w:rPr>
                <w:rFonts w:ascii="Arial Narrow" w:hAnsi="Arial Narrow" w:cs="Arial"/>
                <w:szCs w:val="22"/>
              </w:rPr>
            </w:pPr>
          </w:p>
        </w:tc>
        <w:tc>
          <w:tcPr>
            <w:tcW w:w="414" w:type="dxa"/>
            <w:shd w:val="clear" w:color="auto" w:fill="F2F2F2" w:themeFill="background1" w:themeFillShade="F2"/>
          </w:tcPr>
          <w:p w14:paraId="3A1FAD52" w14:textId="77777777" w:rsidR="004F2C1A" w:rsidRPr="00C7665D" w:rsidRDefault="004F2C1A" w:rsidP="00B815F5">
            <w:pPr>
              <w:rPr>
                <w:rFonts w:ascii="Arial Narrow" w:hAnsi="Arial Narrow" w:cs="Arial"/>
                <w:szCs w:val="22"/>
              </w:rPr>
            </w:pPr>
          </w:p>
        </w:tc>
        <w:tc>
          <w:tcPr>
            <w:tcW w:w="414" w:type="dxa"/>
            <w:shd w:val="clear" w:color="auto" w:fill="F2F2F2" w:themeFill="background1" w:themeFillShade="F2"/>
          </w:tcPr>
          <w:p w14:paraId="6C48FA74" w14:textId="77777777" w:rsidR="004F2C1A" w:rsidRPr="00C7665D" w:rsidRDefault="004F2C1A" w:rsidP="00B815F5">
            <w:pPr>
              <w:rPr>
                <w:rFonts w:ascii="Arial Narrow" w:hAnsi="Arial Narrow" w:cs="Arial"/>
                <w:szCs w:val="22"/>
              </w:rPr>
            </w:pPr>
          </w:p>
        </w:tc>
        <w:tc>
          <w:tcPr>
            <w:tcW w:w="415" w:type="dxa"/>
            <w:shd w:val="clear" w:color="auto" w:fill="F2F2F2" w:themeFill="background1" w:themeFillShade="F2"/>
          </w:tcPr>
          <w:p w14:paraId="46BD21E9" w14:textId="77777777" w:rsidR="004F2C1A" w:rsidRPr="00C7665D" w:rsidRDefault="004F2C1A" w:rsidP="00B815F5">
            <w:pPr>
              <w:rPr>
                <w:rFonts w:ascii="Arial Narrow" w:hAnsi="Arial Narrow" w:cs="Arial"/>
                <w:szCs w:val="22"/>
              </w:rPr>
            </w:pPr>
          </w:p>
        </w:tc>
        <w:tc>
          <w:tcPr>
            <w:tcW w:w="414" w:type="dxa"/>
            <w:shd w:val="clear" w:color="auto" w:fill="F2F2F2" w:themeFill="background1" w:themeFillShade="F2"/>
          </w:tcPr>
          <w:p w14:paraId="60CAC587" w14:textId="77777777" w:rsidR="004F2C1A" w:rsidRPr="00C7665D" w:rsidRDefault="004F2C1A" w:rsidP="00B815F5">
            <w:pPr>
              <w:rPr>
                <w:rFonts w:ascii="Arial Narrow" w:hAnsi="Arial Narrow" w:cs="Arial"/>
                <w:szCs w:val="22"/>
              </w:rPr>
            </w:pPr>
          </w:p>
        </w:tc>
        <w:tc>
          <w:tcPr>
            <w:tcW w:w="414" w:type="dxa"/>
            <w:shd w:val="clear" w:color="auto" w:fill="F2F2F2" w:themeFill="background1" w:themeFillShade="F2"/>
          </w:tcPr>
          <w:p w14:paraId="5E08BCBC" w14:textId="77777777" w:rsidR="004F2C1A" w:rsidRPr="00C7665D" w:rsidRDefault="004F2C1A" w:rsidP="00B815F5">
            <w:pPr>
              <w:rPr>
                <w:rFonts w:ascii="Arial Narrow" w:hAnsi="Arial Narrow" w:cs="Arial"/>
                <w:szCs w:val="22"/>
              </w:rPr>
            </w:pPr>
          </w:p>
        </w:tc>
        <w:tc>
          <w:tcPr>
            <w:tcW w:w="415" w:type="dxa"/>
            <w:shd w:val="clear" w:color="auto" w:fill="F2F2F2" w:themeFill="background1" w:themeFillShade="F2"/>
          </w:tcPr>
          <w:p w14:paraId="103D5955" w14:textId="77777777" w:rsidR="004F2C1A" w:rsidRPr="00C7665D" w:rsidRDefault="004F2C1A" w:rsidP="00B815F5">
            <w:pPr>
              <w:rPr>
                <w:rFonts w:ascii="Arial Narrow" w:hAnsi="Arial Narrow" w:cs="Arial"/>
                <w:szCs w:val="22"/>
              </w:rPr>
            </w:pPr>
          </w:p>
        </w:tc>
      </w:tr>
      <w:tr w:rsidR="004F2C1A" w:rsidRPr="00C7665D" w14:paraId="2ECCE8D7" w14:textId="77777777" w:rsidTr="004F2C1A">
        <w:tc>
          <w:tcPr>
            <w:tcW w:w="1271" w:type="dxa"/>
            <w:vMerge/>
            <w:vAlign w:val="center"/>
          </w:tcPr>
          <w:p w14:paraId="2D2296DC" w14:textId="77777777" w:rsidR="004F2C1A" w:rsidRPr="00C7665D" w:rsidRDefault="004F2C1A" w:rsidP="00613E31">
            <w:pPr>
              <w:jc w:val="center"/>
              <w:rPr>
                <w:rStyle w:val="IntenseReference"/>
                <w:color w:val="auto"/>
              </w:rPr>
            </w:pPr>
          </w:p>
        </w:tc>
        <w:tc>
          <w:tcPr>
            <w:tcW w:w="1843" w:type="dxa"/>
            <w:tcMar>
              <w:left w:w="28" w:type="dxa"/>
              <w:right w:w="28" w:type="dxa"/>
            </w:tcMar>
            <w:vAlign w:val="bottom"/>
          </w:tcPr>
          <w:p w14:paraId="230241C0" w14:textId="77777777" w:rsidR="004F2C1A" w:rsidRPr="00C7665D" w:rsidRDefault="004F2C1A" w:rsidP="00B815F5">
            <w:pPr>
              <w:rPr>
                <w:rStyle w:val="IntenseReference"/>
                <w:color w:val="auto"/>
              </w:rPr>
            </w:pPr>
            <w:r w:rsidRPr="00C7665D">
              <w:rPr>
                <w:rStyle w:val="IntenseReference"/>
                <w:color w:val="auto"/>
              </w:rPr>
              <w:t>Cape Tribulation Mid</w:t>
            </w:r>
          </w:p>
        </w:tc>
        <w:tc>
          <w:tcPr>
            <w:tcW w:w="567" w:type="dxa"/>
            <w:tcMar>
              <w:left w:w="28" w:type="dxa"/>
              <w:right w:w="28" w:type="dxa"/>
            </w:tcMar>
          </w:tcPr>
          <w:p w14:paraId="28A135B3" w14:textId="77777777" w:rsidR="004F2C1A" w:rsidRPr="00C7665D" w:rsidRDefault="004F2C1A" w:rsidP="00B815F5">
            <w:pPr>
              <w:rPr>
                <w:rStyle w:val="IntenseReference"/>
                <w:color w:val="auto"/>
              </w:rPr>
            </w:pPr>
            <w:r w:rsidRPr="00C7665D">
              <w:rPr>
                <w:rStyle w:val="IntenseReference"/>
                <w:color w:val="auto"/>
              </w:rPr>
              <w:t>MMP</w:t>
            </w:r>
          </w:p>
        </w:tc>
        <w:tc>
          <w:tcPr>
            <w:tcW w:w="414" w:type="dxa"/>
          </w:tcPr>
          <w:p w14:paraId="4B95CA6D"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4C838C7E"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shd w:val="clear" w:color="auto" w:fill="F2F2F2" w:themeFill="background1" w:themeFillShade="F2"/>
          </w:tcPr>
          <w:p w14:paraId="6DB18FE4" w14:textId="77777777" w:rsidR="004F2C1A" w:rsidRPr="00C7665D" w:rsidRDefault="004F2C1A" w:rsidP="00B815F5">
            <w:pPr>
              <w:rPr>
                <w:rFonts w:ascii="Arial Narrow" w:hAnsi="Arial Narrow" w:cs="Arial"/>
                <w:szCs w:val="22"/>
              </w:rPr>
            </w:pPr>
          </w:p>
        </w:tc>
        <w:tc>
          <w:tcPr>
            <w:tcW w:w="415" w:type="dxa"/>
            <w:shd w:val="clear" w:color="auto" w:fill="F2F2F2" w:themeFill="background1" w:themeFillShade="F2"/>
          </w:tcPr>
          <w:p w14:paraId="4FEA2107" w14:textId="77777777" w:rsidR="004F2C1A" w:rsidRPr="00C7665D" w:rsidRDefault="004F2C1A" w:rsidP="00B815F5">
            <w:pPr>
              <w:rPr>
                <w:rFonts w:ascii="Arial Narrow" w:hAnsi="Arial Narrow" w:cs="Arial"/>
                <w:szCs w:val="22"/>
              </w:rPr>
            </w:pPr>
          </w:p>
        </w:tc>
        <w:tc>
          <w:tcPr>
            <w:tcW w:w="414" w:type="dxa"/>
            <w:shd w:val="clear" w:color="auto" w:fill="F2F2F2" w:themeFill="background1" w:themeFillShade="F2"/>
          </w:tcPr>
          <w:p w14:paraId="6401E57A" w14:textId="77777777" w:rsidR="004F2C1A" w:rsidRPr="00C7665D" w:rsidRDefault="004F2C1A" w:rsidP="00B815F5">
            <w:pPr>
              <w:rPr>
                <w:rFonts w:ascii="Arial Narrow" w:hAnsi="Arial Narrow" w:cs="Arial"/>
                <w:szCs w:val="22"/>
              </w:rPr>
            </w:pPr>
          </w:p>
        </w:tc>
        <w:tc>
          <w:tcPr>
            <w:tcW w:w="414" w:type="dxa"/>
            <w:shd w:val="clear" w:color="auto" w:fill="F2F2F2" w:themeFill="background1" w:themeFillShade="F2"/>
          </w:tcPr>
          <w:p w14:paraId="37CD74A7" w14:textId="77777777" w:rsidR="004F2C1A" w:rsidRPr="00C7665D" w:rsidRDefault="004F2C1A" w:rsidP="00B815F5">
            <w:pPr>
              <w:rPr>
                <w:rFonts w:ascii="Arial Narrow" w:hAnsi="Arial Narrow" w:cs="Arial"/>
                <w:szCs w:val="22"/>
              </w:rPr>
            </w:pPr>
          </w:p>
        </w:tc>
        <w:tc>
          <w:tcPr>
            <w:tcW w:w="415" w:type="dxa"/>
            <w:shd w:val="clear" w:color="auto" w:fill="F2F2F2" w:themeFill="background1" w:themeFillShade="F2"/>
          </w:tcPr>
          <w:p w14:paraId="600103C2" w14:textId="77777777" w:rsidR="004F2C1A" w:rsidRPr="00C7665D" w:rsidRDefault="004F2C1A" w:rsidP="00B815F5">
            <w:pPr>
              <w:rPr>
                <w:rFonts w:ascii="Arial Narrow" w:hAnsi="Arial Narrow" w:cs="Arial"/>
                <w:szCs w:val="22"/>
              </w:rPr>
            </w:pPr>
          </w:p>
        </w:tc>
        <w:tc>
          <w:tcPr>
            <w:tcW w:w="414" w:type="dxa"/>
            <w:shd w:val="clear" w:color="auto" w:fill="F2F2F2" w:themeFill="background1" w:themeFillShade="F2"/>
          </w:tcPr>
          <w:p w14:paraId="21FA0232" w14:textId="77777777" w:rsidR="004F2C1A" w:rsidRPr="00C7665D" w:rsidRDefault="004F2C1A" w:rsidP="00B815F5">
            <w:pPr>
              <w:rPr>
                <w:rFonts w:ascii="Arial Narrow" w:hAnsi="Arial Narrow" w:cs="Arial"/>
                <w:szCs w:val="22"/>
              </w:rPr>
            </w:pPr>
          </w:p>
        </w:tc>
        <w:tc>
          <w:tcPr>
            <w:tcW w:w="414" w:type="dxa"/>
            <w:shd w:val="clear" w:color="auto" w:fill="F2F2F2" w:themeFill="background1" w:themeFillShade="F2"/>
          </w:tcPr>
          <w:p w14:paraId="0F32EE0A" w14:textId="77777777" w:rsidR="004F2C1A" w:rsidRPr="00C7665D" w:rsidRDefault="004F2C1A" w:rsidP="00B815F5">
            <w:pPr>
              <w:rPr>
                <w:rFonts w:ascii="Arial Narrow" w:hAnsi="Arial Narrow" w:cs="Arial"/>
                <w:szCs w:val="22"/>
              </w:rPr>
            </w:pPr>
          </w:p>
        </w:tc>
        <w:tc>
          <w:tcPr>
            <w:tcW w:w="415" w:type="dxa"/>
            <w:shd w:val="clear" w:color="auto" w:fill="F2F2F2" w:themeFill="background1" w:themeFillShade="F2"/>
          </w:tcPr>
          <w:p w14:paraId="2FE2C01D" w14:textId="77777777" w:rsidR="004F2C1A" w:rsidRPr="00C7665D" w:rsidRDefault="004F2C1A" w:rsidP="00B815F5">
            <w:pPr>
              <w:rPr>
                <w:rFonts w:ascii="Arial Narrow" w:hAnsi="Arial Narrow" w:cs="Arial"/>
                <w:szCs w:val="22"/>
              </w:rPr>
            </w:pPr>
          </w:p>
        </w:tc>
        <w:tc>
          <w:tcPr>
            <w:tcW w:w="414" w:type="dxa"/>
            <w:shd w:val="clear" w:color="auto" w:fill="F2F2F2" w:themeFill="background1" w:themeFillShade="F2"/>
          </w:tcPr>
          <w:p w14:paraId="28F0E124" w14:textId="77777777" w:rsidR="004F2C1A" w:rsidRPr="00C7665D" w:rsidRDefault="004F2C1A" w:rsidP="00B815F5">
            <w:pPr>
              <w:rPr>
                <w:rFonts w:ascii="Arial Narrow" w:hAnsi="Arial Narrow" w:cs="Arial"/>
                <w:szCs w:val="22"/>
              </w:rPr>
            </w:pPr>
          </w:p>
        </w:tc>
        <w:tc>
          <w:tcPr>
            <w:tcW w:w="414" w:type="dxa"/>
            <w:shd w:val="clear" w:color="auto" w:fill="F2F2F2" w:themeFill="background1" w:themeFillShade="F2"/>
          </w:tcPr>
          <w:p w14:paraId="3BF9FC4B" w14:textId="77777777" w:rsidR="004F2C1A" w:rsidRPr="00C7665D" w:rsidRDefault="004F2C1A" w:rsidP="00B815F5">
            <w:pPr>
              <w:rPr>
                <w:rFonts w:ascii="Arial Narrow" w:hAnsi="Arial Narrow" w:cs="Arial"/>
                <w:szCs w:val="22"/>
              </w:rPr>
            </w:pPr>
          </w:p>
        </w:tc>
        <w:tc>
          <w:tcPr>
            <w:tcW w:w="415" w:type="dxa"/>
            <w:shd w:val="clear" w:color="auto" w:fill="F2F2F2" w:themeFill="background1" w:themeFillShade="F2"/>
          </w:tcPr>
          <w:p w14:paraId="00509767" w14:textId="77777777" w:rsidR="004F2C1A" w:rsidRPr="00C7665D" w:rsidRDefault="004F2C1A" w:rsidP="00B815F5">
            <w:pPr>
              <w:rPr>
                <w:rFonts w:ascii="Arial Narrow" w:hAnsi="Arial Narrow" w:cs="Arial"/>
                <w:szCs w:val="22"/>
              </w:rPr>
            </w:pPr>
          </w:p>
        </w:tc>
      </w:tr>
      <w:tr w:rsidR="004F2C1A" w:rsidRPr="00C7665D" w14:paraId="25CA27B4" w14:textId="77777777" w:rsidTr="004F2C1A">
        <w:tc>
          <w:tcPr>
            <w:tcW w:w="1271" w:type="dxa"/>
            <w:vMerge/>
            <w:vAlign w:val="center"/>
          </w:tcPr>
          <w:p w14:paraId="060D5036" w14:textId="77777777" w:rsidR="004F2C1A" w:rsidRPr="00C7665D" w:rsidRDefault="004F2C1A" w:rsidP="00613E31">
            <w:pPr>
              <w:jc w:val="center"/>
              <w:rPr>
                <w:rStyle w:val="IntenseReference"/>
                <w:color w:val="auto"/>
              </w:rPr>
            </w:pPr>
          </w:p>
        </w:tc>
        <w:tc>
          <w:tcPr>
            <w:tcW w:w="1843" w:type="dxa"/>
            <w:tcMar>
              <w:left w:w="28" w:type="dxa"/>
              <w:right w:w="28" w:type="dxa"/>
            </w:tcMar>
            <w:vAlign w:val="bottom"/>
          </w:tcPr>
          <w:p w14:paraId="47CAC9C9" w14:textId="77777777" w:rsidR="004F2C1A" w:rsidRPr="00C7665D" w:rsidRDefault="004F2C1A" w:rsidP="00B815F5">
            <w:pPr>
              <w:rPr>
                <w:rStyle w:val="IntenseReference"/>
                <w:color w:val="auto"/>
              </w:rPr>
            </w:pPr>
            <w:r w:rsidRPr="00C7665D">
              <w:rPr>
                <w:rStyle w:val="IntenseReference"/>
                <w:color w:val="auto"/>
              </w:rPr>
              <w:t>Cape Tribulation South</w:t>
            </w:r>
          </w:p>
        </w:tc>
        <w:tc>
          <w:tcPr>
            <w:tcW w:w="567" w:type="dxa"/>
            <w:tcMar>
              <w:left w:w="28" w:type="dxa"/>
              <w:right w:w="28" w:type="dxa"/>
            </w:tcMar>
          </w:tcPr>
          <w:p w14:paraId="49ABF744" w14:textId="77777777" w:rsidR="004F2C1A" w:rsidRPr="00C7665D" w:rsidRDefault="004F2C1A" w:rsidP="00B815F5">
            <w:pPr>
              <w:rPr>
                <w:rStyle w:val="IntenseReference"/>
                <w:color w:val="auto"/>
              </w:rPr>
            </w:pPr>
            <w:r w:rsidRPr="00C7665D">
              <w:rPr>
                <w:rStyle w:val="IntenseReference"/>
                <w:color w:val="auto"/>
              </w:rPr>
              <w:t>MMP</w:t>
            </w:r>
          </w:p>
        </w:tc>
        <w:tc>
          <w:tcPr>
            <w:tcW w:w="414" w:type="dxa"/>
          </w:tcPr>
          <w:p w14:paraId="6539BDF9"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7339E43A"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shd w:val="clear" w:color="auto" w:fill="F2F2F2" w:themeFill="background1" w:themeFillShade="F2"/>
          </w:tcPr>
          <w:p w14:paraId="0EF57F0F" w14:textId="77777777" w:rsidR="004F2C1A" w:rsidRPr="00C7665D" w:rsidRDefault="004F2C1A" w:rsidP="00B815F5">
            <w:pPr>
              <w:rPr>
                <w:rFonts w:ascii="Arial Narrow" w:hAnsi="Arial Narrow" w:cs="Arial"/>
                <w:szCs w:val="22"/>
              </w:rPr>
            </w:pPr>
          </w:p>
        </w:tc>
        <w:tc>
          <w:tcPr>
            <w:tcW w:w="415" w:type="dxa"/>
            <w:shd w:val="clear" w:color="auto" w:fill="F2F2F2" w:themeFill="background1" w:themeFillShade="F2"/>
          </w:tcPr>
          <w:p w14:paraId="7B180AD5" w14:textId="77777777" w:rsidR="004F2C1A" w:rsidRPr="00C7665D" w:rsidRDefault="004F2C1A" w:rsidP="00B815F5">
            <w:pPr>
              <w:rPr>
                <w:rFonts w:ascii="Arial Narrow" w:hAnsi="Arial Narrow" w:cs="Arial"/>
                <w:szCs w:val="22"/>
              </w:rPr>
            </w:pPr>
          </w:p>
        </w:tc>
        <w:tc>
          <w:tcPr>
            <w:tcW w:w="414" w:type="dxa"/>
            <w:shd w:val="clear" w:color="auto" w:fill="F2F2F2" w:themeFill="background1" w:themeFillShade="F2"/>
          </w:tcPr>
          <w:p w14:paraId="646489E8" w14:textId="77777777" w:rsidR="004F2C1A" w:rsidRPr="00C7665D" w:rsidRDefault="004F2C1A" w:rsidP="00B815F5">
            <w:pPr>
              <w:rPr>
                <w:rFonts w:ascii="Arial Narrow" w:hAnsi="Arial Narrow" w:cs="Arial"/>
                <w:szCs w:val="22"/>
              </w:rPr>
            </w:pPr>
          </w:p>
        </w:tc>
        <w:tc>
          <w:tcPr>
            <w:tcW w:w="414" w:type="dxa"/>
            <w:shd w:val="clear" w:color="auto" w:fill="F2F2F2" w:themeFill="background1" w:themeFillShade="F2"/>
          </w:tcPr>
          <w:p w14:paraId="000B854B" w14:textId="77777777" w:rsidR="004F2C1A" w:rsidRPr="00C7665D" w:rsidRDefault="004F2C1A" w:rsidP="00B815F5">
            <w:pPr>
              <w:rPr>
                <w:rFonts w:ascii="Arial Narrow" w:hAnsi="Arial Narrow" w:cs="Arial"/>
                <w:szCs w:val="22"/>
              </w:rPr>
            </w:pPr>
          </w:p>
        </w:tc>
        <w:tc>
          <w:tcPr>
            <w:tcW w:w="415" w:type="dxa"/>
            <w:shd w:val="clear" w:color="auto" w:fill="F2F2F2" w:themeFill="background1" w:themeFillShade="F2"/>
          </w:tcPr>
          <w:p w14:paraId="550532F6" w14:textId="77777777" w:rsidR="004F2C1A" w:rsidRPr="00C7665D" w:rsidRDefault="004F2C1A" w:rsidP="00B815F5">
            <w:pPr>
              <w:rPr>
                <w:rFonts w:ascii="Arial Narrow" w:hAnsi="Arial Narrow" w:cs="Arial"/>
                <w:szCs w:val="22"/>
              </w:rPr>
            </w:pPr>
          </w:p>
        </w:tc>
        <w:tc>
          <w:tcPr>
            <w:tcW w:w="414" w:type="dxa"/>
            <w:shd w:val="clear" w:color="auto" w:fill="F2F2F2" w:themeFill="background1" w:themeFillShade="F2"/>
          </w:tcPr>
          <w:p w14:paraId="4380E15C" w14:textId="77777777" w:rsidR="004F2C1A" w:rsidRPr="00C7665D" w:rsidRDefault="004F2C1A" w:rsidP="00B815F5">
            <w:pPr>
              <w:rPr>
                <w:rFonts w:ascii="Arial Narrow" w:hAnsi="Arial Narrow" w:cs="Arial"/>
                <w:szCs w:val="22"/>
              </w:rPr>
            </w:pPr>
          </w:p>
        </w:tc>
        <w:tc>
          <w:tcPr>
            <w:tcW w:w="414" w:type="dxa"/>
            <w:shd w:val="clear" w:color="auto" w:fill="F2F2F2" w:themeFill="background1" w:themeFillShade="F2"/>
          </w:tcPr>
          <w:p w14:paraId="42524D4E" w14:textId="77777777" w:rsidR="004F2C1A" w:rsidRPr="00C7665D" w:rsidRDefault="004F2C1A" w:rsidP="00B815F5">
            <w:pPr>
              <w:rPr>
                <w:rFonts w:ascii="Arial Narrow" w:hAnsi="Arial Narrow" w:cs="Arial"/>
                <w:szCs w:val="22"/>
              </w:rPr>
            </w:pPr>
          </w:p>
        </w:tc>
        <w:tc>
          <w:tcPr>
            <w:tcW w:w="415" w:type="dxa"/>
            <w:shd w:val="clear" w:color="auto" w:fill="F2F2F2" w:themeFill="background1" w:themeFillShade="F2"/>
          </w:tcPr>
          <w:p w14:paraId="6A6C7CBB" w14:textId="77777777" w:rsidR="004F2C1A" w:rsidRPr="00C7665D" w:rsidRDefault="004F2C1A" w:rsidP="00B815F5">
            <w:pPr>
              <w:rPr>
                <w:rFonts w:ascii="Arial Narrow" w:hAnsi="Arial Narrow" w:cs="Arial"/>
                <w:szCs w:val="22"/>
              </w:rPr>
            </w:pPr>
          </w:p>
        </w:tc>
        <w:tc>
          <w:tcPr>
            <w:tcW w:w="414" w:type="dxa"/>
            <w:shd w:val="clear" w:color="auto" w:fill="F2F2F2" w:themeFill="background1" w:themeFillShade="F2"/>
          </w:tcPr>
          <w:p w14:paraId="5EF9F224" w14:textId="77777777" w:rsidR="004F2C1A" w:rsidRPr="00C7665D" w:rsidRDefault="004F2C1A" w:rsidP="00B815F5">
            <w:pPr>
              <w:rPr>
                <w:rFonts w:ascii="Arial Narrow" w:hAnsi="Arial Narrow" w:cs="Arial"/>
                <w:szCs w:val="22"/>
              </w:rPr>
            </w:pPr>
          </w:p>
        </w:tc>
        <w:tc>
          <w:tcPr>
            <w:tcW w:w="414" w:type="dxa"/>
            <w:shd w:val="clear" w:color="auto" w:fill="F2F2F2" w:themeFill="background1" w:themeFillShade="F2"/>
          </w:tcPr>
          <w:p w14:paraId="35CB319C" w14:textId="77777777" w:rsidR="004F2C1A" w:rsidRPr="00C7665D" w:rsidRDefault="004F2C1A" w:rsidP="00B815F5">
            <w:pPr>
              <w:rPr>
                <w:rFonts w:ascii="Arial Narrow" w:hAnsi="Arial Narrow" w:cs="Arial"/>
                <w:szCs w:val="22"/>
              </w:rPr>
            </w:pPr>
          </w:p>
        </w:tc>
        <w:tc>
          <w:tcPr>
            <w:tcW w:w="415" w:type="dxa"/>
            <w:shd w:val="clear" w:color="auto" w:fill="F2F2F2" w:themeFill="background1" w:themeFillShade="F2"/>
          </w:tcPr>
          <w:p w14:paraId="4F3B020A" w14:textId="77777777" w:rsidR="004F2C1A" w:rsidRPr="00C7665D" w:rsidRDefault="004F2C1A" w:rsidP="00B815F5">
            <w:pPr>
              <w:rPr>
                <w:rFonts w:ascii="Arial Narrow" w:hAnsi="Arial Narrow" w:cs="Arial"/>
                <w:szCs w:val="22"/>
              </w:rPr>
            </w:pPr>
          </w:p>
        </w:tc>
      </w:tr>
      <w:tr w:rsidR="004F2C1A" w:rsidRPr="00C7665D" w14:paraId="387D3025" w14:textId="77777777" w:rsidTr="004F2C1A">
        <w:tc>
          <w:tcPr>
            <w:tcW w:w="1271" w:type="dxa"/>
            <w:vMerge/>
            <w:vAlign w:val="center"/>
          </w:tcPr>
          <w:p w14:paraId="5761F7B6" w14:textId="77777777" w:rsidR="004F2C1A" w:rsidRPr="00C7665D" w:rsidRDefault="004F2C1A" w:rsidP="00613E31">
            <w:pPr>
              <w:jc w:val="center"/>
              <w:rPr>
                <w:rStyle w:val="IntenseReference"/>
                <w:color w:val="auto"/>
              </w:rPr>
            </w:pPr>
          </w:p>
        </w:tc>
        <w:tc>
          <w:tcPr>
            <w:tcW w:w="1843" w:type="dxa"/>
            <w:tcMar>
              <w:left w:w="28" w:type="dxa"/>
              <w:right w:w="28" w:type="dxa"/>
            </w:tcMar>
            <w:vAlign w:val="bottom"/>
          </w:tcPr>
          <w:p w14:paraId="6468DA5B" w14:textId="77777777" w:rsidR="004F2C1A" w:rsidRPr="00C7665D" w:rsidRDefault="004F2C1A" w:rsidP="00B815F5">
            <w:pPr>
              <w:rPr>
                <w:rStyle w:val="IntenseReference"/>
                <w:color w:val="auto"/>
              </w:rPr>
            </w:pPr>
            <w:r w:rsidRPr="00C7665D">
              <w:rPr>
                <w:rStyle w:val="IntenseReference"/>
                <w:color w:val="auto"/>
              </w:rPr>
              <w:t>Snapper North (WQ)</w:t>
            </w:r>
          </w:p>
        </w:tc>
        <w:tc>
          <w:tcPr>
            <w:tcW w:w="567" w:type="dxa"/>
            <w:tcMar>
              <w:left w:w="28" w:type="dxa"/>
              <w:right w:w="28" w:type="dxa"/>
            </w:tcMar>
          </w:tcPr>
          <w:p w14:paraId="258DBBB6" w14:textId="77777777" w:rsidR="004F2C1A" w:rsidRPr="00C7665D" w:rsidRDefault="004F2C1A" w:rsidP="00B815F5">
            <w:pPr>
              <w:rPr>
                <w:rStyle w:val="IntenseReference"/>
                <w:color w:val="auto"/>
              </w:rPr>
            </w:pPr>
            <w:r w:rsidRPr="00C7665D">
              <w:rPr>
                <w:rStyle w:val="IntenseReference"/>
                <w:color w:val="auto"/>
              </w:rPr>
              <w:t>MMP</w:t>
            </w:r>
          </w:p>
        </w:tc>
        <w:tc>
          <w:tcPr>
            <w:tcW w:w="414" w:type="dxa"/>
          </w:tcPr>
          <w:p w14:paraId="4967091D"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10D568C4"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6620E8C3"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178E7E93"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509A78EF"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511E571E"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14010220"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05BB5281"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7E58E046"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32A0CD39"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5DEDDDD8"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09649504" w14:textId="77777777" w:rsidR="004F2C1A" w:rsidRPr="00C7665D" w:rsidRDefault="004F2C1A" w:rsidP="00B815F5">
            <w:pPr>
              <w:rPr>
                <w:rFonts w:ascii="Arial Narrow" w:hAnsi="Arial Narrow" w:cs="Arial"/>
                <w:szCs w:val="22"/>
              </w:rPr>
            </w:pPr>
            <w:r w:rsidRPr="00C7665D">
              <w:rPr>
                <w:rFonts w:ascii="Arial Narrow" w:hAnsi="Arial Narrow" w:cs="Arial"/>
                <w:b/>
                <w:szCs w:val="22"/>
              </w:rPr>
              <w:t>+</w:t>
            </w:r>
          </w:p>
        </w:tc>
        <w:tc>
          <w:tcPr>
            <w:tcW w:w="415" w:type="dxa"/>
          </w:tcPr>
          <w:p w14:paraId="72B5835B" w14:textId="77777777" w:rsidR="004F2C1A" w:rsidRPr="00C7665D" w:rsidRDefault="004F2C1A" w:rsidP="00B815F5">
            <w:pPr>
              <w:rPr>
                <w:rFonts w:ascii="Arial Narrow" w:hAnsi="Arial Narrow" w:cs="Arial"/>
                <w:b/>
                <w:szCs w:val="22"/>
              </w:rPr>
            </w:pPr>
            <w:r w:rsidRPr="00C7665D">
              <w:rPr>
                <w:rFonts w:ascii="Arial Narrow" w:hAnsi="Arial Narrow" w:cs="Arial"/>
                <w:szCs w:val="22"/>
              </w:rPr>
              <w:t>●</w:t>
            </w:r>
          </w:p>
        </w:tc>
      </w:tr>
      <w:tr w:rsidR="004F2C1A" w:rsidRPr="00C7665D" w14:paraId="2429E028" w14:textId="77777777" w:rsidTr="004F2C1A">
        <w:tc>
          <w:tcPr>
            <w:tcW w:w="1271" w:type="dxa"/>
            <w:vMerge/>
            <w:vAlign w:val="center"/>
          </w:tcPr>
          <w:p w14:paraId="35ACDF79" w14:textId="77777777" w:rsidR="004F2C1A" w:rsidRPr="00C7665D" w:rsidRDefault="004F2C1A" w:rsidP="00613E31">
            <w:pPr>
              <w:jc w:val="center"/>
              <w:rPr>
                <w:rStyle w:val="IntenseReference"/>
                <w:color w:val="auto"/>
              </w:rPr>
            </w:pPr>
          </w:p>
        </w:tc>
        <w:tc>
          <w:tcPr>
            <w:tcW w:w="1843" w:type="dxa"/>
            <w:tcMar>
              <w:left w:w="28" w:type="dxa"/>
              <w:right w:w="28" w:type="dxa"/>
            </w:tcMar>
            <w:vAlign w:val="bottom"/>
          </w:tcPr>
          <w:p w14:paraId="4405EB3D" w14:textId="77777777" w:rsidR="004F2C1A" w:rsidRPr="00C7665D" w:rsidRDefault="004F2C1A" w:rsidP="00B815F5">
            <w:pPr>
              <w:rPr>
                <w:rStyle w:val="IntenseReference"/>
                <w:color w:val="auto"/>
              </w:rPr>
            </w:pPr>
            <w:r w:rsidRPr="00C7665D">
              <w:rPr>
                <w:rStyle w:val="IntenseReference"/>
                <w:color w:val="auto"/>
              </w:rPr>
              <w:t>Snapper South</w:t>
            </w:r>
          </w:p>
        </w:tc>
        <w:tc>
          <w:tcPr>
            <w:tcW w:w="567" w:type="dxa"/>
            <w:tcMar>
              <w:left w:w="28" w:type="dxa"/>
              <w:right w:w="28" w:type="dxa"/>
            </w:tcMar>
          </w:tcPr>
          <w:p w14:paraId="321E6B89" w14:textId="77777777" w:rsidR="004F2C1A" w:rsidRPr="00C7665D" w:rsidRDefault="004F2C1A" w:rsidP="00B815F5">
            <w:pPr>
              <w:rPr>
                <w:rStyle w:val="IntenseReference"/>
                <w:color w:val="auto"/>
              </w:rPr>
            </w:pPr>
            <w:r w:rsidRPr="00C7665D">
              <w:rPr>
                <w:rStyle w:val="IntenseReference"/>
                <w:color w:val="auto"/>
              </w:rPr>
              <w:t>MMP</w:t>
            </w:r>
          </w:p>
        </w:tc>
        <w:tc>
          <w:tcPr>
            <w:tcW w:w="414" w:type="dxa"/>
          </w:tcPr>
          <w:p w14:paraId="54104195"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0EB0D0AA"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3041D3F0"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686C7148"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2342C1DB"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5313BB36"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3701D97D"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5D016634"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19BAB1E8"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2A47E308"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22DD63E7"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224E5F06"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33A0354F" w14:textId="77777777" w:rsidR="004F2C1A" w:rsidRPr="002C7DAF" w:rsidRDefault="004F2C1A" w:rsidP="00B815F5">
            <w:pPr>
              <w:rPr>
                <w:rFonts w:ascii="Arial Narrow" w:hAnsi="Arial Narrow" w:cs="Arial"/>
                <w:b/>
                <w:szCs w:val="22"/>
              </w:rPr>
            </w:pPr>
            <w:r w:rsidRPr="002C7DAF">
              <w:rPr>
                <w:rFonts w:ascii="Arial Narrow" w:hAnsi="Arial Narrow" w:cs="Arial"/>
                <w:b/>
                <w:szCs w:val="22"/>
              </w:rPr>
              <w:t>+</w:t>
            </w:r>
          </w:p>
        </w:tc>
      </w:tr>
      <w:tr w:rsidR="004F2C1A" w:rsidRPr="00C7665D" w14:paraId="5A657C9D" w14:textId="77777777" w:rsidTr="004F2C1A">
        <w:tc>
          <w:tcPr>
            <w:tcW w:w="1271" w:type="dxa"/>
            <w:vMerge/>
            <w:vAlign w:val="center"/>
          </w:tcPr>
          <w:p w14:paraId="75892ACE" w14:textId="77777777" w:rsidR="004F2C1A" w:rsidRPr="00C7665D" w:rsidRDefault="004F2C1A" w:rsidP="00613E31">
            <w:pPr>
              <w:jc w:val="center"/>
              <w:rPr>
                <w:rStyle w:val="IntenseReference"/>
                <w:color w:val="auto"/>
              </w:rPr>
            </w:pPr>
          </w:p>
        </w:tc>
        <w:tc>
          <w:tcPr>
            <w:tcW w:w="1843" w:type="dxa"/>
            <w:tcMar>
              <w:left w:w="28" w:type="dxa"/>
              <w:right w:w="28" w:type="dxa"/>
            </w:tcMar>
            <w:vAlign w:val="bottom"/>
          </w:tcPr>
          <w:p w14:paraId="2A3C1D98" w14:textId="77777777" w:rsidR="004F2C1A" w:rsidRPr="00C7665D" w:rsidRDefault="004F2C1A" w:rsidP="00B815F5">
            <w:pPr>
              <w:rPr>
                <w:rStyle w:val="IntenseReference"/>
                <w:color w:val="auto"/>
              </w:rPr>
            </w:pPr>
            <w:r w:rsidRPr="00C7665D">
              <w:rPr>
                <w:rStyle w:val="IntenseReference"/>
                <w:color w:val="auto"/>
              </w:rPr>
              <w:t>Low Isles</w:t>
            </w:r>
          </w:p>
        </w:tc>
        <w:tc>
          <w:tcPr>
            <w:tcW w:w="567" w:type="dxa"/>
            <w:tcMar>
              <w:left w:w="28" w:type="dxa"/>
              <w:right w:w="28" w:type="dxa"/>
            </w:tcMar>
          </w:tcPr>
          <w:p w14:paraId="5F481454" w14:textId="77777777" w:rsidR="004F2C1A" w:rsidRPr="00C7665D" w:rsidRDefault="004F2C1A" w:rsidP="00B815F5">
            <w:pPr>
              <w:rPr>
                <w:rStyle w:val="IntenseReference"/>
                <w:color w:val="auto"/>
              </w:rPr>
            </w:pPr>
            <w:r w:rsidRPr="00C7665D">
              <w:rPr>
                <w:rStyle w:val="IntenseReference"/>
                <w:color w:val="auto"/>
              </w:rPr>
              <w:t>LTMP</w:t>
            </w:r>
          </w:p>
        </w:tc>
        <w:tc>
          <w:tcPr>
            <w:tcW w:w="414" w:type="dxa"/>
          </w:tcPr>
          <w:p w14:paraId="6B40B8A0"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2CF7B15C" w14:textId="77777777" w:rsidR="004F2C1A" w:rsidRPr="00C7665D" w:rsidRDefault="004F2C1A" w:rsidP="00B815F5">
            <w:pPr>
              <w:rPr>
                <w:rFonts w:ascii="Arial Narrow" w:hAnsi="Arial Narrow" w:cs="Arial"/>
                <w:szCs w:val="22"/>
              </w:rPr>
            </w:pPr>
          </w:p>
        </w:tc>
        <w:tc>
          <w:tcPr>
            <w:tcW w:w="414" w:type="dxa"/>
          </w:tcPr>
          <w:p w14:paraId="355BEB2B"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225994CF" w14:textId="77777777" w:rsidR="004F2C1A" w:rsidRPr="00C7665D" w:rsidRDefault="004F2C1A" w:rsidP="00B815F5">
            <w:pPr>
              <w:rPr>
                <w:rFonts w:ascii="Arial Narrow" w:hAnsi="Arial Narrow" w:cs="Arial"/>
                <w:szCs w:val="22"/>
              </w:rPr>
            </w:pPr>
          </w:p>
        </w:tc>
        <w:tc>
          <w:tcPr>
            <w:tcW w:w="414" w:type="dxa"/>
          </w:tcPr>
          <w:p w14:paraId="61AE87EA"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7FA0F71E" w14:textId="77777777" w:rsidR="004F2C1A" w:rsidRPr="00C7665D" w:rsidRDefault="004F2C1A" w:rsidP="00B815F5">
            <w:pPr>
              <w:rPr>
                <w:rFonts w:ascii="Arial Narrow" w:hAnsi="Arial Narrow" w:cs="Arial"/>
                <w:szCs w:val="22"/>
              </w:rPr>
            </w:pPr>
          </w:p>
        </w:tc>
        <w:tc>
          <w:tcPr>
            <w:tcW w:w="415" w:type="dxa"/>
          </w:tcPr>
          <w:p w14:paraId="5D35354E"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5D4AD178" w14:textId="77777777" w:rsidR="004F2C1A" w:rsidRPr="00C7665D" w:rsidRDefault="004F2C1A" w:rsidP="00B815F5">
            <w:pPr>
              <w:rPr>
                <w:rFonts w:ascii="Arial Narrow" w:hAnsi="Arial Narrow" w:cs="Arial"/>
                <w:szCs w:val="22"/>
              </w:rPr>
            </w:pPr>
          </w:p>
        </w:tc>
        <w:tc>
          <w:tcPr>
            <w:tcW w:w="414" w:type="dxa"/>
          </w:tcPr>
          <w:p w14:paraId="1A52C429"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743C0B05" w14:textId="77777777" w:rsidR="004F2C1A" w:rsidRPr="00C7665D" w:rsidRDefault="004F2C1A" w:rsidP="00B815F5">
            <w:pPr>
              <w:rPr>
                <w:rFonts w:ascii="Arial Narrow" w:hAnsi="Arial Narrow" w:cs="Arial"/>
                <w:szCs w:val="22"/>
              </w:rPr>
            </w:pPr>
          </w:p>
        </w:tc>
        <w:tc>
          <w:tcPr>
            <w:tcW w:w="414" w:type="dxa"/>
          </w:tcPr>
          <w:p w14:paraId="3E7FAC83"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4309F46F" w14:textId="77777777" w:rsidR="004F2C1A" w:rsidRPr="00C7665D" w:rsidRDefault="004F2C1A" w:rsidP="00B815F5">
            <w:pPr>
              <w:rPr>
                <w:rFonts w:ascii="Arial Narrow" w:hAnsi="Arial Narrow" w:cs="Arial"/>
                <w:szCs w:val="22"/>
              </w:rPr>
            </w:pPr>
          </w:p>
        </w:tc>
        <w:tc>
          <w:tcPr>
            <w:tcW w:w="415" w:type="dxa"/>
          </w:tcPr>
          <w:p w14:paraId="6FF30DCE"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r>
      <w:tr w:rsidR="004F2C1A" w:rsidRPr="00C7665D" w14:paraId="76EA92AA" w14:textId="77777777" w:rsidTr="004F2C1A">
        <w:tc>
          <w:tcPr>
            <w:tcW w:w="1271" w:type="dxa"/>
            <w:vMerge w:val="restart"/>
            <w:vAlign w:val="center"/>
          </w:tcPr>
          <w:p w14:paraId="026A78B8" w14:textId="77777777" w:rsidR="004F2C1A" w:rsidRPr="00C7665D" w:rsidRDefault="004F2C1A" w:rsidP="00613E31">
            <w:pPr>
              <w:jc w:val="center"/>
              <w:rPr>
                <w:rStyle w:val="IntenseReference"/>
                <w:color w:val="auto"/>
              </w:rPr>
            </w:pPr>
            <w:r w:rsidRPr="00C7665D">
              <w:rPr>
                <w:rStyle w:val="IntenseReference"/>
                <w:color w:val="auto"/>
              </w:rPr>
              <w:t>Johnstone Russell-Mulgrave</w:t>
            </w:r>
          </w:p>
        </w:tc>
        <w:tc>
          <w:tcPr>
            <w:tcW w:w="1843" w:type="dxa"/>
            <w:tcMar>
              <w:left w:w="28" w:type="dxa"/>
              <w:right w:w="28" w:type="dxa"/>
            </w:tcMar>
            <w:vAlign w:val="bottom"/>
          </w:tcPr>
          <w:p w14:paraId="49A5CA9D" w14:textId="77777777" w:rsidR="004F2C1A" w:rsidRPr="00C7665D" w:rsidRDefault="004F2C1A" w:rsidP="00B815F5">
            <w:pPr>
              <w:rPr>
                <w:rStyle w:val="IntenseReference"/>
                <w:color w:val="auto"/>
              </w:rPr>
            </w:pPr>
            <w:r w:rsidRPr="00C7665D">
              <w:rPr>
                <w:rStyle w:val="IntenseReference"/>
                <w:color w:val="auto"/>
              </w:rPr>
              <w:t>Green</w:t>
            </w:r>
          </w:p>
        </w:tc>
        <w:tc>
          <w:tcPr>
            <w:tcW w:w="567" w:type="dxa"/>
            <w:tcMar>
              <w:left w:w="28" w:type="dxa"/>
              <w:right w:w="28" w:type="dxa"/>
            </w:tcMar>
          </w:tcPr>
          <w:p w14:paraId="785AC379" w14:textId="77777777" w:rsidR="004F2C1A" w:rsidRPr="00C7665D" w:rsidRDefault="004F2C1A" w:rsidP="00B815F5">
            <w:pPr>
              <w:rPr>
                <w:rStyle w:val="IntenseReference"/>
                <w:color w:val="auto"/>
              </w:rPr>
            </w:pPr>
            <w:r w:rsidRPr="00C7665D">
              <w:rPr>
                <w:rStyle w:val="IntenseReference"/>
                <w:color w:val="auto"/>
              </w:rPr>
              <w:t>LTMP</w:t>
            </w:r>
          </w:p>
        </w:tc>
        <w:tc>
          <w:tcPr>
            <w:tcW w:w="414" w:type="dxa"/>
          </w:tcPr>
          <w:p w14:paraId="4D09F304"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11BCB640" w14:textId="77777777" w:rsidR="004F2C1A" w:rsidRPr="00C7665D" w:rsidRDefault="004F2C1A" w:rsidP="00B815F5">
            <w:pPr>
              <w:rPr>
                <w:rFonts w:ascii="Arial Narrow" w:hAnsi="Arial Narrow" w:cs="Arial"/>
                <w:szCs w:val="22"/>
              </w:rPr>
            </w:pPr>
          </w:p>
        </w:tc>
        <w:tc>
          <w:tcPr>
            <w:tcW w:w="414" w:type="dxa"/>
          </w:tcPr>
          <w:p w14:paraId="0FA867E8"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4AA6DAAA" w14:textId="77777777" w:rsidR="004F2C1A" w:rsidRPr="00C7665D" w:rsidRDefault="004F2C1A" w:rsidP="00B815F5">
            <w:pPr>
              <w:rPr>
                <w:rFonts w:ascii="Arial Narrow" w:hAnsi="Arial Narrow" w:cs="Arial"/>
                <w:szCs w:val="22"/>
              </w:rPr>
            </w:pPr>
          </w:p>
        </w:tc>
        <w:tc>
          <w:tcPr>
            <w:tcW w:w="414" w:type="dxa"/>
          </w:tcPr>
          <w:p w14:paraId="7E1F8C1D"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1B4F2501" w14:textId="77777777" w:rsidR="004F2C1A" w:rsidRPr="00C7665D" w:rsidRDefault="004F2C1A" w:rsidP="00B815F5">
            <w:pPr>
              <w:rPr>
                <w:rFonts w:ascii="Arial Narrow" w:hAnsi="Arial Narrow" w:cs="Arial"/>
                <w:szCs w:val="22"/>
              </w:rPr>
            </w:pPr>
          </w:p>
        </w:tc>
        <w:tc>
          <w:tcPr>
            <w:tcW w:w="415" w:type="dxa"/>
          </w:tcPr>
          <w:p w14:paraId="464B6391"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55378119" w14:textId="77777777" w:rsidR="004F2C1A" w:rsidRPr="00C7665D" w:rsidRDefault="004F2C1A" w:rsidP="00B815F5">
            <w:pPr>
              <w:rPr>
                <w:rFonts w:ascii="Arial Narrow" w:hAnsi="Arial Narrow" w:cs="Arial"/>
                <w:szCs w:val="22"/>
              </w:rPr>
            </w:pPr>
          </w:p>
        </w:tc>
        <w:tc>
          <w:tcPr>
            <w:tcW w:w="414" w:type="dxa"/>
          </w:tcPr>
          <w:p w14:paraId="4D608A9A"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0BB20CB7" w14:textId="77777777" w:rsidR="004F2C1A" w:rsidRPr="00C7665D" w:rsidRDefault="004F2C1A" w:rsidP="00B815F5">
            <w:pPr>
              <w:rPr>
                <w:rFonts w:ascii="Arial Narrow" w:hAnsi="Arial Narrow" w:cs="Arial"/>
                <w:szCs w:val="22"/>
              </w:rPr>
            </w:pPr>
          </w:p>
        </w:tc>
        <w:tc>
          <w:tcPr>
            <w:tcW w:w="414" w:type="dxa"/>
          </w:tcPr>
          <w:p w14:paraId="489E88FE"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04FA612D" w14:textId="77777777" w:rsidR="004F2C1A" w:rsidRPr="00C7665D" w:rsidRDefault="004F2C1A" w:rsidP="00B815F5">
            <w:pPr>
              <w:rPr>
                <w:rFonts w:ascii="Arial Narrow" w:hAnsi="Arial Narrow" w:cs="Arial"/>
                <w:szCs w:val="22"/>
              </w:rPr>
            </w:pPr>
          </w:p>
        </w:tc>
        <w:tc>
          <w:tcPr>
            <w:tcW w:w="415" w:type="dxa"/>
          </w:tcPr>
          <w:p w14:paraId="146EBA37"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r>
      <w:tr w:rsidR="004F2C1A" w:rsidRPr="00C7665D" w14:paraId="16FE5185" w14:textId="77777777" w:rsidTr="004F2C1A">
        <w:tc>
          <w:tcPr>
            <w:tcW w:w="1271" w:type="dxa"/>
            <w:vMerge/>
            <w:vAlign w:val="center"/>
          </w:tcPr>
          <w:p w14:paraId="200976ED" w14:textId="77777777" w:rsidR="004F2C1A" w:rsidRPr="00C7665D" w:rsidRDefault="004F2C1A" w:rsidP="00613E31">
            <w:pPr>
              <w:jc w:val="center"/>
              <w:rPr>
                <w:rStyle w:val="IntenseReference"/>
                <w:color w:val="auto"/>
              </w:rPr>
            </w:pPr>
          </w:p>
        </w:tc>
        <w:tc>
          <w:tcPr>
            <w:tcW w:w="1843" w:type="dxa"/>
            <w:tcMar>
              <w:left w:w="28" w:type="dxa"/>
              <w:right w:w="28" w:type="dxa"/>
            </w:tcMar>
            <w:vAlign w:val="bottom"/>
          </w:tcPr>
          <w:p w14:paraId="26241C9E" w14:textId="77777777" w:rsidR="004F2C1A" w:rsidRPr="00C7665D" w:rsidRDefault="004F2C1A" w:rsidP="00B815F5">
            <w:pPr>
              <w:rPr>
                <w:rStyle w:val="IntenseReference"/>
                <w:color w:val="auto"/>
              </w:rPr>
            </w:pPr>
            <w:r w:rsidRPr="00C7665D">
              <w:rPr>
                <w:rStyle w:val="IntenseReference"/>
                <w:color w:val="auto"/>
              </w:rPr>
              <w:t>Fitzroy West</w:t>
            </w:r>
          </w:p>
        </w:tc>
        <w:tc>
          <w:tcPr>
            <w:tcW w:w="567" w:type="dxa"/>
            <w:tcMar>
              <w:left w:w="28" w:type="dxa"/>
              <w:right w:w="28" w:type="dxa"/>
            </w:tcMar>
          </w:tcPr>
          <w:p w14:paraId="526AADEB" w14:textId="77777777" w:rsidR="004F2C1A" w:rsidRPr="00C7665D" w:rsidRDefault="004F2C1A" w:rsidP="00B815F5">
            <w:pPr>
              <w:rPr>
                <w:rStyle w:val="IntenseReference"/>
                <w:color w:val="auto"/>
              </w:rPr>
            </w:pPr>
            <w:r w:rsidRPr="00C7665D">
              <w:rPr>
                <w:rStyle w:val="IntenseReference"/>
                <w:color w:val="auto"/>
              </w:rPr>
              <w:t>LTMP</w:t>
            </w:r>
          </w:p>
        </w:tc>
        <w:tc>
          <w:tcPr>
            <w:tcW w:w="414" w:type="dxa"/>
          </w:tcPr>
          <w:p w14:paraId="619EE603"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27EAF288" w14:textId="77777777" w:rsidR="004F2C1A" w:rsidRPr="00C7665D" w:rsidRDefault="004F2C1A" w:rsidP="00B815F5">
            <w:pPr>
              <w:rPr>
                <w:rFonts w:ascii="Arial Narrow" w:hAnsi="Arial Narrow" w:cs="Arial"/>
                <w:szCs w:val="22"/>
              </w:rPr>
            </w:pPr>
          </w:p>
        </w:tc>
        <w:tc>
          <w:tcPr>
            <w:tcW w:w="414" w:type="dxa"/>
          </w:tcPr>
          <w:p w14:paraId="7B672564"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3F12734D" w14:textId="77777777" w:rsidR="004F2C1A" w:rsidRPr="00C7665D" w:rsidRDefault="004F2C1A" w:rsidP="00B815F5">
            <w:pPr>
              <w:rPr>
                <w:rFonts w:ascii="Arial Narrow" w:hAnsi="Arial Narrow" w:cs="Arial"/>
                <w:szCs w:val="22"/>
              </w:rPr>
            </w:pPr>
          </w:p>
        </w:tc>
        <w:tc>
          <w:tcPr>
            <w:tcW w:w="414" w:type="dxa"/>
          </w:tcPr>
          <w:p w14:paraId="41DE221F"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01CFCE3E" w14:textId="77777777" w:rsidR="004F2C1A" w:rsidRPr="00C7665D" w:rsidRDefault="004F2C1A" w:rsidP="00B815F5">
            <w:pPr>
              <w:rPr>
                <w:rFonts w:ascii="Arial Narrow" w:hAnsi="Arial Narrow" w:cs="Arial"/>
                <w:szCs w:val="22"/>
              </w:rPr>
            </w:pPr>
          </w:p>
        </w:tc>
        <w:tc>
          <w:tcPr>
            <w:tcW w:w="415" w:type="dxa"/>
          </w:tcPr>
          <w:p w14:paraId="1C27BEDF"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3BD23A25" w14:textId="77777777" w:rsidR="004F2C1A" w:rsidRPr="00C7665D" w:rsidRDefault="004F2C1A" w:rsidP="00B815F5">
            <w:pPr>
              <w:rPr>
                <w:rFonts w:ascii="Arial Narrow" w:hAnsi="Arial Narrow" w:cs="Arial"/>
                <w:szCs w:val="22"/>
              </w:rPr>
            </w:pPr>
          </w:p>
        </w:tc>
        <w:tc>
          <w:tcPr>
            <w:tcW w:w="414" w:type="dxa"/>
          </w:tcPr>
          <w:p w14:paraId="0B0D72B7"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1DF67EB8" w14:textId="77777777" w:rsidR="004F2C1A" w:rsidRPr="00C7665D" w:rsidRDefault="004F2C1A" w:rsidP="00B815F5">
            <w:pPr>
              <w:rPr>
                <w:rFonts w:ascii="Arial Narrow" w:hAnsi="Arial Narrow" w:cs="Arial"/>
                <w:szCs w:val="22"/>
              </w:rPr>
            </w:pPr>
          </w:p>
        </w:tc>
        <w:tc>
          <w:tcPr>
            <w:tcW w:w="414" w:type="dxa"/>
          </w:tcPr>
          <w:p w14:paraId="14682114"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79C9B3A2" w14:textId="77777777" w:rsidR="004F2C1A" w:rsidRPr="00C7665D" w:rsidRDefault="004F2C1A" w:rsidP="00B815F5">
            <w:pPr>
              <w:rPr>
                <w:rFonts w:ascii="Arial Narrow" w:hAnsi="Arial Narrow" w:cs="Arial"/>
                <w:szCs w:val="22"/>
              </w:rPr>
            </w:pPr>
          </w:p>
        </w:tc>
        <w:tc>
          <w:tcPr>
            <w:tcW w:w="415" w:type="dxa"/>
          </w:tcPr>
          <w:p w14:paraId="49FD56F8"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r>
      <w:tr w:rsidR="004F2C1A" w:rsidRPr="00C7665D" w14:paraId="123327DC" w14:textId="77777777" w:rsidTr="004F2C1A">
        <w:tc>
          <w:tcPr>
            <w:tcW w:w="1271" w:type="dxa"/>
            <w:vMerge/>
            <w:vAlign w:val="center"/>
          </w:tcPr>
          <w:p w14:paraId="358A2499" w14:textId="77777777" w:rsidR="004F2C1A" w:rsidRPr="00C7665D" w:rsidRDefault="004F2C1A" w:rsidP="00613E31">
            <w:pPr>
              <w:jc w:val="center"/>
              <w:rPr>
                <w:rStyle w:val="IntenseReference"/>
                <w:color w:val="auto"/>
              </w:rPr>
            </w:pPr>
          </w:p>
        </w:tc>
        <w:tc>
          <w:tcPr>
            <w:tcW w:w="1843" w:type="dxa"/>
            <w:tcMar>
              <w:left w:w="28" w:type="dxa"/>
              <w:right w:w="28" w:type="dxa"/>
            </w:tcMar>
            <w:vAlign w:val="bottom"/>
          </w:tcPr>
          <w:p w14:paraId="0FAACDCA" w14:textId="77777777" w:rsidR="004F2C1A" w:rsidRPr="00C7665D" w:rsidRDefault="004F2C1A" w:rsidP="00B815F5">
            <w:pPr>
              <w:rPr>
                <w:rStyle w:val="IntenseReference"/>
                <w:color w:val="auto"/>
              </w:rPr>
            </w:pPr>
            <w:r w:rsidRPr="00C7665D">
              <w:rPr>
                <w:rStyle w:val="IntenseReference"/>
                <w:color w:val="auto"/>
              </w:rPr>
              <w:t>Fitzroy West (WQ)</w:t>
            </w:r>
          </w:p>
        </w:tc>
        <w:tc>
          <w:tcPr>
            <w:tcW w:w="567" w:type="dxa"/>
            <w:tcMar>
              <w:left w:w="28" w:type="dxa"/>
              <w:right w:w="28" w:type="dxa"/>
            </w:tcMar>
          </w:tcPr>
          <w:p w14:paraId="26A56772" w14:textId="77777777" w:rsidR="004F2C1A" w:rsidRPr="00C7665D" w:rsidRDefault="004F2C1A" w:rsidP="00B815F5">
            <w:pPr>
              <w:rPr>
                <w:rStyle w:val="IntenseReference"/>
                <w:color w:val="auto"/>
              </w:rPr>
            </w:pPr>
            <w:r w:rsidRPr="00C7665D">
              <w:rPr>
                <w:rStyle w:val="IntenseReference"/>
                <w:color w:val="auto"/>
              </w:rPr>
              <w:t>MMP</w:t>
            </w:r>
          </w:p>
        </w:tc>
        <w:tc>
          <w:tcPr>
            <w:tcW w:w="414" w:type="dxa"/>
          </w:tcPr>
          <w:p w14:paraId="327E4892"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31B2DFCF"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3640C8B7"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6E60D704"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142599AF"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01859157"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7C256402"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417AA3C7"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18E9E2D6"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5FAFE18A"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796C5501"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4C05FA74" w14:textId="77777777" w:rsidR="004F2C1A" w:rsidRPr="002C7DAF" w:rsidRDefault="004F2C1A" w:rsidP="00B815F5">
            <w:pPr>
              <w:rPr>
                <w:rFonts w:ascii="Arial Narrow" w:hAnsi="Arial Narrow" w:cs="Arial"/>
                <w:b/>
                <w:szCs w:val="22"/>
              </w:rPr>
            </w:pPr>
            <w:r w:rsidRPr="002C7DAF">
              <w:rPr>
                <w:rFonts w:ascii="Arial Narrow" w:hAnsi="Arial Narrow" w:cs="Arial"/>
                <w:b/>
                <w:szCs w:val="22"/>
              </w:rPr>
              <w:t>+</w:t>
            </w:r>
          </w:p>
        </w:tc>
        <w:tc>
          <w:tcPr>
            <w:tcW w:w="415" w:type="dxa"/>
          </w:tcPr>
          <w:p w14:paraId="1C660DFB"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r>
      <w:tr w:rsidR="004F2C1A" w:rsidRPr="00C7665D" w14:paraId="289BD445" w14:textId="77777777" w:rsidTr="004F2C1A">
        <w:tc>
          <w:tcPr>
            <w:tcW w:w="1271" w:type="dxa"/>
            <w:vMerge/>
            <w:vAlign w:val="center"/>
          </w:tcPr>
          <w:p w14:paraId="4F8CD5F3" w14:textId="77777777" w:rsidR="004F2C1A" w:rsidRPr="00C7665D" w:rsidRDefault="004F2C1A" w:rsidP="00613E31">
            <w:pPr>
              <w:jc w:val="center"/>
              <w:rPr>
                <w:rStyle w:val="IntenseReference"/>
                <w:color w:val="auto"/>
              </w:rPr>
            </w:pPr>
          </w:p>
        </w:tc>
        <w:tc>
          <w:tcPr>
            <w:tcW w:w="1843" w:type="dxa"/>
            <w:tcMar>
              <w:left w:w="28" w:type="dxa"/>
              <w:right w:w="28" w:type="dxa"/>
            </w:tcMar>
            <w:vAlign w:val="bottom"/>
          </w:tcPr>
          <w:p w14:paraId="68F89980" w14:textId="77777777" w:rsidR="004F2C1A" w:rsidRPr="00C7665D" w:rsidRDefault="004F2C1A" w:rsidP="00B815F5">
            <w:pPr>
              <w:rPr>
                <w:rStyle w:val="IntenseReference"/>
                <w:color w:val="auto"/>
              </w:rPr>
            </w:pPr>
            <w:r w:rsidRPr="00C7665D">
              <w:rPr>
                <w:rStyle w:val="IntenseReference"/>
                <w:color w:val="auto"/>
              </w:rPr>
              <w:t>Fitzroy East</w:t>
            </w:r>
          </w:p>
        </w:tc>
        <w:tc>
          <w:tcPr>
            <w:tcW w:w="567" w:type="dxa"/>
            <w:tcMar>
              <w:left w:w="28" w:type="dxa"/>
              <w:right w:w="28" w:type="dxa"/>
            </w:tcMar>
          </w:tcPr>
          <w:p w14:paraId="2425B59E" w14:textId="77777777" w:rsidR="004F2C1A" w:rsidRPr="00C7665D" w:rsidRDefault="004F2C1A" w:rsidP="00B815F5">
            <w:pPr>
              <w:rPr>
                <w:rStyle w:val="IntenseReference"/>
                <w:color w:val="auto"/>
              </w:rPr>
            </w:pPr>
            <w:r w:rsidRPr="00C7665D">
              <w:rPr>
                <w:rStyle w:val="IntenseReference"/>
                <w:color w:val="auto"/>
              </w:rPr>
              <w:t>MMP</w:t>
            </w:r>
          </w:p>
        </w:tc>
        <w:tc>
          <w:tcPr>
            <w:tcW w:w="414" w:type="dxa"/>
          </w:tcPr>
          <w:p w14:paraId="55B53A60"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248D55C2"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5D1FC7FF" w14:textId="77777777" w:rsidR="004F2C1A" w:rsidRPr="00C7665D" w:rsidRDefault="004F2C1A" w:rsidP="00B815F5">
            <w:pPr>
              <w:rPr>
                <w:rFonts w:ascii="Arial Narrow" w:hAnsi="Arial Narrow" w:cs="Arial"/>
                <w:szCs w:val="22"/>
              </w:rPr>
            </w:pPr>
            <w:r w:rsidRPr="00C7665D">
              <w:rPr>
                <w:rFonts w:ascii="Arial Narrow" w:hAnsi="Arial Narrow" w:cs="Arial"/>
                <w:b/>
                <w:szCs w:val="22"/>
              </w:rPr>
              <w:t>+</w:t>
            </w:r>
          </w:p>
        </w:tc>
        <w:tc>
          <w:tcPr>
            <w:tcW w:w="415" w:type="dxa"/>
          </w:tcPr>
          <w:p w14:paraId="27485748"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1D49303D" w14:textId="77777777" w:rsidR="004F2C1A" w:rsidRPr="00C7665D" w:rsidRDefault="004F2C1A" w:rsidP="00B815F5">
            <w:pPr>
              <w:rPr>
                <w:rFonts w:ascii="Arial Narrow" w:hAnsi="Arial Narrow" w:cs="Arial"/>
                <w:szCs w:val="22"/>
              </w:rPr>
            </w:pPr>
          </w:p>
        </w:tc>
        <w:tc>
          <w:tcPr>
            <w:tcW w:w="414" w:type="dxa"/>
          </w:tcPr>
          <w:p w14:paraId="1BCC47CA"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06EAC9A2" w14:textId="77777777" w:rsidR="004F2C1A" w:rsidRPr="00C7665D" w:rsidRDefault="004F2C1A" w:rsidP="00B815F5">
            <w:pPr>
              <w:rPr>
                <w:rFonts w:ascii="Arial Narrow" w:hAnsi="Arial Narrow" w:cs="Arial"/>
                <w:szCs w:val="22"/>
              </w:rPr>
            </w:pPr>
            <w:r w:rsidRPr="00C7665D">
              <w:rPr>
                <w:rFonts w:ascii="Arial Narrow" w:hAnsi="Arial Narrow" w:cs="Arial"/>
                <w:b/>
                <w:szCs w:val="22"/>
              </w:rPr>
              <w:t>+</w:t>
            </w:r>
          </w:p>
        </w:tc>
        <w:tc>
          <w:tcPr>
            <w:tcW w:w="414" w:type="dxa"/>
          </w:tcPr>
          <w:p w14:paraId="7845F6A2"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2F139A31" w14:textId="77777777" w:rsidR="004F2C1A" w:rsidRPr="00C7665D" w:rsidRDefault="004F2C1A" w:rsidP="00B815F5">
            <w:pPr>
              <w:rPr>
                <w:rFonts w:ascii="Arial Narrow" w:hAnsi="Arial Narrow" w:cs="Arial"/>
                <w:szCs w:val="22"/>
              </w:rPr>
            </w:pPr>
          </w:p>
        </w:tc>
        <w:tc>
          <w:tcPr>
            <w:tcW w:w="415" w:type="dxa"/>
          </w:tcPr>
          <w:p w14:paraId="1E0F0EAA"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42B24076" w14:textId="77777777" w:rsidR="004F2C1A" w:rsidRPr="00C7665D" w:rsidRDefault="004F2C1A" w:rsidP="00B815F5">
            <w:pPr>
              <w:rPr>
                <w:rFonts w:ascii="Arial Narrow" w:hAnsi="Arial Narrow" w:cs="Arial"/>
                <w:szCs w:val="22"/>
              </w:rPr>
            </w:pPr>
          </w:p>
        </w:tc>
        <w:tc>
          <w:tcPr>
            <w:tcW w:w="414" w:type="dxa"/>
          </w:tcPr>
          <w:p w14:paraId="4B5FCB41"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35055508" w14:textId="77777777" w:rsidR="004F2C1A" w:rsidRPr="00C7665D" w:rsidRDefault="004F2C1A" w:rsidP="00B815F5">
            <w:pPr>
              <w:rPr>
                <w:rFonts w:ascii="Arial Narrow" w:hAnsi="Arial Narrow" w:cs="Arial"/>
                <w:szCs w:val="22"/>
              </w:rPr>
            </w:pPr>
          </w:p>
        </w:tc>
      </w:tr>
      <w:tr w:rsidR="004F2C1A" w:rsidRPr="00C7665D" w14:paraId="6CFA2922" w14:textId="77777777" w:rsidTr="004F2C1A">
        <w:tc>
          <w:tcPr>
            <w:tcW w:w="1271" w:type="dxa"/>
            <w:vMerge/>
            <w:vAlign w:val="center"/>
          </w:tcPr>
          <w:p w14:paraId="7D2B3607" w14:textId="77777777" w:rsidR="004F2C1A" w:rsidRPr="00C7665D" w:rsidRDefault="004F2C1A" w:rsidP="005E5E4B">
            <w:pPr>
              <w:jc w:val="center"/>
              <w:rPr>
                <w:rStyle w:val="IntenseReference"/>
                <w:color w:val="auto"/>
              </w:rPr>
            </w:pPr>
          </w:p>
        </w:tc>
        <w:tc>
          <w:tcPr>
            <w:tcW w:w="1843" w:type="dxa"/>
            <w:tcMar>
              <w:left w:w="28" w:type="dxa"/>
              <w:right w:w="28" w:type="dxa"/>
            </w:tcMar>
            <w:vAlign w:val="bottom"/>
          </w:tcPr>
          <w:p w14:paraId="7DC49802" w14:textId="77777777" w:rsidR="004F2C1A" w:rsidRPr="00C7665D" w:rsidRDefault="004F2C1A" w:rsidP="00B815F5">
            <w:pPr>
              <w:rPr>
                <w:rStyle w:val="IntenseReference"/>
                <w:color w:val="auto"/>
              </w:rPr>
            </w:pPr>
            <w:r w:rsidRPr="00C7665D">
              <w:rPr>
                <w:rStyle w:val="IntenseReference"/>
                <w:color w:val="auto"/>
              </w:rPr>
              <w:t>High East</w:t>
            </w:r>
          </w:p>
        </w:tc>
        <w:tc>
          <w:tcPr>
            <w:tcW w:w="567" w:type="dxa"/>
            <w:tcMar>
              <w:left w:w="28" w:type="dxa"/>
              <w:right w:w="28" w:type="dxa"/>
            </w:tcMar>
          </w:tcPr>
          <w:p w14:paraId="7A089376" w14:textId="77777777" w:rsidR="004F2C1A" w:rsidRPr="00C7665D" w:rsidRDefault="004F2C1A" w:rsidP="00B815F5">
            <w:pPr>
              <w:rPr>
                <w:rStyle w:val="IntenseReference"/>
                <w:color w:val="auto"/>
              </w:rPr>
            </w:pPr>
            <w:r w:rsidRPr="00C7665D">
              <w:rPr>
                <w:rStyle w:val="IntenseReference"/>
                <w:color w:val="auto"/>
              </w:rPr>
              <w:t>MMP</w:t>
            </w:r>
          </w:p>
        </w:tc>
        <w:tc>
          <w:tcPr>
            <w:tcW w:w="414" w:type="dxa"/>
          </w:tcPr>
          <w:p w14:paraId="360E171F"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5599C079"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0679D55A"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0AFA86AF" w14:textId="77777777" w:rsidR="004F2C1A" w:rsidRPr="00C7665D" w:rsidRDefault="004F2C1A" w:rsidP="00B815F5">
            <w:pPr>
              <w:rPr>
                <w:rFonts w:ascii="Arial Narrow" w:hAnsi="Arial Narrow" w:cs="Arial"/>
                <w:szCs w:val="22"/>
              </w:rPr>
            </w:pPr>
          </w:p>
        </w:tc>
        <w:tc>
          <w:tcPr>
            <w:tcW w:w="414" w:type="dxa"/>
          </w:tcPr>
          <w:p w14:paraId="480DA8C3"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4F101BBA" w14:textId="77777777" w:rsidR="004F2C1A" w:rsidRPr="00C7665D" w:rsidRDefault="004F2C1A" w:rsidP="00B815F5">
            <w:pPr>
              <w:rPr>
                <w:rFonts w:ascii="Arial Narrow" w:hAnsi="Arial Narrow" w:cs="Arial"/>
                <w:szCs w:val="22"/>
              </w:rPr>
            </w:pPr>
          </w:p>
        </w:tc>
        <w:tc>
          <w:tcPr>
            <w:tcW w:w="415" w:type="dxa"/>
          </w:tcPr>
          <w:p w14:paraId="38049513"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22D7BFF6" w14:textId="77777777" w:rsidR="004F2C1A" w:rsidRPr="00C7665D" w:rsidRDefault="004F2C1A" w:rsidP="00B815F5">
            <w:pPr>
              <w:rPr>
                <w:rFonts w:ascii="Arial Narrow" w:hAnsi="Arial Narrow" w:cs="Arial"/>
                <w:szCs w:val="22"/>
              </w:rPr>
            </w:pPr>
          </w:p>
        </w:tc>
        <w:tc>
          <w:tcPr>
            <w:tcW w:w="414" w:type="dxa"/>
          </w:tcPr>
          <w:p w14:paraId="49EC13D6"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00C1DFEC" w14:textId="77777777" w:rsidR="004F2C1A" w:rsidRPr="00C7665D" w:rsidRDefault="004F2C1A" w:rsidP="00B815F5">
            <w:pPr>
              <w:rPr>
                <w:rFonts w:ascii="Arial Narrow" w:hAnsi="Arial Narrow" w:cs="Arial"/>
                <w:szCs w:val="22"/>
              </w:rPr>
            </w:pPr>
          </w:p>
        </w:tc>
        <w:tc>
          <w:tcPr>
            <w:tcW w:w="414" w:type="dxa"/>
          </w:tcPr>
          <w:p w14:paraId="28B818C8"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399B8567" w14:textId="77777777" w:rsidR="004F2C1A" w:rsidRPr="00C7665D" w:rsidRDefault="004F2C1A" w:rsidP="00B815F5">
            <w:pPr>
              <w:rPr>
                <w:rFonts w:ascii="Arial Narrow" w:hAnsi="Arial Narrow" w:cs="Arial"/>
                <w:b/>
                <w:szCs w:val="22"/>
              </w:rPr>
            </w:pPr>
            <w:r w:rsidRPr="00C7665D">
              <w:rPr>
                <w:rFonts w:ascii="Arial Narrow" w:hAnsi="Arial Narrow" w:cs="Arial"/>
                <w:b/>
                <w:szCs w:val="22"/>
              </w:rPr>
              <w:t>+</w:t>
            </w:r>
          </w:p>
        </w:tc>
        <w:tc>
          <w:tcPr>
            <w:tcW w:w="415" w:type="dxa"/>
          </w:tcPr>
          <w:p w14:paraId="1E59901B" w14:textId="77777777" w:rsidR="004F2C1A" w:rsidRPr="00C7665D" w:rsidRDefault="004F2C1A" w:rsidP="00B815F5">
            <w:pPr>
              <w:rPr>
                <w:rFonts w:ascii="Arial Narrow" w:hAnsi="Arial Narrow" w:cs="Arial"/>
                <w:b/>
                <w:szCs w:val="22"/>
              </w:rPr>
            </w:pPr>
            <w:r w:rsidRPr="00C7665D">
              <w:rPr>
                <w:rFonts w:ascii="Arial Narrow" w:hAnsi="Arial Narrow" w:cs="Arial"/>
                <w:szCs w:val="22"/>
              </w:rPr>
              <w:t>●</w:t>
            </w:r>
          </w:p>
        </w:tc>
      </w:tr>
      <w:tr w:rsidR="004F2C1A" w:rsidRPr="00C7665D" w14:paraId="60AA2CDA" w14:textId="77777777" w:rsidTr="004F2C1A">
        <w:tc>
          <w:tcPr>
            <w:tcW w:w="1271" w:type="dxa"/>
            <w:vMerge/>
            <w:vAlign w:val="center"/>
          </w:tcPr>
          <w:p w14:paraId="5408E893" w14:textId="77777777" w:rsidR="004F2C1A" w:rsidRPr="00C7665D" w:rsidRDefault="004F2C1A" w:rsidP="005E5E4B">
            <w:pPr>
              <w:jc w:val="center"/>
              <w:rPr>
                <w:rStyle w:val="IntenseReference"/>
                <w:color w:val="auto"/>
              </w:rPr>
            </w:pPr>
          </w:p>
        </w:tc>
        <w:tc>
          <w:tcPr>
            <w:tcW w:w="1843" w:type="dxa"/>
            <w:tcMar>
              <w:left w:w="28" w:type="dxa"/>
              <w:right w:w="28" w:type="dxa"/>
            </w:tcMar>
            <w:vAlign w:val="bottom"/>
          </w:tcPr>
          <w:p w14:paraId="74CF268B" w14:textId="77777777" w:rsidR="004F2C1A" w:rsidRPr="00C7665D" w:rsidRDefault="004F2C1A" w:rsidP="00B815F5">
            <w:pPr>
              <w:rPr>
                <w:rStyle w:val="IntenseReference"/>
                <w:color w:val="auto"/>
              </w:rPr>
            </w:pPr>
            <w:r w:rsidRPr="00C7665D">
              <w:rPr>
                <w:rStyle w:val="IntenseReference"/>
                <w:color w:val="auto"/>
              </w:rPr>
              <w:t>High West (WQ)</w:t>
            </w:r>
          </w:p>
        </w:tc>
        <w:tc>
          <w:tcPr>
            <w:tcW w:w="567" w:type="dxa"/>
            <w:tcMar>
              <w:left w:w="28" w:type="dxa"/>
              <w:right w:w="28" w:type="dxa"/>
            </w:tcMar>
          </w:tcPr>
          <w:p w14:paraId="4A0685DA" w14:textId="77777777" w:rsidR="004F2C1A" w:rsidRPr="00C7665D" w:rsidRDefault="004F2C1A" w:rsidP="00B815F5">
            <w:pPr>
              <w:rPr>
                <w:rStyle w:val="IntenseReference"/>
                <w:color w:val="auto"/>
              </w:rPr>
            </w:pPr>
            <w:r w:rsidRPr="00C7665D">
              <w:rPr>
                <w:rStyle w:val="IntenseReference"/>
                <w:color w:val="auto"/>
              </w:rPr>
              <w:t>MMP</w:t>
            </w:r>
          </w:p>
        </w:tc>
        <w:tc>
          <w:tcPr>
            <w:tcW w:w="414" w:type="dxa"/>
          </w:tcPr>
          <w:p w14:paraId="7749D0A3"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65D5F240"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5BBB76F6"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41CFA2EB"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55A9EC42"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72D9867A"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1E08E2BE"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55EF6691"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5C3EB6D2"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6CF87093"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1203B2E3" w14:textId="77777777" w:rsidR="004F2C1A" w:rsidRPr="00C7665D" w:rsidRDefault="004F2C1A" w:rsidP="00B815F5">
            <w:pPr>
              <w:rPr>
                <w:rFonts w:ascii="Arial Narrow" w:hAnsi="Arial Narrow" w:cs="Arial"/>
                <w:szCs w:val="22"/>
              </w:rPr>
            </w:pPr>
          </w:p>
        </w:tc>
        <w:tc>
          <w:tcPr>
            <w:tcW w:w="414" w:type="dxa"/>
          </w:tcPr>
          <w:p w14:paraId="32F26F21"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199E1577" w14:textId="77777777" w:rsidR="004F2C1A" w:rsidRPr="002C7DAF" w:rsidRDefault="004F2C1A" w:rsidP="00B815F5">
            <w:pPr>
              <w:rPr>
                <w:rFonts w:ascii="Arial Narrow" w:hAnsi="Arial Narrow" w:cs="Arial"/>
                <w:b/>
                <w:szCs w:val="22"/>
              </w:rPr>
            </w:pPr>
            <w:r w:rsidRPr="002C7DAF">
              <w:rPr>
                <w:rFonts w:ascii="Arial Narrow" w:hAnsi="Arial Narrow" w:cs="Arial"/>
                <w:b/>
                <w:szCs w:val="22"/>
              </w:rPr>
              <w:t>+</w:t>
            </w:r>
          </w:p>
        </w:tc>
      </w:tr>
      <w:tr w:rsidR="004F2C1A" w:rsidRPr="00C7665D" w14:paraId="6C1DC54F" w14:textId="77777777" w:rsidTr="004F2C1A">
        <w:tc>
          <w:tcPr>
            <w:tcW w:w="1271" w:type="dxa"/>
            <w:vMerge/>
            <w:vAlign w:val="center"/>
          </w:tcPr>
          <w:p w14:paraId="7B8790FE" w14:textId="77777777" w:rsidR="004F2C1A" w:rsidRPr="00C7665D" w:rsidRDefault="004F2C1A" w:rsidP="005E5E4B">
            <w:pPr>
              <w:jc w:val="center"/>
              <w:rPr>
                <w:rStyle w:val="IntenseReference"/>
                <w:color w:val="auto"/>
              </w:rPr>
            </w:pPr>
          </w:p>
        </w:tc>
        <w:tc>
          <w:tcPr>
            <w:tcW w:w="1843" w:type="dxa"/>
            <w:tcMar>
              <w:left w:w="28" w:type="dxa"/>
              <w:right w:w="28" w:type="dxa"/>
            </w:tcMar>
            <w:vAlign w:val="bottom"/>
          </w:tcPr>
          <w:p w14:paraId="1AD24C66" w14:textId="77777777" w:rsidR="004F2C1A" w:rsidRPr="00C7665D" w:rsidRDefault="004F2C1A" w:rsidP="00B815F5">
            <w:pPr>
              <w:rPr>
                <w:rStyle w:val="IntenseReference"/>
                <w:color w:val="auto"/>
              </w:rPr>
            </w:pPr>
            <w:r w:rsidRPr="00C7665D">
              <w:rPr>
                <w:rStyle w:val="IntenseReference"/>
                <w:color w:val="auto"/>
              </w:rPr>
              <w:t>Frankland East</w:t>
            </w:r>
          </w:p>
        </w:tc>
        <w:tc>
          <w:tcPr>
            <w:tcW w:w="567" w:type="dxa"/>
            <w:tcMar>
              <w:left w:w="28" w:type="dxa"/>
              <w:right w:w="28" w:type="dxa"/>
            </w:tcMar>
          </w:tcPr>
          <w:p w14:paraId="10C99CBB" w14:textId="77777777" w:rsidR="004F2C1A" w:rsidRPr="00C7665D" w:rsidRDefault="004F2C1A" w:rsidP="00B815F5">
            <w:pPr>
              <w:rPr>
                <w:rStyle w:val="IntenseReference"/>
                <w:color w:val="auto"/>
              </w:rPr>
            </w:pPr>
            <w:r w:rsidRPr="00C7665D">
              <w:rPr>
                <w:rStyle w:val="IntenseReference"/>
                <w:color w:val="auto"/>
              </w:rPr>
              <w:t>MMP</w:t>
            </w:r>
          </w:p>
        </w:tc>
        <w:tc>
          <w:tcPr>
            <w:tcW w:w="414" w:type="dxa"/>
          </w:tcPr>
          <w:p w14:paraId="218E63D7"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6E98E188"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7A11019C"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7977AA64" w14:textId="77777777" w:rsidR="004F2C1A" w:rsidRPr="00C7665D" w:rsidRDefault="004F2C1A" w:rsidP="00B815F5">
            <w:pPr>
              <w:rPr>
                <w:rFonts w:ascii="Arial Narrow" w:hAnsi="Arial Narrow" w:cs="Arial"/>
                <w:szCs w:val="22"/>
              </w:rPr>
            </w:pPr>
          </w:p>
        </w:tc>
        <w:tc>
          <w:tcPr>
            <w:tcW w:w="414" w:type="dxa"/>
          </w:tcPr>
          <w:p w14:paraId="7ED0ADBE"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26A65620" w14:textId="77777777" w:rsidR="004F2C1A" w:rsidRPr="00C7665D" w:rsidRDefault="004F2C1A" w:rsidP="00B815F5">
            <w:pPr>
              <w:rPr>
                <w:rFonts w:ascii="Arial Narrow" w:hAnsi="Arial Narrow" w:cs="Arial"/>
                <w:szCs w:val="22"/>
              </w:rPr>
            </w:pPr>
          </w:p>
        </w:tc>
        <w:tc>
          <w:tcPr>
            <w:tcW w:w="415" w:type="dxa"/>
          </w:tcPr>
          <w:p w14:paraId="5642C617"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5AB65099" w14:textId="77777777" w:rsidR="004F2C1A" w:rsidRPr="00C7665D" w:rsidRDefault="004F2C1A" w:rsidP="00B815F5">
            <w:pPr>
              <w:rPr>
                <w:rFonts w:ascii="Arial Narrow" w:hAnsi="Arial Narrow" w:cs="Arial"/>
                <w:szCs w:val="22"/>
              </w:rPr>
            </w:pPr>
          </w:p>
        </w:tc>
        <w:tc>
          <w:tcPr>
            <w:tcW w:w="414" w:type="dxa"/>
          </w:tcPr>
          <w:p w14:paraId="1F3EDB2B"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5" w:type="dxa"/>
          </w:tcPr>
          <w:p w14:paraId="496AD571" w14:textId="77777777" w:rsidR="004F2C1A" w:rsidRPr="00C7665D" w:rsidRDefault="004F2C1A" w:rsidP="00B815F5">
            <w:pPr>
              <w:rPr>
                <w:rFonts w:ascii="Arial Narrow" w:hAnsi="Arial Narrow" w:cs="Arial"/>
                <w:szCs w:val="22"/>
              </w:rPr>
            </w:pPr>
          </w:p>
        </w:tc>
        <w:tc>
          <w:tcPr>
            <w:tcW w:w="414" w:type="dxa"/>
          </w:tcPr>
          <w:p w14:paraId="228B1B35" w14:textId="77777777" w:rsidR="004F2C1A" w:rsidRPr="00C7665D" w:rsidRDefault="004F2C1A" w:rsidP="00B815F5">
            <w:pPr>
              <w:rPr>
                <w:rFonts w:ascii="Arial Narrow" w:hAnsi="Arial Narrow" w:cs="Arial"/>
                <w:szCs w:val="22"/>
              </w:rPr>
            </w:pPr>
            <w:r w:rsidRPr="00C7665D">
              <w:rPr>
                <w:rFonts w:ascii="Arial Narrow" w:hAnsi="Arial Narrow" w:cs="Arial"/>
                <w:szCs w:val="22"/>
              </w:rPr>
              <w:t>●</w:t>
            </w:r>
          </w:p>
        </w:tc>
        <w:tc>
          <w:tcPr>
            <w:tcW w:w="414" w:type="dxa"/>
          </w:tcPr>
          <w:p w14:paraId="4D9F7AD9" w14:textId="77777777" w:rsidR="004F2C1A" w:rsidRPr="00C7665D" w:rsidRDefault="004F2C1A" w:rsidP="00B815F5">
            <w:pPr>
              <w:rPr>
                <w:rFonts w:ascii="Arial Narrow" w:hAnsi="Arial Narrow" w:cs="Arial"/>
                <w:szCs w:val="22"/>
              </w:rPr>
            </w:pPr>
            <w:r w:rsidRPr="00C7665D">
              <w:rPr>
                <w:rFonts w:ascii="Arial Narrow" w:hAnsi="Arial Narrow" w:cs="Arial"/>
                <w:b/>
                <w:szCs w:val="22"/>
              </w:rPr>
              <w:t>+</w:t>
            </w:r>
          </w:p>
        </w:tc>
        <w:tc>
          <w:tcPr>
            <w:tcW w:w="415" w:type="dxa"/>
          </w:tcPr>
          <w:p w14:paraId="7A38B251" w14:textId="77777777" w:rsidR="004F2C1A" w:rsidRPr="00C7665D" w:rsidRDefault="004F2C1A" w:rsidP="00B815F5">
            <w:pPr>
              <w:rPr>
                <w:rFonts w:ascii="Arial Narrow" w:hAnsi="Arial Narrow" w:cs="Arial"/>
                <w:b/>
                <w:szCs w:val="22"/>
              </w:rPr>
            </w:pPr>
            <w:r w:rsidRPr="00C7665D">
              <w:rPr>
                <w:rFonts w:ascii="Arial Narrow" w:hAnsi="Arial Narrow" w:cs="Arial"/>
                <w:szCs w:val="22"/>
              </w:rPr>
              <w:t>●</w:t>
            </w:r>
          </w:p>
        </w:tc>
      </w:tr>
      <w:tr w:rsidR="008D7429" w:rsidRPr="00C7665D" w14:paraId="61A5B3EC" w14:textId="77777777" w:rsidTr="004F2C1A">
        <w:tc>
          <w:tcPr>
            <w:tcW w:w="1271" w:type="dxa"/>
            <w:vMerge/>
            <w:vAlign w:val="center"/>
          </w:tcPr>
          <w:p w14:paraId="4D275984"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79A1F37E" w14:textId="77777777" w:rsidR="008D7429" w:rsidRPr="00C7665D" w:rsidRDefault="008D7429" w:rsidP="008D7429">
            <w:pPr>
              <w:rPr>
                <w:rStyle w:val="IntenseReference"/>
                <w:color w:val="auto"/>
              </w:rPr>
            </w:pPr>
            <w:r w:rsidRPr="00C7665D">
              <w:rPr>
                <w:rStyle w:val="IntenseReference"/>
                <w:color w:val="auto"/>
              </w:rPr>
              <w:t>Frankland West (WQ)</w:t>
            </w:r>
          </w:p>
        </w:tc>
        <w:tc>
          <w:tcPr>
            <w:tcW w:w="567" w:type="dxa"/>
            <w:tcMar>
              <w:left w:w="28" w:type="dxa"/>
              <w:right w:w="28" w:type="dxa"/>
            </w:tcMar>
          </w:tcPr>
          <w:p w14:paraId="5507211B"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0D8DFE3A"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1B5E9C63"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17A246FA"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4789A37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650BA04"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1FCDE41"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3CE7434C"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F0D92BA"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16C2B46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46907EAE"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058C52F" w14:textId="77777777" w:rsidR="008D7429" w:rsidRPr="00C7665D" w:rsidRDefault="008D7429" w:rsidP="008D7429">
            <w:pPr>
              <w:rPr>
                <w:rFonts w:ascii="Arial Narrow" w:hAnsi="Arial Narrow" w:cs="Arial"/>
                <w:szCs w:val="22"/>
              </w:rPr>
            </w:pPr>
          </w:p>
        </w:tc>
        <w:tc>
          <w:tcPr>
            <w:tcW w:w="414" w:type="dxa"/>
          </w:tcPr>
          <w:p w14:paraId="58916C19" w14:textId="77777777" w:rsidR="008D7429" w:rsidRPr="002C7DAF" w:rsidRDefault="008D7429" w:rsidP="008D7429">
            <w:pPr>
              <w:rPr>
                <w:rFonts w:ascii="Arial Narrow" w:hAnsi="Arial Narrow" w:cs="Arial"/>
                <w:b/>
                <w:szCs w:val="22"/>
              </w:rPr>
            </w:pPr>
            <w:r w:rsidRPr="00C7665D">
              <w:rPr>
                <w:rFonts w:ascii="Arial Narrow" w:hAnsi="Arial Narrow" w:cs="Arial"/>
                <w:szCs w:val="22"/>
              </w:rPr>
              <w:t>●</w:t>
            </w:r>
          </w:p>
        </w:tc>
        <w:tc>
          <w:tcPr>
            <w:tcW w:w="415" w:type="dxa"/>
          </w:tcPr>
          <w:p w14:paraId="5DECD49F" w14:textId="77777777" w:rsidR="008D7429" w:rsidRPr="00C7665D" w:rsidRDefault="008D7429" w:rsidP="008D7429">
            <w:pPr>
              <w:rPr>
                <w:rFonts w:ascii="Arial Narrow" w:hAnsi="Arial Narrow" w:cs="Arial"/>
                <w:szCs w:val="22"/>
              </w:rPr>
            </w:pPr>
            <w:r w:rsidRPr="002C7DAF">
              <w:rPr>
                <w:rFonts w:ascii="Arial Narrow" w:hAnsi="Arial Narrow" w:cs="Arial"/>
                <w:b/>
                <w:szCs w:val="22"/>
              </w:rPr>
              <w:t>+</w:t>
            </w:r>
          </w:p>
        </w:tc>
      </w:tr>
      <w:tr w:rsidR="008D7429" w:rsidRPr="00C7665D" w14:paraId="286B5E04" w14:textId="77777777" w:rsidTr="004F2C1A">
        <w:tc>
          <w:tcPr>
            <w:tcW w:w="1271" w:type="dxa"/>
            <w:vMerge w:val="restart"/>
            <w:vAlign w:val="center"/>
          </w:tcPr>
          <w:p w14:paraId="2CF44E9C" w14:textId="77777777" w:rsidR="008D7429" w:rsidRPr="00C7665D" w:rsidRDefault="008D7429" w:rsidP="008D7429">
            <w:pPr>
              <w:jc w:val="center"/>
              <w:rPr>
                <w:rStyle w:val="IntenseReference"/>
                <w:color w:val="auto"/>
              </w:rPr>
            </w:pPr>
            <w:r w:rsidRPr="00C7665D">
              <w:rPr>
                <w:rStyle w:val="IntenseReference"/>
                <w:color w:val="auto"/>
              </w:rPr>
              <w:t>Tully</w:t>
            </w:r>
          </w:p>
        </w:tc>
        <w:tc>
          <w:tcPr>
            <w:tcW w:w="1843" w:type="dxa"/>
            <w:tcMar>
              <w:left w:w="28" w:type="dxa"/>
              <w:right w:w="28" w:type="dxa"/>
            </w:tcMar>
            <w:vAlign w:val="bottom"/>
          </w:tcPr>
          <w:p w14:paraId="33788366" w14:textId="77777777" w:rsidR="008D7429" w:rsidRPr="00C7665D" w:rsidRDefault="008D7429" w:rsidP="008D7429">
            <w:pPr>
              <w:rPr>
                <w:rStyle w:val="IntenseReference"/>
                <w:color w:val="auto"/>
              </w:rPr>
            </w:pPr>
            <w:r w:rsidRPr="00C7665D">
              <w:rPr>
                <w:rStyle w:val="IntenseReference"/>
                <w:color w:val="auto"/>
              </w:rPr>
              <w:t>Barnards</w:t>
            </w:r>
          </w:p>
        </w:tc>
        <w:tc>
          <w:tcPr>
            <w:tcW w:w="567" w:type="dxa"/>
            <w:tcMar>
              <w:left w:w="28" w:type="dxa"/>
              <w:right w:w="28" w:type="dxa"/>
            </w:tcMar>
          </w:tcPr>
          <w:p w14:paraId="3155B9E5"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40C957D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73C92AE"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9D3C513"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0C3C35A9" w14:textId="77777777" w:rsidR="008D7429" w:rsidRPr="00C7665D" w:rsidRDefault="008D7429" w:rsidP="008D7429">
            <w:pPr>
              <w:rPr>
                <w:rFonts w:ascii="Arial Narrow" w:hAnsi="Arial Narrow" w:cs="Arial"/>
                <w:szCs w:val="22"/>
              </w:rPr>
            </w:pPr>
          </w:p>
        </w:tc>
        <w:tc>
          <w:tcPr>
            <w:tcW w:w="414" w:type="dxa"/>
          </w:tcPr>
          <w:p w14:paraId="7CE33A01"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4353F9C" w14:textId="77777777" w:rsidR="008D7429" w:rsidRPr="00C7665D" w:rsidRDefault="008D7429" w:rsidP="008D7429">
            <w:pPr>
              <w:rPr>
                <w:rFonts w:ascii="Arial Narrow" w:hAnsi="Arial Narrow" w:cs="Arial"/>
                <w:szCs w:val="22"/>
              </w:rPr>
            </w:pPr>
          </w:p>
        </w:tc>
        <w:tc>
          <w:tcPr>
            <w:tcW w:w="415" w:type="dxa"/>
          </w:tcPr>
          <w:p w14:paraId="79D61843"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56DC551" w14:textId="77777777" w:rsidR="008D7429" w:rsidRPr="00C7665D" w:rsidRDefault="008D7429" w:rsidP="008D7429">
            <w:pPr>
              <w:rPr>
                <w:rFonts w:ascii="Arial Narrow" w:hAnsi="Arial Narrow" w:cs="Arial"/>
                <w:szCs w:val="22"/>
              </w:rPr>
            </w:pPr>
          </w:p>
        </w:tc>
        <w:tc>
          <w:tcPr>
            <w:tcW w:w="414" w:type="dxa"/>
          </w:tcPr>
          <w:p w14:paraId="7F377B61"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0E8538F8" w14:textId="77777777" w:rsidR="008D7429" w:rsidRPr="00C7665D" w:rsidRDefault="008D7429" w:rsidP="008D7429">
            <w:pPr>
              <w:rPr>
                <w:rFonts w:ascii="Arial Narrow" w:hAnsi="Arial Narrow" w:cs="Arial"/>
                <w:szCs w:val="22"/>
              </w:rPr>
            </w:pPr>
          </w:p>
        </w:tc>
        <w:tc>
          <w:tcPr>
            <w:tcW w:w="414" w:type="dxa"/>
          </w:tcPr>
          <w:p w14:paraId="27E737F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C5AEF92" w14:textId="77777777" w:rsidR="008D7429" w:rsidRPr="00C7665D" w:rsidRDefault="008D7429" w:rsidP="008D7429">
            <w:pPr>
              <w:rPr>
                <w:rFonts w:ascii="Arial Narrow" w:hAnsi="Arial Narrow" w:cs="Arial"/>
                <w:szCs w:val="22"/>
              </w:rPr>
            </w:pPr>
          </w:p>
        </w:tc>
        <w:tc>
          <w:tcPr>
            <w:tcW w:w="415" w:type="dxa"/>
          </w:tcPr>
          <w:p w14:paraId="77A5A301"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r>
      <w:tr w:rsidR="008D7429" w:rsidRPr="00C7665D" w14:paraId="24155036" w14:textId="77777777" w:rsidTr="004F2C1A">
        <w:tc>
          <w:tcPr>
            <w:tcW w:w="1271" w:type="dxa"/>
            <w:vMerge/>
            <w:vAlign w:val="center"/>
          </w:tcPr>
          <w:p w14:paraId="3A0294A6"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100D6BF0" w14:textId="77777777" w:rsidR="008D7429" w:rsidRPr="00C7665D" w:rsidRDefault="008D7429" w:rsidP="008D7429">
            <w:pPr>
              <w:rPr>
                <w:rStyle w:val="IntenseReference"/>
                <w:color w:val="auto"/>
              </w:rPr>
            </w:pPr>
            <w:r w:rsidRPr="00C7665D">
              <w:rPr>
                <w:rStyle w:val="IntenseReference"/>
                <w:color w:val="auto"/>
              </w:rPr>
              <w:t>King</w:t>
            </w:r>
          </w:p>
        </w:tc>
        <w:tc>
          <w:tcPr>
            <w:tcW w:w="567" w:type="dxa"/>
            <w:tcMar>
              <w:left w:w="28" w:type="dxa"/>
              <w:right w:w="28" w:type="dxa"/>
            </w:tcMar>
          </w:tcPr>
          <w:p w14:paraId="6DF2A289"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1052657F"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440C7933"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D927EFB" w14:textId="77777777" w:rsidR="008D7429" w:rsidRPr="00C7665D" w:rsidRDefault="008D7429" w:rsidP="008D7429">
            <w:pPr>
              <w:rPr>
                <w:rFonts w:ascii="Arial Narrow" w:hAnsi="Arial Narrow" w:cs="Arial"/>
                <w:szCs w:val="22"/>
              </w:rPr>
            </w:pPr>
          </w:p>
        </w:tc>
        <w:tc>
          <w:tcPr>
            <w:tcW w:w="415" w:type="dxa"/>
          </w:tcPr>
          <w:p w14:paraId="681E3AC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AC1A4BB" w14:textId="77777777" w:rsidR="008D7429" w:rsidRPr="00C7665D" w:rsidRDefault="008D7429" w:rsidP="008D7429">
            <w:pPr>
              <w:rPr>
                <w:rFonts w:ascii="Arial Narrow" w:hAnsi="Arial Narrow" w:cs="Arial"/>
                <w:szCs w:val="22"/>
              </w:rPr>
            </w:pPr>
          </w:p>
        </w:tc>
        <w:tc>
          <w:tcPr>
            <w:tcW w:w="414" w:type="dxa"/>
          </w:tcPr>
          <w:p w14:paraId="21D97BDE"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2F71B6A3" w14:textId="77777777" w:rsidR="008D7429" w:rsidRPr="00C7665D" w:rsidRDefault="008D7429" w:rsidP="008D7429">
            <w:pPr>
              <w:rPr>
                <w:rFonts w:ascii="Arial Narrow" w:hAnsi="Arial Narrow" w:cs="Arial"/>
                <w:szCs w:val="22"/>
              </w:rPr>
            </w:pPr>
          </w:p>
        </w:tc>
        <w:tc>
          <w:tcPr>
            <w:tcW w:w="414" w:type="dxa"/>
          </w:tcPr>
          <w:p w14:paraId="38784D87"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A43045D" w14:textId="77777777" w:rsidR="008D7429" w:rsidRPr="00C7665D" w:rsidRDefault="008D7429" w:rsidP="008D7429">
            <w:pPr>
              <w:rPr>
                <w:rFonts w:ascii="Arial Narrow" w:hAnsi="Arial Narrow" w:cs="Arial"/>
                <w:szCs w:val="22"/>
              </w:rPr>
            </w:pPr>
          </w:p>
        </w:tc>
        <w:tc>
          <w:tcPr>
            <w:tcW w:w="415" w:type="dxa"/>
          </w:tcPr>
          <w:p w14:paraId="780B5932"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shd w:val="clear" w:color="auto" w:fill="F2F2F2" w:themeFill="background1" w:themeFillShade="F2"/>
          </w:tcPr>
          <w:p w14:paraId="6669C547" w14:textId="77777777" w:rsidR="008D7429" w:rsidRPr="00C7665D" w:rsidRDefault="008D7429" w:rsidP="008D7429">
            <w:pPr>
              <w:rPr>
                <w:rFonts w:ascii="Arial Narrow" w:hAnsi="Arial Narrow" w:cs="Arial"/>
                <w:szCs w:val="22"/>
              </w:rPr>
            </w:pPr>
          </w:p>
        </w:tc>
        <w:tc>
          <w:tcPr>
            <w:tcW w:w="414" w:type="dxa"/>
            <w:shd w:val="clear" w:color="auto" w:fill="F2F2F2" w:themeFill="background1" w:themeFillShade="F2"/>
          </w:tcPr>
          <w:p w14:paraId="02C22736" w14:textId="77777777" w:rsidR="008D7429" w:rsidRPr="00C7665D" w:rsidRDefault="008D7429" w:rsidP="008D7429">
            <w:pPr>
              <w:rPr>
                <w:rFonts w:ascii="Arial Narrow" w:hAnsi="Arial Narrow" w:cs="Arial"/>
                <w:szCs w:val="22"/>
              </w:rPr>
            </w:pPr>
          </w:p>
        </w:tc>
        <w:tc>
          <w:tcPr>
            <w:tcW w:w="415" w:type="dxa"/>
            <w:shd w:val="clear" w:color="auto" w:fill="F2F2F2" w:themeFill="background1" w:themeFillShade="F2"/>
          </w:tcPr>
          <w:p w14:paraId="6D67041A" w14:textId="77777777" w:rsidR="008D7429" w:rsidRPr="00C7665D" w:rsidRDefault="008D7429" w:rsidP="008D7429">
            <w:pPr>
              <w:rPr>
                <w:rFonts w:ascii="Arial Narrow" w:hAnsi="Arial Narrow" w:cs="Arial"/>
                <w:szCs w:val="22"/>
              </w:rPr>
            </w:pPr>
          </w:p>
        </w:tc>
      </w:tr>
      <w:tr w:rsidR="008D7429" w:rsidRPr="00C7665D" w14:paraId="421AB0D2" w14:textId="77777777" w:rsidTr="004F2C1A">
        <w:tc>
          <w:tcPr>
            <w:tcW w:w="1271" w:type="dxa"/>
            <w:vMerge/>
            <w:vAlign w:val="center"/>
          </w:tcPr>
          <w:p w14:paraId="60B2EE46"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4B6BD848" w14:textId="77777777" w:rsidR="008D7429" w:rsidRPr="00C7665D" w:rsidRDefault="008D7429" w:rsidP="008D7429">
            <w:pPr>
              <w:rPr>
                <w:rStyle w:val="IntenseReference"/>
                <w:color w:val="auto"/>
              </w:rPr>
            </w:pPr>
            <w:r w:rsidRPr="00C7665D">
              <w:rPr>
                <w:rStyle w:val="IntenseReference"/>
                <w:color w:val="auto"/>
              </w:rPr>
              <w:t>Dunk North (WQ)</w:t>
            </w:r>
          </w:p>
        </w:tc>
        <w:tc>
          <w:tcPr>
            <w:tcW w:w="567" w:type="dxa"/>
            <w:tcMar>
              <w:left w:w="28" w:type="dxa"/>
              <w:right w:w="28" w:type="dxa"/>
            </w:tcMar>
          </w:tcPr>
          <w:p w14:paraId="03552EBB"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75EE76F9"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585733C1"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4696947"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7AF88D6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C567720"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C24C917"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7A432F40"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E78976B"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355D6BC"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3F1BD5AB"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9E0E633" w14:textId="77777777" w:rsidR="008D7429" w:rsidRPr="00C7665D" w:rsidRDefault="008D7429" w:rsidP="008D7429">
            <w:pPr>
              <w:rPr>
                <w:rFonts w:ascii="Arial Narrow" w:hAnsi="Arial Narrow" w:cs="Arial"/>
                <w:szCs w:val="22"/>
              </w:rPr>
            </w:pPr>
          </w:p>
        </w:tc>
        <w:tc>
          <w:tcPr>
            <w:tcW w:w="414" w:type="dxa"/>
          </w:tcPr>
          <w:p w14:paraId="33EC0DA4"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01D421A0" w14:textId="77777777" w:rsidR="008D7429" w:rsidRPr="002C7DAF" w:rsidRDefault="008D7429" w:rsidP="008D7429">
            <w:pPr>
              <w:rPr>
                <w:rFonts w:ascii="Arial Narrow" w:hAnsi="Arial Narrow" w:cs="Arial"/>
                <w:b/>
                <w:szCs w:val="22"/>
              </w:rPr>
            </w:pPr>
            <w:r w:rsidRPr="002C7DAF">
              <w:rPr>
                <w:rFonts w:ascii="Arial Narrow" w:hAnsi="Arial Narrow" w:cs="Arial"/>
                <w:b/>
                <w:szCs w:val="22"/>
              </w:rPr>
              <w:t>+</w:t>
            </w:r>
          </w:p>
        </w:tc>
      </w:tr>
      <w:tr w:rsidR="008D7429" w:rsidRPr="00C7665D" w14:paraId="714CD94D" w14:textId="77777777" w:rsidTr="004F2C1A">
        <w:tc>
          <w:tcPr>
            <w:tcW w:w="1271" w:type="dxa"/>
            <w:vMerge/>
            <w:vAlign w:val="center"/>
          </w:tcPr>
          <w:p w14:paraId="14FE3CE3"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78729DB6" w14:textId="77777777" w:rsidR="008D7429" w:rsidRPr="00C7665D" w:rsidRDefault="008D7429" w:rsidP="008D7429">
            <w:pPr>
              <w:rPr>
                <w:rStyle w:val="IntenseReference"/>
                <w:color w:val="auto"/>
              </w:rPr>
            </w:pPr>
            <w:r w:rsidRPr="00C7665D">
              <w:rPr>
                <w:rStyle w:val="IntenseReference"/>
                <w:color w:val="auto"/>
              </w:rPr>
              <w:t>Dunk South</w:t>
            </w:r>
          </w:p>
        </w:tc>
        <w:tc>
          <w:tcPr>
            <w:tcW w:w="567" w:type="dxa"/>
            <w:tcMar>
              <w:left w:w="28" w:type="dxa"/>
              <w:right w:w="28" w:type="dxa"/>
            </w:tcMar>
          </w:tcPr>
          <w:p w14:paraId="601959BC"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47945CA2"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1B29CC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5C36382B" w14:textId="77777777" w:rsidR="008D7429" w:rsidRPr="00C7665D" w:rsidRDefault="008D7429" w:rsidP="008D7429">
            <w:pPr>
              <w:rPr>
                <w:rFonts w:ascii="Arial Narrow" w:hAnsi="Arial Narrow" w:cs="Arial"/>
                <w:szCs w:val="22"/>
              </w:rPr>
            </w:pPr>
          </w:p>
        </w:tc>
        <w:tc>
          <w:tcPr>
            <w:tcW w:w="415" w:type="dxa"/>
          </w:tcPr>
          <w:p w14:paraId="27159F57"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38E9EA8" w14:textId="77777777" w:rsidR="008D7429" w:rsidRPr="00C7665D" w:rsidRDefault="008D7429" w:rsidP="008D7429">
            <w:pPr>
              <w:rPr>
                <w:rFonts w:ascii="Arial Narrow" w:hAnsi="Arial Narrow" w:cs="Arial"/>
                <w:szCs w:val="22"/>
              </w:rPr>
            </w:pPr>
          </w:p>
        </w:tc>
        <w:tc>
          <w:tcPr>
            <w:tcW w:w="414" w:type="dxa"/>
          </w:tcPr>
          <w:p w14:paraId="1169428A"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0E2A61C2" w14:textId="77777777" w:rsidR="008D7429" w:rsidRPr="00C7665D" w:rsidRDefault="008D7429" w:rsidP="008D7429">
            <w:pPr>
              <w:rPr>
                <w:rFonts w:ascii="Arial Narrow" w:hAnsi="Arial Narrow" w:cs="Arial"/>
                <w:szCs w:val="22"/>
              </w:rPr>
            </w:pPr>
            <w:r w:rsidRPr="00C7665D">
              <w:rPr>
                <w:rFonts w:ascii="Arial Narrow" w:hAnsi="Arial Narrow" w:cs="Arial"/>
                <w:b/>
                <w:szCs w:val="22"/>
              </w:rPr>
              <w:t>+</w:t>
            </w:r>
          </w:p>
        </w:tc>
        <w:tc>
          <w:tcPr>
            <w:tcW w:w="414" w:type="dxa"/>
          </w:tcPr>
          <w:p w14:paraId="0AF4F6BE"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2AA9164" w14:textId="77777777" w:rsidR="008D7429" w:rsidRPr="00C7665D" w:rsidRDefault="008D7429" w:rsidP="008D7429">
            <w:pPr>
              <w:rPr>
                <w:rFonts w:ascii="Arial Narrow" w:hAnsi="Arial Narrow" w:cs="Arial"/>
                <w:szCs w:val="22"/>
              </w:rPr>
            </w:pPr>
          </w:p>
        </w:tc>
        <w:tc>
          <w:tcPr>
            <w:tcW w:w="415" w:type="dxa"/>
          </w:tcPr>
          <w:p w14:paraId="14989647"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CC9D977" w14:textId="77777777" w:rsidR="008D7429" w:rsidRPr="00C7665D" w:rsidRDefault="008D7429" w:rsidP="008D7429">
            <w:pPr>
              <w:rPr>
                <w:rFonts w:ascii="Arial Narrow" w:hAnsi="Arial Narrow" w:cs="Arial"/>
                <w:szCs w:val="22"/>
              </w:rPr>
            </w:pPr>
          </w:p>
        </w:tc>
        <w:tc>
          <w:tcPr>
            <w:tcW w:w="414" w:type="dxa"/>
          </w:tcPr>
          <w:p w14:paraId="26A8827F"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29A31AEE" w14:textId="77777777" w:rsidR="008D7429" w:rsidRPr="002C7DAF" w:rsidRDefault="008D7429" w:rsidP="008D7429">
            <w:pPr>
              <w:rPr>
                <w:rFonts w:ascii="Arial Narrow" w:hAnsi="Arial Narrow" w:cs="Arial"/>
                <w:b/>
                <w:szCs w:val="22"/>
              </w:rPr>
            </w:pPr>
            <w:r w:rsidRPr="002C7DAF">
              <w:rPr>
                <w:rFonts w:ascii="Arial Narrow" w:hAnsi="Arial Narrow" w:cs="Arial"/>
                <w:b/>
                <w:szCs w:val="22"/>
              </w:rPr>
              <w:t>+</w:t>
            </w:r>
          </w:p>
        </w:tc>
      </w:tr>
      <w:tr w:rsidR="008D7429" w:rsidRPr="00C7665D" w14:paraId="6384FDA1" w14:textId="77777777" w:rsidTr="004F2C1A">
        <w:tc>
          <w:tcPr>
            <w:tcW w:w="1271" w:type="dxa"/>
            <w:vMerge/>
            <w:vAlign w:val="center"/>
          </w:tcPr>
          <w:p w14:paraId="2C394BB2"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2D19B4B8" w14:textId="77777777" w:rsidR="008D7429" w:rsidRPr="00C7665D" w:rsidRDefault="008D7429" w:rsidP="008D7429">
            <w:pPr>
              <w:rPr>
                <w:rStyle w:val="IntenseReference"/>
                <w:color w:val="auto"/>
              </w:rPr>
            </w:pPr>
            <w:r w:rsidRPr="00C7665D">
              <w:rPr>
                <w:rStyle w:val="IntenseReference"/>
                <w:color w:val="auto"/>
              </w:rPr>
              <w:t>Bedarra</w:t>
            </w:r>
          </w:p>
        </w:tc>
        <w:tc>
          <w:tcPr>
            <w:tcW w:w="567" w:type="dxa"/>
            <w:tcMar>
              <w:left w:w="28" w:type="dxa"/>
              <w:right w:w="28" w:type="dxa"/>
            </w:tcMar>
          </w:tcPr>
          <w:p w14:paraId="4E36D481"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288334A7" w14:textId="77777777" w:rsidR="008D7429" w:rsidRPr="00C7665D" w:rsidRDefault="008D7429" w:rsidP="008D7429">
            <w:pPr>
              <w:rPr>
                <w:rFonts w:ascii="Arial Narrow" w:hAnsi="Arial Narrow" w:cs="Arial"/>
                <w:szCs w:val="22"/>
              </w:rPr>
            </w:pPr>
          </w:p>
        </w:tc>
        <w:tc>
          <w:tcPr>
            <w:tcW w:w="414" w:type="dxa"/>
          </w:tcPr>
          <w:p w14:paraId="4C87B1B3" w14:textId="77777777" w:rsidR="008D7429" w:rsidRPr="00C7665D" w:rsidRDefault="008D7429" w:rsidP="008D7429">
            <w:pPr>
              <w:rPr>
                <w:rFonts w:ascii="Arial Narrow" w:hAnsi="Arial Narrow" w:cs="Arial"/>
                <w:szCs w:val="22"/>
              </w:rPr>
            </w:pPr>
          </w:p>
        </w:tc>
        <w:tc>
          <w:tcPr>
            <w:tcW w:w="414" w:type="dxa"/>
          </w:tcPr>
          <w:p w14:paraId="0CB9015D" w14:textId="77777777" w:rsidR="008D7429" w:rsidRPr="00C7665D" w:rsidRDefault="008D7429" w:rsidP="008D7429">
            <w:pPr>
              <w:rPr>
                <w:rFonts w:ascii="Arial Narrow" w:hAnsi="Arial Narrow" w:cs="Arial"/>
                <w:szCs w:val="22"/>
              </w:rPr>
            </w:pPr>
          </w:p>
        </w:tc>
        <w:tc>
          <w:tcPr>
            <w:tcW w:w="415" w:type="dxa"/>
          </w:tcPr>
          <w:p w14:paraId="3075FE64" w14:textId="77777777" w:rsidR="008D7429" w:rsidRPr="00C7665D" w:rsidRDefault="008D7429" w:rsidP="008D7429">
            <w:pPr>
              <w:rPr>
                <w:rFonts w:ascii="Arial Narrow" w:hAnsi="Arial Narrow" w:cs="Arial"/>
                <w:szCs w:val="22"/>
              </w:rPr>
            </w:pPr>
          </w:p>
        </w:tc>
        <w:tc>
          <w:tcPr>
            <w:tcW w:w="414" w:type="dxa"/>
          </w:tcPr>
          <w:p w14:paraId="39ACFF3F" w14:textId="77777777" w:rsidR="008D7429" w:rsidRPr="00C7665D" w:rsidRDefault="008D7429" w:rsidP="008D7429">
            <w:pPr>
              <w:rPr>
                <w:rFonts w:ascii="Arial Narrow" w:hAnsi="Arial Narrow" w:cs="Arial"/>
                <w:szCs w:val="22"/>
              </w:rPr>
            </w:pPr>
          </w:p>
        </w:tc>
        <w:tc>
          <w:tcPr>
            <w:tcW w:w="414" w:type="dxa"/>
          </w:tcPr>
          <w:p w14:paraId="3CC8E137" w14:textId="77777777" w:rsidR="008D7429" w:rsidRPr="00C7665D" w:rsidRDefault="008D7429" w:rsidP="008D7429">
            <w:pPr>
              <w:rPr>
                <w:rFonts w:ascii="Arial Narrow" w:hAnsi="Arial Narrow" w:cs="Arial"/>
                <w:szCs w:val="22"/>
              </w:rPr>
            </w:pPr>
          </w:p>
        </w:tc>
        <w:tc>
          <w:tcPr>
            <w:tcW w:w="415" w:type="dxa"/>
          </w:tcPr>
          <w:p w14:paraId="0174BFD8" w14:textId="77777777" w:rsidR="008D7429" w:rsidRPr="00C7665D" w:rsidRDefault="008D7429" w:rsidP="008D7429">
            <w:pPr>
              <w:rPr>
                <w:rFonts w:ascii="Arial Narrow" w:hAnsi="Arial Narrow" w:cs="Arial"/>
                <w:szCs w:val="22"/>
              </w:rPr>
            </w:pPr>
          </w:p>
        </w:tc>
        <w:tc>
          <w:tcPr>
            <w:tcW w:w="414" w:type="dxa"/>
          </w:tcPr>
          <w:p w14:paraId="76F0722B" w14:textId="77777777" w:rsidR="008D7429" w:rsidRPr="00C7665D" w:rsidRDefault="008D7429" w:rsidP="008D7429">
            <w:pPr>
              <w:rPr>
                <w:rFonts w:ascii="Arial Narrow" w:hAnsi="Arial Narrow" w:cs="Arial"/>
                <w:szCs w:val="22"/>
              </w:rPr>
            </w:pPr>
          </w:p>
        </w:tc>
        <w:tc>
          <w:tcPr>
            <w:tcW w:w="414" w:type="dxa"/>
          </w:tcPr>
          <w:p w14:paraId="0158DE60" w14:textId="77777777" w:rsidR="008D7429" w:rsidRPr="00C7665D" w:rsidRDefault="008D7429" w:rsidP="008D7429">
            <w:pPr>
              <w:rPr>
                <w:rFonts w:ascii="Arial Narrow" w:hAnsi="Arial Narrow" w:cs="Arial"/>
                <w:szCs w:val="22"/>
              </w:rPr>
            </w:pPr>
          </w:p>
        </w:tc>
        <w:tc>
          <w:tcPr>
            <w:tcW w:w="415" w:type="dxa"/>
          </w:tcPr>
          <w:p w14:paraId="4957C68A" w14:textId="77777777" w:rsidR="008D7429" w:rsidRPr="00C7665D" w:rsidRDefault="008D7429" w:rsidP="008D7429">
            <w:pPr>
              <w:rPr>
                <w:rFonts w:ascii="Arial Narrow" w:hAnsi="Arial Narrow" w:cs="Arial"/>
                <w:szCs w:val="22"/>
              </w:rPr>
            </w:pPr>
          </w:p>
        </w:tc>
        <w:tc>
          <w:tcPr>
            <w:tcW w:w="414" w:type="dxa"/>
          </w:tcPr>
          <w:p w14:paraId="476888C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10542E23"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087AA127" w14:textId="77777777" w:rsidR="008D7429" w:rsidRPr="00C7665D" w:rsidRDefault="008D7429" w:rsidP="008D7429">
            <w:pPr>
              <w:rPr>
                <w:rFonts w:ascii="Arial Narrow" w:hAnsi="Arial Narrow" w:cs="Arial"/>
                <w:b/>
                <w:szCs w:val="22"/>
              </w:rPr>
            </w:pPr>
            <w:r w:rsidRPr="00C7665D">
              <w:rPr>
                <w:rFonts w:ascii="Arial Narrow" w:hAnsi="Arial Narrow" w:cs="Arial"/>
                <w:szCs w:val="22"/>
              </w:rPr>
              <w:t>●</w:t>
            </w:r>
          </w:p>
        </w:tc>
      </w:tr>
      <w:tr w:rsidR="008D7429" w:rsidRPr="00C7665D" w14:paraId="744A6BCB" w14:textId="77777777" w:rsidTr="004F2C1A">
        <w:tc>
          <w:tcPr>
            <w:tcW w:w="1271" w:type="dxa"/>
            <w:vMerge w:val="restart"/>
            <w:vAlign w:val="center"/>
          </w:tcPr>
          <w:p w14:paraId="0002E6A1" w14:textId="77777777" w:rsidR="008D7429" w:rsidRPr="00C7665D" w:rsidRDefault="008D7429" w:rsidP="008D7429">
            <w:pPr>
              <w:jc w:val="center"/>
              <w:rPr>
                <w:rStyle w:val="IntenseReference"/>
                <w:color w:val="auto"/>
              </w:rPr>
            </w:pPr>
            <w:r w:rsidRPr="00C7665D">
              <w:rPr>
                <w:rStyle w:val="IntenseReference"/>
                <w:color w:val="auto"/>
              </w:rPr>
              <w:t>Burdekin</w:t>
            </w:r>
          </w:p>
        </w:tc>
        <w:tc>
          <w:tcPr>
            <w:tcW w:w="1843" w:type="dxa"/>
            <w:tcMar>
              <w:left w:w="28" w:type="dxa"/>
              <w:right w:w="28" w:type="dxa"/>
            </w:tcMar>
            <w:vAlign w:val="bottom"/>
          </w:tcPr>
          <w:p w14:paraId="0A565980" w14:textId="77777777" w:rsidR="008D7429" w:rsidRPr="00C7665D" w:rsidRDefault="008D7429" w:rsidP="008D7429">
            <w:pPr>
              <w:rPr>
                <w:rStyle w:val="IntenseReference"/>
                <w:color w:val="auto"/>
              </w:rPr>
            </w:pPr>
            <w:r w:rsidRPr="00C7665D">
              <w:rPr>
                <w:rStyle w:val="IntenseReference"/>
                <w:color w:val="auto"/>
              </w:rPr>
              <w:t>Palms West (WQ)</w:t>
            </w:r>
          </w:p>
        </w:tc>
        <w:tc>
          <w:tcPr>
            <w:tcW w:w="567" w:type="dxa"/>
            <w:tcMar>
              <w:left w:w="28" w:type="dxa"/>
              <w:right w:w="28" w:type="dxa"/>
            </w:tcMar>
          </w:tcPr>
          <w:p w14:paraId="2DB44105"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772F22FE"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65E6AA0"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4F2D5BCF"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1A27EC51"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8A1AA4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D0E513E"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694F7D21"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9805160"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ABEA96A"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3F7623AC"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24340FF"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5921435D" w14:textId="77777777" w:rsidR="008D7429" w:rsidRPr="00C7665D" w:rsidRDefault="008D7429" w:rsidP="008D7429">
            <w:pPr>
              <w:rPr>
                <w:rFonts w:ascii="Arial Narrow" w:hAnsi="Arial Narrow" w:cs="Arial"/>
                <w:szCs w:val="22"/>
              </w:rPr>
            </w:pPr>
            <w:r w:rsidRPr="00C7665D">
              <w:rPr>
                <w:rFonts w:ascii="Arial Narrow" w:hAnsi="Arial Narrow" w:cs="Arial"/>
                <w:b/>
                <w:szCs w:val="22"/>
              </w:rPr>
              <w:t>+</w:t>
            </w:r>
          </w:p>
        </w:tc>
        <w:tc>
          <w:tcPr>
            <w:tcW w:w="415" w:type="dxa"/>
          </w:tcPr>
          <w:p w14:paraId="6C22209F" w14:textId="77777777" w:rsidR="008D7429" w:rsidRPr="00C7665D" w:rsidRDefault="008D7429" w:rsidP="008D7429">
            <w:pPr>
              <w:rPr>
                <w:rFonts w:ascii="Arial Narrow" w:hAnsi="Arial Narrow" w:cs="Arial"/>
                <w:b/>
                <w:szCs w:val="22"/>
              </w:rPr>
            </w:pPr>
            <w:r w:rsidRPr="00C7665D">
              <w:rPr>
                <w:rFonts w:ascii="Arial Narrow" w:hAnsi="Arial Narrow" w:cs="Arial"/>
                <w:szCs w:val="22"/>
              </w:rPr>
              <w:t>●</w:t>
            </w:r>
          </w:p>
        </w:tc>
      </w:tr>
      <w:tr w:rsidR="008D7429" w:rsidRPr="00C7665D" w14:paraId="73F4CBE1" w14:textId="77777777" w:rsidTr="004F2C1A">
        <w:tc>
          <w:tcPr>
            <w:tcW w:w="1271" w:type="dxa"/>
            <w:vMerge/>
            <w:vAlign w:val="center"/>
          </w:tcPr>
          <w:p w14:paraId="66164AA6"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003A9E8C" w14:textId="77777777" w:rsidR="008D7429" w:rsidRPr="00C7665D" w:rsidRDefault="008D7429" w:rsidP="008D7429">
            <w:pPr>
              <w:rPr>
                <w:rStyle w:val="IntenseReference"/>
                <w:color w:val="auto"/>
              </w:rPr>
            </w:pPr>
            <w:r w:rsidRPr="00C7665D">
              <w:rPr>
                <w:rStyle w:val="IntenseReference"/>
                <w:color w:val="auto"/>
              </w:rPr>
              <w:t>Palms East</w:t>
            </w:r>
          </w:p>
        </w:tc>
        <w:tc>
          <w:tcPr>
            <w:tcW w:w="567" w:type="dxa"/>
            <w:tcMar>
              <w:left w:w="28" w:type="dxa"/>
              <w:right w:w="28" w:type="dxa"/>
            </w:tcMar>
          </w:tcPr>
          <w:p w14:paraId="63E104F9"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4A88B36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9584532"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4A637EE2" w14:textId="77777777" w:rsidR="008D7429" w:rsidRPr="00C7665D" w:rsidRDefault="008D7429" w:rsidP="008D7429">
            <w:pPr>
              <w:rPr>
                <w:rFonts w:ascii="Arial Narrow" w:hAnsi="Arial Narrow" w:cs="Arial"/>
                <w:szCs w:val="22"/>
              </w:rPr>
            </w:pPr>
          </w:p>
        </w:tc>
        <w:tc>
          <w:tcPr>
            <w:tcW w:w="415" w:type="dxa"/>
          </w:tcPr>
          <w:p w14:paraId="6607775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477A639A" w14:textId="77777777" w:rsidR="008D7429" w:rsidRPr="00C7665D" w:rsidRDefault="008D7429" w:rsidP="008D7429">
            <w:pPr>
              <w:rPr>
                <w:rFonts w:ascii="Arial Narrow" w:hAnsi="Arial Narrow" w:cs="Arial"/>
                <w:szCs w:val="22"/>
              </w:rPr>
            </w:pPr>
          </w:p>
        </w:tc>
        <w:tc>
          <w:tcPr>
            <w:tcW w:w="414" w:type="dxa"/>
          </w:tcPr>
          <w:p w14:paraId="3D4BF5B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261E6777" w14:textId="77777777" w:rsidR="008D7429" w:rsidRPr="00C7665D" w:rsidRDefault="008D7429" w:rsidP="008D7429">
            <w:pPr>
              <w:rPr>
                <w:rFonts w:ascii="Arial Narrow" w:hAnsi="Arial Narrow" w:cs="Arial"/>
                <w:szCs w:val="22"/>
              </w:rPr>
            </w:pPr>
            <w:r w:rsidRPr="00C7665D">
              <w:rPr>
                <w:rFonts w:ascii="Arial Narrow" w:hAnsi="Arial Narrow" w:cs="Arial"/>
                <w:b/>
                <w:szCs w:val="22"/>
              </w:rPr>
              <w:t>+</w:t>
            </w:r>
          </w:p>
        </w:tc>
        <w:tc>
          <w:tcPr>
            <w:tcW w:w="414" w:type="dxa"/>
          </w:tcPr>
          <w:p w14:paraId="77740EFA"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A6F895A" w14:textId="77777777" w:rsidR="008D7429" w:rsidRPr="00C7665D" w:rsidRDefault="008D7429" w:rsidP="008D7429">
            <w:pPr>
              <w:rPr>
                <w:rFonts w:ascii="Arial Narrow" w:hAnsi="Arial Narrow" w:cs="Arial"/>
                <w:szCs w:val="22"/>
              </w:rPr>
            </w:pPr>
          </w:p>
        </w:tc>
        <w:tc>
          <w:tcPr>
            <w:tcW w:w="415" w:type="dxa"/>
          </w:tcPr>
          <w:p w14:paraId="63F5175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4C8D2FAF" w14:textId="77777777" w:rsidR="008D7429" w:rsidRPr="00C7665D" w:rsidRDefault="008D7429" w:rsidP="008D7429">
            <w:pPr>
              <w:rPr>
                <w:rFonts w:ascii="Arial Narrow" w:hAnsi="Arial Narrow" w:cs="Arial"/>
                <w:szCs w:val="22"/>
              </w:rPr>
            </w:pPr>
          </w:p>
        </w:tc>
        <w:tc>
          <w:tcPr>
            <w:tcW w:w="414" w:type="dxa"/>
          </w:tcPr>
          <w:p w14:paraId="5F6B2690"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2CB341EC" w14:textId="77777777" w:rsidR="008D7429" w:rsidRPr="00C7665D" w:rsidRDefault="008D7429" w:rsidP="008D7429">
            <w:pPr>
              <w:rPr>
                <w:rFonts w:ascii="Arial Narrow" w:hAnsi="Arial Narrow" w:cs="Arial"/>
                <w:szCs w:val="22"/>
              </w:rPr>
            </w:pPr>
          </w:p>
        </w:tc>
      </w:tr>
      <w:tr w:rsidR="008D7429" w:rsidRPr="00C7665D" w14:paraId="534F7FD1" w14:textId="77777777" w:rsidTr="004F2C1A">
        <w:tc>
          <w:tcPr>
            <w:tcW w:w="1271" w:type="dxa"/>
            <w:vMerge/>
            <w:vAlign w:val="center"/>
          </w:tcPr>
          <w:p w14:paraId="113E6C14"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22C50020" w14:textId="77777777" w:rsidR="008D7429" w:rsidRPr="00C7665D" w:rsidRDefault="008D7429" w:rsidP="008D7429">
            <w:pPr>
              <w:rPr>
                <w:rStyle w:val="IntenseReference"/>
                <w:color w:val="auto"/>
              </w:rPr>
            </w:pPr>
            <w:r w:rsidRPr="00C7665D">
              <w:rPr>
                <w:rStyle w:val="IntenseReference"/>
                <w:color w:val="auto"/>
              </w:rPr>
              <w:t>Lady Elliot</w:t>
            </w:r>
          </w:p>
        </w:tc>
        <w:tc>
          <w:tcPr>
            <w:tcW w:w="567" w:type="dxa"/>
            <w:tcMar>
              <w:left w:w="28" w:type="dxa"/>
              <w:right w:w="28" w:type="dxa"/>
            </w:tcMar>
          </w:tcPr>
          <w:p w14:paraId="7AA2A2B0"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4C483CB0"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A4D046E"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47AFB74B" w14:textId="77777777" w:rsidR="008D7429" w:rsidRPr="00C7665D" w:rsidRDefault="008D7429" w:rsidP="008D7429">
            <w:pPr>
              <w:rPr>
                <w:rFonts w:ascii="Arial Narrow" w:hAnsi="Arial Narrow" w:cs="Arial"/>
                <w:szCs w:val="22"/>
              </w:rPr>
            </w:pPr>
          </w:p>
        </w:tc>
        <w:tc>
          <w:tcPr>
            <w:tcW w:w="415" w:type="dxa"/>
          </w:tcPr>
          <w:p w14:paraId="3B178F17"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11D92CD7" w14:textId="77777777" w:rsidR="008D7429" w:rsidRPr="00C7665D" w:rsidRDefault="008D7429" w:rsidP="008D7429">
            <w:pPr>
              <w:rPr>
                <w:rFonts w:ascii="Arial Narrow" w:hAnsi="Arial Narrow" w:cs="Arial"/>
                <w:szCs w:val="22"/>
              </w:rPr>
            </w:pPr>
          </w:p>
        </w:tc>
        <w:tc>
          <w:tcPr>
            <w:tcW w:w="414" w:type="dxa"/>
          </w:tcPr>
          <w:p w14:paraId="5399F285"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53F9BDEB" w14:textId="77777777" w:rsidR="008D7429" w:rsidRPr="00C7665D" w:rsidRDefault="008D7429" w:rsidP="008D7429">
            <w:pPr>
              <w:rPr>
                <w:rFonts w:ascii="Arial Narrow" w:hAnsi="Arial Narrow" w:cs="Arial"/>
                <w:szCs w:val="22"/>
              </w:rPr>
            </w:pPr>
          </w:p>
        </w:tc>
        <w:tc>
          <w:tcPr>
            <w:tcW w:w="414" w:type="dxa"/>
          </w:tcPr>
          <w:p w14:paraId="2EF7C5E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26FE71D" w14:textId="77777777" w:rsidR="008D7429" w:rsidRPr="00C7665D" w:rsidRDefault="008D7429" w:rsidP="008D7429">
            <w:pPr>
              <w:rPr>
                <w:rFonts w:ascii="Arial Narrow" w:hAnsi="Arial Narrow" w:cs="Arial"/>
                <w:szCs w:val="22"/>
              </w:rPr>
            </w:pPr>
          </w:p>
        </w:tc>
        <w:tc>
          <w:tcPr>
            <w:tcW w:w="415" w:type="dxa"/>
          </w:tcPr>
          <w:p w14:paraId="4A022637"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4F80EE5C" w14:textId="77777777" w:rsidR="008D7429" w:rsidRPr="00C7665D" w:rsidRDefault="008D7429" w:rsidP="008D7429">
            <w:pPr>
              <w:rPr>
                <w:rFonts w:ascii="Arial Narrow" w:hAnsi="Arial Narrow" w:cs="Arial"/>
                <w:szCs w:val="22"/>
              </w:rPr>
            </w:pPr>
          </w:p>
        </w:tc>
        <w:tc>
          <w:tcPr>
            <w:tcW w:w="414" w:type="dxa"/>
          </w:tcPr>
          <w:p w14:paraId="20452C3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18BE304C" w14:textId="77777777" w:rsidR="008D7429" w:rsidRPr="00C7665D" w:rsidRDefault="008D7429" w:rsidP="008D7429">
            <w:pPr>
              <w:rPr>
                <w:rFonts w:ascii="Arial Narrow" w:hAnsi="Arial Narrow" w:cs="Arial"/>
                <w:szCs w:val="22"/>
              </w:rPr>
            </w:pPr>
          </w:p>
        </w:tc>
      </w:tr>
      <w:tr w:rsidR="008D7429" w:rsidRPr="00C7665D" w14:paraId="3A9C78C4" w14:textId="77777777" w:rsidTr="004F2C1A">
        <w:tc>
          <w:tcPr>
            <w:tcW w:w="1271" w:type="dxa"/>
            <w:vMerge/>
            <w:vAlign w:val="center"/>
          </w:tcPr>
          <w:p w14:paraId="2BE75536"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64BCBBC0" w14:textId="77777777" w:rsidR="008D7429" w:rsidRPr="00C7665D" w:rsidRDefault="008D7429" w:rsidP="008D7429">
            <w:pPr>
              <w:rPr>
                <w:rStyle w:val="IntenseReference"/>
                <w:color w:val="auto"/>
              </w:rPr>
            </w:pPr>
            <w:r w:rsidRPr="00C7665D">
              <w:rPr>
                <w:rStyle w:val="IntenseReference"/>
                <w:color w:val="auto"/>
              </w:rPr>
              <w:t>Pandora North</w:t>
            </w:r>
          </w:p>
        </w:tc>
        <w:tc>
          <w:tcPr>
            <w:tcW w:w="567" w:type="dxa"/>
            <w:tcMar>
              <w:left w:w="28" w:type="dxa"/>
              <w:right w:w="28" w:type="dxa"/>
            </w:tcMar>
          </w:tcPr>
          <w:p w14:paraId="377BAB5D" w14:textId="77777777" w:rsidR="008D7429" w:rsidRPr="00C7665D" w:rsidRDefault="008D7429" w:rsidP="008D7429">
            <w:pPr>
              <w:rPr>
                <w:rStyle w:val="IntenseReference"/>
                <w:color w:val="auto"/>
              </w:rPr>
            </w:pPr>
            <w:r w:rsidRPr="00C7665D">
              <w:rPr>
                <w:rStyle w:val="IntenseReference"/>
                <w:color w:val="auto"/>
              </w:rPr>
              <w:t>LTMP</w:t>
            </w:r>
          </w:p>
        </w:tc>
        <w:tc>
          <w:tcPr>
            <w:tcW w:w="414" w:type="dxa"/>
          </w:tcPr>
          <w:p w14:paraId="1E69D6DE"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5D64D272" w14:textId="77777777" w:rsidR="008D7429" w:rsidRPr="00C7665D" w:rsidRDefault="008D7429" w:rsidP="008D7429">
            <w:pPr>
              <w:rPr>
                <w:rFonts w:ascii="Arial Narrow" w:hAnsi="Arial Narrow" w:cs="Arial"/>
                <w:szCs w:val="22"/>
              </w:rPr>
            </w:pPr>
          </w:p>
        </w:tc>
        <w:tc>
          <w:tcPr>
            <w:tcW w:w="414" w:type="dxa"/>
          </w:tcPr>
          <w:p w14:paraId="7FEA4A6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5A3586AB" w14:textId="77777777" w:rsidR="008D7429" w:rsidRPr="00C7665D" w:rsidRDefault="008D7429" w:rsidP="008D7429">
            <w:pPr>
              <w:rPr>
                <w:rFonts w:ascii="Arial Narrow" w:hAnsi="Arial Narrow" w:cs="Arial"/>
                <w:szCs w:val="22"/>
              </w:rPr>
            </w:pPr>
          </w:p>
        </w:tc>
        <w:tc>
          <w:tcPr>
            <w:tcW w:w="414" w:type="dxa"/>
          </w:tcPr>
          <w:p w14:paraId="527C36F2"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254C02E" w14:textId="77777777" w:rsidR="008D7429" w:rsidRPr="00C7665D" w:rsidRDefault="008D7429" w:rsidP="008D7429">
            <w:pPr>
              <w:rPr>
                <w:rFonts w:ascii="Arial Narrow" w:hAnsi="Arial Narrow" w:cs="Arial"/>
                <w:szCs w:val="22"/>
              </w:rPr>
            </w:pPr>
          </w:p>
        </w:tc>
        <w:tc>
          <w:tcPr>
            <w:tcW w:w="415" w:type="dxa"/>
          </w:tcPr>
          <w:p w14:paraId="085D4529"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D32DBF5" w14:textId="77777777" w:rsidR="008D7429" w:rsidRPr="00C7665D" w:rsidRDefault="008D7429" w:rsidP="008D7429">
            <w:pPr>
              <w:rPr>
                <w:rFonts w:ascii="Arial Narrow" w:hAnsi="Arial Narrow" w:cs="Arial"/>
                <w:szCs w:val="22"/>
              </w:rPr>
            </w:pPr>
          </w:p>
        </w:tc>
        <w:tc>
          <w:tcPr>
            <w:tcW w:w="414" w:type="dxa"/>
          </w:tcPr>
          <w:p w14:paraId="232D4154"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1A2FFD79" w14:textId="77777777" w:rsidR="008D7429" w:rsidRPr="00C7665D" w:rsidRDefault="008D7429" w:rsidP="008D7429">
            <w:pPr>
              <w:rPr>
                <w:rFonts w:ascii="Arial Narrow" w:hAnsi="Arial Narrow" w:cs="Arial"/>
                <w:szCs w:val="22"/>
              </w:rPr>
            </w:pPr>
          </w:p>
        </w:tc>
        <w:tc>
          <w:tcPr>
            <w:tcW w:w="414" w:type="dxa"/>
          </w:tcPr>
          <w:p w14:paraId="3E1BC92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4B008781" w14:textId="77777777" w:rsidR="008D7429" w:rsidRPr="00C7665D" w:rsidRDefault="008D7429" w:rsidP="008D7429">
            <w:pPr>
              <w:rPr>
                <w:rFonts w:ascii="Arial Narrow" w:hAnsi="Arial Narrow" w:cs="Arial"/>
                <w:szCs w:val="22"/>
              </w:rPr>
            </w:pPr>
          </w:p>
        </w:tc>
        <w:tc>
          <w:tcPr>
            <w:tcW w:w="415" w:type="dxa"/>
          </w:tcPr>
          <w:p w14:paraId="6E5B2B63"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r>
      <w:tr w:rsidR="008D7429" w:rsidRPr="00C7665D" w14:paraId="6DADE519" w14:textId="77777777" w:rsidTr="004F2C1A">
        <w:tc>
          <w:tcPr>
            <w:tcW w:w="1271" w:type="dxa"/>
            <w:vMerge/>
            <w:vAlign w:val="center"/>
          </w:tcPr>
          <w:p w14:paraId="1FD1BE2A"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4C790542" w14:textId="77777777" w:rsidR="008D7429" w:rsidRPr="00C7665D" w:rsidRDefault="008D7429" w:rsidP="008D7429">
            <w:pPr>
              <w:rPr>
                <w:rStyle w:val="IntenseReference"/>
                <w:color w:val="auto"/>
              </w:rPr>
            </w:pPr>
            <w:r w:rsidRPr="00C7665D">
              <w:rPr>
                <w:rStyle w:val="IntenseReference"/>
                <w:color w:val="auto"/>
              </w:rPr>
              <w:t>Pandora (WQ)</w:t>
            </w:r>
          </w:p>
        </w:tc>
        <w:tc>
          <w:tcPr>
            <w:tcW w:w="567" w:type="dxa"/>
            <w:tcMar>
              <w:left w:w="28" w:type="dxa"/>
              <w:right w:w="28" w:type="dxa"/>
            </w:tcMar>
          </w:tcPr>
          <w:p w14:paraId="59CB9110"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7188F5B7"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E4764B1"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3EEB3D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77761B44"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900E995"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30D9F92"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3CAF5E7C"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EC8889A"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5E2D4659"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09F0AC5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1101736" w14:textId="77777777" w:rsidR="008D7429" w:rsidRPr="00C7665D" w:rsidRDefault="008D7429" w:rsidP="008D7429">
            <w:pPr>
              <w:rPr>
                <w:rFonts w:ascii="Arial Narrow" w:hAnsi="Arial Narrow" w:cs="Arial"/>
                <w:szCs w:val="22"/>
              </w:rPr>
            </w:pPr>
          </w:p>
        </w:tc>
        <w:tc>
          <w:tcPr>
            <w:tcW w:w="414" w:type="dxa"/>
          </w:tcPr>
          <w:p w14:paraId="115766C2"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610DE8EE" w14:textId="77777777" w:rsidR="008D7429" w:rsidRPr="002C7DAF" w:rsidRDefault="008D7429" w:rsidP="008D7429">
            <w:pPr>
              <w:rPr>
                <w:rFonts w:ascii="Arial Narrow" w:hAnsi="Arial Narrow" w:cs="Arial"/>
                <w:b/>
                <w:szCs w:val="22"/>
              </w:rPr>
            </w:pPr>
            <w:r w:rsidRPr="002C7DAF">
              <w:rPr>
                <w:rFonts w:ascii="Arial Narrow" w:hAnsi="Arial Narrow" w:cs="Arial"/>
                <w:b/>
                <w:szCs w:val="22"/>
              </w:rPr>
              <w:t>+</w:t>
            </w:r>
          </w:p>
        </w:tc>
      </w:tr>
      <w:tr w:rsidR="008D7429" w:rsidRPr="00C7665D" w14:paraId="2E969856" w14:textId="77777777" w:rsidTr="004F2C1A">
        <w:tc>
          <w:tcPr>
            <w:tcW w:w="1271" w:type="dxa"/>
            <w:vMerge/>
            <w:vAlign w:val="center"/>
          </w:tcPr>
          <w:p w14:paraId="433AECD6"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469CB837" w14:textId="77777777" w:rsidR="008D7429" w:rsidRPr="00C7665D" w:rsidRDefault="008D7429" w:rsidP="008D7429">
            <w:pPr>
              <w:rPr>
                <w:rStyle w:val="IntenseReference"/>
                <w:color w:val="auto"/>
              </w:rPr>
            </w:pPr>
            <w:r w:rsidRPr="00C7665D">
              <w:rPr>
                <w:rStyle w:val="IntenseReference"/>
                <w:color w:val="auto"/>
              </w:rPr>
              <w:t>Havannah North</w:t>
            </w:r>
          </w:p>
        </w:tc>
        <w:tc>
          <w:tcPr>
            <w:tcW w:w="567" w:type="dxa"/>
            <w:tcMar>
              <w:left w:w="28" w:type="dxa"/>
              <w:right w:w="28" w:type="dxa"/>
            </w:tcMar>
          </w:tcPr>
          <w:p w14:paraId="0553F418" w14:textId="77777777" w:rsidR="008D7429" w:rsidRPr="00C7665D" w:rsidRDefault="008D7429" w:rsidP="008D7429">
            <w:pPr>
              <w:rPr>
                <w:rStyle w:val="IntenseReference"/>
                <w:color w:val="auto"/>
              </w:rPr>
            </w:pPr>
            <w:r w:rsidRPr="00C7665D">
              <w:rPr>
                <w:rStyle w:val="IntenseReference"/>
                <w:color w:val="auto"/>
              </w:rPr>
              <w:t>LTMP</w:t>
            </w:r>
          </w:p>
        </w:tc>
        <w:tc>
          <w:tcPr>
            <w:tcW w:w="414" w:type="dxa"/>
          </w:tcPr>
          <w:p w14:paraId="00C7F59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12257687" w14:textId="77777777" w:rsidR="008D7429" w:rsidRPr="00C7665D" w:rsidRDefault="008D7429" w:rsidP="008D7429">
            <w:pPr>
              <w:rPr>
                <w:rFonts w:ascii="Arial Narrow" w:hAnsi="Arial Narrow" w:cs="Arial"/>
                <w:szCs w:val="22"/>
              </w:rPr>
            </w:pPr>
          </w:p>
        </w:tc>
        <w:tc>
          <w:tcPr>
            <w:tcW w:w="414" w:type="dxa"/>
          </w:tcPr>
          <w:p w14:paraId="4240D643"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4C6896AD" w14:textId="77777777" w:rsidR="008D7429" w:rsidRPr="00C7665D" w:rsidRDefault="008D7429" w:rsidP="008D7429">
            <w:pPr>
              <w:rPr>
                <w:rFonts w:ascii="Arial Narrow" w:hAnsi="Arial Narrow" w:cs="Arial"/>
                <w:szCs w:val="22"/>
              </w:rPr>
            </w:pPr>
          </w:p>
        </w:tc>
        <w:tc>
          <w:tcPr>
            <w:tcW w:w="414" w:type="dxa"/>
          </w:tcPr>
          <w:p w14:paraId="63695432"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5ACFEAD6" w14:textId="77777777" w:rsidR="008D7429" w:rsidRPr="00C7665D" w:rsidRDefault="008D7429" w:rsidP="008D7429">
            <w:pPr>
              <w:rPr>
                <w:rFonts w:ascii="Arial Narrow" w:hAnsi="Arial Narrow" w:cs="Arial"/>
                <w:szCs w:val="22"/>
              </w:rPr>
            </w:pPr>
          </w:p>
        </w:tc>
        <w:tc>
          <w:tcPr>
            <w:tcW w:w="415" w:type="dxa"/>
          </w:tcPr>
          <w:p w14:paraId="75710A6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CA9ED04" w14:textId="77777777" w:rsidR="008D7429" w:rsidRPr="00C7665D" w:rsidRDefault="008D7429" w:rsidP="008D7429">
            <w:pPr>
              <w:rPr>
                <w:rFonts w:ascii="Arial Narrow" w:hAnsi="Arial Narrow" w:cs="Arial"/>
                <w:szCs w:val="22"/>
              </w:rPr>
            </w:pPr>
          </w:p>
        </w:tc>
        <w:tc>
          <w:tcPr>
            <w:tcW w:w="414" w:type="dxa"/>
          </w:tcPr>
          <w:p w14:paraId="6DF657D7"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1E94C573" w14:textId="77777777" w:rsidR="008D7429" w:rsidRPr="00C7665D" w:rsidRDefault="008D7429" w:rsidP="008D7429">
            <w:pPr>
              <w:rPr>
                <w:rFonts w:ascii="Arial Narrow" w:hAnsi="Arial Narrow" w:cs="Arial"/>
                <w:szCs w:val="22"/>
              </w:rPr>
            </w:pPr>
          </w:p>
        </w:tc>
        <w:tc>
          <w:tcPr>
            <w:tcW w:w="414" w:type="dxa"/>
          </w:tcPr>
          <w:p w14:paraId="4C678772"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AC402DF" w14:textId="77777777" w:rsidR="008D7429" w:rsidRPr="00C7665D" w:rsidRDefault="008D7429" w:rsidP="008D7429">
            <w:pPr>
              <w:rPr>
                <w:rFonts w:ascii="Arial Narrow" w:hAnsi="Arial Narrow" w:cs="Arial"/>
                <w:szCs w:val="22"/>
              </w:rPr>
            </w:pPr>
          </w:p>
        </w:tc>
        <w:tc>
          <w:tcPr>
            <w:tcW w:w="415" w:type="dxa"/>
          </w:tcPr>
          <w:p w14:paraId="0CAEF26B"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r>
      <w:tr w:rsidR="008D7429" w:rsidRPr="00C7665D" w14:paraId="5262A802" w14:textId="77777777" w:rsidTr="004F2C1A">
        <w:tc>
          <w:tcPr>
            <w:tcW w:w="1271" w:type="dxa"/>
            <w:vMerge/>
            <w:vAlign w:val="center"/>
          </w:tcPr>
          <w:p w14:paraId="625EEE30"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6EE48432" w14:textId="77777777" w:rsidR="008D7429" w:rsidRPr="00C7665D" w:rsidRDefault="008D7429" w:rsidP="008D7429">
            <w:pPr>
              <w:rPr>
                <w:rStyle w:val="IntenseReference"/>
                <w:color w:val="auto"/>
              </w:rPr>
            </w:pPr>
            <w:r w:rsidRPr="00C7665D">
              <w:rPr>
                <w:rStyle w:val="IntenseReference"/>
                <w:color w:val="auto"/>
              </w:rPr>
              <w:t>Havannah</w:t>
            </w:r>
          </w:p>
        </w:tc>
        <w:tc>
          <w:tcPr>
            <w:tcW w:w="567" w:type="dxa"/>
            <w:tcMar>
              <w:left w:w="28" w:type="dxa"/>
              <w:right w:w="28" w:type="dxa"/>
            </w:tcMar>
          </w:tcPr>
          <w:p w14:paraId="4FB06D6C"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3E629A6E"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7CB51C3"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E0CA3F1"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45FA494A" w14:textId="77777777" w:rsidR="008D7429" w:rsidRPr="00C7665D" w:rsidRDefault="008D7429" w:rsidP="008D7429">
            <w:pPr>
              <w:rPr>
                <w:rFonts w:ascii="Arial Narrow" w:hAnsi="Arial Narrow" w:cs="Arial"/>
                <w:szCs w:val="22"/>
              </w:rPr>
            </w:pPr>
          </w:p>
        </w:tc>
        <w:tc>
          <w:tcPr>
            <w:tcW w:w="414" w:type="dxa"/>
          </w:tcPr>
          <w:p w14:paraId="2DDA75B9"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0E30BE1" w14:textId="77777777" w:rsidR="008D7429" w:rsidRPr="00C7665D" w:rsidRDefault="008D7429" w:rsidP="008D7429">
            <w:pPr>
              <w:rPr>
                <w:rFonts w:ascii="Arial Narrow" w:hAnsi="Arial Narrow" w:cs="Arial"/>
                <w:szCs w:val="22"/>
              </w:rPr>
            </w:pPr>
          </w:p>
        </w:tc>
        <w:tc>
          <w:tcPr>
            <w:tcW w:w="415" w:type="dxa"/>
          </w:tcPr>
          <w:p w14:paraId="114B9022"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1AE51037" w14:textId="77777777" w:rsidR="008D7429" w:rsidRPr="00C7665D" w:rsidRDefault="008D7429" w:rsidP="008D7429">
            <w:pPr>
              <w:rPr>
                <w:rFonts w:ascii="Arial Narrow" w:hAnsi="Arial Narrow" w:cs="Arial"/>
                <w:szCs w:val="22"/>
              </w:rPr>
            </w:pPr>
          </w:p>
        </w:tc>
        <w:tc>
          <w:tcPr>
            <w:tcW w:w="414" w:type="dxa"/>
          </w:tcPr>
          <w:p w14:paraId="60ABD9BB"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3BCCCD46" w14:textId="77777777" w:rsidR="008D7429" w:rsidRPr="00C7665D" w:rsidRDefault="008D7429" w:rsidP="008D7429">
            <w:pPr>
              <w:rPr>
                <w:rFonts w:ascii="Arial Narrow" w:hAnsi="Arial Narrow" w:cs="Arial"/>
                <w:szCs w:val="22"/>
              </w:rPr>
            </w:pPr>
          </w:p>
        </w:tc>
        <w:tc>
          <w:tcPr>
            <w:tcW w:w="414" w:type="dxa"/>
          </w:tcPr>
          <w:p w14:paraId="3AEBD750"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4AFEC96" w14:textId="77777777" w:rsidR="008D7429" w:rsidRPr="00C7665D" w:rsidRDefault="008D7429" w:rsidP="008D7429">
            <w:pPr>
              <w:rPr>
                <w:rFonts w:ascii="Arial Narrow" w:hAnsi="Arial Narrow" w:cs="Arial"/>
                <w:szCs w:val="22"/>
              </w:rPr>
            </w:pPr>
            <w:r w:rsidRPr="00C7665D">
              <w:rPr>
                <w:rFonts w:ascii="Arial Narrow" w:hAnsi="Arial Narrow" w:cs="Arial"/>
                <w:b/>
                <w:szCs w:val="22"/>
              </w:rPr>
              <w:t>+</w:t>
            </w:r>
          </w:p>
        </w:tc>
        <w:tc>
          <w:tcPr>
            <w:tcW w:w="415" w:type="dxa"/>
          </w:tcPr>
          <w:p w14:paraId="6C13E5C5" w14:textId="77777777" w:rsidR="008D7429" w:rsidRPr="00C7665D" w:rsidRDefault="008D7429" w:rsidP="008D7429">
            <w:pPr>
              <w:rPr>
                <w:rFonts w:ascii="Arial Narrow" w:hAnsi="Arial Narrow" w:cs="Arial"/>
                <w:b/>
                <w:szCs w:val="22"/>
              </w:rPr>
            </w:pPr>
            <w:r w:rsidRPr="00C7665D">
              <w:rPr>
                <w:rFonts w:ascii="Arial Narrow" w:hAnsi="Arial Narrow" w:cs="Arial"/>
                <w:szCs w:val="22"/>
              </w:rPr>
              <w:t>●</w:t>
            </w:r>
          </w:p>
        </w:tc>
      </w:tr>
      <w:tr w:rsidR="008D7429" w:rsidRPr="00C7665D" w14:paraId="64B1DE4C" w14:textId="77777777" w:rsidTr="004F2C1A">
        <w:tc>
          <w:tcPr>
            <w:tcW w:w="1271" w:type="dxa"/>
            <w:vMerge/>
            <w:vAlign w:val="center"/>
          </w:tcPr>
          <w:p w14:paraId="2DD42EDE"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4016C1D5" w14:textId="77777777" w:rsidR="008D7429" w:rsidRPr="00C7665D" w:rsidRDefault="008D7429" w:rsidP="008D7429">
            <w:pPr>
              <w:rPr>
                <w:rStyle w:val="IntenseReference"/>
                <w:color w:val="auto"/>
              </w:rPr>
            </w:pPr>
            <w:r w:rsidRPr="00C7665D">
              <w:rPr>
                <w:rStyle w:val="IntenseReference"/>
                <w:color w:val="auto"/>
              </w:rPr>
              <w:t>Middle Reef</w:t>
            </w:r>
          </w:p>
        </w:tc>
        <w:tc>
          <w:tcPr>
            <w:tcW w:w="567" w:type="dxa"/>
            <w:tcMar>
              <w:left w:w="28" w:type="dxa"/>
              <w:right w:w="28" w:type="dxa"/>
            </w:tcMar>
          </w:tcPr>
          <w:p w14:paraId="4416D149" w14:textId="77777777" w:rsidR="008D7429" w:rsidRPr="00C7665D" w:rsidRDefault="008D7429" w:rsidP="008D7429">
            <w:pPr>
              <w:rPr>
                <w:rStyle w:val="IntenseReference"/>
                <w:color w:val="auto"/>
              </w:rPr>
            </w:pPr>
            <w:r w:rsidRPr="00C7665D">
              <w:rPr>
                <w:rStyle w:val="IntenseReference"/>
                <w:color w:val="auto"/>
              </w:rPr>
              <w:t>LTMP</w:t>
            </w:r>
          </w:p>
        </w:tc>
        <w:tc>
          <w:tcPr>
            <w:tcW w:w="414" w:type="dxa"/>
          </w:tcPr>
          <w:p w14:paraId="3A67AD3E"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66E078E" w14:textId="77777777" w:rsidR="008D7429" w:rsidRPr="00C7665D" w:rsidRDefault="008D7429" w:rsidP="008D7429">
            <w:pPr>
              <w:rPr>
                <w:rFonts w:ascii="Arial Narrow" w:hAnsi="Arial Narrow" w:cs="Arial"/>
                <w:szCs w:val="22"/>
              </w:rPr>
            </w:pPr>
          </w:p>
        </w:tc>
        <w:tc>
          <w:tcPr>
            <w:tcW w:w="414" w:type="dxa"/>
          </w:tcPr>
          <w:p w14:paraId="362498DF"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35096506" w14:textId="77777777" w:rsidR="008D7429" w:rsidRPr="00C7665D" w:rsidRDefault="008D7429" w:rsidP="008D7429">
            <w:pPr>
              <w:rPr>
                <w:rFonts w:ascii="Arial Narrow" w:hAnsi="Arial Narrow" w:cs="Arial"/>
                <w:szCs w:val="22"/>
              </w:rPr>
            </w:pPr>
          </w:p>
        </w:tc>
        <w:tc>
          <w:tcPr>
            <w:tcW w:w="414" w:type="dxa"/>
          </w:tcPr>
          <w:p w14:paraId="447571FE"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8A2FCCE" w14:textId="77777777" w:rsidR="008D7429" w:rsidRPr="00C7665D" w:rsidRDefault="008D7429" w:rsidP="008D7429">
            <w:pPr>
              <w:rPr>
                <w:rFonts w:ascii="Arial Narrow" w:hAnsi="Arial Narrow" w:cs="Arial"/>
                <w:szCs w:val="22"/>
              </w:rPr>
            </w:pPr>
          </w:p>
        </w:tc>
        <w:tc>
          <w:tcPr>
            <w:tcW w:w="415" w:type="dxa"/>
          </w:tcPr>
          <w:p w14:paraId="4FC95B61"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AC36B55" w14:textId="77777777" w:rsidR="008D7429" w:rsidRPr="00C7665D" w:rsidRDefault="008D7429" w:rsidP="008D7429">
            <w:pPr>
              <w:rPr>
                <w:rFonts w:ascii="Arial Narrow" w:hAnsi="Arial Narrow" w:cs="Arial"/>
                <w:szCs w:val="22"/>
              </w:rPr>
            </w:pPr>
          </w:p>
        </w:tc>
        <w:tc>
          <w:tcPr>
            <w:tcW w:w="414" w:type="dxa"/>
          </w:tcPr>
          <w:p w14:paraId="35F98694"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40ACA86B" w14:textId="77777777" w:rsidR="008D7429" w:rsidRPr="00C7665D" w:rsidRDefault="008D7429" w:rsidP="008D7429">
            <w:pPr>
              <w:rPr>
                <w:rFonts w:ascii="Arial Narrow" w:hAnsi="Arial Narrow" w:cs="Arial"/>
                <w:szCs w:val="22"/>
              </w:rPr>
            </w:pPr>
          </w:p>
        </w:tc>
        <w:tc>
          <w:tcPr>
            <w:tcW w:w="414" w:type="dxa"/>
          </w:tcPr>
          <w:p w14:paraId="3AC5E3BE" w14:textId="77777777" w:rsidR="008D7429" w:rsidRPr="00C7665D" w:rsidRDefault="008D7429" w:rsidP="008D7429">
            <w:pPr>
              <w:rPr>
                <w:rFonts w:ascii="Arial Narrow" w:hAnsi="Arial Narrow" w:cs="Arial"/>
                <w:szCs w:val="22"/>
              </w:rPr>
            </w:pPr>
          </w:p>
        </w:tc>
        <w:tc>
          <w:tcPr>
            <w:tcW w:w="414" w:type="dxa"/>
          </w:tcPr>
          <w:p w14:paraId="54BEC5D1" w14:textId="77777777" w:rsidR="008D7429" w:rsidRPr="00C7665D" w:rsidRDefault="008D7429" w:rsidP="008D7429">
            <w:pPr>
              <w:rPr>
                <w:rFonts w:ascii="Arial Narrow" w:hAnsi="Arial Narrow" w:cs="Arial"/>
                <w:szCs w:val="22"/>
              </w:rPr>
            </w:pPr>
          </w:p>
        </w:tc>
        <w:tc>
          <w:tcPr>
            <w:tcW w:w="415" w:type="dxa"/>
          </w:tcPr>
          <w:p w14:paraId="35B7BBF1" w14:textId="77777777" w:rsidR="008D7429" w:rsidRPr="00C7665D" w:rsidRDefault="008D7429" w:rsidP="008D7429">
            <w:pPr>
              <w:rPr>
                <w:rFonts w:ascii="Arial Narrow" w:hAnsi="Arial Narrow" w:cs="Arial"/>
                <w:szCs w:val="22"/>
              </w:rPr>
            </w:pPr>
          </w:p>
        </w:tc>
      </w:tr>
      <w:tr w:rsidR="008D7429" w:rsidRPr="00C7665D" w14:paraId="342E9764" w14:textId="77777777" w:rsidTr="004F2C1A">
        <w:tc>
          <w:tcPr>
            <w:tcW w:w="1271" w:type="dxa"/>
            <w:vMerge/>
            <w:vAlign w:val="center"/>
          </w:tcPr>
          <w:p w14:paraId="16A9E9F8"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0F819933" w14:textId="77777777" w:rsidR="008D7429" w:rsidRPr="00C7665D" w:rsidRDefault="008D7429" w:rsidP="008D7429">
            <w:pPr>
              <w:rPr>
                <w:rStyle w:val="IntenseReference"/>
                <w:color w:val="auto"/>
              </w:rPr>
            </w:pPr>
            <w:r w:rsidRPr="00C7665D">
              <w:rPr>
                <w:rStyle w:val="IntenseReference"/>
                <w:color w:val="auto"/>
              </w:rPr>
              <w:t>Middle Reef</w:t>
            </w:r>
          </w:p>
        </w:tc>
        <w:tc>
          <w:tcPr>
            <w:tcW w:w="567" w:type="dxa"/>
            <w:tcMar>
              <w:left w:w="28" w:type="dxa"/>
              <w:right w:w="28" w:type="dxa"/>
            </w:tcMar>
          </w:tcPr>
          <w:p w14:paraId="79DF05A7"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7BE8C67C"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C1375C3"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199974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7C4D45AC" w14:textId="77777777" w:rsidR="008D7429" w:rsidRPr="00C7665D" w:rsidRDefault="008D7429" w:rsidP="008D7429">
            <w:pPr>
              <w:rPr>
                <w:rFonts w:ascii="Arial Narrow" w:hAnsi="Arial Narrow" w:cs="Arial"/>
                <w:szCs w:val="22"/>
              </w:rPr>
            </w:pPr>
          </w:p>
        </w:tc>
        <w:tc>
          <w:tcPr>
            <w:tcW w:w="414" w:type="dxa"/>
          </w:tcPr>
          <w:p w14:paraId="3B76D13F"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58462358" w14:textId="77777777" w:rsidR="008D7429" w:rsidRPr="00C7665D" w:rsidRDefault="008D7429" w:rsidP="008D7429">
            <w:pPr>
              <w:rPr>
                <w:rFonts w:ascii="Arial Narrow" w:hAnsi="Arial Narrow" w:cs="Arial"/>
                <w:szCs w:val="22"/>
              </w:rPr>
            </w:pPr>
          </w:p>
        </w:tc>
        <w:tc>
          <w:tcPr>
            <w:tcW w:w="415" w:type="dxa"/>
          </w:tcPr>
          <w:p w14:paraId="15C6CF6C"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7101DA8" w14:textId="77777777" w:rsidR="008D7429" w:rsidRPr="00C7665D" w:rsidRDefault="008D7429" w:rsidP="008D7429">
            <w:pPr>
              <w:rPr>
                <w:rFonts w:ascii="Arial Narrow" w:hAnsi="Arial Narrow" w:cs="Arial"/>
                <w:szCs w:val="22"/>
              </w:rPr>
            </w:pPr>
          </w:p>
        </w:tc>
        <w:tc>
          <w:tcPr>
            <w:tcW w:w="414" w:type="dxa"/>
          </w:tcPr>
          <w:p w14:paraId="104E6B15"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shd w:val="clear" w:color="auto" w:fill="F2F2F2" w:themeFill="background1" w:themeFillShade="F2"/>
          </w:tcPr>
          <w:p w14:paraId="2B6ECF2F" w14:textId="77777777" w:rsidR="008D7429" w:rsidRPr="00C7665D" w:rsidRDefault="008D7429" w:rsidP="008D7429">
            <w:pPr>
              <w:rPr>
                <w:rFonts w:ascii="Arial Narrow" w:hAnsi="Arial Narrow" w:cs="Arial"/>
                <w:szCs w:val="22"/>
              </w:rPr>
            </w:pPr>
          </w:p>
        </w:tc>
        <w:tc>
          <w:tcPr>
            <w:tcW w:w="414" w:type="dxa"/>
            <w:shd w:val="clear" w:color="auto" w:fill="F2F2F2" w:themeFill="background1" w:themeFillShade="F2"/>
          </w:tcPr>
          <w:p w14:paraId="550F0DA6" w14:textId="77777777" w:rsidR="008D7429" w:rsidRPr="00C7665D" w:rsidRDefault="008D7429" w:rsidP="008D7429">
            <w:pPr>
              <w:rPr>
                <w:rFonts w:ascii="Arial Narrow" w:hAnsi="Arial Narrow" w:cs="Arial"/>
                <w:szCs w:val="22"/>
              </w:rPr>
            </w:pPr>
          </w:p>
        </w:tc>
        <w:tc>
          <w:tcPr>
            <w:tcW w:w="414" w:type="dxa"/>
            <w:shd w:val="clear" w:color="auto" w:fill="F2F2F2" w:themeFill="background1" w:themeFillShade="F2"/>
          </w:tcPr>
          <w:p w14:paraId="3D8B6F66" w14:textId="77777777" w:rsidR="008D7429" w:rsidRPr="00C7665D" w:rsidRDefault="008D7429" w:rsidP="008D7429">
            <w:pPr>
              <w:rPr>
                <w:rFonts w:ascii="Arial Narrow" w:hAnsi="Arial Narrow" w:cs="Arial"/>
                <w:szCs w:val="22"/>
              </w:rPr>
            </w:pPr>
          </w:p>
        </w:tc>
        <w:tc>
          <w:tcPr>
            <w:tcW w:w="415" w:type="dxa"/>
            <w:shd w:val="clear" w:color="auto" w:fill="F2F2F2" w:themeFill="background1" w:themeFillShade="F2"/>
          </w:tcPr>
          <w:p w14:paraId="293D6A95" w14:textId="77777777" w:rsidR="008D7429" w:rsidRPr="00C7665D" w:rsidRDefault="008D7429" w:rsidP="008D7429">
            <w:pPr>
              <w:rPr>
                <w:rFonts w:ascii="Arial Narrow" w:hAnsi="Arial Narrow" w:cs="Arial"/>
                <w:szCs w:val="22"/>
              </w:rPr>
            </w:pPr>
          </w:p>
        </w:tc>
      </w:tr>
      <w:tr w:rsidR="008D7429" w:rsidRPr="00C7665D" w14:paraId="09D2D82A" w14:textId="77777777" w:rsidTr="004F2C1A">
        <w:tc>
          <w:tcPr>
            <w:tcW w:w="1271" w:type="dxa"/>
            <w:vMerge/>
            <w:vAlign w:val="center"/>
          </w:tcPr>
          <w:p w14:paraId="7A72B92E"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1E372275" w14:textId="77777777" w:rsidR="008D7429" w:rsidRPr="00C7665D" w:rsidRDefault="008D7429" w:rsidP="008D7429">
            <w:pPr>
              <w:rPr>
                <w:rStyle w:val="IntenseReference"/>
                <w:color w:val="auto"/>
              </w:rPr>
            </w:pPr>
            <w:r w:rsidRPr="00C7665D">
              <w:rPr>
                <w:rStyle w:val="IntenseReference"/>
                <w:color w:val="auto"/>
              </w:rPr>
              <w:t>Magnetic (WQ)</w:t>
            </w:r>
          </w:p>
        </w:tc>
        <w:tc>
          <w:tcPr>
            <w:tcW w:w="567" w:type="dxa"/>
            <w:tcMar>
              <w:left w:w="28" w:type="dxa"/>
              <w:right w:w="28" w:type="dxa"/>
            </w:tcMar>
          </w:tcPr>
          <w:p w14:paraId="4431A903"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402DAF02"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39FAE2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FE9D502"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189D6D5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A78849C"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C8444FE"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6957827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5D34DFE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507F78F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45515F59"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5DC3A03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4E63160" w14:textId="77777777" w:rsidR="008D7429" w:rsidRPr="00C7665D" w:rsidRDefault="008D7429" w:rsidP="008D7429">
            <w:pPr>
              <w:rPr>
                <w:rFonts w:ascii="Arial Narrow" w:hAnsi="Arial Narrow" w:cs="Arial"/>
                <w:szCs w:val="22"/>
              </w:rPr>
            </w:pPr>
            <w:r w:rsidRPr="00C7665D">
              <w:rPr>
                <w:rFonts w:ascii="Arial Narrow" w:hAnsi="Arial Narrow" w:cs="Arial"/>
                <w:b/>
                <w:szCs w:val="22"/>
              </w:rPr>
              <w:t>+</w:t>
            </w:r>
          </w:p>
        </w:tc>
        <w:tc>
          <w:tcPr>
            <w:tcW w:w="415" w:type="dxa"/>
          </w:tcPr>
          <w:p w14:paraId="7E011014" w14:textId="77777777" w:rsidR="008D7429" w:rsidRPr="00C7665D" w:rsidRDefault="008D7429" w:rsidP="008D7429">
            <w:pPr>
              <w:rPr>
                <w:rFonts w:ascii="Arial Narrow" w:hAnsi="Arial Narrow" w:cs="Arial"/>
                <w:b/>
                <w:szCs w:val="22"/>
              </w:rPr>
            </w:pPr>
            <w:r w:rsidRPr="00C7665D">
              <w:rPr>
                <w:rFonts w:ascii="Arial Narrow" w:hAnsi="Arial Narrow" w:cs="Arial"/>
                <w:szCs w:val="22"/>
              </w:rPr>
              <w:t>●</w:t>
            </w:r>
          </w:p>
        </w:tc>
      </w:tr>
      <w:tr w:rsidR="008D7429" w:rsidRPr="00C7665D" w14:paraId="30C8F96C" w14:textId="77777777" w:rsidTr="004F2C1A">
        <w:tc>
          <w:tcPr>
            <w:tcW w:w="1271" w:type="dxa"/>
            <w:vMerge w:val="restart"/>
            <w:vAlign w:val="center"/>
          </w:tcPr>
          <w:p w14:paraId="78BB7156" w14:textId="77777777" w:rsidR="008D7429" w:rsidRPr="00C7665D" w:rsidRDefault="008D7429" w:rsidP="008D7429">
            <w:pPr>
              <w:jc w:val="center"/>
              <w:rPr>
                <w:rStyle w:val="IntenseReference"/>
                <w:color w:val="auto"/>
              </w:rPr>
            </w:pPr>
            <w:r w:rsidRPr="00C7665D">
              <w:rPr>
                <w:rStyle w:val="IntenseReference"/>
                <w:color w:val="auto"/>
              </w:rPr>
              <w:t>Mackay Whitsunday</w:t>
            </w:r>
          </w:p>
        </w:tc>
        <w:tc>
          <w:tcPr>
            <w:tcW w:w="1843" w:type="dxa"/>
            <w:tcMar>
              <w:left w:w="28" w:type="dxa"/>
              <w:right w:w="28" w:type="dxa"/>
            </w:tcMar>
            <w:vAlign w:val="bottom"/>
          </w:tcPr>
          <w:p w14:paraId="49F7E548" w14:textId="77777777" w:rsidR="008D7429" w:rsidRPr="00C7665D" w:rsidRDefault="008D7429" w:rsidP="008D7429">
            <w:pPr>
              <w:rPr>
                <w:rStyle w:val="IntenseReference"/>
                <w:color w:val="auto"/>
              </w:rPr>
            </w:pPr>
            <w:r w:rsidRPr="00C7665D">
              <w:rPr>
                <w:rStyle w:val="IntenseReference"/>
                <w:color w:val="auto"/>
              </w:rPr>
              <w:t>Langford</w:t>
            </w:r>
          </w:p>
        </w:tc>
        <w:tc>
          <w:tcPr>
            <w:tcW w:w="567" w:type="dxa"/>
            <w:tcMar>
              <w:left w:w="28" w:type="dxa"/>
              <w:right w:w="28" w:type="dxa"/>
            </w:tcMar>
          </w:tcPr>
          <w:p w14:paraId="4623CA81" w14:textId="77777777" w:rsidR="008D7429" w:rsidRPr="00C7665D" w:rsidRDefault="008D7429" w:rsidP="008D7429">
            <w:pPr>
              <w:rPr>
                <w:rStyle w:val="IntenseReference"/>
                <w:color w:val="auto"/>
              </w:rPr>
            </w:pPr>
            <w:r w:rsidRPr="00C7665D">
              <w:rPr>
                <w:rStyle w:val="IntenseReference"/>
                <w:color w:val="auto"/>
              </w:rPr>
              <w:t>LTMP</w:t>
            </w:r>
          </w:p>
        </w:tc>
        <w:tc>
          <w:tcPr>
            <w:tcW w:w="414" w:type="dxa"/>
          </w:tcPr>
          <w:p w14:paraId="661C9E6A"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2F62365" w14:textId="77777777" w:rsidR="008D7429" w:rsidRPr="00C7665D" w:rsidRDefault="008D7429" w:rsidP="008D7429">
            <w:pPr>
              <w:rPr>
                <w:rFonts w:ascii="Arial Narrow" w:hAnsi="Arial Narrow" w:cs="Arial"/>
                <w:szCs w:val="22"/>
              </w:rPr>
            </w:pPr>
          </w:p>
        </w:tc>
        <w:tc>
          <w:tcPr>
            <w:tcW w:w="414" w:type="dxa"/>
          </w:tcPr>
          <w:p w14:paraId="67B8C031"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35B20439" w14:textId="77777777" w:rsidR="008D7429" w:rsidRPr="00C7665D" w:rsidRDefault="008D7429" w:rsidP="008D7429">
            <w:pPr>
              <w:rPr>
                <w:rFonts w:ascii="Arial Narrow" w:hAnsi="Arial Narrow" w:cs="Arial"/>
                <w:szCs w:val="22"/>
              </w:rPr>
            </w:pPr>
          </w:p>
        </w:tc>
        <w:tc>
          <w:tcPr>
            <w:tcW w:w="414" w:type="dxa"/>
          </w:tcPr>
          <w:p w14:paraId="0958D22E"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F83EF86" w14:textId="77777777" w:rsidR="008D7429" w:rsidRPr="00C7665D" w:rsidRDefault="008D7429" w:rsidP="008D7429">
            <w:pPr>
              <w:rPr>
                <w:rFonts w:ascii="Arial Narrow" w:hAnsi="Arial Narrow" w:cs="Arial"/>
                <w:szCs w:val="22"/>
              </w:rPr>
            </w:pPr>
          </w:p>
        </w:tc>
        <w:tc>
          <w:tcPr>
            <w:tcW w:w="415" w:type="dxa"/>
          </w:tcPr>
          <w:p w14:paraId="7388C61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1243519" w14:textId="77777777" w:rsidR="008D7429" w:rsidRPr="00C7665D" w:rsidRDefault="008D7429" w:rsidP="008D7429">
            <w:pPr>
              <w:rPr>
                <w:rFonts w:ascii="Arial Narrow" w:hAnsi="Arial Narrow" w:cs="Arial"/>
                <w:szCs w:val="22"/>
              </w:rPr>
            </w:pPr>
          </w:p>
        </w:tc>
        <w:tc>
          <w:tcPr>
            <w:tcW w:w="414" w:type="dxa"/>
          </w:tcPr>
          <w:p w14:paraId="4515EAB4"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74D9E76F" w14:textId="77777777" w:rsidR="008D7429" w:rsidRPr="00C7665D" w:rsidRDefault="008D7429" w:rsidP="008D7429">
            <w:pPr>
              <w:rPr>
                <w:rFonts w:ascii="Arial Narrow" w:hAnsi="Arial Narrow" w:cs="Arial"/>
                <w:szCs w:val="22"/>
              </w:rPr>
            </w:pPr>
          </w:p>
        </w:tc>
        <w:tc>
          <w:tcPr>
            <w:tcW w:w="414" w:type="dxa"/>
          </w:tcPr>
          <w:p w14:paraId="66908AA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52250AB4" w14:textId="77777777" w:rsidR="008D7429" w:rsidRPr="00C7665D" w:rsidRDefault="008D7429" w:rsidP="008D7429">
            <w:pPr>
              <w:rPr>
                <w:rFonts w:ascii="Arial Narrow" w:hAnsi="Arial Narrow" w:cs="Arial"/>
                <w:szCs w:val="22"/>
              </w:rPr>
            </w:pPr>
          </w:p>
        </w:tc>
        <w:tc>
          <w:tcPr>
            <w:tcW w:w="415" w:type="dxa"/>
          </w:tcPr>
          <w:p w14:paraId="72187EE5"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r>
      <w:tr w:rsidR="008D7429" w:rsidRPr="00C7665D" w14:paraId="108F48DD" w14:textId="77777777" w:rsidTr="004F2C1A">
        <w:tc>
          <w:tcPr>
            <w:tcW w:w="1271" w:type="dxa"/>
            <w:vMerge/>
            <w:vAlign w:val="center"/>
          </w:tcPr>
          <w:p w14:paraId="2915832C"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3955E7C8" w14:textId="77777777" w:rsidR="008D7429" w:rsidRPr="00C7665D" w:rsidRDefault="008D7429" w:rsidP="008D7429">
            <w:pPr>
              <w:rPr>
                <w:rStyle w:val="IntenseReference"/>
                <w:color w:val="auto"/>
              </w:rPr>
            </w:pPr>
            <w:r w:rsidRPr="00C7665D">
              <w:rPr>
                <w:rStyle w:val="IntenseReference"/>
                <w:color w:val="auto"/>
              </w:rPr>
              <w:t>Hayman</w:t>
            </w:r>
          </w:p>
        </w:tc>
        <w:tc>
          <w:tcPr>
            <w:tcW w:w="567" w:type="dxa"/>
            <w:tcMar>
              <w:left w:w="28" w:type="dxa"/>
              <w:right w:w="28" w:type="dxa"/>
            </w:tcMar>
          </w:tcPr>
          <w:p w14:paraId="2FA9B15C" w14:textId="77777777" w:rsidR="008D7429" w:rsidRPr="00C7665D" w:rsidRDefault="008D7429" w:rsidP="008D7429">
            <w:pPr>
              <w:rPr>
                <w:rStyle w:val="IntenseReference"/>
                <w:color w:val="auto"/>
              </w:rPr>
            </w:pPr>
            <w:r w:rsidRPr="00C7665D">
              <w:rPr>
                <w:rStyle w:val="IntenseReference"/>
                <w:color w:val="auto"/>
              </w:rPr>
              <w:t>LTMP</w:t>
            </w:r>
          </w:p>
        </w:tc>
        <w:tc>
          <w:tcPr>
            <w:tcW w:w="414" w:type="dxa"/>
          </w:tcPr>
          <w:p w14:paraId="1C05D7C3"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733164E" w14:textId="77777777" w:rsidR="008D7429" w:rsidRPr="00C7665D" w:rsidRDefault="008D7429" w:rsidP="008D7429">
            <w:pPr>
              <w:rPr>
                <w:rFonts w:ascii="Arial Narrow" w:hAnsi="Arial Narrow" w:cs="Arial"/>
                <w:szCs w:val="22"/>
              </w:rPr>
            </w:pPr>
          </w:p>
        </w:tc>
        <w:tc>
          <w:tcPr>
            <w:tcW w:w="414" w:type="dxa"/>
          </w:tcPr>
          <w:p w14:paraId="6DEB663B"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7ABDD29A" w14:textId="77777777" w:rsidR="008D7429" w:rsidRPr="00C7665D" w:rsidRDefault="008D7429" w:rsidP="008D7429">
            <w:pPr>
              <w:rPr>
                <w:rFonts w:ascii="Arial Narrow" w:hAnsi="Arial Narrow" w:cs="Arial"/>
                <w:szCs w:val="22"/>
              </w:rPr>
            </w:pPr>
          </w:p>
        </w:tc>
        <w:tc>
          <w:tcPr>
            <w:tcW w:w="414" w:type="dxa"/>
          </w:tcPr>
          <w:p w14:paraId="5F4550CF"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13A0093" w14:textId="77777777" w:rsidR="008D7429" w:rsidRPr="00C7665D" w:rsidRDefault="008D7429" w:rsidP="008D7429">
            <w:pPr>
              <w:rPr>
                <w:rFonts w:ascii="Arial Narrow" w:hAnsi="Arial Narrow" w:cs="Arial"/>
                <w:szCs w:val="22"/>
              </w:rPr>
            </w:pPr>
          </w:p>
        </w:tc>
        <w:tc>
          <w:tcPr>
            <w:tcW w:w="415" w:type="dxa"/>
          </w:tcPr>
          <w:p w14:paraId="2934C60B"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89E6824" w14:textId="77777777" w:rsidR="008D7429" w:rsidRPr="00C7665D" w:rsidRDefault="008D7429" w:rsidP="008D7429">
            <w:pPr>
              <w:rPr>
                <w:rFonts w:ascii="Arial Narrow" w:hAnsi="Arial Narrow" w:cs="Arial"/>
                <w:szCs w:val="22"/>
              </w:rPr>
            </w:pPr>
          </w:p>
        </w:tc>
        <w:tc>
          <w:tcPr>
            <w:tcW w:w="414" w:type="dxa"/>
          </w:tcPr>
          <w:p w14:paraId="200E11BF"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56CB9451" w14:textId="77777777" w:rsidR="008D7429" w:rsidRPr="00C7665D" w:rsidRDefault="008D7429" w:rsidP="008D7429">
            <w:pPr>
              <w:rPr>
                <w:rFonts w:ascii="Arial Narrow" w:hAnsi="Arial Narrow" w:cs="Arial"/>
                <w:szCs w:val="22"/>
              </w:rPr>
            </w:pPr>
          </w:p>
        </w:tc>
        <w:tc>
          <w:tcPr>
            <w:tcW w:w="414" w:type="dxa"/>
          </w:tcPr>
          <w:p w14:paraId="5B05CFA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8FC068C" w14:textId="77777777" w:rsidR="008D7429" w:rsidRPr="00C7665D" w:rsidRDefault="008D7429" w:rsidP="008D7429">
            <w:pPr>
              <w:rPr>
                <w:rFonts w:ascii="Arial Narrow" w:hAnsi="Arial Narrow" w:cs="Arial"/>
                <w:szCs w:val="22"/>
              </w:rPr>
            </w:pPr>
          </w:p>
        </w:tc>
        <w:tc>
          <w:tcPr>
            <w:tcW w:w="415" w:type="dxa"/>
          </w:tcPr>
          <w:p w14:paraId="4793EA4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r>
      <w:tr w:rsidR="008D7429" w:rsidRPr="00C7665D" w14:paraId="1B475E05" w14:textId="77777777" w:rsidTr="004F2C1A">
        <w:tc>
          <w:tcPr>
            <w:tcW w:w="1271" w:type="dxa"/>
            <w:vMerge/>
            <w:vAlign w:val="center"/>
          </w:tcPr>
          <w:p w14:paraId="63EAFA0F"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4887FEFF" w14:textId="77777777" w:rsidR="008D7429" w:rsidRPr="00C7665D" w:rsidRDefault="008D7429" w:rsidP="008D7429">
            <w:pPr>
              <w:rPr>
                <w:rStyle w:val="IntenseReference"/>
                <w:color w:val="auto"/>
              </w:rPr>
            </w:pPr>
            <w:r w:rsidRPr="00C7665D">
              <w:rPr>
                <w:rStyle w:val="IntenseReference"/>
                <w:color w:val="auto"/>
              </w:rPr>
              <w:t>Border</w:t>
            </w:r>
          </w:p>
        </w:tc>
        <w:tc>
          <w:tcPr>
            <w:tcW w:w="567" w:type="dxa"/>
            <w:tcMar>
              <w:left w:w="28" w:type="dxa"/>
              <w:right w:w="28" w:type="dxa"/>
            </w:tcMar>
          </w:tcPr>
          <w:p w14:paraId="244E458B" w14:textId="77777777" w:rsidR="008D7429" w:rsidRPr="00C7665D" w:rsidRDefault="008D7429" w:rsidP="008D7429">
            <w:pPr>
              <w:rPr>
                <w:rStyle w:val="IntenseReference"/>
                <w:color w:val="auto"/>
              </w:rPr>
            </w:pPr>
            <w:r w:rsidRPr="00C7665D">
              <w:rPr>
                <w:rStyle w:val="IntenseReference"/>
                <w:color w:val="auto"/>
              </w:rPr>
              <w:t>LTMP</w:t>
            </w:r>
          </w:p>
        </w:tc>
        <w:tc>
          <w:tcPr>
            <w:tcW w:w="414" w:type="dxa"/>
          </w:tcPr>
          <w:p w14:paraId="69CEB53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A0B0960" w14:textId="77777777" w:rsidR="008D7429" w:rsidRPr="00C7665D" w:rsidRDefault="008D7429" w:rsidP="008D7429">
            <w:pPr>
              <w:rPr>
                <w:rFonts w:ascii="Arial Narrow" w:hAnsi="Arial Narrow" w:cs="Arial"/>
                <w:szCs w:val="22"/>
              </w:rPr>
            </w:pPr>
          </w:p>
        </w:tc>
        <w:tc>
          <w:tcPr>
            <w:tcW w:w="414" w:type="dxa"/>
          </w:tcPr>
          <w:p w14:paraId="54736E2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6B55DCE7" w14:textId="77777777" w:rsidR="008D7429" w:rsidRPr="00C7665D" w:rsidRDefault="008D7429" w:rsidP="008D7429">
            <w:pPr>
              <w:rPr>
                <w:rFonts w:ascii="Arial Narrow" w:hAnsi="Arial Narrow" w:cs="Arial"/>
                <w:szCs w:val="22"/>
              </w:rPr>
            </w:pPr>
          </w:p>
        </w:tc>
        <w:tc>
          <w:tcPr>
            <w:tcW w:w="414" w:type="dxa"/>
          </w:tcPr>
          <w:p w14:paraId="58088B1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5ACCF740" w14:textId="77777777" w:rsidR="008D7429" w:rsidRPr="00C7665D" w:rsidRDefault="008D7429" w:rsidP="008D7429">
            <w:pPr>
              <w:rPr>
                <w:rFonts w:ascii="Arial Narrow" w:hAnsi="Arial Narrow" w:cs="Arial"/>
                <w:szCs w:val="22"/>
              </w:rPr>
            </w:pPr>
          </w:p>
        </w:tc>
        <w:tc>
          <w:tcPr>
            <w:tcW w:w="415" w:type="dxa"/>
          </w:tcPr>
          <w:p w14:paraId="043642CC"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0AD38D8" w14:textId="77777777" w:rsidR="008D7429" w:rsidRPr="00C7665D" w:rsidRDefault="008D7429" w:rsidP="008D7429">
            <w:pPr>
              <w:rPr>
                <w:rFonts w:ascii="Arial Narrow" w:hAnsi="Arial Narrow" w:cs="Arial"/>
                <w:szCs w:val="22"/>
              </w:rPr>
            </w:pPr>
          </w:p>
        </w:tc>
        <w:tc>
          <w:tcPr>
            <w:tcW w:w="414" w:type="dxa"/>
          </w:tcPr>
          <w:p w14:paraId="006A7ACF"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0FF5FD7E" w14:textId="77777777" w:rsidR="008D7429" w:rsidRPr="00C7665D" w:rsidRDefault="008D7429" w:rsidP="008D7429">
            <w:pPr>
              <w:rPr>
                <w:rFonts w:ascii="Arial Narrow" w:hAnsi="Arial Narrow" w:cs="Arial"/>
                <w:szCs w:val="22"/>
              </w:rPr>
            </w:pPr>
          </w:p>
        </w:tc>
        <w:tc>
          <w:tcPr>
            <w:tcW w:w="414" w:type="dxa"/>
          </w:tcPr>
          <w:p w14:paraId="6B0A774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B8EE674" w14:textId="77777777" w:rsidR="008D7429" w:rsidRPr="00C7665D" w:rsidRDefault="008D7429" w:rsidP="008D7429">
            <w:pPr>
              <w:rPr>
                <w:rFonts w:ascii="Arial Narrow" w:hAnsi="Arial Narrow" w:cs="Arial"/>
                <w:szCs w:val="22"/>
              </w:rPr>
            </w:pPr>
          </w:p>
        </w:tc>
        <w:tc>
          <w:tcPr>
            <w:tcW w:w="415" w:type="dxa"/>
          </w:tcPr>
          <w:p w14:paraId="042BB18F"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r>
      <w:tr w:rsidR="008D7429" w:rsidRPr="00C7665D" w14:paraId="4A1C3986" w14:textId="77777777" w:rsidTr="004F2C1A">
        <w:tc>
          <w:tcPr>
            <w:tcW w:w="1271" w:type="dxa"/>
            <w:vMerge/>
            <w:vAlign w:val="center"/>
          </w:tcPr>
          <w:p w14:paraId="1BEE9998"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2B872367" w14:textId="77777777" w:rsidR="008D7429" w:rsidRPr="00C7665D" w:rsidRDefault="008D7429" w:rsidP="008D7429">
            <w:pPr>
              <w:rPr>
                <w:rStyle w:val="IntenseReference"/>
                <w:color w:val="auto"/>
              </w:rPr>
            </w:pPr>
            <w:r w:rsidRPr="00C7665D">
              <w:rPr>
                <w:rStyle w:val="IntenseReference"/>
                <w:color w:val="auto"/>
              </w:rPr>
              <w:t>Double Cone (WQ)</w:t>
            </w:r>
          </w:p>
        </w:tc>
        <w:tc>
          <w:tcPr>
            <w:tcW w:w="567" w:type="dxa"/>
            <w:tcMar>
              <w:left w:w="28" w:type="dxa"/>
              <w:right w:w="28" w:type="dxa"/>
            </w:tcMar>
          </w:tcPr>
          <w:p w14:paraId="7A65EF52"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339B12E1"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5F2FFF67"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4F65FF10"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16F6F131"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1A8F9941"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11F70BC9"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4D8BE833"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B57BFA0"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405F217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1C937885"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083592F" w14:textId="77777777" w:rsidR="008D7429" w:rsidRPr="00C7665D" w:rsidRDefault="008D7429" w:rsidP="008D7429">
            <w:pPr>
              <w:rPr>
                <w:rFonts w:ascii="Arial Narrow" w:hAnsi="Arial Narrow" w:cs="Arial"/>
                <w:szCs w:val="22"/>
              </w:rPr>
            </w:pPr>
          </w:p>
        </w:tc>
        <w:tc>
          <w:tcPr>
            <w:tcW w:w="414" w:type="dxa"/>
          </w:tcPr>
          <w:p w14:paraId="2A015C3B"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113C1C74" w14:textId="77777777" w:rsidR="008D7429" w:rsidRPr="002C7DAF" w:rsidRDefault="008D7429" w:rsidP="008D7429">
            <w:pPr>
              <w:rPr>
                <w:rFonts w:ascii="Arial Narrow" w:hAnsi="Arial Narrow" w:cs="Arial"/>
                <w:b/>
                <w:szCs w:val="22"/>
              </w:rPr>
            </w:pPr>
            <w:r w:rsidRPr="002C7DAF">
              <w:rPr>
                <w:rFonts w:ascii="Arial Narrow" w:hAnsi="Arial Narrow" w:cs="Arial"/>
                <w:b/>
                <w:szCs w:val="22"/>
              </w:rPr>
              <w:t>+</w:t>
            </w:r>
          </w:p>
        </w:tc>
      </w:tr>
      <w:tr w:rsidR="008D7429" w:rsidRPr="00C7665D" w14:paraId="6D94A5C5" w14:textId="77777777" w:rsidTr="004F2C1A">
        <w:tc>
          <w:tcPr>
            <w:tcW w:w="1271" w:type="dxa"/>
            <w:vMerge/>
            <w:vAlign w:val="center"/>
          </w:tcPr>
          <w:p w14:paraId="37D7AA0A"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67A30BBC" w14:textId="77777777" w:rsidR="008D7429" w:rsidRPr="00C7665D" w:rsidRDefault="008D7429" w:rsidP="008D7429">
            <w:pPr>
              <w:rPr>
                <w:rStyle w:val="IntenseReference"/>
                <w:color w:val="auto"/>
              </w:rPr>
            </w:pPr>
            <w:r w:rsidRPr="00C7665D">
              <w:rPr>
                <w:rStyle w:val="IntenseReference"/>
                <w:color w:val="auto"/>
              </w:rPr>
              <w:t>Hook</w:t>
            </w:r>
          </w:p>
        </w:tc>
        <w:tc>
          <w:tcPr>
            <w:tcW w:w="567" w:type="dxa"/>
            <w:tcMar>
              <w:left w:w="28" w:type="dxa"/>
              <w:right w:w="28" w:type="dxa"/>
            </w:tcMar>
          </w:tcPr>
          <w:p w14:paraId="75061DC9"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06B196D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5F48275"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03D9FDD" w14:textId="77777777" w:rsidR="008D7429" w:rsidRPr="00C7665D" w:rsidRDefault="008D7429" w:rsidP="008D7429">
            <w:pPr>
              <w:rPr>
                <w:rFonts w:ascii="Arial Narrow" w:hAnsi="Arial Narrow" w:cs="Arial"/>
                <w:szCs w:val="22"/>
              </w:rPr>
            </w:pPr>
          </w:p>
        </w:tc>
        <w:tc>
          <w:tcPr>
            <w:tcW w:w="415" w:type="dxa"/>
          </w:tcPr>
          <w:p w14:paraId="072AC791"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F36B6E8" w14:textId="77777777" w:rsidR="008D7429" w:rsidRPr="00C7665D" w:rsidRDefault="008D7429" w:rsidP="008D7429">
            <w:pPr>
              <w:rPr>
                <w:rFonts w:ascii="Arial Narrow" w:hAnsi="Arial Narrow" w:cs="Arial"/>
                <w:szCs w:val="22"/>
              </w:rPr>
            </w:pPr>
          </w:p>
        </w:tc>
        <w:tc>
          <w:tcPr>
            <w:tcW w:w="414" w:type="dxa"/>
          </w:tcPr>
          <w:p w14:paraId="4113A2B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29564EC7" w14:textId="77777777" w:rsidR="008D7429" w:rsidRPr="00C7665D" w:rsidRDefault="008D7429" w:rsidP="008D7429">
            <w:pPr>
              <w:rPr>
                <w:rFonts w:ascii="Arial Narrow" w:hAnsi="Arial Narrow" w:cs="Arial"/>
                <w:szCs w:val="22"/>
              </w:rPr>
            </w:pPr>
          </w:p>
        </w:tc>
        <w:tc>
          <w:tcPr>
            <w:tcW w:w="414" w:type="dxa"/>
          </w:tcPr>
          <w:p w14:paraId="6F18EB47"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A06EB78" w14:textId="77777777" w:rsidR="008D7429" w:rsidRPr="00C7665D" w:rsidRDefault="008D7429" w:rsidP="008D7429">
            <w:pPr>
              <w:rPr>
                <w:rFonts w:ascii="Arial Narrow" w:hAnsi="Arial Narrow" w:cs="Arial"/>
                <w:szCs w:val="22"/>
              </w:rPr>
            </w:pPr>
          </w:p>
        </w:tc>
        <w:tc>
          <w:tcPr>
            <w:tcW w:w="415" w:type="dxa"/>
          </w:tcPr>
          <w:p w14:paraId="66842AF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772284A" w14:textId="77777777" w:rsidR="008D7429" w:rsidRPr="00C7665D" w:rsidRDefault="008D7429" w:rsidP="008D7429">
            <w:pPr>
              <w:rPr>
                <w:rFonts w:ascii="Arial Narrow" w:hAnsi="Arial Narrow" w:cs="Arial"/>
                <w:szCs w:val="22"/>
              </w:rPr>
            </w:pPr>
          </w:p>
        </w:tc>
        <w:tc>
          <w:tcPr>
            <w:tcW w:w="414" w:type="dxa"/>
          </w:tcPr>
          <w:p w14:paraId="71808CC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6BA6804B" w14:textId="77777777" w:rsidR="008D7429" w:rsidRPr="00C7665D" w:rsidRDefault="008D7429" w:rsidP="008D7429">
            <w:pPr>
              <w:rPr>
                <w:rFonts w:ascii="Arial Narrow" w:hAnsi="Arial Narrow" w:cs="Arial"/>
                <w:szCs w:val="22"/>
              </w:rPr>
            </w:pPr>
          </w:p>
        </w:tc>
      </w:tr>
      <w:tr w:rsidR="008D7429" w:rsidRPr="00C7665D" w14:paraId="5EC06C60" w14:textId="77777777" w:rsidTr="004F2C1A">
        <w:tc>
          <w:tcPr>
            <w:tcW w:w="1271" w:type="dxa"/>
            <w:vMerge/>
            <w:vAlign w:val="center"/>
          </w:tcPr>
          <w:p w14:paraId="7AA85F63"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28605DAA" w14:textId="77777777" w:rsidR="008D7429" w:rsidRPr="00C7665D" w:rsidRDefault="008D7429" w:rsidP="008D7429">
            <w:pPr>
              <w:rPr>
                <w:rStyle w:val="IntenseReference"/>
                <w:color w:val="auto"/>
              </w:rPr>
            </w:pPr>
            <w:r w:rsidRPr="00C7665D">
              <w:rPr>
                <w:rStyle w:val="IntenseReference"/>
                <w:color w:val="auto"/>
              </w:rPr>
              <w:t>Daydream (WQ*)</w:t>
            </w:r>
          </w:p>
        </w:tc>
        <w:tc>
          <w:tcPr>
            <w:tcW w:w="567" w:type="dxa"/>
            <w:tcMar>
              <w:left w:w="28" w:type="dxa"/>
              <w:right w:w="28" w:type="dxa"/>
            </w:tcMar>
          </w:tcPr>
          <w:p w14:paraId="13F6109C"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61E7FFF2"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1C52C780"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EBC322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04DC9B93"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1E48F99F"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09D0A79"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53A7A942"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21538FE"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3385751"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037A9F9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1249EDB4" w14:textId="77777777" w:rsidR="008D7429" w:rsidRPr="00C7665D" w:rsidRDefault="008D7429" w:rsidP="008D7429">
            <w:pPr>
              <w:rPr>
                <w:rFonts w:ascii="Arial Narrow" w:hAnsi="Arial Narrow" w:cs="Arial"/>
                <w:szCs w:val="22"/>
              </w:rPr>
            </w:pPr>
          </w:p>
        </w:tc>
        <w:tc>
          <w:tcPr>
            <w:tcW w:w="414" w:type="dxa"/>
          </w:tcPr>
          <w:p w14:paraId="3930D78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21CA08CD" w14:textId="77777777" w:rsidR="008D7429" w:rsidRPr="002C7DAF" w:rsidRDefault="008D7429" w:rsidP="008D7429">
            <w:pPr>
              <w:rPr>
                <w:rFonts w:ascii="Arial Narrow" w:hAnsi="Arial Narrow" w:cs="Arial"/>
                <w:b/>
                <w:szCs w:val="22"/>
              </w:rPr>
            </w:pPr>
            <w:r w:rsidRPr="002C7DAF">
              <w:rPr>
                <w:rFonts w:ascii="Arial Narrow" w:hAnsi="Arial Narrow" w:cs="Arial"/>
                <w:b/>
                <w:szCs w:val="22"/>
              </w:rPr>
              <w:t>+</w:t>
            </w:r>
          </w:p>
        </w:tc>
      </w:tr>
      <w:tr w:rsidR="008D7429" w:rsidRPr="00C7665D" w14:paraId="5130E4C4" w14:textId="77777777" w:rsidTr="004F2C1A">
        <w:tc>
          <w:tcPr>
            <w:tcW w:w="1271" w:type="dxa"/>
            <w:vMerge/>
            <w:vAlign w:val="center"/>
          </w:tcPr>
          <w:p w14:paraId="170A78CB"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07C8B607" w14:textId="77777777" w:rsidR="008D7429" w:rsidRPr="00C7665D" w:rsidRDefault="008D7429" w:rsidP="008D7429">
            <w:pPr>
              <w:rPr>
                <w:rStyle w:val="IntenseReference"/>
                <w:color w:val="auto"/>
              </w:rPr>
            </w:pPr>
            <w:r w:rsidRPr="00C7665D">
              <w:rPr>
                <w:rStyle w:val="IntenseReference"/>
                <w:color w:val="auto"/>
              </w:rPr>
              <w:t>Shute Harbour</w:t>
            </w:r>
          </w:p>
        </w:tc>
        <w:tc>
          <w:tcPr>
            <w:tcW w:w="567" w:type="dxa"/>
            <w:tcMar>
              <w:left w:w="28" w:type="dxa"/>
              <w:right w:w="28" w:type="dxa"/>
            </w:tcMar>
          </w:tcPr>
          <w:p w14:paraId="39FBD973"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0DD1DF61"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4773547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E7C5D55" w14:textId="77777777" w:rsidR="008D7429" w:rsidRPr="00C7665D" w:rsidRDefault="008D7429" w:rsidP="008D7429">
            <w:pPr>
              <w:rPr>
                <w:rFonts w:ascii="Arial Narrow" w:hAnsi="Arial Narrow" w:cs="Arial"/>
                <w:szCs w:val="22"/>
              </w:rPr>
            </w:pPr>
          </w:p>
        </w:tc>
        <w:tc>
          <w:tcPr>
            <w:tcW w:w="415" w:type="dxa"/>
          </w:tcPr>
          <w:p w14:paraId="74154245"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E9C3A57" w14:textId="77777777" w:rsidR="008D7429" w:rsidRPr="00C7665D" w:rsidRDefault="008D7429" w:rsidP="008D7429">
            <w:pPr>
              <w:rPr>
                <w:rFonts w:ascii="Arial Narrow" w:hAnsi="Arial Narrow" w:cs="Arial"/>
                <w:szCs w:val="22"/>
              </w:rPr>
            </w:pPr>
          </w:p>
        </w:tc>
        <w:tc>
          <w:tcPr>
            <w:tcW w:w="414" w:type="dxa"/>
          </w:tcPr>
          <w:p w14:paraId="7A76FD62"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41E39A74" w14:textId="77777777" w:rsidR="008D7429" w:rsidRPr="00C7665D" w:rsidRDefault="008D7429" w:rsidP="008D7429">
            <w:pPr>
              <w:rPr>
                <w:rFonts w:ascii="Arial Narrow" w:hAnsi="Arial Narrow" w:cs="Arial"/>
                <w:szCs w:val="22"/>
              </w:rPr>
            </w:pPr>
          </w:p>
        </w:tc>
        <w:tc>
          <w:tcPr>
            <w:tcW w:w="414" w:type="dxa"/>
          </w:tcPr>
          <w:p w14:paraId="53A925B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1B199615" w14:textId="77777777" w:rsidR="008D7429" w:rsidRPr="00C7665D" w:rsidRDefault="008D7429" w:rsidP="008D7429">
            <w:pPr>
              <w:rPr>
                <w:rFonts w:ascii="Arial Narrow" w:hAnsi="Arial Narrow" w:cs="Arial"/>
                <w:szCs w:val="22"/>
              </w:rPr>
            </w:pPr>
          </w:p>
        </w:tc>
        <w:tc>
          <w:tcPr>
            <w:tcW w:w="415" w:type="dxa"/>
          </w:tcPr>
          <w:p w14:paraId="3F9F75FA"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37DC332" w14:textId="77777777" w:rsidR="008D7429" w:rsidRPr="00C7665D" w:rsidRDefault="008D7429" w:rsidP="008D7429">
            <w:pPr>
              <w:rPr>
                <w:rFonts w:ascii="Arial Narrow" w:hAnsi="Arial Narrow" w:cs="Arial"/>
                <w:szCs w:val="22"/>
              </w:rPr>
            </w:pPr>
          </w:p>
        </w:tc>
        <w:tc>
          <w:tcPr>
            <w:tcW w:w="414" w:type="dxa"/>
          </w:tcPr>
          <w:p w14:paraId="6AB64B0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6E691AAA" w14:textId="77777777" w:rsidR="008D7429" w:rsidRPr="002C7DAF" w:rsidRDefault="008D7429" w:rsidP="008D7429">
            <w:pPr>
              <w:rPr>
                <w:rFonts w:ascii="Arial Narrow" w:hAnsi="Arial Narrow" w:cs="Arial"/>
                <w:b/>
                <w:szCs w:val="22"/>
              </w:rPr>
            </w:pPr>
            <w:r w:rsidRPr="002C7DAF">
              <w:rPr>
                <w:rFonts w:ascii="Arial Narrow" w:hAnsi="Arial Narrow" w:cs="Arial"/>
                <w:b/>
                <w:szCs w:val="22"/>
              </w:rPr>
              <w:t>+</w:t>
            </w:r>
          </w:p>
        </w:tc>
      </w:tr>
      <w:tr w:rsidR="008D7429" w:rsidRPr="00C7665D" w14:paraId="73C2D8B3" w14:textId="77777777" w:rsidTr="004F2C1A">
        <w:tc>
          <w:tcPr>
            <w:tcW w:w="1271" w:type="dxa"/>
            <w:vMerge/>
            <w:vAlign w:val="center"/>
          </w:tcPr>
          <w:p w14:paraId="5BC51A87"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33979964" w14:textId="77777777" w:rsidR="008D7429" w:rsidRPr="00C7665D" w:rsidRDefault="008D7429" w:rsidP="008D7429">
            <w:pPr>
              <w:rPr>
                <w:rStyle w:val="IntenseReference"/>
                <w:color w:val="auto"/>
              </w:rPr>
            </w:pPr>
            <w:r w:rsidRPr="00C7665D">
              <w:rPr>
                <w:rStyle w:val="IntenseReference"/>
                <w:color w:val="auto"/>
              </w:rPr>
              <w:t>Dent</w:t>
            </w:r>
          </w:p>
        </w:tc>
        <w:tc>
          <w:tcPr>
            <w:tcW w:w="567" w:type="dxa"/>
            <w:tcMar>
              <w:left w:w="28" w:type="dxa"/>
              <w:right w:w="28" w:type="dxa"/>
            </w:tcMar>
          </w:tcPr>
          <w:p w14:paraId="59E45DD4"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28F07951"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C6AD019"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18BE275A"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51F85A1F" w14:textId="77777777" w:rsidR="008D7429" w:rsidRPr="00C7665D" w:rsidRDefault="008D7429" w:rsidP="008D7429">
            <w:pPr>
              <w:rPr>
                <w:rFonts w:ascii="Arial Narrow" w:hAnsi="Arial Narrow" w:cs="Arial"/>
                <w:szCs w:val="22"/>
              </w:rPr>
            </w:pPr>
          </w:p>
        </w:tc>
        <w:tc>
          <w:tcPr>
            <w:tcW w:w="414" w:type="dxa"/>
          </w:tcPr>
          <w:p w14:paraId="3FA63A7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71DD3F3" w14:textId="77777777" w:rsidR="008D7429" w:rsidRPr="00C7665D" w:rsidRDefault="008D7429" w:rsidP="008D7429">
            <w:pPr>
              <w:rPr>
                <w:rFonts w:ascii="Arial Narrow" w:hAnsi="Arial Narrow" w:cs="Arial"/>
                <w:szCs w:val="22"/>
              </w:rPr>
            </w:pPr>
          </w:p>
        </w:tc>
        <w:tc>
          <w:tcPr>
            <w:tcW w:w="415" w:type="dxa"/>
          </w:tcPr>
          <w:p w14:paraId="7E59009E"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779AA74" w14:textId="77777777" w:rsidR="008D7429" w:rsidRPr="00C7665D" w:rsidRDefault="008D7429" w:rsidP="008D7429">
            <w:pPr>
              <w:rPr>
                <w:rFonts w:ascii="Arial Narrow" w:hAnsi="Arial Narrow" w:cs="Arial"/>
                <w:szCs w:val="22"/>
              </w:rPr>
            </w:pPr>
          </w:p>
        </w:tc>
        <w:tc>
          <w:tcPr>
            <w:tcW w:w="414" w:type="dxa"/>
          </w:tcPr>
          <w:p w14:paraId="518D041F"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29E40D41" w14:textId="77777777" w:rsidR="008D7429" w:rsidRPr="00C7665D" w:rsidRDefault="008D7429" w:rsidP="008D7429">
            <w:pPr>
              <w:rPr>
                <w:rFonts w:ascii="Arial Narrow" w:hAnsi="Arial Narrow" w:cs="Arial"/>
                <w:szCs w:val="22"/>
              </w:rPr>
            </w:pPr>
          </w:p>
        </w:tc>
        <w:tc>
          <w:tcPr>
            <w:tcW w:w="414" w:type="dxa"/>
          </w:tcPr>
          <w:p w14:paraId="2CDD30FC"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CACFA21" w14:textId="77777777" w:rsidR="008D7429" w:rsidRPr="00C7665D" w:rsidRDefault="008D7429" w:rsidP="008D7429">
            <w:pPr>
              <w:rPr>
                <w:rFonts w:ascii="Arial Narrow" w:hAnsi="Arial Narrow" w:cs="Arial"/>
                <w:szCs w:val="22"/>
              </w:rPr>
            </w:pPr>
          </w:p>
        </w:tc>
        <w:tc>
          <w:tcPr>
            <w:tcW w:w="415" w:type="dxa"/>
          </w:tcPr>
          <w:p w14:paraId="5304A1DF"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r>
      <w:tr w:rsidR="008D7429" w:rsidRPr="00C7665D" w14:paraId="4B088F03" w14:textId="77777777" w:rsidTr="004F2C1A">
        <w:tc>
          <w:tcPr>
            <w:tcW w:w="1271" w:type="dxa"/>
            <w:vMerge/>
            <w:vAlign w:val="center"/>
          </w:tcPr>
          <w:p w14:paraId="1500526D"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4866DBC4" w14:textId="77777777" w:rsidR="008D7429" w:rsidRPr="00C7665D" w:rsidRDefault="008D7429" w:rsidP="008D7429">
            <w:pPr>
              <w:rPr>
                <w:rStyle w:val="IntenseReference"/>
                <w:color w:val="auto"/>
              </w:rPr>
            </w:pPr>
            <w:r w:rsidRPr="00C7665D">
              <w:rPr>
                <w:rStyle w:val="IntenseReference"/>
                <w:color w:val="auto"/>
              </w:rPr>
              <w:t>Pine (WQ)</w:t>
            </w:r>
          </w:p>
        </w:tc>
        <w:tc>
          <w:tcPr>
            <w:tcW w:w="567" w:type="dxa"/>
            <w:tcMar>
              <w:left w:w="28" w:type="dxa"/>
              <w:right w:w="28" w:type="dxa"/>
            </w:tcMar>
          </w:tcPr>
          <w:p w14:paraId="2D09C293"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6A7A491B"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0538A7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4FF4DD03"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7FCFA2D0"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5BA606E3"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B632017"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74D2BBD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537DFF40"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3B61EBB"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1CC5B5AA"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7D70A6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FB714D8" w14:textId="77777777" w:rsidR="008D7429" w:rsidRPr="00C7665D" w:rsidRDefault="008D7429" w:rsidP="008D7429">
            <w:pPr>
              <w:rPr>
                <w:rFonts w:ascii="Arial Narrow" w:hAnsi="Arial Narrow" w:cs="Arial"/>
                <w:szCs w:val="22"/>
              </w:rPr>
            </w:pPr>
          </w:p>
        </w:tc>
        <w:tc>
          <w:tcPr>
            <w:tcW w:w="415" w:type="dxa"/>
          </w:tcPr>
          <w:p w14:paraId="6DA76CDF"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r>
      <w:tr w:rsidR="008D7429" w:rsidRPr="00C7665D" w14:paraId="4F7ECC68" w14:textId="77777777" w:rsidTr="004F2C1A">
        <w:tc>
          <w:tcPr>
            <w:tcW w:w="1271" w:type="dxa"/>
            <w:vMerge/>
            <w:vAlign w:val="center"/>
          </w:tcPr>
          <w:p w14:paraId="2263446D" w14:textId="77777777" w:rsidR="008D7429" w:rsidRPr="00C7665D" w:rsidRDefault="008D7429" w:rsidP="008D7429">
            <w:pPr>
              <w:jc w:val="center"/>
              <w:rPr>
                <w:rStyle w:val="IntenseReference"/>
                <w:color w:val="auto"/>
              </w:rPr>
            </w:pPr>
          </w:p>
        </w:tc>
        <w:tc>
          <w:tcPr>
            <w:tcW w:w="1843" w:type="dxa"/>
            <w:tcMar>
              <w:left w:w="28" w:type="dxa"/>
              <w:right w:w="28" w:type="dxa"/>
            </w:tcMar>
            <w:vAlign w:val="bottom"/>
          </w:tcPr>
          <w:p w14:paraId="5544D75F" w14:textId="77777777" w:rsidR="008D7429" w:rsidRPr="00C7665D" w:rsidRDefault="008D7429" w:rsidP="008D7429">
            <w:pPr>
              <w:rPr>
                <w:rStyle w:val="IntenseReference"/>
                <w:color w:val="auto"/>
              </w:rPr>
            </w:pPr>
            <w:r w:rsidRPr="00C7665D">
              <w:rPr>
                <w:rStyle w:val="IntenseReference"/>
                <w:color w:val="auto"/>
              </w:rPr>
              <w:t>Seaforth (WQ**)</w:t>
            </w:r>
          </w:p>
        </w:tc>
        <w:tc>
          <w:tcPr>
            <w:tcW w:w="567" w:type="dxa"/>
            <w:tcMar>
              <w:left w:w="28" w:type="dxa"/>
              <w:right w:w="28" w:type="dxa"/>
            </w:tcMar>
          </w:tcPr>
          <w:p w14:paraId="4D07462E"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2B1C376B"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486BC24"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FEC9AB9"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62F8AFE7" w14:textId="77777777" w:rsidR="008D7429" w:rsidRPr="00C7665D" w:rsidRDefault="008D7429" w:rsidP="008D7429">
            <w:pPr>
              <w:rPr>
                <w:rFonts w:ascii="Arial Narrow" w:hAnsi="Arial Narrow" w:cs="Arial"/>
                <w:szCs w:val="22"/>
              </w:rPr>
            </w:pPr>
          </w:p>
        </w:tc>
        <w:tc>
          <w:tcPr>
            <w:tcW w:w="414" w:type="dxa"/>
          </w:tcPr>
          <w:p w14:paraId="79812521"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A7A58A0" w14:textId="77777777" w:rsidR="008D7429" w:rsidRPr="00C7665D" w:rsidRDefault="008D7429" w:rsidP="008D7429">
            <w:pPr>
              <w:rPr>
                <w:rFonts w:ascii="Arial Narrow" w:hAnsi="Arial Narrow" w:cs="Arial"/>
                <w:szCs w:val="22"/>
              </w:rPr>
            </w:pPr>
          </w:p>
        </w:tc>
        <w:tc>
          <w:tcPr>
            <w:tcW w:w="415" w:type="dxa"/>
          </w:tcPr>
          <w:p w14:paraId="72A6D2DB"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4F40882" w14:textId="77777777" w:rsidR="008D7429" w:rsidRPr="00C7665D" w:rsidRDefault="008D7429" w:rsidP="008D7429">
            <w:pPr>
              <w:rPr>
                <w:rFonts w:ascii="Arial Narrow" w:hAnsi="Arial Narrow" w:cs="Arial"/>
                <w:szCs w:val="22"/>
              </w:rPr>
            </w:pPr>
          </w:p>
        </w:tc>
        <w:tc>
          <w:tcPr>
            <w:tcW w:w="414" w:type="dxa"/>
          </w:tcPr>
          <w:p w14:paraId="20F71AE7"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42CFC1D2" w14:textId="77777777" w:rsidR="008D7429" w:rsidRPr="00C7665D" w:rsidRDefault="008D7429" w:rsidP="008D7429">
            <w:pPr>
              <w:rPr>
                <w:rFonts w:ascii="Arial Narrow" w:hAnsi="Arial Narrow" w:cs="Arial"/>
                <w:szCs w:val="22"/>
              </w:rPr>
            </w:pPr>
          </w:p>
        </w:tc>
        <w:tc>
          <w:tcPr>
            <w:tcW w:w="414" w:type="dxa"/>
          </w:tcPr>
          <w:p w14:paraId="374B6E14"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3CAD878" w14:textId="77777777" w:rsidR="008D7429" w:rsidRPr="00C7665D" w:rsidRDefault="008D7429" w:rsidP="008D7429">
            <w:pPr>
              <w:rPr>
                <w:rFonts w:ascii="Arial Narrow" w:hAnsi="Arial Narrow" w:cs="Arial"/>
                <w:szCs w:val="22"/>
              </w:rPr>
            </w:pPr>
          </w:p>
        </w:tc>
        <w:tc>
          <w:tcPr>
            <w:tcW w:w="415" w:type="dxa"/>
          </w:tcPr>
          <w:p w14:paraId="77DF6050"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r>
      <w:tr w:rsidR="008D7429" w:rsidRPr="00C7665D" w14:paraId="3308B653" w14:textId="77777777" w:rsidTr="004F2C1A">
        <w:tc>
          <w:tcPr>
            <w:tcW w:w="1271" w:type="dxa"/>
            <w:vMerge w:val="restart"/>
            <w:tcMar>
              <w:left w:w="57" w:type="dxa"/>
              <w:right w:w="57" w:type="dxa"/>
            </w:tcMar>
            <w:vAlign w:val="center"/>
          </w:tcPr>
          <w:p w14:paraId="4E74889F" w14:textId="77777777" w:rsidR="008D7429" w:rsidRPr="00C7665D" w:rsidRDefault="008D7429" w:rsidP="008D7429">
            <w:pPr>
              <w:jc w:val="center"/>
              <w:rPr>
                <w:rStyle w:val="IntenseReference"/>
                <w:color w:val="auto"/>
              </w:rPr>
            </w:pPr>
            <w:r w:rsidRPr="00C7665D">
              <w:rPr>
                <w:rStyle w:val="IntenseReference"/>
                <w:color w:val="auto"/>
              </w:rPr>
              <w:t>Fitzroy</w:t>
            </w:r>
          </w:p>
          <w:p w14:paraId="67AA299B" w14:textId="77777777" w:rsidR="008D7429" w:rsidRPr="00C7665D" w:rsidRDefault="008D7429" w:rsidP="008D7429">
            <w:pPr>
              <w:rPr>
                <w:rFonts w:ascii="Arial Narrow" w:hAnsi="Arial Narrow"/>
              </w:rPr>
            </w:pPr>
          </w:p>
          <w:p w14:paraId="060B0417" w14:textId="77777777" w:rsidR="008D7429" w:rsidRPr="00C7665D" w:rsidRDefault="008D7429" w:rsidP="008D7429">
            <w:pPr>
              <w:rPr>
                <w:rFonts w:ascii="Arial Narrow" w:hAnsi="Arial Narrow"/>
              </w:rPr>
            </w:pPr>
          </w:p>
        </w:tc>
        <w:tc>
          <w:tcPr>
            <w:tcW w:w="1843" w:type="dxa"/>
            <w:tcMar>
              <w:left w:w="28" w:type="dxa"/>
              <w:right w:w="28" w:type="dxa"/>
            </w:tcMar>
            <w:vAlign w:val="bottom"/>
          </w:tcPr>
          <w:p w14:paraId="6FA8A598" w14:textId="77777777" w:rsidR="008D7429" w:rsidRPr="00C7665D" w:rsidRDefault="008D7429" w:rsidP="008D7429">
            <w:pPr>
              <w:rPr>
                <w:rStyle w:val="IntenseReference"/>
                <w:color w:val="auto"/>
              </w:rPr>
            </w:pPr>
            <w:r w:rsidRPr="00C7665D">
              <w:rPr>
                <w:rStyle w:val="IntenseReference"/>
                <w:color w:val="auto"/>
              </w:rPr>
              <w:t>North Keppel</w:t>
            </w:r>
          </w:p>
        </w:tc>
        <w:tc>
          <w:tcPr>
            <w:tcW w:w="567" w:type="dxa"/>
            <w:tcMar>
              <w:left w:w="28" w:type="dxa"/>
              <w:right w:w="28" w:type="dxa"/>
            </w:tcMar>
          </w:tcPr>
          <w:p w14:paraId="33E59DBF"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0AE1870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905B47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AE9176A"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1B3423B6" w14:textId="77777777" w:rsidR="008D7429" w:rsidRPr="00C7665D" w:rsidRDefault="008D7429" w:rsidP="008D7429">
            <w:pPr>
              <w:rPr>
                <w:rFonts w:ascii="Arial Narrow" w:hAnsi="Arial Narrow" w:cs="Arial"/>
                <w:szCs w:val="22"/>
              </w:rPr>
            </w:pPr>
          </w:p>
        </w:tc>
        <w:tc>
          <w:tcPr>
            <w:tcW w:w="414" w:type="dxa"/>
          </w:tcPr>
          <w:p w14:paraId="3A4ACDAA"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2C0D6B6" w14:textId="77777777" w:rsidR="008D7429" w:rsidRPr="00C7665D" w:rsidRDefault="008D7429" w:rsidP="008D7429">
            <w:pPr>
              <w:rPr>
                <w:rFonts w:ascii="Arial Narrow" w:hAnsi="Arial Narrow" w:cs="Arial"/>
                <w:szCs w:val="22"/>
              </w:rPr>
            </w:pPr>
          </w:p>
        </w:tc>
        <w:tc>
          <w:tcPr>
            <w:tcW w:w="415" w:type="dxa"/>
          </w:tcPr>
          <w:p w14:paraId="1AF9E9CC"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08AFD3F" w14:textId="77777777" w:rsidR="008D7429" w:rsidRPr="00C7665D" w:rsidRDefault="008D7429" w:rsidP="008D7429">
            <w:pPr>
              <w:rPr>
                <w:rFonts w:ascii="Arial Narrow" w:hAnsi="Arial Narrow" w:cs="Arial"/>
                <w:szCs w:val="22"/>
              </w:rPr>
            </w:pPr>
          </w:p>
        </w:tc>
        <w:tc>
          <w:tcPr>
            <w:tcW w:w="414" w:type="dxa"/>
          </w:tcPr>
          <w:p w14:paraId="6F220DF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087E796D" w14:textId="77777777" w:rsidR="008D7429" w:rsidRPr="00C7665D" w:rsidRDefault="008D7429" w:rsidP="008D7429">
            <w:pPr>
              <w:rPr>
                <w:rFonts w:ascii="Arial Narrow" w:hAnsi="Arial Narrow" w:cs="Arial"/>
                <w:szCs w:val="22"/>
              </w:rPr>
            </w:pPr>
            <w:r w:rsidRPr="00C7665D">
              <w:rPr>
                <w:rFonts w:ascii="Arial Narrow" w:hAnsi="Arial Narrow" w:cs="Arial"/>
                <w:b/>
                <w:szCs w:val="22"/>
              </w:rPr>
              <w:t>+</w:t>
            </w:r>
          </w:p>
        </w:tc>
        <w:tc>
          <w:tcPr>
            <w:tcW w:w="414" w:type="dxa"/>
          </w:tcPr>
          <w:p w14:paraId="77050E8E"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180C5420" w14:textId="77777777" w:rsidR="008D7429" w:rsidRPr="00C7665D" w:rsidRDefault="008D7429" w:rsidP="008D7429">
            <w:pPr>
              <w:rPr>
                <w:rFonts w:ascii="Arial Narrow" w:hAnsi="Arial Narrow" w:cs="Arial"/>
                <w:szCs w:val="22"/>
              </w:rPr>
            </w:pPr>
          </w:p>
        </w:tc>
        <w:tc>
          <w:tcPr>
            <w:tcW w:w="415" w:type="dxa"/>
          </w:tcPr>
          <w:p w14:paraId="2C0410E4"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r>
      <w:tr w:rsidR="008D7429" w:rsidRPr="00C7665D" w14:paraId="4C8E9FAC" w14:textId="77777777" w:rsidTr="004F2C1A">
        <w:tc>
          <w:tcPr>
            <w:tcW w:w="1271" w:type="dxa"/>
            <w:vMerge/>
          </w:tcPr>
          <w:p w14:paraId="70474A2B" w14:textId="77777777" w:rsidR="008D7429" w:rsidRPr="00C7665D" w:rsidRDefault="008D7429" w:rsidP="008D7429">
            <w:pPr>
              <w:rPr>
                <w:rStyle w:val="IntenseReference"/>
                <w:color w:val="auto"/>
              </w:rPr>
            </w:pPr>
          </w:p>
        </w:tc>
        <w:tc>
          <w:tcPr>
            <w:tcW w:w="1843" w:type="dxa"/>
            <w:tcMar>
              <w:left w:w="28" w:type="dxa"/>
              <w:right w:w="28" w:type="dxa"/>
            </w:tcMar>
            <w:vAlign w:val="bottom"/>
          </w:tcPr>
          <w:p w14:paraId="79F5406A" w14:textId="77777777" w:rsidR="008D7429" w:rsidRPr="00C7665D" w:rsidRDefault="008D7429" w:rsidP="008D7429">
            <w:pPr>
              <w:rPr>
                <w:rStyle w:val="IntenseReference"/>
                <w:color w:val="auto"/>
              </w:rPr>
            </w:pPr>
            <w:r w:rsidRPr="00C7665D">
              <w:rPr>
                <w:rStyle w:val="IntenseReference"/>
                <w:color w:val="auto"/>
              </w:rPr>
              <w:t>Middle</w:t>
            </w:r>
          </w:p>
        </w:tc>
        <w:tc>
          <w:tcPr>
            <w:tcW w:w="567" w:type="dxa"/>
            <w:tcMar>
              <w:left w:w="28" w:type="dxa"/>
              <w:right w:w="28" w:type="dxa"/>
            </w:tcMar>
          </w:tcPr>
          <w:p w14:paraId="50B518D2"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4E8602EF"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62B7214"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4BC42848" w14:textId="77777777" w:rsidR="008D7429" w:rsidRPr="00C7665D" w:rsidRDefault="008D7429" w:rsidP="008D7429">
            <w:pPr>
              <w:rPr>
                <w:rFonts w:ascii="Arial Narrow" w:hAnsi="Arial Narrow" w:cs="Arial"/>
                <w:szCs w:val="22"/>
              </w:rPr>
            </w:pPr>
          </w:p>
        </w:tc>
        <w:tc>
          <w:tcPr>
            <w:tcW w:w="415" w:type="dxa"/>
          </w:tcPr>
          <w:p w14:paraId="3F4A22C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1A251738" w14:textId="77777777" w:rsidR="008D7429" w:rsidRPr="00C7665D" w:rsidRDefault="008D7429" w:rsidP="008D7429">
            <w:pPr>
              <w:rPr>
                <w:rFonts w:ascii="Arial Narrow" w:hAnsi="Arial Narrow" w:cs="Arial"/>
                <w:szCs w:val="22"/>
              </w:rPr>
            </w:pPr>
          </w:p>
        </w:tc>
        <w:tc>
          <w:tcPr>
            <w:tcW w:w="414" w:type="dxa"/>
          </w:tcPr>
          <w:p w14:paraId="1BF87A8A"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2681C6A4" w14:textId="77777777" w:rsidR="008D7429" w:rsidRPr="00C7665D" w:rsidRDefault="008D7429" w:rsidP="008D7429">
            <w:pPr>
              <w:rPr>
                <w:rFonts w:ascii="Arial Narrow" w:hAnsi="Arial Narrow" w:cs="Arial"/>
                <w:szCs w:val="22"/>
              </w:rPr>
            </w:pPr>
          </w:p>
        </w:tc>
        <w:tc>
          <w:tcPr>
            <w:tcW w:w="414" w:type="dxa"/>
          </w:tcPr>
          <w:p w14:paraId="5BAE587E"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4A85CE96" w14:textId="77777777" w:rsidR="008D7429" w:rsidRPr="00C7665D" w:rsidRDefault="008D7429" w:rsidP="008D7429">
            <w:pPr>
              <w:rPr>
                <w:rFonts w:ascii="Arial Narrow" w:hAnsi="Arial Narrow" w:cs="Arial"/>
                <w:szCs w:val="22"/>
              </w:rPr>
            </w:pPr>
          </w:p>
        </w:tc>
        <w:tc>
          <w:tcPr>
            <w:tcW w:w="415" w:type="dxa"/>
          </w:tcPr>
          <w:p w14:paraId="0A533127"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49164C8" w14:textId="77777777" w:rsidR="008D7429" w:rsidRPr="00C7665D" w:rsidRDefault="008D7429" w:rsidP="008D7429">
            <w:pPr>
              <w:rPr>
                <w:rFonts w:ascii="Arial Narrow" w:hAnsi="Arial Narrow" w:cs="Arial"/>
                <w:szCs w:val="22"/>
              </w:rPr>
            </w:pPr>
            <w:r w:rsidRPr="00C7665D">
              <w:rPr>
                <w:rFonts w:ascii="Arial Narrow" w:hAnsi="Arial Narrow" w:cs="Arial"/>
                <w:b/>
                <w:szCs w:val="22"/>
              </w:rPr>
              <w:t>+</w:t>
            </w:r>
          </w:p>
        </w:tc>
        <w:tc>
          <w:tcPr>
            <w:tcW w:w="414" w:type="dxa"/>
          </w:tcPr>
          <w:p w14:paraId="48D42EAA"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0F0EF9B7" w14:textId="77777777" w:rsidR="008D7429" w:rsidRPr="00C7665D" w:rsidRDefault="008D7429" w:rsidP="008D7429">
            <w:pPr>
              <w:rPr>
                <w:rFonts w:ascii="Arial Narrow" w:hAnsi="Arial Narrow" w:cs="Arial"/>
                <w:szCs w:val="22"/>
              </w:rPr>
            </w:pPr>
          </w:p>
        </w:tc>
      </w:tr>
      <w:tr w:rsidR="008D7429" w:rsidRPr="00C7665D" w14:paraId="07424022" w14:textId="77777777" w:rsidTr="004F2C1A">
        <w:tc>
          <w:tcPr>
            <w:tcW w:w="1271" w:type="dxa"/>
            <w:vMerge/>
          </w:tcPr>
          <w:p w14:paraId="16905A2F" w14:textId="77777777" w:rsidR="008D7429" w:rsidRPr="00C7665D" w:rsidRDefault="008D7429" w:rsidP="008D7429">
            <w:pPr>
              <w:rPr>
                <w:rStyle w:val="IntenseReference"/>
                <w:color w:val="auto"/>
              </w:rPr>
            </w:pPr>
          </w:p>
        </w:tc>
        <w:tc>
          <w:tcPr>
            <w:tcW w:w="1843" w:type="dxa"/>
            <w:tcMar>
              <w:left w:w="28" w:type="dxa"/>
              <w:right w:w="28" w:type="dxa"/>
            </w:tcMar>
            <w:vAlign w:val="bottom"/>
          </w:tcPr>
          <w:p w14:paraId="3AE0889A" w14:textId="77777777" w:rsidR="008D7429" w:rsidRPr="00C7665D" w:rsidRDefault="008D7429" w:rsidP="008D7429">
            <w:pPr>
              <w:rPr>
                <w:rStyle w:val="IntenseReference"/>
                <w:color w:val="auto"/>
              </w:rPr>
            </w:pPr>
            <w:r w:rsidRPr="00C7665D">
              <w:rPr>
                <w:rStyle w:val="IntenseReference"/>
                <w:color w:val="auto"/>
              </w:rPr>
              <w:t>Barren (WQ)</w:t>
            </w:r>
          </w:p>
        </w:tc>
        <w:tc>
          <w:tcPr>
            <w:tcW w:w="567" w:type="dxa"/>
            <w:tcMar>
              <w:left w:w="28" w:type="dxa"/>
              <w:right w:w="28" w:type="dxa"/>
            </w:tcMar>
          </w:tcPr>
          <w:p w14:paraId="52E55961"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43A2CB7C"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57652771"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5EA6FA42"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46DB9882"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176879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B3CC049"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14A9AA4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4BF64613"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41EB3067"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76ACAFAA"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59DBFB33"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740C9D6" w14:textId="77777777" w:rsidR="008D7429" w:rsidRPr="00C7665D" w:rsidRDefault="008D7429" w:rsidP="008D7429">
            <w:pPr>
              <w:rPr>
                <w:rFonts w:ascii="Arial Narrow" w:hAnsi="Arial Narrow" w:cs="Arial"/>
                <w:szCs w:val="22"/>
              </w:rPr>
            </w:pPr>
          </w:p>
        </w:tc>
        <w:tc>
          <w:tcPr>
            <w:tcW w:w="415" w:type="dxa"/>
          </w:tcPr>
          <w:p w14:paraId="3B8C0FA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r>
      <w:tr w:rsidR="008D7429" w:rsidRPr="00C7665D" w14:paraId="0DB2F35C" w14:textId="77777777" w:rsidTr="004F2C1A">
        <w:tc>
          <w:tcPr>
            <w:tcW w:w="1271" w:type="dxa"/>
            <w:vMerge/>
          </w:tcPr>
          <w:p w14:paraId="13A31B7E" w14:textId="77777777" w:rsidR="008D7429" w:rsidRPr="00C7665D" w:rsidRDefault="008D7429" w:rsidP="008D7429">
            <w:pPr>
              <w:rPr>
                <w:rStyle w:val="IntenseReference"/>
                <w:color w:val="auto"/>
              </w:rPr>
            </w:pPr>
          </w:p>
        </w:tc>
        <w:tc>
          <w:tcPr>
            <w:tcW w:w="1843" w:type="dxa"/>
            <w:tcMar>
              <w:left w:w="28" w:type="dxa"/>
              <w:right w:w="28" w:type="dxa"/>
            </w:tcMar>
            <w:vAlign w:val="bottom"/>
          </w:tcPr>
          <w:p w14:paraId="73625AA8" w14:textId="77777777" w:rsidR="008D7429" w:rsidRPr="00C7665D" w:rsidRDefault="008D7429" w:rsidP="008D7429">
            <w:pPr>
              <w:rPr>
                <w:rStyle w:val="IntenseReference"/>
                <w:color w:val="auto"/>
              </w:rPr>
            </w:pPr>
            <w:r w:rsidRPr="00C7665D">
              <w:rPr>
                <w:rStyle w:val="IntenseReference"/>
                <w:color w:val="auto"/>
              </w:rPr>
              <w:t>Keppels South (WQ)</w:t>
            </w:r>
          </w:p>
        </w:tc>
        <w:tc>
          <w:tcPr>
            <w:tcW w:w="567" w:type="dxa"/>
            <w:tcMar>
              <w:left w:w="28" w:type="dxa"/>
              <w:right w:w="28" w:type="dxa"/>
            </w:tcMar>
          </w:tcPr>
          <w:p w14:paraId="1F3CCD7A"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7AA39144"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008D6A3"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1E1F0BA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280EB074"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5694211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0BC7409C"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760669C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6F15C219"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30C43730"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7285FAE2"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18F6B720"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4BDC0663"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52EDF3E8" w14:textId="77777777" w:rsidR="008D7429" w:rsidRPr="002C7DAF" w:rsidRDefault="008D7429" w:rsidP="008D7429">
            <w:pPr>
              <w:rPr>
                <w:rFonts w:ascii="Arial Narrow" w:hAnsi="Arial Narrow" w:cs="Arial"/>
                <w:b/>
                <w:szCs w:val="22"/>
              </w:rPr>
            </w:pPr>
            <w:r w:rsidRPr="002C7DAF">
              <w:rPr>
                <w:rFonts w:ascii="Arial Narrow" w:hAnsi="Arial Narrow" w:cs="Arial"/>
                <w:b/>
                <w:szCs w:val="22"/>
              </w:rPr>
              <w:t>+</w:t>
            </w:r>
          </w:p>
        </w:tc>
      </w:tr>
      <w:tr w:rsidR="008D7429" w:rsidRPr="00C7665D" w14:paraId="1585AE6B" w14:textId="77777777" w:rsidTr="004F2C1A">
        <w:tc>
          <w:tcPr>
            <w:tcW w:w="1271" w:type="dxa"/>
            <w:vMerge/>
          </w:tcPr>
          <w:p w14:paraId="252ECF5D" w14:textId="77777777" w:rsidR="008D7429" w:rsidRPr="00C7665D" w:rsidRDefault="008D7429" w:rsidP="008D7429">
            <w:pPr>
              <w:rPr>
                <w:rStyle w:val="IntenseReference"/>
                <w:color w:val="auto"/>
              </w:rPr>
            </w:pPr>
          </w:p>
        </w:tc>
        <w:tc>
          <w:tcPr>
            <w:tcW w:w="1843" w:type="dxa"/>
            <w:tcMar>
              <w:left w:w="28" w:type="dxa"/>
              <w:right w:w="28" w:type="dxa"/>
            </w:tcMar>
            <w:vAlign w:val="bottom"/>
          </w:tcPr>
          <w:p w14:paraId="0FD5EC71" w14:textId="77777777" w:rsidR="008D7429" w:rsidRPr="00C7665D" w:rsidRDefault="008D7429" w:rsidP="008D7429">
            <w:pPr>
              <w:rPr>
                <w:rStyle w:val="IntenseReference"/>
                <w:color w:val="auto"/>
              </w:rPr>
            </w:pPr>
            <w:r w:rsidRPr="00C7665D">
              <w:rPr>
                <w:rStyle w:val="IntenseReference"/>
                <w:color w:val="auto"/>
              </w:rPr>
              <w:t>Pelican (WQ)</w:t>
            </w:r>
          </w:p>
        </w:tc>
        <w:tc>
          <w:tcPr>
            <w:tcW w:w="567" w:type="dxa"/>
            <w:tcMar>
              <w:left w:w="28" w:type="dxa"/>
              <w:right w:w="28" w:type="dxa"/>
            </w:tcMar>
          </w:tcPr>
          <w:p w14:paraId="1CDC73BC"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5050AE1D"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42347EEE"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2F6359E"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6A73E15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A9892A8"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4A3F1EE2"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729094A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FA38843"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FAF31CE"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6F167FE7"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4D35B97A"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1196134"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65B2C03C" w14:textId="77777777" w:rsidR="008D7429" w:rsidRPr="00C7665D" w:rsidRDefault="008D7429" w:rsidP="008D7429">
            <w:pPr>
              <w:rPr>
                <w:rFonts w:ascii="Arial Narrow" w:hAnsi="Arial Narrow" w:cs="Arial"/>
                <w:szCs w:val="22"/>
              </w:rPr>
            </w:pPr>
          </w:p>
        </w:tc>
      </w:tr>
      <w:tr w:rsidR="008D7429" w:rsidRPr="00C7665D" w14:paraId="47E387CD" w14:textId="77777777" w:rsidTr="004F2C1A">
        <w:tc>
          <w:tcPr>
            <w:tcW w:w="1271" w:type="dxa"/>
            <w:vMerge/>
          </w:tcPr>
          <w:p w14:paraId="4480F292" w14:textId="77777777" w:rsidR="008D7429" w:rsidRPr="00C7665D" w:rsidRDefault="008D7429" w:rsidP="008D7429">
            <w:pPr>
              <w:rPr>
                <w:rStyle w:val="IntenseReference"/>
                <w:color w:val="auto"/>
              </w:rPr>
            </w:pPr>
          </w:p>
        </w:tc>
        <w:tc>
          <w:tcPr>
            <w:tcW w:w="1843" w:type="dxa"/>
            <w:tcMar>
              <w:left w:w="28" w:type="dxa"/>
              <w:right w:w="28" w:type="dxa"/>
            </w:tcMar>
            <w:vAlign w:val="bottom"/>
          </w:tcPr>
          <w:p w14:paraId="21E6B19E" w14:textId="77777777" w:rsidR="008D7429" w:rsidRPr="00C7665D" w:rsidRDefault="008D7429" w:rsidP="008D7429">
            <w:pPr>
              <w:rPr>
                <w:rStyle w:val="IntenseReference"/>
                <w:color w:val="auto"/>
              </w:rPr>
            </w:pPr>
            <w:r w:rsidRPr="00C7665D">
              <w:rPr>
                <w:rStyle w:val="IntenseReference"/>
                <w:color w:val="auto"/>
              </w:rPr>
              <w:t>Peak</w:t>
            </w:r>
          </w:p>
        </w:tc>
        <w:tc>
          <w:tcPr>
            <w:tcW w:w="567" w:type="dxa"/>
            <w:tcMar>
              <w:left w:w="28" w:type="dxa"/>
              <w:right w:w="28" w:type="dxa"/>
            </w:tcMar>
          </w:tcPr>
          <w:p w14:paraId="2A38C76D" w14:textId="77777777" w:rsidR="008D7429" w:rsidRPr="00C7665D" w:rsidRDefault="008D7429" w:rsidP="008D7429">
            <w:pPr>
              <w:rPr>
                <w:rStyle w:val="IntenseReference"/>
                <w:color w:val="auto"/>
              </w:rPr>
            </w:pPr>
            <w:r w:rsidRPr="00C7665D">
              <w:rPr>
                <w:rStyle w:val="IntenseReference"/>
                <w:color w:val="auto"/>
              </w:rPr>
              <w:t>MMP</w:t>
            </w:r>
          </w:p>
        </w:tc>
        <w:tc>
          <w:tcPr>
            <w:tcW w:w="414" w:type="dxa"/>
          </w:tcPr>
          <w:p w14:paraId="5F476FF2"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529E7E77"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2566761F" w14:textId="77777777" w:rsidR="008D7429" w:rsidRPr="00C7665D" w:rsidRDefault="008D7429" w:rsidP="008D7429">
            <w:pPr>
              <w:rPr>
                <w:rFonts w:ascii="Arial Narrow" w:hAnsi="Arial Narrow" w:cs="Arial"/>
                <w:szCs w:val="22"/>
              </w:rPr>
            </w:pPr>
          </w:p>
        </w:tc>
        <w:tc>
          <w:tcPr>
            <w:tcW w:w="415" w:type="dxa"/>
          </w:tcPr>
          <w:p w14:paraId="66CE436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11FC8C7B" w14:textId="77777777" w:rsidR="008D7429" w:rsidRPr="00C7665D" w:rsidRDefault="008D7429" w:rsidP="008D7429">
            <w:pPr>
              <w:rPr>
                <w:rFonts w:ascii="Arial Narrow" w:hAnsi="Arial Narrow" w:cs="Arial"/>
                <w:szCs w:val="22"/>
              </w:rPr>
            </w:pPr>
          </w:p>
        </w:tc>
        <w:tc>
          <w:tcPr>
            <w:tcW w:w="414" w:type="dxa"/>
          </w:tcPr>
          <w:p w14:paraId="20A5F7CB"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5" w:type="dxa"/>
          </w:tcPr>
          <w:p w14:paraId="1A1FE790" w14:textId="77777777" w:rsidR="008D7429" w:rsidRPr="00C7665D" w:rsidRDefault="008D7429" w:rsidP="008D7429">
            <w:pPr>
              <w:rPr>
                <w:rFonts w:ascii="Arial Narrow" w:hAnsi="Arial Narrow" w:cs="Arial"/>
                <w:szCs w:val="22"/>
              </w:rPr>
            </w:pPr>
            <w:r w:rsidRPr="00C7665D">
              <w:rPr>
                <w:rFonts w:ascii="Arial Narrow" w:hAnsi="Arial Narrow" w:cs="Arial"/>
                <w:b/>
                <w:szCs w:val="22"/>
              </w:rPr>
              <w:t>+</w:t>
            </w:r>
          </w:p>
        </w:tc>
        <w:tc>
          <w:tcPr>
            <w:tcW w:w="414" w:type="dxa"/>
          </w:tcPr>
          <w:p w14:paraId="5503375C"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776F992A" w14:textId="77777777" w:rsidR="008D7429" w:rsidRPr="00C7665D" w:rsidRDefault="008D7429" w:rsidP="008D7429">
            <w:pPr>
              <w:rPr>
                <w:rFonts w:ascii="Arial Narrow" w:hAnsi="Arial Narrow" w:cs="Arial"/>
                <w:szCs w:val="22"/>
              </w:rPr>
            </w:pPr>
          </w:p>
        </w:tc>
        <w:tc>
          <w:tcPr>
            <w:tcW w:w="415" w:type="dxa"/>
          </w:tcPr>
          <w:p w14:paraId="0F53CACF"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c>
          <w:tcPr>
            <w:tcW w:w="414" w:type="dxa"/>
          </w:tcPr>
          <w:p w14:paraId="1C982611" w14:textId="77777777" w:rsidR="008D7429" w:rsidRPr="00C7665D" w:rsidRDefault="008D7429" w:rsidP="008D7429">
            <w:pPr>
              <w:rPr>
                <w:rFonts w:ascii="Arial Narrow" w:hAnsi="Arial Narrow" w:cs="Arial"/>
                <w:szCs w:val="22"/>
              </w:rPr>
            </w:pPr>
            <w:r w:rsidRPr="00C7665D">
              <w:rPr>
                <w:rFonts w:ascii="Arial Narrow" w:hAnsi="Arial Narrow" w:cs="Arial"/>
                <w:b/>
                <w:szCs w:val="22"/>
              </w:rPr>
              <w:t>+</w:t>
            </w:r>
          </w:p>
        </w:tc>
        <w:tc>
          <w:tcPr>
            <w:tcW w:w="414" w:type="dxa"/>
          </w:tcPr>
          <w:p w14:paraId="13F91CDD" w14:textId="77777777" w:rsidR="008D7429" w:rsidRPr="00C7665D" w:rsidRDefault="008D7429" w:rsidP="008D7429">
            <w:pPr>
              <w:rPr>
                <w:rFonts w:ascii="Arial Narrow" w:hAnsi="Arial Narrow" w:cs="Arial"/>
                <w:szCs w:val="22"/>
              </w:rPr>
            </w:pPr>
          </w:p>
        </w:tc>
        <w:tc>
          <w:tcPr>
            <w:tcW w:w="415" w:type="dxa"/>
          </w:tcPr>
          <w:p w14:paraId="56D51716" w14:textId="77777777" w:rsidR="008D7429" w:rsidRPr="00C7665D" w:rsidRDefault="008D7429" w:rsidP="008D7429">
            <w:pPr>
              <w:rPr>
                <w:rFonts w:ascii="Arial Narrow" w:hAnsi="Arial Narrow" w:cs="Arial"/>
                <w:szCs w:val="22"/>
              </w:rPr>
            </w:pPr>
            <w:r w:rsidRPr="00C7665D">
              <w:rPr>
                <w:rFonts w:ascii="Arial Narrow" w:hAnsi="Arial Narrow" w:cs="Arial"/>
                <w:szCs w:val="22"/>
              </w:rPr>
              <w:t>●</w:t>
            </w:r>
          </w:p>
        </w:tc>
      </w:tr>
    </w:tbl>
    <w:p w14:paraId="7EDD9105" w14:textId="77777777" w:rsidR="00117212" w:rsidRPr="00C7665D" w:rsidRDefault="00117212" w:rsidP="00117212"/>
    <w:p w14:paraId="15116CF2" w14:textId="77777777" w:rsidR="00F14F1F" w:rsidRPr="00973364" w:rsidRDefault="00F14F1F" w:rsidP="009C0112">
      <w:pPr>
        <w:pStyle w:val="Heading2"/>
        <w:spacing w:before="240" w:after="240"/>
        <w:rPr>
          <w:color w:val="auto"/>
        </w:rPr>
      </w:pPr>
      <w:bookmarkStart w:id="68" w:name="_Toc491847359"/>
      <w:bookmarkStart w:id="69" w:name="_Toc514408381"/>
      <w:r w:rsidRPr="000673F1">
        <w:rPr>
          <w:color w:val="auto"/>
        </w:rPr>
        <w:t xml:space="preserve">4.3 </w:t>
      </w:r>
      <w:r w:rsidRPr="00973364">
        <w:rPr>
          <w:color w:val="auto"/>
        </w:rPr>
        <w:t>Environmental pressures</w:t>
      </w:r>
      <w:bookmarkEnd w:id="68"/>
      <w:bookmarkEnd w:id="69"/>
    </w:p>
    <w:p w14:paraId="588D4AC4" w14:textId="3ECAA902" w:rsidR="005F4E9B" w:rsidRPr="00973364" w:rsidRDefault="009D0D44" w:rsidP="00D2045F">
      <w:r w:rsidRPr="00973364">
        <w:rPr>
          <w:lang w:val="en-AU"/>
        </w:rPr>
        <w:t xml:space="preserve">A range of environmental variables are incorporated into this report as a basis for </w:t>
      </w:r>
      <w:r w:rsidR="00270738" w:rsidRPr="00973364">
        <w:rPr>
          <w:lang w:val="en-AU"/>
        </w:rPr>
        <w:t>interpreting</w:t>
      </w:r>
      <w:r w:rsidRPr="00973364">
        <w:rPr>
          <w:lang w:val="en-AU"/>
        </w:rPr>
        <w:t xml:space="preserve"> spatial and temporal trends in coral communities.</w:t>
      </w:r>
      <w:r w:rsidR="00E75F5C" w:rsidRPr="00973364">
        <w:rPr>
          <w:lang w:val="en-AU"/>
        </w:rPr>
        <w:t xml:space="preserve"> </w:t>
      </w:r>
      <w:r w:rsidR="00D1176E" w:rsidRPr="00973364">
        <w:rPr>
          <w:lang w:val="en-AU"/>
        </w:rPr>
        <w:t>Methods are detailed for data collected by this component of the MMP</w:t>
      </w:r>
      <w:r w:rsidR="00F23F74" w:rsidRPr="00973364">
        <w:rPr>
          <w:lang w:val="en-AU"/>
        </w:rPr>
        <w:t>,</w:t>
      </w:r>
      <w:r w:rsidR="00D1176E" w:rsidRPr="00973364">
        <w:rPr>
          <w:lang w:val="en-AU"/>
        </w:rPr>
        <w:t xml:space="preserve"> or when aggregation to the level used required substantial manipulation of the </w:t>
      </w:r>
      <w:r w:rsidR="00984888">
        <w:rPr>
          <w:lang w:val="en-AU"/>
        </w:rPr>
        <w:t>source data. The use and source of environmen</w:t>
      </w:r>
      <w:r w:rsidR="000305DA">
        <w:rPr>
          <w:lang w:val="en-AU"/>
        </w:rPr>
        <w:t>tal covariates is summarised in</w:t>
      </w:r>
      <w:r w:rsidR="00F23F74" w:rsidRPr="00973364">
        <w:rPr>
          <w:lang w:val="en-AU"/>
        </w:rPr>
        <w:t xml:space="preserve"> </w:t>
      </w:r>
      <w:r w:rsidR="00F23F74" w:rsidRPr="00973364">
        <w:rPr>
          <w:lang w:val="en-AU"/>
        </w:rPr>
        <w:fldChar w:fldCharType="begin"/>
      </w:r>
      <w:r w:rsidR="00F23F74" w:rsidRPr="00973364">
        <w:rPr>
          <w:lang w:val="en-AU"/>
        </w:rPr>
        <w:instrText xml:space="preserve"> REF _Ref491091475 \h </w:instrText>
      </w:r>
      <w:r w:rsidR="00F23F74" w:rsidRPr="00973364">
        <w:rPr>
          <w:lang w:val="en-AU"/>
        </w:rPr>
      </w:r>
      <w:r w:rsidR="00F23F74" w:rsidRPr="00973364">
        <w:rPr>
          <w:lang w:val="en-AU"/>
        </w:rPr>
        <w:fldChar w:fldCharType="separate"/>
      </w:r>
      <w:r w:rsidR="00A75175" w:rsidRPr="00F352E1">
        <w:t xml:space="preserve">Table </w:t>
      </w:r>
      <w:r w:rsidR="00A75175">
        <w:rPr>
          <w:noProof/>
        </w:rPr>
        <w:t>2</w:t>
      </w:r>
      <w:r w:rsidR="00F23F74" w:rsidRPr="00973364">
        <w:rPr>
          <w:lang w:val="en-AU"/>
        </w:rPr>
        <w:fldChar w:fldCharType="end"/>
      </w:r>
      <w:r w:rsidR="00D1176E" w:rsidRPr="00973364">
        <w:rPr>
          <w:lang w:val="en-AU"/>
        </w:rPr>
        <w:t xml:space="preserve">. </w:t>
      </w:r>
    </w:p>
    <w:p w14:paraId="3F7A2CA7" w14:textId="77777777" w:rsidR="00F14F1F" w:rsidRPr="00F352E1" w:rsidRDefault="00F14F1F" w:rsidP="009C0112">
      <w:pPr>
        <w:pStyle w:val="Heading3"/>
      </w:pPr>
      <w:bookmarkStart w:id="70" w:name="_Toc514408382"/>
      <w:r w:rsidRPr="00F352E1">
        <w:t>4.3.1</w:t>
      </w:r>
      <w:r w:rsidRPr="00F352E1">
        <w:tab/>
        <w:t>Water quality</w:t>
      </w:r>
      <w:bookmarkEnd w:id="70"/>
      <w:r w:rsidRPr="00F352E1">
        <w:t xml:space="preserve"> </w:t>
      </w:r>
    </w:p>
    <w:p w14:paraId="4D0FC847" w14:textId="29A0983F" w:rsidR="000506DD" w:rsidRDefault="008623AE" w:rsidP="00D2045F">
      <w:r w:rsidRPr="00973364">
        <w:t xml:space="preserve">Estimates of non-algal particulate (NAP) concentration derived from the MODIS aqua satellite mounted sensor </w:t>
      </w:r>
      <w:r w:rsidR="00F175C6" w:rsidRPr="00973364">
        <w:t xml:space="preserve">were </w:t>
      </w:r>
      <w:r w:rsidRPr="00973364">
        <w:t>downloaded from the Australian Bureau of Meteorology</w:t>
      </w:r>
      <w:r w:rsidRPr="00973364">
        <w:rPr>
          <w:rStyle w:val="FootnoteReference"/>
        </w:rPr>
        <w:footnoteReference w:id="2"/>
      </w:r>
      <w:r w:rsidRPr="00973364">
        <w:t xml:space="preserve">. </w:t>
      </w:r>
      <w:r w:rsidR="00662511" w:rsidRPr="00973364">
        <w:t xml:space="preserve">As a covariate for analysis of </w:t>
      </w:r>
      <w:r w:rsidR="00E70413" w:rsidRPr="00973364">
        <w:t xml:space="preserve">spatial pattern </w:t>
      </w:r>
      <w:r w:rsidR="000506DD">
        <w:t xml:space="preserve">and temporal variation </w:t>
      </w:r>
      <w:r w:rsidR="00E70413" w:rsidRPr="00973364">
        <w:t xml:space="preserve">in </w:t>
      </w:r>
      <w:r w:rsidR="00662511" w:rsidRPr="00973364">
        <w:t>index scores</w:t>
      </w:r>
      <w:r w:rsidR="003E5B8F" w:rsidRPr="00973364">
        <w:t>,</w:t>
      </w:r>
      <w:r w:rsidR="00662511" w:rsidRPr="00973364">
        <w:t xml:space="preserve"> </w:t>
      </w:r>
      <w:r w:rsidR="000506DD">
        <w:t xml:space="preserve">reef </w:t>
      </w:r>
      <w:r w:rsidR="007D6AD0">
        <w:t xml:space="preserve">by </w:t>
      </w:r>
      <w:r w:rsidR="000506DD">
        <w:t xml:space="preserve">year or mean </w:t>
      </w:r>
      <w:r w:rsidR="00662511" w:rsidRPr="00973364">
        <w:t xml:space="preserve">reef level </w:t>
      </w:r>
      <w:r w:rsidR="000506DD">
        <w:t xml:space="preserve">concentrations </w:t>
      </w:r>
      <w:r w:rsidR="00662511" w:rsidRPr="00973364">
        <w:t>were estimated.</w:t>
      </w:r>
      <w:r w:rsidR="00E75F5C" w:rsidRPr="00973364">
        <w:t xml:space="preserve"> </w:t>
      </w:r>
      <w:r w:rsidR="00F46049" w:rsidRPr="00973364">
        <w:t>For each monitoring location a square of nine 1 km</w:t>
      </w:r>
      <w:r w:rsidR="00F46049" w:rsidRPr="00973364">
        <w:rPr>
          <w:vertAlign w:val="superscript"/>
        </w:rPr>
        <w:t>2</w:t>
      </w:r>
      <w:r w:rsidR="00F46049" w:rsidRPr="00973364">
        <w:t xml:space="preserve"> pixels were identified in closely adjacent waters from which daily me</w:t>
      </w:r>
      <w:r w:rsidR="000506DD">
        <w:t>dians were used to estimate</w:t>
      </w:r>
      <w:r w:rsidR="00F46049" w:rsidRPr="00973364">
        <w:t xml:space="preserve"> monthly means</w:t>
      </w:r>
      <w:r w:rsidR="000506DD">
        <w:t xml:space="preserve"> that were aggregated to annual estimates, or reef level means over the period (</w:t>
      </w:r>
      <w:r w:rsidR="00984888">
        <w:t>200</w:t>
      </w:r>
      <w:r w:rsidR="00240263">
        <w:t>3</w:t>
      </w:r>
      <w:r w:rsidR="00984888">
        <w:t xml:space="preserve"> </w:t>
      </w:r>
      <w:r w:rsidR="000506DD">
        <w:t>–</w:t>
      </w:r>
      <w:r w:rsidR="0009616B">
        <w:t xml:space="preserve"> 2017</w:t>
      </w:r>
      <w:r w:rsidR="000506DD">
        <w:t>)</w:t>
      </w:r>
      <w:r w:rsidR="00F46049" w:rsidRPr="00973364">
        <w:t xml:space="preserve">. </w:t>
      </w:r>
    </w:p>
    <w:p w14:paraId="71831BD0" w14:textId="4BC0EB27" w:rsidR="00ED4734" w:rsidRDefault="00A27BD4" w:rsidP="00D2045F">
      <w:r w:rsidRPr="00973364">
        <w:t xml:space="preserve">In previous </w:t>
      </w:r>
      <w:r w:rsidR="0026470B">
        <w:t xml:space="preserve">reports from this project </w:t>
      </w:r>
      <w:r w:rsidRPr="00973364">
        <w:t xml:space="preserve">estimates of Chl </w:t>
      </w:r>
      <w:r w:rsidRPr="00973364">
        <w:rPr>
          <w:i/>
        </w:rPr>
        <w:t>a</w:t>
      </w:r>
      <w:r w:rsidR="00F1282F">
        <w:rPr>
          <w:i/>
        </w:rPr>
        <w:t xml:space="preserve"> </w:t>
      </w:r>
      <w:r w:rsidR="007B241E">
        <w:t xml:space="preserve">were </w:t>
      </w:r>
      <w:r w:rsidR="00F1282F">
        <w:t>also derived from algorithms applied to MODIS aqua imagrey</w:t>
      </w:r>
      <w:r w:rsidR="00F1282F" w:rsidRPr="00F1282F">
        <w:rPr>
          <w:vertAlign w:val="superscript"/>
        </w:rPr>
        <w:t>2</w:t>
      </w:r>
      <w:r w:rsidR="0026470B">
        <w:rPr>
          <w:i/>
        </w:rPr>
        <w:t xml:space="preserve">. </w:t>
      </w:r>
      <w:r w:rsidR="0026470B">
        <w:t>For this report</w:t>
      </w:r>
      <w:r w:rsidR="00A37AE8">
        <w:t>,</w:t>
      </w:r>
      <w:r w:rsidR="0026470B">
        <w:t xml:space="preserve"> relative exposure to Chl </w:t>
      </w:r>
      <w:r w:rsidR="0026470B" w:rsidRPr="002314F5">
        <w:rPr>
          <w:i/>
        </w:rPr>
        <w:t>a</w:t>
      </w:r>
      <w:r w:rsidR="0026470B">
        <w:t xml:space="preserve"> at each reef</w:t>
      </w:r>
      <w:r w:rsidR="00DC4C57">
        <w:t>,</w:t>
      </w:r>
      <w:r w:rsidR="0026470B">
        <w:t xml:space="preserve"> </w:t>
      </w:r>
      <w:r w:rsidR="00D559A8">
        <w:t>in each year</w:t>
      </w:r>
      <w:r w:rsidR="00DC4C57">
        <w:t>,</w:t>
      </w:r>
      <w:r w:rsidR="00D559A8">
        <w:t xml:space="preserve"> </w:t>
      </w:r>
      <w:r w:rsidR="0026470B">
        <w:t xml:space="preserve">was estimated based on the </w:t>
      </w:r>
      <w:r w:rsidR="00F1282F">
        <w:t>methods developed by the water q</w:t>
      </w:r>
      <w:r w:rsidR="0026470B">
        <w:t>uality component of the MMP</w:t>
      </w:r>
      <w:r w:rsidR="00D559A8">
        <w:t xml:space="preserve"> (Waterhouse et al. 201</w:t>
      </w:r>
      <w:r w:rsidR="002314F5">
        <w:t>8</w:t>
      </w:r>
      <w:r w:rsidR="00D559A8">
        <w:t>, Petus et al. 2016)</w:t>
      </w:r>
      <w:r w:rsidR="0026470B">
        <w:t>. In brief</w:t>
      </w:r>
      <w:r w:rsidR="00D559A8">
        <w:t>, MODIS aqua images were used to classify waters into one of six colour classes</w:t>
      </w:r>
      <w:r w:rsidR="0026470B">
        <w:t xml:space="preserve"> </w:t>
      </w:r>
      <w:r w:rsidR="00D559A8">
        <w:t xml:space="preserve">that range from those typical of primary (colour classes 1-4), secondary (class 5), or </w:t>
      </w:r>
      <w:r w:rsidR="00D559A8" w:rsidRPr="0047710B">
        <w:t>tertiary (class 6) river plumes. It is important to note that waters can be classified into these colour classes when not exposed to flood plumes as extra</w:t>
      </w:r>
      <w:r w:rsidR="00DC4C57">
        <w:t>-</w:t>
      </w:r>
      <w:r w:rsidR="00D559A8" w:rsidRPr="0047710B">
        <w:t>plume processes, such as wind driven resuspension</w:t>
      </w:r>
      <w:r w:rsidR="00A37AE8" w:rsidRPr="00836D92">
        <w:t>,</w:t>
      </w:r>
      <w:r w:rsidR="00D559A8" w:rsidRPr="00836D92">
        <w:t xml:space="preserve"> may produce waters with similar spectral signatures.</w:t>
      </w:r>
      <w:r w:rsidR="00D559A8">
        <w:t xml:space="preserve"> </w:t>
      </w:r>
      <w:r w:rsidR="00BE1113">
        <w:t xml:space="preserve">The lowest (most turbid and nutrient rich) colour class for a given pixel is recorded as the exposure of that pixel in a given week. Matching </w:t>
      </w:r>
      <w:r w:rsidR="00036C05">
        <w:t>in situ</w:t>
      </w:r>
      <w:r w:rsidR="00BE1113">
        <w:t xml:space="preserve"> sampling with the classified colour of the water at </w:t>
      </w:r>
      <w:r w:rsidR="00A37AE8">
        <w:t xml:space="preserve">the </w:t>
      </w:r>
      <w:r w:rsidR="00BE1113">
        <w:t xml:space="preserve">date and location of </w:t>
      </w:r>
      <w:r w:rsidR="00AB16D7">
        <w:t>the sample</w:t>
      </w:r>
      <w:r w:rsidR="00BE1113">
        <w:t xml:space="preserve"> provided estimates of the mean concentration of water quality parameters</w:t>
      </w:r>
      <w:r w:rsidR="00AB16D7">
        <w:t xml:space="preserve"> for each colour class</w:t>
      </w:r>
      <w:r w:rsidR="00BE1113" w:rsidRPr="0047710B">
        <w:t xml:space="preserve">. </w:t>
      </w:r>
      <w:r w:rsidR="00AB16D7" w:rsidRPr="0047710B">
        <w:t xml:space="preserve">The Chl </w:t>
      </w:r>
      <w:r w:rsidR="00AB16D7" w:rsidRPr="0047710B">
        <w:rPr>
          <w:i/>
        </w:rPr>
        <w:t>a</w:t>
      </w:r>
      <w:r w:rsidR="00AB16D7" w:rsidRPr="0047710B">
        <w:t xml:space="preserve"> estimates in this report are expressed as </w:t>
      </w:r>
      <w:r w:rsidR="002314F5" w:rsidRPr="0047710B">
        <w:t xml:space="preserve">the mean </w:t>
      </w:r>
      <w:r w:rsidR="00AB16D7" w:rsidRPr="0047710B">
        <w:t xml:space="preserve">exposure to Chl </w:t>
      </w:r>
      <w:r w:rsidR="00AB16D7" w:rsidRPr="0047710B">
        <w:rPr>
          <w:i/>
        </w:rPr>
        <w:t>a</w:t>
      </w:r>
      <w:r w:rsidR="00AB16D7" w:rsidRPr="0047710B">
        <w:t xml:space="preserve"> concentrations above </w:t>
      </w:r>
      <w:r w:rsidR="00D3251E" w:rsidRPr="00836D92">
        <w:t xml:space="preserve">wet-season </w:t>
      </w:r>
      <w:r w:rsidR="00AB16D7" w:rsidRPr="00836D92">
        <w:t xml:space="preserve">guideline </w:t>
      </w:r>
      <w:r w:rsidR="000506DD" w:rsidRPr="00836D92">
        <w:t xml:space="preserve">(GL) </w:t>
      </w:r>
      <w:r w:rsidR="00AB16D7" w:rsidRPr="00836D92">
        <w:t>values</w:t>
      </w:r>
      <w:r w:rsidR="00D3251E" w:rsidRPr="00836D92">
        <w:t xml:space="preserve"> (0.63</w:t>
      </w:r>
      <w:r w:rsidR="00AB16D7" w:rsidRPr="00836D92">
        <w:t>ugL</w:t>
      </w:r>
      <w:r w:rsidR="00AB16D7" w:rsidRPr="00836D92">
        <w:rPr>
          <w:vertAlign w:val="superscript"/>
        </w:rPr>
        <w:t>-1</w:t>
      </w:r>
      <w:r w:rsidR="00AB16D7" w:rsidRPr="00836D92">
        <w:t xml:space="preserve">) over the </w:t>
      </w:r>
      <w:r w:rsidR="00D3251E" w:rsidRPr="00836D92">
        <w:t>wet-</w:t>
      </w:r>
      <w:r w:rsidR="0026470B" w:rsidRPr="00836D92">
        <w:t xml:space="preserve">season (December – April, inclusive) </w:t>
      </w:r>
      <w:r w:rsidR="00AB16D7" w:rsidRPr="00624998">
        <w:t>preceding annual coral surveys.</w:t>
      </w:r>
      <w:r w:rsidR="00AB16D7">
        <w:t xml:space="preserve"> </w:t>
      </w:r>
      <w:r w:rsidR="00A37AE8">
        <w:t xml:space="preserve">For each colour class, exposure above GL levels was expressed as the product of the proportion of the wet season for which waters were classified as that colour class and the mean concentration of Chl </w:t>
      </w:r>
      <w:r w:rsidR="00A37AE8" w:rsidRPr="000506DD">
        <w:rPr>
          <w:i/>
        </w:rPr>
        <w:t>a</w:t>
      </w:r>
      <w:r w:rsidR="00A37AE8">
        <w:t xml:space="preserve"> in that colour classes expressed as a deviation in u</w:t>
      </w:r>
      <w:r w:rsidR="000506DD">
        <w:t>g</w:t>
      </w:r>
      <w:r w:rsidR="00A37AE8">
        <w:t>L</w:t>
      </w:r>
      <w:r w:rsidR="00A37AE8" w:rsidRPr="000506DD">
        <w:rPr>
          <w:vertAlign w:val="superscript"/>
        </w:rPr>
        <w:t>-1</w:t>
      </w:r>
      <w:r w:rsidR="00A37AE8">
        <w:t xml:space="preserve"> above GL levels. The sum of these exposures across colour classes 1-5 (colour class 6 mean Chl </w:t>
      </w:r>
      <w:r w:rsidR="00A37AE8" w:rsidRPr="000506DD">
        <w:rPr>
          <w:i/>
        </w:rPr>
        <w:t>a</w:t>
      </w:r>
      <w:r w:rsidR="00A37AE8">
        <w:t xml:space="preserve"> concentration is below GL levels) provided an estimate of the mean exceedance of GL concentrations in u</w:t>
      </w:r>
      <w:r w:rsidR="000506DD">
        <w:t>g</w:t>
      </w:r>
      <w:r w:rsidR="00A37AE8">
        <w:t>L</w:t>
      </w:r>
      <w:r w:rsidR="00A37AE8" w:rsidRPr="000506DD">
        <w:rPr>
          <w:vertAlign w:val="superscript"/>
        </w:rPr>
        <w:t>-1</w:t>
      </w:r>
      <w:r w:rsidR="00A37AE8">
        <w:t xml:space="preserve"> across the wet-season</w:t>
      </w:r>
      <w:r w:rsidR="00F1282F">
        <w:t xml:space="preserve">. </w:t>
      </w:r>
      <w:r w:rsidR="00F1282F" w:rsidRPr="0047710B">
        <w:t>Reef level means averaged the annual wet season exposures over the period 2003-2016.</w:t>
      </w:r>
      <w:r w:rsidR="00984888">
        <w:t xml:space="preserve"> The same procedure was used to estimate concentrations of total suspended solids (TSS), particulate nitrogen (PN) and particulate </w:t>
      </w:r>
      <w:r w:rsidR="006115F3">
        <w:t>phosphorous (PP).</w:t>
      </w:r>
    </w:p>
    <w:p w14:paraId="4DCEFA77" w14:textId="77777777" w:rsidR="000506DD" w:rsidRPr="00F1282F" w:rsidRDefault="000506DD" w:rsidP="00D2045F">
      <w:pPr>
        <w:rPr>
          <w:color w:val="000000" w:themeColor="text1"/>
        </w:rPr>
      </w:pPr>
      <w:r w:rsidRPr="00F1282F">
        <w:rPr>
          <w:color w:val="000000" w:themeColor="text1"/>
        </w:rPr>
        <w:t xml:space="preserve">As a background to regional maps of sampling locations, </w:t>
      </w:r>
      <w:r w:rsidR="00F1282F" w:rsidRPr="00F1282F">
        <w:rPr>
          <w:color w:val="000000" w:themeColor="text1"/>
        </w:rPr>
        <w:t xml:space="preserve">mean (2003-2016) </w:t>
      </w:r>
      <w:r w:rsidRPr="00F1282F">
        <w:rPr>
          <w:color w:val="000000" w:themeColor="text1"/>
        </w:rPr>
        <w:t xml:space="preserve">Chl </w:t>
      </w:r>
      <w:r w:rsidRPr="00F1282F">
        <w:rPr>
          <w:i/>
          <w:color w:val="000000" w:themeColor="text1"/>
        </w:rPr>
        <w:t>a</w:t>
      </w:r>
      <w:r w:rsidRPr="00F1282F">
        <w:rPr>
          <w:color w:val="000000" w:themeColor="text1"/>
        </w:rPr>
        <w:t xml:space="preserve"> and NAP concentrations were </w:t>
      </w:r>
      <w:r w:rsidR="00F1282F" w:rsidRPr="00F1282F">
        <w:rPr>
          <w:color w:val="000000" w:themeColor="text1"/>
        </w:rPr>
        <w:t xml:space="preserve">derived for all inshore waters using the same methods as described above and </w:t>
      </w:r>
      <w:r w:rsidRPr="00F1282F">
        <w:rPr>
          <w:color w:val="000000" w:themeColor="text1"/>
        </w:rPr>
        <w:t>scaled to visually demonstrate concentrations relative to Guideline values (GBRMPA 2010).</w:t>
      </w:r>
    </w:p>
    <w:p w14:paraId="186B8378" w14:textId="053ABFDC" w:rsidR="00F14F1F" w:rsidRPr="00303CCA" w:rsidRDefault="00A27BD4" w:rsidP="00D2045F">
      <w:r w:rsidRPr="007724D0">
        <w:t xml:space="preserve">Temporal trends in </w:t>
      </w:r>
      <w:r w:rsidR="00DA7655" w:rsidRPr="007724D0">
        <w:t>the Water Quality Index and associated parameters are provided</w:t>
      </w:r>
      <w:r w:rsidR="005A4144" w:rsidRPr="007724D0">
        <w:t xml:space="preserve"> for each </w:t>
      </w:r>
      <w:r w:rsidR="00F14F1F" w:rsidRPr="007724D0">
        <w:t xml:space="preserve">NRM </w:t>
      </w:r>
      <w:r w:rsidR="005A4144" w:rsidRPr="007724D0">
        <w:t>(sub-</w:t>
      </w:r>
      <w:r w:rsidR="007724D0" w:rsidRPr="007724D0">
        <w:t>) region</w:t>
      </w:r>
      <w:r w:rsidR="00DA7655" w:rsidRPr="007724D0">
        <w:t xml:space="preserve"> in the appendix of this report</w:t>
      </w:r>
      <w:r w:rsidR="005A4144" w:rsidRPr="007724D0">
        <w:t xml:space="preserve">. </w:t>
      </w:r>
      <w:r w:rsidR="007724D0">
        <w:t xml:space="preserve">For each parameter, except turbidity, data were collected by </w:t>
      </w:r>
      <w:r w:rsidR="007724D0" w:rsidRPr="007724D0">
        <w:t xml:space="preserve">analysis of water sampled using niskin bottles at all MMP water quality monitoring sites. </w:t>
      </w:r>
      <w:r w:rsidR="00303CCA">
        <w:t xml:space="preserve">Estimates of turbidity and an additional data set for Chl </w:t>
      </w:r>
      <w:r w:rsidR="00303CCA" w:rsidRPr="00303CCA">
        <w:rPr>
          <w:i/>
        </w:rPr>
        <w:t>a</w:t>
      </w:r>
      <w:r w:rsidR="00303CCA">
        <w:rPr>
          <w:i/>
        </w:rPr>
        <w:t xml:space="preserve"> </w:t>
      </w:r>
      <w:r w:rsidR="00303CCA">
        <w:t xml:space="preserve">are also included and </w:t>
      </w:r>
      <w:r w:rsidR="00DC4C57">
        <w:t xml:space="preserve">were </w:t>
      </w:r>
      <w:r w:rsidR="00131A86" w:rsidRPr="007724D0">
        <w:t xml:space="preserve">derived from </w:t>
      </w:r>
      <w:r w:rsidR="00F14F1F" w:rsidRPr="007724D0">
        <w:t xml:space="preserve">WET Labs ECO FLNTUSB Combination Fluorometer and Turbidity Sensors </w:t>
      </w:r>
      <w:r w:rsidR="00131A86" w:rsidRPr="007724D0">
        <w:t>co</w:t>
      </w:r>
      <w:r w:rsidR="003E5B8F" w:rsidRPr="007724D0">
        <w:t>-</w:t>
      </w:r>
      <w:r w:rsidR="00131A86" w:rsidRPr="007724D0">
        <w:t xml:space="preserve">located with </w:t>
      </w:r>
      <w:r w:rsidR="00F14F1F" w:rsidRPr="007724D0">
        <w:t>5</w:t>
      </w:r>
      <w:r w:rsidR="003E5B8F" w:rsidRPr="007724D0">
        <w:t xml:space="preserve"> </w:t>
      </w:r>
      <w:r w:rsidR="00F14F1F" w:rsidRPr="007724D0">
        <w:t xml:space="preserve">m coral survey transects </w:t>
      </w:r>
      <w:r w:rsidR="00131A86" w:rsidRPr="007724D0">
        <w:t>at a subset of reefs</w:t>
      </w:r>
      <w:r w:rsidR="009B4EDA">
        <w:t xml:space="preserve"> (</w:t>
      </w:r>
      <w:r w:rsidR="009B4EDA">
        <w:fldChar w:fldCharType="begin"/>
      </w:r>
      <w:r w:rsidR="009B4EDA">
        <w:instrText xml:space="preserve"> REF _Ref491091079 \h </w:instrText>
      </w:r>
      <w:r w:rsidR="009B4EDA">
        <w:fldChar w:fldCharType="separate"/>
      </w:r>
      <w:r w:rsidR="00A75175" w:rsidRPr="00F352E1">
        <w:t xml:space="preserve">Table </w:t>
      </w:r>
      <w:r w:rsidR="00A75175">
        <w:rPr>
          <w:noProof/>
        </w:rPr>
        <w:t>1</w:t>
      </w:r>
      <w:r w:rsidR="009B4EDA">
        <w:fldChar w:fldCharType="end"/>
      </w:r>
      <w:r w:rsidR="009B4EDA">
        <w:t>)</w:t>
      </w:r>
      <w:r w:rsidR="00303CCA">
        <w:t>.</w:t>
      </w:r>
      <w:r w:rsidR="00131A86" w:rsidRPr="007724D0">
        <w:t xml:space="preserve"> </w:t>
      </w:r>
      <w:r w:rsidR="00DC4C57" w:rsidRPr="00626B96">
        <w:rPr>
          <w:lang w:val="en-US"/>
        </w:rPr>
        <w:t xml:space="preserve">The data were </w:t>
      </w:r>
      <w:r w:rsidR="00DC4C57" w:rsidRPr="00626B96">
        <w:rPr>
          <w:lang w:val="en-AU"/>
        </w:rPr>
        <w:t>analysed</w:t>
      </w:r>
      <w:r w:rsidR="00DC4C57" w:rsidRPr="00626B96">
        <w:rPr>
          <w:lang w:val="en-US"/>
        </w:rPr>
        <w:t xml:space="preserve"> to generate trend </w:t>
      </w:r>
      <w:r w:rsidR="00DC4C57" w:rsidRPr="00626B96">
        <w:t>predictions from thin-plate splines fitted via Generalised Additive Mixed Models (GAMM's). These models also incorporated seasonal cyclical cubic splines with sample location set as the random effect.</w:t>
      </w:r>
      <w:r w:rsidR="00DC4C57">
        <w:t xml:space="preserve"> </w:t>
      </w:r>
      <w:r w:rsidR="00131A86" w:rsidRPr="007724D0">
        <w:t>These plots are reproduced from the companion 201</w:t>
      </w:r>
      <w:r w:rsidR="00DA7655" w:rsidRPr="007724D0">
        <w:t>7</w:t>
      </w:r>
      <w:r w:rsidR="00131A86" w:rsidRPr="007724D0">
        <w:t xml:space="preserve"> annual MMP Water Quality Monitoring report </w:t>
      </w:r>
      <w:r w:rsidR="00131A86" w:rsidRPr="000673F1">
        <w:t>(</w:t>
      </w:r>
      <w:r w:rsidR="00131A86" w:rsidRPr="000673F1">
        <w:rPr>
          <w:rFonts w:cs="Arial"/>
          <w:lang w:val="en-US"/>
        </w:rPr>
        <w:t xml:space="preserve">Waterhouse </w:t>
      </w:r>
      <w:r w:rsidR="00131A86" w:rsidRPr="000673F1">
        <w:rPr>
          <w:rFonts w:cs="Arial"/>
          <w:i/>
          <w:lang w:val="en-US"/>
        </w:rPr>
        <w:t>et al.</w:t>
      </w:r>
      <w:r w:rsidR="00131A86" w:rsidRPr="000673F1">
        <w:rPr>
          <w:rFonts w:cs="Arial"/>
          <w:lang w:val="en-US"/>
        </w:rPr>
        <w:t xml:space="preserve"> </w:t>
      </w:r>
      <w:r w:rsidR="00006664" w:rsidRPr="000673F1">
        <w:rPr>
          <w:rFonts w:cs="Arial"/>
          <w:lang w:val="en-US"/>
        </w:rPr>
        <w:t>2018</w:t>
      </w:r>
      <w:r w:rsidR="00131A86" w:rsidRPr="0094096A">
        <w:t>)</w:t>
      </w:r>
      <w:r w:rsidR="00131A86" w:rsidRPr="00303CCA">
        <w:t xml:space="preserve"> in which detailed descriptions of water quality sampling methods can also be found.</w:t>
      </w:r>
    </w:p>
    <w:p w14:paraId="6F9F5D12" w14:textId="22663A9E" w:rsidR="005A4144" w:rsidRPr="00303CCA" w:rsidRDefault="005A4144" w:rsidP="00D2045F"/>
    <w:p w14:paraId="4FC26A82" w14:textId="77777777" w:rsidR="00F14F1F" w:rsidRPr="00F352E1" w:rsidRDefault="00F14F1F" w:rsidP="009C0112">
      <w:pPr>
        <w:pStyle w:val="Heading3"/>
      </w:pPr>
      <w:bookmarkStart w:id="71" w:name="_Toc514408383"/>
      <w:r w:rsidRPr="00F352E1">
        <w:t>4.3.2 Sea temperature</w:t>
      </w:r>
      <w:bookmarkEnd w:id="71"/>
    </w:p>
    <w:p w14:paraId="707CD783" w14:textId="77777777" w:rsidR="007774EF" w:rsidRPr="0009616B" w:rsidRDefault="00F14F1F" w:rsidP="00D2045F">
      <w:pPr>
        <w:rPr>
          <w:color w:val="000000" w:themeColor="text1"/>
        </w:rPr>
      </w:pPr>
      <w:r w:rsidRPr="00973364">
        <w:t>Temperature loggers were deployed at each coral monitoring reef at both 2</w:t>
      </w:r>
      <w:r w:rsidR="003E5B8F" w:rsidRPr="00973364">
        <w:t xml:space="preserve"> </w:t>
      </w:r>
      <w:r w:rsidRPr="00973364">
        <w:t>m and 5</w:t>
      </w:r>
      <w:r w:rsidR="003E5B8F" w:rsidRPr="00973364">
        <w:t xml:space="preserve"> </w:t>
      </w:r>
      <w:r w:rsidRPr="00973364">
        <w:t xml:space="preserve">m depths and routinely exchanged at the time of the coral surveys (i.e. every 12 or 24 months). Exceptions were Snapper South, Fitzroy East, High East, Franklands East, Dunk South, and Palms East where loggers were not deployed due to the proximity of those </w:t>
      </w:r>
      <w:r w:rsidR="00C37DA8" w:rsidRPr="00973364">
        <w:t>sites to the sites o</w:t>
      </w:r>
      <w:r w:rsidRPr="00973364">
        <w:t>n the western or northern aspects of these same islands</w:t>
      </w:r>
      <w:r w:rsidR="00C37DA8" w:rsidRPr="00973364">
        <w:t>, where loggers were deployed</w:t>
      </w:r>
      <w:r w:rsidRPr="00973364">
        <w:t xml:space="preserve">. </w:t>
      </w:r>
      <w:r w:rsidRPr="00973364">
        <w:rPr>
          <w:szCs w:val="22"/>
        </w:rPr>
        <w:t xml:space="preserve">Initially </w:t>
      </w:r>
      <w:r w:rsidRPr="00973364">
        <w:t>Odyssey temperature loggers (</w:t>
      </w:r>
      <w:hyperlink r:id="rId33" w:tooltip="Odyssey temperature loggers " w:history="1">
        <w:r w:rsidRPr="00973364">
          <w:rPr>
            <w:rStyle w:val="Hyperlink"/>
            <w:color w:val="auto"/>
            <w:szCs w:val="22"/>
          </w:rPr>
          <w:t>http://www.odysseydatarecording.com/</w:t>
        </w:r>
      </w:hyperlink>
      <w:r w:rsidRPr="00973364">
        <w:rPr>
          <w:szCs w:val="22"/>
        </w:rPr>
        <w:t xml:space="preserve">) were used prior to gradual change over to </w:t>
      </w:r>
      <w:r w:rsidRPr="00973364">
        <w:t>Sensus Ultra temperature loggers (</w:t>
      </w:r>
      <w:hyperlink r:id="rId34" w:tooltip="Sensus Ultra temperature loggers" w:history="1">
        <w:r w:rsidRPr="00973364">
          <w:rPr>
            <w:rStyle w:val="Hyperlink"/>
            <w:color w:val="auto"/>
            <w:szCs w:val="22"/>
          </w:rPr>
          <w:t>http://reefnet.ca/products/sensus/</w:t>
        </w:r>
      </w:hyperlink>
      <w:r w:rsidRPr="00973364">
        <w:t>)</w:t>
      </w:r>
      <w:r w:rsidR="00984691">
        <w:t>, and now to the Vemco Minilog temperature loggers (</w:t>
      </w:r>
      <w:hyperlink r:id="rId35" w:history="1">
        <w:r w:rsidR="00984691" w:rsidRPr="00687E64">
          <w:rPr>
            <w:rStyle w:val="Hyperlink"/>
          </w:rPr>
          <w:t>https://vemco.com/products/minilog-ii-t/</w:t>
        </w:r>
      </w:hyperlink>
      <w:r w:rsidR="00984691">
        <w:t>)</w:t>
      </w:r>
      <w:r w:rsidRPr="00973364">
        <w:t xml:space="preserve">. The Odyssey loggers were set to take readings every 30 minutes. </w:t>
      </w:r>
      <w:r w:rsidR="00984691">
        <w:t>Both t</w:t>
      </w:r>
      <w:r w:rsidRPr="00973364">
        <w:t xml:space="preserve">he Sensus </w:t>
      </w:r>
      <w:r w:rsidR="00984691">
        <w:t xml:space="preserve">and Vemco </w:t>
      </w:r>
      <w:r w:rsidRPr="00973364">
        <w:t>loggers take readings every 10 minutes. Loggers were calibrated against a certified reference thermometer after each deployment and were generally accurate to ± 0.2°C.</w:t>
      </w:r>
      <w:r w:rsidR="00086ADB" w:rsidRPr="00973364">
        <w:t xml:space="preserve"> </w:t>
      </w:r>
      <w:r w:rsidR="007774EF" w:rsidRPr="00973364">
        <w:t xml:space="preserve">Time series analyses were </w:t>
      </w:r>
      <w:r w:rsidR="00C7309A" w:rsidRPr="00973364">
        <w:t xml:space="preserve">applied to </w:t>
      </w:r>
      <w:r w:rsidR="00065C74" w:rsidRPr="00973364">
        <w:t>temperature data</w:t>
      </w:r>
      <w:r w:rsidR="00C7309A" w:rsidRPr="00973364">
        <w:t xml:space="preserve"> over the period 2005-</w:t>
      </w:r>
      <w:r w:rsidR="00973364" w:rsidRPr="00973364">
        <w:t xml:space="preserve">2017 </w:t>
      </w:r>
      <w:r w:rsidR="00C7309A" w:rsidRPr="00973364">
        <w:t xml:space="preserve">to describe </w:t>
      </w:r>
      <w:r w:rsidR="007774EF" w:rsidRPr="00973364">
        <w:t xml:space="preserve">seasonal temperature climatology for each (sub-)region. Temperature </w:t>
      </w:r>
      <w:r w:rsidR="00C7309A" w:rsidRPr="00973364">
        <w:t xml:space="preserve">data for each (sub-)region </w:t>
      </w:r>
      <w:r w:rsidR="00C37DA8" w:rsidRPr="00973364">
        <w:t xml:space="preserve">are </w:t>
      </w:r>
      <w:r w:rsidR="00C7309A" w:rsidRPr="00973364">
        <w:t xml:space="preserve">plotted as </w:t>
      </w:r>
      <w:r w:rsidR="007774EF" w:rsidRPr="00973364">
        <w:t>anomalies</w:t>
      </w:r>
      <w:r w:rsidR="00C37DA8" w:rsidRPr="00973364">
        <w:t>,</w:t>
      </w:r>
      <w:r w:rsidR="007774EF" w:rsidRPr="00973364">
        <w:t xml:space="preserve"> estimated as the </w:t>
      </w:r>
      <w:r w:rsidR="00C7309A" w:rsidRPr="00973364">
        <w:t xml:space="preserve">mean </w:t>
      </w:r>
      <w:r w:rsidR="007774EF" w:rsidRPr="00973364">
        <w:t xml:space="preserve">difference between daily observations </w:t>
      </w:r>
      <w:r w:rsidR="00C7309A" w:rsidRPr="00973364">
        <w:t xml:space="preserve">within a (sub-)region and </w:t>
      </w:r>
      <w:r w:rsidR="007774EF" w:rsidRPr="00973364">
        <w:t>the seasonal climatology</w:t>
      </w:r>
      <w:r w:rsidR="00C7309A" w:rsidRPr="00973364">
        <w:t>.</w:t>
      </w:r>
      <w:r w:rsidR="00C7309A" w:rsidRPr="00F352E1">
        <w:rPr>
          <w:color w:val="4F81BD" w:themeColor="accent1"/>
        </w:rPr>
        <w:t xml:space="preserve"> </w:t>
      </w:r>
      <w:r w:rsidR="00F175C6" w:rsidRPr="00973364">
        <w:t>As a seasonal summary of temperature anomalies</w:t>
      </w:r>
      <w:r w:rsidR="00C37DA8" w:rsidRPr="00973364">
        <w:t>,</w:t>
      </w:r>
      <w:r w:rsidR="00F175C6" w:rsidRPr="00973364">
        <w:t xml:space="preserve"> the mean of </w:t>
      </w:r>
      <w:r w:rsidR="00C7309A" w:rsidRPr="00973364">
        <w:t xml:space="preserve">summer season </w:t>
      </w:r>
      <w:r w:rsidR="00C7309A" w:rsidRPr="00973364">
        <w:rPr>
          <w:rFonts w:eastAsia="SimSun" w:cs="Arial"/>
          <w:bCs/>
          <w:szCs w:val="22"/>
        </w:rPr>
        <w:t>(December 1</w:t>
      </w:r>
      <w:r w:rsidR="00C7309A" w:rsidRPr="00973364">
        <w:rPr>
          <w:rFonts w:eastAsia="SimSun" w:cs="Arial"/>
          <w:bCs/>
          <w:szCs w:val="22"/>
          <w:vertAlign w:val="superscript"/>
        </w:rPr>
        <w:t>st</w:t>
      </w:r>
      <w:r w:rsidR="00C7309A" w:rsidRPr="00973364">
        <w:rPr>
          <w:rFonts w:eastAsia="SimSun" w:cs="Arial"/>
          <w:bCs/>
          <w:szCs w:val="22"/>
        </w:rPr>
        <w:t xml:space="preserve"> to March 31</w:t>
      </w:r>
      <w:r w:rsidR="00C7309A" w:rsidRPr="00973364">
        <w:rPr>
          <w:rFonts w:eastAsia="SimSun" w:cs="Arial"/>
          <w:bCs/>
          <w:szCs w:val="22"/>
          <w:vertAlign w:val="superscript"/>
        </w:rPr>
        <w:t>st</w:t>
      </w:r>
      <w:r w:rsidR="00C7309A" w:rsidRPr="00973364">
        <w:rPr>
          <w:rFonts w:eastAsia="SimSun" w:cs="Arial"/>
          <w:bCs/>
          <w:szCs w:val="22"/>
        </w:rPr>
        <w:t>)</w:t>
      </w:r>
      <w:r w:rsidR="00C7309A" w:rsidRPr="00973364">
        <w:t xml:space="preserve"> </w:t>
      </w:r>
      <w:r w:rsidR="00C7309A" w:rsidRPr="00973364">
        <w:rPr>
          <w:rFonts w:eastAsia="SimSun" w:cs="Arial"/>
          <w:bCs/>
          <w:szCs w:val="22"/>
        </w:rPr>
        <w:t>degree heating day</w:t>
      </w:r>
      <w:r w:rsidR="007774EF" w:rsidRPr="00973364">
        <w:rPr>
          <w:rFonts w:eastAsia="SimSun" w:cs="Arial"/>
          <w:bCs/>
          <w:szCs w:val="22"/>
        </w:rPr>
        <w:t xml:space="preserve"> (DHD) </w:t>
      </w:r>
      <w:r w:rsidR="00C7309A" w:rsidRPr="00973364">
        <w:rPr>
          <w:rFonts w:eastAsia="SimSun" w:cs="Arial"/>
          <w:bCs/>
          <w:szCs w:val="22"/>
        </w:rPr>
        <w:t>estimates</w:t>
      </w:r>
      <w:r w:rsidR="00F175C6" w:rsidRPr="00973364">
        <w:rPr>
          <w:rFonts w:eastAsia="SimSun" w:cs="Arial"/>
          <w:bCs/>
          <w:szCs w:val="22"/>
        </w:rPr>
        <w:t xml:space="preserve"> are included on temperature plots.</w:t>
      </w:r>
      <w:r w:rsidR="00F175C6" w:rsidRPr="00F352E1">
        <w:rPr>
          <w:rFonts w:eastAsia="SimSun" w:cs="Arial"/>
          <w:bCs/>
          <w:color w:val="4F81BD" w:themeColor="accent1"/>
          <w:szCs w:val="22"/>
        </w:rPr>
        <w:t xml:space="preserve"> </w:t>
      </w:r>
      <w:r w:rsidR="00F175C6" w:rsidRPr="00F1282F">
        <w:rPr>
          <w:rFonts w:eastAsia="SimSun" w:cs="Arial"/>
          <w:bCs/>
          <w:color w:val="000000" w:themeColor="text1"/>
          <w:szCs w:val="22"/>
        </w:rPr>
        <w:t xml:space="preserve">DHD means were derived from pixels adjacent to each coral monitoring location </w:t>
      </w:r>
      <w:r w:rsidR="00C7309A" w:rsidRPr="00F1282F">
        <w:rPr>
          <w:rFonts w:eastAsia="SimSun" w:cs="Arial"/>
          <w:bCs/>
          <w:color w:val="000000" w:themeColor="text1"/>
          <w:szCs w:val="22"/>
        </w:rPr>
        <w:t xml:space="preserve">downloaded from the Bureau of Meteorology satellite-based interactive website </w:t>
      </w:r>
      <w:r w:rsidR="00C7309A" w:rsidRPr="00F1282F">
        <w:rPr>
          <w:color w:val="000000" w:themeColor="text1"/>
        </w:rPr>
        <w:t>ReefTemp Next Generation</w:t>
      </w:r>
      <w:r w:rsidR="00F175C6" w:rsidRPr="00F1282F">
        <w:rPr>
          <w:rStyle w:val="FootnoteReference"/>
          <w:color w:val="000000" w:themeColor="text1"/>
        </w:rPr>
        <w:footnoteReference w:id="3"/>
      </w:r>
      <w:r w:rsidR="00C7309A" w:rsidRPr="00F1282F">
        <w:rPr>
          <w:color w:val="000000" w:themeColor="text1"/>
        </w:rPr>
        <w:t xml:space="preserve">. </w:t>
      </w:r>
      <w:r w:rsidR="00C7309A" w:rsidRPr="00F1282F">
        <w:rPr>
          <w:rFonts w:eastAsia="SimSun" w:cs="Arial"/>
          <w:bCs/>
          <w:color w:val="000000" w:themeColor="text1"/>
          <w:szCs w:val="22"/>
        </w:rPr>
        <w:t xml:space="preserve">DHD values </w:t>
      </w:r>
      <w:r w:rsidR="007774EF" w:rsidRPr="00F1282F">
        <w:rPr>
          <w:rFonts w:eastAsia="SimSun" w:cs="Arial"/>
          <w:bCs/>
          <w:color w:val="000000" w:themeColor="text1"/>
          <w:szCs w:val="22"/>
        </w:rPr>
        <w:t xml:space="preserve">were calculated as the sum of daily positive deviations of mean temperature from the long-term seasonal average – a one degree exceedance for one day equates to one degree heating day. DHD values </w:t>
      </w:r>
      <w:r w:rsidR="00F175C6" w:rsidRPr="00F1282F">
        <w:rPr>
          <w:rFonts w:eastAsia="SimSun" w:cs="Arial"/>
          <w:bCs/>
          <w:color w:val="000000" w:themeColor="text1"/>
          <w:szCs w:val="22"/>
        </w:rPr>
        <w:t>were</w:t>
      </w:r>
      <w:r w:rsidR="007774EF" w:rsidRPr="00F1282F">
        <w:rPr>
          <w:color w:val="000000" w:themeColor="text1"/>
        </w:rPr>
        <w:t xml:space="preserve"> based on 14 day IMOS climatology</w:t>
      </w:r>
      <w:r w:rsidR="00F175C6" w:rsidRPr="00F1282F">
        <w:rPr>
          <w:rFonts w:eastAsia="SimSun" w:cs="Arial"/>
          <w:bCs/>
          <w:color w:val="000000" w:themeColor="text1"/>
          <w:szCs w:val="22"/>
        </w:rPr>
        <w:t>.</w:t>
      </w:r>
      <w:r w:rsidR="00EB4C0D">
        <w:rPr>
          <w:rFonts w:eastAsia="SimSun" w:cs="Arial"/>
          <w:bCs/>
          <w:color w:val="4F81BD" w:themeColor="accent1"/>
          <w:szCs w:val="22"/>
        </w:rPr>
        <w:t xml:space="preserve"> </w:t>
      </w:r>
      <w:r w:rsidR="00EB4C0D" w:rsidRPr="0009616B">
        <w:rPr>
          <w:rFonts w:eastAsia="SimSun" w:cs="Arial"/>
          <w:bCs/>
          <w:color w:val="000000" w:themeColor="text1"/>
          <w:szCs w:val="22"/>
        </w:rPr>
        <w:t>In addition</w:t>
      </w:r>
      <w:r w:rsidR="0009616B" w:rsidRPr="0009616B">
        <w:rPr>
          <w:rFonts w:eastAsia="SimSun" w:cs="Arial"/>
          <w:bCs/>
          <w:color w:val="000000" w:themeColor="text1"/>
          <w:szCs w:val="22"/>
        </w:rPr>
        <w:t>,</w:t>
      </w:r>
      <w:r w:rsidR="00EB4C0D" w:rsidRPr="0009616B">
        <w:rPr>
          <w:rFonts w:eastAsia="SimSun" w:cs="Arial"/>
          <w:bCs/>
          <w:color w:val="000000" w:themeColor="text1"/>
          <w:szCs w:val="22"/>
        </w:rPr>
        <w:t xml:space="preserve"> DHD estimates based </w:t>
      </w:r>
      <w:r w:rsidR="007B241E">
        <w:rPr>
          <w:rFonts w:eastAsia="SimSun" w:cs="Arial"/>
          <w:bCs/>
          <w:color w:val="000000" w:themeColor="text1"/>
          <w:szCs w:val="22"/>
        </w:rPr>
        <w:t xml:space="preserve">on </w:t>
      </w:r>
      <w:r w:rsidR="00036C05">
        <w:rPr>
          <w:rFonts w:eastAsia="SimSun" w:cs="Arial"/>
          <w:bCs/>
          <w:color w:val="000000" w:themeColor="text1"/>
          <w:szCs w:val="22"/>
        </w:rPr>
        <w:t>in situ</w:t>
      </w:r>
      <w:r w:rsidR="00EB4C0D" w:rsidRPr="0009616B">
        <w:rPr>
          <w:rFonts w:eastAsia="SimSun" w:cs="Arial"/>
          <w:bCs/>
          <w:color w:val="000000" w:themeColor="text1"/>
          <w:szCs w:val="22"/>
        </w:rPr>
        <w:t xml:space="preserve"> temperature records we estimated to compare against the satellite derived sea-surface estimates. For each (sub</w:t>
      </w:r>
      <w:r w:rsidR="0009616B" w:rsidRPr="0009616B">
        <w:rPr>
          <w:rFonts w:eastAsia="SimSun" w:cs="Arial"/>
          <w:bCs/>
          <w:color w:val="000000" w:themeColor="text1"/>
          <w:szCs w:val="22"/>
        </w:rPr>
        <w:t>-</w:t>
      </w:r>
      <w:r w:rsidR="00EB4C0D" w:rsidRPr="0009616B">
        <w:rPr>
          <w:rFonts w:eastAsia="SimSun" w:cs="Arial"/>
          <w:bCs/>
          <w:color w:val="000000" w:themeColor="text1"/>
          <w:szCs w:val="22"/>
        </w:rPr>
        <w:t>)</w:t>
      </w:r>
      <w:r w:rsidR="0009616B" w:rsidRPr="0009616B">
        <w:rPr>
          <w:rFonts w:eastAsia="SimSun" w:cs="Arial"/>
          <w:bCs/>
          <w:color w:val="000000" w:themeColor="text1"/>
          <w:szCs w:val="22"/>
        </w:rPr>
        <w:t>r</w:t>
      </w:r>
      <w:r w:rsidR="00EB4C0D" w:rsidRPr="0009616B">
        <w:rPr>
          <w:rFonts w:eastAsia="SimSun" w:cs="Arial"/>
          <w:bCs/>
          <w:color w:val="000000" w:themeColor="text1"/>
          <w:szCs w:val="22"/>
        </w:rPr>
        <w:t xml:space="preserve">egion all available </w:t>
      </w:r>
      <w:r w:rsidR="00036C05">
        <w:rPr>
          <w:rFonts w:eastAsia="SimSun" w:cs="Arial"/>
          <w:bCs/>
          <w:color w:val="000000" w:themeColor="text1"/>
          <w:szCs w:val="22"/>
        </w:rPr>
        <w:t>in situ</w:t>
      </w:r>
      <w:r w:rsidR="00EB4C0D" w:rsidRPr="0009616B">
        <w:rPr>
          <w:rFonts w:eastAsia="SimSun" w:cs="Arial"/>
          <w:bCs/>
          <w:color w:val="000000" w:themeColor="text1"/>
          <w:szCs w:val="22"/>
        </w:rPr>
        <w:t xml:space="preserve"> records over the period (</w:t>
      </w:r>
      <w:r w:rsidR="0009616B" w:rsidRPr="0009616B">
        <w:rPr>
          <w:rFonts w:eastAsia="SimSun" w:cs="Arial"/>
          <w:bCs/>
          <w:color w:val="000000" w:themeColor="text1"/>
          <w:szCs w:val="22"/>
        </w:rPr>
        <w:t>2005-2015</w:t>
      </w:r>
      <w:r w:rsidR="00EB4C0D" w:rsidRPr="0009616B">
        <w:rPr>
          <w:rFonts w:eastAsia="SimSun" w:cs="Arial"/>
          <w:bCs/>
          <w:color w:val="000000" w:themeColor="text1"/>
          <w:szCs w:val="22"/>
        </w:rPr>
        <w:t xml:space="preserve">) were averaged to </w:t>
      </w:r>
      <w:r w:rsidR="0009616B" w:rsidRPr="0009616B">
        <w:rPr>
          <w:rFonts w:eastAsia="SimSun" w:cs="Arial"/>
          <w:bCs/>
          <w:color w:val="000000" w:themeColor="text1"/>
          <w:szCs w:val="22"/>
        </w:rPr>
        <w:t>provide</w:t>
      </w:r>
      <w:r w:rsidR="00EB4C0D" w:rsidRPr="0009616B">
        <w:rPr>
          <w:rFonts w:eastAsia="SimSun" w:cs="Arial"/>
          <w:bCs/>
          <w:color w:val="000000" w:themeColor="text1"/>
          <w:szCs w:val="22"/>
        </w:rPr>
        <w:t xml:space="preserve"> mean temperature estimates for each day in the time series. A mean temperature profile was then constructed as the mean temperature for each day of the year. The (sub</w:t>
      </w:r>
      <w:r w:rsidR="0009616B" w:rsidRPr="0009616B">
        <w:rPr>
          <w:rFonts w:eastAsia="SimSun" w:cs="Arial"/>
          <w:bCs/>
          <w:color w:val="000000" w:themeColor="text1"/>
          <w:szCs w:val="22"/>
        </w:rPr>
        <w:t>-</w:t>
      </w:r>
      <w:r w:rsidR="00EB4C0D" w:rsidRPr="0009616B">
        <w:rPr>
          <w:rFonts w:eastAsia="SimSun" w:cs="Arial"/>
          <w:bCs/>
          <w:color w:val="000000" w:themeColor="text1"/>
          <w:szCs w:val="22"/>
        </w:rPr>
        <w:t>)</w:t>
      </w:r>
      <w:r w:rsidR="0009616B" w:rsidRPr="0009616B">
        <w:rPr>
          <w:rFonts w:eastAsia="SimSun" w:cs="Arial"/>
          <w:bCs/>
          <w:color w:val="000000" w:themeColor="text1"/>
          <w:szCs w:val="22"/>
        </w:rPr>
        <w:t>r</w:t>
      </w:r>
      <w:r w:rsidR="00EB4C0D" w:rsidRPr="0009616B">
        <w:rPr>
          <w:rFonts w:eastAsia="SimSun" w:cs="Arial"/>
          <w:bCs/>
          <w:color w:val="000000" w:themeColor="text1"/>
          <w:szCs w:val="22"/>
        </w:rPr>
        <w:t>egion climatology was then estimated as the 14 day running mean of this mean temperature profile. DHD were accumulated as the positive anomalies from the mean climatology over the months December through March inclusive.</w:t>
      </w:r>
    </w:p>
    <w:p w14:paraId="0064B813" w14:textId="77777777" w:rsidR="0055016E" w:rsidRPr="00973364" w:rsidRDefault="0055016E" w:rsidP="009C0112">
      <w:pPr>
        <w:pStyle w:val="Heading3"/>
      </w:pPr>
      <w:bookmarkStart w:id="72" w:name="_Toc514408384"/>
      <w:r w:rsidRPr="006A6972">
        <w:t xml:space="preserve">4.3.3 River </w:t>
      </w:r>
      <w:r w:rsidRPr="00973364">
        <w:t>discharge</w:t>
      </w:r>
      <w:bookmarkEnd w:id="72"/>
    </w:p>
    <w:p w14:paraId="32F67191" w14:textId="3BA5C2D5" w:rsidR="00845084" w:rsidRPr="00F352E1" w:rsidRDefault="0009616B" w:rsidP="00D2045F">
      <w:pPr>
        <w:rPr>
          <w:color w:val="4F81BD" w:themeColor="accent1"/>
        </w:rPr>
      </w:pPr>
      <w:r>
        <w:t>Daily</w:t>
      </w:r>
      <w:r w:rsidR="0055016E" w:rsidRPr="00973364">
        <w:t xml:space="preserve"> records of river discharge were obtained from Queensland Government Department of Natural Resources and Mines river gauge stations for the major rivers draining to the Reef. </w:t>
      </w:r>
      <w:r w:rsidR="00845084" w:rsidRPr="00973364">
        <w:t>Within each (sub-)region a</w:t>
      </w:r>
      <w:r w:rsidR="00C37DA8" w:rsidRPr="00973364">
        <w:t xml:space="preserve"> time-</w:t>
      </w:r>
      <w:r w:rsidR="0055016E" w:rsidRPr="00973364">
        <w:t>series of the</w:t>
      </w:r>
      <w:r w:rsidR="00845084" w:rsidRPr="00973364">
        <w:t xml:space="preserve"> combined discharge </w:t>
      </w:r>
      <w:r w:rsidR="00720FD8" w:rsidRPr="00973364">
        <w:t xml:space="preserve">from the major gauged rivers </w:t>
      </w:r>
      <w:r>
        <w:t>we</w:t>
      </w:r>
      <w:r w:rsidR="00845084" w:rsidRPr="00973364">
        <w:t xml:space="preserve">re plotted. </w:t>
      </w:r>
      <w:r w:rsidR="0055016E" w:rsidRPr="00973364">
        <w:t>Total annual discharge for each water year, 1</w:t>
      </w:r>
      <w:r w:rsidR="0055016E" w:rsidRPr="00973364">
        <w:rPr>
          <w:vertAlign w:val="superscript"/>
        </w:rPr>
        <w:t>st</w:t>
      </w:r>
      <w:r w:rsidR="0055016E" w:rsidRPr="00973364">
        <w:t xml:space="preserve"> October to 30</w:t>
      </w:r>
      <w:r w:rsidR="0055016E" w:rsidRPr="00973364">
        <w:rPr>
          <w:vertAlign w:val="superscript"/>
        </w:rPr>
        <w:t>th</w:t>
      </w:r>
      <w:r w:rsidR="0055016E" w:rsidRPr="00973364">
        <w:t xml:space="preserve"> September, </w:t>
      </w:r>
      <w:r>
        <w:t>we</w:t>
      </w:r>
      <w:r w:rsidR="0055016E" w:rsidRPr="00973364">
        <w:t>re also included</w:t>
      </w:r>
      <w:r w:rsidR="00845084" w:rsidRPr="00973364">
        <w:t xml:space="preserve"> along with a long-term median reference estimated over the period 1970-2000</w:t>
      </w:r>
      <w:r w:rsidR="0055016E" w:rsidRPr="00973364">
        <w:t>. These annual estimates include a correction factor applied to gaug</w:t>
      </w:r>
      <w:r w:rsidR="00056F6C" w:rsidRPr="00973364">
        <w:t>ed discharges to account for un</w:t>
      </w:r>
      <w:r w:rsidR="0055016E" w:rsidRPr="00973364">
        <w:t xml:space="preserve">gauged areas of the catchment following (Waterhouse </w:t>
      </w:r>
      <w:r w:rsidR="0055016E" w:rsidRPr="00973364">
        <w:rPr>
          <w:i/>
        </w:rPr>
        <w:t>et al.</w:t>
      </w:r>
      <w:r w:rsidR="0055016E" w:rsidRPr="00973364">
        <w:t xml:space="preserve"> 201</w:t>
      </w:r>
      <w:r w:rsidR="00841929">
        <w:t>8</w:t>
      </w:r>
      <w:r w:rsidR="00845084" w:rsidRPr="00973364">
        <w:t xml:space="preserve">). Annual discharge and medians for individual rivers are tabulated in the appendix of this report. </w:t>
      </w:r>
      <w:r w:rsidR="00A27F93" w:rsidRPr="00303CCA">
        <w:t>Total annual river discharge for each region was used as a covariate in analysis of change in coral index scores. For this analysis biennial changes in index scores were considered due to the underlying sampling design of the program.</w:t>
      </w:r>
      <w:r w:rsidR="00E75F5C" w:rsidRPr="00303CCA">
        <w:t xml:space="preserve"> </w:t>
      </w:r>
      <w:r w:rsidR="00720FD8" w:rsidRPr="00303CCA">
        <w:t>To match this sampling frequency</w:t>
      </w:r>
      <w:r w:rsidR="00C37DA8" w:rsidRPr="00303CCA">
        <w:t>,</w:t>
      </w:r>
      <w:r w:rsidR="00720FD8" w:rsidRPr="00303CCA">
        <w:t xml:space="preserve"> </w:t>
      </w:r>
      <w:r w:rsidR="00A27F93" w:rsidRPr="00303CCA">
        <w:t xml:space="preserve">the mean of the total annual discharge from all rivers discharging into a given region for each two year period between 2006 and </w:t>
      </w:r>
      <w:r w:rsidR="00973364" w:rsidRPr="00303CCA">
        <w:t xml:space="preserve">2017 </w:t>
      </w:r>
      <w:r w:rsidR="00C37DA8" w:rsidRPr="00303CCA">
        <w:t>was calculated</w:t>
      </w:r>
      <w:r w:rsidR="00A27F93" w:rsidRPr="00303CCA">
        <w:t>.</w:t>
      </w:r>
      <w:r w:rsidR="00720FD8" w:rsidRPr="00303CCA">
        <w:rPr>
          <w:color w:val="548DD4" w:themeColor="text2" w:themeTint="99"/>
        </w:rPr>
        <w:t xml:space="preserve"> </w:t>
      </w:r>
    </w:p>
    <w:p w14:paraId="336F9827" w14:textId="77777777" w:rsidR="00F14F1F" w:rsidRPr="00973364" w:rsidRDefault="00056F6C" w:rsidP="00247FC8">
      <w:pPr>
        <w:pStyle w:val="Heading3"/>
      </w:pPr>
      <w:bookmarkStart w:id="73" w:name="_Toc514408385"/>
      <w:r w:rsidRPr="00303CCA">
        <w:t>4.3.4</w:t>
      </w:r>
      <w:r w:rsidR="00F14F1F" w:rsidRPr="00303CCA">
        <w:t xml:space="preserve"> </w:t>
      </w:r>
      <w:r w:rsidR="00F14F1F" w:rsidRPr="00973364">
        <w:t>Sediment sampling</w:t>
      </w:r>
      <w:bookmarkEnd w:id="73"/>
    </w:p>
    <w:p w14:paraId="5B2CD52D" w14:textId="77777777" w:rsidR="00F14F1F" w:rsidRPr="00973364" w:rsidRDefault="001047B3" w:rsidP="00D2045F">
      <w:r w:rsidRPr="00973364">
        <w:t>The proportion of sediments with grainsize &lt; 63</w:t>
      </w:r>
      <w:r w:rsidRPr="00973364">
        <w:rPr>
          <w:rFonts w:cs="Arial"/>
        </w:rPr>
        <w:t>µ</w:t>
      </w:r>
      <w:r w:rsidRPr="00973364">
        <w:t>m (clay and silt) in sediments from the reefs sites was used as a proxy for exposure to wave and tide mediated resuspension</w:t>
      </w:r>
      <w:r w:rsidR="002C4122" w:rsidRPr="00973364">
        <w:t xml:space="preserve">. </w:t>
      </w:r>
      <w:r w:rsidRPr="00973364">
        <w:t>Th</w:t>
      </w:r>
      <w:r w:rsidR="001774E1">
        <w:t>ese estimates were</w:t>
      </w:r>
      <w:r w:rsidRPr="00973364">
        <w:t xml:space="preserve"> </w:t>
      </w:r>
      <w:r w:rsidR="001774E1">
        <w:t xml:space="preserve">used as covariates in analysis of spatial distributions of index and indicator scores and </w:t>
      </w:r>
      <w:r w:rsidRPr="00973364">
        <w:t>also in analyses that determined reef level thresholds for macroalgae in previous reports.</w:t>
      </w:r>
      <w:r w:rsidR="00E75F5C" w:rsidRPr="00973364">
        <w:t xml:space="preserve"> </w:t>
      </w:r>
      <w:r w:rsidR="002C4122" w:rsidRPr="00973364">
        <w:t>Grainsize distribution of sediments was estimated from samples collected from 5</w:t>
      </w:r>
      <w:r w:rsidR="00C37DA8" w:rsidRPr="00973364">
        <w:t xml:space="preserve"> </w:t>
      </w:r>
      <w:r w:rsidR="002C4122" w:rsidRPr="00973364">
        <w:t>m depth MMP sites at the ti</w:t>
      </w:r>
      <w:r w:rsidR="00056F6C" w:rsidRPr="00973364">
        <w:t xml:space="preserve">me of coral sampling </w:t>
      </w:r>
      <w:r w:rsidR="00C37DA8" w:rsidRPr="00973364">
        <w:t xml:space="preserve">until </w:t>
      </w:r>
      <w:r w:rsidR="00F14F1F" w:rsidRPr="00973364">
        <w:t>2014</w:t>
      </w:r>
      <w:r w:rsidR="002C4122" w:rsidRPr="00973364">
        <w:t>.</w:t>
      </w:r>
      <w:r w:rsidR="00F14F1F" w:rsidRPr="00973364">
        <w:t xml:space="preserve"> At each site five 60</w:t>
      </w:r>
      <w:r w:rsidR="00C37DA8" w:rsidRPr="00973364">
        <w:t xml:space="preserve"> </w:t>
      </w:r>
      <w:r w:rsidR="00F14F1F" w:rsidRPr="00973364">
        <w:t>ml syringe tubes were used to collect cores of surface sediment from available deposits</w:t>
      </w:r>
      <w:r w:rsidR="00F14F1F" w:rsidRPr="00973364" w:rsidDel="00B75830">
        <w:t xml:space="preserve"> </w:t>
      </w:r>
      <w:r w:rsidR="00F14F1F" w:rsidRPr="00973364">
        <w:t>along the 120</w:t>
      </w:r>
      <w:r w:rsidR="00C37DA8" w:rsidRPr="00973364">
        <w:t xml:space="preserve"> </w:t>
      </w:r>
      <w:r w:rsidR="00F14F1F" w:rsidRPr="00973364">
        <w:t xml:space="preserve">m length of the site. The end of the syringe tube was cut away to produce a uniform cylinder. Sediment was collected by pushing the tube into the sediment being careful not to suck sediment and pore-water into the tube with the plunger. A rubber stopper was then inserted to trap the sediment plug. </w:t>
      </w:r>
      <w:r w:rsidR="002C4122" w:rsidRPr="00973364">
        <w:t>T</w:t>
      </w:r>
      <w:r w:rsidR="00F14F1F" w:rsidRPr="00973364">
        <w:t xml:space="preserve">he </w:t>
      </w:r>
      <w:r w:rsidR="002C4122" w:rsidRPr="00973364">
        <w:t xml:space="preserve">surface </w:t>
      </w:r>
      <w:r w:rsidR="00F14F1F" w:rsidRPr="00973364">
        <w:t>centimetre of sediment</w:t>
      </w:r>
      <w:r w:rsidR="002C4122" w:rsidRPr="00973364">
        <w:t xml:space="preserve"> was retained and grainsize distribution determined by </w:t>
      </w:r>
      <w:r w:rsidR="00A77BB4" w:rsidRPr="00973364">
        <w:t xml:space="preserve">a combination of sieving and laser analysis </w:t>
      </w:r>
      <w:r w:rsidR="00F14F1F" w:rsidRPr="00973364">
        <w:t xml:space="preserve">carried out by the School of Earth Sciences, James Cook University </w:t>
      </w:r>
      <w:r w:rsidR="00A77BB4" w:rsidRPr="00973364">
        <w:t>(</w:t>
      </w:r>
      <w:r w:rsidR="00F14F1F" w:rsidRPr="00973364">
        <w:t>2005-2009</w:t>
      </w:r>
      <w:r w:rsidR="00A77BB4" w:rsidRPr="00973364">
        <w:t>)</w:t>
      </w:r>
      <w:r w:rsidR="00F14F1F" w:rsidRPr="00973364">
        <w:t xml:space="preserve"> and subsequently by Geoscience Australia. For LTMP sites the clay and silt content of sediments was estimated by interpolating between MMP reefs with similar exposure to the south east as the predominant direction of wave energy in the Reef. Estimated sediment composition was verified by visually checking images including sediment from photo transects against images from MMP reefs with similar exposure. For the new site at Bedarra sediment samples collected in 2015 were passed through a 63</w:t>
      </w:r>
      <w:r w:rsidR="00F14F1F" w:rsidRPr="00973364">
        <w:rPr>
          <w:rFonts w:cs="Arial"/>
        </w:rPr>
        <w:t xml:space="preserve"> µ</w:t>
      </w:r>
      <w:r w:rsidR="00F14F1F" w:rsidRPr="00973364">
        <w:t>m sieve to estimate the clay and silt grain-sized proportion of the sample.</w:t>
      </w:r>
    </w:p>
    <w:p w14:paraId="61FB0459" w14:textId="77777777" w:rsidR="00056F6C" w:rsidRPr="00973364" w:rsidRDefault="00056F6C" w:rsidP="00247FC8">
      <w:pPr>
        <w:pStyle w:val="Heading3"/>
      </w:pPr>
      <w:bookmarkStart w:id="74" w:name="_Toc514408386"/>
      <w:r w:rsidRPr="00303CCA">
        <w:t xml:space="preserve">4.3.5 </w:t>
      </w:r>
      <w:r w:rsidRPr="00973364">
        <w:t>SCUBA search transects</w:t>
      </w:r>
      <w:bookmarkEnd w:id="74"/>
    </w:p>
    <w:p w14:paraId="75E2C4D6" w14:textId="77777777" w:rsidR="00056F6C" w:rsidRPr="00973364" w:rsidRDefault="00056F6C" w:rsidP="00D2045F">
      <w:r w:rsidRPr="00973364">
        <w:t xml:space="preserve">SCUBA search transects document the incidence of disease and other agents of coral mortality and damage. Tracking of these agents of mortality is important, </w:t>
      </w:r>
      <w:r w:rsidR="009E5A55">
        <w:t>as</w:t>
      </w:r>
      <w:r w:rsidR="009E5A55" w:rsidRPr="00973364">
        <w:t xml:space="preserve"> </w:t>
      </w:r>
      <w:r w:rsidRPr="00973364">
        <w:t xml:space="preserve">declines in coral condition due to these agents are potentially associated with increased exposure to nutrients or turbidity (Morrow </w:t>
      </w:r>
      <w:r w:rsidRPr="00973364">
        <w:rPr>
          <w:i/>
        </w:rPr>
        <w:t>et al</w:t>
      </w:r>
      <w:r w:rsidRPr="00973364">
        <w:t xml:space="preserve">. 2012, Vega Thurber </w:t>
      </w:r>
      <w:r w:rsidRPr="00973364">
        <w:rPr>
          <w:i/>
        </w:rPr>
        <w:t>et al.</w:t>
      </w:r>
      <w:r w:rsidR="00D310C2" w:rsidRPr="00973364">
        <w:t xml:space="preserve"> 2013</w:t>
      </w:r>
      <w:r w:rsidRPr="00973364">
        <w:t>). The resulting data are used primarily for interpretive purposes and help to identify both acute events such as a high proportion of dam</w:t>
      </w:r>
      <w:r w:rsidR="001774E1">
        <w:t xml:space="preserve">aged corals following storms, </w:t>
      </w:r>
      <w:r w:rsidRPr="00973364">
        <w:t xml:space="preserve">high densities of coral predators, or periods of chronic stress as inferred from high levels of coral disease. This method follows closely the Standard Operation Procedure Number 9 of the LTMP (Miller </w:t>
      </w:r>
      <w:r w:rsidRPr="00973364">
        <w:rPr>
          <w:i/>
        </w:rPr>
        <w:t>et al.</w:t>
      </w:r>
      <w:r w:rsidRPr="00973364">
        <w:t xml:space="preserve"> 2009). For each 2</w:t>
      </w:r>
      <w:r w:rsidR="00AA72A3" w:rsidRPr="00973364">
        <w:t>0 m</w:t>
      </w:r>
      <w:r w:rsidRPr="00973364">
        <w:t xml:space="preserve"> transect a search was conducted within a </w:t>
      </w:r>
      <w:r w:rsidR="00AA72A3" w:rsidRPr="00973364">
        <w:t>2 m</w:t>
      </w:r>
      <w:r w:rsidRPr="00973364">
        <w:t xml:space="preserve"> wide belt centred on the marked transect line. Within this this belt any colony exhibiting a scar (bare white skeleton) was identified to genus and</w:t>
      </w:r>
      <w:r w:rsidR="001774E1">
        <w:t xml:space="preserve"> the cause of the scar categori</w:t>
      </w:r>
      <w:r w:rsidRPr="00973364">
        <w:t>s</w:t>
      </w:r>
      <w:r w:rsidR="001774E1">
        <w:t>ed</w:t>
      </w:r>
      <w:r w:rsidRPr="00973364">
        <w:t xml:space="preserve"> as either; brown band disease, black band disease, white syndrome (a catch all for unspecified disease), </w:t>
      </w:r>
      <w:r w:rsidRPr="00973364">
        <w:rPr>
          <w:i/>
        </w:rPr>
        <w:t xml:space="preserve">Drupella </w:t>
      </w:r>
      <w:r w:rsidRPr="00973364">
        <w:t xml:space="preserve">– in which case the number of </w:t>
      </w:r>
      <w:r w:rsidRPr="00973364">
        <w:rPr>
          <w:i/>
        </w:rPr>
        <w:t>Drupella</w:t>
      </w:r>
      <w:r w:rsidRPr="00973364">
        <w:t xml:space="preserve"> snails were recorded, crown-of-thorns </w:t>
      </w:r>
      <w:r w:rsidR="003A1283">
        <w:t xml:space="preserve">starfish feeding </w:t>
      </w:r>
      <w:r w:rsidRPr="00973364">
        <w:t xml:space="preserve">scar, </w:t>
      </w:r>
      <w:r w:rsidR="001774E1">
        <w:t xml:space="preserve">bleaching when the colony was bleached and partial mortality was occurring, </w:t>
      </w:r>
      <w:r w:rsidRPr="00973364">
        <w:t>and unknown when a cause could not be confidently assumed. In addition</w:t>
      </w:r>
      <w:r w:rsidR="001774E1">
        <w:t>,</w:t>
      </w:r>
      <w:r w:rsidRPr="00973364">
        <w:t xml:space="preserve"> the number of crown-of-thorns </w:t>
      </w:r>
      <w:r w:rsidR="003A1283">
        <w:t xml:space="preserve">starfish </w:t>
      </w:r>
      <w:r w:rsidRPr="00973364">
        <w:t>and their size-class were counted and colonies being overgrown by sponges also recorded. Finally an 11 point scale was used to record the proportions of the coral community that were bleached or had been physically damaged - as indicated by toppled or broken colonies. The scale ranges from 0+ when individual colonies were bleached or damaged th</w:t>
      </w:r>
      <w:r w:rsidR="00A349DF">
        <w:t>r</w:t>
      </w:r>
      <w:r w:rsidRPr="00973364">
        <w:t>ough the categories 1 to 5 when 1-10%, 11-30%, 31-50%, 50-75% and 75-100% of colonies affected. The categories 1 to 5 are further refined by inclusion of a –ve or +ve symbol when affected proportions are estimated as being in the lower or upper portion of the category. The physical damage category may include anchor as well as storm damage. The LTMP include these surveys over the full 5</w:t>
      </w:r>
      <w:r w:rsidR="00AA72A3" w:rsidRPr="00973364">
        <w:t>0 m</w:t>
      </w:r>
      <w:r w:rsidRPr="00973364">
        <w:t xml:space="preserve"> length of transects used in that program.</w:t>
      </w:r>
    </w:p>
    <w:p w14:paraId="17A64546" w14:textId="77777777" w:rsidR="00056F6C" w:rsidRPr="00F352E1" w:rsidRDefault="00056F6C" w:rsidP="00056F6C">
      <w:pPr>
        <w:rPr>
          <w:rFonts w:eastAsiaTheme="majorEastAsia" w:cstheme="majorBidi"/>
          <w:b/>
          <w:bCs/>
          <w:color w:val="4F81BD" w:themeColor="accent1"/>
          <w:sz w:val="26"/>
          <w:szCs w:val="26"/>
        </w:rPr>
      </w:pPr>
    </w:p>
    <w:p w14:paraId="60BC47E6" w14:textId="77777777" w:rsidR="00056F6C" w:rsidRPr="00F352E1" w:rsidRDefault="00056F6C">
      <w:pPr>
        <w:jc w:val="left"/>
        <w:rPr>
          <w:color w:val="4F81BD" w:themeColor="accent1"/>
        </w:rPr>
        <w:sectPr w:rsidR="00056F6C" w:rsidRPr="00F352E1" w:rsidSect="00E868B5">
          <w:footerReference w:type="default" r:id="rId36"/>
          <w:pgSz w:w="11907" w:h="16840" w:code="9"/>
          <w:pgMar w:top="1440" w:right="1134" w:bottom="1134" w:left="1134" w:header="709" w:footer="709" w:gutter="0"/>
          <w:pgNumType w:start="1"/>
          <w:cols w:space="708"/>
          <w:docGrid w:linePitch="360"/>
        </w:sectPr>
      </w:pPr>
    </w:p>
    <w:p w14:paraId="321F289C" w14:textId="1FC1D87E" w:rsidR="00F84112" w:rsidRPr="00F352E1" w:rsidRDefault="00F23F74" w:rsidP="00606A50">
      <w:pPr>
        <w:pStyle w:val="Caption"/>
        <w:rPr>
          <w:rStyle w:val="IntenseReference"/>
          <w:rFonts w:eastAsia="SimSun"/>
          <w:color w:val="4F81BD" w:themeColor="accent1"/>
        </w:rPr>
      </w:pPr>
      <w:bookmarkStart w:id="75" w:name="_Ref491091475"/>
      <w:bookmarkStart w:id="76" w:name="_Toc514407850"/>
      <w:r w:rsidRPr="00F352E1">
        <w:t xml:space="preserve">Table </w:t>
      </w:r>
      <w:r w:rsidR="00626D6B">
        <w:fldChar w:fldCharType="begin"/>
      </w:r>
      <w:r w:rsidR="00626D6B">
        <w:instrText xml:space="preserve"> SEQ Table \* ARABIC </w:instrText>
      </w:r>
      <w:r w:rsidR="00626D6B">
        <w:fldChar w:fldCharType="separate"/>
      </w:r>
      <w:r w:rsidR="00A75175">
        <w:rPr>
          <w:noProof/>
        </w:rPr>
        <w:t>2</w:t>
      </w:r>
      <w:r w:rsidR="00626D6B">
        <w:rPr>
          <w:noProof/>
        </w:rPr>
        <w:fldChar w:fldCharType="end"/>
      </w:r>
      <w:bookmarkEnd w:id="75"/>
      <w:r w:rsidRPr="00F352E1">
        <w:t xml:space="preserve"> Summary of climate and environment</w:t>
      </w:r>
      <w:r w:rsidR="00A812A7">
        <w:t>al</w:t>
      </w:r>
      <w:r w:rsidRPr="00F352E1">
        <w:t xml:space="preserve"> data included in</w:t>
      </w:r>
      <w:r w:rsidR="00AD7DBA">
        <w:t xml:space="preserve"> or</w:t>
      </w:r>
      <w:r w:rsidRPr="00F352E1">
        <w:t xml:space="preserve"> </w:t>
      </w:r>
      <w:r w:rsidR="00AD7DBA">
        <w:t xml:space="preserve">considered </w:t>
      </w:r>
      <w:r w:rsidR="00A812A7">
        <w:t xml:space="preserve">in </w:t>
      </w:r>
      <w:r w:rsidRPr="00F352E1">
        <w:t>this report</w:t>
      </w:r>
      <w:bookmarkEnd w:id="76"/>
      <w:r w:rsidR="00F84112" w:rsidRPr="00F352E1">
        <w:rPr>
          <w:rStyle w:val="IntenseReference"/>
          <w:rFonts w:eastAsia="SimSun"/>
          <w:color w:val="4F81BD" w:themeColor="accent1"/>
        </w:rPr>
        <w:t xml:space="preserve"> </w:t>
      </w:r>
    </w:p>
    <w:tbl>
      <w:tblPr>
        <w:tblW w:w="12743" w:type="dxa"/>
        <w:tblBorders>
          <w:bottom w:val="single" w:sz="4" w:space="0" w:color="auto"/>
        </w:tblBorders>
        <w:tblLayout w:type="fixed"/>
        <w:tblLook w:val="04A0" w:firstRow="1" w:lastRow="0" w:firstColumn="1" w:lastColumn="0" w:noHBand="0" w:noVBand="1"/>
        <w:tblCaption w:val="Summary of climate and environmental data included in or considered in this report"/>
        <w:tblDescription w:val="A list of environemntal covariates, the temporal span of those data, the methods used for their derevation, the usage of data within the report and the source of data."/>
      </w:tblPr>
      <w:tblGrid>
        <w:gridCol w:w="2198"/>
        <w:gridCol w:w="1512"/>
        <w:gridCol w:w="3394"/>
        <w:gridCol w:w="2535"/>
        <w:gridCol w:w="3104"/>
      </w:tblGrid>
      <w:tr w:rsidR="00464DC3" w:rsidRPr="00064B7C" w14:paraId="729E375C" w14:textId="77777777" w:rsidTr="00C82ABC">
        <w:trPr>
          <w:trHeight w:val="397"/>
        </w:trPr>
        <w:tc>
          <w:tcPr>
            <w:tcW w:w="2198" w:type="dxa"/>
            <w:tcBorders>
              <w:top w:val="single" w:sz="4" w:space="0" w:color="auto"/>
              <w:bottom w:val="single" w:sz="4" w:space="0" w:color="auto"/>
            </w:tcBorders>
            <w:shd w:val="clear" w:color="auto" w:fill="BBE0E3"/>
            <w:vAlign w:val="center"/>
          </w:tcPr>
          <w:p w14:paraId="7065AB48" w14:textId="77777777" w:rsidR="008D0DFE" w:rsidRPr="00064B7C" w:rsidRDefault="008D0DFE" w:rsidP="00052B5C">
            <w:pPr>
              <w:spacing w:after="0" w:line="200" w:lineRule="exact"/>
              <w:ind w:right="-108"/>
              <w:jc w:val="center"/>
              <w:rPr>
                <w:b/>
                <w:sz w:val="18"/>
                <w:szCs w:val="18"/>
              </w:rPr>
            </w:pPr>
          </w:p>
        </w:tc>
        <w:tc>
          <w:tcPr>
            <w:tcW w:w="1512" w:type="dxa"/>
            <w:tcBorders>
              <w:top w:val="single" w:sz="4" w:space="0" w:color="auto"/>
              <w:bottom w:val="single" w:sz="4" w:space="0" w:color="auto"/>
            </w:tcBorders>
            <w:shd w:val="clear" w:color="auto" w:fill="BBE0E3"/>
            <w:vAlign w:val="center"/>
          </w:tcPr>
          <w:p w14:paraId="0768D55B" w14:textId="77777777" w:rsidR="008D0DFE" w:rsidRPr="00064B7C" w:rsidRDefault="008D0DFE" w:rsidP="00052B5C">
            <w:pPr>
              <w:spacing w:after="0" w:line="200" w:lineRule="exact"/>
              <w:jc w:val="center"/>
              <w:rPr>
                <w:b/>
                <w:sz w:val="18"/>
                <w:szCs w:val="18"/>
              </w:rPr>
            </w:pPr>
            <w:r w:rsidRPr="00064B7C">
              <w:rPr>
                <w:b/>
                <w:sz w:val="18"/>
                <w:szCs w:val="18"/>
              </w:rPr>
              <w:t>Data range</w:t>
            </w:r>
          </w:p>
        </w:tc>
        <w:tc>
          <w:tcPr>
            <w:tcW w:w="3394" w:type="dxa"/>
            <w:tcBorders>
              <w:top w:val="single" w:sz="4" w:space="0" w:color="auto"/>
              <w:bottom w:val="single" w:sz="4" w:space="0" w:color="auto"/>
            </w:tcBorders>
            <w:shd w:val="clear" w:color="auto" w:fill="BBE0E3"/>
            <w:vAlign w:val="center"/>
          </w:tcPr>
          <w:p w14:paraId="5BCDC29F" w14:textId="77777777" w:rsidR="008D0DFE" w:rsidRPr="00064B7C" w:rsidRDefault="008D0DFE" w:rsidP="00052B5C">
            <w:pPr>
              <w:spacing w:after="0" w:line="200" w:lineRule="exact"/>
              <w:jc w:val="center"/>
              <w:rPr>
                <w:b/>
                <w:sz w:val="18"/>
                <w:szCs w:val="18"/>
              </w:rPr>
            </w:pPr>
            <w:r w:rsidRPr="00064B7C">
              <w:rPr>
                <w:b/>
                <w:sz w:val="18"/>
                <w:szCs w:val="18"/>
              </w:rPr>
              <w:t>Method</w:t>
            </w:r>
          </w:p>
        </w:tc>
        <w:tc>
          <w:tcPr>
            <w:tcW w:w="2535" w:type="dxa"/>
            <w:tcBorders>
              <w:top w:val="single" w:sz="4" w:space="0" w:color="auto"/>
              <w:bottom w:val="single" w:sz="4" w:space="0" w:color="auto"/>
            </w:tcBorders>
            <w:shd w:val="clear" w:color="auto" w:fill="BBE0E3"/>
            <w:vAlign w:val="center"/>
          </w:tcPr>
          <w:p w14:paraId="7FB0414C" w14:textId="77777777" w:rsidR="008D0DFE" w:rsidRPr="00064B7C" w:rsidRDefault="008D0DFE" w:rsidP="00052B5C">
            <w:pPr>
              <w:spacing w:after="0" w:line="200" w:lineRule="exact"/>
              <w:jc w:val="center"/>
              <w:rPr>
                <w:b/>
                <w:sz w:val="18"/>
                <w:szCs w:val="18"/>
              </w:rPr>
            </w:pPr>
            <w:r w:rsidRPr="00064B7C">
              <w:rPr>
                <w:b/>
                <w:sz w:val="18"/>
                <w:szCs w:val="18"/>
              </w:rPr>
              <w:t>Usage</w:t>
            </w:r>
          </w:p>
        </w:tc>
        <w:tc>
          <w:tcPr>
            <w:tcW w:w="3104" w:type="dxa"/>
            <w:tcBorders>
              <w:top w:val="single" w:sz="4" w:space="0" w:color="auto"/>
              <w:bottom w:val="single" w:sz="4" w:space="0" w:color="auto"/>
            </w:tcBorders>
            <w:shd w:val="clear" w:color="auto" w:fill="BBE0E3"/>
            <w:vAlign w:val="center"/>
          </w:tcPr>
          <w:p w14:paraId="27C60443" w14:textId="77777777" w:rsidR="008D0DFE" w:rsidRPr="00064B7C" w:rsidRDefault="008D0DFE" w:rsidP="00052B5C">
            <w:pPr>
              <w:spacing w:after="0" w:line="200" w:lineRule="exact"/>
              <w:jc w:val="center"/>
              <w:rPr>
                <w:b/>
                <w:sz w:val="18"/>
                <w:szCs w:val="18"/>
              </w:rPr>
            </w:pPr>
            <w:r w:rsidRPr="00064B7C">
              <w:rPr>
                <w:b/>
                <w:sz w:val="18"/>
                <w:szCs w:val="18"/>
              </w:rPr>
              <w:t>Data source</w:t>
            </w:r>
          </w:p>
        </w:tc>
      </w:tr>
      <w:tr w:rsidR="00464DC3" w:rsidRPr="00064B7C" w14:paraId="67572107" w14:textId="77777777" w:rsidTr="00C82ABC">
        <w:trPr>
          <w:trHeight w:val="397"/>
        </w:trPr>
        <w:tc>
          <w:tcPr>
            <w:tcW w:w="2198" w:type="dxa"/>
            <w:tcBorders>
              <w:top w:val="single" w:sz="4" w:space="0" w:color="auto"/>
              <w:bottom w:val="single" w:sz="4" w:space="0" w:color="auto"/>
            </w:tcBorders>
            <w:shd w:val="clear" w:color="auto" w:fill="E7F3F4"/>
          </w:tcPr>
          <w:p w14:paraId="3ABEA707" w14:textId="77777777" w:rsidR="008D0DFE" w:rsidRPr="00064B7C" w:rsidRDefault="008D0DFE" w:rsidP="00052B5C">
            <w:pPr>
              <w:spacing w:after="0" w:line="200" w:lineRule="exact"/>
              <w:rPr>
                <w:i/>
                <w:sz w:val="18"/>
                <w:szCs w:val="18"/>
              </w:rPr>
            </w:pPr>
            <w:r w:rsidRPr="00064B7C">
              <w:rPr>
                <w:i/>
                <w:sz w:val="18"/>
                <w:szCs w:val="18"/>
              </w:rPr>
              <w:t>Climate</w:t>
            </w:r>
          </w:p>
        </w:tc>
        <w:tc>
          <w:tcPr>
            <w:tcW w:w="1512" w:type="dxa"/>
            <w:tcBorders>
              <w:top w:val="single" w:sz="4" w:space="0" w:color="auto"/>
              <w:bottom w:val="single" w:sz="4" w:space="0" w:color="auto"/>
            </w:tcBorders>
            <w:shd w:val="clear" w:color="auto" w:fill="E7F3F4"/>
          </w:tcPr>
          <w:p w14:paraId="3F1A92E2" w14:textId="77777777" w:rsidR="008D0DFE" w:rsidRPr="00064B7C" w:rsidRDefault="008D0DFE" w:rsidP="00052B5C">
            <w:pPr>
              <w:spacing w:after="0" w:line="200" w:lineRule="exact"/>
              <w:rPr>
                <w:sz w:val="18"/>
                <w:szCs w:val="18"/>
              </w:rPr>
            </w:pPr>
          </w:p>
        </w:tc>
        <w:tc>
          <w:tcPr>
            <w:tcW w:w="3394" w:type="dxa"/>
            <w:tcBorders>
              <w:top w:val="single" w:sz="4" w:space="0" w:color="auto"/>
              <w:bottom w:val="single" w:sz="4" w:space="0" w:color="auto"/>
            </w:tcBorders>
            <w:shd w:val="clear" w:color="auto" w:fill="E7F3F4"/>
          </w:tcPr>
          <w:p w14:paraId="7981ABAF" w14:textId="77777777" w:rsidR="008D0DFE" w:rsidRPr="00064B7C" w:rsidRDefault="008D0DFE" w:rsidP="00052B5C">
            <w:pPr>
              <w:spacing w:after="0" w:line="200" w:lineRule="exact"/>
              <w:rPr>
                <w:sz w:val="18"/>
                <w:szCs w:val="18"/>
              </w:rPr>
            </w:pPr>
          </w:p>
        </w:tc>
        <w:tc>
          <w:tcPr>
            <w:tcW w:w="2535" w:type="dxa"/>
            <w:tcBorders>
              <w:top w:val="single" w:sz="4" w:space="0" w:color="auto"/>
              <w:bottom w:val="single" w:sz="4" w:space="0" w:color="auto"/>
            </w:tcBorders>
            <w:shd w:val="clear" w:color="auto" w:fill="E7F3F4"/>
          </w:tcPr>
          <w:p w14:paraId="7EA452A1" w14:textId="77777777" w:rsidR="008D0DFE" w:rsidRPr="00064B7C" w:rsidRDefault="008D0DFE" w:rsidP="00052B5C">
            <w:pPr>
              <w:spacing w:after="0" w:line="200" w:lineRule="exact"/>
              <w:rPr>
                <w:sz w:val="18"/>
                <w:szCs w:val="18"/>
              </w:rPr>
            </w:pPr>
          </w:p>
        </w:tc>
        <w:tc>
          <w:tcPr>
            <w:tcW w:w="3104" w:type="dxa"/>
            <w:tcBorders>
              <w:top w:val="single" w:sz="4" w:space="0" w:color="auto"/>
              <w:bottom w:val="single" w:sz="4" w:space="0" w:color="auto"/>
            </w:tcBorders>
            <w:shd w:val="clear" w:color="auto" w:fill="E7F3F4"/>
          </w:tcPr>
          <w:p w14:paraId="0102E6A6" w14:textId="77777777" w:rsidR="008D0DFE" w:rsidRPr="00064B7C" w:rsidRDefault="008D0DFE" w:rsidP="00052B5C">
            <w:pPr>
              <w:spacing w:after="0" w:line="200" w:lineRule="exact"/>
              <w:rPr>
                <w:sz w:val="18"/>
                <w:szCs w:val="18"/>
              </w:rPr>
            </w:pPr>
          </w:p>
        </w:tc>
      </w:tr>
      <w:tr w:rsidR="00464DC3" w:rsidRPr="00064B7C" w14:paraId="23010AB1" w14:textId="77777777" w:rsidTr="00C82ABC">
        <w:trPr>
          <w:trHeight w:val="397"/>
        </w:trPr>
        <w:tc>
          <w:tcPr>
            <w:tcW w:w="2198" w:type="dxa"/>
            <w:tcBorders>
              <w:top w:val="single" w:sz="4" w:space="0" w:color="auto"/>
              <w:bottom w:val="single" w:sz="4" w:space="0" w:color="auto"/>
            </w:tcBorders>
            <w:shd w:val="clear" w:color="auto" w:fill="E7F3F4"/>
          </w:tcPr>
          <w:p w14:paraId="149B08A0" w14:textId="77777777" w:rsidR="008D0DFE" w:rsidRPr="00064B7C" w:rsidRDefault="008D0DFE" w:rsidP="00052B5C">
            <w:pPr>
              <w:spacing w:after="0"/>
              <w:ind w:left="176"/>
              <w:rPr>
                <w:sz w:val="18"/>
                <w:szCs w:val="18"/>
              </w:rPr>
            </w:pPr>
            <w:r w:rsidRPr="00064B7C">
              <w:rPr>
                <w:sz w:val="18"/>
                <w:szCs w:val="18"/>
              </w:rPr>
              <w:t>Cyclones</w:t>
            </w:r>
          </w:p>
        </w:tc>
        <w:tc>
          <w:tcPr>
            <w:tcW w:w="1512" w:type="dxa"/>
            <w:tcBorders>
              <w:top w:val="single" w:sz="4" w:space="0" w:color="auto"/>
              <w:bottom w:val="single" w:sz="4" w:space="0" w:color="auto"/>
            </w:tcBorders>
            <w:shd w:val="clear" w:color="auto" w:fill="E7F3F4"/>
          </w:tcPr>
          <w:p w14:paraId="1AA6A377" w14:textId="77777777" w:rsidR="008D0DFE" w:rsidRPr="00064B7C" w:rsidRDefault="00064B7C" w:rsidP="00F84112">
            <w:pPr>
              <w:spacing w:after="0"/>
              <w:rPr>
                <w:sz w:val="18"/>
                <w:szCs w:val="18"/>
              </w:rPr>
            </w:pPr>
            <w:r w:rsidRPr="00064B7C">
              <w:rPr>
                <w:sz w:val="18"/>
                <w:szCs w:val="18"/>
              </w:rPr>
              <w:t>1990 - 2017</w:t>
            </w:r>
          </w:p>
        </w:tc>
        <w:tc>
          <w:tcPr>
            <w:tcW w:w="3394" w:type="dxa"/>
            <w:tcBorders>
              <w:top w:val="single" w:sz="4" w:space="0" w:color="auto"/>
              <w:bottom w:val="single" w:sz="4" w:space="0" w:color="auto"/>
            </w:tcBorders>
            <w:shd w:val="clear" w:color="auto" w:fill="E7F3F4"/>
          </w:tcPr>
          <w:p w14:paraId="05D9CEB2" w14:textId="77777777" w:rsidR="008D0DFE" w:rsidRPr="00064B7C" w:rsidRDefault="000F37A2" w:rsidP="00052B5C">
            <w:pPr>
              <w:spacing w:after="0"/>
              <w:rPr>
                <w:sz w:val="18"/>
                <w:szCs w:val="18"/>
              </w:rPr>
            </w:pPr>
            <w:r w:rsidRPr="00064B7C">
              <w:rPr>
                <w:sz w:val="18"/>
                <w:szCs w:val="18"/>
              </w:rPr>
              <w:t>c</w:t>
            </w:r>
            <w:r w:rsidR="008D0DFE" w:rsidRPr="00064B7C">
              <w:rPr>
                <w:sz w:val="18"/>
                <w:szCs w:val="18"/>
              </w:rPr>
              <w:t>yclone track mapping</w:t>
            </w:r>
          </w:p>
        </w:tc>
        <w:tc>
          <w:tcPr>
            <w:tcW w:w="2535" w:type="dxa"/>
            <w:tcBorders>
              <w:top w:val="single" w:sz="4" w:space="0" w:color="auto"/>
              <w:bottom w:val="single" w:sz="4" w:space="0" w:color="auto"/>
            </w:tcBorders>
            <w:shd w:val="clear" w:color="auto" w:fill="E7F3F4"/>
          </w:tcPr>
          <w:p w14:paraId="0FDB3A90" w14:textId="77777777" w:rsidR="008D0DFE" w:rsidRPr="00064B7C" w:rsidRDefault="000F37A2" w:rsidP="00052B5C">
            <w:pPr>
              <w:spacing w:after="0"/>
              <w:rPr>
                <w:sz w:val="18"/>
                <w:szCs w:val="18"/>
              </w:rPr>
            </w:pPr>
            <w:r w:rsidRPr="00064B7C">
              <w:rPr>
                <w:sz w:val="18"/>
                <w:szCs w:val="18"/>
              </w:rPr>
              <w:t>c</w:t>
            </w:r>
            <w:r w:rsidR="008D0DFE" w:rsidRPr="00064B7C">
              <w:rPr>
                <w:sz w:val="18"/>
                <w:szCs w:val="18"/>
              </w:rPr>
              <w:t>yclone disturbance categorisation</w:t>
            </w:r>
          </w:p>
        </w:tc>
        <w:tc>
          <w:tcPr>
            <w:tcW w:w="3104" w:type="dxa"/>
            <w:tcBorders>
              <w:top w:val="single" w:sz="4" w:space="0" w:color="auto"/>
              <w:bottom w:val="single" w:sz="4" w:space="0" w:color="auto"/>
            </w:tcBorders>
            <w:shd w:val="clear" w:color="auto" w:fill="E7F3F4"/>
          </w:tcPr>
          <w:p w14:paraId="68626D1E" w14:textId="77777777" w:rsidR="008D0DFE" w:rsidRPr="00064B7C" w:rsidRDefault="008D0DFE" w:rsidP="00052B5C">
            <w:pPr>
              <w:spacing w:after="0"/>
              <w:rPr>
                <w:sz w:val="18"/>
                <w:szCs w:val="18"/>
              </w:rPr>
            </w:pPr>
            <w:r w:rsidRPr="00064B7C">
              <w:rPr>
                <w:sz w:val="18"/>
                <w:szCs w:val="18"/>
              </w:rPr>
              <w:t>www.australiasevereweather.com</w:t>
            </w:r>
          </w:p>
        </w:tc>
      </w:tr>
      <w:tr w:rsidR="00464DC3" w:rsidRPr="00064B7C" w14:paraId="328E3FD8" w14:textId="77777777" w:rsidTr="00C82ABC">
        <w:trPr>
          <w:trHeight w:val="397"/>
        </w:trPr>
        <w:tc>
          <w:tcPr>
            <w:tcW w:w="2198" w:type="dxa"/>
            <w:tcBorders>
              <w:top w:val="single" w:sz="4" w:space="0" w:color="auto"/>
              <w:bottom w:val="single" w:sz="4" w:space="0" w:color="auto"/>
            </w:tcBorders>
            <w:shd w:val="clear" w:color="auto" w:fill="E7F3F4"/>
          </w:tcPr>
          <w:p w14:paraId="7A03E643" w14:textId="77777777" w:rsidR="008D0DFE" w:rsidRPr="00064B7C" w:rsidRDefault="008D0DFE" w:rsidP="00052B5C">
            <w:pPr>
              <w:spacing w:after="0"/>
              <w:ind w:left="176"/>
              <w:rPr>
                <w:sz w:val="18"/>
                <w:szCs w:val="18"/>
              </w:rPr>
            </w:pPr>
            <w:r w:rsidRPr="00064B7C">
              <w:rPr>
                <w:sz w:val="18"/>
                <w:szCs w:val="18"/>
              </w:rPr>
              <w:t>Riverine discharge</w:t>
            </w:r>
          </w:p>
        </w:tc>
        <w:tc>
          <w:tcPr>
            <w:tcW w:w="1512" w:type="dxa"/>
            <w:tcBorders>
              <w:top w:val="single" w:sz="4" w:space="0" w:color="auto"/>
              <w:bottom w:val="single" w:sz="4" w:space="0" w:color="auto"/>
            </w:tcBorders>
            <w:shd w:val="clear" w:color="auto" w:fill="E7F3F4"/>
          </w:tcPr>
          <w:p w14:paraId="02A5A0DD" w14:textId="77777777" w:rsidR="008D0DFE" w:rsidRPr="00064B7C" w:rsidRDefault="00DD4954" w:rsidP="00DD4954">
            <w:pPr>
              <w:spacing w:after="0"/>
              <w:rPr>
                <w:sz w:val="18"/>
                <w:szCs w:val="18"/>
              </w:rPr>
            </w:pPr>
            <w:r w:rsidRPr="00064B7C">
              <w:rPr>
                <w:sz w:val="18"/>
                <w:szCs w:val="18"/>
              </w:rPr>
              <w:t>1980 -</w:t>
            </w:r>
            <w:r w:rsidR="008D0DFE" w:rsidRPr="00064B7C">
              <w:rPr>
                <w:sz w:val="18"/>
                <w:szCs w:val="18"/>
              </w:rPr>
              <w:t xml:space="preserve"> </w:t>
            </w:r>
            <w:r w:rsidRPr="00064B7C">
              <w:rPr>
                <w:sz w:val="18"/>
                <w:szCs w:val="18"/>
              </w:rPr>
              <w:t>201</w:t>
            </w:r>
            <w:r w:rsidR="00064B7C" w:rsidRPr="00064B7C">
              <w:rPr>
                <w:sz w:val="18"/>
                <w:szCs w:val="18"/>
              </w:rPr>
              <w:t>7</w:t>
            </w:r>
          </w:p>
        </w:tc>
        <w:tc>
          <w:tcPr>
            <w:tcW w:w="3394" w:type="dxa"/>
            <w:tcBorders>
              <w:top w:val="single" w:sz="4" w:space="0" w:color="auto"/>
              <w:bottom w:val="single" w:sz="4" w:space="0" w:color="auto"/>
            </w:tcBorders>
            <w:shd w:val="clear" w:color="auto" w:fill="E7F3F4"/>
          </w:tcPr>
          <w:p w14:paraId="2718EFF7" w14:textId="77777777" w:rsidR="008D0DFE" w:rsidRPr="00064B7C" w:rsidRDefault="008D0DFE" w:rsidP="008D0DFE">
            <w:pPr>
              <w:spacing w:after="0"/>
              <w:rPr>
                <w:sz w:val="18"/>
                <w:szCs w:val="18"/>
              </w:rPr>
            </w:pPr>
            <w:r w:rsidRPr="00064B7C">
              <w:rPr>
                <w:sz w:val="18"/>
                <w:szCs w:val="18"/>
              </w:rPr>
              <w:t>water gauging stations closest to river mouth, adjusted for ungauged area of catchment</w:t>
            </w:r>
          </w:p>
        </w:tc>
        <w:tc>
          <w:tcPr>
            <w:tcW w:w="2535" w:type="dxa"/>
            <w:tcBorders>
              <w:top w:val="single" w:sz="4" w:space="0" w:color="auto"/>
              <w:bottom w:val="single" w:sz="4" w:space="0" w:color="auto"/>
            </w:tcBorders>
            <w:shd w:val="clear" w:color="auto" w:fill="E7F3F4"/>
          </w:tcPr>
          <w:p w14:paraId="02BA9A9F" w14:textId="1F3C273B" w:rsidR="008D0DFE" w:rsidRPr="00064B7C" w:rsidRDefault="000F37A2" w:rsidP="00464DC3">
            <w:pPr>
              <w:spacing w:after="0"/>
              <w:rPr>
                <w:sz w:val="18"/>
                <w:szCs w:val="18"/>
              </w:rPr>
            </w:pPr>
            <w:r w:rsidRPr="00064B7C">
              <w:rPr>
                <w:sz w:val="18"/>
                <w:szCs w:val="18"/>
              </w:rPr>
              <w:t>r</w:t>
            </w:r>
            <w:r w:rsidR="008D0DFE" w:rsidRPr="00064B7C">
              <w:rPr>
                <w:sz w:val="18"/>
                <w:szCs w:val="18"/>
              </w:rPr>
              <w:t>egional discharge plots and table</w:t>
            </w:r>
            <w:r w:rsidRPr="00064B7C">
              <w:rPr>
                <w:sz w:val="18"/>
                <w:szCs w:val="18"/>
              </w:rPr>
              <w:t xml:space="preserve">, </w:t>
            </w:r>
            <w:r w:rsidR="008D0DFE" w:rsidRPr="00064B7C">
              <w:rPr>
                <w:sz w:val="18"/>
                <w:szCs w:val="18"/>
              </w:rPr>
              <w:t xml:space="preserve"> covariate</w:t>
            </w:r>
            <w:r w:rsidR="00464DC3">
              <w:rPr>
                <w:sz w:val="18"/>
                <w:szCs w:val="18"/>
              </w:rPr>
              <w:t xml:space="preserve"> in analysis of temporal change in coral index </w:t>
            </w:r>
          </w:p>
        </w:tc>
        <w:tc>
          <w:tcPr>
            <w:tcW w:w="3104" w:type="dxa"/>
            <w:tcBorders>
              <w:top w:val="single" w:sz="4" w:space="0" w:color="auto"/>
              <w:bottom w:val="single" w:sz="4" w:space="0" w:color="auto"/>
            </w:tcBorders>
            <w:shd w:val="clear" w:color="auto" w:fill="E7F3F4"/>
          </w:tcPr>
          <w:p w14:paraId="4BCA7F9B" w14:textId="77777777" w:rsidR="008D0DFE" w:rsidRPr="00064B7C" w:rsidRDefault="008D0DFE" w:rsidP="00AD7DBA">
            <w:pPr>
              <w:spacing w:after="0"/>
              <w:rPr>
                <w:sz w:val="18"/>
                <w:szCs w:val="18"/>
              </w:rPr>
            </w:pPr>
            <w:r w:rsidRPr="00064B7C">
              <w:rPr>
                <w:sz w:val="18"/>
                <w:szCs w:val="18"/>
              </w:rPr>
              <w:t>DNR, adjustment</w:t>
            </w:r>
            <w:r w:rsidR="00480A09" w:rsidRPr="00064B7C">
              <w:rPr>
                <w:sz w:val="18"/>
                <w:szCs w:val="18"/>
              </w:rPr>
              <w:t xml:space="preserve"> </w:t>
            </w:r>
            <w:r w:rsidR="00AD7DBA">
              <w:rPr>
                <w:sz w:val="18"/>
                <w:szCs w:val="18"/>
              </w:rPr>
              <w:t xml:space="preserve">as tabulated </w:t>
            </w:r>
            <w:r w:rsidR="00480A09" w:rsidRPr="00064B7C">
              <w:rPr>
                <w:sz w:val="18"/>
                <w:szCs w:val="18"/>
              </w:rPr>
              <w:t xml:space="preserve">by </w:t>
            </w:r>
            <w:r w:rsidR="00DD4954" w:rsidRPr="00064B7C">
              <w:rPr>
                <w:sz w:val="18"/>
                <w:szCs w:val="18"/>
              </w:rPr>
              <w:t>(</w:t>
            </w:r>
            <w:r w:rsidRPr="00064B7C">
              <w:rPr>
                <w:sz w:val="18"/>
                <w:szCs w:val="18"/>
              </w:rPr>
              <w:t xml:space="preserve">Waterhouse </w:t>
            </w:r>
            <w:r w:rsidRPr="00064B7C">
              <w:rPr>
                <w:i/>
                <w:sz w:val="18"/>
                <w:szCs w:val="18"/>
              </w:rPr>
              <w:t>et al</w:t>
            </w:r>
            <w:r w:rsidR="008C0BCA" w:rsidRPr="00064B7C">
              <w:rPr>
                <w:i/>
                <w:sz w:val="18"/>
                <w:szCs w:val="18"/>
              </w:rPr>
              <w:t>.</w:t>
            </w:r>
            <w:r w:rsidRPr="00064B7C">
              <w:rPr>
                <w:sz w:val="18"/>
                <w:szCs w:val="18"/>
              </w:rPr>
              <w:t xml:space="preserve"> 2017</w:t>
            </w:r>
            <w:r w:rsidR="00DD4954" w:rsidRPr="00064B7C">
              <w:rPr>
                <w:sz w:val="18"/>
                <w:szCs w:val="18"/>
              </w:rPr>
              <w:t>)</w:t>
            </w:r>
          </w:p>
        </w:tc>
      </w:tr>
      <w:tr w:rsidR="00464DC3" w:rsidRPr="00064B7C" w14:paraId="2F4C9927" w14:textId="77777777" w:rsidTr="00C82ABC">
        <w:trPr>
          <w:trHeight w:val="397"/>
        </w:trPr>
        <w:tc>
          <w:tcPr>
            <w:tcW w:w="2198" w:type="dxa"/>
            <w:tcBorders>
              <w:top w:val="single" w:sz="4" w:space="0" w:color="auto"/>
              <w:bottom w:val="single" w:sz="4" w:space="0" w:color="auto"/>
            </w:tcBorders>
            <w:shd w:val="clear" w:color="auto" w:fill="E7F3F4"/>
          </w:tcPr>
          <w:p w14:paraId="1634067B" w14:textId="77777777" w:rsidR="008D0DFE" w:rsidRPr="00064B7C" w:rsidRDefault="00210496" w:rsidP="0034291D">
            <w:pPr>
              <w:spacing w:after="0"/>
              <w:ind w:left="176"/>
              <w:rPr>
                <w:sz w:val="18"/>
                <w:szCs w:val="18"/>
              </w:rPr>
            </w:pPr>
            <w:r>
              <w:rPr>
                <w:sz w:val="18"/>
                <w:szCs w:val="18"/>
              </w:rPr>
              <w:t xml:space="preserve">Riverine </w:t>
            </w:r>
            <w:r w:rsidR="0034291D">
              <w:rPr>
                <w:sz w:val="18"/>
                <w:szCs w:val="18"/>
              </w:rPr>
              <w:t xml:space="preserve">Total N and Total P </w:t>
            </w:r>
            <w:r w:rsidR="00720FD8" w:rsidRPr="00064B7C">
              <w:rPr>
                <w:sz w:val="18"/>
                <w:szCs w:val="18"/>
              </w:rPr>
              <w:t>loads</w:t>
            </w:r>
          </w:p>
        </w:tc>
        <w:tc>
          <w:tcPr>
            <w:tcW w:w="1512" w:type="dxa"/>
            <w:tcBorders>
              <w:top w:val="single" w:sz="4" w:space="0" w:color="auto"/>
              <w:bottom w:val="single" w:sz="4" w:space="0" w:color="auto"/>
            </w:tcBorders>
            <w:shd w:val="clear" w:color="auto" w:fill="E7F3F4"/>
          </w:tcPr>
          <w:p w14:paraId="64E95B52" w14:textId="77777777" w:rsidR="008D0DFE" w:rsidRPr="00064B7C" w:rsidRDefault="001A4753" w:rsidP="00052B5C">
            <w:pPr>
              <w:spacing w:after="0"/>
              <w:rPr>
                <w:sz w:val="18"/>
                <w:szCs w:val="18"/>
              </w:rPr>
            </w:pPr>
            <w:r>
              <w:rPr>
                <w:sz w:val="18"/>
                <w:szCs w:val="18"/>
              </w:rPr>
              <w:t>2006</w:t>
            </w:r>
            <w:r w:rsidR="00720FD8" w:rsidRPr="00064B7C">
              <w:rPr>
                <w:sz w:val="18"/>
                <w:szCs w:val="18"/>
              </w:rPr>
              <w:t>-201</w:t>
            </w:r>
            <w:r>
              <w:rPr>
                <w:sz w:val="18"/>
                <w:szCs w:val="18"/>
              </w:rPr>
              <w:t>6</w:t>
            </w:r>
          </w:p>
        </w:tc>
        <w:tc>
          <w:tcPr>
            <w:tcW w:w="3394" w:type="dxa"/>
            <w:tcBorders>
              <w:top w:val="single" w:sz="4" w:space="0" w:color="auto"/>
              <w:bottom w:val="single" w:sz="4" w:space="0" w:color="auto"/>
            </w:tcBorders>
            <w:shd w:val="clear" w:color="auto" w:fill="E7F3F4"/>
          </w:tcPr>
          <w:p w14:paraId="6761534B" w14:textId="77777777" w:rsidR="008D0DFE" w:rsidRPr="00064B7C" w:rsidRDefault="008D0DFE" w:rsidP="008D0DFE">
            <w:pPr>
              <w:spacing w:after="0"/>
              <w:rPr>
                <w:sz w:val="18"/>
                <w:szCs w:val="18"/>
              </w:rPr>
            </w:pPr>
          </w:p>
        </w:tc>
        <w:tc>
          <w:tcPr>
            <w:tcW w:w="2535" w:type="dxa"/>
            <w:tcBorders>
              <w:top w:val="single" w:sz="4" w:space="0" w:color="auto"/>
              <w:bottom w:val="single" w:sz="4" w:space="0" w:color="auto"/>
            </w:tcBorders>
            <w:shd w:val="clear" w:color="auto" w:fill="E7F3F4"/>
          </w:tcPr>
          <w:p w14:paraId="1BC563C7" w14:textId="61B9BBD4" w:rsidR="008D0DFE" w:rsidRPr="00064B7C" w:rsidRDefault="00720FD8" w:rsidP="000F37A2">
            <w:pPr>
              <w:spacing w:after="0"/>
              <w:rPr>
                <w:sz w:val="18"/>
                <w:szCs w:val="18"/>
              </w:rPr>
            </w:pPr>
            <w:r w:rsidRPr="00064B7C">
              <w:rPr>
                <w:sz w:val="18"/>
                <w:szCs w:val="18"/>
              </w:rPr>
              <w:t>covariate</w:t>
            </w:r>
            <w:r w:rsidR="00464DC3">
              <w:rPr>
                <w:sz w:val="18"/>
                <w:szCs w:val="18"/>
              </w:rPr>
              <w:t xml:space="preserve"> in analysis of temporal change in coral index</w:t>
            </w:r>
          </w:p>
        </w:tc>
        <w:tc>
          <w:tcPr>
            <w:tcW w:w="3104" w:type="dxa"/>
            <w:tcBorders>
              <w:top w:val="single" w:sz="4" w:space="0" w:color="auto"/>
              <w:bottom w:val="single" w:sz="4" w:space="0" w:color="auto"/>
            </w:tcBorders>
            <w:shd w:val="clear" w:color="auto" w:fill="E7F3F4"/>
          </w:tcPr>
          <w:p w14:paraId="7E91829C" w14:textId="77777777" w:rsidR="008D0DFE" w:rsidRPr="0034291D" w:rsidRDefault="0034291D" w:rsidP="001A4753">
            <w:pPr>
              <w:spacing w:after="0"/>
              <w:rPr>
                <w:sz w:val="18"/>
                <w:szCs w:val="18"/>
              </w:rPr>
            </w:pPr>
            <w:r w:rsidRPr="0034291D">
              <w:rPr>
                <w:sz w:val="18"/>
                <w:szCs w:val="18"/>
              </w:rPr>
              <w:t>Data provided by the State of Queensland (Department of Science</w:t>
            </w:r>
            <w:r w:rsidR="001A4753">
              <w:rPr>
                <w:sz w:val="18"/>
                <w:szCs w:val="18"/>
              </w:rPr>
              <w:t>, Information Technology and Innovation</w:t>
            </w:r>
            <w:r w:rsidRPr="0034291D">
              <w:rPr>
                <w:sz w:val="18"/>
                <w:szCs w:val="18"/>
              </w:rPr>
              <w:t>) 201</w:t>
            </w:r>
            <w:r w:rsidR="001A4753">
              <w:rPr>
                <w:sz w:val="18"/>
                <w:szCs w:val="18"/>
              </w:rPr>
              <w:t>6</w:t>
            </w:r>
          </w:p>
        </w:tc>
      </w:tr>
      <w:tr w:rsidR="00232635" w:rsidRPr="00064B7C" w14:paraId="0C13D389" w14:textId="77777777" w:rsidTr="009B19C2">
        <w:trPr>
          <w:trHeight w:val="397"/>
        </w:trPr>
        <w:tc>
          <w:tcPr>
            <w:tcW w:w="3710" w:type="dxa"/>
            <w:gridSpan w:val="2"/>
            <w:tcBorders>
              <w:top w:val="single" w:sz="4" w:space="0" w:color="auto"/>
              <w:bottom w:val="single" w:sz="4" w:space="0" w:color="auto"/>
            </w:tcBorders>
            <w:shd w:val="clear" w:color="auto" w:fill="F3F9FA"/>
          </w:tcPr>
          <w:p w14:paraId="289C3806" w14:textId="77777777" w:rsidR="008D0DFE" w:rsidRPr="00064B7C" w:rsidRDefault="008D0DFE" w:rsidP="00DB400B">
            <w:pPr>
              <w:spacing w:after="0" w:line="200" w:lineRule="exact"/>
              <w:rPr>
                <w:sz w:val="18"/>
                <w:szCs w:val="18"/>
              </w:rPr>
            </w:pPr>
            <w:r w:rsidRPr="00064B7C">
              <w:rPr>
                <w:i/>
                <w:sz w:val="18"/>
                <w:szCs w:val="18"/>
              </w:rPr>
              <w:t>Environment at coral sites</w:t>
            </w:r>
          </w:p>
        </w:tc>
        <w:tc>
          <w:tcPr>
            <w:tcW w:w="3394" w:type="dxa"/>
            <w:tcBorders>
              <w:top w:val="single" w:sz="4" w:space="0" w:color="auto"/>
              <w:bottom w:val="single" w:sz="4" w:space="0" w:color="auto"/>
            </w:tcBorders>
            <w:shd w:val="clear" w:color="auto" w:fill="F3F9FA"/>
          </w:tcPr>
          <w:p w14:paraId="0C1E0344" w14:textId="77777777" w:rsidR="008D0DFE" w:rsidRPr="00064B7C" w:rsidRDefault="008D0DFE" w:rsidP="00052B5C">
            <w:pPr>
              <w:spacing w:after="0" w:line="200" w:lineRule="exact"/>
              <w:rPr>
                <w:sz w:val="18"/>
                <w:szCs w:val="18"/>
              </w:rPr>
            </w:pPr>
          </w:p>
        </w:tc>
        <w:tc>
          <w:tcPr>
            <w:tcW w:w="2535" w:type="dxa"/>
            <w:tcBorders>
              <w:top w:val="single" w:sz="4" w:space="0" w:color="auto"/>
              <w:bottom w:val="single" w:sz="4" w:space="0" w:color="auto"/>
            </w:tcBorders>
            <w:shd w:val="clear" w:color="auto" w:fill="F3F9FA"/>
          </w:tcPr>
          <w:p w14:paraId="76700D4F" w14:textId="77777777" w:rsidR="008D0DFE" w:rsidRPr="00064B7C" w:rsidRDefault="008D0DFE" w:rsidP="00052B5C">
            <w:pPr>
              <w:spacing w:after="0" w:line="200" w:lineRule="exact"/>
              <w:rPr>
                <w:sz w:val="18"/>
                <w:szCs w:val="18"/>
              </w:rPr>
            </w:pPr>
          </w:p>
        </w:tc>
        <w:tc>
          <w:tcPr>
            <w:tcW w:w="3104" w:type="dxa"/>
            <w:tcBorders>
              <w:top w:val="single" w:sz="4" w:space="0" w:color="auto"/>
              <w:bottom w:val="single" w:sz="4" w:space="0" w:color="auto"/>
            </w:tcBorders>
            <w:shd w:val="clear" w:color="auto" w:fill="F3F9FA"/>
          </w:tcPr>
          <w:p w14:paraId="43BB8616" w14:textId="77777777" w:rsidR="008D0DFE" w:rsidRPr="00064B7C" w:rsidRDefault="008D0DFE" w:rsidP="00052B5C">
            <w:pPr>
              <w:spacing w:after="0" w:line="200" w:lineRule="exact"/>
              <w:rPr>
                <w:sz w:val="18"/>
                <w:szCs w:val="18"/>
              </w:rPr>
            </w:pPr>
          </w:p>
        </w:tc>
      </w:tr>
      <w:tr w:rsidR="00464DC3" w:rsidRPr="00064B7C" w14:paraId="5B1DBCD5" w14:textId="77777777" w:rsidTr="00C82ABC">
        <w:trPr>
          <w:trHeight w:val="397"/>
        </w:trPr>
        <w:tc>
          <w:tcPr>
            <w:tcW w:w="2198" w:type="dxa"/>
            <w:tcBorders>
              <w:top w:val="single" w:sz="4" w:space="0" w:color="auto"/>
              <w:bottom w:val="single" w:sz="4" w:space="0" w:color="auto"/>
            </w:tcBorders>
            <w:shd w:val="clear" w:color="auto" w:fill="F3F9FA"/>
          </w:tcPr>
          <w:p w14:paraId="6FA6E491" w14:textId="77777777" w:rsidR="00480A09" w:rsidRPr="00064B7C" w:rsidRDefault="00480A09" w:rsidP="00052B5C">
            <w:pPr>
              <w:spacing w:after="0" w:line="200" w:lineRule="exact"/>
              <w:ind w:left="176"/>
              <w:rPr>
                <w:sz w:val="18"/>
                <w:szCs w:val="18"/>
              </w:rPr>
            </w:pPr>
            <w:r w:rsidRPr="00064B7C">
              <w:rPr>
                <w:sz w:val="18"/>
                <w:szCs w:val="18"/>
              </w:rPr>
              <w:t>Degree Heating days</w:t>
            </w:r>
          </w:p>
        </w:tc>
        <w:tc>
          <w:tcPr>
            <w:tcW w:w="1512" w:type="dxa"/>
            <w:tcBorders>
              <w:top w:val="single" w:sz="4" w:space="0" w:color="auto"/>
              <w:bottom w:val="single" w:sz="4" w:space="0" w:color="auto"/>
            </w:tcBorders>
            <w:shd w:val="clear" w:color="auto" w:fill="F3F9FA"/>
          </w:tcPr>
          <w:p w14:paraId="709B788C" w14:textId="77777777" w:rsidR="00480A09" w:rsidRPr="00064B7C" w:rsidRDefault="00064B7C" w:rsidP="00052B5C">
            <w:pPr>
              <w:spacing w:after="0"/>
              <w:rPr>
                <w:sz w:val="18"/>
                <w:szCs w:val="18"/>
              </w:rPr>
            </w:pPr>
            <w:r w:rsidRPr="00064B7C">
              <w:rPr>
                <w:sz w:val="18"/>
                <w:szCs w:val="18"/>
              </w:rPr>
              <w:t>2006 - 2017</w:t>
            </w:r>
          </w:p>
          <w:p w14:paraId="176C8607" w14:textId="77777777" w:rsidR="00480A09" w:rsidRPr="00064B7C" w:rsidRDefault="00480A09" w:rsidP="00DD4954">
            <w:pPr>
              <w:spacing w:after="0" w:line="200" w:lineRule="exact"/>
              <w:rPr>
                <w:sz w:val="18"/>
                <w:szCs w:val="18"/>
              </w:rPr>
            </w:pPr>
          </w:p>
        </w:tc>
        <w:tc>
          <w:tcPr>
            <w:tcW w:w="3394" w:type="dxa"/>
            <w:tcBorders>
              <w:top w:val="single" w:sz="4" w:space="0" w:color="auto"/>
              <w:bottom w:val="single" w:sz="4" w:space="0" w:color="auto"/>
            </w:tcBorders>
            <w:shd w:val="clear" w:color="auto" w:fill="F3F9FA"/>
          </w:tcPr>
          <w:p w14:paraId="395E7510" w14:textId="77777777" w:rsidR="00480A09" w:rsidRPr="00064B7C" w:rsidRDefault="00480A09" w:rsidP="00DD4954">
            <w:pPr>
              <w:spacing w:after="0" w:line="200" w:lineRule="exact"/>
              <w:rPr>
                <w:sz w:val="18"/>
                <w:szCs w:val="18"/>
              </w:rPr>
            </w:pPr>
            <w:r w:rsidRPr="00064B7C">
              <w:rPr>
                <w:sz w:val="18"/>
                <w:szCs w:val="18"/>
              </w:rPr>
              <w:t>remote sensing adjacent to coral sites</w:t>
            </w:r>
          </w:p>
        </w:tc>
        <w:tc>
          <w:tcPr>
            <w:tcW w:w="2535" w:type="dxa"/>
            <w:tcBorders>
              <w:top w:val="single" w:sz="4" w:space="0" w:color="auto"/>
              <w:bottom w:val="single" w:sz="4" w:space="0" w:color="auto"/>
            </w:tcBorders>
            <w:shd w:val="clear" w:color="auto" w:fill="F3F9FA"/>
          </w:tcPr>
          <w:p w14:paraId="77BDBB54" w14:textId="77777777" w:rsidR="00480A09" w:rsidRPr="00064B7C" w:rsidRDefault="00480A09" w:rsidP="00052B5C">
            <w:pPr>
              <w:spacing w:after="0" w:line="200" w:lineRule="exact"/>
              <w:rPr>
                <w:sz w:val="18"/>
                <w:szCs w:val="18"/>
              </w:rPr>
            </w:pPr>
            <w:r w:rsidRPr="00064B7C">
              <w:rPr>
                <w:sz w:val="18"/>
                <w:szCs w:val="18"/>
              </w:rPr>
              <w:t>regional plots, bleaching disturbance categorisation</w:t>
            </w:r>
          </w:p>
        </w:tc>
        <w:tc>
          <w:tcPr>
            <w:tcW w:w="3104" w:type="dxa"/>
            <w:tcBorders>
              <w:top w:val="single" w:sz="4" w:space="0" w:color="auto"/>
              <w:bottom w:val="single" w:sz="4" w:space="0" w:color="auto"/>
            </w:tcBorders>
            <w:shd w:val="clear" w:color="auto" w:fill="F3F9FA"/>
          </w:tcPr>
          <w:p w14:paraId="44C88186" w14:textId="77777777" w:rsidR="00480A09" w:rsidRPr="00064B7C" w:rsidRDefault="00480A09" w:rsidP="000F37A2">
            <w:pPr>
              <w:spacing w:after="0" w:line="200" w:lineRule="exact"/>
              <w:rPr>
                <w:sz w:val="18"/>
                <w:szCs w:val="18"/>
              </w:rPr>
            </w:pPr>
            <w:r w:rsidRPr="00064B7C">
              <w:rPr>
                <w:sz w:val="18"/>
                <w:szCs w:val="18"/>
              </w:rPr>
              <w:t>Bureau of Meteorology</w:t>
            </w:r>
          </w:p>
        </w:tc>
      </w:tr>
      <w:tr w:rsidR="00464DC3" w:rsidRPr="00064B7C" w14:paraId="434DD9F6" w14:textId="77777777" w:rsidTr="00C82ABC">
        <w:trPr>
          <w:trHeight w:val="397"/>
        </w:trPr>
        <w:tc>
          <w:tcPr>
            <w:tcW w:w="2198" w:type="dxa"/>
            <w:tcBorders>
              <w:top w:val="single" w:sz="4" w:space="0" w:color="auto"/>
              <w:bottom w:val="single" w:sz="4" w:space="0" w:color="auto"/>
            </w:tcBorders>
            <w:shd w:val="clear" w:color="auto" w:fill="F3F9FA"/>
          </w:tcPr>
          <w:p w14:paraId="1EE21857" w14:textId="77777777" w:rsidR="00480A09" w:rsidRPr="00064B7C" w:rsidRDefault="00480A09" w:rsidP="00052B5C">
            <w:pPr>
              <w:spacing w:after="0" w:line="200" w:lineRule="exact"/>
              <w:ind w:left="176"/>
              <w:rPr>
                <w:sz w:val="18"/>
                <w:szCs w:val="18"/>
              </w:rPr>
            </w:pPr>
            <w:r w:rsidRPr="00064B7C">
              <w:rPr>
                <w:sz w:val="18"/>
                <w:szCs w:val="18"/>
              </w:rPr>
              <w:t>Water temperature</w:t>
            </w:r>
          </w:p>
        </w:tc>
        <w:tc>
          <w:tcPr>
            <w:tcW w:w="1512" w:type="dxa"/>
            <w:tcBorders>
              <w:top w:val="single" w:sz="4" w:space="0" w:color="auto"/>
              <w:bottom w:val="single" w:sz="4" w:space="0" w:color="auto"/>
            </w:tcBorders>
            <w:shd w:val="clear" w:color="auto" w:fill="F3F9FA"/>
          </w:tcPr>
          <w:p w14:paraId="62CC76BA" w14:textId="77777777" w:rsidR="00480A09" w:rsidRPr="00064B7C" w:rsidRDefault="00064B7C" w:rsidP="00DD4954">
            <w:pPr>
              <w:spacing w:after="0" w:line="200" w:lineRule="exact"/>
              <w:rPr>
                <w:sz w:val="18"/>
                <w:szCs w:val="18"/>
              </w:rPr>
            </w:pPr>
            <w:r w:rsidRPr="00064B7C">
              <w:rPr>
                <w:sz w:val="18"/>
                <w:szCs w:val="18"/>
              </w:rPr>
              <w:t>2005 - 2017</w:t>
            </w:r>
          </w:p>
        </w:tc>
        <w:tc>
          <w:tcPr>
            <w:tcW w:w="3394" w:type="dxa"/>
            <w:tcBorders>
              <w:top w:val="single" w:sz="4" w:space="0" w:color="auto"/>
              <w:bottom w:val="single" w:sz="4" w:space="0" w:color="auto"/>
            </w:tcBorders>
            <w:shd w:val="clear" w:color="auto" w:fill="F3F9FA"/>
          </w:tcPr>
          <w:p w14:paraId="58F3B574" w14:textId="77777777" w:rsidR="00480A09" w:rsidRPr="00064B7C" w:rsidRDefault="00036C05" w:rsidP="00DD4954">
            <w:pPr>
              <w:spacing w:after="0" w:line="200" w:lineRule="exact"/>
              <w:rPr>
                <w:sz w:val="18"/>
                <w:szCs w:val="18"/>
              </w:rPr>
            </w:pPr>
            <w:r>
              <w:rPr>
                <w:sz w:val="18"/>
                <w:szCs w:val="18"/>
              </w:rPr>
              <w:t>in situ</w:t>
            </w:r>
            <w:r w:rsidR="00480A09" w:rsidRPr="00064B7C">
              <w:rPr>
                <w:sz w:val="18"/>
                <w:szCs w:val="18"/>
              </w:rPr>
              <w:t xml:space="preserve"> sensor at coral sites </w:t>
            </w:r>
          </w:p>
        </w:tc>
        <w:tc>
          <w:tcPr>
            <w:tcW w:w="2535" w:type="dxa"/>
            <w:tcBorders>
              <w:top w:val="single" w:sz="4" w:space="0" w:color="auto"/>
              <w:bottom w:val="single" w:sz="4" w:space="0" w:color="auto"/>
            </w:tcBorders>
            <w:shd w:val="clear" w:color="auto" w:fill="F3F9FA"/>
          </w:tcPr>
          <w:p w14:paraId="188514F6" w14:textId="77777777" w:rsidR="00480A09" w:rsidRPr="00064B7C" w:rsidRDefault="00480A09" w:rsidP="00AD7DBA">
            <w:pPr>
              <w:spacing w:after="0" w:line="200" w:lineRule="exact"/>
              <w:rPr>
                <w:sz w:val="18"/>
                <w:szCs w:val="18"/>
              </w:rPr>
            </w:pPr>
            <w:r w:rsidRPr="00064B7C">
              <w:rPr>
                <w:sz w:val="18"/>
                <w:szCs w:val="18"/>
              </w:rPr>
              <w:t>regional plots, bleaching disturbance categorisation</w:t>
            </w:r>
            <w:r w:rsidR="00AD7DBA">
              <w:rPr>
                <w:sz w:val="18"/>
                <w:szCs w:val="18"/>
              </w:rPr>
              <w:t xml:space="preserve">, </w:t>
            </w:r>
            <w:r w:rsidR="00036C05">
              <w:rPr>
                <w:sz w:val="18"/>
                <w:szCs w:val="18"/>
              </w:rPr>
              <w:t>in situ</w:t>
            </w:r>
            <w:r w:rsidR="00AD7DBA">
              <w:rPr>
                <w:sz w:val="18"/>
                <w:szCs w:val="18"/>
              </w:rPr>
              <w:t xml:space="preserve"> degree heating day estimates</w:t>
            </w:r>
          </w:p>
        </w:tc>
        <w:tc>
          <w:tcPr>
            <w:tcW w:w="3104" w:type="dxa"/>
            <w:tcBorders>
              <w:top w:val="single" w:sz="4" w:space="0" w:color="auto"/>
              <w:bottom w:val="single" w:sz="4" w:space="0" w:color="auto"/>
            </w:tcBorders>
            <w:shd w:val="clear" w:color="auto" w:fill="F3F9FA"/>
          </w:tcPr>
          <w:p w14:paraId="4481D179" w14:textId="77777777" w:rsidR="00480A09" w:rsidRPr="00064B7C" w:rsidRDefault="00480A09" w:rsidP="000F37A2">
            <w:pPr>
              <w:spacing w:after="0" w:line="200" w:lineRule="exact"/>
              <w:rPr>
                <w:sz w:val="18"/>
                <w:szCs w:val="18"/>
              </w:rPr>
            </w:pPr>
            <w:r w:rsidRPr="00064B7C">
              <w:rPr>
                <w:sz w:val="18"/>
                <w:szCs w:val="18"/>
              </w:rPr>
              <w:t>MMP Inshore Coral monitoring</w:t>
            </w:r>
          </w:p>
        </w:tc>
      </w:tr>
      <w:tr w:rsidR="00464DC3" w:rsidRPr="00064B7C" w14:paraId="5B83E595" w14:textId="77777777" w:rsidTr="00C82ABC">
        <w:trPr>
          <w:trHeight w:val="397"/>
        </w:trPr>
        <w:tc>
          <w:tcPr>
            <w:tcW w:w="2198" w:type="dxa"/>
            <w:tcBorders>
              <w:top w:val="single" w:sz="4" w:space="0" w:color="auto"/>
              <w:bottom w:val="single" w:sz="4" w:space="0" w:color="auto"/>
            </w:tcBorders>
            <w:shd w:val="clear" w:color="auto" w:fill="F3F9FA"/>
          </w:tcPr>
          <w:p w14:paraId="1CAF8564" w14:textId="77777777" w:rsidR="00480A09" w:rsidRPr="00064B7C" w:rsidRDefault="00480A09" w:rsidP="00052B5C">
            <w:pPr>
              <w:spacing w:after="0" w:line="200" w:lineRule="exact"/>
              <w:ind w:left="176"/>
              <w:rPr>
                <w:sz w:val="18"/>
                <w:szCs w:val="18"/>
              </w:rPr>
            </w:pPr>
            <w:r w:rsidRPr="00064B7C">
              <w:rPr>
                <w:sz w:val="18"/>
                <w:szCs w:val="18"/>
              </w:rPr>
              <w:t xml:space="preserve">Chlorophyll </w:t>
            </w:r>
            <w:r w:rsidRPr="00AD7DBA">
              <w:rPr>
                <w:i/>
                <w:sz w:val="18"/>
                <w:szCs w:val="18"/>
              </w:rPr>
              <w:t>a</w:t>
            </w:r>
            <w:r w:rsidR="00282129">
              <w:rPr>
                <w:sz w:val="18"/>
                <w:szCs w:val="18"/>
              </w:rPr>
              <w:t>, Turbidity</w:t>
            </w:r>
          </w:p>
        </w:tc>
        <w:tc>
          <w:tcPr>
            <w:tcW w:w="1512" w:type="dxa"/>
            <w:tcBorders>
              <w:top w:val="single" w:sz="4" w:space="0" w:color="auto"/>
              <w:bottom w:val="single" w:sz="4" w:space="0" w:color="auto"/>
            </w:tcBorders>
            <w:shd w:val="clear" w:color="auto" w:fill="F3F9FA"/>
          </w:tcPr>
          <w:p w14:paraId="149D0AB3" w14:textId="77777777" w:rsidR="00480A09" w:rsidRPr="00064B7C" w:rsidRDefault="00064B7C" w:rsidP="00480A09">
            <w:pPr>
              <w:spacing w:after="0" w:line="200" w:lineRule="exact"/>
              <w:rPr>
                <w:sz w:val="18"/>
                <w:szCs w:val="18"/>
              </w:rPr>
            </w:pPr>
            <w:r w:rsidRPr="00064B7C">
              <w:rPr>
                <w:sz w:val="18"/>
                <w:szCs w:val="18"/>
              </w:rPr>
              <w:t>2006-2017</w:t>
            </w:r>
          </w:p>
        </w:tc>
        <w:tc>
          <w:tcPr>
            <w:tcW w:w="3394" w:type="dxa"/>
            <w:tcBorders>
              <w:top w:val="single" w:sz="4" w:space="0" w:color="auto"/>
              <w:bottom w:val="single" w:sz="4" w:space="0" w:color="auto"/>
            </w:tcBorders>
            <w:shd w:val="clear" w:color="auto" w:fill="F3F9FA"/>
          </w:tcPr>
          <w:p w14:paraId="67B01F6F" w14:textId="77777777" w:rsidR="00480A09" w:rsidRPr="00064B7C" w:rsidRDefault="00036C05" w:rsidP="00052B5C">
            <w:pPr>
              <w:spacing w:after="0" w:line="200" w:lineRule="exact"/>
              <w:rPr>
                <w:sz w:val="18"/>
                <w:szCs w:val="18"/>
              </w:rPr>
            </w:pPr>
            <w:r>
              <w:rPr>
                <w:sz w:val="18"/>
                <w:szCs w:val="18"/>
              </w:rPr>
              <w:t>in situ</w:t>
            </w:r>
            <w:r w:rsidR="00480A09" w:rsidRPr="00064B7C">
              <w:rPr>
                <w:sz w:val="18"/>
                <w:szCs w:val="18"/>
              </w:rPr>
              <w:t xml:space="preserve"> sensor and niskin samples at subset of coral sites</w:t>
            </w:r>
          </w:p>
        </w:tc>
        <w:tc>
          <w:tcPr>
            <w:tcW w:w="2535" w:type="dxa"/>
            <w:tcBorders>
              <w:top w:val="single" w:sz="4" w:space="0" w:color="auto"/>
              <w:bottom w:val="single" w:sz="4" w:space="0" w:color="auto"/>
            </w:tcBorders>
            <w:shd w:val="clear" w:color="auto" w:fill="F3F9FA"/>
          </w:tcPr>
          <w:p w14:paraId="6AB2DE2E" w14:textId="77777777" w:rsidR="00480A09" w:rsidRPr="00064B7C" w:rsidRDefault="00480A09" w:rsidP="000F37A2">
            <w:pPr>
              <w:spacing w:after="0" w:line="200" w:lineRule="exact"/>
              <w:rPr>
                <w:sz w:val="18"/>
                <w:szCs w:val="18"/>
              </w:rPr>
            </w:pPr>
            <w:r w:rsidRPr="00064B7C">
              <w:rPr>
                <w:sz w:val="18"/>
                <w:szCs w:val="18"/>
              </w:rPr>
              <w:t>regional trend plots</w:t>
            </w:r>
          </w:p>
        </w:tc>
        <w:tc>
          <w:tcPr>
            <w:tcW w:w="3104" w:type="dxa"/>
            <w:tcBorders>
              <w:top w:val="single" w:sz="4" w:space="0" w:color="auto"/>
              <w:bottom w:val="single" w:sz="4" w:space="0" w:color="auto"/>
            </w:tcBorders>
            <w:shd w:val="clear" w:color="auto" w:fill="F3F9FA"/>
          </w:tcPr>
          <w:p w14:paraId="6B028A63" w14:textId="77777777" w:rsidR="00480A09" w:rsidRPr="00064B7C" w:rsidRDefault="00480A09" w:rsidP="00AD7DBA">
            <w:pPr>
              <w:spacing w:after="0" w:line="200" w:lineRule="exact"/>
              <w:rPr>
                <w:sz w:val="18"/>
                <w:szCs w:val="18"/>
              </w:rPr>
            </w:pPr>
            <w:r w:rsidRPr="00064B7C">
              <w:rPr>
                <w:sz w:val="18"/>
                <w:szCs w:val="18"/>
              </w:rPr>
              <w:t xml:space="preserve">MMP Water Quality (Waterhouse </w:t>
            </w:r>
            <w:r w:rsidRPr="00064B7C">
              <w:rPr>
                <w:i/>
                <w:sz w:val="18"/>
                <w:szCs w:val="18"/>
              </w:rPr>
              <w:t>et al</w:t>
            </w:r>
            <w:r w:rsidRPr="00064B7C">
              <w:rPr>
                <w:sz w:val="18"/>
                <w:szCs w:val="18"/>
              </w:rPr>
              <w:t>. 201</w:t>
            </w:r>
            <w:r w:rsidR="00AD7DBA">
              <w:rPr>
                <w:sz w:val="18"/>
                <w:szCs w:val="18"/>
              </w:rPr>
              <w:t>8</w:t>
            </w:r>
            <w:r w:rsidRPr="00064B7C">
              <w:rPr>
                <w:sz w:val="18"/>
                <w:szCs w:val="18"/>
              </w:rPr>
              <w:t>)</w:t>
            </w:r>
          </w:p>
        </w:tc>
      </w:tr>
      <w:tr w:rsidR="00464DC3" w:rsidRPr="00064B7C" w14:paraId="1A94F174" w14:textId="77777777" w:rsidTr="00C82ABC">
        <w:trPr>
          <w:trHeight w:val="397"/>
        </w:trPr>
        <w:tc>
          <w:tcPr>
            <w:tcW w:w="2198" w:type="dxa"/>
            <w:tcBorders>
              <w:top w:val="single" w:sz="4" w:space="0" w:color="auto"/>
              <w:bottom w:val="single" w:sz="4" w:space="0" w:color="auto"/>
            </w:tcBorders>
            <w:shd w:val="clear" w:color="auto" w:fill="F3F9FA"/>
          </w:tcPr>
          <w:p w14:paraId="6E0B7B70" w14:textId="77777777" w:rsidR="00EB4C0D" w:rsidRPr="00064B7C" w:rsidRDefault="00EB4C0D" w:rsidP="00052B5C">
            <w:pPr>
              <w:spacing w:after="0" w:line="200" w:lineRule="exact"/>
              <w:ind w:left="176"/>
              <w:rPr>
                <w:sz w:val="18"/>
                <w:szCs w:val="18"/>
              </w:rPr>
            </w:pPr>
            <w:r>
              <w:rPr>
                <w:sz w:val="18"/>
                <w:szCs w:val="18"/>
              </w:rPr>
              <w:t xml:space="preserve">Chlorophyll </w:t>
            </w:r>
            <w:r w:rsidR="00AD7DBA">
              <w:rPr>
                <w:i/>
                <w:sz w:val="18"/>
                <w:szCs w:val="18"/>
              </w:rPr>
              <w:t xml:space="preserve">a </w:t>
            </w:r>
            <w:r w:rsidR="00DF74CA">
              <w:rPr>
                <w:sz w:val="18"/>
                <w:szCs w:val="18"/>
              </w:rPr>
              <w:t>e</w:t>
            </w:r>
            <w:r w:rsidR="00AD7DBA" w:rsidRPr="00AD7DBA">
              <w:rPr>
                <w:sz w:val="18"/>
                <w:szCs w:val="18"/>
              </w:rPr>
              <w:t>xposure</w:t>
            </w:r>
          </w:p>
        </w:tc>
        <w:tc>
          <w:tcPr>
            <w:tcW w:w="1512" w:type="dxa"/>
            <w:tcBorders>
              <w:top w:val="single" w:sz="4" w:space="0" w:color="auto"/>
              <w:bottom w:val="single" w:sz="4" w:space="0" w:color="auto"/>
            </w:tcBorders>
            <w:shd w:val="clear" w:color="auto" w:fill="F3F9FA"/>
          </w:tcPr>
          <w:p w14:paraId="498B709F" w14:textId="77777777" w:rsidR="00EB4C0D" w:rsidRPr="00064B7C" w:rsidRDefault="00AD7DBA" w:rsidP="00480A09">
            <w:pPr>
              <w:spacing w:after="0" w:line="200" w:lineRule="exact"/>
              <w:rPr>
                <w:sz w:val="18"/>
                <w:szCs w:val="18"/>
              </w:rPr>
            </w:pPr>
            <w:r>
              <w:rPr>
                <w:sz w:val="18"/>
                <w:szCs w:val="18"/>
              </w:rPr>
              <w:t>2003-2016</w:t>
            </w:r>
          </w:p>
        </w:tc>
        <w:tc>
          <w:tcPr>
            <w:tcW w:w="3394" w:type="dxa"/>
            <w:tcBorders>
              <w:top w:val="single" w:sz="4" w:space="0" w:color="auto"/>
              <w:bottom w:val="single" w:sz="4" w:space="0" w:color="auto"/>
            </w:tcBorders>
            <w:shd w:val="clear" w:color="auto" w:fill="F3F9FA"/>
          </w:tcPr>
          <w:p w14:paraId="056C6433" w14:textId="77777777" w:rsidR="00EB4C0D" w:rsidRPr="00064B7C" w:rsidRDefault="00AD7DBA" w:rsidP="00AD7DBA">
            <w:pPr>
              <w:spacing w:after="0" w:line="200" w:lineRule="exact"/>
              <w:rPr>
                <w:sz w:val="18"/>
                <w:szCs w:val="18"/>
              </w:rPr>
            </w:pPr>
            <w:r>
              <w:rPr>
                <w:sz w:val="18"/>
                <w:szCs w:val="18"/>
              </w:rPr>
              <w:t>product of water colour classification derived from remote sensing and coupled niskin samples</w:t>
            </w:r>
          </w:p>
        </w:tc>
        <w:tc>
          <w:tcPr>
            <w:tcW w:w="2535" w:type="dxa"/>
            <w:tcBorders>
              <w:top w:val="single" w:sz="4" w:space="0" w:color="auto"/>
              <w:bottom w:val="single" w:sz="4" w:space="0" w:color="auto"/>
            </w:tcBorders>
            <w:shd w:val="clear" w:color="auto" w:fill="F3F9FA"/>
          </w:tcPr>
          <w:p w14:paraId="2A4CA33D" w14:textId="2D67931A" w:rsidR="00EB4C0D" w:rsidRPr="00064B7C" w:rsidRDefault="00F33DC3" w:rsidP="00464DC3">
            <w:pPr>
              <w:spacing w:after="0" w:line="200" w:lineRule="exact"/>
              <w:rPr>
                <w:sz w:val="18"/>
                <w:szCs w:val="18"/>
              </w:rPr>
            </w:pPr>
            <w:r w:rsidRPr="00064B7C">
              <w:rPr>
                <w:sz w:val="18"/>
                <w:szCs w:val="18"/>
              </w:rPr>
              <w:t>mapping, covariate</w:t>
            </w:r>
            <w:r w:rsidR="00464DC3">
              <w:rPr>
                <w:sz w:val="18"/>
                <w:szCs w:val="18"/>
              </w:rPr>
              <w:t xml:space="preserve"> in analysis of spatial trends in index and indicator score</w:t>
            </w:r>
          </w:p>
        </w:tc>
        <w:tc>
          <w:tcPr>
            <w:tcW w:w="3104" w:type="dxa"/>
            <w:tcBorders>
              <w:top w:val="single" w:sz="4" w:space="0" w:color="auto"/>
              <w:bottom w:val="single" w:sz="4" w:space="0" w:color="auto"/>
            </w:tcBorders>
            <w:shd w:val="clear" w:color="auto" w:fill="F3F9FA"/>
          </w:tcPr>
          <w:p w14:paraId="591F232A" w14:textId="77777777" w:rsidR="00EB4C0D" w:rsidRPr="00064B7C" w:rsidRDefault="00F33DC3" w:rsidP="000F37A2">
            <w:pPr>
              <w:spacing w:after="0" w:line="200" w:lineRule="exact"/>
              <w:rPr>
                <w:sz w:val="18"/>
                <w:szCs w:val="18"/>
              </w:rPr>
            </w:pPr>
            <w:r w:rsidRPr="00064B7C">
              <w:rPr>
                <w:sz w:val="18"/>
                <w:szCs w:val="18"/>
              </w:rPr>
              <w:t xml:space="preserve">MMP Water Quality (Waterhouse </w:t>
            </w:r>
            <w:r w:rsidRPr="00064B7C">
              <w:rPr>
                <w:i/>
                <w:sz w:val="18"/>
                <w:szCs w:val="18"/>
              </w:rPr>
              <w:t>et al</w:t>
            </w:r>
            <w:r w:rsidRPr="00064B7C">
              <w:rPr>
                <w:sz w:val="18"/>
                <w:szCs w:val="18"/>
              </w:rPr>
              <w:t>. 201</w:t>
            </w:r>
            <w:r>
              <w:rPr>
                <w:sz w:val="18"/>
                <w:szCs w:val="18"/>
              </w:rPr>
              <w:t>7</w:t>
            </w:r>
            <w:r w:rsidRPr="00064B7C">
              <w:rPr>
                <w:sz w:val="18"/>
                <w:szCs w:val="18"/>
              </w:rPr>
              <w:t>)</w:t>
            </w:r>
          </w:p>
        </w:tc>
      </w:tr>
      <w:tr w:rsidR="00464DC3" w:rsidRPr="00064B7C" w14:paraId="0247C2B6" w14:textId="77777777" w:rsidTr="00C82ABC">
        <w:trPr>
          <w:trHeight w:val="397"/>
        </w:trPr>
        <w:tc>
          <w:tcPr>
            <w:tcW w:w="2198" w:type="dxa"/>
            <w:tcBorders>
              <w:top w:val="single" w:sz="4" w:space="0" w:color="auto"/>
              <w:bottom w:val="single" w:sz="4" w:space="0" w:color="auto"/>
            </w:tcBorders>
            <w:shd w:val="clear" w:color="auto" w:fill="F3F9FA"/>
          </w:tcPr>
          <w:p w14:paraId="5EFFB7E5" w14:textId="77777777" w:rsidR="00480A09" w:rsidRPr="00064B7C" w:rsidRDefault="00480A09" w:rsidP="00052B5C">
            <w:pPr>
              <w:spacing w:after="0" w:line="200" w:lineRule="exact"/>
              <w:ind w:left="176"/>
              <w:rPr>
                <w:sz w:val="18"/>
                <w:szCs w:val="18"/>
              </w:rPr>
            </w:pPr>
            <w:r w:rsidRPr="00064B7C">
              <w:rPr>
                <w:sz w:val="18"/>
                <w:szCs w:val="18"/>
              </w:rPr>
              <w:t>Non-algal particulate</w:t>
            </w:r>
            <w:r w:rsidR="0034291D">
              <w:rPr>
                <w:sz w:val="18"/>
                <w:szCs w:val="18"/>
              </w:rPr>
              <w:t xml:space="preserve"> (NAP)</w:t>
            </w:r>
          </w:p>
        </w:tc>
        <w:tc>
          <w:tcPr>
            <w:tcW w:w="1512" w:type="dxa"/>
            <w:tcBorders>
              <w:top w:val="single" w:sz="4" w:space="0" w:color="auto"/>
              <w:bottom w:val="single" w:sz="4" w:space="0" w:color="auto"/>
            </w:tcBorders>
            <w:shd w:val="clear" w:color="auto" w:fill="F3F9FA"/>
          </w:tcPr>
          <w:p w14:paraId="133EB458" w14:textId="24F3B852" w:rsidR="00480A09" w:rsidRPr="00064B7C" w:rsidRDefault="00064B7C" w:rsidP="00240263">
            <w:pPr>
              <w:spacing w:after="0" w:line="200" w:lineRule="exact"/>
              <w:rPr>
                <w:sz w:val="18"/>
                <w:szCs w:val="18"/>
              </w:rPr>
            </w:pPr>
            <w:r w:rsidRPr="00064B7C">
              <w:rPr>
                <w:sz w:val="18"/>
                <w:szCs w:val="18"/>
              </w:rPr>
              <w:t>200</w:t>
            </w:r>
            <w:r w:rsidR="00240263">
              <w:rPr>
                <w:sz w:val="18"/>
                <w:szCs w:val="18"/>
              </w:rPr>
              <w:t>3</w:t>
            </w:r>
            <w:r w:rsidRPr="00064B7C">
              <w:rPr>
                <w:sz w:val="18"/>
                <w:szCs w:val="18"/>
              </w:rPr>
              <w:t xml:space="preserve"> - 2017</w:t>
            </w:r>
          </w:p>
        </w:tc>
        <w:tc>
          <w:tcPr>
            <w:tcW w:w="3394" w:type="dxa"/>
            <w:tcBorders>
              <w:top w:val="single" w:sz="4" w:space="0" w:color="auto"/>
              <w:bottom w:val="single" w:sz="4" w:space="0" w:color="auto"/>
            </w:tcBorders>
            <w:shd w:val="clear" w:color="auto" w:fill="F3F9FA"/>
          </w:tcPr>
          <w:p w14:paraId="679959E0" w14:textId="77777777" w:rsidR="00480A09" w:rsidRPr="00064B7C" w:rsidRDefault="00480A09" w:rsidP="00DD4954">
            <w:pPr>
              <w:spacing w:after="0" w:line="200" w:lineRule="exact"/>
              <w:rPr>
                <w:sz w:val="18"/>
                <w:szCs w:val="18"/>
              </w:rPr>
            </w:pPr>
            <w:r w:rsidRPr="00064B7C">
              <w:rPr>
                <w:sz w:val="18"/>
                <w:szCs w:val="18"/>
              </w:rPr>
              <w:t>remote sensing adjacent to coral sites</w:t>
            </w:r>
          </w:p>
        </w:tc>
        <w:tc>
          <w:tcPr>
            <w:tcW w:w="2535" w:type="dxa"/>
            <w:tcBorders>
              <w:top w:val="single" w:sz="4" w:space="0" w:color="auto"/>
              <w:bottom w:val="single" w:sz="4" w:space="0" w:color="auto"/>
            </w:tcBorders>
            <w:shd w:val="clear" w:color="auto" w:fill="F3F9FA"/>
          </w:tcPr>
          <w:p w14:paraId="0119D247" w14:textId="3483912C" w:rsidR="00480A09" w:rsidRPr="00064B7C" w:rsidRDefault="00480A09" w:rsidP="00464DC3">
            <w:pPr>
              <w:spacing w:after="0" w:line="200" w:lineRule="exact"/>
              <w:rPr>
                <w:sz w:val="18"/>
                <w:szCs w:val="18"/>
              </w:rPr>
            </w:pPr>
            <w:r w:rsidRPr="00064B7C">
              <w:rPr>
                <w:sz w:val="18"/>
                <w:szCs w:val="18"/>
              </w:rPr>
              <w:t xml:space="preserve">mapping, </w:t>
            </w:r>
            <w:r w:rsidR="00464DC3">
              <w:rPr>
                <w:sz w:val="18"/>
                <w:szCs w:val="18"/>
              </w:rPr>
              <w:t>Macroalgae and Community Composition metric thresholds</w:t>
            </w:r>
            <w:r w:rsidR="00F33DC3">
              <w:rPr>
                <w:sz w:val="18"/>
                <w:szCs w:val="18"/>
              </w:rPr>
              <w:t>, case study</w:t>
            </w:r>
          </w:p>
        </w:tc>
        <w:tc>
          <w:tcPr>
            <w:tcW w:w="3104" w:type="dxa"/>
            <w:tcBorders>
              <w:top w:val="single" w:sz="4" w:space="0" w:color="auto"/>
              <w:bottom w:val="single" w:sz="4" w:space="0" w:color="auto"/>
            </w:tcBorders>
            <w:shd w:val="clear" w:color="auto" w:fill="F3F9FA"/>
          </w:tcPr>
          <w:p w14:paraId="56A4907C" w14:textId="77777777" w:rsidR="00480A09" w:rsidRPr="00064B7C" w:rsidRDefault="00480A09" w:rsidP="000F37A2">
            <w:pPr>
              <w:spacing w:after="0" w:line="200" w:lineRule="exact"/>
              <w:rPr>
                <w:sz w:val="18"/>
                <w:szCs w:val="18"/>
              </w:rPr>
            </w:pPr>
            <w:r w:rsidRPr="00064B7C">
              <w:rPr>
                <w:sz w:val="18"/>
                <w:szCs w:val="18"/>
              </w:rPr>
              <w:t>Bureau of Meteorology</w:t>
            </w:r>
          </w:p>
        </w:tc>
      </w:tr>
      <w:tr w:rsidR="00464DC3" w:rsidRPr="00064B7C" w14:paraId="6CE9D8FC" w14:textId="77777777" w:rsidTr="00C82ABC">
        <w:trPr>
          <w:trHeight w:val="397"/>
        </w:trPr>
        <w:tc>
          <w:tcPr>
            <w:tcW w:w="2198" w:type="dxa"/>
            <w:tcBorders>
              <w:top w:val="single" w:sz="4" w:space="0" w:color="auto"/>
              <w:bottom w:val="single" w:sz="4" w:space="0" w:color="auto"/>
            </w:tcBorders>
            <w:shd w:val="clear" w:color="auto" w:fill="F3F9FA"/>
          </w:tcPr>
          <w:p w14:paraId="16058102" w14:textId="77777777" w:rsidR="00F33DC3" w:rsidRPr="00064B7C" w:rsidRDefault="00F33DC3" w:rsidP="00F33DC3">
            <w:pPr>
              <w:spacing w:after="0" w:line="200" w:lineRule="exact"/>
              <w:ind w:left="176"/>
              <w:rPr>
                <w:sz w:val="18"/>
                <w:szCs w:val="18"/>
              </w:rPr>
            </w:pPr>
            <w:r>
              <w:rPr>
                <w:sz w:val="18"/>
                <w:szCs w:val="18"/>
              </w:rPr>
              <w:t xml:space="preserve">Chlorophyll </w:t>
            </w:r>
            <w:r>
              <w:rPr>
                <w:i/>
                <w:sz w:val="18"/>
                <w:szCs w:val="18"/>
              </w:rPr>
              <w:t xml:space="preserve">a, </w:t>
            </w:r>
            <w:r w:rsidRPr="00F33DC3">
              <w:rPr>
                <w:sz w:val="18"/>
                <w:szCs w:val="18"/>
              </w:rPr>
              <w:t>Kd490</w:t>
            </w:r>
          </w:p>
        </w:tc>
        <w:tc>
          <w:tcPr>
            <w:tcW w:w="1512" w:type="dxa"/>
            <w:tcBorders>
              <w:top w:val="single" w:sz="4" w:space="0" w:color="auto"/>
              <w:bottom w:val="single" w:sz="4" w:space="0" w:color="auto"/>
            </w:tcBorders>
            <w:shd w:val="clear" w:color="auto" w:fill="F3F9FA"/>
          </w:tcPr>
          <w:p w14:paraId="6C32E8BE" w14:textId="34F2F21D" w:rsidR="00F33DC3" w:rsidRPr="00064B7C" w:rsidRDefault="00F33DC3" w:rsidP="00240263">
            <w:pPr>
              <w:spacing w:after="0" w:line="200" w:lineRule="exact"/>
              <w:rPr>
                <w:sz w:val="18"/>
                <w:szCs w:val="18"/>
              </w:rPr>
            </w:pPr>
            <w:r w:rsidRPr="00064B7C">
              <w:rPr>
                <w:sz w:val="18"/>
                <w:szCs w:val="18"/>
              </w:rPr>
              <w:t>200</w:t>
            </w:r>
            <w:r w:rsidR="00240263">
              <w:rPr>
                <w:sz w:val="18"/>
                <w:szCs w:val="18"/>
              </w:rPr>
              <w:t>3</w:t>
            </w:r>
            <w:r w:rsidRPr="00064B7C">
              <w:rPr>
                <w:sz w:val="18"/>
                <w:szCs w:val="18"/>
              </w:rPr>
              <w:t xml:space="preserve"> - 2017</w:t>
            </w:r>
          </w:p>
        </w:tc>
        <w:tc>
          <w:tcPr>
            <w:tcW w:w="3394" w:type="dxa"/>
            <w:tcBorders>
              <w:top w:val="single" w:sz="4" w:space="0" w:color="auto"/>
              <w:bottom w:val="single" w:sz="4" w:space="0" w:color="auto"/>
            </w:tcBorders>
            <w:shd w:val="clear" w:color="auto" w:fill="F3F9FA"/>
          </w:tcPr>
          <w:p w14:paraId="7817A8A5" w14:textId="77777777" w:rsidR="00F33DC3" w:rsidRPr="00064B7C" w:rsidRDefault="00F33DC3" w:rsidP="00F33DC3">
            <w:pPr>
              <w:spacing w:after="0" w:line="200" w:lineRule="exact"/>
              <w:rPr>
                <w:sz w:val="18"/>
                <w:szCs w:val="18"/>
              </w:rPr>
            </w:pPr>
            <w:r w:rsidRPr="00064B7C">
              <w:rPr>
                <w:sz w:val="18"/>
                <w:szCs w:val="18"/>
              </w:rPr>
              <w:t>remote sensing adjacent to coral sites</w:t>
            </w:r>
          </w:p>
        </w:tc>
        <w:tc>
          <w:tcPr>
            <w:tcW w:w="2535" w:type="dxa"/>
            <w:tcBorders>
              <w:top w:val="single" w:sz="4" w:space="0" w:color="auto"/>
              <w:bottom w:val="single" w:sz="4" w:space="0" w:color="auto"/>
            </w:tcBorders>
            <w:shd w:val="clear" w:color="auto" w:fill="F3F9FA"/>
          </w:tcPr>
          <w:p w14:paraId="3EADCA3D" w14:textId="33F9406D" w:rsidR="00F33DC3" w:rsidRPr="00064B7C" w:rsidRDefault="00F33DC3" w:rsidP="00464DC3">
            <w:pPr>
              <w:spacing w:after="0" w:line="200" w:lineRule="exact"/>
              <w:rPr>
                <w:sz w:val="18"/>
                <w:szCs w:val="18"/>
              </w:rPr>
            </w:pPr>
            <w:r>
              <w:rPr>
                <w:sz w:val="18"/>
                <w:szCs w:val="18"/>
              </w:rPr>
              <w:t>case study</w:t>
            </w:r>
            <w:r w:rsidR="00464DC3">
              <w:rPr>
                <w:sz w:val="18"/>
                <w:szCs w:val="18"/>
              </w:rPr>
              <w:t>, Macroalgae and Community Composition metric thresholds</w:t>
            </w:r>
          </w:p>
        </w:tc>
        <w:tc>
          <w:tcPr>
            <w:tcW w:w="3104" w:type="dxa"/>
            <w:tcBorders>
              <w:top w:val="single" w:sz="4" w:space="0" w:color="auto"/>
              <w:bottom w:val="single" w:sz="4" w:space="0" w:color="auto"/>
            </w:tcBorders>
            <w:shd w:val="clear" w:color="auto" w:fill="F3F9FA"/>
          </w:tcPr>
          <w:p w14:paraId="2C344939" w14:textId="77777777" w:rsidR="00F33DC3" w:rsidRPr="00064B7C" w:rsidRDefault="00F33DC3" w:rsidP="00F33DC3">
            <w:pPr>
              <w:spacing w:after="0" w:line="200" w:lineRule="exact"/>
              <w:rPr>
                <w:sz w:val="18"/>
                <w:szCs w:val="18"/>
              </w:rPr>
            </w:pPr>
            <w:r w:rsidRPr="00064B7C">
              <w:rPr>
                <w:sz w:val="18"/>
                <w:szCs w:val="18"/>
              </w:rPr>
              <w:t>Bureau of Meteorology</w:t>
            </w:r>
          </w:p>
        </w:tc>
      </w:tr>
      <w:tr w:rsidR="00464DC3" w:rsidRPr="00064B7C" w14:paraId="07DF8C4E" w14:textId="77777777" w:rsidTr="00C82ABC">
        <w:trPr>
          <w:trHeight w:val="397"/>
        </w:trPr>
        <w:tc>
          <w:tcPr>
            <w:tcW w:w="2198" w:type="dxa"/>
            <w:tcBorders>
              <w:top w:val="single" w:sz="4" w:space="0" w:color="auto"/>
              <w:bottom w:val="single" w:sz="4" w:space="0" w:color="auto"/>
            </w:tcBorders>
            <w:shd w:val="clear" w:color="auto" w:fill="F3F9FA"/>
          </w:tcPr>
          <w:p w14:paraId="62362E1C" w14:textId="77777777" w:rsidR="00F33DC3" w:rsidRPr="00064B7C" w:rsidRDefault="00F33DC3" w:rsidP="00F33DC3">
            <w:pPr>
              <w:spacing w:after="0" w:line="200" w:lineRule="exact"/>
              <w:ind w:left="176"/>
              <w:rPr>
                <w:sz w:val="18"/>
                <w:szCs w:val="18"/>
              </w:rPr>
            </w:pPr>
            <w:r w:rsidRPr="00064B7C">
              <w:rPr>
                <w:sz w:val="18"/>
                <w:szCs w:val="18"/>
              </w:rPr>
              <w:t>Sediment grain size</w:t>
            </w:r>
          </w:p>
        </w:tc>
        <w:tc>
          <w:tcPr>
            <w:tcW w:w="1512" w:type="dxa"/>
            <w:tcBorders>
              <w:top w:val="single" w:sz="4" w:space="0" w:color="auto"/>
              <w:bottom w:val="single" w:sz="4" w:space="0" w:color="auto"/>
            </w:tcBorders>
            <w:shd w:val="clear" w:color="auto" w:fill="F3F9FA"/>
          </w:tcPr>
          <w:p w14:paraId="5393DE09" w14:textId="77777777" w:rsidR="00F33DC3" w:rsidRPr="00064B7C" w:rsidRDefault="00F33DC3" w:rsidP="00F33DC3">
            <w:pPr>
              <w:spacing w:after="0" w:line="200" w:lineRule="exact"/>
              <w:rPr>
                <w:sz w:val="18"/>
                <w:szCs w:val="18"/>
              </w:rPr>
            </w:pPr>
            <w:r w:rsidRPr="00064B7C">
              <w:rPr>
                <w:sz w:val="18"/>
                <w:szCs w:val="18"/>
              </w:rPr>
              <w:t>2006 – 2017</w:t>
            </w:r>
          </w:p>
        </w:tc>
        <w:tc>
          <w:tcPr>
            <w:tcW w:w="3394" w:type="dxa"/>
            <w:tcBorders>
              <w:top w:val="single" w:sz="4" w:space="0" w:color="auto"/>
              <w:bottom w:val="single" w:sz="4" w:space="0" w:color="auto"/>
            </w:tcBorders>
            <w:shd w:val="clear" w:color="auto" w:fill="F3F9FA"/>
          </w:tcPr>
          <w:p w14:paraId="6AB9CE64" w14:textId="77777777" w:rsidR="00F33DC3" w:rsidRPr="00064B7C" w:rsidRDefault="00F33DC3" w:rsidP="00F33DC3">
            <w:pPr>
              <w:spacing w:after="0" w:line="200" w:lineRule="exact"/>
              <w:rPr>
                <w:sz w:val="18"/>
                <w:szCs w:val="18"/>
              </w:rPr>
            </w:pPr>
            <w:r w:rsidRPr="00064B7C">
              <w:rPr>
                <w:sz w:val="18"/>
                <w:szCs w:val="18"/>
              </w:rPr>
              <w:t>optical and sieve analysis of samples from coral sites</w:t>
            </w:r>
          </w:p>
        </w:tc>
        <w:tc>
          <w:tcPr>
            <w:tcW w:w="2535" w:type="dxa"/>
            <w:tcBorders>
              <w:top w:val="single" w:sz="4" w:space="0" w:color="auto"/>
              <w:bottom w:val="single" w:sz="4" w:space="0" w:color="auto"/>
            </w:tcBorders>
            <w:shd w:val="clear" w:color="auto" w:fill="F3F9FA"/>
          </w:tcPr>
          <w:p w14:paraId="752FCB56" w14:textId="3568EE3B" w:rsidR="00F33DC3" w:rsidRPr="00064B7C" w:rsidRDefault="00F33DC3" w:rsidP="00464DC3">
            <w:pPr>
              <w:spacing w:after="0" w:line="200" w:lineRule="exact"/>
              <w:rPr>
                <w:sz w:val="18"/>
                <w:szCs w:val="18"/>
              </w:rPr>
            </w:pPr>
            <w:r w:rsidRPr="00064B7C">
              <w:rPr>
                <w:sz w:val="18"/>
                <w:szCs w:val="18"/>
              </w:rPr>
              <w:t>analysis covariate</w:t>
            </w:r>
            <w:r w:rsidR="00464DC3">
              <w:rPr>
                <w:sz w:val="18"/>
                <w:szCs w:val="18"/>
              </w:rPr>
              <w:t>, Macroalgae metric thresholds</w:t>
            </w:r>
          </w:p>
        </w:tc>
        <w:tc>
          <w:tcPr>
            <w:tcW w:w="3104" w:type="dxa"/>
            <w:tcBorders>
              <w:top w:val="single" w:sz="4" w:space="0" w:color="auto"/>
              <w:bottom w:val="single" w:sz="4" w:space="0" w:color="auto"/>
            </w:tcBorders>
            <w:shd w:val="clear" w:color="auto" w:fill="F3F9FA"/>
          </w:tcPr>
          <w:p w14:paraId="4598897E" w14:textId="77777777" w:rsidR="00F33DC3" w:rsidRPr="00064B7C" w:rsidRDefault="00F33DC3" w:rsidP="00F33DC3">
            <w:pPr>
              <w:spacing w:after="0" w:line="200" w:lineRule="exact"/>
              <w:rPr>
                <w:sz w:val="18"/>
                <w:szCs w:val="18"/>
              </w:rPr>
            </w:pPr>
            <w:r w:rsidRPr="00064B7C">
              <w:rPr>
                <w:sz w:val="18"/>
                <w:szCs w:val="18"/>
              </w:rPr>
              <w:t>MMP Inshore Coral monitoring</w:t>
            </w:r>
          </w:p>
        </w:tc>
      </w:tr>
      <w:tr w:rsidR="00464DC3" w:rsidRPr="00064B7C" w14:paraId="775F1F8A" w14:textId="77777777" w:rsidTr="00C82ABC">
        <w:trPr>
          <w:trHeight w:val="397"/>
        </w:trPr>
        <w:tc>
          <w:tcPr>
            <w:tcW w:w="2198" w:type="dxa"/>
            <w:tcBorders>
              <w:top w:val="single" w:sz="4" w:space="0" w:color="auto"/>
              <w:bottom w:val="single" w:sz="4" w:space="0" w:color="auto"/>
            </w:tcBorders>
            <w:shd w:val="clear" w:color="auto" w:fill="F3F9FA"/>
          </w:tcPr>
          <w:p w14:paraId="26164489" w14:textId="77777777" w:rsidR="00F33DC3" w:rsidRPr="00064B7C" w:rsidRDefault="00F33DC3" w:rsidP="00F33DC3">
            <w:pPr>
              <w:spacing w:after="0" w:line="200" w:lineRule="exact"/>
              <w:ind w:left="176"/>
              <w:rPr>
                <w:sz w:val="18"/>
                <w:szCs w:val="18"/>
              </w:rPr>
            </w:pPr>
            <w:r>
              <w:rPr>
                <w:sz w:val="18"/>
                <w:szCs w:val="18"/>
              </w:rPr>
              <w:t>Range of WQ variables</w:t>
            </w:r>
          </w:p>
        </w:tc>
        <w:tc>
          <w:tcPr>
            <w:tcW w:w="1512" w:type="dxa"/>
            <w:tcBorders>
              <w:top w:val="single" w:sz="4" w:space="0" w:color="auto"/>
              <w:bottom w:val="single" w:sz="4" w:space="0" w:color="auto"/>
            </w:tcBorders>
            <w:shd w:val="clear" w:color="auto" w:fill="F3F9FA"/>
          </w:tcPr>
          <w:p w14:paraId="3F4FF816" w14:textId="77777777" w:rsidR="00F33DC3" w:rsidRPr="00064B7C" w:rsidRDefault="00F33DC3" w:rsidP="00F33DC3">
            <w:pPr>
              <w:spacing w:after="0" w:line="200" w:lineRule="exact"/>
              <w:rPr>
                <w:sz w:val="18"/>
                <w:szCs w:val="18"/>
              </w:rPr>
            </w:pPr>
            <w:r>
              <w:rPr>
                <w:sz w:val="18"/>
                <w:szCs w:val="18"/>
              </w:rPr>
              <w:t>2011-2016</w:t>
            </w:r>
          </w:p>
        </w:tc>
        <w:tc>
          <w:tcPr>
            <w:tcW w:w="3394" w:type="dxa"/>
            <w:tcBorders>
              <w:top w:val="single" w:sz="4" w:space="0" w:color="auto"/>
              <w:bottom w:val="single" w:sz="4" w:space="0" w:color="auto"/>
            </w:tcBorders>
            <w:shd w:val="clear" w:color="auto" w:fill="F3F9FA"/>
          </w:tcPr>
          <w:p w14:paraId="79ED464B" w14:textId="77777777" w:rsidR="00F33DC3" w:rsidRPr="00064B7C" w:rsidRDefault="00F33DC3" w:rsidP="00F33DC3">
            <w:pPr>
              <w:spacing w:after="0" w:line="200" w:lineRule="exact"/>
              <w:rPr>
                <w:sz w:val="18"/>
                <w:szCs w:val="18"/>
              </w:rPr>
            </w:pPr>
            <w:r>
              <w:rPr>
                <w:sz w:val="18"/>
                <w:szCs w:val="18"/>
              </w:rPr>
              <w:t xml:space="preserve">eReefs biogeochemical model </w:t>
            </w:r>
          </w:p>
        </w:tc>
        <w:tc>
          <w:tcPr>
            <w:tcW w:w="2535" w:type="dxa"/>
            <w:tcBorders>
              <w:top w:val="single" w:sz="4" w:space="0" w:color="auto"/>
              <w:bottom w:val="single" w:sz="4" w:space="0" w:color="auto"/>
            </w:tcBorders>
            <w:shd w:val="clear" w:color="auto" w:fill="F3F9FA"/>
          </w:tcPr>
          <w:p w14:paraId="1EAEB770" w14:textId="77777777" w:rsidR="00F33DC3" w:rsidRPr="00064B7C" w:rsidRDefault="00F33DC3" w:rsidP="00F33DC3">
            <w:pPr>
              <w:spacing w:after="0" w:line="200" w:lineRule="exact"/>
              <w:rPr>
                <w:sz w:val="18"/>
                <w:szCs w:val="18"/>
              </w:rPr>
            </w:pPr>
            <w:r>
              <w:rPr>
                <w:sz w:val="18"/>
                <w:szCs w:val="18"/>
              </w:rPr>
              <w:t xml:space="preserve">case study </w:t>
            </w:r>
          </w:p>
        </w:tc>
        <w:tc>
          <w:tcPr>
            <w:tcW w:w="3104" w:type="dxa"/>
            <w:tcBorders>
              <w:top w:val="single" w:sz="4" w:space="0" w:color="auto"/>
              <w:bottom w:val="single" w:sz="4" w:space="0" w:color="auto"/>
            </w:tcBorders>
            <w:shd w:val="clear" w:color="auto" w:fill="F3F9FA"/>
          </w:tcPr>
          <w:p w14:paraId="2FC017D5" w14:textId="77777777" w:rsidR="00F33DC3" w:rsidRPr="00064B7C" w:rsidRDefault="00DF74CA" w:rsidP="00F33DC3">
            <w:pPr>
              <w:spacing w:after="0" w:line="200" w:lineRule="exact"/>
              <w:rPr>
                <w:sz w:val="18"/>
                <w:szCs w:val="18"/>
              </w:rPr>
            </w:pPr>
            <w:r>
              <w:rPr>
                <w:sz w:val="18"/>
                <w:szCs w:val="18"/>
              </w:rPr>
              <w:t>eReefs download</w:t>
            </w:r>
          </w:p>
        </w:tc>
      </w:tr>
      <w:tr w:rsidR="00464DC3" w:rsidRPr="00064B7C" w14:paraId="2E48C3D8" w14:textId="77777777" w:rsidTr="00C82ABC">
        <w:trPr>
          <w:trHeight w:val="397"/>
        </w:trPr>
        <w:tc>
          <w:tcPr>
            <w:tcW w:w="2198" w:type="dxa"/>
            <w:tcBorders>
              <w:top w:val="single" w:sz="4" w:space="0" w:color="auto"/>
              <w:bottom w:val="single" w:sz="4" w:space="0" w:color="auto"/>
            </w:tcBorders>
            <w:shd w:val="clear" w:color="auto" w:fill="F3F9FA"/>
          </w:tcPr>
          <w:p w14:paraId="1749F72F" w14:textId="77777777" w:rsidR="00DF74CA" w:rsidRPr="00064B7C" w:rsidRDefault="00DF74CA" w:rsidP="00DF74CA">
            <w:pPr>
              <w:spacing w:after="0" w:line="200" w:lineRule="exact"/>
              <w:ind w:left="176"/>
              <w:rPr>
                <w:sz w:val="18"/>
                <w:szCs w:val="18"/>
              </w:rPr>
            </w:pPr>
            <w:r>
              <w:rPr>
                <w:sz w:val="18"/>
                <w:szCs w:val="18"/>
              </w:rPr>
              <w:t>TSS, PP, PN exposure</w:t>
            </w:r>
          </w:p>
        </w:tc>
        <w:tc>
          <w:tcPr>
            <w:tcW w:w="1512" w:type="dxa"/>
            <w:tcBorders>
              <w:top w:val="single" w:sz="4" w:space="0" w:color="auto"/>
              <w:bottom w:val="single" w:sz="4" w:space="0" w:color="auto"/>
            </w:tcBorders>
            <w:shd w:val="clear" w:color="auto" w:fill="F3F9FA"/>
          </w:tcPr>
          <w:p w14:paraId="0B9C77E8" w14:textId="77777777" w:rsidR="00DF74CA" w:rsidRPr="00064B7C" w:rsidRDefault="00DF74CA" w:rsidP="00DF74CA">
            <w:pPr>
              <w:spacing w:after="0" w:line="200" w:lineRule="exact"/>
              <w:rPr>
                <w:sz w:val="18"/>
                <w:szCs w:val="18"/>
              </w:rPr>
            </w:pPr>
            <w:r>
              <w:rPr>
                <w:sz w:val="18"/>
                <w:szCs w:val="18"/>
              </w:rPr>
              <w:t>2003-2016</w:t>
            </w:r>
          </w:p>
        </w:tc>
        <w:tc>
          <w:tcPr>
            <w:tcW w:w="3394" w:type="dxa"/>
            <w:tcBorders>
              <w:top w:val="single" w:sz="4" w:space="0" w:color="auto"/>
              <w:bottom w:val="single" w:sz="4" w:space="0" w:color="auto"/>
            </w:tcBorders>
            <w:shd w:val="clear" w:color="auto" w:fill="F3F9FA"/>
          </w:tcPr>
          <w:p w14:paraId="0CB0AABE" w14:textId="77777777" w:rsidR="00DF74CA" w:rsidRPr="00064B7C" w:rsidRDefault="00DF74CA" w:rsidP="00DF74CA">
            <w:pPr>
              <w:spacing w:after="0" w:line="200" w:lineRule="exact"/>
              <w:rPr>
                <w:sz w:val="18"/>
                <w:szCs w:val="18"/>
              </w:rPr>
            </w:pPr>
            <w:r>
              <w:rPr>
                <w:sz w:val="18"/>
                <w:szCs w:val="18"/>
              </w:rPr>
              <w:t>product of water colour classification derived from remote sensing and coupled niskin samples</w:t>
            </w:r>
          </w:p>
        </w:tc>
        <w:tc>
          <w:tcPr>
            <w:tcW w:w="2535" w:type="dxa"/>
            <w:tcBorders>
              <w:top w:val="single" w:sz="4" w:space="0" w:color="auto"/>
              <w:bottom w:val="single" w:sz="4" w:space="0" w:color="auto"/>
            </w:tcBorders>
            <w:shd w:val="clear" w:color="auto" w:fill="F3F9FA"/>
          </w:tcPr>
          <w:p w14:paraId="7092FBFC" w14:textId="77777777" w:rsidR="00DF74CA" w:rsidRPr="00064B7C" w:rsidRDefault="00DF74CA" w:rsidP="00DF74CA">
            <w:pPr>
              <w:spacing w:after="0" w:line="200" w:lineRule="exact"/>
              <w:rPr>
                <w:sz w:val="18"/>
                <w:szCs w:val="18"/>
              </w:rPr>
            </w:pPr>
            <w:r>
              <w:rPr>
                <w:sz w:val="18"/>
                <w:szCs w:val="18"/>
              </w:rPr>
              <w:t>case study</w:t>
            </w:r>
          </w:p>
        </w:tc>
        <w:tc>
          <w:tcPr>
            <w:tcW w:w="3104" w:type="dxa"/>
            <w:tcBorders>
              <w:top w:val="single" w:sz="4" w:space="0" w:color="auto"/>
              <w:bottom w:val="single" w:sz="4" w:space="0" w:color="auto"/>
            </w:tcBorders>
            <w:shd w:val="clear" w:color="auto" w:fill="F3F9FA"/>
          </w:tcPr>
          <w:p w14:paraId="51D9DEE4" w14:textId="77777777" w:rsidR="00DF74CA" w:rsidRPr="00064B7C" w:rsidRDefault="00DF74CA" w:rsidP="00DF74CA">
            <w:pPr>
              <w:spacing w:after="0" w:line="200" w:lineRule="exact"/>
              <w:rPr>
                <w:sz w:val="18"/>
                <w:szCs w:val="18"/>
              </w:rPr>
            </w:pPr>
            <w:r w:rsidRPr="00064B7C">
              <w:rPr>
                <w:sz w:val="18"/>
                <w:szCs w:val="18"/>
              </w:rPr>
              <w:t xml:space="preserve">MMP Water Quality (Waterhouse </w:t>
            </w:r>
            <w:r w:rsidRPr="00064B7C">
              <w:rPr>
                <w:i/>
                <w:sz w:val="18"/>
                <w:szCs w:val="18"/>
              </w:rPr>
              <w:t>et al</w:t>
            </w:r>
            <w:r w:rsidRPr="00064B7C">
              <w:rPr>
                <w:sz w:val="18"/>
                <w:szCs w:val="18"/>
              </w:rPr>
              <w:t>. 201</w:t>
            </w:r>
            <w:r>
              <w:rPr>
                <w:sz w:val="18"/>
                <w:szCs w:val="18"/>
              </w:rPr>
              <w:t>7</w:t>
            </w:r>
            <w:r w:rsidRPr="00064B7C">
              <w:rPr>
                <w:sz w:val="18"/>
                <w:szCs w:val="18"/>
              </w:rPr>
              <w:t>)</w:t>
            </w:r>
          </w:p>
        </w:tc>
      </w:tr>
    </w:tbl>
    <w:p w14:paraId="388E0857" w14:textId="77777777" w:rsidR="00F84112" w:rsidRPr="00F352E1" w:rsidRDefault="00F84112" w:rsidP="005D259E">
      <w:pPr>
        <w:pStyle w:val="Heading2"/>
        <w:rPr>
          <w:b w:val="0"/>
          <w:bCs w:val="0"/>
          <w:color w:val="4F81BD" w:themeColor="accent1"/>
        </w:rPr>
        <w:sectPr w:rsidR="00F84112" w:rsidRPr="00F352E1" w:rsidSect="006D1A71">
          <w:pgSz w:w="16840" w:h="11907" w:orient="landscape" w:code="9"/>
          <w:pgMar w:top="1134" w:right="1440" w:bottom="1134" w:left="1134" w:header="709" w:footer="709" w:gutter="0"/>
          <w:cols w:space="708"/>
          <w:docGrid w:linePitch="360"/>
        </w:sectPr>
      </w:pPr>
    </w:p>
    <w:p w14:paraId="3BE2C766" w14:textId="77777777" w:rsidR="005D259E" w:rsidRPr="00973364" w:rsidRDefault="00056F6C" w:rsidP="00247FC8">
      <w:pPr>
        <w:pStyle w:val="Heading2"/>
        <w:spacing w:before="240" w:after="240"/>
        <w:rPr>
          <w:color w:val="auto"/>
        </w:rPr>
      </w:pPr>
      <w:bookmarkStart w:id="77" w:name="_Toc491847360"/>
      <w:bookmarkStart w:id="78" w:name="_Toc514408387"/>
      <w:r w:rsidRPr="009B4EDA">
        <w:rPr>
          <w:color w:val="auto"/>
        </w:rPr>
        <w:t>4.4</w:t>
      </w:r>
      <w:r w:rsidR="005D259E" w:rsidRPr="009B4EDA">
        <w:rPr>
          <w:color w:val="auto"/>
        </w:rPr>
        <w:t xml:space="preserve"> </w:t>
      </w:r>
      <w:r w:rsidR="005D259E" w:rsidRPr="00973364">
        <w:rPr>
          <w:color w:val="auto"/>
        </w:rPr>
        <w:t>Pressure presentation</w:t>
      </w:r>
      <w:bookmarkEnd w:id="77"/>
      <w:bookmarkEnd w:id="78"/>
    </w:p>
    <w:p w14:paraId="06086D13" w14:textId="77777777" w:rsidR="005D259E" w:rsidRPr="00973364" w:rsidRDefault="00C0218D" w:rsidP="00247FC8">
      <w:r w:rsidRPr="00973364">
        <w:t xml:space="preserve">The most tangible immediate effect of disturbances to coral communities is the loss of coral cover. A summary of disturbance history within each (sub-)region </w:t>
      </w:r>
      <w:r w:rsidR="0045315F" w:rsidRPr="00973364">
        <w:t xml:space="preserve">is presented as </w:t>
      </w:r>
      <w:r w:rsidR="00DF74CA">
        <w:t xml:space="preserve">a </w:t>
      </w:r>
      <w:r w:rsidRPr="00973364">
        <w:t>bar</w:t>
      </w:r>
      <w:r w:rsidR="00056F6C" w:rsidRPr="00973364">
        <w:t xml:space="preserve"> </w:t>
      </w:r>
      <w:r w:rsidRPr="00973364">
        <w:t xml:space="preserve">plot of annual </w:t>
      </w:r>
      <w:r w:rsidR="0045315F" w:rsidRPr="00973364">
        <w:t xml:space="preserve">hard </w:t>
      </w:r>
      <w:r w:rsidRPr="00973364">
        <w:t>coral cover loss</w:t>
      </w:r>
      <w:r w:rsidR="005D259E" w:rsidRPr="00973364">
        <w:t>. The height of the bar represents the mean coral cover lost across all 2</w:t>
      </w:r>
      <w:r w:rsidR="00C37DA8" w:rsidRPr="00973364">
        <w:t xml:space="preserve"> </w:t>
      </w:r>
      <w:r w:rsidR="005D259E" w:rsidRPr="00973364">
        <w:t>m and 5</w:t>
      </w:r>
      <w:r w:rsidR="00C37DA8" w:rsidRPr="00973364">
        <w:t xml:space="preserve"> </w:t>
      </w:r>
      <w:r w:rsidR="005D259E" w:rsidRPr="00973364">
        <w:t>m sites within a region</w:t>
      </w:r>
      <w:r w:rsidRPr="00973364">
        <w:t>.</w:t>
      </w:r>
      <w:r w:rsidR="00056F6C" w:rsidRPr="00973364">
        <w:t xml:space="preserve"> </w:t>
      </w:r>
      <w:r w:rsidRPr="00973364">
        <w:t xml:space="preserve">Bars are segmented based on the </w:t>
      </w:r>
      <w:r w:rsidR="005D259E" w:rsidRPr="00973364">
        <w:t xml:space="preserve">proportion of loss </w:t>
      </w:r>
      <w:r w:rsidRPr="00973364">
        <w:t>attributed</w:t>
      </w:r>
      <w:r w:rsidR="005D259E" w:rsidRPr="00973364">
        <w:t xml:space="preserve"> </w:t>
      </w:r>
      <w:r w:rsidRPr="00973364">
        <w:t xml:space="preserve">to different </w:t>
      </w:r>
      <w:r w:rsidR="005D259E" w:rsidRPr="00973364">
        <w:t>disturbance type</w:t>
      </w:r>
      <w:r w:rsidRPr="00973364">
        <w:t>s</w:t>
      </w:r>
      <w:r w:rsidR="005D259E" w:rsidRPr="00973364">
        <w:t>. For each observation of hard coral cover at a reef and depth</w:t>
      </w:r>
      <w:r w:rsidR="00C37DA8" w:rsidRPr="00973364">
        <w:t>,</w:t>
      </w:r>
      <w:r w:rsidR="005D259E" w:rsidRPr="00973364">
        <w:t xml:space="preserve"> the observation was categorised </w:t>
      </w:r>
      <w:r w:rsidRPr="00973364">
        <w:t>(</w:t>
      </w:r>
      <w:r w:rsidR="00296011" w:rsidRPr="00973364">
        <w:fldChar w:fldCharType="begin"/>
      </w:r>
      <w:r w:rsidR="00296011" w:rsidRPr="00973364">
        <w:instrText xml:space="preserve"> REF _Ref491154800 \h </w:instrText>
      </w:r>
      <w:r w:rsidR="00296011" w:rsidRPr="00973364">
        <w:fldChar w:fldCharType="separate"/>
      </w:r>
      <w:r w:rsidR="00A75175" w:rsidRPr="00F352E1">
        <w:t xml:space="preserve">Table </w:t>
      </w:r>
      <w:r w:rsidR="00A75175">
        <w:rPr>
          <w:noProof/>
        </w:rPr>
        <w:t>3</w:t>
      </w:r>
      <w:r w:rsidR="00296011" w:rsidRPr="00973364">
        <w:fldChar w:fldCharType="end"/>
      </w:r>
      <w:r w:rsidRPr="00973364">
        <w:t xml:space="preserve">) </w:t>
      </w:r>
      <w:r w:rsidR="005D259E" w:rsidRPr="00973364">
        <w:t xml:space="preserve">by any disturbance that had impacted the reef since the previous observation and the coral cover lost calculated as: </w:t>
      </w:r>
    </w:p>
    <w:p w14:paraId="0C4D1D4A" w14:textId="621E31A0" w:rsidR="005D259E" w:rsidRPr="00973364" w:rsidRDefault="005D259E" w:rsidP="00247FC8">
      <w:pPr>
        <w:pStyle w:val="ListParagraph"/>
        <w:ind w:left="0"/>
      </w:pPr>
      <w:r w:rsidRPr="00973364">
        <w:br/>
      </w:r>
      <m:oMathPara>
        <m:oMath>
          <m:r>
            <w:rPr>
              <w:rFonts w:ascii="Cambria Math" w:hAnsi="Cambria Math"/>
            </w:rPr>
            <m:t>Loss</m:t>
          </m:r>
          <m:r>
            <m:rPr>
              <m:sty m:val="p"/>
            </m:rPr>
            <w:rPr>
              <w:rFonts w:ascii="Cambria Math" w:hAnsi="Cambria Math"/>
            </w:rPr>
            <m:t xml:space="preserve">= </m:t>
          </m:r>
          <m:r>
            <w:rPr>
              <w:rFonts w:ascii="Cambria Math" w:hAnsi="Cambria Math"/>
            </w:rPr>
            <m:t>predicted</m:t>
          </m:r>
          <m:r>
            <m:rPr>
              <m:sty m:val="p"/>
            </m:rPr>
            <w:rPr>
              <w:rFonts w:ascii="Cambria Math" w:hAnsi="Cambria Math"/>
            </w:rPr>
            <m:t>-</m:t>
          </m:r>
          <m:r>
            <w:rPr>
              <w:rFonts w:ascii="Cambria Math" w:hAnsi="Cambria Math"/>
            </w:rPr>
            <m:t xml:space="preserve"> observed</m:t>
          </m:r>
          <m:r>
            <m:rPr>
              <m:sty m:val="p"/>
            </m:rPr>
            <w:rPr>
              <w:rFonts w:ascii="Cambria Math" w:hAnsi="Cambria Math"/>
            </w:rPr>
            <w:br/>
          </m:r>
        </m:oMath>
      </m:oMathPara>
      <w:r w:rsidRPr="00973364">
        <w:rPr>
          <w:rFonts w:ascii="Cambria Math" w:hAnsi="Cambria Math"/>
        </w:rPr>
        <w:br/>
      </w:r>
      <m:oMath>
        <m:r>
          <m:rPr>
            <m:sty m:val="p"/>
          </m:rPr>
          <w:rPr>
            <w:rFonts w:ascii="Cambria Math" w:hAnsi="Cambria Math"/>
          </w:rPr>
          <m:t>w</m:t>
        </m:r>
      </m:oMath>
      <w:r w:rsidRPr="00973364">
        <w:t xml:space="preserve">here; </w:t>
      </w:r>
      <w:r w:rsidRPr="00973364">
        <w:rPr>
          <w:i/>
        </w:rPr>
        <w:t>observed</w:t>
      </w:r>
      <w:r w:rsidRPr="00973364">
        <w:t xml:space="preserve"> is the hard coral cover observed, and </w:t>
      </w:r>
      <w:r w:rsidRPr="00973364">
        <w:rPr>
          <w:i/>
        </w:rPr>
        <w:t>predicted</w:t>
      </w:r>
      <w:r w:rsidRPr="00973364">
        <w:t xml:space="preserve"> was the coral cover predicted from the application of the coral growth model</w:t>
      </w:r>
      <w:r w:rsidR="00AA72A3" w:rsidRPr="00973364">
        <w:t>s</w:t>
      </w:r>
      <w:r w:rsidRPr="00973364">
        <w:t xml:space="preserve"> described for </w:t>
      </w:r>
      <w:r w:rsidR="00296011" w:rsidRPr="00973364">
        <w:t>the Cover Change metric</w:t>
      </w:r>
      <w:r w:rsidRPr="00973364">
        <w:t xml:space="preserve"> </w:t>
      </w:r>
      <w:r w:rsidR="00296011" w:rsidRPr="00973364">
        <w:t>(</w:t>
      </w:r>
      <w:r w:rsidR="00F74624">
        <w:t>s</w:t>
      </w:r>
      <w:r w:rsidRPr="00973364">
        <w:t>ection 4.</w:t>
      </w:r>
      <w:r w:rsidR="00296011" w:rsidRPr="00973364">
        <w:t>7</w:t>
      </w:r>
      <w:r w:rsidRPr="00973364">
        <w:t>.4</w:t>
      </w:r>
      <w:r w:rsidR="00296011" w:rsidRPr="00973364">
        <w:t>)</w:t>
      </w:r>
      <w:r w:rsidR="000305DA">
        <w:t>. The proportion of</w:t>
      </w:r>
      <w:r w:rsidRPr="00973364">
        <w:t xml:space="preserve"> coral cover lost per  region for each disturbance type is subsequently calculated as:</w:t>
      </w:r>
    </w:p>
    <w:p w14:paraId="056959E2" w14:textId="77777777" w:rsidR="005D259E" w:rsidRPr="00973364" w:rsidRDefault="005D259E" w:rsidP="00D2045F">
      <w:pPr>
        <w:pStyle w:val="ListParagraph"/>
        <w:ind w:left="357"/>
      </w:pPr>
    </w:p>
    <w:p w14:paraId="4FA3E898" w14:textId="11E55E04" w:rsidR="005D259E" w:rsidRPr="00973364" w:rsidRDefault="005D259E" w:rsidP="00D2045F">
      <w:pPr>
        <w:pStyle w:val="ListParagraph"/>
        <w:ind w:left="357"/>
      </w:pPr>
      <m:oMathPara>
        <m:oMath>
          <m:r>
            <w:rPr>
              <w:rFonts w:ascii="Cambria Math" w:hAnsi="Cambria Math"/>
            </w:rPr>
            <m:t>proportional Loss=(</m:t>
          </m:r>
          <m:f>
            <m:fPr>
              <m:ctrlPr>
                <w:rPr>
                  <w:rFonts w:ascii="Cambria Math" w:hAnsi="Cambria Math"/>
                  <w:i/>
                </w:rPr>
              </m:ctrlPr>
            </m:fPr>
            <m:num>
              <m:r>
                <w:rPr>
                  <w:rFonts w:ascii="Cambria Math" w:hAnsi="Cambria Math"/>
                </w:rPr>
                <m:t>Loss</m:t>
              </m:r>
            </m:num>
            <m:den>
              <m:r>
                <w:rPr>
                  <w:rFonts w:ascii="Cambria Math" w:hAnsi="Cambria Math"/>
                </w:rPr>
                <m:t>∑</m:t>
              </m:r>
              <m:sSub>
                <m:sSubPr>
                  <m:ctrlPr>
                    <w:rPr>
                      <w:rFonts w:ascii="Cambria Math" w:hAnsi="Cambria Math"/>
                      <w:i/>
                    </w:rPr>
                  </m:ctrlPr>
                </m:sSubPr>
                <m:e>
                  <m:r>
                    <w:rPr>
                      <w:rFonts w:ascii="Cambria Math" w:hAnsi="Cambria Math"/>
                    </w:rPr>
                    <m:t>Loss</m:t>
                  </m:r>
                </m:e>
                <m:sub>
                  <m:r>
                    <w:rPr>
                      <w:rFonts w:ascii="Cambria Math" w:hAnsi="Cambria Math"/>
                    </w:rPr>
                    <m:t>r</m:t>
                  </m:r>
                </m:sub>
              </m:sSub>
            </m:den>
          </m:f>
          <m:r>
            <w:rPr>
              <w:rFonts w:ascii="Cambria Math" w:hAnsi="Cambria Math"/>
            </w:rPr>
            <m:t>)</m:t>
          </m:r>
        </m:oMath>
      </m:oMathPara>
    </w:p>
    <w:p w14:paraId="5E1EFE09" w14:textId="4BA83BC3" w:rsidR="005D259E" w:rsidRPr="00973364" w:rsidRDefault="005D259E" w:rsidP="00247FC8">
      <w:pPr>
        <w:pStyle w:val="ListParagraph"/>
        <w:ind w:left="0"/>
      </w:pPr>
      <w:r w:rsidRPr="00973364">
        <w:t xml:space="preserve">where; </w:t>
      </w:r>
      <m:oMath>
        <m:r>
          <w:rPr>
            <w:rFonts w:ascii="Cambria Math" w:hAnsi="Cambria Math"/>
          </w:rPr>
          <m:t>∑</m:t>
        </m:r>
        <m:sSub>
          <m:sSubPr>
            <m:ctrlPr>
              <w:rPr>
                <w:rFonts w:ascii="Cambria Math" w:hAnsi="Cambria Math"/>
                <w:i/>
              </w:rPr>
            </m:ctrlPr>
          </m:sSubPr>
          <m:e>
            <m:r>
              <w:rPr>
                <w:rFonts w:ascii="Cambria Math" w:hAnsi="Cambria Math"/>
              </w:rPr>
              <m:t>Loss</m:t>
            </m:r>
          </m:e>
          <m:sub>
            <m:r>
              <w:rPr>
                <w:rFonts w:ascii="Cambria Math" w:hAnsi="Cambria Math"/>
              </w:rPr>
              <m:t>r</m:t>
            </m:r>
          </m:sub>
        </m:sSub>
      </m:oMath>
      <w:r w:rsidRPr="00973364">
        <w:rPr>
          <w:i/>
        </w:rPr>
        <w:t xml:space="preserve"> </w:t>
      </w:r>
      <w:r w:rsidRPr="00973364">
        <w:t>is the overall cover lost withi</w:t>
      </w:r>
      <w:r w:rsidR="00296011" w:rsidRPr="00973364">
        <w:t xml:space="preserve">n each region </w:t>
      </w:r>
      <w:r w:rsidRPr="00973364">
        <w:t>.</w:t>
      </w:r>
      <w:r w:rsidRPr="00973364">
        <w:rPr>
          <w:i/>
        </w:rPr>
        <w:t xml:space="preserve"> </w:t>
      </w:r>
      <w:r w:rsidRPr="00973364">
        <w:t>It is important to note that</w:t>
      </w:r>
      <w:r w:rsidR="00AA72A3" w:rsidRPr="00973364">
        <w:t>,</w:t>
      </w:r>
      <w:r w:rsidRPr="00973364">
        <w:t xml:space="preserve"> for each loss attributed to a specific disturbance any cumulative impact of water quality is implicitly included. For reference among regions the y axis of each plot was scaled to the maximum mean hard coral cover loss observed across regions in a </w:t>
      </w:r>
      <w:r w:rsidR="00AA72A3" w:rsidRPr="00973364">
        <w:t>single</w:t>
      </w:r>
      <w:r w:rsidRPr="00973364">
        <w:t xml:space="preserve"> year (22% loss of coral cover within the Tully region in 2011). Only observations from MMP reefs are included </w:t>
      </w:r>
      <w:r w:rsidR="0030466B" w:rsidRPr="00973364">
        <w:t xml:space="preserve">as </w:t>
      </w:r>
      <w:r w:rsidRPr="00973364">
        <w:t xml:space="preserve">reefs are revisited following expected disturbances irrespective of the underlying biennial sampling design. </w:t>
      </w:r>
    </w:p>
    <w:p w14:paraId="660491E8" w14:textId="77777777" w:rsidR="00296011" w:rsidRPr="00F352E1" w:rsidRDefault="00296011" w:rsidP="00606A50">
      <w:pPr>
        <w:pStyle w:val="Caption"/>
        <w:rPr>
          <w:rFonts w:ascii="Arial" w:eastAsia="Times New Roman" w:hAnsi="Arial"/>
          <w:sz w:val="22"/>
          <w:lang w:eastAsia="en-GB"/>
        </w:rPr>
      </w:pPr>
      <w:bookmarkStart w:id="79" w:name="_Ref491154800"/>
      <w:bookmarkStart w:id="80" w:name="_Toc514407851"/>
      <w:r w:rsidRPr="00F352E1">
        <w:t xml:space="preserve">Table </w:t>
      </w:r>
      <w:r w:rsidR="00626D6B">
        <w:fldChar w:fldCharType="begin"/>
      </w:r>
      <w:r w:rsidR="00626D6B">
        <w:instrText xml:space="preserve"> SEQ Table \* ARABIC </w:instrText>
      </w:r>
      <w:r w:rsidR="00626D6B">
        <w:fldChar w:fldCharType="separate"/>
      </w:r>
      <w:r w:rsidR="00A75175">
        <w:rPr>
          <w:noProof/>
        </w:rPr>
        <w:t>3</w:t>
      </w:r>
      <w:r w:rsidR="00626D6B">
        <w:rPr>
          <w:noProof/>
        </w:rPr>
        <w:fldChar w:fldCharType="end"/>
      </w:r>
      <w:bookmarkEnd w:id="79"/>
      <w:r w:rsidRPr="00F352E1">
        <w:t xml:space="preserve"> </w:t>
      </w:r>
      <w:r w:rsidR="00DF3841">
        <w:t>Information considered for disturbance c</w:t>
      </w:r>
      <w:r w:rsidRPr="00F352E1">
        <w:t>ategorisation</w:t>
      </w:r>
      <w:bookmarkEnd w:id="80"/>
    </w:p>
    <w:tbl>
      <w:tblPr>
        <w:tblStyle w:val="TableGrid"/>
        <w:tblW w:w="0" w:type="auto"/>
        <w:tblInd w:w="360" w:type="dxa"/>
        <w:tblLook w:val="04A0" w:firstRow="1" w:lastRow="0" w:firstColumn="1" w:lastColumn="0" w:noHBand="0" w:noVBand="1"/>
        <w:tblCaption w:val="Description of data on which disturbance catergorisations were derived"/>
        <w:tblDescription w:val="Describes the bleaching was categorised based on degree heating day estimates for a region. Crown of thorns feeding activity was used as the basis for defining a COTS disturbance. River discharge and freashwater kill to categorise a flood impact. Cyclone tracks and brocken coral categorise storm damage. combinations of the above result in a multiple disturbance categorisation. Chrnic disturbance assumed when coral cove declined in tha absence of the above."/>
      </w:tblPr>
      <w:tblGrid>
        <w:gridCol w:w="2261"/>
        <w:gridCol w:w="7008"/>
      </w:tblGrid>
      <w:tr w:rsidR="00F352E1" w:rsidRPr="00F352E1" w14:paraId="38A12C43" w14:textId="77777777" w:rsidTr="001E472C">
        <w:trPr>
          <w:trHeight w:val="286"/>
          <w:tblHeader/>
        </w:trPr>
        <w:tc>
          <w:tcPr>
            <w:tcW w:w="2261" w:type="dxa"/>
          </w:tcPr>
          <w:p w14:paraId="585E6E09" w14:textId="77777777" w:rsidR="005D259E" w:rsidRPr="001B4B28" w:rsidRDefault="005D259E" w:rsidP="00052B5C">
            <w:pPr>
              <w:pStyle w:val="ListParagraph"/>
              <w:ind w:left="0"/>
            </w:pPr>
            <w:r w:rsidRPr="001B4B28">
              <w:t>Bleaching</w:t>
            </w:r>
          </w:p>
        </w:tc>
        <w:tc>
          <w:tcPr>
            <w:tcW w:w="7008" w:type="dxa"/>
          </w:tcPr>
          <w:p w14:paraId="39B039AB" w14:textId="77777777" w:rsidR="005D259E" w:rsidRPr="001B4B28" w:rsidRDefault="00DF3841" w:rsidP="00DF3841">
            <w:pPr>
              <w:pStyle w:val="ListParagraph"/>
              <w:ind w:left="0"/>
            </w:pPr>
            <w:r>
              <w:t xml:space="preserve">Consideration of </w:t>
            </w:r>
            <w:r w:rsidR="00036C05">
              <w:t>in situ</w:t>
            </w:r>
            <w:r>
              <w:t xml:space="preserve"> degree heating day estimates and reported </w:t>
            </w:r>
            <w:r w:rsidR="005D259E" w:rsidRPr="001B4B28">
              <w:t>observations of coral bleaching</w:t>
            </w:r>
          </w:p>
        </w:tc>
      </w:tr>
      <w:tr w:rsidR="00F352E1" w:rsidRPr="00F352E1" w14:paraId="240A0F1B" w14:textId="77777777" w:rsidTr="001E472C">
        <w:trPr>
          <w:tblHeader/>
        </w:trPr>
        <w:tc>
          <w:tcPr>
            <w:tcW w:w="2261" w:type="dxa"/>
          </w:tcPr>
          <w:p w14:paraId="1A2BE9B3" w14:textId="77777777" w:rsidR="005D259E" w:rsidRPr="001B4B28" w:rsidRDefault="005D259E" w:rsidP="00052B5C">
            <w:pPr>
              <w:pStyle w:val="ListParagraph"/>
              <w:ind w:left="0"/>
            </w:pPr>
            <w:r w:rsidRPr="001B4B28">
              <w:t>COTS</w:t>
            </w:r>
          </w:p>
        </w:tc>
        <w:tc>
          <w:tcPr>
            <w:tcW w:w="7008" w:type="dxa"/>
          </w:tcPr>
          <w:p w14:paraId="21B125F6" w14:textId="77777777" w:rsidR="005D259E" w:rsidRPr="001B4B28" w:rsidRDefault="005D259E" w:rsidP="00052B5C">
            <w:pPr>
              <w:pStyle w:val="ListParagraph"/>
              <w:ind w:left="0"/>
            </w:pPr>
            <w:r w:rsidRPr="001B4B28">
              <w:t>SCUBA search revealing &gt; 40 ha</w:t>
            </w:r>
            <w:r w:rsidRPr="001B4B28">
              <w:rPr>
                <w:vertAlign w:val="superscript"/>
              </w:rPr>
              <w:t>-1</w:t>
            </w:r>
            <w:r w:rsidRPr="001B4B28">
              <w:t xml:space="preserve"> density of crown-of-thorns during present or previous survey of the reef</w:t>
            </w:r>
          </w:p>
        </w:tc>
      </w:tr>
      <w:tr w:rsidR="00F352E1" w:rsidRPr="00F352E1" w14:paraId="489B78B5" w14:textId="77777777" w:rsidTr="001E472C">
        <w:trPr>
          <w:tblHeader/>
        </w:trPr>
        <w:tc>
          <w:tcPr>
            <w:tcW w:w="2261" w:type="dxa"/>
          </w:tcPr>
          <w:p w14:paraId="30F25640" w14:textId="77777777" w:rsidR="005D259E" w:rsidRPr="001B4B28" w:rsidRDefault="005D259E" w:rsidP="00052B5C">
            <w:pPr>
              <w:pStyle w:val="ListParagraph"/>
              <w:ind w:left="0"/>
            </w:pPr>
            <w:r w:rsidRPr="001B4B28">
              <w:t>Disease</w:t>
            </w:r>
          </w:p>
        </w:tc>
        <w:tc>
          <w:tcPr>
            <w:tcW w:w="7008" w:type="dxa"/>
          </w:tcPr>
          <w:p w14:paraId="5BE3AE1D" w14:textId="77777777" w:rsidR="005D259E" w:rsidRPr="001B4B28" w:rsidRDefault="005D259E" w:rsidP="00DF3841">
            <w:pPr>
              <w:pStyle w:val="ListParagraph"/>
              <w:ind w:left="0"/>
            </w:pPr>
            <w:r w:rsidRPr="001B4B28">
              <w:t>SCUBA search revealing above median incidence of coral disease during present or previous survey of the reef</w:t>
            </w:r>
          </w:p>
        </w:tc>
      </w:tr>
      <w:tr w:rsidR="00F352E1" w:rsidRPr="00F352E1" w14:paraId="00DD91AF" w14:textId="77777777" w:rsidTr="001E472C">
        <w:trPr>
          <w:tblHeader/>
        </w:trPr>
        <w:tc>
          <w:tcPr>
            <w:tcW w:w="2261" w:type="dxa"/>
          </w:tcPr>
          <w:p w14:paraId="0F72A05B" w14:textId="77777777" w:rsidR="005D259E" w:rsidRPr="001B4B28" w:rsidRDefault="005D259E" w:rsidP="00052B5C">
            <w:pPr>
              <w:pStyle w:val="ListParagraph"/>
              <w:ind w:left="0"/>
            </w:pPr>
            <w:r w:rsidRPr="001B4B28">
              <w:t>Flood</w:t>
            </w:r>
          </w:p>
        </w:tc>
        <w:tc>
          <w:tcPr>
            <w:tcW w:w="7008" w:type="dxa"/>
          </w:tcPr>
          <w:p w14:paraId="3B7E8C6A" w14:textId="77777777" w:rsidR="005D259E" w:rsidRPr="001B4B28" w:rsidRDefault="00DF3841" w:rsidP="00DF3841">
            <w:pPr>
              <w:pStyle w:val="ListParagraph"/>
              <w:ind w:left="0"/>
            </w:pPr>
            <w:r>
              <w:t>Discharge from local rivers sufficient that reduced</w:t>
            </w:r>
            <w:r w:rsidR="005D259E" w:rsidRPr="001B4B28">
              <w:t xml:space="preserve"> salinity </w:t>
            </w:r>
            <w:r>
              <w:t xml:space="preserve">at the reef sites </w:t>
            </w:r>
            <w:r w:rsidR="005D259E" w:rsidRPr="001B4B28">
              <w:t>can reasonably be inferred. An exception was classification of a flood effect in the Whitsundays region based on high levels of sediment deposition to corals. This classification has been retained for historical reasons and would not be classified as a flood effect under the current criteria</w:t>
            </w:r>
          </w:p>
        </w:tc>
      </w:tr>
      <w:tr w:rsidR="00F352E1" w:rsidRPr="00F352E1" w14:paraId="1159E6C2" w14:textId="77777777" w:rsidTr="001E472C">
        <w:trPr>
          <w:tblHeader/>
        </w:trPr>
        <w:tc>
          <w:tcPr>
            <w:tcW w:w="2261" w:type="dxa"/>
          </w:tcPr>
          <w:p w14:paraId="4F2A8B83" w14:textId="77777777" w:rsidR="005D259E" w:rsidRPr="001B4B28" w:rsidRDefault="005D259E" w:rsidP="00052B5C">
            <w:pPr>
              <w:pStyle w:val="ListParagraph"/>
              <w:ind w:left="0"/>
            </w:pPr>
            <w:r w:rsidRPr="001B4B28">
              <w:t>Storm</w:t>
            </w:r>
          </w:p>
        </w:tc>
        <w:tc>
          <w:tcPr>
            <w:tcW w:w="7008" w:type="dxa"/>
          </w:tcPr>
          <w:p w14:paraId="2E370F7C" w14:textId="77777777" w:rsidR="005D259E" w:rsidRPr="001B4B28" w:rsidRDefault="005D259E" w:rsidP="00052B5C">
            <w:pPr>
              <w:pStyle w:val="ListParagraph"/>
              <w:ind w:left="0"/>
            </w:pPr>
            <w:r w:rsidRPr="001B4B28">
              <w:t>Observations of physical damage to corals during survey that can reasonably be attributable to a storm or cyclone event based nature of damage and the proximity of the reef to storm or cyclone paths.</w:t>
            </w:r>
          </w:p>
        </w:tc>
      </w:tr>
      <w:tr w:rsidR="00F352E1" w:rsidRPr="00F352E1" w14:paraId="0DE15A38" w14:textId="77777777" w:rsidTr="001E472C">
        <w:trPr>
          <w:trHeight w:val="361"/>
          <w:tblHeader/>
        </w:trPr>
        <w:tc>
          <w:tcPr>
            <w:tcW w:w="2261" w:type="dxa"/>
          </w:tcPr>
          <w:p w14:paraId="40F66ABB" w14:textId="77777777" w:rsidR="005D259E" w:rsidRPr="001B4B28" w:rsidRDefault="005D259E" w:rsidP="00052B5C">
            <w:pPr>
              <w:pStyle w:val="ListParagraph"/>
              <w:ind w:left="0"/>
            </w:pPr>
            <w:r w:rsidRPr="001B4B28">
              <w:t>Multiple</w:t>
            </w:r>
          </w:p>
        </w:tc>
        <w:tc>
          <w:tcPr>
            <w:tcW w:w="7008" w:type="dxa"/>
          </w:tcPr>
          <w:p w14:paraId="486961FF" w14:textId="77777777" w:rsidR="005D259E" w:rsidRPr="001B4B28" w:rsidRDefault="005D259E" w:rsidP="00052B5C">
            <w:pPr>
              <w:pStyle w:val="ListParagraph"/>
              <w:ind w:left="0"/>
            </w:pPr>
            <w:r w:rsidRPr="001B4B28">
              <w:t>When a combination of the above occur</w:t>
            </w:r>
          </w:p>
        </w:tc>
      </w:tr>
      <w:tr w:rsidR="005D259E" w:rsidRPr="00F352E1" w14:paraId="64565174" w14:textId="77777777" w:rsidTr="001E472C">
        <w:trPr>
          <w:tblHeader/>
        </w:trPr>
        <w:tc>
          <w:tcPr>
            <w:tcW w:w="2261" w:type="dxa"/>
          </w:tcPr>
          <w:p w14:paraId="194EBD02" w14:textId="77777777" w:rsidR="005D259E" w:rsidRPr="001B4B28" w:rsidRDefault="005D259E" w:rsidP="00052B5C">
            <w:pPr>
              <w:pStyle w:val="ListParagraph"/>
              <w:ind w:left="0"/>
            </w:pPr>
            <w:r w:rsidRPr="001B4B28">
              <w:t>Chronic</w:t>
            </w:r>
          </w:p>
        </w:tc>
        <w:tc>
          <w:tcPr>
            <w:tcW w:w="7008" w:type="dxa"/>
          </w:tcPr>
          <w:p w14:paraId="7CB5C512" w14:textId="77777777" w:rsidR="005D259E" w:rsidRPr="001B4B28" w:rsidRDefault="005D259E" w:rsidP="00052B5C">
            <w:pPr>
              <w:pStyle w:val="ListParagraph"/>
              <w:ind w:left="0"/>
            </w:pPr>
            <w:r w:rsidRPr="001B4B28">
              <w:t xml:space="preserve">In years that no acute disturbance was recorded a </w:t>
            </w:r>
            <w:r w:rsidRPr="001B4B28">
              <w:rPr>
                <w:i/>
              </w:rPr>
              <w:t>Loss</w:t>
            </w:r>
            <w:r w:rsidRPr="001B4B28">
              <w:t xml:space="preserve"> was recorded when </w:t>
            </w:r>
            <w:r w:rsidRPr="001B4B28">
              <w:rPr>
                <w:i/>
              </w:rPr>
              <w:t>observed</w:t>
            </w:r>
            <w:r w:rsidRPr="001B4B28">
              <w:t xml:space="preserve"> hard coral cover fell below the </w:t>
            </w:r>
            <w:r w:rsidRPr="001B4B28">
              <w:rPr>
                <w:i/>
              </w:rPr>
              <w:t>predicted</w:t>
            </w:r>
            <w:r w:rsidRPr="001B4B28">
              <w:t xml:space="preserve"> cover and these losses classified as disturbance type ‘Chronic’. This categorisation will include the cumulative impacts of minor exposure to any of the above disturbances along with chronic environmental conditions. Importantly as estimates for each disturbance are a mean and the disturbance categorisation “Chronic” includes all non-disturbance observations any proportion of loss attributed to this category represents a mean under performance in rate of cover increase for reefs not subject to an acute disturbance.</w:t>
            </w:r>
          </w:p>
        </w:tc>
      </w:tr>
    </w:tbl>
    <w:p w14:paraId="5E7FAA2D" w14:textId="77777777" w:rsidR="005D259E" w:rsidRPr="00F352E1" w:rsidRDefault="005D259E" w:rsidP="005D259E">
      <w:pPr>
        <w:pStyle w:val="ListParagraph"/>
        <w:ind w:left="360"/>
        <w:rPr>
          <w:color w:val="4F81BD" w:themeColor="accent1"/>
        </w:rPr>
      </w:pPr>
    </w:p>
    <w:p w14:paraId="62B074C9" w14:textId="77777777" w:rsidR="00954B71" w:rsidRPr="00973364" w:rsidRDefault="00056F6C" w:rsidP="00247FC8">
      <w:pPr>
        <w:pStyle w:val="Heading2"/>
        <w:spacing w:before="240" w:after="240"/>
        <w:rPr>
          <w:color w:val="auto"/>
        </w:rPr>
      </w:pPr>
      <w:bookmarkStart w:id="81" w:name="_Toc491847361"/>
      <w:bookmarkStart w:id="82" w:name="_Toc514408388"/>
      <w:r w:rsidRPr="00973364">
        <w:rPr>
          <w:color w:val="auto"/>
        </w:rPr>
        <w:t>4.5</w:t>
      </w:r>
      <w:r w:rsidR="006E5CD3" w:rsidRPr="00973364">
        <w:rPr>
          <w:color w:val="auto"/>
        </w:rPr>
        <w:t xml:space="preserve"> </w:t>
      </w:r>
      <w:r w:rsidR="005A0E43" w:rsidRPr="00973364">
        <w:rPr>
          <w:color w:val="auto"/>
        </w:rPr>
        <w:t>Coral community s</w:t>
      </w:r>
      <w:r w:rsidR="00954B71" w:rsidRPr="00973364">
        <w:rPr>
          <w:color w:val="auto"/>
        </w:rPr>
        <w:t>ampling</w:t>
      </w:r>
      <w:bookmarkEnd w:id="81"/>
      <w:bookmarkEnd w:id="82"/>
    </w:p>
    <w:p w14:paraId="267D2733" w14:textId="77777777" w:rsidR="00944204" w:rsidRPr="00973364" w:rsidRDefault="0025408E" w:rsidP="00247FC8">
      <w:r w:rsidRPr="00973364">
        <w:t xml:space="preserve">Two </w:t>
      </w:r>
      <w:r w:rsidR="00944204" w:rsidRPr="00973364">
        <w:t>sampling methodologies were used to describe the benthic communities of inshore coral reefs (</w:t>
      </w:r>
      <w:r w:rsidR="00296011" w:rsidRPr="00973364">
        <w:fldChar w:fldCharType="begin"/>
      </w:r>
      <w:r w:rsidR="00296011" w:rsidRPr="00973364">
        <w:instrText xml:space="preserve"> REF _Ref491155053 \h </w:instrText>
      </w:r>
      <w:r w:rsidR="00296011" w:rsidRPr="00973364">
        <w:fldChar w:fldCharType="separate"/>
      </w:r>
      <w:r w:rsidR="00A75175" w:rsidRPr="00F352E1">
        <w:t xml:space="preserve">Table </w:t>
      </w:r>
      <w:r w:rsidR="00A75175">
        <w:rPr>
          <w:noProof/>
        </w:rPr>
        <w:t>4</w:t>
      </w:r>
      <w:r w:rsidR="00296011" w:rsidRPr="00973364">
        <w:fldChar w:fldCharType="end"/>
      </w:r>
      <w:r w:rsidR="00944204" w:rsidRPr="00973364">
        <w:t xml:space="preserve">). </w:t>
      </w:r>
    </w:p>
    <w:p w14:paraId="2A55A3C0" w14:textId="77777777" w:rsidR="00296011" w:rsidRPr="00F352E1" w:rsidRDefault="00296011" w:rsidP="00606A50">
      <w:pPr>
        <w:pStyle w:val="Caption"/>
      </w:pPr>
      <w:bookmarkStart w:id="83" w:name="_Ref491155053"/>
      <w:bookmarkStart w:id="84" w:name="_Toc514407852"/>
      <w:r w:rsidRPr="00F352E1">
        <w:t xml:space="preserve">Table </w:t>
      </w:r>
      <w:r w:rsidR="00626D6B">
        <w:fldChar w:fldCharType="begin"/>
      </w:r>
      <w:r w:rsidR="00626D6B">
        <w:instrText xml:space="preserve"> SEQ Table \* ARABIC </w:instrText>
      </w:r>
      <w:r w:rsidR="00626D6B">
        <w:fldChar w:fldCharType="separate"/>
      </w:r>
      <w:r w:rsidR="00A75175">
        <w:rPr>
          <w:noProof/>
        </w:rPr>
        <w:t>4</w:t>
      </w:r>
      <w:r w:rsidR="00626D6B">
        <w:rPr>
          <w:noProof/>
        </w:rPr>
        <w:fldChar w:fldCharType="end"/>
      </w:r>
      <w:bookmarkEnd w:id="83"/>
      <w:r w:rsidRPr="00F352E1">
        <w:t xml:space="preserve"> Survey methods used by the MMP and LTMP to describe coral communities</w:t>
      </w:r>
      <w:bookmarkEnd w:id="8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Caption w:val="summary of servey methods"/>
        <w:tblDescription w:val="Notes diferences between the AIMS LTMP and MMP methods. LTMP uses three sites each with five 50 meter long transects for cover estimates compared to the two sites and five 20 meter transects used by MMP. "/>
      </w:tblPr>
      <w:tblGrid>
        <w:gridCol w:w="1314"/>
        <w:gridCol w:w="2948"/>
        <w:gridCol w:w="2769"/>
        <w:gridCol w:w="2598"/>
      </w:tblGrid>
      <w:tr w:rsidR="00F352E1" w:rsidRPr="00F352E1" w14:paraId="61094DC3" w14:textId="77777777" w:rsidTr="000D268E">
        <w:tc>
          <w:tcPr>
            <w:tcW w:w="682" w:type="pct"/>
            <w:vMerge w:val="restart"/>
            <w:shd w:val="clear" w:color="auto" w:fill="E6E6E6"/>
            <w:vAlign w:val="center"/>
          </w:tcPr>
          <w:p w14:paraId="3277B685" w14:textId="77777777" w:rsidR="00B815F5" w:rsidRPr="00064B7C" w:rsidRDefault="00B815F5" w:rsidP="000D268E">
            <w:pPr>
              <w:rPr>
                <w:rFonts w:ascii="Arial Narrow" w:hAnsi="Arial Narrow"/>
                <w:b/>
                <w:sz w:val="20"/>
              </w:rPr>
            </w:pPr>
            <w:r w:rsidRPr="00064B7C">
              <w:rPr>
                <w:rFonts w:ascii="Arial Narrow" w:hAnsi="Arial Narrow"/>
                <w:b/>
                <w:sz w:val="20"/>
              </w:rPr>
              <w:t>Survey Method</w:t>
            </w:r>
          </w:p>
        </w:tc>
        <w:tc>
          <w:tcPr>
            <w:tcW w:w="1531" w:type="pct"/>
            <w:vMerge w:val="restart"/>
            <w:shd w:val="clear" w:color="auto" w:fill="E6E6E6"/>
            <w:vAlign w:val="center"/>
          </w:tcPr>
          <w:p w14:paraId="35A1E7E1" w14:textId="77777777" w:rsidR="00B815F5" w:rsidRPr="00064B7C" w:rsidRDefault="00B815F5" w:rsidP="000D268E">
            <w:pPr>
              <w:rPr>
                <w:rFonts w:ascii="Arial Narrow" w:hAnsi="Arial Narrow"/>
                <w:b/>
                <w:sz w:val="20"/>
              </w:rPr>
            </w:pPr>
            <w:r w:rsidRPr="00064B7C">
              <w:rPr>
                <w:rFonts w:ascii="Arial Narrow" w:hAnsi="Arial Narrow"/>
                <w:b/>
                <w:sz w:val="20"/>
              </w:rPr>
              <w:t>Information provided</w:t>
            </w:r>
          </w:p>
        </w:tc>
        <w:tc>
          <w:tcPr>
            <w:tcW w:w="2787" w:type="pct"/>
            <w:gridSpan w:val="2"/>
            <w:shd w:val="clear" w:color="auto" w:fill="E6E6E6"/>
            <w:vAlign w:val="center"/>
          </w:tcPr>
          <w:p w14:paraId="1F497B3B" w14:textId="77777777" w:rsidR="00B815F5" w:rsidRPr="00064B7C" w:rsidRDefault="00B815F5" w:rsidP="000D268E">
            <w:pPr>
              <w:jc w:val="center"/>
              <w:rPr>
                <w:rFonts w:ascii="Arial Narrow" w:hAnsi="Arial Narrow"/>
                <w:b/>
                <w:sz w:val="20"/>
              </w:rPr>
            </w:pPr>
            <w:r w:rsidRPr="00064B7C">
              <w:rPr>
                <w:rFonts w:ascii="Arial Narrow" w:hAnsi="Arial Narrow"/>
                <w:b/>
                <w:sz w:val="20"/>
              </w:rPr>
              <w:t>Transect dimension</w:t>
            </w:r>
          </w:p>
        </w:tc>
      </w:tr>
      <w:tr w:rsidR="00F352E1" w:rsidRPr="00F352E1" w14:paraId="70A6EFEB" w14:textId="77777777" w:rsidTr="000D268E">
        <w:tc>
          <w:tcPr>
            <w:tcW w:w="682" w:type="pct"/>
            <w:vMerge/>
            <w:shd w:val="clear" w:color="auto" w:fill="E6E6E6"/>
            <w:vAlign w:val="center"/>
          </w:tcPr>
          <w:p w14:paraId="3CF92F0C" w14:textId="77777777" w:rsidR="00B815F5" w:rsidRPr="00064B7C" w:rsidRDefault="00B815F5" w:rsidP="000D268E">
            <w:pPr>
              <w:rPr>
                <w:rFonts w:ascii="Arial Narrow" w:hAnsi="Arial Narrow"/>
                <w:b/>
                <w:sz w:val="20"/>
              </w:rPr>
            </w:pPr>
          </w:p>
        </w:tc>
        <w:tc>
          <w:tcPr>
            <w:tcW w:w="1531" w:type="pct"/>
            <w:vMerge/>
            <w:shd w:val="clear" w:color="auto" w:fill="E6E6E6"/>
            <w:vAlign w:val="center"/>
          </w:tcPr>
          <w:p w14:paraId="3E8EA6D7" w14:textId="77777777" w:rsidR="00B815F5" w:rsidRPr="00064B7C" w:rsidRDefault="00B815F5" w:rsidP="000D268E">
            <w:pPr>
              <w:rPr>
                <w:rFonts w:ascii="Arial Narrow" w:hAnsi="Arial Narrow"/>
                <w:b/>
                <w:sz w:val="20"/>
              </w:rPr>
            </w:pPr>
          </w:p>
        </w:tc>
        <w:tc>
          <w:tcPr>
            <w:tcW w:w="1438" w:type="pct"/>
            <w:shd w:val="clear" w:color="auto" w:fill="E6E6E6"/>
            <w:vAlign w:val="center"/>
          </w:tcPr>
          <w:p w14:paraId="01A36AE3" w14:textId="77777777" w:rsidR="00B815F5" w:rsidRPr="00064B7C" w:rsidRDefault="00B815F5" w:rsidP="000D268E">
            <w:pPr>
              <w:rPr>
                <w:rFonts w:ascii="Arial Narrow" w:hAnsi="Arial Narrow"/>
                <w:b/>
                <w:sz w:val="20"/>
              </w:rPr>
            </w:pPr>
            <w:r w:rsidRPr="00064B7C">
              <w:rPr>
                <w:rFonts w:ascii="Arial Narrow" w:hAnsi="Arial Narrow"/>
                <w:b/>
                <w:sz w:val="20"/>
              </w:rPr>
              <w:t>MMP (2</w:t>
            </w:r>
            <w:r w:rsidR="00AA72A3" w:rsidRPr="00064B7C">
              <w:rPr>
                <w:rFonts w:ascii="Arial Narrow" w:hAnsi="Arial Narrow"/>
                <w:b/>
                <w:sz w:val="20"/>
              </w:rPr>
              <w:t>0 m</w:t>
            </w:r>
            <w:r w:rsidRPr="00064B7C">
              <w:rPr>
                <w:rFonts w:ascii="Arial Narrow" w:hAnsi="Arial Narrow"/>
                <w:b/>
                <w:sz w:val="20"/>
              </w:rPr>
              <w:t xml:space="preserve"> long transects)</w:t>
            </w:r>
          </w:p>
        </w:tc>
        <w:tc>
          <w:tcPr>
            <w:tcW w:w="1349" w:type="pct"/>
            <w:shd w:val="clear" w:color="auto" w:fill="E6E6E6"/>
            <w:vAlign w:val="center"/>
          </w:tcPr>
          <w:p w14:paraId="754845B4" w14:textId="77777777" w:rsidR="00B815F5" w:rsidRPr="00064B7C" w:rsidRDefault="00B815F5" w:rsidP="000D268E">
            <w:pPr>
              <w:rPr>
                <w:rFonts w:ascii="Arial Narrow" w:hAnsi="Arial Narrow"/>
                <w:b/>
                <w:sz w:val="20"/>
              </w:rPr>
            </w:pPr>
            <w:r w:rsidRPr="00064B7C">
              <w:rPr>
                <w:rFonts w:ascii="Arial Narrow" w:hAnsi="Arial Narrow"/>
                <w:b/>
                <w:sz w:val="20"/>
              </w:rPr>
              <w:t>LTMP (5</w:t>
            </w:r>
            <w:r w:rsidR="00AA72A3" w:rsidRPr="00064B7C">
              <w:rPr>
                <w:rFonts w:ascii="Arial Narrow" w:hAnsi="Arial Narrow"/>
                <w:b/>
                <w:sz w:val="20"/>
              </w:rPr>
              <w:t>0 m</w:t>
            </w:r>
            <w:r w:rsidRPr="00064B7C">
              <w:rPr>
                <w:rFonts w:ascii="Arial Narrow" w:hAnsi="Arial Narrow"/>
                <w:b/>
                <w:sz w:val="20"/>
              </w:rPr>
              <w:t xml:space="preserve"> long transects)</w:t>
            </w:r>
          </w:p>
        </w:tc>
      </w:tr>
      <w:tr w:rsidR="00F352E1" w:rsidRPr="00F352E1" w14:paraId="3413162C" w14:textId="77777777" w:rsidTr="000D268E">
        <w:trPr>
          <w:trHeight w:val="997"/>
        </w:trPr>
        <w:tc>
          <w:tcPr>
            <w:tcW w:w="682" w:type="pct"/>
            <w:vAlign w:val="center"/>
          </w:tcPr>
          <w:p w14:paraId="4F4EF48B" w14:textId="77777777" w:rsidR="00B815F5" w:rsidRPr="00064B7C" w:rsidRDefault="00B815F5" w:rsidP="009E5A55">
            <w:pPr>
              <w:jc w:val="center"/>
              <w:rPr>
                <w:rFonts w:ascii="Arial Narrow" w:hAnsi="Arial Narrow"/>
                <w:sz w:val="20"/>
              </w:rPr>
            </w:pPr>
            <w:r w:rsidRPr="00064B7C">
              <w:rPr>
                <w:rFonts w:ascii="Arial Narrow" w:hAnsi="Arial Narrow"/>
                <w:sz w:val="20"/>
              </w:rPr>
              <w:t>Photo point Intercept</w:t>
            </w:r>
          </w:p>
        </w:tc>
        <w:tc>
          <w:tcPr>
            <w:tcW w:w="1531" w:type="pct"/>
            <w:vAlign w:val="center"/>
          </w:tcPr>
          <w:p w14:paraId="2308612C" w14:textId="77777777" w:rsidR="00B815F5" w:rsidRPr="00064B7C" w:rsidRDefault="00B815F5" w:rsidP="000D268E">
            <w:pPr>
              <w:rPr>
                <w:rFonts w:ascii="Arial Narrow" w:hAnsi="Arial Narrow"/>
                <w:sz w:val="20"/>
              </w:rPr>
            </w:pPr>
            <w:r w:rsidRPr="00064B7C">
              <w:rPr>
                <w:rFonts w:ascii="Arial Narrow" w:hAnsi="Arial Narrow"/>
                <w:sz w:val="20"/>
              </w:rPr>
              <w:t>Percentage covers of the substratum of major benthic habitat components.</w:t>
            </w:r>
          </w:p>
        </w:tc>
        <w:tc>
          <w:tcPr>
            <w:tcW w:w="1438" w:type="pct"/>
            <w:vAlign w:val="center"/>
          </w:tcPr>
          <w:p w14:paraId="1384A54F" w14:textId="77777777" w:rsidR="00B815F5" w:rsidRPr="00064B7C" w:rsidRDefault="00B815F5" w:rsidP="000D268E">
            <w:pPr>
              <w:rPr>
                <w:rFonts w:ascii="Arial Narrow" w:hAnsi="Arial Narrow"/>
                <w:sz w:val="20"/>
              </w:rPr>
            </w:pPr>
            <w:r w:rsidRPr="00064B7C">
              <w:rPr>
                <w:rFonts w:ascii="Arial Narrow" w:hAnsi="Arial Narrow"/>
                <w:sz w:val="20"/>
              </w:rPr>
              <w:t>Approximately 34cm belt along upslope side of transect sampled at 5</w:t>
            </w:r>
            <w:r w:rsidR="00AA72A3" w:rsidRPr="00064B7C">
              <w:rPr>
                <w:rFonts w:ascii="Arial Narrow" w:hAnsi="Arial Narrow"/>
                <w:sz w:val="20"/>
              </w:rPr>
              <w:t>0 cm</w:t>
            </w:r>
            <w:r w:rsidR="00575B10" w:rsidRPr="00064B7C">
              <w:rPr>
                <w:rFonts w:ascii="Arial Narrow" w:hAnsi="Arial Narrow"/>
                <w:sz w:val="20"/>
              </w:rPr>
              <w:t xml:space="preserve"> </w:t>
            </w:r>
            <w:r w:rsidRPr="00064B7C">
              <w:rPr>
                <w:rFonts w:ascii="Arial Narrow" w:hAnsi="Arial Narrow"/>
                <w:sz w:val="20"/>
              </w:rPr>
              <w:t xml:space="preserve">intervals from which 32 frames are sampled. </w:t>
            </w:r>
          </w:p>
          <w:p w14:paraId="62C696BF" w14:textId="77777777" w:rsidR="00B815F5" w:rsidRPr="00064B7C" w:rsidRDefault="00B815F5" w:rsidP="000D268E">
            <w:pPr>
              <w:rPr>
                <w:rFonts w:ascii="Arial Narrow" w:hAnsi="Arial Narrow"/>
                <w:sz w:val="20"/>
              </w:rPr>
            </w:pPr>
          </w:p>
        </w:tc>
        <w:tc>
          <w:tcPr>
            <w:tcW w:w="1349" w:type="pct"/>
            <w:vAlign w:val="center"/>
          </w:tcPr>
          <w:p w14:paraId="77920F6D" w14:textId="77777777" w:rsidR="00B815F5" w:rsidRPr="00064B7C" w:rsidRDefault="00B815F5" w:rsidP="000D268E">
            <w:pPr>
              <w:rPr>
                <w:rFonts w:ascii="Arial Narrow" w:hAnsi="Arial Narrow"/>
                <w:sz w:val="20"/>
              </w:rPr>
            </w:pPr>
            <w:r w:rsidRPr="00064B7C">
              <w:rPr>
                <w:rFonts w:ascii="Arial Narrow" w:hAnsi="Arial Narrow"/>
                <w:sz w:val="20"/>
              </w:rPr>
              <w:t xml:space="preserve">Approximately 34cm belt along upslope side of transect sampled at 1m intervals from which 40 frames are sampled. </w:t>
            </w:r>
          </w:p>
          <w:p w14:paraId="3966B3F8" w14:textId="77777777" w:rsidR="00B815F5" w:rsidRPr="00064B7C" w:rsidRDefault="00B815F5" w:rsidP="000D268E">
            <w:pPr>
              <w:rPr>
                <w:rFonts w:ascii="Arial Narrow" w:hAnsi="Arial Narrow"/>
                <w:sz w:val="20"/>
              </w:rPr>
            </w:pPr>
          </w:p>
        </w:tc>
      </w:tr>
      <w:tr w:rsidR="00F352E1" w:rsidRPr="00F352E1" w14:paraId="398F267A" w14:textId="77777777" w:rsidTr="000D268E">
        <w:trPr>
          <w:trHeight w:val="842"/>
        </w:trPr>
        <w:tc>
          <w:tcPr>
            <w:tcW w:w="682" w:type="pct"/>
            <w:vAlign w:val="center"/>
          </w:tcPr>
          <w:p w14:paraId="5B467119" w14:textId="77777777" w:rsidR="00B815F5" w:rsidRPr="00064B7C" w:rsidRDefault="00B815F5" w:rsidP="000D268E">
            <w:pPr>
              <w:rPr>
                <w:rFonts w:ascii="Arial Narrow" w:hAnsi="Arial Narrow"/>
                <w:sz w:val="20"/>
              </w:rPr>
            </w:pPr>
            <w:r w:rsidRPr="00064B7C">
              <w:rPr>
                <w:rFonts w:ascii="Arial Narrow" w:hAnsi="Arial Narrow"/>
                <w:sz w:val="20"/>
              </w:rPr>
              <w:t>Demography</w:t>
            </w:r>
          </w:p>
        </w:tc>
        <w:tc>
          <w:tcPr>
            <w:tcW w:w="1531" w:type="pct"/>
            <w:vAlign w:val="center"/>
          </w:tcPr>
          <w:p w14:paraId="386DA120" w14:textId="77777777" w:rsidR="00B815F5" w:rsidRPr="00064B7C" w:rsidRDefault="00B815F5" w:rsidP="000D268E">
            <w:pPr>
              <w:rPr>
                <w:rFonts w:ascii="Arial Narrow" w:hAnsi="Arial Narrow"/>
                <w:sz w:val="20"/>
              </w:rPr>
            </w:pPr>
            <w:r w:rsidRPr="00064B7C">
              <w:rPr>
                <w:rFonts w:ascii="Arial Narrow" w:hAnsi="Arial Narrow"/>
                <w:sz w:val="20"/>
              </w:rPr>
              <w:t>Size structure and density of juvenile coral communities.</w:t>
            </w:r>
          </w:p>
        </w:tc>
        <w:tc>
          <w:tcPr>
            <w:tcW w:w="1438" w:type="pct"/>
            <w:vAlign w:val="center"/>
          </w:tcPr>
          <w:p w14:paraId="60CB28AE" w14:textId="77777777" w:rsidR="00B815F5" w:rsidRPr="00064B7C" w:rsidRDefault="00B815F5" w:rsidP="000D268E">
            <w:pPr>
              <w:rPr>
                <w:rFonts w:ascii="Arial Narrow" w:hAnsi="Arial Narrow"/>
                <w:sz w:val="20"/>
              </w:rPr>
            </w:pPr>
            <w:r w:rsidRPr="00064B7C">
              <w:rPr>
                <w:rFonts w:ascii="Arial Narrow" w:hAnsi="Arial Narrow"/>
                <w:sz w:val="20"/>
              </w:rPr>
              <w:t>34cm belt along the upslope side of transect. Size classes: 0-</w:t>
            </w:r>
            <w:r w:rsidR="00AA72A3" w:rsidRPr="00064B7C">
              <w:rPr>
                <w:rFonts w:ascii="Arial Narrow" w:hAnsi="Arial Narrow"/>
                <w:sz w:val="20"/>
              </w:rPr>
              <w:t>2 cm</w:t>
            </w:r>
            <w:r w:rsidRPr="00064B7C">
              <w:rPr>
                <w:rFonts w:ascii="Arial Narrow" w:hAnsi="Arial Narrow"/>
                <w:sz w:val="20"/>
              </w:rPr>
              <w:t>, 2-</w:t>
            </w:r>
            <w:r w:rsidR="00AA72A3" w:rsidRPr="00064B7C">
              <w:rPr>
                <w:rFonts w:ascii="Arial Narrow" w:hAnsi="Arial Narrow"/>
                <w:sz w:val="20"/>
              </w:rPr>
              <w:t>5 cm</w:t>
            </w:r>
            <w:r w:rsidRPr="00064B7C">
              <w:rPr>
                <w:rFonts w:ascii="Arial Narrow" w:hAnsi="Arial Narrow"/>
                <w:sz w:val="20"/>
              </w:rPr>
              <w:t>, 5-1</w:t>
            </w:r>
            <w:r w:rsidR="00AA72A3" w:rsidRPr="00064B7C">
              <w:rPr>
                <w:rFonts w:ascii="Arial Narrow" w:hAnsi="Arial Narrow"/>
                <w:sz w:val="20"/>
              </w:rPr>
              <w:t>0 cm</w:t>
            </w:r>
            <w:r w:rsidRPr="00064B7C">
              <w:rPr>
                <w:rFonts w:ascii="Arial Narrow" w:hAnsi="Arial Narrow"/>
                <w:sz w:val="20"/>
              </w:rPr>
              <w:t>.</w:t>
            </w:r>
          </w:p>
          <w:p w14:paraId="6CE4962A" w14:textId="77777777" w:rsidR="00B815F5" w:rsidRPr="00064B7C" w:rsidRDefault="00B815F5" w:rsidP="000D268E">
            <w:pPr>
              <w:rPr>
                <w:rFonts w:ascii="Arial Narrow" w:hAnsi="Arial Narrow"/>
                <w:sz w:val="20"/>
              </w:rPr>
            </w:pPr>
          </w:p>
        </w:tc>
        <w:tc>
          <w:tcPr>
            <w:tcW w:w="1349" w:type="pct"/>
            <w:vAlign w:val="center"/>
          </w:tcPr>
          <w:p w14:paraId="1861CC3C" w14:textId="77777777" w:rsidR="00B815F5" w:rsidRPr="00064B7C" w:rsidRDefault="00B815F5" w:rsidP="000D268E">
            <w:pPr>
              <w:rPr>
                <w:rFonts w:ascii="Arial Narrow" w:hAnsi="Arial Narrow"/>
                <w:sz w:val="20"/>
              </w:rPr>
            </w:pPr>
            <w:r w:rsidRPr="00064B7C">
              <w:rPr>
                <w:rFonts w:ascii="Arial Narrow" w:hAnsi="Arial Narrow"/>
                <w:sz w:val="20"/>
              </w:rPr>
              <w:t xml:space="preserve">34cm belt along the upslope side of the first </w:t>
            </w:r>
            <w:r w:rsidR="00AA72A3" w:rsidRPr="00064B7C">
              <w:rPr>
                <w:rFonts w:ascii="Arial Narrow" w:hAnsi="Arial Narrow"/>
                <w:sz w:val="20"/>
              </w:rPr>
              <w:t>5 m</w:t>
            </w:r>
            <w:r w:rsidRPr="00064B7C">
              <w:rPr>
                <w:rFonts w:ascii="Arial Narrow" w:hAnsi="Arial Narrow"/>
                <w:sz w:val="20"/>
              </w:rPr>
              <w:t xml:space="preserve"> of transect. Size class: 0-</w:t>
            </w:r>
            <w:r w:rsidR="00AA72A3" w:rsidRPr="00064B7C">
              <w:rPr>
                <w:rFonts w:ascii="Arial Narrow" w:hAnsi="Arial Narrow"/>
                <w:sz w:val="20"/>
              </w:rPr>
              <w:t>5 cm</w:t>
            </w:r>
            <w:r w:rsidRPr="00064B7C">
              <w:rPr>
                <w:rFonts w:ascii="Arial Narrow" w:hAnsi="Arial Narrow"/>
                <w:sz w:val="20"/>
              </w:rPr>
              <w:t>.</w:t>
            </w:r>
          </w:p>
          <w:p w14:paraId="7AE4E0C0" w14:textId="77777777" w:rsidR="00B815F5" w:rsidRPr="00064B7C" w:rsidRDefault="00B815F5" w:rsidP="000D268E">
            <w:pPr>
              <w:rPr>
                <w:rFonts w:ascii="Arial Narrow" w:hAnsi="Arial Narrow"/>
                <w:sz w:val="20"/>
              </w:rPr>
            </w:pPr>
          </w:p>
        </w:tc>
      </w:tr>
    </w:tbl>
    <w:p w14:paraId="43C3F28F" w14:textId="77777777" w:rsidR="00B815F5" w:rsidRPr="00F352E1" w:rsidRDefault="00B815F5" w:rsidP="00B815F5">
      <w:pPr>
        <w:rPr>
          <w:color w:val="4F81BD" w:themeColor="accent1"/>
        </w:rPr>
      </w:pPr>
    </w:p>
    <w:p w14:paraId="4F3D226D" w14:textId="77777777" w:rsidR="00944204" w:rsidRPr="00973364" w:rsidRDefault="00056F6C" w:rsidP="00247FC8">
      <w:pPr>
        <w:pStyle w:val="Heading3"/>
      </w:pPr>
      <w:bookmarkStart w:id="85" w:name="_Toc514408389"/>
      <w:r w:rsidRPr="00973364">
        <w:t>4.5</w:t>
      </w:r>
      <w:r w:rsidR="00FE4FD7" w:rsidRPr="00973364">
        <w:t xml:space="preserve">.1 </w:t>
      </w:r>
      <w:r w:rsidR="00944204" w:rsidRPr="00973364">
        <w:t>Photo point intercept transects</w:t>
      </w:r>
      <w:bookmarkEnd w:id="85"/>
    </w:p>
    <w:p w14:paraId="775E9E90" w14:textId="77777777" w:rsidR="00944204" w:rsidRPr="00973364" w:rsidRDefault="00944204" w:rsidP="00D2045F">
      <w:r w:rsidRPr="00973364">
        <w:t xml:space="preserve">Estimates of the composition of benthic communities were derived from the identification of organisms on digital photographs taken along the permanently marked transects. The method followed closely the Standard Operation Procedure Number 10 of the AIMS Long-Term Monitoring Program (Jonker </w:t>
      </w:r>
      <w:r w:rsidRPr="00973364">
        <w:rPr>
          <w:i/>
        </w:rPr>
        <w:t>et al.</w:t>
      </w:r>
      <w:r w:rsidRPr="00973364">
        <w:t xml:space="preserve"> 2008). In short, digital photographs were taken at 50</w:t>
      </w:r>
      <w:r w:rsidR="00AA72A3" w:rsidRPr="00973364">
        <w:t xml:space="preserve"> </w:t>
      </w:r>
      <w:r w:rsidR="00575B10" w:rsidRPr="00973364">
        <w:t xml:space="preserve">cm </w:t>
      </w:r>
      <w:r w:rsidRPr="00973364">
        <w:t>intervals along each 20</w:t>
      </w:r>
      <w:r w:rsidR="00AA72A3" w:rsidRPr="00973364">
        <w:t xml:space="preserve"> </w:t>
      </w:r>
      <w:r w:rsidR="00575B10" w:rsidRPr="00973364">
        <w:t xml:space="preserve">m </w:t>
      </w:r>
      <w:r w:rsidRPr="00973364">
        <w:t xml:space="preserve">transect. Estimations of cover of benthic community components </w:t>
      </w:r>
      <w:r w:rsidR="00614B36" w:rsidRPr="00973364">
        <w:t>we</w:t>
      </w:r>
      <w:r w:rsidRPr="00973364">
        <w:t>re derived from the identification of the benthos lying beneath five fixed points digitally overlaid onto these images. A total of 32 images</w:t>
      </w:r>
      <w:r w:rsidR="00FC7D2D" w:rsidRPr="00973364">
        <w:t xml:space="preserve"> </w:t>
      </w:r>
      <w:r w:rsidR="00614B36" w:rsidRPr="00973364">
        <w:t>we</w:t>
      </w:r>
      <w:r w:rsidR="00FC7D2D" w:rsidRPr="00973364">
        <w:t>re randomly selected</w:t>
      </w:r>
      <w:r w:rsidRPr="00973364">
        <w:t xml:space="preserve"> </w:t>
      </w:r>
      <w:r w:rsidR="00FC7D2D" w:rsidRPr="00973364">
        <w:t xml:space="preserve">and </w:t>
      </w:r>
      <w:r w:rsidRPr="00973364">
        <w:t>analysed from each transect</w:t>
      </w:r>
      <w:r w:rsidR="00FC7D2D" w:rsidRPr="00973364">
        <w:t xml:space="preserve">. </w:t>
      </w:r>
      <w:r w:rsidR="00614B36" w:rsidRPr="00973364">
        <w:t>Poor quality images we</w:t>
      </w:r>
      <w:r w:rsidR="00FC7D2D" w:rsidRPr="00973364">
        <w:t>re excluded and replaced by an image from those not originally randomly selected</w:t>
      </w:r>
      <w:r w:rsidRPr="00973364">
        <w:t>. The AIMS LTMP utilise</w:t>
      </w:r>
      <w:r w:rsidR="00614B36" w:rsidRPr="00973364">
        <w:t>d</w:t>
      </w:r>
      <w:r w:rsidRPr="00973364">
        <w:t xml:space="preserve"> longer 50</w:t>
      </w:r>
      <w:r w:rsidR="00AA72A3" w:rsidRPr="00973364">
        <w:t xml:space="preserve"> </w:t>
      </w:r>
      <w:r w:rsidRPr="00973364">
        <w:t>m transects sampled at 1</w:t>
      </w:r>
      <w:r w:rsidR="00575B10" w:rsidRPr="00973364">
        <w:t xml:space="preserve">m </w:t>
      </w:r>
      <w:r w:rsidRPr="00973364">
        <w:t xml:space="preserve">intervals from which 40 images </w:t>
      </w:r>
      <w:r w:rsidR="00614B36" w:rsidRPr="00973364">
        <w:t>we</w:t>
      </w:r>
      <w:r w:rsidRPr="00973364">
        <w:t>re selected.</w:t>
      </w:r>
    </w:p>
    <w:p w14:paraId="03F5FAE5" w14:textId="77777777" w:rsidR="00944204" w:rsidRPr="00973364" w:rsidRDefault="00944204" w:rsidP="00D2045F">
      <w:r w:rsidRPr="00973364">
        <w:t>For the majority of hard and soft corals, identifi</w:t>
      </w:r>
      <w:r w:rsidR="00614B36" w:rsidRPr="00973364">
        <w:t>cation to at least genus level wa</w:t>
      </w:r>
      <w:r w:rsidRPr="00973364">
        <w:t>s achieved.</w:t>
      </w:r>
      <w:r w:rsidR="00E75F5C" w:rsidRPr="00973364">
        <w:t xml:space="preserve"> </w:t>
      </w:r>
      <w:r w:rsidR="00614B36" w:rsidRPr="00973364">
        <w:t>Identifications for each point we</w:t>
      </w:r>
      <w:r w:rsidRPr="00973364">
        <w:t xml:space="preserve">re entered directly into a data entry front end to an Oracle-database, developed by AIMS. This system allows the recall of images and checking of any identified points. </w:t>
      </w:r>
    </w:p>
    <w:p w14:paraId="0EA6CAFB" w14:textId="77777777" w:rsidR="00944204" w:rsidRPr="00973364" w:rsidRDefault="00056F6C" w:rsidP="00247FC8">
      <w:pPr>
        <w:pStyle w:val="Heading3"/>
      </w:pPr>
      <w:bookmarkStart w:id="86" w:name="_Toc514408390"/>
      <w:r w:rsidRPr="00973364">
        <w:t>4.5</w:t>
      </w:r>
      <w:r w:rsidR="00FE4FD7" w:rsidRPr="00973364">
        <w:t xml:space="preserve">.2 </w:t>
      </w:r>
      <w:r w:rsidR="00944204" w:rsidRPr="00973364">
        <w:t>Juvenile coral surveys</w:t>
      </w:r>
      <w:bookmarkEnd w:id="86"/>
      <w:r w:rsidR="00944204" w:rsidRPr="00973364">
        <w:t xml:space="preserve"> </w:t>
      </w:r>
    </w:p>
    <w:p w14:paraId="2FC5C3F8" w14:textId="77777777" w:rsidR="00944204" w:rsidRPr="00973364" w:rsidRDefault="00FC548F" w:rsidP="00D2045F">
      <w:r w:rsidRPr="00973364">
        <w:t xml:space="preserve">These surveys provide an estimate of the number of both hard and soft coral colonies that </w:t>
      </w:r>
      <w:r w:rsidR="00614B36" w:rsidRPr="00973364">
        <w:t>have</w:t>
      </w:r>
      <w:r w:rsidRPr="00973364">
        <w:t xml:space="preserve"> successfully </w:t>
      </w:r>
      <w:r w:rsidR="00614B36" w:rsidRPr="00973364">
        <w:t>survived early life cycle stages culminating in settlement and growth through to visible juvenile corals.</w:t>
      </w:r>
      <w:r w:rsidRPr="00973364">
        <w:t xml:space="preserve"> </w:t>
      </w:r>
      <w:r w:rsidR="00944204" w:rsidRPr="00973364">
        <w:t xml:space="preserve">The number of juvenile coral colonies were counted along the permanently marked transects. In </w:t>
      </w:r>
      <w:r w:rsidR="00C97CAA" w:rsidRPr="00973364">
        <w:t>the first year of this program</w:t>
      </w:r>
      <w:r w:rsidR="00944204" w:rsidRPr="00973364">
        <w:t xml:space="preserve"> juvenile coral colonies were counted as part of a demographic survey that counted the number of all individuals falling into a broad range of size classes that intersected a 34</w:t>
      </w:r>
      <w:r w:rsidR="00AA72A3" w:rsidRPr="00973364">
        <w:t xml:space="preserve"> </w:t>
      </w:r>
      <w:r w:rsidR="00575B10" w:rsidRPr="00973364">
        <w:t xml:space="preserve">cm </w:t>
      </w:r>
      <w:r w:rsidR="00944204" w:rsidRPr="00973364">
        <w:t xml:space="preserve">wide </w:t>
      </w:r>
      <w:r w:rsidR="00C97CAA" w:rsidRPr="00973364">
        <w:t xml:space="preserve">(data slate length) </w:t>
      </w:r>
      <w:r w:rsidR="00944204" w:rsidRPr="00973364">
        <w:t xml:space="preserve">belt along the </w:t>
      </w:r>
      <w:r w:rsidR="00C97CAA" w:rsidRPr="00973364">
        <w:t xml:space="preserve">upslope side of the </w:t>
      </w:r>
      <w:r w:rsidR="00944204" w:rsidRPr="00973364">
        <w:t>first 10</w:t>
      </w:r>
      <w:r w:rsidR="00AA72A3" w:rsidRPr="00973364">
        <w:t xml:space="preserve"> </w:t>
      </w:r>
      <w:r w:rsidR="00575B10" w:rsidRPr="00973364">
        <w:t xml:space="preserve">m </w:t>
      </w:r>
      <w:r w:rsidR="00944204" w:rsidRPr="00973364">
        <w:t>of each 20</w:t>
      </w:r>
      <w:r w:rsidR="00AA72A3" w:rsidRPr="00973364">
        <w:t xml:space="preserve"> </w:t>
      </w:r>
      <w:r w:rsidR="00575B10" w:rsidRPr="00973364">
        <w:t xml:space="preserve">m </w:t>
      </w:r>
      <w:r w:rsidR="00C97CAA" w:rsidRPr="00973364">
        <w:t xml:space="preserve">marked </w:t>
      </w:r>
      <w:r w:rsidR="00944204" w:rsidRPr="00973364">
        <w:t>transect. As the focus narrowed to just juvenile colonies, the number of size classes was reduced allowing an increase in the spatial</w:t>
      </w:r>
      <w:r w:rsidR="00C97CAA" w:rsidRPr="00973364">
        <w:t xml:space="preserve"> coverage of sampling. From 2006</w:t>
      </w:r>
      <w:r w:rsidR="00944204" w:rsidRPr="00973364">
        <w:t xml:space="preserve"> coral colonies less than 1</w:t>
      </w:r>
      <w:r w:rsidR="00AA72A3" w:rsidRPr="00973364">
        <w:t>0 cm</w:t>
      </w:r>
      <w:r w:rsidR="00575B10" w:rsidRPr="00973364">
        <w:t xml:space="preserve"> </w:t>
      </w:r>
      <w:r w:rsidR="00944204" w:rsidRPr="00973364">
        <w:t xml:space="preserve">in diameter were counted </w:t>
      </w:r>
      <w:r w:rsidR="00C97CAA" w:rsidRPr="00973364">
        <w:t>within a belt 34</w:t>
      </w:r>
      <w:r w:rsidR="00AA72A3" w:rsidRPr="00973364">
        <w:t xml:space="preserve"> </w:t>
      </w:r>
      <w:r w:rsidR="00575B10" w:rsidRPr="00973364">
        <w:t xml:space="preserve">cm </w:t>
      </w:r>
      <w:r w:rsidR="00C97CAA" w:rsidRPr="00973364">
        <w:t xml:space="preserve">wide </w:t>
      </w:r>
      <w:r w:rsidR="00944204" w:rsidRPr="00973364">
        <w:t>along the full length of each 2</w:t>
      </w:r>
      <w:r w:rsidR="00AA72A3" w:rsidRPr="00973364">
        <w:t>0 m</w:t>
      </w:r>
      <w:r w:rsidR="00575B10" w:rsidRPr="00973364">
        <w:t xml:space="preserve"> </w:t>
      </w:r>
      <w:r w:rsidR="00944204" w:rsidRPr="00973364">
        <w:t>transect. Each colony was identified to genus and assigned to a size class of either, 0-2</w:t>
      </w:r>
      <w:r w:rsidR="00AA72A3" w:rsidRPr="00973364">
        <w:t xml:space="preserve"> </w:t>
      </w:r>
      <w:r w:rsidR="00944204" w:rsidRPr="00973364">
        <w:t>cm, &gt;2-5</w:t>
      </w:r>
      <w:r w:rsidR="00AA72A3" w:rsidRPr="00973364">
        <w:t xml:space="preserve"> </w:t>
      </w:r>
      <w:r w:rsidR="00944204" w:rsidRPr="00973364">
        <w:t>cm, or &gt;5-10</w:t>
      </w:r>
      <w:r w:rsidR="00AA72A3" w:rsidRPr="00973364">
        <w:t xml:space="preserve"> </w:t>
      </w:r>
      <w:r w:rsidR="00944204" w:rsidRPr="00973364">
        <w:t xml:space="preserve">cm. Importantly, this method aims to record only those small colonies assessed as juveniles, i.e. which result from the settlement and subsequent survival and growth of coral larvae, and so does not include small coral colonies considered as resulting from fragmentation or partial mortality of larger colonies. In 2006 the LTMP also introduced juvenile surveys </w:t>
      </w:r>
      <w:r w:rsidR="00A349DF">
        <w:t xml:space="preserve">along </w:t>
      </w:r>
      <w:r w:rsidR="00944204" w:rsidRPr="00973364">
        <w:t xml:space="preserve">the first </w:t>
      </w:r>
      <w:r w:rsidR="00AA72A3" w:rsidRPr="00973364">
        <w:t>5 m</w:t>
      </w:r>
      <w:r w:rsidR="00575B10" w:rsidRPr="00973364">
        <w:t xml:space="preserve"> </w:t>
      </w:r>
      <w:r w:rsidR="00944204" w:rsidRPr="00973364">
        <w:t>of each transect and focused on the single size-class of 0-5</w:t>
      </w:r>
      <w:r w:rsidR="00C97CAA" w:rsidRPr="00973364">
        <w:t xml:space="preserve"> </w:t>
      </w:r>
      <w:r w:rsidR="00944204" w:rsidRPr="00973364">
        <w:t>cm</w:t>
      </w:r>
      <w:r w:rsidR="00DF3841">
        <w:t>. In practice corals &lt; 0.5 cm are unlikely to be recorded.</w:t>
      </w:r>
    </w:p>
    <w:p w14:paraId="3F1387F7" w14:textId="10099829" w:rsidR="00BD29B3" w:rsidRDefault="00BD29B3" w:rsidP="00BD29B3">
      <w:pPr>
        <w:pStyle w:val="Heading2"/>
        <w:spacing w:before="240" w:after="240"/>
        <w:rPr>
          <w:color w:val="auto"/>
        </w:rPr>
      </w:pPr>
      <w:bookmarkStart w:id="87" w:name="_Toc514408391"/>
      <w:r w:rsidRPr="006D5AC5">
        <w:rPr>
          <w:color w:val="auto"/>
        </w:rPr>
        <w:t>4.</w:t>
      </w:r>
      <w:r>
        <w:rPr>
          <w:color w:val="auto"/>
        </w:rPr>
        <w:t>6</w:t>
      </w:r>
      <w:r w:rsidRPr="006D5AC5">
        <w:rPr>
          <w:color w:val="auto"/>
        </w:rPr>
        <w:t xml:space="preserve"> The Coral Index</w:t>
      </w:r>
      <w:bookmarkEnd w:id="87"/>
    </w:p>
    <w:p w14:paraId="7FDB7E9D" w14:textId="4EED4A7C" w:rsidR="00BD29B3" w:rsidRPr="00973364" w:rsidDel="00AF7DFC" w:rsidRDefault="00BD29B3" w:rsidP="00BD29B3">
      <w:r>
        <w:t>C</w:t>
      </w:r>
      <w:r w:rsidRPr="00973364" w:rsidDel="00AF7DFC">
        <w:t xml:space="preserve">oral </w:t>
      </w:r>
      <w:r>
        <w:t xml:space="preserve">community </w:t>
      </w:r>
      <w:r w:rsidRPr="00973364" w:rsidDel="00AF7DFC">
        <w:t xml:space="preserve">condition </w:t>
      </w:r>
      <w:r>
        <w:t xml:space="preserve">is summarised as an index score that aggregates metric scores for </w:t>
      </w:r>
      <w:r w:rsidRPr="00973364">
        <w:t>five indicator</w:t>
      </w:r>
      <w:r>
        <w:t>s</w:t>
      </w:r>
      <w:r w:rsidRPr="00973364">
        <w:t xml:space="preserve"> </w:t>
      </w:r>
      <w:r w:rsidRPr="00973364" w:rsidDel="00AF7DFC">
        <w:t>of reef ecosystem state</w:t>
      </w:r>
      <w:r>
        <w:t xml:space="preserve">. The coral index score </w:t>
      </w:r>
      <w:r w:rsidRPr="00973364" w:rsidDel="00AF7DFC">
        <w:t>provide</w:t>
      </w:r>
      <w:r>
        <w:t>s</w:t>
      </w:r>
      <w:r w:rsidRPr="00973364" w:rsidDel="00AF7DFC">
        <w:t xml:space="preserve"> the coral component of the Reef report card. </w:t>
      </w:r>
      <w:r>
        <w:t>The</w:t>
      </w:r>
      <w:r w:rsidRPr="00973364" w:rsidDel="00AF7DFC">
        <w:t xml:space="preserve"> indicators represent different processes that contribute to coral community resilience </w:t>
      </w:r>
      <w:r w:rsidRPr="00973364">
        <w:t>that</w:t>
      </w:r>
      <w:r w:rsidRPr="00973364" w:rsidDel="00AF7DFC">
        <w:t xml:space="preserve"> are potentially influenced by water quality: </w:t>
      </w:r>
    </w:p>
    <w:p w14:paraId="229539D5" w14:textId="77777777" w:rsidR="00BD29B3" w:rsidRPr="00973364" w:rsidDel="00AF7DFC" w:rsidRDefault="00BD29B3" w:rsidP="00BD29B3">
      <w:pPr>
        <w:pStyle w:val="ListParagraph"/>
        <w:numPr>
          <w:ilvl w:val="0"/>
          <w:numId w:val="12"/>
        </w:numPr>
      </w:pPr>
      <w:r w:rsidRPr="00973364" w:rsidDel="00AF7DFC">
        <w:t xml:space="preserve">coral cover as an indicator of corals ability to resist the cumulative environmental pressures to which they have been exposed, </w:t>
      </w:r>
    </w:p>
    <w:p w14:paraId="51D87054" w14:textId="77777777" w:rsidR="00BD29B3" w:rsidRPr="00973364" w:rsidDel="00AF7DFC" w:rsidRDefault="00BD29B3" w:rsidP="00BD29B3">
      <w:pPr>
        <w:pStyle w:val="ListParagraph"/>
        <w:numPr>
          <w:ilvl w:val="0"/>
          <w:numId w:val="12"/>
        </w:numPr>
      </w:pPr>
      <w:r w:rsidRPr="00973364">
        <w:t xml:space="preserve">proportion of </w:t>
      </w:r>
      <w:r w:rsidRPr="00973364" w:rsidDel="00AF7DFC">
        <w:t xml:space="preserve">macroalgae </w:t>
      </w:r>
      <w:r w:rsidRPr="00973364">
        <w:t xml:space="preserve">in algal </w:t>
      </w:r>
      <w:r w:rsidRPr="00973364" w:rsidDel="00AF7DFC">
        <w:t xml:space="preserve">cover as an indicator of competition </w:t>
      </w:r>
      <w:r w:rsidRPr="00973364">
        <w:t xml:space="preserve">with </w:t>
      </w:r>
      <w:r w:rsidRPr="00973364" w:rsidDel="00AF7DFC">
        <w:t xml:space="preserve">corals, </w:t>
      </w:r>
    </w:p>
    <w:p w14:paraId="775A1915" w14:textId="77777777" w:rsidR="00BD29B3" w:rsidRPr="00973364" w:rsidDel="00AF7DFC" w:rsidRDefault="00BD29B3" w:rsidP="00BD29B3">
      <w:pPr>
        <w:pStyle w:val="ListParagraph"/>
        <w:numPr>
          <w:ilvl w:val="0"/>
          <w:numId w:val="12"/>
        </w:numPr>
      </w:pPr>
      <w:r w:rsidRPr="00973364" w:rsidDel="00AF7DFC">
        <w:t>juvenile coral density as an indicator of the success of early life history stages in the replenishment of coral populations,</w:t>
      </w:r>
    </w:p>
    <w:p w14:paraId="56814146" w14:textId="77777777" w:rsidR="00BD29B3" w:rsidRPr="00973364" w:rsidDel="00AF7DFC" w:rsidRDefault="00BD29B3" w:rsidP="00BD29B3">
      <w:pPr>
        <w:pStyle w:val="ListParagraph"/>
        <w:numPr>
          <w:ilvl w:val="0"/>
          <w:numId w:val="12"/>
        </w:numPr>
      </w:pPr>
      <w:r w:rsidRPr="00973364" w:rsidDel="00AF7DFC">
        <w:t>rate at which coral cover increases as an indicator of the recovery potential of cora</w:t>
      </w:r>
      <w:r w:rsidRPr="00973364">
        <w:t>l communities due to growth and</w:t>
      </w:r>
    </w:p>
    <w:p w14:paraId="37B20401" w14:textId="567DA4F8" w:rsidR="00BD29B3" w:rsidRPr="00973364" w:rsidDel="00AF7DFC" w:rsidRDefault="00BD29B3" w:rsidP="00BD29B3">
      <w:pPr>
        <w:pStyle w:val="ListParagraph"/>
        <w:numPr>
          <w:ilvl w:val="0"/>
          <w:numId w:val="12"/>
        </w:numPr>
      </w:pPr>
      <w:r w:rsidRPr="00973364" w:rsidDel="00AF7DFC">
        <w:t xml:space="preserve">community composition </w:t>
      </w:r>
      <w:r w:rsidR="004653D2">
        <w:t>as</w:t>
      </w:r>
      <w:r w:rsidRPr="00973364" w:rsidDel="00AF7DFC">
        <w:t xml:space="preserve"> an indicator of selective pressures</w:t>
      </w:r>
      <w:r>
        <w:t xml:space="preserve"> imposed by the environmental conditions at a reef</w:t>
      </w:r>
      <w:r w:rsidRPr="00973364" w:rsidDel="00AF7DFC">
        <w:t xml:space="preserve">. </w:t>
      </w:r>
    </w:p>
    <w:p w14:paraId="1B57516D" w14:textId="43507194" w:rsidR="00BD29B3" w:rsidRPr="001F701F" w:rsidRDefault="00BD29B3" w:rsidP="001F701F">
      <w:pPr>
        <w:rPr>
          <w:lang w:val="en-AU"/>
        </w:rPr>
      </w:pPr>
      <w:r w:rsidRPr="00973364" w:rsidDel="00AF7DFC">
        <w:t xml:space="preserve">For each of these indicators a metric has been developed to allow scoring of observed condition on a consistent scale </w:t>
      </w:r>
      <w:r>
        <w:t xml:space="preserve">(0-1) </w:t>
      </w:r>
      <w:r w:rsidRPr="00973364" w:rsidDel="00AF7DFC">
        <w:t>that facilitates the aggregation of these scores into a single index used as a summary of coral community condition.</w:t>
      </w:r>
    </w:p>
    <w:p w14:paraId="6B53EC63" w14:textId="77777777" w:rsidR="00BD29B3" w:rsidRPr="006D5AC5" w:rsidRDefault="00BD29B3" w:rsidP="00BD29B3">
      <w:pPr>
        <w:rPr>
          <w:lang w:val="en-US"/>
        </w:rPr>
      </w:pPr>
      <w:r w:rsidRPr="006D5AC5">
        <w:t xml:space="preserve">The coral index is formulated around the concept of community resilience. The underlying assumption is that a ‘resilient’ community should show clear signs of recovery after inevitable acute disturbances, such as cyclones and coral bleaching events, or, in the absence of disturbance, maintain a high cover of corals and successful recruitment processes. </w:t>
      </w:r>
      <w:r w:rsidRPr="006D5AC5">
        <w:rPr>
          <w:lang w:val="en-US"/>
        </w:rPr>
        <w:t xml:space="preserve">Five </w:t>
      </w:r>
      <w:r w:rsidRPr="006D5AC5">
        <w:t xml:space="preserve">indicators of coral communities are included, each representing different processes that contribute to coral community resilience: </w:t>
      </w:r>
    </w:p>
    <w:p w14:paraId="0DA0941E" w14:textId="77777777" w:rsidR="00BD29B3" w:rsidRPr="006D5AC5" w:rsidRDefault="00BD29B3" w:rsidP="00BD29B3">
      <w:pPr>
        <w:pStyle w:val="ListParagraph"/>
        <w:numPr>
          <w:ilvl w:val="0"/>
          <w:numId w:val="12"/>
        </w:numPr>
      </w:pPr>
      <w:r w:rsidRPr="006D5AC5">
        <w:t xml:space="preserve">coral cover as an indicator of corals’ ability to resist the cumulative environmental pressures to which they have been exposed, </w:t>
      </w:r>
    </w:p>
    <w:p w14:paraId="645F0A01" w14:textId="77777777" w:rsidR="00BD29B3" w:rsidRPr="006D5AC5" w:rsidRDefault="00BD29B3" w:rsidP="00BD29B3">
      <w:pPr>
        <w:pStyle w:val="ListParagraph"/>
        <w:numPr>
          <w:ilvl w:val="0"/>
          <w:numId w:val="12"/>
        </w:numPr>
      </w:pPr>
      <w:r w:rsidRPr="006D5AC5">
        <w:t xml:space="preserve">macroalgae cover as in indicator of competition with corals for light and space, </w:t>
      </w:r>
    </w:p>
    <w:p w14:paraId="2D0FB0AA" w14:textId="77777777" w:rsidR="00BD29B3" w:rsidRPr="006D5AC5" w:rsidRDefault="00BD29B3" w:rsidP="00BD29B3">
      <w:pPr>
        <w:pStyle w:val="ListParagraph"/>
        <w:numPr>
          <w:ilvl w:val="0"/>
          <w:numId w:val="12"/>
        </w:numPr>
      </w:pPr>
      <w:r w:rsidRPr="006D5AC5">
        <w:t>juvenile coral density as in indicator of the success of early life history stages in the replenishment of coral populations,</w:t>
      </w:r>
    </w:p>
    <w:p w14:paraId="4DF93D9A" w14:textId="77777777" w:rsidR="00BD29B3" w:rsidRPr="006D5AC5" w:rsidRDefault="00BD29B3" w:rsidP="00BD29B3">
      <w:pPr>
        <w:pStyle w:val="ListParagraph"/>
        <w:numPr>
          <w:ilvl w:val="0"/>
          <w:numId w:val="12"/>
        </w:numPr>
      </w:pPr>
      <w:r w:rsidRPr="006D5AC5">
        <w:t>rate at which coral cover increases as an indicator of the recovery potential of coral communities due to growth and,</w:t>
      </w:r>
    </w:p>
    <w:p w14:paraId="6DBD2099" w14:textId="77777777" w:rsidR="00BD29B3" w:rsidRPr="006D5AC5" w:rsidRDefault="00BD29B3" w:rsidP="00BD29B3">
      <w:pPr>
        <w:pStyle w:val="ListParagraph"/>
        <w:numPr>
          <w:ilvl w:val="0"/>
          <w:numId w:val="12"/>
        </w:numPr>
      </w:pPr>
      <w:r w:rsidRPr="006D5AC5">
        <w:t xml:space="preserve">community composition as an indicator of selective pressures. </w:t>
      </w:r>
    </w:p>
    <w:p w14:paraId="741D0570" w14:textId="46359720" w:rsidR="00BD29B3" w:rsidRDefault="00BD29B3" w:rsidP="00511129">
      <w:r w:rsidRPr="001D54B5">
        <w:t>To formulate the coral index from these five indicators required transformation of observed data into metrics on a common scale. The methods used to calculate metric scores for each of the five indicators, the aggregation of these metrics into coral index scores and the categorisation of these scores into report card grades are outlined below. Data for each indicator are derived from LTMP and MMP point intercept transects and juvenile coral belt transects. The coral index was revised for the 2015 Reef report card and a detailed description including the reasoning behind threshold selection and methods used for the calculation of the coral index can be found in Thompson et al. (2016). We point the reader to section 4.</w:t>
      </w:r>
      <w:r w:rsidR="001F701F" w:rsidRPr="001D54B5">
        <w:t>6</w:t>
      </w:r>
      <w:r w:rsidRPr="001D54B5">
        <w:t>.4 where a slight revision to methods used to estimate the Cover Change metric is described</w:t>
      </w:r>
      <w:r w:rsidR="001D54B5" w:rsidRPr="001D54B5">
        <w:t>.</w:t>
      </w:r>
    </w:p>
    <w:p w14:paraId="7A518D72" w14:textId="0FD3513B" w:rsidR="00511129" w:rsidRPr="00511129" w:rsidRDefault="00511129" w:rsidP="00511129">
      <w:pPr>
        <w:pStyle w:val="Heading3"/>
      </w:pPr>
      <w:bookmarkStart w:id="88" w:name="_Toc514408392"/>
      <w:r w:rsidRPr="006D5AC5">
        <w:t>4.</w:t>
      </w:r>
      <w:r>
        <w:t>6</w:t>
      </w:r>
      <w:r w:rsidRPr="006D5AC5">
        <w:t>.</w:t>
      </w:r>
      <w:r>
        <w:t>1</w:t>
      </w:r>
      <w:r w:rsidRPr="006D5AC5">
        <w:t xml:space="preserve"> </w:t>
      </w:r>
      <w:r>
        <w:t>Coral Cover</w:t>
      </w:r>
      <w:r w:rsidRPr="006D5AC5">
        <w:t xml:space="preserve"> metric</w:t>
      </w:r>
      <w:bookmarkEnd w:id="88"/>
    </w:p>
    <w:p w14:paraId="18669FF6" w14:textId="77777777" w:rsidR="00BD29B3" w:rsidRPr="006D5AC5" w:rsidRDefault="00BD29B3" w:rsidP="00BD29B3">
      <w:pPr>
        <w:autoSpaceDE w:val="0"/>
        <w:autoSpaceDN w:val="0"/>
        <w:adjustRightInd w:val="0"/>
      </w:pPr>
      <w:r w:rsidRPr="006D5AC5">
        <w:rPr>
          <w:lang w:val="en-US"/>
        </w:rPr>
        <w:t xml:space="preserve">High coral cover is a highly desirable state for coral reefs both in providing essential ecological goods and services related to habitat complexity but also from a purely aesthetic perspective with clear socio economic advantages. In terms of reef resilience, although low cover may be expected following severe disturbance events, high cover implies a degree of resistance to any chronic pressures influencing a reef. </w:t>
      </w:r>
      <w:r w:rsidRPr="006D5AC5">
        <w:t xml:space="preserve">Also, high cover equates to a large brood-stock: a necessary link to recruitment and an indication of the potential for recovery of communities in the local area. </w:t>
      </w:r>
    </w:p>
    <w:p w14:paraId="34136707" w14:textId="77777777" w:rsidR="00BD29B3" w:rsidRPr="006D5AC5" w:rsidRDefault="00BD29B3" w:rsidP="00BD29B3">
      <w:r w:rsidRPr="006D5AC5">
        <w:rPr>
          <w:lang w:val="en-US"/>
        </w:rPr>
        <w:t xml:space="preserve">This metric scores reefs based on the level of coral cover derived from point intercept transects. For each reef the proportional cover </w:t>
      </w:r>
      <w:r w:rsidRPr="006D5AC5">
        <w:t>of all hard (order Scleractinia) and soft (subclass Octocorallia) corals are combined into two groups, “HC” and “SC” respectively. The coral cover indicator is then calculated as;</w:t>
      </w:r>
    </w:p>
    <w:p w14:paraId="67643608" w14:textId="77777777" w:rsidR="00BD29B3" w:rsidRPr="006D5AC5" w:rsidRDefault="00A570BE" w:rsidP="00BD29B3">
      <w:pPr>
        <w:jc w:val="center"/>
      </w:pPr>
      <m:oMath>
        <m:sSub>
          <m:sSubPr>
            <m:ctrlPr>
              <w:rPr>
                <w:rFonts w:ascii="Cambria Math" w:hAnsi="Cambria Math"/>
                <w:i/>
              </w:rPr>
            </m:ctrlPr>
          </m:sSubPr>
          <m:e>
            <m:r>
              <w:rPr>
                <w:rFonts w:ascii="Cambria Math" w:hAnsi="Cambria Math"/>
              </w:rPr>
              <m:t>Coral cover</m:t>
            </m:r>
          </m:e>
          <m:sub>
            <m:r>
              <w:rPr>
                <w:rFonts w:ascii="Cambria Math" w:hAnsi="Cambria Math"/>
              </w:rPr>
              <m:t>ij</m:t>
            </m:r>
          </m:sub>
        </m:sSub>
      </m:oMath>
      <w:r w:rsidR="00BD29B3" w:rsidRPr="006D5AC5">
        <w:t xml:space="preserve"> = </w:t>
      </w:r>
      <m:oMath>
        <m:sSub>
          <m:sSubPr>
            <m:ctrlPr>
              <w:rPr>
                <w:rFonts w:ascii="Cambria Math" w:hAnsi="Cambria Math"/>
                <w:i/>
              </w:rPr>
            </m:ctrlPr>
          </m:sSubPr>
          <m:e>
            <m:r>
              <w:rPr>
                <w:rFonts w:ascii="Cambria Math" w:hAnsi="Cambria Math"/>
              </w:rPr>
              <m:t>HC</m:t>
            </m:r>
          </m:e>
          <m:sub>
            <m:r>
              <w:rPr>
                <w:rFonts w:ascii="Cambria Math" w:hAnsi="Cambria Math"/>
              </w:rPr>
              <m:t>ij</m:t>
            </m:r>
          </m:sub>
        </m:sSub>
      </m:oMath>
      <w:r w:rsidR="00BD29B3" w:rsidRPr="006D5AC5">
        <w:t xml:space="preserve"> + </w:t>
      </w:r>
      <m:oMath>
        <m:sSub>
          <m:sSubPr>
            <m:ctrlPr>
              <w:rPr>
                <w:rFonts w:ascii="Cambria Math" w:hAnsi="Cambria Math"/>
                <w:i/>
              </w:rPr>
            </m:ctrlPr>
          </m:sSubPr>
          <m:e>
            <m:r>
              <w:rPr>
                <w:rFonts w:ascii="Cambria Math" w:hAnsi="Cambria Math"/>
              </w:rPr>
              <m:t>SC</m:t>
            </m:r>
          </m:e>
          <m:sub>
            <m:r>
              <w:rPr>
                <w:rFonts w:ascii="Cambria Math" w:hAnsi="Cambria Math"/>
              </w:rPr>
              <m:t>ij</m:t>
            </m:r>
          </m:sub>
        </m:sSub>
      </m:oMath>
    </w:p>
    <w:p w14:paraId="0A79BD7B" w14:textId="77777777" w:rsidR="00BD29B3" w:rsidRPr="006D5AC5" w:rsidRDefault="00BD29B3" w:rsidP="00BD29B3">
      <w:r w:rsidRPr="006D5AC5">
        <w:t xml:space="preserve">Where </w:t>
      </w:r>
      <m:oMath>
        <m:r>
          <w:rPr>
            <w:rFonts w:ascii="Cambria Math" w:hAnsi="Cambria Math"/>
          </w:rPr>
          <m:t>i</m:t>
        </m:r>
      </m:oMath>
      <w:r w:rsidRPr="006D5AC5">
        <w:t xml:space="preserve"> = reef and </w:t>
      </w:r>
      <m:oMath>
        <m:r>
          <w:rPr>
            <w:rFonts w:ascii="Cambria Math" w:hAnsi="Cambria Math"/>
          </w:rPr>
          <m:t>j</m:t>
        </m:r>
      </m:oMath>
      <w:r w:rsidRPr="006D5AC5">
        <w:t xml:space="preserve"> = time.</w:t>
      </w:r>
    </w:p>
    <w:p w14:paraId="7B66D2B9" w14:textId="1423A2CA" w:rsidR="00BD29B3" w:rsidRPr="006D5AC5" w:rsidRDefault="00BD29B3" w:rsidP="00BD29B3">
      <w:r w:rsidRPr="006D5AC5">
        <w:t>The threshold values for scoring this metric were based on assessment of coral cover from LTMP data (from 1992), MMP data (from 2005) and surveys from Cape Flattery to the Keppel’s by Sea Research prior to 1998 (Ayling 1997) which identified a mean of &gt;50% for combined coral cover on inshore reefs. Due to the unlikelihood of coral cover at a particular reef ever reaching 100% the threshold for this indicator (where the score is a maximum of 1) has been set at 75%. This value is considered to capture the plausible level of coral cover achievable on reefs within the inshore Reef and allows a natural break point for the categorisation of coral cover into the 5 reporting bands of the report card. Thus the scoring for the coral cover indicator is scaled linearly from zero when cover is 0% through to 1 when cover is at or above the threshold level of 75% (</w:t>
      </w:r>
      <w:r w:rsidR="001D54B5">
        <w:fldChar w:fldCharType="begin"/>
      </w:r>
      <w:r w:rsidR="001D54B5">
        <w:instrText xml:space="preserve"> REF _Ref514406085 \h </w:instrText>
      </w:r>
      <w:r w:rsidR="001D54B5">
        <w:fldChar w:fldCharType="separate"/>
      </w:r>
      <w:r w:rsidR="00A75175" w:rsidRPr="00F352E1">
        <w:t xml:space="preserve">Figure </w:t>
      </w:r>
      <w:r w:rsidR="00A75175">
        <w:rPr>
          <w:noProof/>
        </w:rPr>
        <w:t>3</w:t>
      </w:r>
      <w:r w:rsidR="001D54B5">
        <w:fldChar w:fldCharType="end"/>
      </w:r>
      <w:r w:rsidRPr="006D5AC5">
        <w:t>)</w:t>
      </w:r>
    </w:p>
    <w:p w14:paraId="32AF0881" w14:textId="77777777" w:rsidR="00BD29B3" w:rsidRPr="00F352E1" w:rsidRDefault="00BD29B3" w:rsidP="00BD29B3">
      <w:pPr>
        <w:rPr>
          <w:color w:val="4F81BD" w:themeColor="accent1"/>
        </w:rPr>
      </w:pPr>
    </w:p>
    <w:p w14:paraId="7FE61C18" w14:textId="77777777" w:rsidR="00BD29B3" w:rsidRPr="00F352E1" w:rsidRDefault="00BD29B3" w:rsidP="00BD29B3">
      <w:pPr>
        <w:rPr>
          <w:color w:val="4F81BD" w:themeColor="accent1"/>
        </w:rPr>
      </w:pPr>
      <w:r w:rsidRPr="00F352E1">
        <w:rPr>
          <w:noProof/>
          <w:color w:val="4F81BD" w:themeColor="accent1"/>
          <w:lang w:val="en-AU" w:eastAsia="en-AU"/>
        </w:rPr>
        <w:drawing>
          <wp:inline distT="0" distB="0" distL="0" distR="0" wp14:anchorId="57EBA3A2" wp14:editId="05F15645">
            <wp:extent cx="3600450" cy="2876550"/>
            <wp:effectExtent l="0" t="0" r="0" b="0"/>
            <wp:docPr id="26" name="Picture 26" descr="Diagram that describes the scoring and categorisation of the Coral Cover Metric" title="Figure 3 Scoring diagram for Coral Cover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600450" cy="2876550"/>
                    </a:xfrm>
                    <a:prstGeom prst="rect">
                      <a:avLst/>
                    </a:prstGeom>
                    <a:noFill/>
                    <a:ln>
                      <a:noFill/>
                    </a:ln>
                  </pic:spPr>
                </pic:pic>
              </a:graphicData>
            </a:graphic>
          </wp:inline>
        </w:drawing>
      </w:r>
    </w:p>
    <w:p w14:paraId="39D0BFC0" w14:textId="0BC5BB9B" w:rsidR="00477E7A" w:rsidRDefault="00BD29B3" w:rsidP="00606A50">
      <w:pPr>
        <w:pStyle w:val="Caption"/>
        <w:rPr>
          <w:rStyle w:val="IntenseReference"/>
          <w:rFonts w:eastAsia="SimSun"/>
        </w:rPr>
      </w:pPr>
      <w:bookmarkStart w:id="89" w:name="_Ref514406085"/>
      <w:bookmarkStart w:id="90" w:name="_Toc514335648"/>
      <w:r w:rsidRPr="00F352E1">
        <w:t xml:space="preserve">Figure </w:t>
      </w:r>
      <w:r>
        <w:fldChar w:fldCharType="begin"/>
      </w:r>
      <w:r>
        <w:instrText xml:space="preserve"> SEQ Figure \* ARABIC </w:instrText>
      </w:r>
      <w:r>
        <w:fldChar w:fldCharType="separate"/>
      </w:r>
      <w:r w:rsidR="00A75175">
        <w:rPr>
          <w:noProof/>
        </w:rPr>
        <w:t>3</w:t>
      </w:r>
      <w:r>
        <w:rPr>
          <w:noProof/>
        </w:rPr>
        <w:fldChar w:fldCharType="end"/>
      </w:r>
      <w:bookmarkEnd w:id="89"/>
      <w:r w:rsidRPr="00F352E1">
        <w:t xml:space="preserve"> Scoring diagram for the Coral Cover metric.</w:t>
      </w:r>
      <w:r w:rsidRPr="00E9697B">
        <w:rPr>
          <w:rStyle w:val="IntenseReference"/>
          <w:rFonts w:eastAsia="SimSun"/>
        </w:rPr>
        <w:t xml:space="preserve"> Numeric scores and associated condition classifications based on observed coral cover are presented.</w:t>
      </w:r>
      <w:bookmarkEnd w:id="90"/>
      <w:r w:rsidRPr="00E9697B">
        <w:rPr>
          <w:rStyle w:val="IntenseReference"/>
          <w:rFonts w:eastAsia="SimSun"/>
        </w:rPr>
        <w:t xml:space="preserve"> </w:t>
      </w:r>
    </w:p>
    <w:p w14:paraId="3BBAF0DE" w14:textId="77777777" w:rsidR="00477E7A" w:rsidRDefault="00477E7A">
      <w:pPr>
        <w:jc w:val="left"/>
        <w:rPr>
          <w:rStyle w:val="IntenseReference"/>
          <w:rFonts w:eastAsia="SimSun"/>
        </w:rPr>
      </w:pPr>
      <w:r>
        <w:rPr>
          <w:rStyle w:val="IntenseReference"/>
          <w:rFonts w:eastAsia="SimSun"/>
        </w:rPr>
        <w:br w:type="page"/>
      </w:r>
    </w:p>
    <w:p w14:paraId="18590C7B" w14:textId="2C809274" w:rsidR="00BD29B3" w:rsidRPr="006D5AC5" w:rsidRDefault="00BD29B3" w:rsidP="00BD29B3">
      <w:pPr>
        <w:pStyle w:val="Heading3"/>
      </w:pPr>
      <w:bookmarkStart w:id="91" w:name="_Toc514408393"/>
      <w:r w:rsidRPr="006D5AC5">
        <w:t>4.</w:t>
      </w:r>
      <w:r>
        <w:t>6</w:t>
      </w:r>
      <w:r w:rsidRPr="006D5AC5">
        <w:t>.2 Macroalgae metric</w:t>
      </w:r>
      <w:bookmarkEnd w:id="91"/>
    </w:p>
    <w:p w14:paraId="2B409B75" w14:textId="77777777" w:rsidR="00BD29B3" w:rsidRPr="006D5AC5" w:rsidRDefault="00BD29B3" w:rsidP="00BD29B3">
      <w:r w:rsidRPr="006D5AC5">
        <w:t xml:space="preserve">In contrast to coral cover, high cover of macroalgae on coral reefs is widely accepted as representing a degraded state. As opportunistic colonisers, macroalgae generally out-compete corals, recovering more quickly following physical disturbances. Macroalgae have been documented to suppress coral fecundity (Foster </w:t>
      </w:r>
      <w:r w:rsidRPr="006D5AC5">
        <w:rPr>
          <w:i/>
        </w:rPr>
        <w:t>et al</w:t>
      </w:r>
      <w:r w:rsidRPr="006D5AC5">
        <w:t xml:space="preserve">. 2008), reduce recruitment of hard corals (Birrell </w:t>
      </w:r>
      <w:r w:rsidRPr="006D5AC5">
        <w:rPr>
          <w:i/>
        </w:rPr>
        <w:t>et al</w:t>
      </w:r>
      <w:r w:rsidRPr="006D5AC5">
        <w:t xml:space="preserve">. 2008a, b, Diaz-Pulido </w:t>
      </w:r>
      <w:r w:rsidRPr="006D5AC5">
        <w:rPr>
          <w:i/>
        </w:rPr>
        <w:t>et al.</w:t>
      </w:r>
      <w:r w:rsidRPr="006D5AC5">
        <w:t xml:space="preserve"> 2010) and diminish the capacity for growth among local coral communities (Fabricius 2005). The macroalgae metric considers the proportional representation of macroalgae in the algal community based on cover estimates derived from point intercept transects and is calculated as;</w:t>
      </w:r>
    </w:p>
    <w:p w14:paraId="6898A9FF" w14:textId="77777777" w:rsidR="00BD29B3" w:rsidRPr="006D5AC5" w:rsidRDefault="00A570BE" w:rsidP="00BD29B3">
      <w:pPr>
        <w:jc w:val="center"/>
      </w:pPr>
      <m:oMath>
        <m:sSub>
          <m:sSubPr>
            <m:ctrlPr>
              <w:rPr>
                <w:rFonts w:ascii="Cambria Math" w:hAnsi="Cambria Math"/>
                <w:i/>
              </w:rPr>
            </m:ctrlPr>
          </m:sSubPr>
          <m:e>
            <m:r>
              <w:rPr>
                <w:rFonts w:ascii="Cambria Math" w:hAnsi="Cambria Math"/>
              </w:rPr>
              <m:t>MAproportion</m:t>
            </m:r>
          </m:e>
          <m:sub>
            <m:r>
              <w:rPr>
                <w:rFonts w:ascii="Cambria Math" w:hAnsi="Cambria Math"/>
              </w:rPr>
              <m:t>ij</m:t>
            </m:r>
          </m:sub>
        </m:sSub>
      </m:oMath>
      <w:r w:rsidR="00BD29B3" w:rsidRPr="006D5AC5">
        <w:t xml:space="preserve"> = </w:t>
      </w:r>
      <m:oMath>
        <m:sSub>
          <m:sSubPr>
            <m:ctrlPr>
              <w:rPr>
                <w:rFonts w:ascii="Cambria Math" w:hAnsi="Cambria Math"/>
                <w:i/>
              </w:rPr>
            </m:ctrlPr>
          </m:sSubPr>
          <m:e>
            <m:r>
              <w:rPr>
                <w:rFonts w:ascii="Cambria Math" w:hAnsi="Cambria Math"/>
              </w:rPr>
              <m:t>MA</m:t>
            </m:r>
          </m:e>
          <m:sub>
            <m:r>
              <w:rPr>
                <w:rFonts w:ascii="Cambria Math" w:hAnsi="Cambria Math"/>
              </w:rPr>
              <m:t>ij</m:t>
            </m:r>
          </m:sub>
        </m:sSub>
      </m:oMath>
      <w:r w:rsidR="00BD29B3" w:rsidRPr="006D5AC5">
        <w:t xml:space="preserve"> / </w:t>
      </w:r>
      <m:oMath>
        <m:sSub>
          <m:sSubPr>
            <m:ctrlPr>
              <w:rPr>
                <w:rFonts w:ascii="Cambria Math" w:hAnsi="Cambria Math"/>
                <w:i/>
              </w:rPr>
            </m:ctrlPr>
          </m:sSubPr>
          <m:e>
            <m:r>
              <w:rPr>
                <w:rFonts w:ascii="Cambria Math" w:hAnsi="Cambria Math"/>
              </w:rPr>
              <m:t>A</m:t>
            </m:r>
          </m:e>
          <m:sub>
            <m:r>
              <w:rPr>
                <w:rFonts w:ascii="Cambria Math" w:hAnsi="Cambria Math"/>
              </w:rPr>
              <m:t>ij</m:t>
            </m:r>
          </m:sub>
        </m:sSub>
      </m:oMath>
    </w:p>
    <w:p w14:paraId="43BE9B51" w14:textId="77777777" w:rsidR="00BD29B3" w:rsidRPr="006D5AC5" w:rsidRDefault="00BD29B3" w:rsidP="00BD29B3">
      <w:r w:rsidRPr="006D5AC5">
        <w:t xml:space="preserve">Where </w:t>
      </w:r>
      <m:oMath>
        <m:r>
          <w:rPr>
            <w:rFonts w:ascii="Cambria Math" w:hAnsi="Cambria Math"/>
          </w:rPr>
          <m:t>A</m:t>
        </m:r>
      </m:oMath>
      <w:r w:rsidRPr="006D5AC5">
        <w:t xml:space="preserve">= percent cover of all algae, </w:t>
      </w:r>
      <m:oMath>
        <m:r>
          <w:rPr>
            <w:rFonts w:ascii="Cambria Math" w:hAnsi="Cambria Math"/>
          </w:rPr>
          <m:t>i</m:t>
        </m:r>
      </m:oMath>
      <w:r w:rsidRPr="006D5AC5">
        <w:t xml:space="preserve"> = reef, </w:t>
      </w:r>
      <m:oMath>
        <m:r>
          <w:rPr>
            <w:rFonts w:ascii="Cambria Math" w:hAnsi="Cambria Math"/>
          </w:rPr>
          <m:t>j</m:t>
        </m:r>
      </m:oMath>
      <w:r w:rsidRPr="006D5AC5">
        <w:t xml:space="preserve"> = time and </w:t>
      </w:r>
      <m:oMath>
        <m:r>
          <w:rPr>
            <w:rFonts w:ascii="Cambria Math" w:hAnsi="Cambria Math"/>
          </w:rPr>
          <m:t>MA</m:t>
        </m:r>
      </m:oMath>
      <w:r w:rsidRPr="006D5AC5">
        <w:t xml:space="preserve"> = percent cover of macroalgae.</w:t>
      </w:r>
    </w:p>
    <w:p w14:paraId="025939B0" w14:textId="4EF351B7" w:rsidR="00BD29B3" w:rsidRPr="006D5AC5" w:rsidRDefault="00477E7A" w:rsidP="00BD29B3">
      <w:r>
        <w:t>F</w:t>
      </w:r>
      <w:r w:rsidR="00BD29B3" w:rsidRPr="006D5AC5">
        <w:t xml:space="preserve">or the purpose of calculating this metric, the collective term macroalgae defines a broad functional grouping that combines species clearly visible to the naked eye </w:t>
      </w:r>
      <w:r>
        <w:t xml:space="preserve">although </w:t>
      </w:r>
      <w:r w:rsidR="00BD29B3">
        <w:t>e</w:t>
      </w:r>
      <w:r w:rsidR="00BD29B3" w:rsidRPr="006D5AC5">
        <w:t>xcluding crustose coralline and fine filamentous or “turf” forms. In addition, as macroalgae show marked differences in abundance across the naturally steep gradient of environmental conditions within the inshore Reef, separate upper and lower thresholds were estimated for each reef and depth (</w:t>
      </w:r>
      <w:r w:rsidR="00BD29B3">
        <w:fldChar w:fldCharType="begin"/>
      </w:r>
      <w:r w:rsidR="00BD29B3">
        <w:instrText xml:space="preserve"> REF _Ref501104907 \h </w:instrText>
      </w:r>
      <w:r w:rsidR="00BD29B3">
        <w:fldChar w:fldCharType="separate"/>
      </w:r>
      <w:r w:rsidR="00A75175">
        <w:t xml:space="preserve">Table A1. </w:t>
      </w:r>
      <w:r w:rsidR="00A75175">
        <w:rPr>
          <w:noProof/>
        </w:rPr>
        <w:t>1</w:t>
      </w:r>
      <w:r w:rsidR="00BD29B3">
        <w:fldChar w:fldCharType="end"/>
      </w:r>
      <w:r w:rsidR="00BD29B3" w:rsidRPr="006D5AC5">
        <w:t xml:space="preserve">). The use of separate thresholds ensures the indicator is sensitive to changes likely to occur at a given reef. The thresholds for each reef were determined based on predicted </w:t>
      </w:r>
      <w:r w:rsidR="00BD29B3" w:rsidRPr="006D5AC5">
        <w:rPr>
          <w:i/>
        </w:rPr>
        <w:t>MAproportion</w:t>
      </w:r>
      <w:r w:rsidR="00BD29B3" w:rsidRPr="006D5AC5">
        <w:t xml:space="preserve"> from Generalised Boosted Models (Ridgeway 2007) that included mean </w:t>
      </w:r>
      <w:r w:rsidR="00BD29B3" w:rsidRPr="006D5AC5">
        <w:rPr>
          <w:i/>
        </w:rPr>
        <w:t>MAproportion</w:t>
      </w:r>
      <w:r w:rsidR="00BD29B3" w:rsidRPr="006D5AC5">
        <w:t xml:space="preserve"> over the period 2005-2014 as the response and long-term mean chlorophyll </w:t>
      </w:r>
      <w:r w:rsidR="00BD29B3" w:rsidRPr="006D5AC5">
        <w:rPr>
          <w:i/>
        </w:rPr>
        <w:t>a</w:t>
      </w:r>
      <w:r w:rsidR="00BD29B3" w:rsidRPr="006D5AC5">
        <w:t xml:space="preserve"> concentration, suspended sediment concentration, and proportion of clay and silt sized grains in reefal sediments as covariates (Thompson </w:t>
      </w:r>
      <w:r w:rsidR="00BD29B3" w:rsidRPr="006D5AC5">
        <w:rPr>
          <w:i/>
        </w:rPr>
        <w:t>et al.</w:t>
      </w:r>
      <w:r w:rsidR="00BD29B3" w:rsidRPr="006D5AC5">
        <w:t xml:space="preserve"> 2016). An additional consideration in setting the upper threshold for </w:t>
      </w:r>
      <w:r w:rsidR="00BD29B3" w:rsidRPr="006D5AC5">
        <w:rPr>
          <w:i/>
        </w:rPr>
        <w:t>MAproportion</w:t>
      </w:r>
      <w:r w:rsidR="00BD29B3" w:rsidRPr="006D5AC5">
        <w:t xml:space="preserve"> was the ecological influence of macroalgae on other indicators of coral community condition. Regression tree analyses that included </w:t>
      </w:r>
      <w:r w:rsidR="00BD29B3" w:rsidRPr="006D5AC5">
        <w:rPr>
          <w:i/>
        </w:rPr>
        <w:t>MAproportion</w:t>
      </w:r>
      <w:r w:rsidR="00BD29B3" w:rsidRPr="006D5AC5">
        <w:t xml:space="preserve"> as the predictor variable indicated reduced levels of the indicator metrics juvenile density, coral cover and the rate of change in coral cover at higher levels of </w:t>
      </w:r>
      <w:r w:rsidR="00BD29B3" w:rsidRPr="006D5AC5">
        <w:rPr>
          <w:i/>
        </w:rPr>
        <w:t>MAproportion</w:t>
      </w:r>
      <w:r>
        <w:rPr>
          <w:i/>
        </w:rPr>
        <w:t xml:space="preserve"> </w:t>
      </w:r>
      <w:r>
        <w:t>(Thompson et al. 2016)</w:t>
      </w:r>
      <w:r w:rsidR="00BD29B3" w:rsidRPr="006D5AC5">
        <w:t>. T</w:t>
      </w:r>
      <w:r w:rsidR="00B71279">
        <w:t>hese thresholds for</w:t>
      </w:r>
      <w:r w:rsidR="00BD29B3" w:rsidRPr="006D5AC5">
        <w:t xml:space="preserve"> ecological impact</w:t>
      </w:r>
      <w:r w:rsidR="00B71279">
        <w:t>s</w:t>
      </w:r>
      <w:r w:rsidR="00BD29B3" w:rsidRPr="006D5AC5">
        <w:t xml:space="preserve"> </w:t>
      </w:r>
      <w:r>
        <w:t>cap inform</w:t>
      </w:r>
      <w:r w:rsidR="00B71279">
        <w:t>ed</w:t>
      </w:r>
      <w:r>
        <w:t xml:space="preserve"> the setting of </w:t>
      </w:r>
      <w:r w:rsidR="00BD29B3" w:rsidRPr="006D5AC5">
        <w:t>upper bound</w:t>
      </w:r>
      <w:r w:rsidR="00B71279">
        <w:t>s</w:t>
      </w:r>
      <w:r w:rsidR="00BD29B3" w:rsidRPr="006D5AC5">
        <w:t xml:space="preserve"> of </w:t>
      </w:r>
      <w:r w:rsidR="00BD29B3" w:rsidRPr="006D5AC5">
        <w:rPr>
          <w:i/>
        </w:rPr>
        <w:t>MAproportion</w:t>
      </w:r>
      <w:r w:rsidR="00BD29B3" w:rsidRPr="006D5AC5">
        <w:t xml:space="preserve"> across all reefs at 23% at 2 m and a 25% at 5 m. The upper bounds for any reefs with predicted </w:t>
      </w:r>
      <w:r w:rsidR="00BD29B3" w:rsidRPr="006D5AC5">
        <w:rPr>
          <w:i/>
        </w:rPr>
        <w:t>MAproportion</w:t>
      </w:r>
      <w:r w:rsidR="00BD29B3" w:rsidRPr="006D5AC5">
        <w:t xml:space="preserve"> higher than these caps were reduced to the cap level.</w:t>
      </w:r>
    </w:p>
    <w:p w14:paraId="4452D561" w14:textId="64D34367" w:rsidR="00B71279" w:rsidRDefault="00BD29B3" w:rsidP="00B71279">
      <w:r w:rsidRPr="006D5AC5">
        <w:t xml:space="preserve">Scores for Macroalgae metric were scaled linearly from 0 when </w:t>
      </w:r>
      <w:r w:rsidRPr="006D5AC5">
        <w:rPr>
          <w:i/>
        </w:rPr>
        <w:t>MAproportion</w:t>
      </w:r>
      <w:r w:rsidRPr="006D5AC5">
        <w:t xml:space="preserve"> is at or above the upper threshold through to 1 when </w:t>
      </w:r>
      <w:r w:rsidRPr="006D5AC5">
        <w:rPr>
          <w:i/>
        </w:rPr>
        <w:t>MAproportion</w:t>
      </w:r>
      <w:r w:rsidRPr="006D5AC5">
        <w:t xml:space="preserve"> is at or below the lower threshold (</w:t>
      </w:r>
      <w:r w:rsidR="001D54B5" w:rsidRPr="001D54B5">
        <w:rPr>
          <w:rFonts w:cs="Arial"/>
          <w:szCs w:val="22"/>
        </w:rPr>
        <w:fldChar w:fldCharType="begin"/>
      </w:r>
      <w:r w:rsidR="001D54B5" w:rsidRPr="001D54B5">
        <w:rPr>
          <w:rFonts w:cs="Arial"/>
          <w:szCs w:val="22"/>
        </w:rPr>
        <w:instrText xml:space="preserve"> REF _Ref514406113 \h  \* MERGEFORMAT </w:instrText>
      </w:r>
      <w:r w:rsidR="001D54B5" w:rsidRPr="001D54B5">
        <w:rPr>
          <w:rFonts w:cs="Arial"/>
          <w:szCs w:val="22"/>
        </w:rPr>
      </w:r>
      <w:r w:rsidR="001D54B5" w:rsidRPr="001D54B5">
        <w:rPr>
          <w:rFonts w:cs="Arial"/>
          <w:szCs w:val="22"/>
        </w:rPr>
        <w:fldChar w:fldCharType="separate"/>
      </w:r>
      <w:r w:rsidR="00A75175" w:rsidRPr="00A75175">
        <w:rPr>
          <w:rFonts w:cs="Arial"/>
          <w:szCs w:val="22"/>
        </w:rPr>
        <w:t xml:space="preserve">Figure </w:t>
      </w:r>
      <w:r w:rsidR="00A75175" w:rsidRPr="00A75175">
        <w:rPr>
          <w:rFonts w:cs="Arial"/>
          <w:noProof/>
          <w:szCs w:val="22"/>
        </w:rPr>
        <w:t>4</w:t>
      </w:r>
      <w:r w:rsidR="001D54B5" w:rsidRPr="001D54B5">
        <w:rPr>
          <w:rFonts w:cs="Arial"/>
          <w:szCs w:val="22"/>
        </w:rPr>
        <w:fldChar w:fldCharType="end"/>
      </w:r>
      <w:r w:rsidR="00477E7A">
        <w:t>).</w:t>
      </w:r>
      <w:r w:rsidR="00B71279">
        <w:t xml:space="preserve"> </w:t>
      </w:r>
    </w:p>
    <w:p w14:paraId="57D5BB48" w14:textId="77777777" w:rsidR="00B71279" w:rsidRDefault="00BD29B3" w:rsidP="00B71279">
      <w:r w:rsidRPr="00F352E1">
        <w:rPr>
          <w:noProof/>
          <w:color w:val="4F81BD" w:themeColor="accent1"/>
          <w:lang w:val="en-AU" w:eastAsia="en-AU"/>
        </w:rPr>
        <w:drawing>
          <wp:inline distT="0" distB="0" distL="0" distR="0" wp14:anchorId="1687556F" wp14:editId="60E537EC">
            <wp:extent cx="3600450" cy="2876550"/>
            <wp:effectExtent l="0" t="0" r="0" b="0"/>
            <wp:docPr id="27" name="Picture 27" descr="Diagram that describes the scoring and categorisation of the Macroalgae metric" title="Figure 4 Scoring diagram for Macroalgae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600450" cy="2876550"/>
                    </a:xfrm>
                    <a:prstGeom prst="rect">
                      <a:avLst/>
                    </a:prstGeom>
                    <a:noFill/>
                    <a:ln>
                      <a:noFill/>
                    </a:ln>
                  </pic:spPr>
                </pic:pic>
              </a:graphicData>
            </a:graphic>
          </wp:inline>
        </w:drawing>
      </w:r>
      <w:bookmarkStart w:id="92" w:name="_Toc514335649"/>
    </w:p>
    <w:p w14:paraId="7F9F3DA4" w14:textId="3D7E952B" w:rsidR="00BD29B3" w:rsidRPr="00B71279" w:rsidRDefault="00BD29B3" w:rsidP="00B71279">
      <w:pPr>
        <w:rPr>
          <w:rStyle w:val="IntenseReference"/>
          <w:rFonts w:ascii="Arial" w:hAnsi="Arial"/>
          <w:bCs w:val="0"/>
          <w:color w:val="4F81BD" w:themeColor="accent1"/>
          <w:sz w:val="22"/>
        </w:rPr>
      </w:pPr>
      <w:bookmarkStart w:id="93" w:name="_Ref514406113"/>
      <w:r w:rsidRPr="00B71279">
        <w:rPr>
          <w:rFonts w:ascii="Arial Narrow" w:hAnsi="Arial Narrow"/>
          <w:sz w:val="20"/>
        </w:rPr>
        <w:t xml:space="preserve">Figure </w:t>
      </w:r>
      <w:r w:rsidRPr="00B71279">
        <w:rPr>
          <w:rFonts w:ascii="Arial Narrow" w:hAnsi="Arial Narrow"/>
          <w:sz w:val="20"/>
        </w:rPr>
        <w:fldChar w:fldCharType="begin"/>
      </w:r>
      <w:r w:rsidRPr="00B71279">
        <w:rPr>
          <w:rFonts w:ascii="Arial Narrow" w:hAnsi="Arial Narrow"/>
          <w:sz w:val="20"/>
        </w:rPr>
        <w:instrText xml:space="preserve"> SEQ Figure \* ARABIC </w:instrText>
      </w:r>
      <w:r w:rsidRPr="00B71279">
        <w:rPr>
          <w:rFonts w:ascii="Arial Narrow" w:hAnsi="Arial Narrow"/>
          <w:sz w:val="20"/>
        </w:rPr>
        <w:fldChar w:fldCharType="separate"/>
      </w:r>
      <w:r w:rsidR="00A75175">
        <w:rPr>
          <w:rFonts w:ascii="Arial Narrow" w:hAnsi="Arial Narrow"/>
          <w:noProof/>
          <w:sz w:val="20"/>
        </w:rPr>
        <w:t>4</w:t>
      </w:r>
      <w:r w:rsidRPr="00B71279">
        <w:rPr>
          <w:rFonts w:ascii="Arial Narrow" w:hAnsi="Arial Narrow"/>
          <w:noProof/>
          <w:sz w:val="20"/>
        </w:rPr>
        <w:fldChar w:fldCharType="end"/>
      </w:r>
      <w:bookmarkEnd w:id="93"/>
      <w:r w:rsidRPr="00B71279">
        <w:rPr>
          <w:rFonts w:ascii="Arial Narrow" w:hAnsi="Arial Narrow"/>
          <w:sz w:val="20"/>
        </w:rPr>
        <w:t xml:space="preserve"> Scoring diagram for the Macroalgae metric.</w:t>
      </w:r>
      <w:r w:rsidRPr="00B71279">
        <w:rPr>
          <w:rStyle w:val="IntenseReference"/>
          <w:rFonts w:eastAsia="SimSun"/>
        </w:rPr>
        <w:t xml:space="preserve"> Upper</w:t>
      </w:r>
      <w:r w:rsidRPr="00E9697B">
        <w:rPr>
          <w:rStyle w:val="IntenseReference"/>
          <w:rFonts w:eastAsia="SimSun"/>
        </w:rPr>
        <w:t xml:space="preserve"> and lower threshold values are reef and depth specific. Numeric scores and associated condition classifications are presented</w:t>
      </w:r>
      <w:bookmarkEnd w:id="92"/>
    </w:p>
    <w:p w14:paraId="1B0CC301" w14:textId="5B7F3319" w:rsidR="00BD29B3" w:rsidRPr="006D5AC5" w:rsidRDefault="00BD29B3" w:rsidP="00BD29B3">
      <w:pPr>
        <w:pStyle w:val="Heading3"/>
      </w:pPr>
      <w:bookmarkStart w:id="94" w:name="_Toc514408394"/>
      <w:r w:rsidRPr="006D5AC5">
        <w:t>4.</w:t>
      </w:r>
      <w:r>
        <w:t>6</w:t>
      </w:r>
      <w:r w:rsidRPr="006D5AC5">
        <w:t>.3 Density of juvenile hard corals metric</w:t>
      </w:r>
      <w:bookmarkEnd w:id="94"/>
    </w:p>
    <w:p w14:paraId="53A1C2AC" w14:textId="77777777" w:rsidR="00BD29B3" w:rsidRPr="006D5AC5" w:rsidRDefault="00BD29B3" w:rsidP="00BD29B3">
      <w:r w:rsidRPr="006D5AC5">
        <w:t>For coral communities to recover rapidly from disturbance events requires adequate recruitment of new corals into the population. This metric scores the important recruitment process by targeting corals that have survived the early life stages. With the inclusion of LTMP data into the coral index, juvenile count data were subset to only include colonies up to 5 cm in diameter as this size class is common to both MMP and LTMP sampling. Counts of juvenile hard corals were converted to density per m</w:t>
      </w:r>
      <w:r w:rsidRPr="006D5AC5">
        <w:rPr>
          <w:vertAlign w:val="superscript"/>
        </w:rPr>
        <w:t>2</w:t>
      </w:r>
      <w:r w:rsidRPr="006D5AC5">
        <w:t xml:space="preserve"> of space available to settlement as;</w:t>
      </w:r>
    </w:p>
    <w:p w14:paraId="7FB61AFF" w14:textId="77777777" w:rsidR="00BD29B3" w:rsidRPr="006D5AC5" w:rsidRDefault="00A570BE" w:rsidP="00BD29B3">
      <w:pPr>
        <w:jc w:val="center"/>
      </w:pPr>
      <m:oMath>
        <m:sSub>
          <m:sSubPr>
            <m:ctrlPr>
              <w:rPr>
                <w:rFonts w:ascii="Cambria Math" w:hAnsi="Cambria Math"/>
                <w:i/>
              </w:rPr>
            </m:ctrlPr>
          </m:sSubPr>
          <m:e>
            <m:r>
              <w:rPr>
                <w:rFonts w:ascii="Cambria Math" w:hAnsi="Cambria Math"/>
              </w:rPr>
              <m:t>Juvenile density</m:t>
            </m:r>
          </m:e>
          <m:sub>
            <m:r>
              <w:rPr>
                <w:rFonts w:ascii="Cambria Math" w:hAnsi="Cambria Math"/>
              </w:rPr>
              <m:t>ij</m:t>
            </m:r>
          </m:sub>
        </m:sSub>
      </m:oMath>
      <w:r w:rsidR="00BD29B3" w:rsidRPr="006D5AC5">
        <w:t xml:space="preserve"> = </w:t>
      </w:r>
      <m:oMath>
        <m:sSub>
          <m:sSubPr>
            <m:ctrlPr>
              <w:rPr>
                <w:rFonts w:ascii="Cambria Math" w:hAnsi="Cambria Math"/>
                <w:i/>
              </w:rPr>
            </m:ctrlPr>
          </m:sSubPr>
          <m:e>
            <m:r>
              <w:rPr>
                <w:rFonts w:ascii="Cambria Math" w:hAnsi="Cambria Math"/>
              </w:rPr>
              <m:t>J</m:t>
            </m:r>
          </m:e>
          <m:sub>
            <m:r>
              <w:rPr>
                <w:rFonts w:ascii="Cambria Math" w:hAnsi="Cambria Math"/>
              </w:rPr>
              <m:t>ij</m:t>
            </m:r>
          </m:sub>
        </m:sSub>
      </m:oMath>
      <w:r w:rsidR="00BD29B3" w:rsidRPr="006D5AC5">
        <w:t xml:space="preserve"> / </w:t>
      </w:r>
      <m:oMath>
        <m:sSub>
          <m:sSubPr>
            <m:ctrlPr>
              <w:rPr>
                <w:rFonts w:ascii="Cambria Math" w:hAnsi="Cambria Math"/>
                <w:i/>
              </w:rPr>
            </m:ctrlPr>
          </m:sSubPr>
          <m:e>
            <m:r>
              <w:rPr>
                <w:rFonts w:ascii="Cambria Math" w:hAnsi="Cambria Math"/>
              </w:rPr>
              <m:t>AS</m:t>
            </m:r>
          </m:e>
          <m:sub>
            <m:r>
              <w:rPr>
                <w:rFonts w:ascii="Cambria Math" w:hAnsi="Cambria Math"/>
              </w:rPr>
              <m:t>ij</m:t>
            </m:r>
          </m:sub>
        </m:sSub>
      </m:oMath>
    </w:p>
    <w:p w14:paraId="083692AA" w14:textId="77777777" w:rsidR="00BD29B3" w:rsidRPr="006D5AC5" w:rsidRDefault="00BD29B3" w:rsidP="00BD29B3">
      <w:r w:rsidRPr="006D5AC5">
        <w:t xml:space="preserve">Where, </w:t>
      </w:r>
      <m:oMath>
        <m:r>
          <w:rPr>
            <w:rFonts w:ascii="Cambria Math" w:hAnsi="Cambria Math"/>
          </w:rPr>
          <m:t>J</m:t>
        </m:r>
      </m:oMath>
      <w:r w:rsidRPr="006D5AC5">
        <w:t xml:space="preserve">= count of juvenile colonies &lt; 5 cm in diameter, </w:t>
      </w:r>
      <m:oMath>
        <m:r>
          <w:rPr>
            <w:rFonts w:ascii="Cambria Math" w:hAnsi="Cambria Math"/>
          </w:rPr>
          <m:t>i</m:t>
        </m:r>
      </m:oMath>
      <w:r w:rsidRPr="006D5AC5">
        <w:t xml:space="preserve"> = reef, </w:t>
      </w:r>
      <m:oMath>
        <m:r>
          <w:rPr>
            <w:rFonts w:ascii="Cambria Math" w:hAnsi="Cambria Math"/>
          </w:rPr>
          <m:t>j</m:t>
        </m:r>
      </m:oMath>
      <w:r w:rsidRPr="006D5AC5">
        <w:t xml:space="preserve"> = time and </w:t>
      </w:r>
      <m:oMath>
        <m:r>
          <w:rPr>
            <w:rFonts w:ascii="Cambria Math" w:hAnsi="Cambria Math"/>
          </w:rPr>
          <m:t>AS</m:t>
        </m:r>
      </m:oMath>
      <w:r w:rsidRPr="006D5AC5">
        <w:t xml:space="preserve"> = area of transect occupied by algae as estimated from the co-located photo point intercept transects.</w:t>
      </w:r>
    </w:p>
    <w:p w14:paraId="30A53822" w14:textId="6951FAAA" w:rsidR="00BD29B3" w:rsidRPr="006D5AC5" w:rsidRDefault="00BD29B3" w:rsidP="00BD29B3">
      <w:pPr>
        <w:rPr>
          <w:noProof/>
          <w:lang w:eastAsia="en-AU"/>
        </w:rPr>
      </w:pPr>
      <w:r w:rsidRPr="006D5AC5">
        <w:t xml:space="preserve">Selection of thresholds for the scoring of this metric was based on the analysis of recovery outcomes for MMP and LTMP reefs up to 2014 (Thompson </w:t>
      </w:r>
      <w:r w:rsidRPr="006D5AC5">
        <w:rPr>
          <w:i/>
        </w:rPr>
        <w:t>et al</w:t>
      </w:r>
      <w:r w:rsidRPr="006D5AC5">
        <w:t>. 2016). From these time series a binomial model was fit to juvenile densities observed at times when coral cover was below 10% and categorised on the basis of recovery rate as being either below or above the predicted lower estimate of hard coral cover increase as estimated by the Cover Change indicator described below. This analysis identified a threshold of 4.6 juveniles per m</w:t>
      </w:r>
      <w:r w:rsidRPr="006D5AC5">
        <w:rPr>
          <w:vertAlign w:val="superscript"/>
        </w:rPr>
        <w:t>-2</w:t>
      </w:r>
      <w:r w:rsidRPr="006D5AC5">
        <w:t xml:space="preserve"> beyond which the probability that coral cover would subsequently increase at predicted rates outweighed the probability of lower than predicted rates of recovery. Adding some weight to this result is that it was broadly consistent with the density of 6.3 juveniles per m</w:t>
      </w:r>
      <w:r w:rsidRPr="006D5AC5">
        <w:rPr>
          <w:vertAlign w:val="superscript"/>
        </w:rPr>
        <w:t xml:space="preserve">-2 </w:t>
      </w:r>
      <w:r w:rsidRPr="006D5AC5">
        <w:t xml:space="preserve">in the wider size range &lt;10 cm, necessary for recovery in the Seychelles (Graham </w:t>
      </w:r>
      <w:r w:rsidRPr="006D5AC5">
        <w:rPr>
          <w:i/>
        </w:rPr>
        <w:t>et al.</w:t>
      </w:r>
      <w:r w:rsidRPr="006D5AC5">
        <w:t xml:space="preserve"> 2015). As the upper density of juvenile colonies is effectively unbounded, it was desirable to set an upper threshold for scoring purposes. The density at which the probability was &gt; 80% for coral cover to recover at predicted rates was 13 juveniles per m</w:t>
      </w:r>
      <w:r w:rsidRPr="006D5AC5">
        <w:rPr>
          <w:vertAlign w:val="superscript"/>
        </w:rPr>
        <w:t>-2</w:t>
      </w:r>
      <w:r w:rsidRPr="006D5AC5">
        <w:t xml:space="preserve"> and this density was chosen as the upper threshold. Based on this analysis, this metric was scored as follows; juvenile density was scaled linearly from 0 at a density of 0 through to 0.4 at a density of 4.6 colonies m</w:t>
      </w:r>
      <w:r w:rsidRPr="006D5AC5">
        <w:rPr>
          <w:vertAlign w:val="superscript"/>
        </w:rPr>
        <w:t>-2</w:t>
      </w:r>
      <w:r w:rsidRPr="006D5AC5">
        <w:t xml:space="preserve"> then linearly th</w:t>
      </w:r>
      <w:r>
        <w:t>r</w:t>
      </w:r>
      <w:r w:rsidRPr="006D5AC5">
        <w:t>ough to a score of 1 when the density was 13 colonies per m</w:t>
      </w:r>
      <w:r w:rsidRPr="006D5AC5">
        <w:rPr>
          <w:vertAlign w:val="superscript"/>
        </w:rPr>
        <w:t>-2</w:t>
      </w:r>
      <w:r w:rsidRPr="006D5AC5">
        <w:t xml:space="preserve"> or above (</w:t>
      </w:r>
      <w:r w:rsidR="001D54B5">
        <w:fldChar w:fldCharType="begin"/>
      </w:r>
      <w:r w:rsidR="001D54B5">
        <w:instrText xml:space="preserve"> REF _Ref514406158 \h </w:instrText>
      </w:r>
      <w:r w:rsidR="001D54B5">
        <w:fldChar w:fldCharType="separate"/>
      </w:r>
      <w:r w:rsidR="00A75175" w:rsidRPr="00F352E1">
        <w:t xml:space="preserve">Figure </w:t>
      </w:r>
      <w:r w:rsidR="00A75175">
        <w:rPr>
          <w:noProof/>
        </w:rPr>
        <w:t>5</w:t>
      </w:r>
      <w:r w:rsidR="001D54B5">
        <w:fldChar w:fldCharType="end"/>
      </w:r>
      <w:r w:rsidRPr="006D5AC5">
        <w:t xml:space="preserve">). </w:t>
      </w:r>
    </w:p>
    <w:p w14:paraId="4D6748EB" w14:textId="77777777" w:rsidR="00BD29B3" w:rsidRPr="00F352E1" w:rsidRDefault="00BD29B3" w:rsidP="00BD29B3">
      <w:pPr>
        <w:spacing w:after="0"/>
        <w:jc w:val="left"/>
        <w:rPr>
          <w:color w:val="4F81BD" w:themeColor="accent1"/>
        </w:rPr>
      </w:pPr>
      <w:r w:rsidRPr="00F352E1">
        <w:rPr>
          <w:noProof/>
          <w:color w:val="4F81BD" w:themeColor="accent1"/>
          <w:lang w:val="en-AU" w:eastAsia="en-AU"/>
        </w:rPr>
        <w:drawing>
          <wp:inline distT="0" distB="0" distL="0" distR="0" wp14:anchorId="549F4634" wp14:editId="7D552130">
            <wp:extent cx="3596640" cy="2880360"/>
            <wp:effectExtent l="0" t="0" r="3810" b="0"/>
            <wp:docPr id="28" name="Picture 28" descr="Diagram that describes the scoring and categorisation of the Juvenile Metric" title="Figure 5 Scoring diagram for Juvenile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596640" cy="2880360"/>
                    </a:xfrm>
                    <a:prstGeom prst="rect">
                      <a:avLst/>
                    </a:prstGeom>
                    <a:noFill/>
                    <a:ln>
                      <a:noFill/>
                    </a:ln>
                  </pic:spPr>
                </pic:pic>
              </a:graphicData>
            </a:graphic>
          </wp:inline>
        </w:drawing>
      </w:r>
    </w:p>
    <w:p w14:paraId="0E652DAD" w14:textId="77777777" w:rsidR="00BD29B3" w:rsidRDefault="00BD29B3" w:rsidP="00606A50">
      <w:pPr>
        <w:pStyle w:val="Caption"/>
        <w:rPr>
          <w:bCs/>
        </w:rPr>
      </w:pPr>
      <w:bookmarkStart w:id="95" w:name="_Ref514406158"/>
      <w:bookmarkStart w:id="96" w:name="_Toc514335650"/>
      <w:r w:rsidRPr="00F352E1">
        <w:t xml:space="preserve">Figure </w:t>
      </w:r>
      <w:r>
        <w:fldChar w:fldCharType="begin"/>
      </w:r>
      <w:r>
        <w:instrText xml:space="preserve"> SEQ Figure \* ARABIC </w:instrText>
      </w:r>
      <w:r>
        <w:fldChar w:fldCharType="separate"/>
      </w:r>
      <w:r w:rsidR="00A75175">
        <w:rPr>
          <w:noProof/>
        </w:rPr>
        <w:t>5</w:t>
      </w:r>
      <w:r>
        <w:rPr>
          <w:noProof/>
        </w:rPr>
        <w:fldChar w:fldCharType="end"/>
      </w:r>
      <w:bookmarkEnd w:id="95"/>
      <w:r w:rsidRPr="00F352E1">
        <w:t xml:space="preserve"> Scoring diagram for the Juvenile metric.</w:t>
      </w:r>
      <w:r w:rsidRPr="00F352E1">
        <w:rPr>
          <w:bCs/>
        </w:rPr>
        <w:t xml:space="preserve"> Numeric scores and associated condition classifications are presented.</w:t>
      </w:r>
      <w:bookmarkEnd w:id="96"/>
    </w:p>
    <w:p w14:paraId="4DE3F529" w14:textId="3D40FB3D" w:rsidR="00477E7A" w:rsidRDefault="00477E7A">
      <w:pPr>
        <w:jc w:val="left"/>
      </w:pPr>
      <w:r>
        <w:br w:type="page"/>
      </w:r>
    </w:p>
    <w:p w14:paraId="5A95F234" w14:textId="39D82072" w:rsidR="00BD29B3" w:rsidRPr="006D5AC5" w:rsidRDefault="00BD29B3" w:rsidP="00BD29B3">
      <w:pPr>
        <w:pStyle w:val="Heading3"/>
      </w:pPr>
      <w:bookmarkStart w:id="97" w:name="_Toc514408395"/>
      <w:r w:rsidRPr="006D5AC5">
        <w:t>4.</w:t>
      </w:r>
      <w:r>
        <w:t>6</w:t>
      </w:r>
      <w:r w:rsidRPr="006D5AC5">
        <w:t>.4 Cover Change metric</w:t>
      </w:r>
      <w:bookmarkEnd w:id="97"/>
    </w:p>
    <w:p w14:paraId="4579A31C" w14:textId="77777777" w:rsidR="00BD29B3" w:rsidRPr="006D5AC5" w:rsidRDefault="00BD29B3" w:rsidP="00BD29B3">
      <w:pPr>
        <w:autoSpaceDE w:val="0"/>
        <w:autoSpaceDN w:val="0"/>
        <w:adjustRightInd w:val="0"/>
      </w:pPr>
      <w:r w:rsidRPr="006D5AC5">
        <w:t xml:space="preserve">A second avenue for recovery of coral communities is the growth of corals during periods free from acute disturbance. Chronic pressures associated with water quality may suppress the rate that coral cover increases and indicate a lack of resilience. The change in coral cover indicator score is derived from the comparison of the observed change in coral cover between two visits and the change in cover predicted by Gompertz growth equations parameterised from time-series of coral cover available on inshore reefs up until 2007. Gompertz equations were parameterised separately for the fast growing corals of the family Acroporidae and the slower growing combined grouping of all other hard corals at each of 2 m and 5 m depths. Years in which disturbance events occurred at particular reefs preclude the estimation of this indicator as there is no expectation for increase in such situations. </w:t>
      </w:r>
      <w:r w:rsidRPr="006D5AC5">
        <w:rPr>
          <w:rFonts w:cs="LMSansQuot8-Regular"/>
        </w:rPr>
        <w:t xml:space="preserve">A Bayesian framework was used to permit propagation of uncertainty through the predictions of expected coral cover increase from the two separately predicted coral types. </w:t>
      </w:r>
    </w:p>
    <w:p w14:paraId="66734A6D" w14:textId="77777777" w:rsidR="00BD29B3" w:rsidRPr="006D5AC5" w:rsidRDefault="00BD29B3" w:rsidP="00BD29B3">
      <w:pPr>
        <w:autoSpaceDE w:val="0"/>
        <w:autoSpaceDN w:val="0"/>
        <w:adjustRightInd w:val="0"/>
      </w:pPr>
    </w:p>
    <w:p w14:paraId="6FFB2EF5" w14:textId="77777777" w:rsidR="00BD29B3" w:rsidRPr="006D5AC5" w:rsidRDefault="00BD29B3" w:rsidP="00BD29B3">
      <w:pPr>
        <w:autoSpaceDE w:val="0"/>
        <w:autoSpaceDN w:val="0"/>
        <w:adjustRightInd w:val="0"/>
        <w:rPr>
          <w:rFonts w:eastAsiaTheme="minorEastAsia"/>
        </w:rPr>
      </w:pPr>
      <w:r w:rsidRPr="006D5AC5">
        <w:tab/>
      </w:r>
      <m:oMath>
        <m:func>
          <m:funcPr>
            <m:ctrlPr>
              <w:rPr>
                <w:rFonts w:ascii="Cambria Math" w:hAnsi="Cambria Math"/>
                <w:i/>
              </w:rPr>
            </m:ctrlPr>
          </m:funcPr>
          <m:fName>
            <m:r>
              <m:rPr>
                <m:sty m:val="p"/>
              </m:rPr>
              <w:rPr>
                <w:rFonts w:ascii="Cambria Math" w:hAnsi="Cambria Math"/>
              </w:rPr>
              <m:t>ln</m:t>
            </m:r>
          </m:fName>
          <m:e>
            <m:d>
              <m:dPr>
                <m:ctrlPr>
                  <w:rPr>
                    <w:rFonts w:ascii="Cambria Math" w:hAnsi="Cambria Math"/>
                    <w:i/>
                  </w:rPr>
                </m:ctrlPr>
              </m:dPr>
              <m:e>
                <m:sSub>
                  <m:sSubPr>
                    <m:ctrlPr>
                      <w:rPr>
                        <w:rFonts w:ascii="Cambria Math" w:hAnsi="Cambria Math"/>
                        <w:i/>
                      </w:rPr>
                    </m:ctrlPr>
                  </m:sSubPr>
                  <m:e>
                    <m:r>
                      <w:rPr>
                        <w:rFonts w:ascii="Cambria Math" w:hAnsi="Cambria Math"/>
                      </w:rPr>
                      <m:t>Acr</m:t>
                    </m:r>
                  </m:e>
                  <m:sub>
                    <m:r>
                      <w:rPr>
                        <w:rFonts w:ascii="Cambria Math" w:hAnsi="Cambria Math"/>
                      </w:rPr>
                      <m:t>it</m:t>
                    </m:r>
                  </m:sub>
                </m:sSub>
              </m:e>
            </m:d>
          </m:e>
        </m:func>
        <m:r>
          <m:rPr>
            <m:scr m:val="script"/>
          </m:rPr>
          <w:rPr>
            <w:rFonts w:ascii="Cambria Math" w:hAnsi="Cambria Math"/>
          </w:rPr>
          <m:t xml:space="preserve"> ~ N(</m:t>
        </m:r>
        <m:sSub>
          <m:sSubPr>
            <m:ctrlPr>
              <w:rPr>
                <w:rFonts w:ascii="Cambria Math" w:hAnsi="Cambria Math"/>
                <w:i/>
              </w:rPr>
            </m:ctrlPr>
          </m:sSubPr>
          <m:e>
            <m:r>
              <w:rPr>
                <w:rFonts w:ascii="Cambria Math" w:hAnsi="Cambria Math"/>
              </w:rPr>
              <m:t>μ</m:t>
            </m:r>
          </m:e>
          <m:sub>
            <m:r>
              <w:rPr>
                <w:rFonts w:ascii="Cambria Math" w:hAnsi="Cambria Math"/>
              </w:rPr>
              <m:t>it</m:t>
            </m:r>
          </m:sub>
        </m:sSub>
        <m:r>
          <w:rPr>
            <w:rFonts w:ascii="Cambria Math" w:hAnsi="Cambria Math"/>
          </w:rPr>
          <m:t>,</m:t>
        </m:r>
        <m:sSup>
          <m:sSupPr>
            <m:ctrlPr>
              <w:rPr>
                <w:rFonts w:ascii="Cambria Math" w:hAnsi="Cambria Math"/>
                <w:i/>
              </w:rPr>
            </m:ctrlPr>
          </m:sSupPr>
          <m:e>
            <m:r>
              <w:rPr>
                <w:rFonts w:ascii="Cambria Math" w:hAnsi="Cambria Math"/>
              </w:rPr>
              <m:t>σ</m:t>
            </m:r>
          </m:e>
          <m:sup>
            <m:r>
              <w:rPr>
                <w:rFonts w:ascii="Cambria Math" w:hAnsi="Cambria Math"/>
              </w:rPr>
              <m:t>2</m:t>
            </m:r>
          </m:sup>
        </m:sSup>
        <m:r>
          <w:rPr>
            <w:rFonts w:ascii="Cambria Math" w:hAnsi="Cambria Math"/>
          </w:rPr>
          <m:t>)</m:t>
        </m:r>
      </m:oMath>
    </w:p>
    <w:p w14:paraId="12455468" w14:textId="77777777" w:rsidR="00BD29B3" w:rsidRPr="006D5AC5" w:rsidRDefault="00BD29B3" w:rsidP="00BD29B3">
      <w:pPr>
        <w:autoSpaceDE w:val="0"/>
        <w:autoSpaceDN w:val="0"/>
        <w:adjustRightInd w:val="0"/>
        <w:rPr>
          <w:rFonts w:eastAsiaTheme="minorEastAsia"/>
        </w:rPr>
      </w:pPr>
      <w:r>
        <w:rPr>
          <w:rFonts w:eastAsiaTheme="minorEastAsia"/>
        </w:rPr>
        <w:tab/>
      </w:r>
      <m:oMath>
        <m:sSub>
          <m:sSubPr>
            <m:ctrlPr>
              <w:rPr>
                <w:rFonts w:ascii="Cambria Math" w:eastAsiaTheme="minorEastAsia" w:hAnsi="Cambria Math"/>
                <w:i/>
              </w:rPr>
            </m:ctrlPr>
          </m:sSubPr>
          <m:e>
            <m:r>
              <w:rPr>
                <w:rFonts w:ascii="Cambria Math" w:eastAsiaTheme="minorEastAsia" w:hAnsi="Cambria Math"/>
              </w:rPr>
              <m:t>μ</m:t>
            </m:r>
          </m:e>
          <m:sub>
            <m:r>
              <w:rPr>
                <w:rFonts w:ascii="Cambria Math" w:eastAsiaTheme="minorEastAsia" w:hAnsi="Cambria Math"/>
              </w:rPr>
              <m:t>it</m:t>
            </m:r>
          </m:sub>
        </m:sSub>
        <m:r>
          <w:rPr>
            <w:rFonts w:ascii="Cambria Math" w:eastAsiaTheme="minorEastAsia" w:hAnsi="Cambria Math"/>
          </w:rPr>
          <m:t>=v</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m:t>
            </m:r>
          </m:sub>
        </m:sSub>
        <m:r>
          <w:rPr>
            <w:rFonts w:ascii="Cambria Math" w:eastAsiaTheme="minorEastAsia" w:hAnsi="Cambria Math"/>
          </w:rPr>
          <m:t>+</m:t>
        </m:r>
        <m:func>
          <m:funcPr>
            <m:ctrlPr>
              <w:rPr>
                <w:rFonts w:ascii="Cambria Math" w:eastAsiaTheme="minorEastAsia" w:hAnsi="Cambria Math"/>
                <w:i/>
              </w:rPr>
            </m:ctrlPr>
          </m:funcPr>
          <m:fName>
            <m:r>
              <m:rPr>
                <m:sty m:val="p"/>
              </m:rPr>
              <w:rPr>
                <w:rFonts w:ascii="Cambria Math" w:eastAsiaTheme="minorEastAsia" w:hAnsi="Cambria Math"/>
              </w:rPr>
              <m:t>ln</m:t>
            </m:r>
          </m:fName>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it-1</m:t>
                    </m:r>
                  </m:sub>
                </m:sSub>
              </m:e>
            </m:d>
          </m:e>
        </m:func>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v</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m:t>
                    </m:r>
                  </m:sub>
                </m:sSub>
              </m:num>
              <m:den>
                <m:func>
                  <m:funcPr>
                    <m:ctrlPr>
                      <w:rPr>
                        <w:rFonts w:ascii="Cambria Math" w:eastAsiaTheme="minorEastAsia" w:hAnsi="Cambria Math"/>
                      </w:rPr>
                    </m:ctrlPr>
                  </m:funcPr>
                  <m:fName>
                    <m:r>
                      <m:rPr>
                        <m:sty m:val="p"/>
                      </m:rPr>
                      <w:rPr>
                        <w:rFonts w:ascii="Cambria Math" w:eastAsiaTheme="minorEastAsia" w:hAnsi="Cambria Math"/>
                      </w:rPr>
                      <m:t>ln</m:t>
                    </m:r>
                    <m:ctrlPr>
                      <w:rPr>
                        <w:rFonts w:ascii="Cambria Math" w:eastAsiaTheme="minorEastAsia" w:hAnsi="Cambria Math"/>
                        <w:i/>
                      </w:rPr>
                    </m:ctrlPr>
                  </m:fName>
                  <m:e>
                    <m:d>
                      <m:dPr>
                        <m:ctrlPr>
                          <w:rPr>
                            <w:rFonts w:ascii="Cambria Math" w:eastAsiaTheme="minorEastAsia" w:hAnsi="Cambria Math"/>
                            <w:i/>
                          </w:rPr>
                        </m:ctrlPr>
                      </m:dPr>
                      <m:e>
                        <m:r>
                          <w:rPr>
                            <w:rFonts w:ascii="Cambria Math" w:eastAsiaTheme="minorEastAsia" w:hAnsi="Cambria Math"/>
                          </w:rPr>
                          <m:t>est</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i</m:t>
                            </m:r>
                          </m:sub>
                        </m:sSub>
                      </m:e>
                    </m:d>
                  </m:e>
                </m:func>
              </m:den>
            </m:f>
          </m:e>
        </m:d>
        <m:r>
          <w:rPr>
            <w:rFonts w:ascii="Cambria Math" w:eastAsiaTheme="minorEastAsia" w:hAnsi="Cambria Math"/>
          </w:rPr>
          <m:t>*</m:t>
        </m:r>
        <m:r>
          <m:rPr>
            <m:sty m:val="p"/>
          </m:rPr>
          <w:rPr>
            <w:rFonts w:ascii="Cambria Math" w:eastAsiaTheme="minorEastAsia" w:hAnsi="Cambria Math"/>
          </w:rPr>
          <m:t>ln⁡</m:t>
        </m:r>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it-1</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OthC</m:t>
            </m:r>
          </m:e>
          <m:sub>
            <m:r>
              <w:rPr>
                <w:rFonts w:ascii="Cambria Math" w:eastAsiaTheme="minorEastAsia" w:hAnsi="Cambria Math"/>
              </w:rPr>
              <m:t>it-1</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Sc</m:t>
            </m:r>
          </m:e>
          <m:sub>
            <m:r>
              <w:rPr>
                <w:rFonts w:ascii="Cambria Math" w:eastAsiaTheme="minorEastAsia" w:hAnsi="Cambria Math"/>
              </w:rPr>
              <m:t>it-1</m:t>
            </m:r>
          </m:sub>
        </m:sSub>
        <m:r>
          <w:rPr>
            <w:rFonts w:ascii="Cambria Math" w:eastAsiaTheme="minorEastAsia" w:hAnsi="Cambria Math"/>
          </w:rPr>
          <m:t>)</m:t>
        </m:r>
      </m:oMath>
    </w:p>
    <w:p w14:paraId="08C3E6BC" w14:textId="77777777" w:rsidR="00BD29B3" w:rsidRPr="006D5AC5" w:rsidRDefault="00BD29B3" w:rsidP="00BD29B3">
      <w:pPr>
        <w:autoSpaceDE w:val="0"/>
        <w:autoSpaceDN w:val="0"/>
        <w:adjustRightInd w:val="0"/>
        <w:rPr>
          <w:rFonts w:eastAsiaTheme="minorEastAsia"/>
        </w:rPr>
      </w:pPr>
      <w:r>
        <w:rPr>
          <w:rFonts w:eastAsiaTheme="minorEastAsia"/>
        </w:rPr>
        <w:tab/>
      </w:r>
      <m:oMath>
        <m:r>
          <w:rPr>
            <w:rFonts w:ascii="Cambria Math" w:eastAsiaTheme="minorEastAsia" w:hAnsi="Cambria Math"/>
          </w:rPr>
          <m:t>v</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m:t>
            </m:r>
          </m:sub>
        </m:sSub>
        <m:r>
          <w:rPr>
            <w:rFonts w:ascii="Cambria Math" w:eastAsiaTheme="minorEastAsia" w:hAnsi="Cambria Math"/>
          </w:rPr>
          <m:t xml:space="preserve">= α+ </m:t>
        </m:r>
        <m:nary>
          <m:naryPr>
            <m:chr m:val="∑"/>
            <m:limLoc m:val="undOvr"/>
            <m:ctrlPr>
              <w:rPr>
                <w:rFonts w:ascii="Cambria Math" w:eastAsiaTheme="minorEastAsia" w:hAnsi="Cambria Math"/>
                <w:i/>
              </w:rPr>
            </m:ctrlPr>
          </m:naryPr>
          <m:sub>
            <m:r>
              <w:rPr>
                <w:rFonts w:ascii="Cambria Math" w:eastAsiaTheme="minorEastAsia" w:hAnsi="Cambria Math"/>
              </w:rPr>
              <m:t>j=0</m:t>
            </m:r>
          </m:sub>
          <m:sup>
            <m:r>
              <w:rPr>
                <w:rFonts w:ascii="Cambria Math" w:eastAsiaTheme="minorEastAsia" w:hAnsi="Cambria Math"/>
              </w:rPr>
              <m:t>J</m:t>
            </m:r>
          </m:sup>
          <m:e>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j</m:t>
                </m:r>
              </m:sub>
            </m:sSub>
            <m:sSub>
              <m:sSubPr>
                <m:ctrlPr>
                  <w:rPr>
                    <w:rFonts w:ascii="Cambria Math" w:eastAsiaTheme="minorEastAsia" w:hAnsi="Cambria Math"/>
                    <w:i/>
                  </w:rPr>
                </m:ctrlPr>
              </m:sSubPr>
              <m:e>
                <m:r>
                  <w:rPr>
                    <w:rFonts w:ascii="Cambria Math" w:eastAsiaTheme="minorEastAsia" w:hAnsi="Cambria Math"/>
                  </w:rPr>
                  <m:t>Region</m:t>
                </m:r>
              </m:e>
              <m:sub>
                <m:r>
                  <w:rPr>
                    <w:rFonts w:ascii="Cambria Math" w:eastAsiaTheme="minorEastAsia" w:hAnsi="Cambria Math"/>
                  </w:rPr>
                  <m:t>i</m:t>
                </m:r>
              </m:sub>
            </m:sSub>
          </m:e>
        </m:nary>
        <m:nary>
          <m:naryPr>
            <m:chr m:val="∑"/>
            <m:limLoc m:val="undOvr"/>
            <m:ctrlPr>
              <w:rPr>
                <w:rFonts w:ascii="Cambria Math" w:eastAsiaTheme="minorEastAsia" w:hAnsi="Cambria Math"/>
                <w:i/>
              </w:rPr>
            </m:ctrlPr>
          </m:naryPr>
          <m:sub>
            <m:r>
              <w:rPr>
                <w:rFonts w:ascii="Cambria Math" w:eastAsiaTheme="minorEastAsia" w:hAnsi="Cambria Math"/>
              </w:rPr>
              <m:t>k=0</m:t>
            </m:r>
          </m:sub>
          <m:sup>
            <m:r>
              <w:rPr>
                <w:rFonts w:ascii="Cambria Math" w:eastAsiaTheme="minorEastAsia" w:hAnsi="Cambria Math"/>
              </w:rPr>
              <m:t>K</m:t>
            </m:r>
          </m:sup>
          <m:e>
            <m:sSub>
              <m:sSubPr>
                <m:ctrlPr>
                  <w:rPr>
                    <w:rFonts w:ascii="Cambria Math" w:eastAsiaTheme="minorEastAsia" w:hAnsi="Cambria Math"/>
                    <w:i/>
                  </w:rPr>
                </m:ctrlPr>
              </m:sSubPr>
              <m:e>
                <m:r>
                  <w:rPr>
                    <w:rFonts w:ascii="Cambria Math" w:eastAsiaTheme="minorEastAsia" w:hAnsi="Cambria Math"/>
                  </w:rPr>
                  <m:t>γ</m:t>
                </m:r>
              </m:e>
              <m:sub>
                <m:r>
                  <w:rPr>
                    <w:rFonts w:ascii="Cambria Math" w:eastAsiaTheme="minorEastAsia" w:hAnsi="Cambria Math"/>
                  </w:rPr>
                  <m:t>k</m:t>
                </m:r>
              </m:sub>
            </m:sSub>
            <m:sSub>
              <m:sSubPr>
                <m:ctrlPr>
                  <w:rPr>
                    <w:rFonts w:ascii="Cambria Math" w:eastAsiaTheme="minorEastAsia" w:hAnsi="Cambria Math"/>
                    <w:i/>
                  </w:rPr>
                </m:ctrlPr>
              </m:sSubPr>
              <m:e>
                <m:r>
                  <w:rPr>
                    <w:rFonts w:ascii="Cambria Math" w:eastAsiaTheme="minorEastAsia" w:hAnsi="Cambria Math"/>
                  </w:rPr>
                  <m:t>Reef</m:t>
                </m:r>
              </m:e>
              <m:sub>
                <m:r>
                  <w:rPr>
                    <w:rFonts w:ascii="Cambria Math" w:eastAsiaTheme="minorEastAsia" w:hAnsi="Cambria Math"/>
                  </w:rPr>
                  <m:t>i</m:t>
                </m:r>
              </m:sub>
            </m:sSub>
          </m:e>
        </m:nary>
      </m:oMath>
    </w:p>
    <w:p w14:paraId="5E7782AD" w14:textId="77777777" w:rsidR="00BD29B3" w:rsidRPr="006D5AC5" w:rsidRDefault="00BD29B3" w:rsidP="00BD29B3">
      <w:pPr>
        <w:autoSpaceDE w:val="0"/>
        <w:autoSpaceDN w:val="0"/>
        <w:adjustRightInd w:val="0"/>
        <w:rPr>
          <w:rFonts w:eastAsiaTheme="minorEastAsia"/>
        </w:rPr>
      </w:pPr>
      <w:r>
        <w:rPr>
          <w:rFonts w:eastAsiaTheme="minorEastAsia"/>
        </w:rPr>
        <w:tab/>
      </w:r>
      <m:oMath>
        <m:r>
          <w:rPr>
            <w:rFonts w:ascii="Cambria Math" w:eastAsiaTheme="minorEastAsia" w:hAnsi="Cambria Math"/>
          </w:rPr>
          <m:t xml:space="preserve">α ~ </m:t>
        </m:r>
        <m:r>
          <m:rPr>
            <m:scr m:val="script"/>
          </m:rPr>
          <w:rPr>
            <w:rFonts w:ascii="Cambria Math" w:eastAsiaTheme="minorEastAsia" w:hAnsi="Cambria Math"/>
          </w:rPr>
          <m:t>N</m:t>
        </m:r>
        <m:r>
          <w:rPr>
            <w:rFonts w:ascii="Cambria Math" w:eastAsiaTheme="minorEastAsia" w:hAnsi="Cambria Math"/>
          </w:rPr>
          <m:t>(0,</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6</m:t>
            </m:r>
          </m:sup>
        </m:sSup>
        <m:r>
          <w:rPr>
            <w:rFonts w:ascii="Cambria Math" w:eastAsiaTheme="minorEastAsia" w:hAnsi="Cambria Math"/>
          </w:rPr>
          <m:t>)</m:t>
        </m:r>
      </m:oMath>
    </w:p>
    <w:p w14:paraId="29DD1285" w14:textId="77777777" w:rsidR="00BD29B3" w:rsidRPr="006D5AC5" w:rsidRDefault="00BD29B3" w:rsidP="00BD29B3">
      <w:pPr>
        <w:autoSpaceDE w:val="0"/>
        <w:autoSpaceDN w:val="0"/>
        <w:adjustRightInd w:val="0"/>
        <w:rPr>
          <w:rFonts w:eastAsiaTheme="minorEastAsia"/>
        </w:rPr>
      </w:pPr>
      <w:r>
        <w:rPr>
          <w:rFonts w:eastAsiaTheme="minorEastAsia"/>
        </w:rPr>
        <w:tab/>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j</m:t>
            </m:r>
          </m:sub>
        </m:sSub>
        <m:r>
          <m:rPr>
            <m:scr m:val="script"/>
          </m:rPr>
          <w:rPr>
            <w:rFonts w:ascii="Cambria Math" w:eastAsiaTheme="minorEastAsia" w:hAnsi="Cambria Math"/>
          </w:rPr>
          <m:t xml:space="preserve"> ~ N</m:t>
        </m:r>
        <m:r>
          <w:rPr>
            <w:rFonts w:ascii="Cambria Math" w:eastAsiaTheme="minorEastAsia" w:hAnsi="Cambria Math"/>
          </w:rPr>
          <m:t xml:space="preserve">(0, </m:t>
        </m:r>
        <m:sSubSup>
          <m:sSubSupPr>
            <m:ctrlPr>
              <w:rPr>
                <w:rFonts w:ascii="Cambria Math" w:eastAsiaTheme="minorEastAsia" w:hAnsi="Cambria Math"/>
                <w:i/>
              </w:rPr>
            </m:ctrlPr>
          </m:sSubSupPr>
          <m:e>
            <m:r>
              <w:rPr>
                <w:rFonts w:ascii="Cambria Math" w:eastAsiaTheme="minorEastAsia" w:hAnsi="Cambria Math"/>
              </w:rPr>
              <m:t>σ</m:t>
            </m:r>
          </m:e>
          <m:sub>
            <m:r>
              <w:rPr>
                <w:rFonts w:ascii="Cambria Math" w:eastAsiaTheme="minorEastAsia" w:hAnsi="Cambria Math"/>
              </w:rPr>
              <m:t>Region</m:t>
            </m:r>
          </m:sub>
          <m:sup>
            <m:r>
              <w:rPr>
                <w:rFonts w:ascii="Cambria Math" w:eastAsiaTheme="minorEastAsia" w:hAnsi="Cambria Math"/>
              </w:rPr>
              <m:t>2</m:t>
            </m:r>
          </m:sup>
        </m:sSubSup>
        <m:r>
          <w:rPr>
            <w:rFonts w:ascii="Cambria Math" w:eastAsiaTheme="minorEastAsia" w:hAnsi="Cambria Math"/>
          </w:rPr>
          <m:t>)</m:t>
        </m:r>
      </m:oMath>
    </w:p>
    <w:p w14:paraId="211C52D5" w14:textId="77777777" w:rsidR="00BD29B3" w:rsidRDefault="00BD29B3" w:rsidP="00BD29B3">
      <w:pPr>
        <w:autoSpaceDE w:val="0"/>
        <w:autoSpaceDN w:val="0"/>
        <w:adjustRightInd w:val="0"/>
        <w:rPr>
          <w:rFonts w:eastAsiaTheme="minorEastAsia"/>
        </w:rPr>
      </w:pPr>
      <w:r>
        <w:rPr>
          <w:rFonts w:eastAsiaTheme="minorEastAsia"/>
        </w:rPr>
        <w:tab/>
      </w:r>
      <m:oMath>
        <m:sSub>
          <m:sSubPr>
            <m:ctrlPr>
              <w:rPr>
                <w:rFonts w:ascii="Cambria Math" w:eastAsiaTheme="minorEastAsia" w:hAnsi="Cambria Math"/>
                <w:i/>
              </w:rPr>
            </m:ctrlPr>
          </m:sSubPr>
          <m:e>
            <m:r>
              <w:rPr>
                <w:rFonts w:ascii="Cambria Math" w:eastAsiaTheme="minorEastAsia" w:hAnsi="Cambria Math"/>
              </w:rPr>
              <m:t>γ</m:t>
            </m:r>
          </m:e>
          <m:sub>
            <m:r>
              <w:rPr>
                <w:rFonts w:ascii="Cambria Math" w:eastAsiaTheme="minorEastAsia" w:hAnsi="Cambria Math"/>
              </w:rPr>
              <m:t>k</m:t>
            </m:r>
          </m:sub>
        </m:sSub>
        <m:r>
          <m:rPr>
            <m:scr m:val="script"/>
          </m:rPr>
          <w:rPr>
            <w:rFonts w:ascii="Cambria Math" w:eastAsiaTheme="minorEastAsia" w:hAnsi="Cambria Math"/>
          </w:rPr>
          <m:t xml:space="preserve"> ~ N</m:t>
        </m:r>
        <m:r>
          <w:rPr>
            <w:rFonts w:ascii="Cambria Math" w:eastAsiaTheme="minorEastAsia" w:hAnsi="Cambria Math"/>
          </w:rPr>
          <m:t xml:space="preserve">(0, </m:t>
        </m:r>
        <m:sSubSup>
          <m:sSubSupPr>
            <m:ctrlPr>
              <w:rPr>
                <w:rFonts w:ascii="Cambria Math" w:eastAsiaTheme="minorEastAsia" w:hAnsi="Cambria Math"/>
                <w:i/>
              </w:rPr>
            </m:ctrlPr>
          </m:sSubSupPr>
          <m:e>
            <m:r>
              <w:rPr>
                <w:rFonts w:ascii="Cambria Math" w:eastAsiaTheme="minorEastAsia" w:hAnsi="Cambria Math"/>
              </w:rPr>
              <m:t>σ</m:t>
            </m:r>
          </m:e>
          <m:sub>
            <m:r>
              <w:rPr>
                <w:rFonts w:ascii="Cambria Math" w:eastAsiaTheme="minorEastAsia" w:hAnsi="Cambria Math"/>
              </w:rPr>
              <m:t>Reef</m:t>
            </m:r>
          </m:sub>
          <m:sup>
            <m:r>
              <w:rPr>
                <w:rFonts w:ascii="Cambria Math" w:eastAsiaTheme="minorEastAsia" w:hAnsi="Cambria Math"/>
              </w:rPr>
              <m:t>2</m:t>
            </m:r>
          </m:sup>
        </m:sSubSup>
        <m:r>
          <w:rPr>
            <w:rFonts w:ascii="Cambria Math" w:eastAsiaTheme="minorEastAsia" w:hAnsi="Cambria Math"/>
          </w:rPr>
          <m:t>)</m:t>
        </m:r>
      </m:oMath>
      <w:r w:rsidRPr="006D5AC5">
        <w:rPr>
          <w:rFonts w:eastAsiaTheme="minorEastAsia"/>
        </w:rPr>
        <w:t xml:space="preserve"> </w:t>
      </w:r>
    </w:p>
    <w:p w14:paraId="56A2790A" w14:textId="77777777" w:rsidR="00BD29B3" w:rsidRPr="006D5AC5" w:rsidRDefault="00BD29B3" w:rsidP="00BD29B3">
      <w:pPr>
        <w:autoSpaceDE w:val="0"/>
        <w:autoSpaceDN w:val="0"/>
        <w:adjustRightInd w:val="0"/>
        <w:rPr>
          <w:rFonts w:eastAsiaTheme="minorEastAsia"/>
        </w:rPr>
      </w:pPr>
      <w:r>
        <w:rPr>
          <w:rFonts w:eastAsiaTheme="minorEastAsia"/>
        </w:rPr>
        <w:tab/>
      </w:r>
      <m:oMath>
        <m:sSup>
          <m:sSupPr>
            <m:ctrlPr>
              <w:rPr>
                <w:rFonts w:ascii="Cambria Math" w:hAnsi="Cambria Math"/>
                <w:i/>
              </w:rPr>
            </m:ctrlPr>
          </m:sSupPr>
          <m:e>
            <m:r>
              <w:rPr>
                <w:rFonts w:ascii="Cambria Math" w:hAnsi="Cambria Math"/>
              </w:rPr>
              <m:t>σ</m:t>
            </m:r>
          </m:e>
          <m:sup>
            <m:r>
              <w:rPr>
                <w:rFonts w:ascii="Cambria Math" w:hAnsi="Cambria Math"/>
              </w:rPr>
              <m:t>2</m:t>
            </m:r>
          </m:sup>
        </m:sSup>
        <m:r>
          <w:rPr>
            <w:rFonts w:ascii="Cambria Math" w:hAnsi="Cambria Math"/>
          </w:rPr>
          <m:t>,</m:t>
        </m:r>
        <m:sSubSup>
          <m:sSubSupPr>
            <m:ctrlPr>
              <w:rPr>
                <w:rFonts w:ascii="Cambria Math" w:hAnsi="Cambria Math"/>
                <w:i/>
              </w:rPr>
            </m:ctrlPr>
          </m:sSubSupPr>
          <m:e>
            <m:r>
              <w:rPr>
                <w:rFonts w:ascii="Cambria Math" w:hAnsi="Cambria Math"/>
              </w:rPr>
              <m:t>σ</m:t>
            </m:r>
          </m:e>
          <m:sub>
            <m:r>
              <w:rPr>
                <w:rFonts w:ascii="Cambria Math" w:hAnsi="Cambria Math"/>
              </w:rPr>
              <m:t>Region</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σ</m:t>
            </m:r>
          </m:e>
          <m:sub>
            <m:r>
              <w:rPr>
                <w:rFonts w:ascii="Cambria Math" w:hAnsi="Cambria Math"/>
              </w:rPr>
              <m:t>Reef</m:t>
            </m:r>
          </m:sub>
          <m:sup>
            <m:r>
              <w:rPr>
                <w:rFonts w:ascii="Cambria Math" w:hAnsi="Cambria Math"/>
              </w:rPr>
              <m:t>2</m:t>
            </m:r>
          </m:sup>
        </m:sSubSup>
        <m:r>
          <m:rPr>
            <m:scr m:val="script"/>
          </m:rPr>
          <w:rPr>
            <w:rFonts w:ascii="Cambria Math" w:hAnsi="Cambria Math"/>
          </w:rPr>
          <m:t>= U</m:t>
        </m:r>
        <m:r>
          <w:rPr>
            <w:rFonts w:ascii="Cambria Math" w:hAnsi="Cambria Math"/>
          </w:rPr>
          <m:t>(0,100)</m:t>
        </m:r>
      </m:oMath>
    </w:p>
    <w:p w14:paraId="320A4F4C" w14:textId="77777777" w:rsidR="00BD29B3" w:rsidRPr="006D5AC5" w:rsidRDefault="00BD29B3" w:rsidP="00BD29B3">
      <w:pPr>
        <w:autoSpaceDE w:val="0"/>
        <w:autoSpaceDN w:val="0"/>
        <w:adjustRightInd w:val="0"/>
        <w:rPr>
          <w:rFonts w:eastAsiaTheme="minorEastAsia"/>
        </w:rPr>
      </w:pPr>
      <w:r>
        <w:rPr>
          <w:rFonts w:eastAsiaTheme="minorEastAsia"/>
        </w:rPr>
        <w:tab/>
      </w:r>
      <m:oMath>
        <m:r>
          <w:rPr>
            <w:rFonts w:ascii="Cambria Math" w:eastAsiaTheme="minorEastAsia" w:hAnsi="Cambria Math"/>
          </w:rPr>
          <m:t>rAcr=v</m:t>
        </m:r>
        <m:sSub>
          <m:sSubPr>
            <m:ctrlPr>
              <w:rPr>
                <w:rFonts w:ascii="Cambria Math" w:eastAsiaTheme="minorEastAsia" w:hAnsi="Cambria Math"/>
                <w:i/>
              </w:rPr>
            </m:ctrlPr>
          </m:sSubPr>
          <m:e>
            <m:bar>
              <m:barPr>
                <m:pos m:val="top"/>
                <m:ctrlPr>
                  <w:rPr>
                    <w:rFonts w:ascii="Cambria Math" w:eastAsiaTheme="minorEastAsia" w:hAnsi="Cambria Math"/>
                    <w:i/>
                  </w:rPr>
                </m:ctrlPr>
              </m:barPr>
              <m:e>
                <m:r>
                  <w:rPr>
                    <w:rFonts w:ascii="Cambria Math" w:hAnsi="Cambria Math"/>
                  </w:rPr>
                  <m:t>A</m:t>
                </m:r>
              </m:e>
            </m:bar>
            <m:r>
              <w:rPr>
                <w:rFonts w:ascii="Cambria Math" w:eastAsiaTheme="minorEastAsia" w:hAnsi="Cambria Math"/>
              </w:rPr>
              <m:t>cr</m:t>
            </m:r>
          </m:e>
          <m:sub>
            <m:r>
              <w:rPr>
                <w:rFonts w:ascii="Cambria Math" w:eastAsiaTheme="minorEastAsia" w:hAnsi="Cambria Math"/>
              </w:rPr>
              <m:t>i</m:t>
            </m:r>
          </m:sub>
        </m:sSub>
      </m:oMath>
    </w:p>
    <w:p w14:paraId="5090E835" w14:textId="77777777" w:rsidR="00BD29B3" w:rsidRPr="006D5AC5" w:rsidRDefault="00BD29B3" w:rsidP="00BD29B3">
      <w:pPr>
        <w:autoSpaceDE w:val="0"/>
        <w:autoSpaceDN w:val="0"/>
        <w:adjustRightInd w:val="0"/>
        <w:rPr>
          <w:rFonts w:eastAsiaTheme="minorEastAsia"/>
        </w:rPr>
      </w:pPr>
    </w:p>
    <w:p w14:paraId="62290BAC" w14:textId="77777777" w:rsidR="00BD29B3" w:rsidRPr="006D5AC5" w:rsidRDefault="00BD29B3" w:rsidP="00BD29B3">
      <w:pPr>
        <w:autoSpaceDE w:val="0"/>
        <w:autoSpaceDN w:val="0"/>
        <w:adjustRightInd w:val="0"/>
        <w:rPr>
          <w:rFonts w:eastAsiaTheme="minorEastAsia"/>
        </w:rPr>
      </w:pPr>
      <w:r w:rsidRPr="006D5AC5">
        <w:rPr>
          <w:rFonts w:eastAsiaTheme="minorEastAsia"/>
        </w:rPr>
        <w:t xml:space="preserve">Where </w:t>
      </w:r>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it</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OthC</m:t>
            </m:r>
          </m:e>
          <m:sub>
            <m:r>
              <w:rPr>
                <w:rFonts w:ascii="Cambria Math" w:eastAsiaTheme="minorEastAsia" w:hAnsi="Cambria Math"/>
              </w:rPr>
              <m:t>it</m:t>
            </m:r>
          </m:sub>
        </m:sSub>
      </m:oMath>
      <w:r w:rsidRPr="006D5AC5">
        <w:rPr>
          <w:rFonts w:eastAsiaTheme="minorEastAsia"/>
        </w:rPr>
        <w:t xml:space="preserve"> and </w:t>
      </w:r>
      <m:oMath>
        <m:sSub>
          <m:sSubPr>
            <m:ctrlPr>
              <w:rPr>
                <w:rFonts w:ascii="Cambria Math" w:eastAsiaTheme="minorEastAsia" w:hAnsi="Cambria Math"/>
                <w:i/>
              </w:rPr>
            </m:ctrlPr>
          </m:sSubPr>
          <m:e>
            <m:r>
              <w:rPr>
                <w:rFonts w:ascii="Cambria Math" w:eastAsiaTheme="minorEastAsia" w:hAnsi="Cambria Math"/>
              </w:rPr>
              <m:t>Sc</m:t>
            </m:r>
          </m:e>
          <m:sub>
            <m:r>
              <w:rPr>
                <w:rFonts w:ascii="Cambria Math" w:eastAsiaTheme="minorEastAsia" w:hAnsi="Cambria Math"/>
              </w:rPr>
              <m:t>it</m:t>
            </m:r>
          </m:sub>
        </m:sSub>
      </m:oMath>
      <w:r w:rsidRPr="006D5AC5">
        <w:rPr>
          <w:rFonts w:eastAsiaTheme="minorEastAsia"/>
        </w:rPr>
        <w:t xml:space="preserve"> are the cover of Acroporidae coral, other hard coral and soft coral respectively at a given reef at time (</w:t>
      </w:r>
      <m:oMath>
        <m:r>
          <w:rPr>
            <w:rFonts w:ascii="Cambria Math" w:eastAsiaTheme="minorEastAsia" w:hAnsi="Cambria Math"/>
          </w:rPr>
          <m:t>t</m:t>
        </m:r>
      </m:oMath>
      <w:r w:rsidRPr="006D5AC5">
        <w:rPr>
          <w:rFonts w:eastAsiaTheme="minorEastAsia"/>
        </w:rPr>
        <w:t>)</w:t>
      </w:r>
      <w:r w:rsidRPr="006D5AC5">
        <w:rPr>
          <w:rFonts w:eastAsiaTheme="minorEastAsia"/>
          <w:i/>
        </w:rPr>
        <w:t xml:space="preserve">. </w:t>
      </w:r>
      <m:oMath>
        <m:r>
          <w:rPr>
            <w:rFonts w:ascii="Cambria Math" w:eastAsiaTheme="minorEastAsia" w:hAnsi="Cambria Math"/>
          </w:rPr>
          <m:t>eskK</m:t>
        </m:r>
      </m:oMath>
      <w:r w:rsidRPr="006D5AC5">
        <w:rPr>
          <w:rFonts w:eastAsiaTheme="minorEastAsia"/>
          <w:i/>
        </w:rPr>
        <w:t xml:space="preserve"> </w:t>
      </w:r>
      <w:r w:rsidRPr="006D5AC5">
        <w:rPr>
          <w:rFonts w:eastAsiaTheme="minorEastAsia"/>
        </w:rPr>
        <w:t xml:space="preserve">is the community size at equilibrium (100) and </w:t>
      </w:r>
      <m:oMath>
        <m:r>
          <w:rPr>
            <w:rFonts w:ascii="Cambria Math" w:eastAsiaTheme="minorEastAsia" w:hAnsi="Cambria Math"/>
          </w:rPr>
          <m:t>rAcr</m:t>
        </m:r>
      </m:oMath>
      <w:r w:rsidRPr="006D5AC5">
        <w:rPr>
          <w:rFonts w:eastAsiaTheme="minorEastAsia"/>
        </w:rPr>
        <w:t xml:space="preserve"> is the rate of increase (growth rate) in percent cover of Acroporidae coral. Varying effects of Region and Reef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j</m:t>
            </m:r>
          </m:sub>
        </m:sSub>
      </m:oMath>
      <w:r w:rsidRPr="006D5AC5">
        <w:rPr>
          <w:rFonts w:eastAsiaTheme="minorEastAsia"/>
        </w:rPr>
        <w:t xml:space="preserve"> and </w:t>
      </w:r>
      <m:oMath>
        <m:sSub>
          <m:sSubPr>
            <m:ctrlPr>
              <w:rPr>
                <w:rFonts w:ascii="Cambria Math" w:eastAsiaTheme="minorEastAsia" w:hAnsi="Cambria Math"/>
                <w:i/>
              </w:rPr>
            </m:ctrlPr>
          </m:sSubPr>
          <m:e>
            <m:r>
              <w:rPr>
                <w:rFonts w:ascii="Cambria Math" w:eastAsiaTheme="minorEastAsia" w:hAnsi="Cambria Math"/>
              </w:rPr>
              <m:t>Υ</m:t>
            </m:r>
          </m:e>
          <m:sub>
            <m:r>
              <w:rPr>
                <w:rFonts w:ascii="Cambria Math" w:eastAsiaTheme="minorEastAsia" w:hAnsi="Cambria Math"/>
              </w:rPr>
              <m:t>k</m:t>
            </m:r>
          </m:sub>
        </m:sSub>
      </m:oMath>
      <w:r w:rsidRPr="006D5AC5">
        <w:rPr>
          <w:rFonts w:eastAsiaTheme="minorEastAsia"/>
        </w:rPr>
        <w:t xml:space="preserve"> respectively) were also incorporated to account for spatial autocorrelation. Model coefficients associated with the intercept, Region and Reef (</w:t>
      </w:r>
      <m:oMath>
        <m:sSub>
          <m:sSubPr>
            <m:ctrlPr>
              <w:rPr>
                <w:rFonts w:ascii="Cambria Math" w:eastAsiaTheme="minorEastAsia" w:hAnsi="Cambria Math"/>
                <w:i/>
              </w:rPr>
            </m:ctrlPr>
          </m:sSubPr>
          <m:e>
            <m:r>
              <w:rPr>
                <w:rFonts w:ascii="Cambria Math" w:eastAsiaTheme="minorEastAsia" w:hAnsi="Cambria Math"/>
              </w:rPr>
              <m:t>α</m:t>
            </m:r>
          </m:e>
          <m:sub>
            <m:r>
              <w:rPr>
                <w:rFonts w:ascii="Cambria Math" w:eastAsiaTheme="minorEastAsia" w:hAnsi="Cambria Math"/>
              </w:rPr>
              <m:t>i</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j</m:t>
            </m:r>
          </m:sub>
        </m:sSub>
      </m:oMath>
      <w:r w:rsidRPr="006D5AC5">
        <w:rPr>
          <w:rFonts w:eastAsiaTheme="minorEastAsia"/>
        </w:rPr>
        <w:t xml:space="preserve"> and </w:t>
      </w:r>
      <m:oMath>
        <m:sSub>
          <m:sSubPr>
            <m:ctrlPr>
              <w:rPr>
                <w:rFonts w:ascii="Cambria Math" w:eastAsiaTheme="minorEastAsia" w:hAnsi="Cambria Math"/>
                <w:i/>
              </w:rPr>
            </m:ctrlPr>
          </m:sSubPr>
          <m:e>
            <m:r>
              <w:rPr>
                <w:rFonts w:ascii="Cambria Math" w:eastAsiaTheme="minorEastAsia" w:hAnsi="Cambria Math"/>
              </w:rPr>
              <m:t>Υ</m:t>
            </m:r>
          </m:e>
          <m:sub>
            <m:r>
              <w:rPr>
                <w:rFonts w:ascii="Cambria Math" w:eastAsiaTheme="minorEastAsia" w:hAnsi="Cambria Math"/>
              </w:rPr>
              <m:t>k</m:t>
            </m:r>
          </m:sub>
        </m:sSub>
      </m:oMath>
      <w:r w:rsidRPr="006D5AC5">
        <w:rPr>
          <w:rFonts w:eastAsiaTheme="minorEastAsia"/>
        </w:rPr>
        <w:t>) all had weakly informative Gaussian priors, the latter two with model standard deviation). The overall rate of coral growth</w:t>
      </w:r>
      <m:oMath>
        <m:r>
          <w:rPr>
            <w:rFonts w:ascii="Cambria Math" w:eastAsiaTheme="minorEastAsia" w:hAnsi="Cambria Math"/>
          </w:rPr>
          <m:t xml:space="preserve"> rAcr</m:t>
        </m:r>
      </m:oMath>
      <w:r w:rsidRPr="006D5AC5">
        <w:rPr>
          <w:rFonts w:eastAsiaTheme="minorEastAsia"/>
        </w:rPr>
        <w:t xml:space="preserve">, constituted the mean of the individual posterior rates of increase for </w:t>
      </w:r>
      <m:oMath>
        <m:sSub>
          <m:sSubPr>
            <m:ctrlPr>
              <w:rPr>
                <w:rFonts w:ascii="Cambria Math" w:eastAsiaTheme="minorEastAsia" w:hAnsi="Cambria Math"/>
                <w:i/>
              </w:rPr>
            </m:ctrlPr>
          </m:sSubPr>
          <m:e>
            <m:r>
              <w:rPr>
                <w:rFonts w:ascii="Cambria Math" w:eastAsiaTheme="minorEastAsia" w:hAnsi="Cambria Math"/>
              </w:rPr>
              <m:t>vAcr</m:t>
            </m:r>
          </m:e>
          <m:sub>
            <m:r>
              <w:rPr>
                <w:rFonts w:ascii="Cambria Math" w:eastAsiaTheme="minorEastAsia" w:hAnsi="Cambria Math"/>
              </w:rPr>
              <m:t>i</m:t>
            </m:r>
          </m:sub>
        </m:sSub>
      </m:oMath>
      <w:r w:rsidRPr="006D5AC5">
        <w:rPr>
          <w:rFonts w:eastAsiaTheme="minorEastAsia"/>
        </w:rPr>
        <w:t xml:space="preserve"> .</w:t>
      </w:r>
    </w:p>
    <w:p w14:paraId="5BB1BE31" w14:textId="77777777" w:rsidR="00BD29B3" w:rsidRPr="006D5AC5" w:rsidRDefault="00BD29B3" w:rsidP="00BD29B3">
      <w:pPr>
        <w:autoSpaceDE w:val="0"/>
        <w:autoSpaceDN w:val="0"/>
        <w:adjustRightInd w:val="0"/>
        <w:rPr>
          <w:rFonts w:eastAsiaTheme="minorEastAsia"/>
        </w:rPr>
      </w:pPr>
      <w:r w:rsidRPr="006D5AC5">
        <w:rPr>
          <w:rFonts w:eastAsiaTheme="minorEastAsia"/>
        </w:rPr>
        <w:t>As model predictions relate to annual changes in coral cover, observed cover was adjusted to an estimated annual change since the previous observation (</w:t>
      </w:r>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adj</m:t>
            </m:r>
          </m:sub>
        </m:sSub>
      </m:oMath>
      <w:r w:rsidRPr="006D5AC5">
        <w:rPr>
          <w:rFonts w:eastAsiaTheme="minorEastAsia"/>
        </w:rPr>
        <w:t xml:space="preserve">) prior to comparison to modelled estimates. Adjusted values, </w:t>
      </w:r>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adj</m:t>
            </m:r>
          </m:sub>
        </m:sSub>
        <m:r>
          <w:rPr>
            <w:rFonts w:ascii="Cambria Math" w:eastAsiaTheme="minorEastAsia" w:hAnsi="Cambria Math"/>
          </w:rPr>
          <m:t>,</m:t>
        </m:r>
      </m:oMath>
      <w:r w:rsidRPr="006D5AC5">
        <w:rPr>
          <w:rFonts w:eastAsiaTheme="minorEastAsia"/>
        </w:rPr>
        <w:t xml:space="preserve"> where estimated as per the following formula</w:t>
      </w:r>
    </w:p>
    <w:p w14:paraId="4CDA4F8B" w14:textId="77777777" w:rsidR="00BD29B3" w:rsidRPr="006D5AC5" w:rsidRDefault="00A570BE" w:rsidP="00BD29B3">
      <w:pPr>
        <w:autoSpaceDE w:val="0"/>
        <w:autoSpaceDN w:val="0"/>
        <w:adjustRightInd w:val="0"/>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adj</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m:t>
              </m:r>
            </m:sub>
          </m:sSub>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i-1</m:t>
              </m:r>
            </m:sub>
          </m:sSub>
          <m:r>
            <w:rPr>
              <w:rFonts w:ascii="Cambria Math" w:eastAsiaTheme="minorEastAsia" w:hAnsi="Cambria Math"/>
            </w:rPr>
            <m:t>)*(365/(days between samples)</m:t>
          </m:r>
        </m:oMath>
      </m:oMathPara>
    </w:p>
    <w:p w14:paraId="6E2A56FE" w14:textId="77777777" w:rsidR="00BD29B3" w:rsidRPr="00F352E1" w:rsidRDefault="00BD29B3" w:rsidP="00BD29B3">
      <w:pPr>
        <w:autoSpaceDE w:val="0"/>
        <w:autoSpaceDN w:val="0"/>
        <w:adjustRightInd w:val="0"/>
        <w:rPr>
          <w:rFonts w:eastAsiaTheme="minorEastAsia"/>
          <w:color w:val="4F81BD" w:themeColor="accent1"/>
        </w:rPr>
      </w:pPr>
      <w:r w:rsidRPr="006A6972">
        <w:rPr>
          <w:rFonts w:eastAsiaTheme="minorEastAsia"/>
        </w:rPr>
        <w:t xml:space="preserve">Where cover declined no adjustment was made and </w:t>
      </w:r>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adj</m:t>
            </m:r>
          </m:sub>
        </m:sSub>
      </m:oMath>
      <w:r w:rsidRPr="006A6972">
        <w:rPr>
          <w:rFonts w:eastAsiaTheme="minorEastAsia"/>
        </w:rPr>
        <w:t xml:space="preserve"> assumed </w:t>
      </w:r>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m:t>
            </m:r>
          </m:sub>
        </m:sSub>
      </m:oMath>
      <w:r w:rsidRPr="006A6972">
        <w:rPr>
          <w:rFonts w:eastAsiaTheme="minorEastAsia"/>
        </w:rPr>
        <w:t xml:space="preserve"> . </w:t>
      </w:r>
    </w:p>
    <w:p w14:paraId="695843C2" w14:textId="77777777" w:rsidR="00BD29B3" w:rsidRPr="000B7C45" w:rsidRDefault="00BD29B3" w:rsidP="00BD29B3">
      <w:pPr>
        <w:autoSpaceDE w:val="0"/>
        <w:autoSpaceDN w:val="0"/>
        <w:adjustRightInd w:val="0"/>
      </w:pPr>
      <w:r w:rsidRPr="000B7C45">
        <w:rPr>
          <w:rFonts w:cs="LMSansQuot8-Regular"/>
        </w:rPr>
        <w:t>Note</w:t>
      </w:r>
      <w:r w:rsidRPr="000B7C45">
        <w:t>, the above formulae apply to the family Acroporidae (</w:t>
      </w:r>
      <w:r w:rsidRPr="000B7C45">
        <w:rPr>
          <w:i/>
        </w:rPr>
        <w:t>Acr</w:t>
      </w:r>
      <w:r w:rsidRPr="000B7C45">
        <w:t>) and have the same form as those applied for Other Corals (</w:t>
      </w:r>
      <w:r w:rsidRPr="000B7C45">
        <w:rPr>
          <w:i/>
        </w:rPr>
        <w:t>OthC</w:t>
      </w:r>
      <w:r w:rsidRPr="000B7C45">
        <w:t xml:space="preserve">) if these terms are exchanged where they appear in the equations. </w:t>
      </w:r>
    </w:p>
    <w:p w14:paraId="7A2C627C" w14:textId="5A67E77E" w:rsidR="00BD29B3" w:rsidRPr="000B7C45" w:rsidRDefault="00BD29B3" w:rsidP="00BD29B3">
      <w:pPr>
        <w:pStyle w:val="NormalWeb"/>
        <w:spacing w:before="0" w:beforeAutospacing="0" w:after="120" w:afterAutospacing="0"/>
        <w:rPr>
          <w:rFonts w:ascii="Arial" w:hAnsi="Arial" w:cs="Arial"/>
          <w:sz w:val="22"/>
          <w:szCs w:val="22"/>
        </w:rPr>
      </w:pPr>
      <w:r w:rsidRPr="000B7C45">
        <w:rPr>
          <w:rFonts w:ascii="Arial" w:hAnsi="Arial" w:cs="Arial"/>
          <w:sz w:val="22"/>
          <w:szCs w:val="22"/>
        </w:rPr>
        <w:t>Gompertz models were fitted in a Bayesian framework to facilitate combining growth rates and associated uncertainties</w:t>
      </w:r>
      <w:r>
        <w:rPr>
          <w:rFonts w:ascii="Arial" w:hAnsi="Arial" w:cs="Arial"/>
          <w:sz w:val="22"/>
          <w:szCs w:val="22"/>
        </w:rPr>
        <w:t xml:space="preserve"> </w:t>
      </w:r>
      <w:r w:rsidRPr="000B7C45">
        <w:rPr>
          <w:rFonts w:ascii="Arial" w:hAnsi="Arial" w:cs="Arial"/>
          <w:sz w:val="22"/>
          <w:szCs w:val="22"/>
        </w:rPr>
        <w:t>across models. A total of 20,000 MCMC sampling interactions across three chains with a warm up of 10,000 and thinned to every fifth observation resulted in well mixed samples from stable and converged</w:t>
      </w:r>
      <w:r>
        <w:rPr>
          <w:rFonts w:ascii="Arial" w:hAnsi="Arial" w:cs="Arial"/>
          <w:sz w:val="22"/>
          <w:szCs w:val="22"/>
        </w:rPr>
        <w:t xml:space="preserve"> </w:t>
      </w:r>
      <w:r w:rsidRPr="000B7C45">
        <w:rPr>
          <w:rFonts w:ascii="Arial" w:hAnsi="Arial" w:cs="Arial"/>
          <w:sz w:val="22"/>
          <w:szCs w:val="22"/>
        </w:rPr>
        <w:t>posteriors (all rhat values less than 1.02).</w:t>
      </w:r>
      <w:r w:rsidR="002F49B2">
        <w:rPr>
          <w:rFonts w:ascii="Arial" w:hAnsi="Arial" w:cs="Arial"/>
          <w:sz w:val="22"/>
          <w:szCs w:val="22"/>
        </w:rPr>
        <w:t xml:space="preserve">Model validation did not reveal any pattern in the residuals. Bayesian models were run in JAGS (Plummer 2003) via the R2jags package </w:t>
      </w:r>
      <w:r w:rsidR="002F49B2" w:rsidRPr="000305DA">
        <w:rPr>
          <w:rFonts w:ascii="Arial" w:hAnsi="Arial" w:cs="Arial"/>
          <w:color w:val="000000" w:themeColor="text1"/>
          <w:sz w:val="22"/>
          <w:szCs w:val="22"/>
        </w:rPr>
        <w:t xml:space="preserve">(Su </w:t>
      </w:r>
      <w:r w:rsidR="003668DB" w:rsidRPr="000305DA">
        <w:rPr>
          <w:rFonts w:ascii="Arial" w:hAnsi="Arial" w:cs="Arial"/>
          <w:color w:val="000000" w:themeColor="text1"/>
          <w:sz w:val="22"/>
          <w:szCs w:val="22"/>
        </w:rPr>
        <w:t xml:space="preserve">&amp; Yajima </w:t>
      </w:r>
      <w:r w:rsidR="002F49B2" w:rsidRPr="000305DA">
        <w:rPr>
          <w:rFonts w:ascii="Arial" w:hAnsi="Arial" w:cs="Arial"/>
          <w:color w:val="000000" w:themeColor="text1"/>
          <w:sz w:val="22"/>
          <w:szCs w:val="22"/>
        </w:rPr>
        <w:t>2015)</w:t>
      </w:r>
      <w:r w:rsidR="002F49B2" w:rsidRPr="000305DA">
        <w:rPr>
          <w:color w:val="000000" w:themeColor="text1"/>
        </w:rPr>
        <w:t xml:space="preserve"> </w:t>
      </w:r>
      <w:r w:rsidR="002F49B2" w:rsidRPr="000305DA">
        <w:rPr>
          <w:rFonts w:ascii="Arial" w:hAnsi="Arial" w:cs="Arial"/>
          <w:color w:val="000000" w:themeColor="text1"/>
          <w:sz w:val="22"/>
          <w:szCs w:val="22"/>
        </w:rPr>
        <w:t xml:space="preserve">for </w:t>
      </w:r>
      <w:r w:rsidR="002F49B2">
        <w:rPr>
          <w:rFonts w:ascii="Arial" w:hAnsi="Arial" w:cs="Arial"/>
          <w:sz w:val="22"/>
          <w:szCs w:val="22"/>
        </w:rPr>
        <w:t>R.</w:t>
      </w:r>
    </w:p>
    <w:p w14:paraId="13CB164D" w14:textId="77777777" w:rsidR="00BD29B3" w:rsidRPr="000B7C45" w:rsidRDefault="00BD29B3" w:rsidP="00BD29B3">
      <w:pPr>
        <w:pStyle w:val="NormalWeb"/>
        <w:spacing w:before="0" w:beforeAutospacing="0" w:after="120" w:afterAutospacing="0"/>
        <w:rPr>
          <w:rFonts w:ascii="Arial" w:hAnsi="Arial" w:cs="Arial"/>
          <w:sz w:val="22"/>
          <w:szCs w:val="22"/>
        </w:rPr>
      </w:pPr>
      <w:r w:rsidRPr="000B7C45">
        <w:rPr>
          <w:rFonts w:ascii="Arial" w:hAnsi="Arial" w:cs="Arial"/>
          <w:sz w:val="22"/>
          <w:szCs w:val="22"/>
        </w:rPr>
        <w:t>The posteriors of Acroporidae predicted cover and Other Coral predicted cover were combined into posterior predictions of total coral cover</w:t>
      </w:r>
      <w:r>
        <w:rPr>
          <w:rFonts w:ascii="Arial" w:hAnsi="Arial" w:cs="Arial"/>
          <w:sz w:val="22"/>
          <w:szCs w:val="22"/>
        </w:rPr>
        <w:t xml:space="preserve"> </w:t>
      </w:r>
      <w:r w:rsidRPr="000B7C45">
        <w:rPr>
          <w:rFonts w:ascii="Arial" w:hAnsi="Arial" w:cs="Arial"/>
          <w:sz w:val="22"/>
          <w:szCs w:val="22"/>
        </w:rPr>
        <w:t>from which the mean, median and 95%</w:t>
      </w:r>
      <w:r>
        <w:rPr>
          <w:rFonts w:ascii="Arial" w:hAnsi="Arial" w:cs="Arial"/>
          <w:sz w:val="22"/>
          <w:szCs w:val="22"/>
        </w:rPr>
        <w:t xml:space="preserve"> </w:t>
      </w:r>
      <w:r w:rsidRPr="000B7C45">
        <w:rPr>
          <w:rFonts w:ascii="Arial" w:hAnsi="Arial" w:cs="Arial"/>
          <w:sz w:val="22"/>
          <w:szCs w:val="22"/>
        </w:rPr>
        <w:t>Highest Probability Density (HPD) intervals were calculated.</w:t>
      </w:r>
    </w:p>
    <w:p w14:paraId="71234722" w14:textId="46F06CA1" w:rsidR="00BD29B3" w:rsidRPr="000B7C45" w:rsidRDefault="00BD29B3" w:rsidP="00BD29B3">
      <w:pPr>
        <w:autoSpaceDE w:val="0"/>
        <w:autoSpaceDN w:val="0"/>
        <w:adjustRightInd w:val="0"/>
        <w:rPr>
          <w:rFonts w:eastAsiaTheme="minorEastAsia"/>
        </w:rPr>
      </w:pPr>
      <w:r w:rsidRPr="000B7C45">
        <w:rPr>
          <w:rFonts w:eastAsiaTheme="minorEastAsia"/>
        </w:rPr>
        <w:t xml:space="preserve">As changes in coral cover from one year to the next are relatively small, and in light of the biennial sampling design, the indicator value is averaged over </w:t>
      </w:r>
      <w:r w:rsidR="00240263">
        <w:rPr>
          <w:rFonts w:eastAsiaTheme="minorEastAsia"/>
        </w:rPr>
        <w:t xml:space="preserve">recovery periods (changes in cover not impacted by acute disturbance) </w:t>
      </w:r>
      <w:r w:rsidR="000F03DD">
        <w:rPr>
          <w:rFonts w:eastAsiaTheme="minorEastAsia"/>
        </w:rPr>
        <w:t xml:space="preserve">for a </w:t>
      </w:r>
      <w:r w:rsidRPr="000B7C45">
        <w:rPr>
          <w:rFonts w:eastAsiaTheme="minorEastAsia"/>
        </w:rPr>
        <w:t>four year period</w:t>
      </w:r>
      <w:r w:rsidR="000F03DD">
        <w:rPr>
          <w:rFonts w:eastAsiaTheme="minorEastAsia"/>
        </w:rPr>
        <w:t xml:space="preserve"> culminating in the reporting year</w:t>
      </w:r>
      <w:r w:rsidRPr="000B7C45">
        <w:rPr>
          <w:rFonts w:eastAsiaTheme="minorEastAsia"/>
        </w:rPr>
        <w:t>.</w:t>
      </w:r>
    </w:p>
    <w:p w14:paraId="716CE846" w14:textId="5D90E5E8" w:rsidR="00BD29B3" w:rsidRPr="000B7C45" w:rsidRDefault="00BD29B3" w:rsidP="00BD29B3">
      <w:r w:rsidRPr="000B7C45">
        <w:t>To convert this indicator to a metric the following process was applied</w:t>
      </w:r>
      <w:r>
        <w:t xml:space="preserve"> (</w:t>
      </w:r>
      <w:r w:rsidR="001D54B5">
        <w:fldChar w:fldCharType="begin"/>
      </w:r>
      <w:r w:rsidR="001D54B5">
        <w:instrText xml:space="preserve"> REF _Ref514406189 \h </w:instrText>
      </w:r>
      <w:r w:rsidR="001D54B5">
        <w:fldChar w:fldCharType="separate"/>
      </w:r>
      <w:r w:rsidR="00A75175" w:rsidRPr="00F352E1">
        <w:t xml:space="preserve">Figure </w:t>
      </w:r>
      <w:r w:rsidR="00A75175">
        <w:rPr>
          <w:noProof/>
        </w:rPr>
        <w:t>6</w:t>
      </w:r>
      <w:r w:rsidR="001D54B5">
        <w:fldChar w:fldCharType="end"/>
      </w:r>
      <w:r w:rsidR="001D54B5">
        <w:t>)</w:t>
      </w:r>
      <w:r w:rsidRPr="000B7C45">
        <w:t xml:space="preserve">: </w:t>
      </w:r>
    </w:p>
    <w:p w14:paraId="7A17A842" w14:textId="77777777" w:rsidR="00BD29B3" w:rsidRPr="000B7C45" w:rsidRDefault="00BD29B3" w:rsidP="00BD29B3">
      <w:pPr>
        <w:pStyle w:val="ListParagraph"/>
        <w:numPr>
          <w:ilvl w:val="0"/>
          <w:numId w:val="13"/>
        </w:numPr>
        <w:autoSpaceDE w:val="0"/>
        <w:autoSpaceDN w:val="0"/>
        <w:adjustRightInd w:val="0"/>
        <w:ind w:left="714" w:hanging="357"/>
      </w:pPr>
      <w:r w:rsidRPr="000B7C45">
        <w:t>If coral cover declined between surveys, a score of 0 was applied.</w:t>
      </w:r>
    </w:p>
    <w:p w14:paraId="789EDC4A" w14:textId="77777777" w:rsidR="00BD29B3" w:rsidRPr="000B7C45" w:rsidRDefault="00BD29B3" w:rsidP="00BD29B3">
      <w:pPr>
        <w:pStyle w:val="ListParagraph"/>
        <w:numPr>
          <w:ilvl w:val="0"/>
          <w:numId w:val="13"/>
        </w:numPr>
        <w:autoSpaceDE w:val="0"/>
        <w:autoSpaceDN w:val="0"/>
        <w:adjustRightInd w:val="0"/>
        <w:ind w:left="714" w:hanging="357"/>
      </w:pPr>
      <w:r w:rsidRPr="000B7C45">
        <w:t>If cover change was between 0 and the lower HPD interval of predicted total cover change, scores were scaled to between 0.1 when no change was observed through to 0.4 when change was equal to the lower interval of the predicted change.</w:t>
      </w:r>
    </w:p>
    <w:p w14:paraId="01760DE1" w14:textId="77777777" w:rsidR="00BD29B3" w:rsidRPr="000B7C45" w:rsidRDefault="00BD29B3" w:rsidP="00BD29B3">
      <w:pPr>
        <w:pStyle w:val="ListParagraph"/>
        <w:numPr>
          <w:ilvl w:val="0"/>
          <w:numId w:val="13"/>
        </w:numPr>
        <w:autoSpaceDE w:val="0"/>
        <w:autoSpaceDN w:val="0"/>
        <w:adjustRightInd w:val="0"/>
        <w:ind w:left="714" w:hanging="357"/>
      </w:pPr>
      <w:r w:rsidRPr="000B7C45">
        <w:t xml:space="preserve">If cover change was within the upper and lower HPD intervals of the predicted change the score was scaled from 0.4 at the lower interval through to 0.6 at the upper interval. </w:t>
      </w:r>
    </w:p>
    <w:p w14:paraId="28FF221E" w14:textId="77777777" w:rsidR="00BD29B3" w:rsidRPr="000B7C45" w:rsidRDefault="00BD29B3" w:rsidP="00BD29B3">
      <w:pPr>
        <w:pStyle w:val="ListParagraph"/>
        <w:numPr>
          <w:ilvl w:val="0"/>
          <w:numId w:val="13"/>
        </w:numPr>
        <w:autoSpaceDE w:val="0"/>
        <w:autoSpaceDN w:val="0"/>
        <w:adjustRightInd w:val="0"/>
        <w:ind w:left="714" w:hanging="357"/>
      </w:pPr>
      <w:r w:rsidRPr="000B7C45">
        <w:t>If cover change was greater than the upper HPD interval of predicted change</w:t>
      </w:r>
      <w:r>
        <w:t xml:space="preserve"> and</w:t>
      </w:r>
      <w:r w:rsidRPr="000B7C45">
        <w:t xml:space="preserve"> less than double the upper interval, scores where scaled from 0.6 at the upper interval to 0.9 at double the upper interval.</w:t>
      </w:r>
    </w:p>
    <w:p w14:paraId="5ECCA746" w14:textId="77777777" w:rsidR="00BD29B3" w:rsidRPr="000B7C45" w:rsidRDefault="00BD29B3" w:rsidP="00BD29B3">
      <w:pPr>
        <w:pStyle w:val="ListParagraph"/>
        <w:numPr>
          <w:ilvl w:val="0"/>
          <w:numId w:val="13"/>
        </w:numPr>
        <w:autoSpaceDE w:val="0"/>
        <w:autoSpaceDN w:val="0"/>
        <w:adjustRightInd w:val="0"/>
        <w:ind w:left="714" w:hanging="357"/>
      </w:pPr>
      <w:r w:rsidRPr="000B7C45">
        <w:t>If change was greater than double the upper HPD interval, a score of 1 was applied.</w:t>
      </w:r>
    </w:p>
    <w:p w14:paraId="6C3A0D9E" w14:textId="77777777" w:rsidR="00BD29B3" w:rsidRPr="00F352E1" w:rsidRDefault="00BD29B3" w:rsidP="00BD29B3">
      <w:pPr>
        <w:autoSpaceDE w:val="0"/>
        <w:autoSpaceDN w:val="0"/>
        <w:adjustRightInd w:val="0"/>
        <w:rPr>
          <w:color w:val="4F81BD" w:themeColor="accent1"/>
        </w:rPr>
      </w:pPr>
    </w:p>
    <w:p w14:paraId="0A295F30" w14:textId="77777777" w:rsidR="00BD29B3" w:rsidRPr="00F352E1" w:rsidRDefault="00BD29B3" w:rsidP="00BD29B3">
      <w:pPr>
        <w:keepNext/>
        <w:autoSpaceDE w:val="0"/>
        <w:autoSpaceDN w:val="0"/>
        <w:adjustRightInd w:val="0"/>
        <w:rPr>
          <w:color w:val="4F81BD" w:themeColor="accent1"/>
        </w:rPr>
      </w:pPr>
      <w:r w:rsidRPr="00F352E1">
        <w:rPr>
          <w:noProof/>
          <w:color w:val="4F81BD" w:themeColor="accent1"/>
          <w:lang w:val="en-AU" w:eastAsia="en-AU"/>
        </w:rPr>
        <w:drawing>
          <wp:inline distT="0" distB="0" distL="0" distR="0" wp14:anchorId="45E728A5" wp14:editId="500F25AC">
            <wp:extent cx="3600450" cy="3238500"/>
            <wp:effectExtent l="0" t="0" r="0" b="0"/>
            <wp:docPr id="224" name="Picture 224" descr="Diagram that describes the scoring and categorisation of the Cover Change metric" title="Figure 6 Scoring diagram for the Cover Change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600450" cy="3238500"/>
                    </a:xfrm>
                    <a:prstGeom prst="rect">
                      <a:avLst/>
                    </a:prstGeom>
                    <a:noFill/>
                    <a:ln>
                      <a:noFill/>
                    </a:ln>
                  </pic:spPr>
                </pic:pic>
              </a:graphicData>
            </a:graphic>
          </wp:inline>
        </w:drawing>
      </w:r>
    </w:p>
    <w:p w14:paraId="7035606B" w14:textId="77777777" w:rsidR="00BD29B3" w:rsidRPr="00F352E1" w:rsidRDefault="00BD29B3" w:rsidP="00606A50">
      <w:pPr>
        <w:pStyle w:val="Caption"/>
      </w:pPr>
      <w:bookmarkStart w:id="98" w:name="_Ref514406189"/>
      <w:bookmarkStart w:id="99" w:name="_Toc514335651"/>
      <w:r w:rsidRPr="00F352E1">
        <w:t xml:space="preserve">Figure </w:t>
      </w:r>
      <w:r>
        <w:fldChar w:fldCharType="begin"/>
      </w:r>
      <w:r>
        <w:instrText xml:space="preserve"> SEQ Figure \* ARABIC </w:instrText>
      </w:r>
      <w:r>
        <w:fldChar w:fldCharType="separate"/>
      </w:r>
      <w:r w:rsidR="00A75175">
        <w:rPr>
          <w:noProof/>
        </w:rPr>
        <w:t>6</w:t>
      </w:r>
      <w:r>
        <w:rPr>
          <w:noProof/>
        </w:rPr>
        <w:fldChar w:fldCharType="end"/>
      </w:r>
      <w:bookmarkEnd w:id="98"/>
      <w:r w:rsidRPr="00F352E1">
        <w:t xml:space="preserve"> Scoring diagram for Cover Change metric</w:t>
      </w:r>
      <w:bookmarkEnd w:id="99"/>
    </w:p>
    <w:p w14:paraId="4AC0DA9D" w14:textId="108435F5" w:rsidR="00BD29B3" w:rsidRPr="000B7C45" w:rsidRDefault="00BD29B3" w:rsidP="00BD29B3">
      <w:pPr>
        <w:pStyle w:val="Heading3"/>
      </w:pPr>
      <w:bookmarkStart w:id="100" w:name="_Toc514408396"/>
      <w:r w:rsidRPr="000B7C45">
        <w:t>4.</w:t>
      </w:r>
      <w:r>
        <w:t>6</w:t>
      </w:r>
      <w:r w:rsidRPr="000B7C45">
        <w:t>.5 Community Composition metric</w:t>
      </w:r>
      <w:bookmarkEnd w:id="100"/>
    </w:p>
    <w:p w14:paraId="638F88AF" w14:textId="77777777" w:rsidR="00BD29B3" w:rsidRPr="000B7C45" w:rsidRDefault="00BD29B3" w:rsidP="00BD29B3">
      <w:pPr>
        <w:rPr>
          <w:rFonts w:cs="Arial"/>
        </w:rPr>
      </w:pPr>
      <w:r w:rsidRPr="000B7C45">
        <w:rPr>
          <w:rFonts w:cs="Arial"/>
        </w:rPr>
        <w:t xml:space="preserve">The coral communities monitored by the MMP vary considerably in the relative composition of coral species (Uthicke </w:t>
      </w:r>
      <w:r w:rsidRPr="000B7C45">
        <w:rPr>
          <w:rFonts w:cs="Arial"/>
          <w:i/>
        </w:rPr>
        <w:t>et al</w:t>
      </w:r>
      <w:r w:rsidRPr="000B7C45">
        <w:rPr>
          <w:rFonts w:cs="Arial"/>
        </w:rPr>
        <w:t xml:space="preserve">. 2010, Thompson </w:t>
      </w:r>
      <w:r w:rsidRPr="000B7C45">
        <w:rPr>
          <w:rFonts w:cs="Arial"/>
          <w:i/>
        </w:rPr>
        <w:t>et al.</w:t>
      </w:r>
      <w:r w:rsidRPr="000B7C45">
        <w:rPr>
          <w:rFonts w:cs="Arial"/>
        </w:rPr>
        <w:t xml:space="preserve"> 2014b). As demonstrated by Uthicke </w:t>
      </w:r>
      <w:r w:rsidRPr="000B7C45">
        <w:rPr>
          <w:rFonts w:cs="Arial"/>
          <w:i/>
        </w:rPr>
        <w:t>et al</w:t>
      </w:r>
      <w:r w:rsidRPr="000B7C45">
        <w:rPr>
          <w:rFonts w:cs="Arial"/>
        </w:rPr>
        <w:t xml:space="preserve">. (2010) and Fabricius </w:t>
      </w:r>
      <w:r w:rsidRPr="000B7C45">
        <w:rPr>
          <w:rFonts w:cs="Arial"/>
          <w:i/>
        </w:rPr>
        <w:t>et al.</w:t>
      </w:r>
      <w:r w:rsidRPr="000B7C45">
        <w:rPr>
          <w:rFonts w:cs="Arial"/>
        </w:rPr>
        <w:t xml:space="preserve"> (2012), some of this variability can be attributed to differences in environmental conditions between locations, which implies selection for certain species based on the environmental conditions experienced. Coral communities respond to environmental conditions in a variety of ways. Most noticeably they respond to acute shifts in conditions such as exposure to substantially reduced salinity (van Woesik 1991, Berkelmans </w:t>
      </w:r>
      <w:r w:rsidRPr="000B7C45">
        <w:rPr>
          <w:rFonts w:cs="Arial"/>
          <w:i/>
        </w:rPr>
        <w:t>et al</w:t>
      </w:r>
      <w:r w:rsidRPr="000B7C45">
        <w:rPr>
          <w:rFonts w:cs="Arial"/>
        </w:rPr>
        <w:t xml:space="preserve">. 2012), deviations from normal temperature (Hoegh-Guldberg 1999) or hydrodynamic conditions (cyclones); all of which result in reductions in coral cover as susceptible species are killed. In contrast, the increased loads of sediments and nutrients entering the Reef as a result of land use practices in the adjacent catchments (Waters </w:t>
      </w:r>
      <w:r w:rsidRPr="000B7C45">
        <w:rPr>
          <w:rFonts w:cs="Arial"/>
          <w:i/>
        </w:rPr>
        <w:t>et al</w:t>
      </w:r>
      <w:r w:rsidRPr="000B7C45">
        <w:rPr>
          <w:rFonts w:cs="Arial"/>
        </w:rPr>
        <w:t>. 2014) may include a combination of acute conditions associated with flood events and then chronic change in conditions as pollutants are cycled through the system. Chronic change in conditions, such as elevated turbidity or nutrient levels, could provide a longer period of selective pressures as environmental conditions disproportionately favour recruitment and survival of species tolerant to those conditions.</w:t>
      </w:r>
    </w:p>
    <w:p w14:paraId="147B7EA3" w14:textId="77777777" w:rsidR="00BD29B3" w:rsidRPr="000B7C45" w:rsidRDefault="00BD29B3" w:rsidP="00BD29B3">
      <w:r w:rsidRPr="000B7C45">
        <w:t xml:space="preserve">This metric compares the composition of hard coral communities at each reef to a baseline composition at that reef and interprets any observed change as being representative of communities expected under improved or worsened water quality. The basis of the metric is the scaling of cover for constituent genera (subset to life-forms for the abundant genera </w:t>
      </w:r>
      <w:r w:rsidRPr="000B7C45">
        <w:rPr>
          <w:i/>
        </w:rPr>
        <w:t>Acropora</w:t>
      </w:r>
      <w:r w:rsidRPr="000B7C45">
        <w:t xml:space="preserve"> and </w:t>
      </w:r>
      <w:r w:rsidRPr="000B7C45">
        <w:rPr>
          <w:i/>
        </w:rPr>
        <w:t>Porites</w:t>
      </w:r>
      <w:r w:rsidRPr="000B7C45">
        <w:t xml:space="preserve">) by weightings that correspond to the distribution of each genus along a gradient of turbidity and Chl </w:t>
      </w:r>
      <w:r w:rsidRPr="000B7C45">
        <w:rPr>
          <w:i/>
        </w:rPr>
        <w:t>a</w:t>
      </w:r>
      <w:r w:rsidRPr="000B7C45">
        <w:t xml:space="preserve"> concentration as determined by </w:t>
      </w:r>
      <w:r w:rsidRPr="000B7C45">
        <w:rPr>
          <w:rFonts w:cs="Arial"/>
        </w:rPr>
        <w:t>Canonical Analysis of Principal Coordinates (partial CAP; Anderson &amp; Willis 2003) applied to MMP data</w:t>
      </w:r>
      <w:r w:rsidRPr="000B7C45">
        <w:t xml:space="preserve"> (Thompson </w:t>
      </w:r>
      <w:r w:rsidRPr="000B7C45">
        <w:rPr>
          <w:i/>
        </w:rPr>
        <w:t>et al.</w:t>
      </w:r>
      <w:r w:rsidRPr="000B7C45">
        <w:t xml:space="preserve"> 2014b,</w:t>
      </w:r>
      <w:r>
        <w:t xml:space="preserve"> </w:t>
      </w:r>
      <w:r>
        <w:fldChar w:fldCharType="begin"/>
      </w:r>
      <w:r>
        <w:instrText xml:space="preserve"> REF _Ref501104890 \h </w:instrText>
      </w:r>
      <w:r>
        <w:fldChar w:fldCharType="separate"/>
      </w:r>
      <w:r w:rsidR="00A75175">
        <w:t xml:space="preserve">Table A1. </w:t>
      </w:r>
      <w:r w:rsidR="00A75175">
        <w:rPr>
          <w:noProof/>
        </w:rPr>
        <w:t>2</w:t>
      </w:r>
      <w:r>
        <w:fldChar w:fldCharType="end"/>
      </w:r>
      <w:r w:rsidRPr="000B7C45">
        <w:t>) as:</w:t>
      </w:r>
    </w:p>
    <w:p w14:paraId="60B5FD9E" w14:textId="77777777" w:rsidR="00BD29B3" w:rsidRPr="000B7C45" w:rsidRDefault="00A570BE" w:rsidP="00BD29B3">
      <m:oMathPara>
        <m:oMath>
          <m:sSub>
            <m:sSubPr>
              <m:ctrlPr>
                <w:rPr>
                  <w:rFonts w:ascii="Cambria Math" w:hAnsi="Cambria Math"/>
                  <w:i/>
                  <w:lang w:val="en-AU"/>
                </w:rPr>
              </m:ctrlPr>
            </m:sSubPr>
            <m:e>
              <m:r>
                <w:rPr>
                  <w:rFonts w:ascii="Cambria Math" w:hAnsi="Cambria Math"/>
                </w:rPr>
                <m:t>C</m:t>
              </m:r>
            </m:e>
            <m:sub>
              <m:r>
                <w:rPr>
                  <w:rFonts w:ascii="Cambria Math" w:hAnsi="Cambria Math"/>
                </w:rPr>
                <m:t>t</m:t>
              </m:r>
            </m:sub>
          </m:sSub>
          <m:r>
            <w:rPr>
              <w:rFonts w:ascii="Cambria Math" w:hAnsi="Cambria Math"/>
            </w:rPr>
            <m:t xml:space="preserve">= </m:t>
          </m:r>
          <m:nary>
            <m:naryPr>
              <m:chr m:val="∑"/>
              <m:limLoc m:val="undOvr"/>
              <m:ctrlPr>
                <w:rPr>
                  <w:rFonts w:ascii="Cambria Math" w:hAnsi="Cambria Math"/>
                  <w:i/>
                  <w:lang w:val="en-AU"/>
                </w:rPr>
              </m:ctrlPr>
            </m:naryPr>
            <m:sub>
              <m:r>
                <w:rPr>
                  <w:rFonts w:ascii="Cambria Math" w:hAnsi="Cambria Math"/>
                </w:rPr>
                <m:t>i=1</m:t>
              </m:r>
            </m:sub>
            <m:sup>
              <m:r>
                <w:rPr>
                  <w:rFonts w:ascii="Cambria Math" w:hAnsi="Cambria Math"/>
                </w:rPr>
                <m:t>n</m:t>
              </m:r>
            </m:sup>
            <m:e>
              <m:sSub>
                <m:sSubPr>
                  <m:ctrlPr>
                    <w:rPr>
                      <w:rFonts w:ascii="Cambria Math" w:hAnsi="Cambria Math"/>
                      <w:i/>
                      <w:lang w:val="en-AU"/>
                    </w:rPr>
                  </m:ctrlPr>
                </m:sSubPr>
                <m:e>
                  <m:r>
                    <w:rPr>
                      <w:rFonts w:ascii="Cambria Math" w:hAnsi="Cambria Math"/>
                    </w:rPr>
                    <m:t>H</m:t>
                  </m:r>
                </m:e>
                <m:sub>
                  <m:r>
                    <w:rPr>
                      <w:rFonts w:ascii="Cambria Math" w:hAnsi="Cambria Math"/>
                    </w:rPr>
                    <m:t>it</m:t>
                  </m:r>
                </m:sub>
              </m:sSub>
              <m:r>
                <w:rPr>
                  <w:rFonts w:ascii="Cambria Math" w:hAnsi="Cambria Math"/>
                </w:rPr>
                <m:t>*</m:t>
              </m:r>
              <m:sSub>
                <m:sSubPr>
                  <m:ctrlPr>
                    <w:rPr>
                      <w:rFonts w:ascii="Cambria Math" w:hAnsi="Cambria Math"/>
                      <w:i/>
                      <w:lang w:val="en-AU"/>
                    </w:rPr>
                  </m:ctrlPr>
                </m:sSubPr>
                <m:e>
                  <m:r>
                    <w:rPr>
                      <w:rFonts w:ascii="Cambria Math" w:hAnsi="Cambria Math"/>
                    </w:rPr>
                    <m:t>G</m:t>
                  </m:r>
                </m:e>
                <m:sub>
                  <m:r>
                    <w:rPr>
                      <w:rFonts w:ascii="Cambria Math" w:hAnsi="Cambria Math"/>
                    </w:rPr>
                    <m:t>i</m:t>
                  </m:r>
                </m:sub>
              </m:sSub>
            </m:e>
          </m:nary>
        </m:oMath>
      </m:oMathPara>
    </w:p>
    <w:p w14:paraId="40CF7E66" w14:textId="77777777" w:rsidR="00BD29B3" w:rsidRPr="000B7C45" w:rsidRDefault="00BD29B3" w:rsidP="00BD29B3">
      <w:r w:rsidRPr="000B7C45">
        <w:t>Where</w:t>
      </w:r>
      <w:r w:rsidRPr="000B7C45">
        <w:tab/>
        <w:t xml:space="preserve"> </w:t>
      </w:r>
      <m:oMath>
        <m:sSub>
          <m:sSubPr>
            <m:ctrlPr>
              <w:rPr>
                <w:rFonts w:ascii="Cambria Math" w:hAnsi="Cambria Math"/>
                <w:i/>
                <w:lang w:val="en-AU"/>
              </w:rPr>
            </m:ctrlPr>
          </m:sSubPr>
          <m:e>
            <m:r>
              <w:rPr>
                <w:rFonts w:ascii="Cambria Math" w:hAnsi="Cambria Math"/>
              </w:rPr>
              <m:t>C</m:t>
            </m:r>
          </m:e>
          <m:sub>
            <m:r>
              <w:rPr>
                <w:rFonts w:ascii="Cambria Math" w:hAnsi="Cambria Math"/>
              </w:rPr>
              <m:t>t</m:t>
            </m:r>
          </m:sub>
        </m:sSub>
      </m:oMath>
      <w:r w:rsidRPr="000B7C45">
        <w:t xml:space="preserve"> = the community composition location on along the water quality gradient at time </w:t>
      </w:r>
      <m:oMath>
        <m:r>
          <w:rPr>
            <w:rFonts w:ascii="Cambria Math" w:hAnsi="Cambria Math"/>
          </w:rPr>
          <m:t>t</m:t>
        </m:r>
      </m:oMath>
      <w:r w:rsidRPr="000B7C45">
        <w:t xml:space="preserve">, </w:t>
      </w:r>
    </w:p>
    <w:p w14:paraId="7330ED63" w14:textId="77777777" w:rsidR="00BD29B3" w:rsidRPr="000B7C45" w:rsidRDefault="00BD29B3" w:rsidP="00BD29B3">
      <w:r w:rsidRPr="000B7C45">
        <w:tab/>
      </w:r>
      <m:oMath>
        <m:sSub>
          <m:sSubPr>
            <m:ctrlPr>
              <w:rPr>
                <w:rFonts w:ascii="Cambria Math" w:hAnsi="Cambria Math"/>
                <w:i/>
                <w:lang w:val="en-AU"/>
              </w:rPr>
            </m:ctrlPr>
          </m:sSubPr>
          <m:e>
            <m:r>
              <w:rPr>
                <w:rFonts w:ascii="Cambria Math" w:hAnsi="Cambria Math"/>
              </w:rPr>
              <m:t>H</m:t>
            </m:r>
          </m:e>
          <m:sub>
            <m:r>
              <w:rPr>
                <w:rFonts w:ascii="Cambria Math" w:hAnsi="Cambria Math"/>
              </w:rPr>
              <m:t>it</m:t>
            </m:r>
          </m:sub>
        </m:sSub>
      </m:oMath>
      <w:r w:rsidRPr="000B7C45">
        <w:t xml:space="preserve"> = the Hellinger transformed cover of genus </w:t>
      </w:r>
      <m:oMath>
        <m:r>
          <w:rPr>
            <w:rFonts w:ascii="Cambria Math" w:hAnsi="Cambria Math"/>
          </w:rPr>
          <m:t>i</m:t>
        </m:r>
      </m:oMath>
      <w:r w:rsidRPr="000B7C45">
        <w:t xml:space="preserve"> at time </w:t>
      </w:r>
      <m:oMath>
        <m:r>
          <w:rPr>
            <w:rFonts w:ascii="Cambria Math" w:hAnsi="Cambria Math"/>
          </w:rPr>
          <m:t>t</m:t>
        </m:r>
      </m:oMath>
      <w:r w:rsidRPr="000B7C45">
        <w:t>, and</w:t>
      </w:r>
    </w:p>
    <w:p w14:paraId="370FE31B" w14:textId="77777777" w:rsidR="00BD29B3" w:rsidRPr="000B7C45" w:rsidRDefault="00BD29B3" w:rsidP="00BD29B3">
      <w:r w:rsidRPr="000B7C45">
        <w:tab/>
      </w:r>
      <m:oMath>
        <m:sSub>
          <m:sSubPr>
            <m:ctrlPr>
              <w:rPr>
                <w:rFonts w:ascii="Cambria Math" w:hAnsi="Cambria Math"/>
                <w:i/>
                <w:lang w:val="en-AU"/>
              </w:rPr>
            </m:ctrlPr>
          </m:sSubPr>
          <m:e>
            <m:r>
              <w:rPr>
                <w:rFonts w:ascii="Cambria Math" w:hAnsi="Cambria Math"/>
              </w:rPr>
              <m:t>G</m:t>
            </m:r>
          </m:e>
          <m:sub>
            <m:r>
              <w:rPr>
                <w:rFonts w:ascii="Cambria Math" w:hAnsi="Cambria Math"/>
              </w:rPr>
              <m:t>i</m:t>
            </m:r>
          </m:sub>
        </m:sSub>
      </m:oMath>
      <w:r w:rsidRPr="000B7C45">
        <w:t xml:space="preserve"> = the score for genus </w:t>
      </w:r>
      <m:oMath>
        <m:r>
          <w:rPr>
            <w:rFonts w:ascii="Cambria Math" w:hAnsi="Cambria Math"/>
          </w:rPr>
          <m:t>i</m:t>
        </m:r>
      </m:oMath>
      <w:r w:rsidRPr="000B7C45">
        <w:t xml:space="preserve"> taken from</w:t>
      </w:r>
      <w:r>
        <w:t xml:space="preserve"> </w:t>
      </w:r>
      <w:r>
        <w:fldChar w:fldCharType="begin"/>
      </w:r>
      <w:r>
        <w:instrText xml:space="preserve"> REF _Ref501104907 \h </w:instrText>
      </w:r>
      <w:r>
        <w:fldChar w:fldCharType="separate"/>
      </w:r>
      <w:r w:rsidR="00A75175">
        <w:t xml:space="preserve">Table A1. </w:t>
      </w:r>
      <w:r w:rsidR="00A75175">
        <w:rPr>
          <w:noProof/>
        </w:rPr>
        <w:t>1</w:t>
      </w:r>
      <w:r>
        <w:fldChar w:fldCharType="end"/>
      </w:r>
      <w:r w:rsidRPr="000B7C45">
        <w:t>.</w:t>
      </w:r>
    </w:p>
    <w:p w14:paraId="77884B43" w14:textId="6FAA8A42" w:rsidR="00BD29B3" w:rsidRPr="00F352E1" w:rsidRDefault="00BD29B3" w:rsidP="00BD29B3">
      <w:pPr>
        <w:rPr>
          <w:color w:val="4F81BD" w:themeColor="accent1"/>
        </w:rPr>
      </w:pPr>
      <w:r w:rsidRPr="000B7C45">
        <w:t xml:space="preserve">Indicator metric scores are assigned based on the location of </w:t>
      </w:r>
      <m:oMath>
        <m:sSub>
          <m:sSubPr>
            <m:ctrlPr>
              <w:rPr>
                <w:rFonts w:ascii="Cambria Math" w:hAnsi="Cambria Math"/>
                <w:i/>
                <w:lang w:val="en-AU"/>
              </w:rPr>
            </m:ctrlPr>
          </m:sSubPr>
          <m:e>
            <m:r>
              <w:rPr>
                <w:rFonts w:ascii="Cambria Math" w:hAnsi="Cambria Math"/>
              </w:rPr>
              <m:t>C</m:t>
            </m:r>
          </m:e>
          <m:sub>
            <m:r>
              <w:rPr>
                <w:rFonts w:ascii="Cambria Math" w:hAnsi="Cambria Math"/>
              </w:rPr>
              <m:t>t</m:t>
            </m:r>
          </m:sub>
        </m:sSub>
      </m:oMath>
      <w:r w:rsidRPr="000B7C45">
        <w:t xml:space="preserve"> for the year of interest relative to a community specific baseline. The baseline for each community is bounded by the 95% confidence intervals about the mean </w:t>
      </w:r>
      <m:oMath>
        <m:sSub>
          <m:sSubPr>
            <m:ctrlPr>
              <w:rPr>
                <w:rFonts w:ascii="Cambria Math" w:hAnsi="Cambria Math"/>
                <w:i/>
                <w:lang w:val="en-AU"/>
              </w:rPr>
            </m:ctrlPr>
          </m:sSubPr>
          <m:e>
            <m:r>
              <w:rPr>
                <w:rFonts w:ascii="Cambria Math" w:hAnsi="Cambria Math"/>
              </w:rPr>
              <m:t>C</m:t>
            </m:r>
          </m:e>
          <m:sub>
            <m:r>
              <w:rPr>
                <w:rFonts w:ascii="Cambria Math" w:hAnsi="Cambria Math"/>
              </w:rPr>
              <m:t>t</m:t>
            </m:r>
          </m:sub>
        </m:sSub>
      </m:oMath>
      <w:r w:rsidRPr="000B7C45">
        <w:t xml:space="preserve"> from the first five years of observations of the community at each reef and depth. The scoring of the metric is categorical being 0.5 when </w:t>
      </w:r>
      <m:oMath>
        <m:sSub>
          <m:sSubPr>
            <m:ctrlPr>
              <w:rPr>
                <w:rFonts w:ascii="Cambria Math" w:hAnsi="Cambria Math"/>
                <w:i/>
                <w:lang w:val="en-AU"/>
              </w:rPr>
            </m:ctrlPr>
          </m:sSubPr>
          <m:e>
            <m:r>
              <w:rPr>
                <w:rFonts w:ascii="Cambria Math" w:hAnsi="Cambria Math"/>
              </w:rPr>
              <m:t>C</m:t>
            </m:r>
          </m:e>
          <m:sub>
            <m:r>
              <w:rPr>
                <w:rFonts w:ascii="Cambria Math" w:hAnsi="Cambria Math"/>
              </w:rPr>
              <m:t>t</m:t>
            </m:r>
          </m:sub>
        </m:sSub>
      </m:oMath>
      <w:r w:rsidRPr="000B7C45">
        <w:t xml:space="preserve"> falls within the 95% confidence intervals for the location, 1 if beyond the confidence interval in a direction toward communities representative of lower turbidity and Chl </w:t>
      </w:r>
      <w:r w:rsidRPr="000B7C45">
        <w:rPr>
          <w:i/>
        </w:rPr>
        <w:t>a</w:t>
      </w:r>
      <w:r w:rsidRPr="000B7C45">
        <w:t xml:space="preserve"> concentrations, and 0 if beyond the confidence interval in the direction of communities representative of higher turbidity and Chl </w:t>
      </w:r>
      <w:r w:rsidRPr="000B7C45">
        <w:rPr>
          <w:i/>
        </w:rPr>
        <w:t>a</w:t>
      </w:r>
      <w:r w:rsidRPr="000B7C45">
        <w:t xml:space="preserve"> concentrations (</w:t>
      </w:r>
      <w:r w:rsidR="001D54B5">
        <w:fldChar w:fldCharType="begin"/>
      </w:r>
      <w:r w:rsidR="001D54B5">
        <w:instrText xml:space="preserve"> REF _Ref514406189 \h </w:instrText>
      </w:r>
      <w:r w:rsidR="001D54B5">
        <w:fldChar w:fldCharType="separate"/>
      </w:r>
      <w:r w:rsidR="00A75175" w:rsidRPr="00F352E1">
        <w:t xml:space="preserve">Figure </w:t>
      </w:r>
      <w:r w:rsidR="00A75175">
        <w:rPr>
          <w:noProof/>
        </w:rPr>
        <w:t>6</w:t>
      </w:r>
      <w:r w:rsidR="001D54B5">
        <w:fldChar w:fldCharType="end"/>
      </w:r>
      <w:r w:rsidRPr="000B7C45">
        <w:t>).</w:t>
      </w:r>
    </w:p>
    <w:p w14:paraId="42BC3BFB" w14:textId="77777777" w:rsidR="00BD29B3" w:rsidRPr="00F352E1" w:rsidRDefault="00BD29B3" w:rsidP="00BD29B3">
      <w:pPr>
        <w:spacing w:after="0"/>
        <w:jc w:val="left"/>
        <w:rPr>
          <w:rFonts w:cs="Arial"/>
          <w:color w:val="4F81BD" w:themeColor="accent1"/>
        </w:rPr>
      </w:pPr>
      <w:r w:rsidRPr="00F352E1">
        <w:rPr>
          <w:rFonts w:cs="Arial"/>
          <w:noProof/>
          <w:color w:val="4F81BD" w:themeColor="accent1"/>
          <w:lang w:val="en-AU" w:eastAsia="en-AU"/>
        </w:rPr>
        <w:drawing>
          <wp:inline distT="0" distB="0" distL="0" distR="0" wp14:anchorId="70250841" wp14:editId="57BA9E79">
            <wp:extent cx="3599695" cy="2877318"/>
            <wp:effectExtent l="0" t="0" r="1270" b="0"/>
            <wp:docPr id="233" name="Picture 233" descr="Diagram that describes the scoring and categorisation of the composition metric" title="Figure 7 Scoring diagram for the Composition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osition_scoring.pn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3599695" cy="2877318"/>
                    </a:xfrm>
                    <a:prstGeom prst="rect">
                      <a:avLst/>
                    </a:prstGeom>
                  </pic:spPr>
                </pic:pic>
              </a:graphicData>
            </a:graphic>
          </wp:inline>
        </w:drawing>
      </w:r>
    </w:p>
    <w:p w14:paraId="4A55E2BA" w14:textId="77777777" w:rsidR="00BD29B3" w:rsidRDefault="00BD29B3" w:rsidP="00606A50">
      <w:pPr>
        <w:pStyle w:val="Caption"/>
      </w:pPr>
      <w:bookmarkStart w:id="101" w:name="_Toc514335652"/>
      <w:r w:rsidRPr="00F352E1">
        <w:t xml:space="preserve">Figure </w:t>
      </w:r>
      <w:r>
        <w:fldChar w:fldCharType="begin"/>
      </w:r>
      <w:r>
        <w:instrText xml:space="preserve"> SEQ Figure \* ARABIC </w:instrText>
      </w:r>
      <w:r>
        <w:fldChar w:fldCharType="separate"/>
      </w:r>
      <w:r w:rsidR="00A75175">
        <w:rPr>
          <w:noProof/>
        </w:rPr>
        <w:t>7</w:t>
      </w:r>
      <w:r>
        <w:rPr>
          <w:noProof/>
        </w:rPr>
        <w:fldChar w:fldCharType="end"/>
      </w:r>
      <w:r w:rsidRPr="00F352E1">
        <w:t xml:space="preserve"> Scoring diagram for Community Composition metric</w:t>
      </w:r>
      <w:bookmarkEnd w:id="101"/>
    </w:p>
    <w:p w14:paraId="1C3A18C1" w14:textId="7BD46958" w:rsidR="00B71279" w:rsidRDefault="00B71279">
      <w:pPr>
        <w:jc w:val="left"/>
      </w:pPr>
      <w:r>
        <w:br w:type="page"/>
      </w:r>
    </w:p>
    <w:p w14:paraId="5BE7CB8A" w14:textId="3B16A6D6" w:rsidR="00BD29B3" w:rsidRPr="000B7C45" w:rsidRDefault="00BD29B3" w:rsidP="00BD29B3">
      <w:pPr>
        <w:pStyle w:val="Heading3"/>
      </w:pPr>
      <w:bookmarkStart w:id="102" w:name="_Toc514408397"/>
      <w:r w:rsidRPr="000B7C45">
        <w:t>4.</w:t>
      </w:r>
      <w:r>
        <w:t>6</w:t>
      </w:r>
      <w:r w:rsidRPr="000B7C45">
        <w:t>.6 Aggregating indicator scores to regional scale assessments</w:t>
      </w:r>
      <w:bookmarkEnd w:id="102"/>
      <w:r w:rsidRPr="000B7C45">
        <w:t xml:space="preserve"> </w:t>
      </w:r>
    </w:p>
    <w:p w14:paraId="66786265" w14:textId="77777777" w:rsidR="00BD29B3" w:rsidRPr="000B7C45" w:rsidRDefault="00BD29B3" w:rsidP="00BD29B3">
      <w:r w:rsidRPr="000B7C45">
        <w:t xml:space="preserve">In aggregating scores for various indicators into a single index uncertainty should be considered. The degree of uncertainty in an index score derived for any spatial scale of interest will include uncertainty across multiple levels: from basic observational error, the relevance of thresholds and then variation in scores for different indicators or communities being assessed. </w:t>
      </w:r>
    </w:p>
    <w:p w14:paraId="3363A0CC" w14:textId="19F25A3B" w:rsidR="00BD29B3" w:rsidRPr="000B7C45" w:rsidRDefault="00BD29B3" w:rsidP="00BD29B3">
      <w:pPr>
        <w:rPr>
          <w:rFonts w:cs="LMSansQuot8-Regular"/>
        </w:rPr>
      </w:pPr>
      <w:r w:rsidRPr="000B7C45">
        <w:t>In order to derive report card scores for regions that propagated uncertainty through the double hierarchical aggregation of indicators and then reefs</w:t>
      </w:r>
      <w:r w:rsidR="00A21333">
        <w:t>,</w:t>
      </w:r>
      <w:r w:rsidRPr="000B7C45">
        <w:t xml:space="preserve"> a bootstrapping method was adopted. Firstly, for each indicator a distribution of 10,000 observations was created by resampling (with replacement) from the observed scores for all reef and depth combinations within the Region. For the Wet Tropics where there are three sub-regions</w:t>
      </w:r>
      <w:r w:rsidR="00A21333">
        <w:t>,</w:t>
      </w:r>
      <w:r w:rsidRPr="000B7C45">
        <w:t xml:space="preserve"> an additional step involved the adding together the 10,000 strong distributions for each indicator from each sub-region and resampling the resulting distributions (with replacement) 10,000 times to derive a single 10,000 strong distribution for each indicator at the regional scale. Secondly these 5 resulting distributions (one for each indicator) were added together and collectively resampled 10,000 times (with replacement) to derive a single distribution comprising 10,000 scores. </w:t>
      </w:r>
      <w:r w:rsidRPr="000B7C45">
        <w:rPr>
          <w:rFonts w:cs="LMSansQuot8-Regular"/>
        </w:rPr>
        <w:t>Importantly, the large number of resamples ensures that the distributions accurately reflect the underlying data distributions and yet comprise a known number of items independent of the original input sizes. This ensures that all inputs have equal weights and aggregations are not biased towards inputs with more data (for example, all reefs and sub-regions contribute equally to region level aggregations despite their being more reefs in some sub-regions than others).</w:t>
      </w:r>
    </w:p>
    <w:p w14:paraId="101C7F5D" w14:textId="77777777" w:rsidR="00BD29B3" w:rsidRPr="000B7C45" w:rsidRDefault="00BD29B3" w:rsidP="00BD29B3">
      <w:pPr>
        <w:autoSpaceDE w:val="0"/>
        <w:autoSpaceDN w:val="0"/>
        <w:adjustRightInd w:val="0"/>
        <w:rPr>
          <w:rFonts w:cs="LMSansQuot8-Regular"/>
        </w:rPr>
      </w:pPr>
      <w:r w:rsidRPr="000B7C45">
        <w:rPr>
          <w:rFonts w:cs="LMSansQuot8-Regular"/>
        </w:rPr>
        <w:t>The mean of the resulting distribution for the (sub</w:t>
      </w:r>
      <w:r>
        <w:rPr>
          <w:rFonts w:cs="LMSansQuot8-Regular"/>
        </w:rPr>
        <w:t>-</w:t>
      </w:r>
      <w:r w:rsidRPr="000B7C45">
        <w:rPr>
          <w:rFonts w:cs="LMSansQuot8-Regular"/>
        </w:rPr>
        <w:t>)region was taken as the coral health index score. Confidence intervals are typically based on estimates of precision (such as standard error) rather than variance. Precision is itself an estimate of repeatability - in the case of precision of a mean; it is an estimate of the variance of repeated means. Hence, we can estimate precision by repeatedly resampling from the distribution and each time calculating a mean. However, the more times the distribution is resampled, the more means are generated and thus the lower the variance of means.</w:t>
      </w:r>
    </w:p>
    <w:p w14:paraId="5AA85809" w14:textId="045EC8D7" w:rsidR="00BD29B3" w:rsidRPr="000B7C45" w:rsidRDefault="00BD29B3" w:rsidP="003668DB">
      <w:pPr>
        <w:autoSpaceDE w:val="0"/>
        <w:autoSpaceDN w:val="0"/>
        <w:adjustRightInd w:val="0"/>
        <w:rPr>
          <w:rFonts w:cs="LMSansQuot8-Regular"/>
        </w:rPr>
      </w:pPr>
      <w:r w:rsidRPr="000B7C45">
        <w:rPr>
          <w:rFonts w:cs="LMSansQuot8-Regular"/>
        </w:rPr>
        <w:t xml:space="preserve">To generate estimates of precision (and thus confidence intervals) appropriate for the scale of the sampling design, </w:t>
      </w:r>
      <w:r w:rsidR="00A21333">
        <w:rPr>
          <w:rFonts w:cs="LMSansQuot8-Regular"/>
        </w:rPr>
        <w:t xml:space="preserve">the bootstrapped distribution of 10,000 scores </w:t>
      </w:r>
      <w:r w:rsidR="003668DB">
        <w:rPr>
          <w:rFonts w:cs="LMSansQuot8-Regular"/>
        </w:rPr>
        <w:t xml:space="preserve">was </w:t>
      </w:r>
      <w:r w:rsidRPr="000B7C45">
        <w:rPr>
          <w:rFonts w:cs="LMSansQuot8-Regular"/>
        </w:rPr>
        <w:t>resample</w:t>
      </w:r>
      <w:r w:rsidR="003668DB">
        <w:rPr>
          <w:rFonts w:cs="LMSansQuot8-Regular"/>
        </w:rPr>
        <w:t>d</w:t>
      </w:r>
      <w:r w:rsidRPr="000B7C45">
        <w:rPr>
          <w:rFonts w:cs="LMSansQuot8-Regular"/>
        </w:rPr>
        <w:t xml:space="preserve"> once for every original </w:t>
      </w:r>
      <w:r w:rsidR="003668DB">
        <w:rPr>
          <w:rFonts w:cs="LMSansQuot8-Regular"/>
        </w:rPr>
        <w:t>input metric score</w:t>
      </w:r>
    </w:p>
    <w:p w14:paraId="07462D49" w14:textId="4516308D" w:rsidR="00BD29B3" w:rsidRPr="000B7C45" w:rsidRDefault="00BD29B3" w:rsidP="00BD29B3">
      <w:pPr>
        <w:rPr>
          <w:rFonts w:cs="LMSansQuot8-Regular"/>
        </w:rPr>
      </w:pPr>
      <w:r w:rsidRPr="000B7C45">
        <w:rPr>
          <w:rFonts w:cs="LMSansQuot8-Regular"/>
        </w:rPr>
        <w:t xml:space="preserve">Confidence intervals were calculated as the </w:t>
      </w:r>
      <w:r w:rsidR="003668DB">
        <w:rPr>
          <w:rFonts w:cs="LMSansQuot8-Regular"/>
        </w:rPr>
        <w:t>2.5</w:t>
      </w:r>
      <w:r w:rsidRPr="000B7C45">
        <w:rPr>
          <w:rFonts w:cs="LMSansQuot8-Regular"/>
        </w:rPr>
        <w:t xml:space="preserve">% </w:t>
      </w:r>
      <w:r w:rsidR="003668DB">
        <w:rPr>
          <w:rFonts w:cs="LMSansQuot8-Regular"/>
        </w:rPr>
        <w:t xml:space="preserve">and 97.5% </w:t>
      </w:r>
      <w:r w:rsidRPr="000B7C45">
        <w:rPr>
          <w:rFonts w:cs="LMSansQuot8-Regular"/>
        </w:rPr>
        <w:t>quantiles of repeated means.</w:t>
      </w:r>
    </w:p>
    <w:p w14:paraId="2A43FF18" w14:textId="77777777" w:rsidR="00BD29B3" w:rsidRPr="000B7C45" w:rsidRDefault="00BD29B3" w:rsidP="00BD29B3">
      <w:pPr>
        <w:autoSpaceDE w:val="0"/>
        <w:autoSpaceDN w:val="0"/>
        <w:adjustRightInd w:val="0"/>
        <w:rPr>
          <w:rFonts w:cs="Arial"/>
          <w:szCs w:val="22"/>
          <w:lang w:eastAsia="en-GB"/>
        </w:rPr>
      </w:pPr>
      <w:r w:rsidRPr="000B7C45">
        <w:rPr>
          <w:rFonts w:cs="Arial"/>
          <w:szCs w:val="22"/>
          <w:lang w:eastAsia="en-GB"/>
        </w:rPr>
        <w:t>Lastly index scores were converted to qualitative assessments by converting to a five point rating and colour scheme with scores of:</w:t>
      </w:r>
    </w:p>
    <w:p w14:paraId="0D9E10B1" w14:textId="77777777" w:rsidR="00BD29B3" w:rsidRPr="000B7C45" w:rsidRDefault="00BD29B3" w:rsidP="00BD29B3">
      <w:pPr>
        <w:numPr>
          <w:ilvl w:val="0"/>
          <w:numId w:val="14"/>
        </w:numPr>
        <w:autoSpaceDE w:val="0"/>
        <w:autoSpaceDN w:val="0"/>
        <w:adjustRightInd w:val="0"/>
        <w:spacing w:after="0"/>
        <w:ind w:left="760" w:hanging="357"/>
        <w:rPr>
          <w:rFonts w:cs="Arial"/>
          <w:szCs w:val="22"/>
          <w:lang w:eastAsia="en-GB"/>
        </w:rPr>
      </w:pPr>
      <w:r w:rsidRPr="000B7C45">
        <w:rPr>
          <w:rFonts w:cs="Arial"/>
          <w:szCs w:val="22"/>
          <w:lang w:eastAsia="en-GB"/>
        </w:rPr>
        <w:t xml:space="preserve">0 to 0.2 were rated as ‘very poor’ and coloured red </w:t>
      </w:r>
    </w:p>
    <w:p w14:paraId="03F30908" w14:textId="77777777" w:rsidR="00BD29B3" w:rsidRPr="000B7C45" w:rsidRDefault="00BD29B3" w:rsidP="00BD29B3">
      <w:pPr>
        <w:numPr>
          <w:ilvl w:val="0"/>
          <w:numId w:val="14"/>
        </w:numPr>
        <w:autoSpaceDE w:val="0"/>
        <w:autoSpaceDN w:val="0"/>
        <w:adjustRightInd w:val="0"/>
        <w:spacing w:after="0"/>
        <w:ind w:left="760" w:hanging="357"/>
        <w:rPr>
          <w:rFonts w:cs="Arial"/>
          <w:szCs w:val="22"/>
          <w:lang w:eastAsia="en-GB"/>
        </w:rPr>
      </w:pPr>
      <w:r w:rsidRPr="000B7C45">
        <w:rPr>
          <w:rFonts w:cs="Arial"/>
          <w:szCs w:val="22"/>
          <w:lang w:eastAsia="en-GB"/>
        </w:rPr>
        <w:t xml:space="preserve">&gt;0.2 to 0.4 were rated as ‘poor’ and coloured orange </w:t>
      </w:r>
    </w:p>
    <w:p w14:paraId="1DAE2A43" w14:textId="77777777" w:rsidR="00BD29B3" w:rsidRPr="000B7C45" w:rsidRDefault="00BD29B3" w:rsidP="00BD29B3">
      <w:pPr>
        <w:numPr>
          <w:ilvl w:val="0"/>
          <w:numId w:val="14"/>
        </w:numPr>
        <w:autoSpaceDE w:val="0"/>
        <w:autoSpaceDN w:val="0"/>
        <w:adjustRightInd w:val="0"/>
        <w:spacing w:after="0"/>
        <w:ind w:left="760" w:hanging="357"/>
        <w:rPr>
          <w:rFonts w:cs="Arial"/>
          <w:szCs w:val="22"/>
          <w:lang w:eastAsia="en-GB"/>
        </w:rPr>
      </w:pPr>
      <w:r w:rsidRPr="000B7C45">
        <w:rPr>
          <w:rFonts w:cs="Arial"/>
          <w:szCs w:val="22"/>
          <w:lang w:eastAsia="en-GB"/>
        </w:rPr>
        <w:t xml:space="preserve">&gt;0.4 to 0.6 were rated as ‘moderate’ and coloured yellow </w:t>
      </w:r>
    </w:p>
    <w:p w14:paraId="3D980237" w14:textId="77777777" w:rsidR="00BD29B3" w:rsidRPr="000B7C45" w:rsidRDefault="00BD29B3" w:rsidP="00BD29B3">
      <w:pPr>
        <w:numPr>
          <w:ilvl w:val="0"/>
          <w:numId w:val="14"/>
        </w:numPr>
        <w:autoSpaceDE w:val="0"/>
        <w:autoSpaceDN w:val="0"/>
        <w:adjustRightInd w:val="0"/>
        <w:spacing w:after="0"/>
        <w:ind w:left="760" w:hanging="357"/>
        <w:rPr>
          <w:rFonts w:cs="Arial"/>
          <w:szCs w:val="22"/>
          <w:lang w:eastAsia="en-GB"/>
        </w:rPr>
      </w:pPr>
      <w:r w:rsidRPr="000B7C45">
        <w:rPr>
          <w:rFonts w:cs="Arial"/>
          <w:szCs w:val="22"/>
          <w:lang w:eastAsia="en-GB"/>
        </w:rPr>
        <w:t xml:space="preserve">&gt;0.6 to 0.8 were rated as ‘good’, and coloured light green </w:t>
      </w:r>
    </w:p>
    <w:p w14:paraId="0B99C276" w14:textId="77777777" w:rsidR="00BD29B3" w:rsidRDefault="00BD29B3" w:rsidP="00BD29B3">
      <w:pPr>
        <w:numPr>
          <w:ilvl w:val="0"/>
          <w:numId w:val="14"/>
        </w:numPr>
        <w:autoSpaceDE w:val="0"/>
        <w:autoSpaceDN w:val="0"/>
        <w:adjustRightInd w:val="0"/>
        <w:spacing w:after="0"/>
        <w:ind w:left="760" w:hanging="357"/>
        <w:rPr>
          <w:rFonts w:cs="Arial"/>
          <w:szCs w:val="22"/>
          <w:lang w:eastAsia="en-GB"/>
        </w:rPr>
      </w:pPr>
      <w:r w:rsidRPr="000B7C45">
        <w:rPr>
          <w:rFonts w:cs="Arial"/>
          <w:szCs w:val="22"/>
          <w:lang w:eastAsia="en-GB"/>
        </w:rPr>
        <w:t>&gt;0.8 were rated as ‘very good’ and coloured dark green.</w:t>
      </w:r>
    </w:p>
    <w:p w14:paraId="24C5F17A" w14:textId="77777777" w:rsidR="00BD29B3" w:rsidRPr="000B7C45" w:rsidRDefault="00BD29B3" w:rsidP="00BD29B3">
      <w:pPr>
        <w:autoSpaceDE w:val="0"/>
        <w:autoSpaceDN w:val="0"/>
        <w:adjustRightInd w:val="0"/>
        <w:spacing w:after="0"/>
        <w:ind w:left="403"/>
        <w:rPr>
          <w:rFonts w:cs="Arial"/>
          <w:szCs w:val="22"/>
          <w:lang w:eastAsia="en-GB"/>
        </w:rPr>
      </w:pPr>
      <w:r w:rsidRPr="000B7C45">
        <w:rPr>
          <w:rFonts w:cs="Arial"/>
          <w:szCs w:val="22"/>
          <w:lang w:eastAsia="en-GB"/>
        </w:rPr>
        <w:t xml:space="preserve"> </w:t>
      </w:r>
    </w:p>
    <w:p w14:paraId="58CD892B" w14:textId="13ABA2BB" w:rsidR="00BD29B3" w:rsidRDefault="00BD29B3" w:rsidP="00BD29B3">
      <w:r w:rsidRPr="000B7C45">
        <w:t>The indicators and the associated thresholds and scoring system utilised is summarised in</w:t>
      </w:r>
      <w:r w:rsidR="0024084A">
        <w:t xml:space="preserve"> </w:t>
      </w:r>
      <w:r w:rsidR="0024084A">
        <w:fldChar w:fldCharType="begin"/>
      </w:r>
      <w:r w:rsidR="0024084A">
        <w:instrText xml:space="preserve"> REF _Ref514406383 \h </w:instrText>
      </w:r>
      <w:r w:rsidR="0024084A">
        <w:fldChar w:fldCharType="separate"/>
      </w:r>
      <w:r w:rsidR="00A75175">
        <w:t xml:space="preserve">Table </w:t>
      </w:r>
      <w:r w:rsidR="00A75175">
        <w:rPr>
          <w:noProof/>
        </w:rPr>
        <w:t>5</w:t>
      </w:r>
      <w:r w:rsidR="0024084A">
        <w:fldChar w:fldCharType="end"/>
      </w:r>
      <w:r w:rsidRPr="000B7C45">
        <w:t>. We note that the community composition indicator is likely to respond over longer time frames than the other indicators due to the inertia in community composition imposed by long lived coral species.</w:t>
      </w:r>
    </w:p>
    <w:p w14:paraId="1F7B5E52" w14:textId="3812B95E" w:rsidR="00B71279" w:rsidRDefault="00B71279">
      <w:pPr>
        <w:jc w:val="left"/>
      </w:pPr>
      <w:r>
        <w:br w:type="page"/>
      </w:r>
    </w:p>
    <w:p w14:paraId="60142B22" w14:textId="73EA1499" w:rsidR="00BD29B3" w:rsidRPr="000B7C45" w:rsidRDefault="001D54B5" w:rsidP="001D54B5">
      <w:pPr>
        <w:pStyle w:val="Caption"/>
      </w:pPr>
      <w:bookmarkStart w:id="103" w:name="_Ref514406383"/>
      <w:bookmarkStart w:id="104" w:name="_Toc514407853"/>
      <w:r>
        <w:t xml:space="preserve">Table </w:t>
      </w:r>
      <w:r>
        <w:fldChar w:fldCharType="begin"/>
      </w:r>
      <w:r>
        <w:instrText xml:space="preserve"> SEQ Table \* ARABIC </w:instrText>
      </w:r>
      <w:r>
        <w:fldChar w:fldCharType="separate"/>
      </w:r>
      <w:r w:rsidR="00A75175">
        <w:rPr>
          <w:noProof/>
        </w:rPr>
        <w:t>5</w:t>
      </w:r>
      <w:r>
        <w:fldChar w:fldCharType="end"/>
      </w:r>
      <w:bookmarkEnd w:id="103"/>
      <w:r w:rsidR="001F701F" w:rsidRPr="000B7C45">
        <w:t xml:space="preserve"> </w:t>
      </w:r>
      <w:r w:rsidR="00BD29B3" w:rsidRPr="000B7C45">
        <w:t>Threshold values for the assessment of coral reef condition and resilience indicators.</w:t>
      </w:r>
      <w:bookmarkEnd w:id="104"/>
    </w:p>
    <w:tbl>
      <w:tblPr>
        <w:tblW w:w="9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firstRow="1" w:lastRow="1" w:firstColumn="1" w:lastColumn="1" w:noHBand="0" w:noVBand="0"/>
        <w:tblCaption w:val="Summary of thresholds and scoring for each indicator metric"/>
        <w:tblDescription w:val="Summary the thresholds and scoring described in text for each indicator metric"/>
      </w:tblPr>
      <w:tblGrid>
        <w:gridCol w:w="2609"/>
        <w:gridCol w:w="2410"/>
        <w:gridCol w:w="4110"/>
      </w:tblGrid>
      <w:tr w:rsidR="00BD29B3" w:rsidRPr="000B7C45" w14:paraId="34C0C3E5" w14:textId="77777777" w:rsidTr="00A21333">
        <w:tc>
          <w:tcPr>
            <w:tcW w:w="2609" w:type="dxa"/>
            <w:shd w:val="clear" w:color="auto" w:fill="E6E6E6"/>
            <w:noWrap/>
            <w:tcMar>
              <w:left w:w="57" w:type="dxa"/>
              <w:right w:w="57" w:type="dxa"/>
            </w:tcMar>
          </w:tcPr>
          <w:p w14:paraId="00C7A281"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b/>
                <w:sz w:val="20"/>
              </w:rPr>
            </w:pPr>
            <w:r w:rsidRPr="000B7C45">
              <w:rPr>
                <w:rFonts w:ascii="Arial Narrow" w:hAnsi="Arial Narrow"/>
                <w:b/>
                <w:sz w:val="20"/>
              </w:rPr>
              <w:t>Community attribute</w:t>
            </w:r>
          </w:p>
        </w:tc>
        <w:tc>
          <w:tcPr>
            <w:tcW w:w="2410" w:type="dxa"/>
            <w:shd w:val="clear" w:color="auto" w:fill="E6E6E6"/>
            <w:noWrap/>
            <w:tcMar>
              <w:left w:w="57" w:type="dxa"/>
              <w:right w:w="57" w:type="dxa"/>
            </w:tcMar>
          </w:tcPr>
          <w:p w14:paraId="05B1D89A"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b/>
                <w:sz w:val="20"/>
              </w:rPr>
            </w:pPr>
            <w:r w:rsidRPr="000B7C45">
              <w:rPr>
                <w:rFonts w:ascii="Arial Narrow" w:hAnsi="Arial Narrow"/>
                <w:b/>
                <w:sz w:val="20"/>
              </w:rPr>
              <w:t>Score</w:t>
            </w:r>
          </w:p>
        </w:tc>
        <w:tc>
          <w:tcPr>
            <w:tcW w:w="4110" w:type="dxa"/>
            <w:shd w:val="clear" w:color="auto" w:fill="E6E6E6"/>
            <w:tcMar>
              <w:left w:w="57" w:type="dxa"/>
              <w:right w:w="57" w:type="dxa"/>
            </w:tcMar>
          </w:tcPr>
          <w:p w14:paraId="12CF4618"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b/>
                <w:sz w:val="20"/>
              </w:rPr>
            </w:pPr>
            <w:r w:rsidRPr="000B7C45">
              <w:rPr>
                <w:rFonts w:ascii="Arial Narrow" w:hAnsi="Arial Narrow"/>
                <w:b/>
                <w:sz w:val="20"/>
              </w:rPr>
              <w:t>Thresholds</w:t>
            </w:r>
          </w:p>
        </w:tc>
      </w:tr>
      <w:tr w:rsidR="00BD29B3" w:rsidRPr="000B7C45" w14:paraId="798FB3D3" w14:textId="77777777" w:rsidTr="00A21333">
        <w:tc>
          <w:tcPr>
            <w:tcW w:w="2609" w:type="dxa"/>
            <w:vMerge w:val="restart"/>
            <w:shd w:val="clear" w:color="auto" w:fill="auto"/>
            <w:noWrap/>
            <w:tcMar>
              <w:left w:w="57" w:type="dxa"/>
              <w:right w:w="57" w:type="dxa"/>
            </w:tcMar>
          </w:tcPr>
          <w:p w14:paraId="6227F319"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b/>
                <w:sz w:val="20"/>
              </w:rPr>
            </w:pPr>
            <w:r w:rsidRPr="000B7C45">
              <w:rPr>
                <w:rFonts w:ascii="Arial Narrow" w:hAnsi="Arial Narrow"/>
                <w:sz w:val="20"/>
              </w:rPr>
              <w:t>Combined hard and soft coral cover</w:t>
            </w:r>
          </w:p>
        </w:tc>
        <w:tc>
          <w:tcPr>
            <w:tcW w:w="2410" w:type="dxa"/>
            <w:vMerge w:val="restart"/>
            <w:shd w:val="clear" w:color="auto" w:fill="auto"/>
            <w:noWrap/>
            <w:tcMar>
              <w:left w:w="57" w:type="dxa"/>
              <w:right w:w="57" w:type="dxa"/>
            </w:tcMar>
          </w:tcPr>
          <w:p w14:paraId="31A6005E"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b/>
                <w:sz w:val="20"/>
              </w:rPr>
            </w:pPr>
            <w:r w:rsidRPr="000B7C45">
              <w:rPr>
                <w:rFonts w:ascii="Arial Narrow" w:hAnsi="Arial Narrow"/>
                <w:sz w:val="20"/>
              </w:rPr>
              <w:t>Continuous between 0-1</w:t>
            </w:r>
          </w:p>
        </w:tc>
        <w:tc>
          <w:tcPr>
            <w:tcW w:w="4110" w:type="dxa"/>
            <w:shd w:val="clear" w:color="auto" w:fill="auto"/>
            <w:tcMar>
              <w:left w:w="57" w:type="dxa"/>
              <w:right w:w="57" w:type="dxa"/>
            </w:tcMar>
          </w:tcPr>
          <w:p w14:paraId="4868DA68"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b/>
                <w:sz w:val="20"/>
              </w:rPr>
            </w:pPr>
            <w:r w:rsidRPr="000B7C45">
              <w:rPr>
                <w:rFonts w:ascii="Arial Narrow" w:hAnsi="Arial Narrow"/>
                <w:sz w:val="20"/>
              </w:rPr>
              <w:t>1 at 75% cover or greater</w:t>
            </w:r>
          </w:p>
        </w:tc>
      </w:tr>
      <w:tr w:rsidR="00BD29B3" w:rsidRPr="000B7C45" w14:paraId="4CF11310" w14:textId="77777777" w:rsidTr="00A21333">
        <w:tc>
          <w:tcPr>
            <w:tcW w:w="2609" w:type="dxa"/>
            <w:vMerge/>
            <w:shd w:val="clear" w:color="auto" w:fill="auto"/>
            <w:noWrap/>
            <w:tcMar>
              <w:left w:w="57" w:type="dxa"/>
              <w:right w:w="57" w:type="dxa"/>
            </w:tcMar>
          </w:tcPr>
          <w:p w14:paraId="18F2A303"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b/>
                <w:sz w:val="20"/>
              </w:rPr>
            </w:pPr>
          </w:p>
        </w:tc>
        <w:tc>
          <w:tcPr>
            <w:tcW w:w="2410" w:type="dxa"/>
            <w:vMerge/>
            <w:shd w:val="clear" w:color="auto" w:fill="auto"/>
            <w:noWrap/>
            <w:tcMar>
              <w:left w:w="57" w:type="dxa"/>
              <w:right w:w="57" w:type="dxa"/>
            </w:tcMar>
          </w:tcPr>
          <w:p w14:paraId="2F645939"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b/>
                <w:sz w:val="20"/>
              </w:rPr>
            </w:pPr>
          </w:p>
        </w:tc>
        <w:tc>
          <w:tcPr>
            <w:tcW w:w="4110" w:type="dxa"/>
            <w:shd w:val="clear" w:color="auto" w:fill="auto"/>
            <w:tcMar>
              <w:left w:w="57" w:type="dxa"/>
              <w:right w:w="57" w:type="dxa"/>
            </w:tcMar>
          </w:tcPr>
          <w:p w14:paraId="37BF9CD9"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b/>
                <w:sz w:val="20"/>
              </w:rPr>
            </w:pPr>
            <w:r w:rsidRPr="000B7C45">
              <w:rPr>
                <w:rFonts w:ascii="Arial Narrow" w:hAnsi="Arial Narrow"/>
                <w:sz w:val="20"/>
              </w:rPr>
              <w:t>0 at zero cover</w:t>
            </w:r>
          </w:p>
        </w:tc>
      </w:tr>
      <w:tr w:rsidR="00BD29B3" w:rsidRPr="000B7C45" w14:paraId="1E477273" w14:textId="77777777" w:rsidTr="00A21333">
        <w:trPr>
          <w:cantSplit/>
        </w:trPr>
        <w:tc>
          <w:tcPr>
            <w:tcW w:w="2609" w:type="dxa"/>
            <w:vMerge w:val="restart"/>
            <w:noWrap/>
            <w:tcMar>
              <w:left w:w="57" w:type="dxa"/>
              <w:right w:w="57" w:type="dxa"/>
            </w:tcMar>
          </w:tcPr>
          <w:p w14:paraId="57752BAC"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sz w:val="20"/>
              </w:rPr>
            </w:pPr>
            <w:r w:rsidRPr="000B7C45">
              <w:rPr>
                <w:rFonts w:ascii="Arial Narrow" w:hAnsi="Arial Narrow"/>
                <w:sz w:val="20"/>
              </w:rPr>
              <w:t>Rate of increase in hard coral cover (preceding 4 years)</w:t>
            </w:r>
          </w:p>
        </w:tc>
        <w:tc>
          <w:tcPr>
            <w:tcW w:w="2410" w:type="dxa"/>
            <w:noWrap/>
            <w:tcMar>
              <w:left w:w="57" w:type="dxa"/>
              <w:right w:w="57" w:type="dxa"/>
            </w:tcMar>
            <w:vAlign w:val="center"/>
          </w:tcPr>
          <w:p w14:paraId="45193DAD"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1</w:t>
            </w:r>
          </w:p>
        </w:tc>
        <w:tc>
          <w:tcPr>
            <w:tcW w:w="4110" w:type="dxa"/>
            <w:tcMar>
              <w:left w:w="57" w:type="dxa"/>
              <w:right w:w="57" w:type="dxa"/>
            </w:tcMar>
            <w:vAlign w:val="center"/>
          </w:tcPr>
          <w:p w14:paraId="745FE7AB"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Change &gt; 2x upper 95% CI of predicted change</w:t>
            </w:r>
          </w:p>
        </w:tc>
      </w:tr>
      <w:tr w:rsidR="00BD29B3" w:rsidRPr="000B7C45" w14:paraId="6860743B" w14:textId="77777777" w:rsidTr="00A21333">
        <w:trPr>
          <w:cantSplit/>
        </w:trPr>
        <w:tc>
          <w:tcPr>
            <w:tcW w:w="2609" w:type="dxa"/>
            <w:vMerge/>
            <w:noWrap/>
            <w:tcMar>
              <w:left w:w="57" w:type="dxa"/>
              <w:right w:w="57" w:type="dxa"/>
            </w:tcMar>
          </w:tcPr>
          <w:p w14:paraId="35FE6BD6"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7C7BC435"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Continuous between 0.6 and 0.9</w:t>
            </w:r>
          </w:p>
        </w:tc>
        <w:tc>
          <w:tcPr>
            <w:tcW w:w="4110" w:type="dxa"/>
            <w:tcMar>
              <w:left w:w="57" w:type="dxa"/>
              <w:right w:w="57" w:type="dxa"/>
            </w:tcMar>
            <w:vAlign w:val="center"/>
          </w:tcPr>
          <w:p w14:paraId="332332CB"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Change between upper 95% CI and 2x upper 95% CI</w:t>
            </w:r>
          </w:p>
        </w:tc>
      </w:tr>
      <w:tr w:rsidR="00BD29B3" w:rsidRPr="000B7C45" w14:paraId="0CA8EB0A" w14:textId="77777777" w:rsidTr="00A21333">
        <w:trPr>
          <w:cantSplit/>
        </w:trPr>
        <w:tc>
          <w:tcPr>
            <w:tcW w:w="2609" w:type="dxa"/>
            <w:vMerge/>
            <w:noWrap/>
            <w:tcMar>
              <w:left w:w="57" w:type="dxa"/>
              <w:right w:w="57" w:type="dxa"/>
            </w:tcMar>
          </w:tcPr>
          <w:p w14:paraId="5757D725"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5FE58CDE"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Continuous between 0.4 and 0.6</w:t>
            </w:r>
          </w:p>
        </w:tc>
        <w:tc>
          <w:tcPr>
            <w:tcW w:w="4110" w:type="dxa"/>
            <w:tcMar>
              <w:left w:w="57" w:type="dxa"/>
              <w:right w:w="57" w:type="dxa"/>
            </w:tcMar>
            <w:vAlign w:val="center"/>
          </w:tcPr>
          <w:p w14:paraId="045A061B"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Change within 95% CI of the predicted change</w:t>
            </w:r>
          </w:p>
        </w:tc>
      </w:tr>
      <w:tr w:rsidR="00BD29B3" w:rsidRPr="000B7C45" w14:paraId="4C7D293A" w14:textId="77777777" w:rsidTr="00A21333">
        <w:trPr>
          <w:cantSplit/>
        </w:trPr>
        <w:tc>
          <w:tcPr>
            <w:tcW w:w="2609" w:type="dxa"/>
            <w:vMerge/>
            <w:noWrap/>
            <w:tcMar>
              <w:left w:w="57" w:type="dxa"/>
              <w:right w:w="57" w:type="dxa"/>
            </w:tcMar>
          </w:tcPr>
          <w:p w14:paraId="474D9F12"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07DC5779"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Continuous between 0.1 and 0.4</w:t>
            </w:r>
          </w:p>
        </w:tc>
        <w:tc>
          <w:tcPr>
            <w:tcW w:w="4110" w:type="dxa"/>
            <w:tcMar>
              <w:left w:w="57" w:type="dxa"/>
              <w:right w:w="57" w:type="dxa"/>
            </w:tcMar>
            <w:vAlign w:val="center"/>
          </w:tcPr>
          <w:p w14:paraId="2B147FF2"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Change between lower 95% CI and 2x lower 95% CI</w:t>
            </w:r>
          </w:p>
        </w:tc>
      </w:tr>
      <w:tr w:rsidR="00BD29B3" w:rsidRPr="000B7C45" w14:paraId="66FE8945" w14:textId="77777777" w:rsidTr="00A21333">
        <w:tc>
          <w:tcPr>
            <w:tcW w:w="2609" w:type="dxa"/>
            <w:vMerge/>
            <w:noWrap/>
            <w:tcMar>
              <w:left w:w="57" w:type="dxa"/>
              <w:right w:w="57" w:type="dxa"/>
            </w:tcMar>
          </w:tcPr>
          <w:p w14:paraId="78A36664"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2F9BFFBE"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0</w:t>
            </w:r>
          </w:p>
        </w:tc>
        <w:tc>
          <w:tcPr>
            <w:tcW w:w="4110" w:type="dxa"/>
            <w:tcMar>
              <w:left w:w="57" w:type="dxa"/>
              <w:right w:w="57" w:type="dxa"/>
            </w:tcMar>
            <w:vAlign w:val="center"/>
          </w:tcPr>
          <w:p w14:paraId="0EAEE7C7"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change &lt; 2x lower 95% CI of predicted change</w:t>
            </w:r>
          </w:p>
        </w:tc>
      </w:tr>
      <w:tr w:rsidR="00BD29B3" w:rsidRPr="000B7C45" w14:paraId="0000BC32" w14:textId="77777777" w:rsidTr="00A21333">
        <w:tc>
          <w:tcPr>
            <w:tcW w:w="2609" w:type="dxa"/>
            <w:noWrap/>
            <w:tcMar>
              <w:left w:w="57" w:type="dxa"/>
              <w:right w:w="57" w:type="dxa"/>
            </w:tcMar>
          </w:tcPr>
          <w:p w14:paraId="4DE4FCF3"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sz w:val="20"/>
              </w:rPr>
            </w:pPr>
            <w:r w:rsidRPr="000B7C45">
              <w:rPr>
                <w:rFonts w:ascii="Arial Narrow" w:hAnsi="Arial Narrow"/>
                <w:sz w:val="20"/>
              </w:rPr>
              <w:t>Proportion of algae cover classified as Macroalgae</w:t>
            </w:r>
          </w:p>
        </w:tc>
        <w:tc>
          <w:tcPr>
            <w:tcW w:w="2410" w:type="dxa"/>
            <w:noWrap/>
            <w:tcMar>
              <w:left w:w="57" w:type="dxa"/>
              <w:right w:w="57" w:type="dxa"/>
            </w:tcMar>
            <w:vAlign w:val="center"/>
          </w:tcPr>
          <w:p w14:paraId="64C8CACB"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Continuous between 0-1</w:t>
            </w:r>
          </w:p>
        </w:tc>
        <w:tc>
          <w:tcPr>
            <w:tcW w:w="4110" w:type="dxa"/>
            <w:tcMar>
              <w:left w:w="57" w:type="dxa"/>
              <w:right w:w="57" w:type="dxa"/>
            </w:tcMar>
            <w:vAlign w:val="center"/>
          </w:tcPr>
          <w:p w14:paraId="0618C9C2"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 reef specific lower bound and ≥ reef specific upper bound</w:t>
            </w:r>
          </w:p>
        </w:tc>
      </w:tr>
      <w:tr w:rsidR="00BD29B3" w:rsidRPr="000B7C45" w14:paraId="136D586A" w14:textId="77777777" w:rsidTr="00A21333">
        <w:tc>
          <w:tcPr>
            <w:tcW w:w="2609" w:type="dxa"/>
            <w:vMerge w:val="restart"/>
            <w:noWrap/>
            <w:tcMar>
              <w:left w:w="57" w:type="dxa"/>
              <w:right w:w="57" w:type="dxa"/>
            </w:tcMar>
          </w:tcPr>
          <w:p w14:paraId="37407DCA"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sz w:val="20"/>
              </w:rPr>
            </w:pPr>
            <w:r w:rsidRPr="000B7C45">
              <w:rPr>
                <w:rFonts w:ascii="Arial Narrow" w:hAnsi="Arial Narrow"/>
                <w:sz w:val="20"/>
              </w:rPr>
              <w:t>Density of hard coral juveniles (&lt;5 cm diameter)</w:t>
            </w:r>
          </w:p>
        </w:tc>
        <w:tc>
          <w:tcPr>
            <w:tcW w:w="2410" w:type="dxa"/>
            <w:noWrap/>
            <w:tcMar>
              <w:left w:w="57" w:type="dxa"/>
              <w:right w:w="57" w:type="dxa"/>
            </w:tcMar>
            <w:vAlign w:val="center"/>
          </w:tcPr>
          <w:p w14:paraId="40268DFE"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1</w:t>
            </w:r>
          </w:p>
        </w:tc>
        <w:tc>
          <w:tcPr>
            <w:tcW w:w="4110" w:type="dxa"/>
            <w:tcMar>
              <w:left w:w="57" w:type="dxa"/>
              <w:right w:w="57" w:type="dxa"/>
            </w:tcMar>
            <w:vAlign w:val="center"/>
          </w:tcPr>
          <w:p w14:paraId="22222836"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&gt; 13 juveniles per m2 of available substrate</w:t>
            </w:r>
          </w:p>
        </w:tc>
      </w:tr>
      <w:tr w:rsidR="00BD29B3" w:rsidRPr="000B7C45" w14:paraId="7E9F887D" w14:textId="77777777" w:rsidTr="00A21333">
        <w:tc>
          <w:tcPr>
            <w:tcW w:w="2609" w:type="dxa"/>
            <w:vMerge/>
            <w:noWrap/>
            <w:tcMar>
              <w:left w:w="57" w:type="dxa"/>
              <w:right w:w="57" w:type="dxa"/>
            </w:tcMar>
          </w:tcPr>
          <w:p w14:paraId="64E5A835"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5972E0F4"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Continuous between 0.4 and 1</w:t>
            </w:r>
          </w:p>
        </w:tc>
        <w:tc>
          <w:tcPr>
            <w:tcW w:w="4110" w:type="dxa"/>
            <w:tcMar>
              <w:left w:w="57" w:type="dxa"/>
              <w:right w:w="57" w:type="dxa"/>
            </w:tcMar>
            <w:vAlign w:val="center"/>
          </w:tcPr>
          <w:p w14:paraId="272CD978"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4.6 to 13 juveniles per m2 of available substrate</w:t>
            </w:r>
          </w:p>
        </w:tc>
      </w:tr>
      <w:tr w:rsidR="00BD29B3" w:rsidRPr="000B7C45" w14:paraId="5F4A6C0E" w14:textId="77777777" w:rsidTr="00A21333">
        <w:tc>
          <w:tcPr>
            <w:tcW w:w="2609" w:type="dxa"/>
            <w:vMerge/>
            <w:noWrap/>
            <w:tcMar>
              <w:left w:w="57" w:type="dxa"/>
              <w:right w:w="57" w:type="dxa"/>
            </w:tcMar>
          </w:tcPr>
          <w:p w14:paraId="49441095"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533CF0A1"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Continuous between 0 and 0.4</w:t>
            </w:r>
          </w:p>
        </w:tc>
        <w:tc>
          <w:tcPr>
            <w:tcW w:w="4110" w:type="dxa"/>
            <w:tcMar>
              <w:left w:w="57" w:type="dxa"/>
              <w:right w:w="57" w:type="dxa"/>
            </w:tcMar>
            <w:vAlign w:val="center"/>
          </w:tcPr>
          <w:p w14:paraId="63E83BC9"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0 to 4.6 juveniles per m2 of available substrate</w:t>
            </w:r>
          </w:p>
        </w:tc>
      </w:tr>
      <w:tr w:rsidR="00BD29B3" w:rsidRPr="000B7C45" w14:paraId="588BB9F8" w14:textId="77777777" w:rsidTr="00A21333">
        <w:tc>
          <w:tcPr>
            <w:tcW w:w="2609" w:type="dxa"/>
            <w:vMerge w:val="restart"/>
            <w:noWrap/>
            <w:tcMar>
              <w:left w:w="57" w:type="dxa"/>
              <w:right w:w="57" w:type="dxa"/>
            </w:tcMar>
          </w:tcPr>
          <w:p w14:paraId="45202D5A"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sz w:val="20"/>
              </w:rPr>
            </w:pPr>
            <w:r w:rsidRPr="000B7C45">
              <w:rPr>
                <w:rFonts w:ascii="Arial Narrow" w:hAnsi="Arial Narrow"/>
                <w:sz w:val="20"/>
              </w:rPr>
              <w:t>Composition of hard coral community</w:t>
            </w:r>
          </w:p>
        </w:tc>
        <w:tc>
          <w:tcPr>
            <w:tcW w:w="2410" w:type="dxa"/>
            <w:noWrap/>
            <w:tcMar>
              <w:left w:w="57" w:type="dxa"/>
              <w:right w:w="57" w:type="dxa"/>
            </w:tcMar>
            <w:vAlign w:val="center"/>
          </w:tcPr>
          <w:p w14:paraId="7E78AE7B"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1</w:t>
            </w:r>
          </w:p>
        </w:tc>
        <w:tc>
          <w:tcPr>
            <w:tcW w:w="4110" w:type="dxa"/>
            <w:tcMar>
              <w:left w:w="57" w:type="dxa"/>
              <w:right w:w="57" w:type="dxa"/>
            </w:tcMar>
            <w:vAlign w:val="center"/>
          </w:tcPr>
          <w:p w14:paraId="76CAAE40"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Beyond 95% CI of baseline condition in the direction of improved water quality</w:t>
            </w:r>
          </w:p>
        </w:tc>
      </w:tr>
      <w:tr w:rsidR="00BD29B3" w:rsidRPr="000B7C45" w14:paraId="3A924AAA" w14:textId="77777777" w:rsidTr="00A21333">
        <w:tc>
          <w:tcPr>
            <w:tcW w:w="2609" w:type="dxa"/>
            <w:vMerge/>
            <w:noWrap/>
            <w:tcMar>
              <w:left w:w="57" w:type="dxa"/>
              <w:right w:w="57" w:type="dxa"/>
            </w:tcMar>
          </w:tcPr>
          <w:p w14:paraId="036A4E84"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2052D541"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0.5</w:t>
            </w:r>
          </w:p>
        </w:tc>
        <w:tc>
          <w:tcPr>
            <w:tcW w:w="4110" w:type="dxa"/>
            <w:tcMar>
              <w:left w:w="57" w:type="dxa"/>
              <w:right w:w="57" w:type="dxa"/>
            </w:tcMar>
            <w:vAlign w:val="center"/>
          </w:tcPr>
          <w:p w14:paraId="24CBD40A"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Within 95% Confidence intervals of baseline composition</w:t>
            </w:r>
          </w:p>
        </w:tc>
      </w:tr>
      <w:tr w:rsidR="00BD29B3" w:rsidRPr="000B7C45" w14:paraId="195B23DE" w14:textId="77777777" w:rsidTr="00A21333">
        <w:tc>
          <w:tcPr>
            <w:tcW w:w="2609" w:type="dxa"/>
            <w:vMerge/>
            <w:noWrap/>
            <w:tcMar>
              <w:left w:w="57" w:type="dxa"/>
              <w:right w:w="57" w:type="dxa"/>
            </w:tcMar>
          </w:tcPr>
          <w:p w14:paraId="19473D18" w14:textId="77777777" w:rsidR="00BD29B3" w:rsidRPr="000B7C45" w:rsidRDefault="00BD29B3" w:rsidP="00A21333">
            <w:pPr>
              <w:tabs>
                <w:tab w:val="left" w:pos="1152"/>
                <w:tab w:val="right" w:leader="dot" w:pos="8640"/>
              </w:tabs>
              <w:spacing w:before="100" w:beforeAutospacing="1" w:after="100" w:afterAutospacing="1"/>
              <w:contextualSpacing/>
              <w:jc w:val="left"/>
              <w:rPr>
                <w:rFonts w:ascii="Arial Narrow" w:hAnsi="Arial Narrow"/>
                <w:sz w:val="20"/>
              </w:rPr>
            </w:pPr>
          </w:p>
        </w:tc>
        <w:tc>
          <w:tcPr>
            <w:tcW w:w="2410" w:type="dxa"/>
            <w:noWrap/>
            <w:tcMar>
              <w:left w:w="57" w:type="dxa"/>
              <w:right w:w="57" w:type="dxa"/>
            </w:tcMar>
            <w:vAlign w:val="center"/>
          </w:tcPr>
          <w:p w14:paraId="5CFF7352"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0</w:t>
            </w:r>
          </w:p>
        </w:tc>
        <w:tc>
          <w:tcPr>
            <w:tcW w:w="4110" w:type="dxa"/>
            <w:tcMar>
              <w:left w:w="57" w:type="dxa"/>
              <w:right w:w="57" w:type="dxa"/>
            </w:tcMar>
            <w:vAlign w:val="center"/>
          </w:tcPr>
          <w:p w14:paraId="4EF7F412" w14:textId="77777777" w:rsidR="00BD29B3" w:rsidRPr="000B7C45" w:rsidRDefault="00BD29B3" w:rsidP="00A21333">
            <w:pPr>
              <w:tabs>
                <w:tab w:val="left" w:pos="1152"/>
                <w:tab w:val="right" w:leader="dot" w:pos="8640"/>
              </w:tabs>
              <w:spacing w:before="100" w:beforeAutospacing="1" w:after="100" w:afterAutospacing="1"/>
              <w:contextualSpacing/>
              <w:jc w:val="center"/>
              <w:rPr>
                <w:rFonts w:ascii="Arial Narrow" w:hAnsi="Arial Narrow"/>
                <w:sz w:val="20"/>
              </w:rPr>
            </w:pPr>
            <w:r w:rsidRPr="000B7C45">
              <w:rPr>
                <w:rFonts w:ascii="Arial Narrow" w:hAnsi="Arial Narrow"/>
                <w:sz w:val="20"/>
              </w:rPr>
              <w:t>Beyond 95% CI of baseline condition in the direction of declined water quality</w:t>
            </w:r>
          </w:p>
        </w:tc>
      </w:tr>
    </w:tbl>
    <w:p w14:paraId="587BC082" w14:textId="77777777" w:rsidR="00BD29B3" w:rsidRPr="00F352E1" w:rsidRDefault="00BD29B3" w:rsidP="00BD29B3">
      <w:pPr>
        <w:rPr>
          <w:color w:val="4F81BD" w:themeColor="accent1"/>
        </w:rPr>
      </w:pPr>
    </w:p>
    <w:p w14:paraId="4D9AAC6A" w14:textId="2E8C0D38" w:rsidR="00BD29B3" w:rsidRPr="00477E7A" w:rsidRDefault="00BD29B3" w:rsidP="00477E7A">
      <w:pPr>
        <w:pStyle w:val="Heading2"/>
        <w:spacing w:before="240" w:after="240"/>
        <w:rPr>
          <w:color w:val="auto"/>
        </w:rPr>
      </w:pPr>
      <w:bookmarkStart w:id="105" w:name="_Toc514408398"/>
      <w:r w:rsidRPr="00973364">
        <w:rPr>
          <w:color w:val="auto"/>
        </w:rPr>
        <w:t>4.</w:t>
      </w:r>
      <w:r>
        <w:rPr>
          <w:color w:val="auto"/>
        </w:rPr>
        <w:t>7</w:t>
      </w:r>
      <w:r w:rsidRPr="00973364">
        <w:rPr>
          <w:color w:val="auto"/>
        </w:rPr>
        <w:t xml:space="preserve"> Coral reef data analysis and presentation</w:t>
      </w:r>
      <w:bookmarkEnd w:id="105"/>
    </w:p>
    <w:p w14:paraId="0C136B05" w14:textId="0033564B" w:rsidR="00296011" w:rsidRPr="00973364" w:rsidRDefault="00FF6E56" w:rsidP="00D2045F">
      <w:r w:rsidRPr="00973364">
        <w:t>The presentation of coral community condition is presented in four</w:t>
      </w:r>
      <w:r w:rsidR="00296011" w:rsidRPr="00973364">
        <w:t xml:space="preserve"> sections </w:t>
      </w:r>
      <w:r w:rsidR="00BA58C1" w:rsidRPr="00973364">
        <w:t>(</w:t>
      </w:r>
      <w:r w:rsidR="0024084A">
        <w:fldChar w:fldCharType="begin"/>
      </w:r>
      <w:r w:rsidR="0024084A">
        <w:instrText xml:space="preserve"> REF _Ref514406445 \h </w:instrText>
      </w:r>
      <w:r w:rsidR="0024084A">
        <w:fldChar w:fldCharType="separate"/>
      </w:r>
      <w:r w:rsidR="00A75175">
        <w:t xml:space="preserve">Table </w:t>
      </w:r>
      <w:r w:rsidR="00A75175">
        <w:rPr>
          <w:noProof/>
        </w:rPr>
        <w:t>6</w:t>
      </w:r>
      <w:r w:rsidR="0024084A">
        <w:fldChar w:fldCharType="end"/>
      </w:r>
      <w:r w:rsidR="00BA58C1" w:rsidRPr="00973364">
        <w:t>)</w:t>
      </w:r>
      <w:r w:rsidRPr="00973364">
        <w:t xml:space="preserve">. </w:t>
      </w:r>
    </w:p>
    <w:p w14:paraId="5FFD4D92" w14:textId="06792324" w:rsidR="00FF6E56" w:rsidRPr="00F352E1" w:rsidRDefault="0024084A" w:rsidP="0024084A">
      <w:pPr>
        <w:pStyle w:val="Caption"/>
      </w:pPr>
      <w:bookmarkStart w:id="106" w:name="_Ref514406445"/>
      <w:bookmarkStart w:id="107" w:name="_Toc514407854"/>
      <w:r>
        <w:t xml:space="preserve">Table </w:t>
      </w:r>
      <w:r>
        <w:fldChar w:fldCharType="begin"/>
      </w:r>
      <w:r>
        <w:instrText xml:space="preserve"> SEQ Table \* ARABIC </w:instrText>
      </w:r>
      <w:r>
        <w:fldChar w:fldCharType="separate"/>
      </w:r>
      <w:r w:rsidR="00A75175">
        <w:rPr>
          <w:noProof/>
        </w:rPr>
        <w:t>6</w:t>
      </w:r>
      <w:r>
        <w:fldChar w:fldCharType="end"/>
      </w:r>
      <w:bookmarkEnd w:id="106"/>
      <w:r>
        <w:t xml:space="preserve"> </w:t>
      </w:r>
      <w:r w:rsidR="00296011" w:rsidRPr="00F352E1">
        <w:t>Presentation of community condition</w:t>
      </w:r>
      <w:bookmarkEnd w:id="107"/>
      <w:r w:rsidR="00FF6E56" w:rsidRPr="00F352E1">
        <w:t xml:space="preserve"> </w:t>
      </w:r>
    </w:p>
    <w:tbl>
      <w:tblPr>
        <w:tblStyle w:val="TableGrid"/>
        <w:tblW w:w="0" w:type="auto"/>
        <w:tblLook w:val="04A0" w:firstRow="1" w:lastRow="0" w:firstColumn="1" w:lastColumn="0" w:noHBand="0" w:noVBand="1"/>
        <w:tblCaption w:val="Presentation of community data"/>
        <w:tblDescription w:val="A table that summarises were various results can be located within the results and appendix. This information largely duplicates that gleened from the contents lists at the begining of the report."/>
      </w:tblPr>
      <w:tblGrid>
        <w:gridCol w:w="1473"/>
        <w:gridCol w:w="2392"/>
        <w:gridCol w:w="1747"/>
        <w:gridCol w:w="1810"/>
        <w:gridCol w:w="2207"/>
      </w:tblGrid>
      <w:tr w:rsidR="00F352E1" w:rsidRPr="00064B7C" w14:paraId="078F21BC" w14:textId="77777777" w:rsidTr="001E472C">
        <w:trPr>
          <w:tblHeader/>
        </w:trPr>
        <w:tc>
          <w:tcPr>
            <w:tcW w:w="1097" w:type="dxa"/>
          </w:tcPr>
          <w:p w14:paraId="1395C112" w14:textId="77777777" w:rsidR="00FF6E56" w:rsidRPr="00064B7C" w:rsidRDefault="00FF6E56" w:rsidP="00FE55D4">
            <w:r w:rsidRPr="00064B7C">
              <w:t>Section</w:t>
            </w:r>
          </w:p>
        </w:tc>
        <w:tc>
          <w:tcPr>
            <w:tcW w:w="2750" w:type="dxa"/>
          </w:tcPr>
          <w:p w14:paraId="731C79A5" w14:textId="77777777" w:rsidR="00FF6E56" w:rsidRPr="00064B7C" w:rsidRDefault="00FF6E56" w:rsidP="00FE55D4">
            <w:r w:rsidRPr="00064B7C">
              <w:t>Scope</w:t>
            </w:r>
          </w:p>
        </w:tc>
        <w:tc>
          <w:tcPr>
            <w:tcW w:w="1926" w:type="dxa"/>
          </w:tcPr>
          <w:p w14:paraId="2673B24B" w14:textId="77777777" w:rsidR="00FF6E56" w:rsidRPr="00064B7C" w:rsidRDefault="00FF6E56" w:rsidP="00FE55D4">
            <w:r w:rsidRPr="00064B7C">
              <w:t>Scale</w:t>
            </w:r>
          </w:p>
        </w:tc>
        <w:tc>
          <w:tcPr>
            <w:tcW w:w="1926" w:type="dxa"/>
          </w:tcPr>
          <w:p w14:paraId="3F8BAAC2" w14:textId="77777777" w:rsidR="00FF6E56" w:rsidRPr="00064B7C" w:rsidRDefault="00FF6E56" w:rsidP="00FE55D4">
            <w:r w:rsidRPr="00064B7C">
              <w:t>Covariates</w:t>
            </w:r>
          </w:p>
        </w:tc>
        <w:tc>
          <w:tcPr>
            <w:tcW w:w="1930" w:type="dxa"/>
          </w:tcPr>
          <w:p w14:paraId="6C22A133" w14:textId="77777777" w:rsidR="00FF6E56" w:rsidRPr="00064B7C" w:rsidRDefault="00FF6E56" w:rsidP="00FE55D4">
            <w:r w:rsidRPr="00064B7C">
              <w:t>Analyses</w:t>
            </w:r>
            <w:r w:rsidR="00085F46" w:rsidRPr="00064B7C">
              <w:t>/Presentation</w:t>
            </w:r>
          </w:p>
        </w:tc>
      </w:tr>
      <w:tr w:rsidR="00F352E1" w:rsidRPr="00064B7C" w14:paraId="06C2866B" w14:textId="77777777" w:rsidTr="001E472C">
        <w:trPr>
          <w:tblHeader/>
        </w:trPr>
        <w:tc>
          <w:tcPr>
            <w:tcW w:w="1097" w:type="dxa"/>
          </w:tcPr>
          <w:p w14:paraId="190DD4AF" w14:textId="67DF96FC" w:rsidR="000F4228" w:rsidRPr="001F701F" w:rsidRDefault="009E5A55" w:rsidP="000F4228">
            <w:r w:rsidRPr="001F701F">
              <w:fldChar w:fldCharType="begin"/>
            </w:r>
            <w:r w:rsidRPr="00626B96">
              <w:rPr>
                <w:b/>
              </w:rPr>
              <w:instrText xml:space="preserve"> REF _Ref503361100 \r \h </w:instrText>
            </w:r>
            <w:r w:rsidR="001F701F">
              <w:rPr>
                <w:b/>
              </w:rPr>
              <w:instrText xml:space="preserve"> \* MERGEFORMAT </w:instrText>
            </w:r>
            <w:r w:rsidRPr="001F701F">
              <w:fldChar w:fldCharType="separate"/>
            </w:r>
            <w:r w:rsidR="00A75175">
              <w:rPr>
                <w:b/>
              </w:rPr>
              <w:t>1</w:t>
            </w:r>
            <w:r w:rsidRPr="001F701F">
              <w:fldChar w:fldCharType="end"/>
            </w:r>
          </w:p>
        </w:tc>
        <w:tc>
          <w:tcPr>
            <w:tcW w:w="2750" w:type="dxa"/>
          </w:tcPr>
          <w:p w14:paraId="42A4F792" w14:textId="77777777" w:rsidR="000F4228" w:rsidRPr="00064B7C" w:rsidRDefault="000F4228" w:rsidP="00085F46">
            <w:pPr>
              <w:jc w:val="left"/>
            </w:pPr>
            <w:r w:rsidRPr="00064B7C">
              <w:t>T</w:t>
            </w:r>
            <w:r w:rsidR="00512F5A">
              <w:t>r</w:t>
            </w:r>
            <w:r w:rsidRPr="00064B7C">
              <w:t>ends in coral index and metric scores</w:t>
            </w:r>
          </w:p>
        </w:tc>
        <w:tc>
          <w:tcPr>
            <w:tcW w:w="1926" w:type="dxa"/>
          </w:tcPr>
          <w:p w14:paraId="4DBA6625" w14:textId="77777777" w:rsidR="000F4228" w:rsidRPr="00064B7C" w:rsidRDefault="000F4228" w:rsidP="00FE55D4">
            <w:r w:rsidRPr="00064B7C">
              <w:t>Regional</w:t>
            </w:r>
          </w:p>
        </w:tc>
        <w:tc>
          <w:tcPr>
            <w:tcW w:w="1926" w:type="dxa"/>
          </w:tcPr>
          <w:p w14:paraId="02ED6593" w14:textId="77777777" w:rsidR="000F4228" w:rsidRPr="00064B7C" w:rsidRDefault="000F4228" w:rsidP="00FE55D4"/>
        </w:tc>
        <w:tc>
          <w:tcPr>
            <w:tcW w:w="1930" w:type="dxa"/>
          </w:tcPr>
          <w:p w14:paraId="685E5A7E" w14:textId="212D20AC" w:rsidR="000F4228" w:rsidRPr="00064B7C" w:rsidRDefault="000F4228" w:rsidP="00085F46">
            <w:pPr>
              <w:jc w:val="left"/>
            </w:pPr>
            <w:r w:rsidRPr="00064B7C">
              <w:t>Coral index derivation</w:t>
            </w:r>
            <w:r w:rsidR="00735BF7">
              <w:t>/ Observed trends</w:t>
            </w:r>
            <w:r w:rsidRPr="00064B7C">
              <w:t xml:space="preserve"> </w:t>
            </w:r>
          </w:p>
        </w:tc>
      </w:tr>
      <w:tr w:rsidR="00F352E1" w:rsidRPr="00064B7C" w14:paraId="56334C2F" w14:textId="77777777" w:rsidTr="001E472C">
        <w:trPr>
          <w:tblHeader/>
        </w:trPr>
        <w:tc>
          <w:tcPr>
            <w:tcW w:w="1097" w:type="dxa"/>
          </w:tcPr>
          <w:p w14:paraId="6FAB7DE7" w14:textId="07B01D56" w:rsidR="000F4228" w:rsidRPr="00064B7C" w:rsidRDefault="009E5A55" w:rsidP="009E5A55">
            <w:r>
              <w:fldChar w:fldCharType="begin"/>
            </w:r>
            <w:r>
              <w:instrText xml:space="preserve"> REF _Ref503361148 \h </w:instrText>
            </w:r>
            <w:r w:rsidR="001F701F">
              <w:instrText xml:space="preserve"> \* MERGEFORMAT </w:instrText>
            </w:r>
            <w:r>
              <w:fldChar w:fldCharType="separate"/>
            </w:r>
            <w:r w:rsidR="00A75175" w:rsidRPr="00BD25FD">
              <w:t>5.1.1 Regional differences</w:t>
            </w:r>
            <w:r>
              <w:fldChar w:fldCharType="end"/>
            </w:r>
            <w:r w:rsidR="001F701F">
              <w:t xml:space="preserve"> </w:t>
            </w:r>
            <w:r w:rsidRPr="00512F5A">
              <w:fldChar w:fldCharType="begin"/>
            </w:r>
            <w:r w:rsidRPr="00512F5A">
              <w:instrText xml:space="preserve"> REF _Ref503361166 \h </w:instrText>
            </w:r>
            <w:r w:rsidR="00512F5A" w:rsidRPr="00512F5A">
              <w:rPr>
                <w:color w:val="FF0000"/>
                <w:highlight w:val="yellow"/>
              </w:rPr>
              <w:instrText xml:space="preserve"> \* MERGEFORMAT </w:instrText>
            </w:r>
            <w:r w:rsidRPr="00512F5A">
              <w:fldChar w:fldCharType="separate"/>
            </w:r>
            <w:r w:rsidR="00A75175" w:rsidRPr="00F352E1">
              <w:t>5.1.2 Effect of depth</w:t>
            </w:r>
            <w:r w:rsidRPr="00512F5A">
              <w:fldChar w:fldCharType="end"/>
            </w:r>
          </w:p>
        </w:tc>
        <w:tc>
          <w:tcPr>
            <w:tcW w:w="2750" w:type="dxa"/>
            <w:vMerge w:val="restart"/>
          </w:tcPr>
          <w:p w14:paraId="2109E841" w14:textId="77777777" w:rsidR="00FF6E56" w:rsidRPr="00064B7C" w:rsidRDefault="00FF6E56" w:rsidP="00085F46">
            <w:pPr>
              <w:jc w:val="left"/>
            </w:pPr>
            <w:r w:rsidRPr="00064B7C">
              <w:t>Spatial variability in</w:t>
            </w:r>
            <w:r w:rsidR="00E75F5C" w:rsidRPr="00064B7C">
              <w:t xml:space="preserve"> </w:t>
            </w:r>
            <w:r w:rsidRPr="00064B7C">
              <w:t>coral index and individual metric scores observed in</w:t>
            </w:r>
            <w:r w:rsidR="00E75F5C" w:rsidRPr="00064B7C">
              <w:t xml:space="preserve"> </w:t>
            </w:r>
            <w:r w:rsidRPr="00064B7C">
              <w:t>201</w:t>
            </w:r>
            <w:r w:rsidR="003A6A05">
              <w:t>7</w:t>
            </w:r>
          </w:p>
        </w:tc>
        <w:tc>
          <w:tcPr>
            <w:tcW w:w="1926" w:type="dxa"/>
            <w:vMerge w:val="restart"/>
          </w:tcPr>
          <w:p w14:paraId="141FB74B" w14:textId="77777777" w:rsidR="00FF6E56" w:rsidRPr="00064B7C" w:rsidRDefault="00FF6E56" w:rsidP="00FE55D4">
            <w:r w:rsidRPr="00064B7C">
              <w:t>Inshore GBR</w:t>
            </w:r>
          </w:p>
        </w:tc>
        <w:tc>
          <w:tcPr>
            <w:tcW w:w="1926" w:type="dxa"/>
          </w:tcPr>
          <w:p w14:paraId="1FC77C22" w14:textId="77777777" w:rsidR="00FF6E56" w:rsidRPr="00064B7C" w:rsidRDefault="00FF6E56" w:rsidP="00085F46">
            <w:pPr>
              <w:jc w:val="left"/>
            </w:pPr>
            <w:r w:rsidRPr="00064B7C">
              <w:t>Region and Depth</w:t>
            </w:r>
          </w:p>
        </w:tc>
        <w:tc>
          <w:tcPr>
            <w:tcW w:w="1930" w:type="dxa"/>
          </w:tcPr>
          <w:p w14:paraId="42F1ED8F" w14:textId="79D19427" w:rsidR="00FF6E56" w:rsidRPr="00064B7C" w:rsidRDefault="00FF6E56" w:rsidP="00735BF7">
            <w:pPr>
              <w:jc w:val="left"/>
            </w:pPr>
            <w:r w:rsidRPr="00064B7C">
              <w:t xml:space="preserve">Bayesian generalised regression models </w:t>
            </w:r>
            <w:r w:rsidR="00735BF7">
              <w:t>/ Estimated effect</w:t>
            </w:r>
          </w:p>
        </w:tc>
      </w:tr>
      <w:tr w:rsidR="00F352E1" w:rsidRPr="00064B7C" w14:paraId="5F233192" w14:textId="77777777" w:rsidTr="001E472C">
        <w:trPr>
          <w:tblHeader/>
        </w:trPr>
        <w:tc>
          <w:tcPr>
            <w:tcW w:w="1097" w:type="dxa"/>
          </w:tcPr>
          <w:p w14:paraId="08FE7A9F" w14:textId="77777777" w:rsidR="00FF6E56" w:rsidRPr="00064B7C" w:rsidRDefault="009E5A55" w:rsidP="009E5A55">
            <w:r>
              <w:fldChar w:fldCharType="begin"/>
            </w:r>
            <w:r>
              <w:instrText xml:space="preserve"> REF _Ref503361184 \h </w:instrText>
            </w:r>
            <w:r>
              <w:fldChar w:fldCharType="separate"/>
            </w:r>
            <w:r w:rsidR="00A75175" w:rsidRPr="00F352E1">
              <w:t>5.1.3 Response to environmental gradients</w:t>
            </w:r>
            <w:r>
              <w:fldChar w:fldCharType="end"/>
            </w:r>
          </w:p>
        </w:tc>
        <w:tc>
          <w:tcPr>
            <w:tcW w:w="2750" w:type="dxa"/>
            <w:vMerge/>
          </w:tcPr>
          <w:p w14:paraId="25B2ED8C" w14:textId="77777777" w:rsidR="00FF6E56" w:rsidRPr="00064B7C" w:rsidRDefault="00FF6E56" w:rsidP="00085F46">
            <w:pPr>
              <w:jc w:val="left"/>
            </w:pPr>
          </w:p>
        </w:tc>
        <w:tc>
          <w:tcPr>
            <w:tcW w:w="1926" w:type="dxa"/>
            <w:vMerge/>
          </w:tcPr>
          <w:p w14:paraId="5C4FC7C9" w14:textId="77777777" w:rsidR="00FF6E56" w:rsidRPr="00064B7C" w:rsidRDefault="00FF6E56" w:rsidP="00FE55D4"/>
        </w:tc>
        <w:tc>
          <w:tcPr>
            <w:tcW w:w="1926" w:type="dxa"/>
          </w:tcPr>
          <w:p w14:paraId="7BB03F22" w14:textId="30A2F9ED" w:rsidR="00FF6E56" w:rsidRPr="00064B7C" w:rsidRDefault="00FF6E56" w:rsidP="00282129">
            <w:pPr>
              <w:jc w:val="left"/>
            </w:pPr>
            <w:r w:rsidRPr="00064B7C">
              <w:t xml:space="preserve">Chl </w:t>
            </w:r>
            <w:r w:rsidRPr="00064B7C">
              <w:rPr>
                <w:i/>
              </w:rPr>
              <w:t>a</w:t>
            </w:r>
            <w:r w:rsidRPr="00064B7C">
              <w:t xml:space="preserve">, </w:t>
            </w:r>
            <w:r w:rsidR="00282129">
              <w:t>Non-algal particulate concentration</w:t>
            </w:r>
            <w:r w:rsidR="00A371D3">
              <w:t>,</w:t>
            </w:r>
            <w:r w:rsidRPr="00064B7C">
              <w:t xml:space="preserve"> sediment grainsize </w:t>
            </w:r>
          </w:p>
        </w:tc>
        <w:tc>
          <w:tcPr>
            <w:tcW w:w="1930" w:type="dxa"/>
          </w:tcPr>
          <w:p w14:paraId="337308BE" w14:textId="5907D331" w:rsidR="00FF6E56" w:rsidRPr="00064B7C" w:rsidRDefault="00FF6E56" w:rsidP="00085F46">
            <w:pPr>
              <w:jc w:val="left"/>
            </w:pPr>
            <w:r w:rsidRPr="00064B7C">
              <w:t>Gradient boosted regression trees</w:t>
            </w:r>
            <w:r w:rsidR="00735BF7">
              <w:t>/ Predicted relationships</w:t>
            </w:r>
          </w:p>
        </w:tc>
      </w:tr>
      <w:tr w:rsidR="00F352E1" w:rsidRPr="00064B7C" w14:paraId="28DE248C" w14:textId="77777777" w:rsidTr="001E472C">
        <w:trPr>
          <w:tblHeader/>
        </w:trPr>
        <w:tc>
          <w:tcPr>
            <w:tcW w:w="1097" w:type="dxa"/>
          </w:tcPr>
          <w:p w14:paraId="643191FE" w14:textId="77777777" w:rsidR="00FF6E56" w:rsidRPr="00064B7C" w:rsidRDefault="009E5A55" w:rsidP="009E5A55">
            <w:r>
              <w:fldChar w:fldCharType="begin"/>
            </w:r>
            <w:r>
              <w:instrText xml:space="preserve"> REF _Ref503361215 \h </w:instrText>
            </w:r>
            <w:r>
              <w:fldChar w:fldCharType="separate"/>
            </w:r>
            <w:r w:rsidR="00A75175" w:rsidRPr="00F352E1">
              <w:t>5.1.4 Influence of discharge and catchment loads</w:t>
            </w:r>
            <w:r>
              <w:fldChar w:fldCharType="end"/>
            </w:r>
          </w:p>
        </w:tc>
        <w:tc>
          <w:tcPr>
            <w:tcW w:w="2750" w:type="dxa"/>
          </w:tcPr>
          <w:p w14:paraId="5CBAA2F3" w14:textId="77777777" w:rsidR="00FF6E56" w:rsidRPr="00064B7C" w:rsidRDefault="00FF6E56" w:rsidP="00085F46">
            <w:pPr>
              <w:jc w:val="left"/>
            </w:pPr>
            <w:r w:rsidRPr="00064B7C">
              <w:t xml:space="preserve">Temporal variability in coral index in relation to </w:t>
            </w:r>
            <w:r w:rsidR="000F4228" w:rsidRPr="00064B7C">
              <w:t>runoff</w:t>
            </w:r>
          </w:p>
        </w:tc>
        <w:tc>
          <w:tcPr>
            <w:tcW w:w="1926" w:type="dxa"/>
          </w:tcPr>
          <w:p w14:paraId="7F0A30C5" w14:textId="77777777" w:rsidR="00FF6E56" w:rsidRPr="00064B7C" w:rsidRDefault="00FF6E56" w:rsidP="00FE55D4">
            <w:r w:rsidRPr="00064B7C">
              <w:t>R</w:t>
            </w:r>
            <w:r w:rsidR="000F4228" w:rsidRPr="00064B7C">
              <w:t>egional</w:t>
            </w:r>
          </w:p>
        </w:tc>
        <w:tc>
          <w:tcPr>
            <w:tcW w:w="1926" w:type="dxa"/>
          </w:tcPr>
          <w:p w14:paraId="44FDF65E" w14:textId="77777777" w:rsidR="00FF6E56" w:rsidRPr="00064B7C" w:rsidRDefault="000E09B7" w:rsidP="00001A7B">
            <w:pPr>
              <w:jc w:val="left"/>
            </w:pPr>
            <w:r w:rsidRPr="00064B7C">
              <w:t xml:space="preserve">Regional </w:t>
            </w:r>
            <w:r w:rsidR="00E94646">
              <w:t xml:space="preserve">riverine </w:t>
            </w:r>
            <w:r w:rsidRPr="00064B7C">
              <w:t xml:space="preserve">discharge, </w:t>
            </w:r>
            <w:r w:rsidR="00E94646">
              <w:t xml:space="preserve">Total N and Total P loads, </w:t>
            </w:r>
            <w:r w:rsidR="00001A7B">
              <w:t xml:space="preserve">Chl </w:t>
            </w:r>
            <w:r w:rsidR="00001A7B" w:rsidRPr="00001A7B">
              <w:rPr>
                <w:i/>
              </w:rPr>
              <w:t xml:space="preserve">a </w:t>
            </w:r>
            <w:r w:rsidR="00001A7B">
              <w:t>exposure</w:t>
            </w:r>
            <w:r w:rsidR="00E94646">
              <w:t>, NAP concentration</w:t>
            </w:r>
          </w:p>
        </w:tc>
        <w:tc>
          <w:tcPr>
            <w:tcW w:w="1930" w:type="dxa"/>
          </w:tcPr>
          <w:p w14:paraId="5DE15747" w14:textId="3B4ECC7E" w:rsidR="00FF6E56" w:rsidRPr="00064B7C" w:rsidRDefault="00FF6E56" w:rsidP="00085F46">
            <w:pPr>
              <w:jc w:val="left"/>
            </w:pPr>
            <w:r w:rsidRPr="00064B7C">
              <w:t>Generalised Additive Models</w:t>
            </w:r>
            <w:r w:rsidR="00735BF7">
              <w:t>/ Predicted relationships</w:t>
            </w:r>
          </w:p>
        </w:tc>
      </w:tr>
      <w:tr w:rsidR="00F352E1" w:rsidRPr="00064B7C" w14:paraId="61DAD283" w14:textId="77777777" w:rsidTr="001E472C">
        <w:trPr>
          <w:tblHeader/>
        </w:trPr>
        <w:tc>
          <w:tcPr>
            <w:tcW w:w="1097" w:type="dxa"/>
          </w:tcPr>
          <w:p w14:paraId="6D2CDBF5" w14:textId="77777777" w:rsidR="00FF6E56" w:rsidRPr="00064B7C" w:rsidRDefault="009E5A55" w:rsidP="009E5A55">
            <w:r>
              <w:fldChar w:fldCharType="begin"/>
            </w:r>
            <w:r>
              <w:instrText xml:space="preserve"> REF _Ref503361006 \h </w:instrText>
            </w:r>
            <w:r>
              <w:fldChar w:fldCharType="separate"/>
            </w:r>
            <w:r w:rsidR="00A75175" w:rsidRPr="00382A2B">
              <w:t>5.2 Regional condition of coral communities</w:t>
            </w:r>
            <w:r>
              <w:fldChar w:fldCharType="end"/>
            </w:r>
          </w:p>
        </w:tc>
        <w:tc>
          <w:tcPr>
            <w:tcW w:w="2750" w:type="dxa"/>
          </w:tcPr>
          <w:p w14:paraId="6CFF42AF" w14:textId="77777777" w:rsidR="00FF6E56" w:rsidRPr="00064B7C" w:rsidRDefault="00FF6E56" w:rsidP="00085F46">
            <w:pPr>
              <w:jc w:val="left"/>
            </w:pPr>
            <w:r w:rsidRPr="00064B7C">
              <w:t xml:space="preserve">Observed trends in </w:t>
            </w:r>
            <w:r w:rsidR="000F4228" w:rsidRPr="00064B7C">
              <w:t xml:space="preserve">coral </w:t>
            </w:r>
            <w:r w:rsidRPr="00064B7C">
              <w:t>index and individual indicators</w:t>
            </w:r>
          </w:p>
        </w:tc>
        <w:tc>
          <w:tcPr>
            <w:tcW w:w="1926" w:type="dxa"/>
          </w:tcPr>
          <w:p w14:paraId="17AE1702" w14:textId="77777777" w:rsidR="00FF6E56" w:rsidRPr="00064B7C" w:rsidRDefault="00085F46" w:rsidP="00FE55D4">
            <w:r w:rsidRPr="00064B7C">
              <w:t>Regional</w:t>
            </w:r>
          </w:p>
        </w:tc>
        <w:tc>
          <w:tcPr>
            <w:tcW w:w="1926" w:type="dxa"/>
          </w:tcPr>
          <w:p w14:paraId="0CB55CB4" w14:textId="77777777" w:rsidR="00FF6E56" w:rsidRPr="00064B7C" w:rsidRDefault="00FF6E56" w:rsidP="00085F46">
            <w:pPr>
              <w:jc w:val="left"/>
            </w:pPr>
            <w:r w:rsidRPr="00064B7C">
              <w:t>Time</w:t>
            </w:r>
          </w:p>
        </w:tc>
        <w:tc>
          <w:tcPr>
            <w:tcW w:w="1930" w:type="dxa"/>
          </w:tcPr>
          <w:p w14:paraId="24B228FA" w14:textId="79991374" w:rsidR="00FF6E56" w:rsidRPr="00064B7C" w:rsidRDefault="00085F46" w:rsidP="00085F46">
            <w:pPr>
              <w:jc w:val="left"/>
            </w:pPr>
            <w:r w:rsidRPr="00064B7C">
              <w:t>Linear mixed models</w:t>
            </w:r>
            <w:r w:rsidR="00BD29B3">
              <w:t>/ Predicted regional trends and observed reef trends</w:t>
            </w:r>
          </w:p>
        </w:tc>
      </w:tr>
      <w:tr w:rsidR="00F352E1" w:rsidRPr="00064B7C" w14:paraId="5962F415" w14:textId="77777777" w:rsidTr="001E472C">
        <w:trPr>
          <w:tblHeader/>
        </w:trPr>
        <w:tc>
          <w:tcPr>
            <w:tcW w:w="1097" w:type="dxa"/>
            <w:vMerge w:val="restart"/>
          </w:tcPr>
          <w:p w14:paraId="22CAE7AC" w14:textId="77777777" w:rsidR="00085F46" w:rsidRPr="00064B7C" w:rsidRDefault="009E5A55" w:rsidP="009E5A55">
            <w:r>
              <w:fldChar w:fldCharType="begin"/>
            </w:r>
            <w:r>
              <w:instrText xml:space="preserve"> REF _Ref503361256 \h </w:instrText>
            </w:r>
            <w:r>
              <w:fldChar w:fldCharType="separate"/>
            </w:r>
            <w:r w:rsidR="00A75175" w:rsidRPr="00F352E1">
              <w:t>Appendix 1: Additional Information</w:t>
            </w:r>
            <w:r>
              <w:fldChar w:fldCharType="end"/>
            </w:r>
          </w:p>
        </w:tc>
        <w:tc>
          <w:tcPr>
            <w:tcW w:w="2750" w:type="dxa"/>
          </w:tcPr>
          <w:p w14:paraId="5D268388" w14:textId="77777777" w:rsidR="00085F46" w:rsidRPr="00064B7C" w:rsidRDefault="00085F46" w:rsidP="00085F46">
            <w:pPr>
              <w:jc w:val="left"/>
            </w:pPr>
            <w:r w:rsidRPr="00064B7C">
              <w:t>Trends in benthic community composition.</w:t>
            </w:r>
          </w:p>
        </w:tc>
        <w:tc>
          <w:tcPr>
            <w:tcW w:w="1926" w:type="dxa"/>
          </w:tcPr>
          <w:p w14:paraId="2990CE47" w14:textId="77777777" w:rsidR="00085F46" w:rsidRPr="00064B7C" w:rsidRDefault="00085F46" w:rsidP="00FE55D4">
            <w:r w:rsidRPr="00064B7C">
              <w:t>Reef/Depth</w:t>
            </w:r>
          </w:p>
        </w:tc>
        <w:tc>
          <w:tcPr>
            <w:tcW w:w="1926" w:type="dxa"/>
          </w:tcPr>
          <w:p w14:paraId="3346336A" w14:textId="77777777" w:rsidR="00085F46" w:rsidRPr="00064B7C" w:rsidRDefault="00085F46" w:rsidP="00FE55D4"/>
        </w:tc>
        <w:tc>
          <w:tcPr>
            <w:tcW w:w="1930" w:type="dxa"/>
          </w:tcPr>
          <w:p w14:paraId="272F3723" w14:textId="1365FF79" w:rsidR="00085F46" w:rsidRPr="00064B7C" w:rsidRDefault="00BD29B3" w:rsidP="00085F46">
            <w:pPr>
              <w:jc w:val="left"/>
            </w:pPr>
            <w:r>
              <w:t>/</w:t>
            </w:r>
            <w:r w:rsidR="00085F46" w:rsidRPr="00064B7C">
              <w:t>Plots and Tables</w:t>
            </w:r>
            <w:r>
              <w:t xml:space="preserve"> of observations</w:t>
            </w:r>
          </w:p>
        </w:tc>
      </w:tr>
      <w:tr w:rsidR="00085F46" w:rsidRPr="00064B7C" w14:paraId="491E103E" w14:textId="77777777" w:rsidTr="001E472C">
        <w:trPr>
          <w:tblHeader/>
        </w:trPr>
        <w:tc>
          <w:tcPr>
            <w:tcW w:w="1097" w:type="dxa"/>
            <w:vMerge/>
          </w:tcPr>
          <w:p w14:paraId="443AB693" w14:textId="77777777" w:rsidR="00085F46" w:rsidRPr="00064B7C" w:rsidRDefault="00085F46" w:rsidP="00FE55D4"/>
        </w:tc>
        <w:tc>
          <w:tcPr>
            <w:tcW w:w="2750" w:type="dxa"/>
          </w:tcPr>
          <w:p w14:paraId="1B7B034A" w14:textId="77777777" w:rsidR="00085F46" w:rsidRPr="00064B7C" w:rsidRDefault="00085F46" w:rsidP="00001A7B">
            <w:pPr>
              <w:jc w:val="left"/>
            </w:pPr>
            <w:r w:rsidRPr="00064B7C">
              <w:t>Summaries of 201</w:t>
            </w:r>
            <w:r w:rsidR="00001A7B">
              <w:t>7</w:t>
            </w:r>
            <w:r w:rsidRPr="00064B7C">
              <w:t xml:space="preserve"> observations</w:t>
            </w:r>
          </w:p>
        </w:tc>
        <w:tc>
          <w:tcPr>
            <w:tcW w:w="1926" w:type="dxa"/>
          </w:tcPr>
          <w:p w14:paraId="5939F836" w14:textId="77777777" w:rsidR="00085F46" w:rsidRPr="00064B7C" w:rsidRDefault="00085F46" w:rsidP="00FE55D4">
            <w:r w:rsidRPr="00064B7C">
              <w:t>Reef/Depth</w:t>
            </w:r>
          </w:p>
        </w:tc>
        <w:tc>
          <w:tcPr>
            <w:tcW w:w="1926" w:type="dxa"/>
          </w:tcPr>
          <w:p w14:paraId="1FF410A7" w14:textId="77777777" w:rsidR="00085F46" w:rsidRPr="00064B7C" w:rsidRDefault="00085F46" w:rsidP="00FE55D4"/>
        </w:tc>
        <w:tc>
          <w:tcPr>
            <w:tcW w:w="1930" w:type="dxa"/>
          </w:tcPr>
          <w:p w14:paraId="712F92C2" w14:textId="5B4B2499" w:rsidR="00085F46" w:rsidRPr="00064B7C" w:rsidRDefault="00BD29B3" w:rsidP="00085F46">
            <w:pPr>
              <w:jc w:val="left"/>
            </w:pPr>
            <w:r>
              <w:t>/Observed values</w:t>
            </w:r>
          </w:p>
        </w:tc>
      </w:tr>
    </w:tbl>
    <w:p w14:paraId="2161E66E" w14:textId="2978CA13" w:rsidR="00FF6E56" w:rsidRPr="006D5AC5" w:rsidRDefault="000E09B7" w:rsidP="00247FC8">
      <w:pPr>
        <w:pStyle w:val="Heading3"/>
      </w:pPr>
      <w:bookmarkStart w:id="108" w:name="_Toc514408399"/>
      <w:r w:rsidRPr="006D5AC5">
        <w:t>4.</w:t>
      </w:r>
      <w:r w:rsidR="00BD29B3">
        <w:t>7</w:t>
      </w:r>
      <w:r w:rsidRPr="006D5AC5">
        <w:t xml:space="preserve">.1 </w:t>
      </w:r>
      <w:r w:rsidR="00FF6E56" w:rsidRPr="006D5AC5">
        <w:t xml:space="preserve">Variation in index and metric scores among </w:t>
      </w:r>
      <w:r w:rsidR="00DD6C5A">
        <w:t>r</w:t>
      </w:r>
      <w:r w:rsidR="00FF6E56" w:rsidRPr="006D5AC5">
        <w:t>egions and depths</w:t>
      </w:r>
      <w:bookmarkEnd w:id="108"/>
    </w:p>
    <w:p w14:paraId="43D1BD83" w14:textId="7581E657" w:rsidR="00FF6E56" w:rsidRPr="006D5AC5" w:rsidRDefault="00FF6E56" w:rsidP="00D2045F">
      <w:pPr>
        <w:rPr>
          <w:rFonts w:cs="Arial"/>
          <w:szCs w:val="22"/>
        </w:rPr>
      </w:pPr>
      <w:r w:rsidRPr="006D5AC5">
        <w:rPr>
          <w:rFonts w:cs="Arial"/>
          <w:szCs w:val="22"/>
        </w:rPr>
        <w:t xml:space="preserve">Spatial variation in index and metric scores where explored using </w:t>
      </w:r>
      <w:r w:rsidR="00AC3DDD">
        <w:rPr>
          <w:rFonts w:cs="Arial"/>
          <w:szCs w:val="22"/>
        </w:rPr>
        <w:t xml:space="preserve">Generalized </w:t>
      </w:r>
      <w:r w:rsidR="00A06A64">
        <w:rPr>
          <w:rFonts w:cs="Arial"/>
          <w:szCs w:val="22"/>
        </w:rPr>
        <w:t xml:space="preserve">Linear Multilevel </w:t>
      </w:r>
      <w:r w:rsidRPr="006D5AC5">
        <w:rPr>
          <w:rFonts w:cs="Arial"/>
          <w:szCs w:val="22"/>
        </w:rPr>
        <w:t xml:space="preserve">models. For the index and each individual metric, separate models were fit that included either a single factor for region or the interaction between region and depth as covariates. The model for depth also included a random term for individual reefs. Data were modelled assuming a Beta </w:t>
      </w:r>
      <w:r w:rsidR="00021014">
        <w:rPr>
          <w:rFonts w:cs="Arial"/>
          <w:szCs w:val="22"/>
        </w:rPr>
        <w:t xml:space="preserve">response </w:t>
      </w:r>
      <w:r w:rsidRPr="006D5AC5">
        <w:rPr>
          <w:rFonts w:cs="Arial"/>
          <w:szCs w:val="22"/>
        </w:rPr>
        <w:t>distribution to conform to score ranges between 0 and 1. For individual metrics, scores of 0 and 1 were observed requiring a minor transformation of the observed scores of the form ((Score*0.998) + 0.001) prior to analysis. Weekly informative normally distributed (mean 0, standard deviation 10) priors were applied to model parameters and Cauchy distributed (mean 0, standard deviation 1) priors were applied to random effects. A total of 5,000 Markov-chain Monte Carlo (MCMC) samples were collected for each of three chains with a thinning rate of 5</w:t>
      </w:r>
      <w:r w:rsidR="00BA58C1" w:rsidRPr="006D5AC5">
        <w:rPr>
          <w:rFonts w:cs="Arial"/>
          <w:szCs w:val="22"/>
        </w:rPr>
        <w:t>. Mean difference</w:t>
      </w:r>
      <w:r w:rsidRPr="006D5AC5">
        <w:rPr>
          <w:rFonts w:cs="Arial"/>
          <w:szCs w:val="22"/>
        </w:rPr>
        <w:t xml:space="preserve"> among levels of covariates were reported based on 95% credible intervals predicted from posterior distributions of model parameters. All modelling was conducted using the BRM package in R (R Core Team, 2015).</w:t>
      </w:r>
    </w:p>
    <w:p w14:paraId="6060233A" w14:textId="77777777" w:rsidR="00FF6E56" w:rsidRPr="006D5AC5" w:rsidRDefault="00FF6E56" w:rsidP="00D2045F">
      <w:pPr>
        <w:autoSpaceDE w:val="0"/>
        <w:autoSpaceDN w:val="0"/>
        <w:adjustRightInd w:val="0"/>
        <w:rPr>
          <w:rFonts w:cs="Arial"/>
          <w:szCs w:val="22"/>
        </w:rPr>
      </w:pPr>
      <w:r w:rsidRPr="006D5AC5">
        <w:rPr>
          <w:rFonts w:cs="Arial"/>
          <w:szCs w:val="22"/>
        </w:rPr>
        <w:t xml:space="preserve">The community composition metric is scored categorically and spatial differences in this metric were based on multinomial models </w:t>
      </w:r>
    </w:p>
    <w:p w14:paraId="633463B3" w14:textId="3B272C5A" w:rsidR="00FF6E56" w:rsidRPr="00F352E1" w:rsidRDefault="000E09B7" w:rsidP="00247FC8">
      <w:pPr>
        <w:pStyle w:val="Heading3"/>
      </w:pPr>
      <w:bookmarkStart w:id="109" w:name="_Toc514408400"/>
      <w:r w:rsidRPr="00F352E1">
        <w:t>4.</w:t>
      </w:r>
      <w:r w:rsidR="00BD29B3">
        <w:t>7</w:t>
      </w:r>
      <w:r w:rsidRPr="00F352E1">
        <w:t xml:space="preserve">.2 </w:t>
      </w:r>
      <w:r w:rsidR="00FF6E56" w:rsidRPr="00F352E1">
        <w:t>Variation in index and metric scores to gradients in water quality</w:t>
      </w:r>
      <w:bookmarkEnd w:id="109"/>
    </w:p>
    <w:p w14:paraId="6BE1BEFD" w14:textId="58FF6963" w:rsidR="00FF6E56" w:rsidRPr="004C26C1" w:rsidRDefault="00FF6E56" w:rsidP="00530874">
      <w:r w:rsidRPr="006A6972">
        <w:rPr>
          <w:rFonts w:cs="Arial"/>
          <w:szCs w:val="22"/>
        </w:rPr>
        <w:t xml:space="preserve">Environmental drivers of variation in index </w:t>
      </w:r>
      <w:r w:rsidR="00636167">
        <w:rPr>
          <w:rFonts w:cs="Arial"/>
          <w:szCs w:val="22"/>
        </w:rPr>
        <w:t xml:space="preserve">and indicator </w:t>
      </w:r>
      <w:r w:rsidRPr="006A6972">
        <w:rPr>
          <w:rFonts w:cs="Arial"/>
          <w:szCs w:val="22"/>
        </w:rPr>
        <w:t xml:space="preserve">scores in </w:t>
      </w:r>
      <w:r w:rsidR="00846C4F" w:rsidRPr="006A6972">
        <w:rPr>
          <w:rFonts w:cs="Arial"/>
          <w:szCs w:val="22"/>
        </w:rPr>
        <w:t xml:space="preserve">2017 </w:t>
      </w:r>
      <w:r w:rsidRPr="006A6972">
        <w:rPr>
          <w:rFonts w:cs="Arial"/>
          <w:szCs w:val="22"/>
        </w:rPr>
        <w:t xml:space="preserve">were explored via </w:t>
      </w:r>
      <w:r w:rsidR="006E2B8D" w:rsidRPr="006A6972">
        <w:rPr>
          <w:rFonts w:cs="Arial"/>
          <w:szCs w:val="22"/>
        </w:rPr>
        <w:t>generalised linear models</w:t>
      </w:r>
      <w:r w:rsidR="004E0BEC">
        <w:rPr>
          <w:rFonts w:cs="Arial"/>
          <w:szCs w:val="22"/>
        </w:rPr>
        <w:t xml:space="preserve">. </w:t>
      </w:r>
      <w:r w:rsidR="00530874">
        <w:rPr>
          <w:rFonts w:cs="Arial"/>
          <w:szCs w:val="22"/>
        </w:rPr>
        <w:t xml:space="preserve">Each combination of indicator score and depth were fit separately to the two water quality proxies Chl a and NAP. The index scores are bound by 0 and 1 and were scaled as </w:t>
      </w:r>
      <w:r w:rsidR="00530874" w:rsidRPr="006D5AC5">
        <w:rPr>
          <w:rFonts w:cs="Arial"/>
          <w:szCs w:val="22"/>
        </w:rPr>
        <w:t>(Score*0.998) + 0.001) prior to analysis</w:t>
      </w:r>
      <w:r w:rsidR="00530874">
        <w:rPr>
          <w:rFonts w:cs="Arial"/>
          <w:szCs w:val="22"/>
        </w:rPr>
        <w:t xml:space="preserve"> to allow them to be modelled assuming a </w:t>
      </w:r>
      <w:r w:rsidR="000305DA">
        <w:rPr>
          <w:rFonts w:cs="Arial"/>
          <w:szCs w:val="22"/>
        </w:rPr>
        <w:t>beta distribution. T</w:t>
      </w:r>
      <w:r w:rsidR="00D04488">
        <w:t xml:space="preserve">he exception was the composition metric that was modelled as </w:t>
      </w:r>
      <w:r w:rsidR="000305DA">
        <w:t>probit regression due to the categorical response</w:t>
      </w:r>
      <w:r w:rsidR="00D04488">
        <w:t xml:space="preserve">. For each combination of indicator score and water quality proxy the relationship was modelled </w:t>
      </w:r>
      <w:r w:rsidR="008B485E">
        <w:t>with either a</w:t>
      </w:r>
      <w:r w:rsidR="00D04488">
        <w:t xml:space="preserve"> nonparametric smoothing term parameterised as a penalised beta spline</w:t>
      </w:r>
      <w:r w:rsidR="008B485E">
        <w:t xml:space="preserve"> applied to the water quality proxy, a simple linear relationship and a null, intercept only model</w:t>
      </w:r>
      <w:r w:rsidR="00D04488">
        <w:t xml:space="preserve">. </w:t>
      </w:r>
      <w:r w:rsidR="008B485E">
        <w:t xml:space="preserve">Evidence for a curvilinear, linear or no relationship between indicator scores and water quality proxies were inferred based on comparison between AICc estimates from the three models. </w:t>
      </w:r>
      <w:r w:rsidR="003F5393">
        <w:t>Wh</w:t>
      </w:r>
      <w:r w:rsidR="008B485E">
        <w:t xml:space="preserve">ere relationships were indicated </w:t>
      </w:r>
      <w:r w:rsidR="00232635">
        <w:t xml:space="preserve">the predicted response was plotted. </w:t>
      </w:r>
      <w:r w:rsidR="00D80595">
        <w:rPr>
          <w:rFonts w:cs="Arial"/>
          <w:szCs w:val="22"/>
        </w:rPr>
        <w:t xml:space="preserve"> </w:t>
      </w:r>
      <w:r w:rsidR="00D80595">
        <w:t>Generalised</w:t>
      </w:r>
      <w:r w:rsidRPr="004C26C1">
        <w:rPr>
          <w:rFonts w:cs="Arial"/>
          <w:szCs w:val="22"/>
        </w:rPr>
        <w:t xml:space="preserve"> linear models were fit via the </w:t>
      </w:r>
      <w:r w:rsidR="00D80595">
        <w:rPr>
          <w:rFonts w:cs="Arial"/>
          <w:szCs w:val="22"/>
        </w:rPr>
        <w:t xml:space="preserve">gamlss </w:t>
      </w:r>
      <w:r w:rsidRPr="004C26C1">
        <w:rPr>
          <w:rFonts w:cs="Arial"/>
          <w:szCs w:val="22"/>
        </w:rPr>
        <w:t xml:space="preserve">package </w:t>
      </w:r>
      <w:r w:rsidR="00D80595">
        <w:rPr>
          <w:rFonts w:cs="Arial"/>
          <w:szCs w:val="22"/>
        </w:rPr>
        <w:t xml:space="preserve">(Stasinopoulos </w:t>
      </w:r>
      <w:r w:rsidR="00D80595" w:rsidRPr="00C82ABC">
        <w:rPr>
          <w:rFonts w:cs="Arial"/>
          <w:i/>
          <w:szCs w:val="22"/>
        </w:rPr>
        <w:t>et al.</w:t>
      </w:r>
      <w:r w:rsidR="00D80595">
        <w:rPr>
          <w:rFonts w:cs="Arial"/>
          <w:szCs w:val="22"/>
        </w:rPr>
        <w:t xml:space="preserve"> 2017) </w:t>
      </w:r>
      <w:r w:rsidR="000305DA">
        <w:rPr>
          <w:rFonts w:cs="Arial"/>
          <w:szCs w:val="22"/>
        </w:rPr>
        <w:t xml:space="preserve"> while the probit model for Composition was fit with the polr function in the MASS package </w:t>
      </w:r>
      <w:r w:rsidRPr="004C26C1">
        <w:rPr>
          <w:rFonts w:cs="Arial"/>
          <w:szCs w:val="22"/>
        </w:rPr>
        <w:t>within the R Statistical and Graphical Environment (R Core Team 201</w:t>
      </w:r>
      <w:r w:rsidR="00A61BEB">
        <w:rPr>
          <w:rFonts w:cs="Arial"/>
          <w:szCs w:val="22"/>
        </w:rPr>
        <w:t>7</w:t>
      </w:r>
      <w:r w:rsidRPr="004C26C1">
        <w:rPr>
          <w:rFonts w:cs="Arial"/>
          <w:szCs w:val="22"/>
        </w:rPr>
        <w:t>).</w:t>
      </w:r>
    </w:p>
    <w:p w14:paraId="4E68DE81" w14:textId="7BDC3786" w:rsidR="00FF6E56" w:rsidRPr="00F352E1" w:rsidRDefault="000E09B7" w:rsidP="00247FC8">
      <w:pPr>
        <w:pStyle w:val="Heading3"/>
      </w:pPr>
      <w:bookmarkStart w:id="110" w:name="_Toc514408401"/>
      <w:r w:rsidRPr="00F352E1">
        <w:t>4.</w:t>
      </w:r>
      <w:r w:rsidR="00BD29B3">
        <w:t>7</w:t>
      </w:r>
      <w:r w:rsidRPr="00F352E1">
        <w:t xml:space="preserve">.3 </w:t>
      </w:r>
      <w:r w:rsidR="00FF6E56" w:rsidRPr="00F352E1">
        <w:t xml:space="preserve">Relationship between index and metric scores and </w:t>
      </w:r>
      <w:r w:rsidR="004D7197">
        <w:t>temporal variability in environmental conditions</w:t>
      </w:r>
      <w:bookmarkEnd w:id="110"/>
      <w:r w:rsidR="00FF6E56" w:rsidRPr="00F352E1">
        <w:t xml:space="preserve"> </w:t>
      </w:r>
    </w:p>
    <w:p w14:paraId="282CD89A" w14:textId="77777777" w:rsidR="00FF6E56" w:rsidRPr="0064674D" w:rsidRDefault="00FF6E56" w:rsidP="00D2045F">
      <w:pPr>
        <w:rPr>
          <w:color w:val="000000" w:themeColor="text1"/>
          <w:szCs w:val="22"/>
        </w:rPr>
      </w:pPr>
      <w:r w:rsidRPr="0064674D">
        <w:rPr>
          <w:color w:val="000000" w:themeColor="text1"/>
          <w:szCs w:val="22"/>
        </w:rPr>
        <w:t xml:space="preserve">The response of coral communities to variation </w:t>
      </w:r>
      <w:r w:rsidR="00AC3DDD">
        <w:rPr>
          <w:color w:val="000000" w:themeColor="text1"/>
          <w:szCs w:val="22"/>
        </w:rPr>
        <w:t xml:space="preserve">in </w:t>
      </w:r>
      <w:r w:rsidR="004D7197" w:rsidRPr="0064674D">
        <w:rPr>
          <w:color w:val="000000" w:themeColor="text1"/>
          <w:szCs w:val="22"/>
        </w:rPr>
        <w:t xml:space="preserve">environmental conditions </w:t>
      </w:r>
      <w:r w:rsidRPr="0064674D">
        <w:rPr>
          <w:color w:val="000000" w:themeColor="text1"/>
          <w:szCs w:val="22"/>
        </w:rPr>
        <w:t>was assessed by comparing changes in index scores to</w:t>
      </w:r>
      <w:r w:rsidR="004D7197" w:rsidRPr="0064674D">
        <w:rPr>
          <w:color w:val="000000" w:themeColor="text1"/>
          <w:szCs w:val="22"/>
        </w:rPr>
        <w:t>:</w:t>
      </w:r>
      <w:r w:rsidRPr="0064674D">
        <w:rPr>
          <w:color w:val="000000" w:themeColor="text1"/>
          <w:szCs w:val="22"/>
        </w:rPr>
        <w:t xml:space="preserve"> </w:t>
      </w:r>
      <w:r w:rsidR="004D7197" w:rsidRPr="0064674D">
        <w:rPr>
          <w:color w:val="000000" w:themeColor="text1"/>
          <w:szCs w:val="22"/>
        </w:rPr>
        <w:t xml:space="preserve">annual discharge and total </w:t>
      </w:r>
      <w:r w:rsidR="00E94646">
        <w:rPr>
          <w:color w:val="000000" w:themeColor="text1"/>
          <w:szCs w:val="22"/>
        </w:rPr>
        <w:t>N</w:t>
      </w:r>
      <w:r w:rsidR="004D7197" w:rsidRPr="0064674D">
        <w:rPr>
          <w:color w:val="000000" w:themeColor="text1"/>
          <w:szCs w:val="22"/>
        </w:rPr>
        <w:t xml:space="preserve"> and P loads estimated from the adjacent catchments</w:t>
      </w:r>
      <w:r w:rsidR="00AC3DDD">
        <w:rPr>
          <w:color w:val="000000" w:themeColor="text1"/>
          <w:szCs w:val="22"/>
        </w:rPr>
        <w:t xml:space="preserve">, </w:t>
      </w:r>
      <w:r w:rsidR="004D7197" w:rsidRPr="0064674D">
        <w:rPr>
          <w:color w:val="000000" w:themeColor="text1"/>
          <w:szCs w:val="22"/>
        </w:rPr>
        <w:t xml:space="preserve">exposure to </w:t>
      </w:r>
      <w:r w:rsidR="00AC3DDD">
        <w:rPr>
          <w:color w:val="000000" w:themeColor="text1"/>
          <w:szCs w:val="22"/>
        </w:rPr>
        <w:t xml:space="preserve">above GL concentrations of </w:t>
      </w:r>
      <w:r w:rsidR="004D7197" w:rsidRPr="0064674D">
        <w:rPr>
          <w:color w:val="000000" w:themeColor="text1"/>
          <w:szCs w:val="22"/>
        </w:rPr>
        <w:t xml:space="preserve">Chl </w:t>
      </w:r>
      <w:r w:rsidR="004D7197" w:rsidRPr="0064674D">
        <w:rPr>
          <w:i/>
          <w:color w:val="000000" w:themeColor="text1"/>
          <w:szCs w:val="22"/>
        </w:rPr>
        <w:t>a</w:t>
      </w:r>
      <w:r w:rsidR="004D7197" w:rsidRPr="0064674D">
        <w:rPr>
          <w:color w:val="000000" w:themeColor="text1"/>
          <w:szCs w:val="22"/>
        </w:rPr>
        <w:t xml:space="preserve"> over the wet season and NAP concentrations.</w:t>
      </w:r>
      <w:r w:rsidR="00AC3DDD">
        <w:rPr>
          <w:color w:val="000000" w:themeColor="text1"/>
          <w:szCs w:val="22"/>
        </w:rPr>
        <w:t xml:space="preserve"> For the</w:t>
      </w:r>
      <w:r w:rsidRPr="0064674D">
        <w:rPr>
          <w:color w:val="000000" w:themeColor="text1"/>
          <w:szCs w:val="22"/>
        </w:rPr>
        <w:t>s</w:t>
      </w:r>
      <w:r w:rsidR="00AC3DDD">
        <w:rPr>
          <w:color w:val="000000" w:themeColor="text1"/>
          <w:szCs w:val="22"/>
        </w:rPr>
        <w:t>e analyse</w:t>
      </w:r>
      <w:r w:rsidRPr="0064674D">
        <w:rPr>
          <w:color w:val="000000" w:themeColor="text1"/>
          <w:szCs w:val="22"/>
        </w:rPr>
        <w:t xml:space="preserve">s Generalised Additive Models (GAMs) were applied separately </w:t>
      </w:r>
      <w:r w:rsidR="00AC3DDD">
        <w:rPr>
          <w:color w:val="000000" w:themeColor="text1"/>
          <w:szCs w:val="22"/>
        </w:rPr>
        <w:t>to</w:t>
      </w:r>
      <w:r w:rsidRPr="0064674D">
        <w:rPr>
          <w:color w:val="000000" w:themeColor="text1"/>
          <w:szCs w:val="22"/>
        </w:rPr>
        <w:t xml:space="preserve"> results from each Region. The response variable was the biennial change in the index score (</w:t>
      </w:r>
      <w:r w:rsidRPr="0064674D">
        <w:rPr>
          <w:i/>
          <w:color w:val="000000" w:themeColor="text1"/>
          <w:szCs w:val="22"/>
        </w:rPr>
        <w:t>I</w:t>
      </w:r>
      <w:r w:rsidRPr="0064674D">
        <w:rPr>
          <w:color w:val="000000" w:themeColor="text1"/>
          <w:szCs w:val="22"/>
        </w:rPr>
        <w:t>) at a given reef (r) from one year (y) to the year (y+2). Biennial changes were considered due to the biennial sampling design of the program.</w:t>
      </w:r>
    </w:p>
    <w:p w14:paraId="5B7E4856" w14:textId="77777777" w:rsidR="00FF6E56" w:rsidRPr="0064674D" w:rsidRDefault="00FF6E56" w:rsidP="00D2045F">
      <w:pPr>
        <w:rPr>
          <w:color w:val="000000" w:themeColor="text1"/>
          <w:szCs w:val="22"/>
        </w:rPr>
      </w:pPr>
      <m:oMathPara>
        <m:oMath>
          <m:r>
            <w:rPr>
              <w:rFonts w:ascii="Cambria Math" w:hAnsi="Cambria Math" w:cs="Arial"/>
              <w:color w:val="000000" w:themeColor="text1"/>
              <w:szCs w:val="22"/>
            </w:rPr>
            <m:t>Δ</m:t>
          </m:r>
          <m:r>
            <w:rPr>
              <w:rFonts w:ascii="Cambria Math" w:hAnsi="Cambria Math"/>
              <w:color w:val="000000" w:themeColor="text1"/>
              <w:szCs w:val="22"/>
            </w:rPr>
            <m:t xml:space="preserve">I = </m:t>
          </m:r>
          <m:sSub>
            <m:sSubPr>
              <m:ctrlPr>
                <w:rPr>
                  <w:rFonts w:ascii="Cambria Math" w:hAnsi="Cambria Math"/>
                  <w:i/>
                  <w:color w:val="000000" w:themeColor="text1"/>
                  <w:szCs w:val="22"/>
                </w:rPr>
              </m:ctrlPr>
            </m:sSubPr>
            <m:e>
              <m:r>
                <w:rPr>
                  <w:rFonts w:ascii="Cambria Math" w:hAnsi="Cambria Math"/>
                  <w:color w:val="000000" w:themeColor="text1"/>
                  <w:szCs w:val="22"/>
                </w:rPr>
                <m:t>I</m:t>
              </m:r>
            </m:e>
            <m:sub>
              <m:r>
                <w:rPr>
                  <w:rFonts w:ascii="Cambria Math" w:hAnsi="Cambria Math"/>
                  <w:color w:val="000000" w:themeColor="text1"/>
                  <w:szCs w:val="22"/>
                </w:rPr>
                <m:t>ry+2</m:t>
              </m:r>
            </m:sub>
          </m:sSub>
          <m:r>
            <w:rPr>
              <w:rFonts w:ascii="Cambria Math" w:hAnsi="Cambria Math"/>
              <w:color w:val="000000" w:themeColor="text1"/>
              <w:szCs w:val="22"/>
            </w:rPr>
            <m:t xml:space="preserve">– </m:t>
          </m:r>
          <m:sSub>
            <m:sSubPr>
              <m:ctrlPr>
                <w:rPr>
                  <w:rFonts w:ascii="Cambria Math" w:hAnsi="Cambria Math"/>
                  <w:i/>
                  <w:color w:val="000000" w:themeColor="text1"/>
                  <w:szCs w:val="22"/>
                </w:rPr>
              </m:ctrlPr>
            </m:sSubPr>
            <m:e>
              <m:r>
                <w:rPr>
                  <w:rFonts w:ascii="Cambria Math" w:hAnsi="Cambria Math"/>
                  <w:color w:val="000000" w:themeColor="text1"/>
                  <w:szCs w:val="22"/>
                </w:rPr>
                <m:t>I</m:t>
              </m:r>
            </m:e>
            <m:sub>
              <m:r>
                <w:rPr>
                  <w:rFonts w:ascii="Cambria Math" w:hAnsi="Cambria Math"/>
                  <w:color w:val="000000" w:themeColor="text1"/>
                  <w:szCs w:val="22"/>
                </w:rPr>
                <m:t>ry</m:t>
              </m:r>
            </m:sub>
          </m:sSub>
        </m:oMath>
      </m:oMathPara>
    </w:p>
    <w:p w14:paraId="4CF85B99" w14:textId="2D5F4340" w:rsidR="00477363" w:rsidRPr="004C26C1" w:rsidRDefault="004D7197" w:rsidP="00477363">
      <w:r w:rsidRPr="0064674D">
        <w:rPr>
          <w:color w:val="000000" w:themeColor="text1"/>
          <w:szCs w:val="22"/>
        </w:rPr>
        <w:t>Similarly the c</w:t>
      </w:r>
      <w:r w:rsidR="00FF6E56" w:rsidRPr="0064674D">
        <w:rPr>
          <w:color w:val="000000" w:themeColor="text1"/>
          <w:szCs w:val="22"/>
        </w:rPr>
        <w:t>ovariate in each model w</w:t>
      </w:r>
      <w:r w:rsidR="0064674D" w:rsidRPr="0064674D">
        <w:rPr>
          <w:color w:val="000000" w:themeColor="text1"/>
          <w:szCs w:val="22"/>
        </w:rPr>
        <w:t xml:space="preserve">ere </w:t>
      </w:r>
      <w:r w:rsidR="00FF6E56" w:rsidRPr="0064674D">
        <w:rPr>
          <w:color w:val="000000" w:themeColor="text1"/>
          <w:szCs w:val="22"/>
        </w:rPr>
        <w:t>sum</w:t>
      </w:r>
      <w:r w:rsidR="0064674D" w:rsidRPr="0064674D">
        <w:rPr>
          <w:color w:val="000000" w:themeColor="text1"/>
          <w:szCs w:val="22"/>
        </w:rPr>
        <w:t>med</w:t>
      </w:r>
      <w:r w:rsidR="00FF6E56" w:rsidRPr="0064674D">
        <w:rPr>
          <w:color w:val="000000" w:themeColor="text1"/>
          <w:szCs w:val="22"/>
        </w:rPr>
        <w:t xml:space="preserve"> over the two water years ending in the survey year (y+2)</w:t>
      </w:r>
      <w:r w:rsidR="0064674D" w:rsidRPr="0064674D">
        <w:rPr>
          <w:color w:val="000000" w:themeColor="text1"/>
          <w:szCs w:val="22"/>
        </w:rPr>
        <w:t>.</w:t>
      </w:r>
      <w:r w:rsidR="006A6972" w:rsidRPr="0064674D">
        <w:rPr>
          <w:rFonts w:cs="Arial"/>
          <w:color w:val="000000" w:themeColor="text1"/>
          <w:szCs w:val="22"/>
        </w:rPr>
        <w:t xml:space="preserve"> To</w:t>
      </w:r>
      <w:r w:rsidR="00FF6E56" w:rsidRPr="0064674D">
        <w:rPr>
          <w:rFonts w:cs="Arial"/>
          <w:color w:val="000000" w:themeColor="text1"/>
          <w:szCs w:val="22"/>
        </w:rPr>
        <w:t xml:space="preserve"> reduce confounding between the response of the index to acute disturbances</w:t>
      </w:r>
      <w:r w:rsidR="0064674D" w:rsidRPr="0064674D">
        <w:rPr>
          <w:rFonts w:cs="Arial"/>
          <w:color w:val="000000" w:themeColor="text1"/>
          <w:szCs w:val="22"/>
        </w:rPr>
        <w:t>,</w:t>
      </w:r>
      <w:r w:rsidR="00FF6E56" w:rsidRPr="0064674D">
        <w:rPr>
          <w:rFonts w:cs="Arial"/>
          <w:color w:val="000000" w:themeColor="text1"/>
          <w:szCs w:val="22"/>
        </w:rPr>
        <w:t xml:space="preserve"> observations of change in the index at reefs </w:t>
      </w:r>
      <w:r w:rsidR="00BA58C1" w:rsidRPr="0064674D">
        <w:rPr>
          <w:rFonts w:cs="Arial"/>
          <w:color w:val="000000" w:themeColor="text1"/>
          <w:szCs w:val="22"/>
        </w:rPr>
        <w:t>categorised as being i</w:t>
      </w:r>
      <w:r w:rsidR="00FF6E56" w:rsidRPr="0064674D">
        <w:rPr>
          <w:rFonts w:cs="Arial"/>
          <w:color w:val="000000" w:themeColor="text1"/>
          <w:szCs w:val="22"/>
        </w:rPr>
        <w:t xml:space="preserve">nfluenced by an acute disturbance event </w:t>
      </w:r>
      <w:r w:rsidR="00BA58C1" w:rsidRPr="0064674D">
        <w:rPr>
          <w:rFonts w:cs="Arial"/>
          <w:color w:val="000000" w:themeColor="text1"/>
          <w:szCs w:val="22"/>
        </w:rPr>
        <w:t xml:space="preserve">in a given biennial period </w:t>
      </w:r>
      <w:r w:rsidR="00FF6E56" w:rsidRPr="0064674D">
        <w:rPr>
          <w:rFonts w:cs="Arial"/>
          <w:color w:val="000000" w:themeColor="text1"/>
          <w:szCs w:val="22"/>
        </w:rPr>
        <w:t xml:space="preserve">were </w:t>
      </w:r>
      <w:r w:rsidR="00BA58C1" w:rsidRPr="0064674D">
        <w:rPr>
          <w:rFonts w:cs="Arial"/>
          <w:color w:val="000000" w:themeColor="text1"/>
          <w:szCs w:val="22"/>
        </w:rPr>
        <w:t>ex</w:t>
      </w:r>
      <w:r w:rsidR="00FF6E56" w:rsidRPr="0064674D">
        <w:rPr>
          <w:rFonts w:cs="Arial"/>
          <w:color w:val="000000" w:themeColor="text1"/>
          <w:szCs w:val="22"/>
        </w:rPr>
        <w:t xml:space="preserve">cluded. </w:t>
      </w:r>
      <w:r w:rsidR="00FF6E56" w:rsidRPr="0064674D">
        <w:rPr>
          <w:color w:val="000000" w:themeColor="text1"/>
          <w:szCs w:val="22"/>
        </w:rPr>
        <w:t>In the first instance</w:t>
      </w:r>
      <w:r w:rsidR="00BA58C1" w:rsidRPr="0064674D">
        <w:rPr>
          <w:color w:val="000000" w:themeColor="text1"/>
          <w:szCs w:val="22"/>
        </w:rPr>
        <w:t>,</w:t>
      </w:r>
      <w:r w:rsidR="00FF6E56" w:rsidRPr="0064674D">
        <w:rPr>
          <w:color w:val="000000" w:themeColor="text1"/>
          <w:szCs w:val="22"/>
        </w:rPr>
        <w:t xml:space="preserve"> GAMs allowed for the fitting of non-linear responses using natural splines; when these models did not support non-linear response</w:t>
      </w:r>
      <w:r w:rsidR="001C07FC" w:rsidRPr="0064674D">
        <w:rPr>
          <w:color w:val="000000" w:themeColor="text1"/>
          <w:szCs w:val="22"/>
        </w:rPr>
        <w:t>,</w:t>
      </w:r>
      <w:r w:rsidR="00FF6E56" w:rsidRPr="0064674D">
        <w:rPr>
          <w:color w:val="000000" w:themeColor="text1"/>
          <w:szCs w:val="22"/>
        </w:rPr>
        <w:t xml:space="preserve"> simple linear models were used.</w:t>
      </w:r>
      <w:r w:rsidR="00FF6E56" w:rsidRPr="0064674D">
        <w:rPr>
          <w:color w:val="000000" w:themeColor="text1"/>
        </w:rPr>
        <w:t xml:space="preserve"> </w:t>
      </w:r>
      <w:r w:rsidR="00477363" w:rsidRPr="00477363">
        <w:rPr>
          <w:rFonts w:cs="Arial"/>
          <w:szCs w:val="22"/>
        </w:rPr>
        <w:t xml:space="preserve"> </w:t>
      </w:r>
      <w:r w:rsidR="00477363" w:rsidRPr="004C26C1">
        <w:rPr>
          <w:rFonts w:cs="Arial"/>
          <w:szCs w:val="22"/>
        </w:rPr>
        <w:t xml:space="preserve">All </w:t>
      </w:r>
      <w:r w:rsidR="00477363">
        <w:rPr>
          <w:rFonts w:cs="Arial"/>
          <w:szCs w:val="22"/>
        </w:rPr>
        <w:t>GAM</w:t>
      </w:r>
      <w:r w:rsidR="00477363" w:rsidRPr="004C26C1">
        <w:rPr>
          <w:rFonts w:cs="Arial"/>
          <w:szCs w:val="22"/>
        </w:rPr>
        <w:t xml:space="preserve"> models were fit via the </w:t>
      </w:r>
      <w:r w:rsidR="00477363">
        <w:rPr>
          <w:rFonts w:cs="Arial"/>
          <w:szCs w:val="22"/>
        </w:rPr>
        <w:t>mgcv</w:t>
      </w:r>
      <w:r w:rsidR="00477363" w:rsidRPr="004C26C1">
        <w:rPr>
          <w:rFonts w:cs="Arial"/>
          <w:szCs w:val="22"/>
        </w:rPr>
        <w:t xml:space="preserve"> package (</w:t>
      </w:r>
      <w:r w:rsidR="0032242F" w:rsidRPr="000305DA">
        <w:rPr>
          <w:rFonts w:cs="Arial"/>
          <w:color w:val="000000" w:themeColor="text1"/>
          <w:szCs w:val="22"/>
        </w:rPr>
        <w:t>Wood 2011</w:t>
      </w:r>
      <w:r w:rsidR="0032242F">
        <w:rPr>
          <w:rFonts w:cs="Arial"/>
          <w:szCs w:val="22"/>
        </w:rPr>
        <w:t>)</w:t>
      </w:r>
      <w:r w:rsidR="0032242F" w:rsidRPr="004C26C1">
        <w:rPr>
          <w:rFonts w:cs="Arial"/>
          <w:szCs w:val="22"/>
        </w:rPr>
        <w:t xml:space="preserve"> </w:t>
      </w:r>
      <w:r w:rsidR="00477363" w:rsidRPr="004C26C1">
        <w:rPr>
          <w:rFonts w:cs="Arial"/>
          <w:szCs w:val="22"/>
        </w:rPr>
        <w:t>and linear models were fit via the stats package within the R Statistical and Graphical Environment (R Core Team 201</w:t>
      </w:r>
      <w:r w:rsidR="00477363">
        <w:rPr>
          <w:rFonts w:cs="Arial"/>
          <w:szCs w:val="22"/>
        </w:rPr>
        <w:t>7</w:t>
      </w:r>
      <w:r w:rsidR="00477363" w:rsidRPr="004C26C1">
        <w:rPr>
          <w:rFonts w:cs="Arial"/>
          <w:szCs w:val="22"/>
        </w:rPr>
        <w:t>).</w:t>
      </w:r>
    </w:p>
    <w:p w14:paraId="11164DAA" w14:textId="4A4B0265" w:rsidR="00FF6E56" w:rsidRPr="00F352E1" w:rsidRDefault="000E09B7" w:rsidP="00247FC8">
      <w:pPr>
        <w:pStyle w:val="Heading3"/>
      </w:pPr>
      <w:bookmarkStart w:id="111" w:name="_Toc514408402"/>
      <w:r w:rsidRPr="00F352E1">
        <w:t>4.</w:t>
      </w:r>
      <w:r w:rsidR="00BD29B3">
        <w:t>7</w:t>
      </w:r>
      <w:r w:rsidRPr="00F352E1">
        <w:t xml:space="preserve">.4 </w:t>
      </w:r>
      <w:r w:rsidR="00FF6E56" w:rsidRPr="00F352E1">
        <w:t>Temporal trends in coral index, indicators and measured water quality.</w:t>
      </w:r>
      <w:bookmarkEnd w:id="111"/>
    </w:p>
    <w:p w14:paraId="1FAE20D7" w14:textId="77777777" w:rsidR="00FF6E56" w:rsidRPr="0064674D" w:rsidRDefault="00FF6E56" w:rsidP="00FF6E56">
      <w:pPr>
        <w:rPr>
          <w:color w:val="000000" w:themeColor="text1"/>
        </w:rPr>
      </w:pPr>
      <w:r w:rsidRPr="0064674D">
        <w:rPr>
          <w:color w:val="000000" w:themeColor="text1"/>
        </w:rPr>
        <w:t>A panel of plots provide temporal trends in the coral index and the five indicators on which the index is based. The derivation of annual coral index scores and associated confidence intervals is detailed in the following section (</w:t>
      </w:r>
      <w:r w:rsidR="00085F46" w:rsidRPr="0064674D">
        <w:rPr>
          <w:color w:val="000000" w:themeColor="text1"/>
        </w:rPr>
        <w:t>4.7</w:t>
      </w:r>
      <w:r w:rsidRPr="0064674D">
        <w:rPr>
          <w:color w:val="000000" w:themeColor="text1"/>
        </w:rPr>
        <w:t xml:space="preserve">). </w:t>
      </w:r>
    </w:p>
    <w:p w14:paraId="762EA6C7" w14:textId="39F12068" w:rsidR="00FF6E56" w:rsidRPr="0064674D" w:rsidRDefault="00FF6E56" w:rsidP="00D2045F">
      <w:pPr>
        <w:rPr>
          <w:rFonts w:eastAsia="MS Mincho"/>
          <w:color w:val="000000" w:themeColor="text1"/>
        </w:rPr>
      </w:pPr>
      <w:r w:rsidRPr="0064674D">
        <w:rPr>
          <w:color w:val="000000" w:themeColor="text1"/>
        </w:rPr>
        <w:t xml:space="preserve">For </w:t>
      </w:r>
      <w:r w:rsidR="007F5EA6" w:rsidRPr="0064674D">
        <w:rPr>
          <w:color w:val="000000" w:themeColor="text1"/>
        </w:rPr>
        <w:t>each of the</w:t>
      </w:r>
      <w:r w:rsidRPr="0064674D">
        <w:rPr>
          <w:color w:val="000000" w:themeColor="text1"/>
        </w:rPr>
        <w:t xml:space="preserve"> five indicators that inform the coral index</w:t>
      </w:r>
      <w:r w:rsidR="00A66915" w:rsidRPr="0064674D">
        <w:rPr>
          <w:color w:val="000000" w:themeColor="text1"/>
        </w:rPr>
        <w:t>,</w:t>
      </w:r>
      <w:r w:rsidRPr="0064674D">
        <w:rPr>
          <w:color w:val="000000" w:themeColor="text1"/>
        </w:rPr>
        <w:t xml:space="preserve"> temporal trends</w:t>
      </w:r>
      <w:r w:rsidR="007F5EA6" w:rsidRPr="0064674D">
        <w:rPr>
          <w:color w:val="000000" w:themeColor="text1"/>
        </w:rPr>
        <w:t xml:space="preserve"> and their </w:t>
      </w:r>
      <w:r w:rsidRPr="0064674D">
        <w:rPr>
          <w:color w:val="000000" w:themeColor="text1"/>
        </w:rPr>
        <w:t xml:space="preserve">and 95% confidence intervals were derived from linear mixed effects models. Models for each indicator included a fixed effect for year and random effect for </w:t>
      </w:r>
      <w:r w:rsidR="00A66915" w:rsidRPr="0064674D">
        <w:rPr>
          <w:color w:val="000000" w:themeColor="text1"/>
        </w:rPr>
        <w:t xml:space="preserve">each </w:t>
      </w:r>
      <w:r w:rsidRPr="0064674D">
        <w:rPr>
          <w:color w:val="000000" w:themeColor="text1"/>
        </w:rPr>
        <w:t>Reef</w:t>
      </w:r>
      <w:r w:rsidR="00A66915" w:rsidRPr="0064674D">
        <w:rPr>
          <w:color w:val="000000" w:themeColor="text1"/>
        </w:rPr>
        <w:t xml:space="preserve"> and depth combination</w:t>
      </w:r>
      <w:r w:rsidRPr="0064674D">
        <w:rPr>
          <w:color w:val="000000" w:themeColor="text1"/>
        </w:rPr>
        <w:t>. To account for the sampling design</w:t>
      </w:r>
      <w:r w:rsidR="00A66915" w:rsidRPr="0064674D">
        <w:rPr>
          <w:color w:val="000000" w:themeColor="text1"/>
        </w:rPr>
        <w:t>,</w:t>
      </w:r>
      <w:r w:rsidRPr="0064674D">
        <w:rPr>
          <w:color w:val="000000" w:themeColor="text1"/>
        </w:rPr>
        <w:t xml:space="preserve"> that samples reefs </w:t>
      </w:r>
      <w:r w:rsidR="00477363">
        <w:rPr>
          <w:color w:val="000000" w:themeColor="text1"/>
        </w:rPr>
        <w:t>on a biennial cycle</w:t>
      </w:r>
      <w:r w:rsidR="00A66915" w:rsidRPr="0064674D">
        <w:rPr>
          <w:color w:val="000000" w:themeColor="text1"/>
        </w:rPr>
        <w:t>,</w:t>
      </w:r>
      <w:r w:rsidRPr="0064674D">
        <w:rPr>
          <w:color w:val="000000" w:themeColor="text1"/>
        </w:rPr>
        <w:t xml:space="preserve"> missing data were infilled with observations from the preceding year as is done for the estimation of annual index scores. Observed trends for individual reef</w:t>
      </w:r>
      <w:r w:rsidR="00A66915" w:rsidRPr="0064674D">
        <w:rPr>
          <w:color w:val="000000" w:themeColor="text1"/>
        </w:rPr>
        <w:t xml:space="preserve"> and depth combinations</w:t>
      </w:r>
      <w:r w:rsidR="007F5EA6" w:rsidRPr="0064674D">
        <w:rPr>
          <w:color w:val="000000" w:themeColor="text1"/>
        </w:rPr>
        <w:t xml:space="preserve"> </w:t>
      </w:r>
      <w:r w:rsidRPr="0064674D">
        <w:rPr>
          <w:color w:val="000000" w:themeColor="text1"/>
        </w:rPr>
        <w:t>(averaged over sites) are provided as grey lines. Trends in key water quality parameters are reproduced</w:t>
      </w:r>
      <w:r w:rsidR="0064674D" w:rsidRPr="0064674D">
        <w:rPr>
          <w:color w:val="000000" w:themeColor="text1"/>
        </w:rPr>
        <w:t xml:space="preserve"> in the Appendix</w:t>
      </w:r>
      <w:r w:rsidRPr="0064674D">
        <w:rPr>
          <w:color w:val="000000" w:themeColor="text1"/>
        </w:rPr>
        <w:t xml:space="preserve"> from the companion water quality report (Waterhouse </w:t>
      </w:r>
      <w:r w:rsidRPr="0064674D">
        <w:rPr>
          <w:i/>
          <w:color w:val="000000" w:themeColor="text1"/>
        </w:rPr>
        <w:t>et al</w:t>
      </w:r>
      <w:r w:rsidRPr="0064674D">
        <w:rPr>
          <w:color w:val="000000" w:themeColor="text1"/>
        </w:rPr>
        <w:t>. 201</w:t>
      </w:r>
      <w:r w:rsidR="00841929" w:rsidRPr="0064674D">
        <w:rPr>
          <w:color w:val="000000" w:themeColor="text1"/>
        </w:rPr>
        <w:t>8</w:t>
      </w:r>
      <w:r w:rsidRPr="0064674D">
        <w:rPr>
          <w:color w:val="000000" w:themeColor="text1"/>
        </w:rPr>
        <w:t>)</w:t>
      </w:r>
      <w:r w:rsidR="0064674D" w:rsidRPr="0064674D">
        <w:rPr>
          <w:color w:val="000000" w:themeColor="text1"/>
        </w:rPr>
        <w:t xml:space="preserve"> were</w:t>
      </w:r>
      <w:r w:rsidRPr="0064674D">
        <w:rPr>
          <w:color w:val="000000" w:themeColor="text1"/>
        </w:rPr>
        <w:t xml:space="preserve"> detailed reporting of these data</w:t>
      </w:r>
      <w:r w:rsidR="0064674D" w:rsidRPr="0064674D">
        <w:rPr>
          <w:color w:val="000000" w:themeColor="text1"/>
        </w:rPr>
        <w:t xml:space="preserve"> can be found</w:t>
      </w:r>
      <w:r w:rsidRPr="0064674D">
        <w:rPr>
          <w:color w:val="000000" w:themeColor="text1"/>
        </w:rPr>
        <w:t>. Generalized additive mixed models (</w:t>
      </w:r>
      <w:r w:rsidRPr="0064674D">
        <w:rPr>
          <w:bCs/>
          <w:color w:val="000000" w:themeColor="text1"/>
        </w:rPr>
        <w:t>GAMMs,</w:t>
      </w:r>
      <w:r w:rsidR="00E650C5" w:rsidRPr="0064674D">
        <w:rPr>
          <w:color w:val="000000" w:themeColor="text1"/>
        </w:rPr>
        <w:t xml:space="preserve"> Wood 2006) were fitted to</w:t>
      </w:r>
      <w:r w:rsidRPr="0064674D">
        <w:rPr>
          <w:color w:val="000000" w:themeColor="text1"/>
        </w:rPr>
        <w:t xml:space="preserve"> the water quality variables separately for each NRM region. </w:t>
      </w:r>
      <w:r w:rsidRPr="0064674D">
        <w:rPr>
          <w:color w:val="000000" w:themeColor="text1"/>
          <w:lang w:val="en-US"/>
        </w:rPr>
        <w:t xml:space="preserve">Trends in these data sets were modeled as </w:t>
      </w:r>
      <w:r w:rsidRPr="0064674D" w:rsidDel="005A4144">
        <w:rPr>
          <w:color w:val="000000" w:themeColor="text1"/>
        </w:rPr>
        <w:t>thin-plate splines fitted via Generalised Additive Mixed Models (GAMM's). These models incorporated seasonal cyclical cubic splines with sample location set as the random effect.</w:t>
      </w:r>
      <w:r w:rsidRPr="0064674D">
        <w:rPr>
          <w:color w:val="000000" w:themeColor="text1"/>
        </w:rPr>
        <w:t xml:space="preserve"> All</w:t>
      </w:r>
      <w:r w:rsidRPr="0064674D">
        <w:rPr>
          <w:rFonts w:eastAsia="MS Mincho"/>
          <w:color w:val="000000" w:themeColor="text1"/>
        </w:rPr>
        <w:t xml:space="preserve"> analyses were carried out usi</w:t>
      </w:r>
      <w:r w:rsidR="00540DE4" w:rsidRPr="0064674D">
        <w:rPr>
          <w:rFonts w:eastAsia="MS Mincho"/>
          <w:color w:val="000000" w:themeColor="text1"/>
        </w:rPr>
        <w:t xml:space="preserve">ng the R statistical package (R Development </w:t>
      </w:r>
      <w:r w:rsidRPr="0064674D">
        <w:rPr>
          <w:rFonts w:eastAsia="MS Mincho"/>
          <w:color w:val="000000" w:themeColor="text1"/>
        </w:rPr>
        <w:t>Co</w:t>
      </w:r>
      <w:r w:rsidR="00540DE4" w:rsidRPr="0064674D">
        <w:rPr>
          <w:rFonts w:eastAsia="MS Mincho"/>
          <w:color w:val="000000" w:themeColor="text1"/>
        </w:rPr>
        <w:t xml:space="preserve">re </w:t>
      </w:r>
      <w:r w:rsidRPr="0064674D">
        <w:rPr>
          <w:rFonts w:eastAsia="MS Mincho"/>
          <w:color w:val="000000" w:themeColor="text1"/>
        </w:rPr>
        <w:t xml:space="preserve">Team 2011). </w:t>
      </w:r>
    </w:p>
    <w:p w14:paraId="76C115DA" w14:textId="77777777" w:rsidR="00FF6E56" w:rsidRPr="0064674D" w:rsidDel="005A4144" w:rsidRDefault="00FF6E56" w:rsidP="00D2045F">
      <w:pPr>
        <w:rPr>
          <w:color w:val="000000" w:themeColor="text1"/>
        </w:rPr>
      </w:pPr>
      <w:r w:rsidRPr="0064674D" w:rsidDel="005A4144">
        <w:rPr>
          <w:color w:val="000000" w:themeColor="text1"/>
        </w:rPr>
        <w:t xml:space="preserve">A more detailed summary of raw data for benthic cover and juvenile density at each reef and depth combination </w:t>
      </w:r>
      <w:r w:rsidR="00E650C5" w:rsidRPr="0064674D">
        <w:rPr>
          <w:color w:val="000000" w:themeColor="text1"/>
        </w:rPr>
        <w:t>is</w:t>
      </w:r>
      <w:r w:rsidRPr="0064674D" w:rsidDel="005A4144">
        <w:rPr>
          <w:color w:val="000000" w:themeColor="text1"/>
        </w:rPr>
        <w:t xml:space="preserve"> presented as bar plots in Appendix 1. These additional plots breakdown cover and density of corals to the taxonomic level of Family. Genus level data for the current year only are included in table form</w:t>
      </w:r>
      <w:r w:rsidR="00E650C5" w:rsidRPr="0064674D">
        <w:rPr>
          <w:color w:val="000000" w:themeColor="text1"/>
        </w:rPr>
        <w:t>,</w:t>
      </w:r>
      <w:r w:rsidRPr="0064674D" w:rsidDel="005A4144">
        <w:rPr>
          <w:color w:val="000000" w:themeColor="text1"/>
        </w:rPr>
        <w:t xml:space="preserve"> also in Appendix 1.</w:t>
      </w:r>
    </w:p>
    <w:p w14:paraId="68704C3F" w14:textId="727515FD" w:rsidR="00FF6E56" w:rsidRPr="00F352E1" w:rsidRDefault="000E09B7" w:rsidP="00247FC8">
      <w:pPr>
        <w:pStyle w:val="Heading3"/>
      </w:pPr>
      <w:bookmarkStart w:id="112" w:name="_Toc514408403"/>
      <w:r w:rsidRPr="00F352E1">
        <w:t>4.</w:t>
      </w:r>
      <w:r w:rsidR="00BD29B3">
        <w:t>7</w:t>
      </w:r>
      <w:r w:rsidRPr="00F352E1">
        <w:t xml:space="preserve">.5 </w:t>
      </w:r>
      <w:r w:rsidR="00FF6E56" w:rsidRPr="00F352E1">
        <w:t>Analysis of change in index and metric scores</w:t>
      </w:r>
      <w:bookmarkEnd w:id="112"/>
      <w:r w:rsidR="00FF6E56" w:rsidRPr="00F352E1">
        <w:t xml:space="preserve"> </w:t>
      </w:r>
    </w:p>
    <w:p w14:paraId="3729F710" w14:textId="104B81E9" w:rsidR="00477E7A" w:rsidRDefault="00FF6E56" w:rsidP="00D2045F">
      <w:r w:rsidRPr="007D4097">
        <w:t>Differences in the index</w:t>
      </w:r>
      <w:r w:rsidR="00CD2D07" w:rsidRPr="007D4097">
        <w:t>,</w:t>
      </w:r>
      <w:r w:rsidRPr="007D4097">
        <w:t xml:space="preserve"> or individual metric</w:t>
      </w:r>
      <w:r w:rsidR="00CD2D07" w:rsidRPr="007D4097">
        <w:t>,</w:t>
      </w:r>
      <w:r w:rsidRPr="007D4097">
        <w:t xml:space="preserve"> scores were estimated between focal years identified as local maxima or minima within the time-series of the index scores within each (sub-)region.</w:t>
      </w:r>
      <w:r w:rsidR="00E75F5C" w:rsidRPr="007D4097">
        <w:t xml:space="preserve"> </w:t>
      </w:r>
      <w:r w:rsidRPr="007D4097">
        <w:t xml:space="preserve">Confidence in the magnitude of these differences </w:t>
      </w:r>
      <w:r w:rsidR="00CD2D07" w:rsidRPr="007D4097">
        <w:t xml:space="preserve">are </w:t>
      </w:r>
      <w:r w:rsidRPr="007D4097">
        <w:t>expressed as a probability that the mean difference in scores was greater or less than zero. Probabilities were estimated based on the location of zero (no difference) within the posterior distribution (n=1000) estimated from the mean and standard deviation of observed differences in scores between focal years. Probabilities were estimated separately for com</w:t>
      </w:r>
      <w:r w:rsidR="00477E7A">
        <w:t>munities at 2 m and 5 m depths.</w:t>
      </w:r>
    </w:p>
    <w:p w14:paraId="3BC384B6" w14:textId="77777777" w:rsidR="00477E7A" w:rsidRDefault="00477E7A">
      <w:pPr>
        <w:jc w:val="left"/>
      </w:pPr>
      <w:r>
        <w:br w:type="page"/>
      </w:r>
    </w:p>
    <w:p w14:paraId="7C27FD1F" w14:textId="0482604A" w:rsidR="0001199E" w:rsidRPr="00F352E1" w:rsidRDefault="0024684D" w:rsidP="00121B7E">
      <w:pPr>
        <w:pStyle w:val="Heading1"/>
      </w:pPr>
      <w:bookmarkStart w:id="113" w:name="_Toc514408404"/>
      <w:r w:rsidRPr="00F352E1">
        <w:rPr>
          <w:lang w:val="en-AU" w:eastAsia="en-AU"/>
        </w:rPr>
        <w:t>Results</w:t>
      </w:r>
      <w:bookmarkEnd w:id="113"/>
      <w:r w:rsidRPr="00F352E1">
        <w:rPr>
          <w:lang w:val="en-AU" w:eastAsia="en-AU"/>
        </w:rPr>
        <w:t xml:space="preserve"> </w:t>
      </w:r>
    </w:p>
    <w:p w14:paraId="25268420" w14:textId="77777777" w:rsidR="00D73026" w:rsidRPr="002422A8" w:rsidRDefault="00FF6E56" w:rsidP="00D73026">
      <w:r w:rsidRPr="002422A8">
        <w:t>Results are presented in the following sequence. Firstly</w:t>
      </w:r>
      <w:r w:rsidR="00FA70E2" w:rsidRPr="002422A8">
        <w:t>,</w:t>
      </w:r>
      <w:r w:rsidRPr="002422A8">
        <w:t xml:space="preserve"> spatial variability in communities in 201</w:t>
      </w:r>
      <w:r w:rsidR="006520FC" w:rsidRPr="002422A8">
        <w:t>7</w:t>
      </w:r>
      <w:r w:rsidRPr="002422A8">
        <w:t xml:space="preserve"> is related to regional differences, the depth of sampling sites and the location of reef</w:t>
      </w:r>
      <w:r w:rsidR="00FA70E2" w:rsidRPr="002422A8">
        <w:t>s along water quality gradients.</w:t>
      </w:r>
      <w:r w:rsidRPr="002422A8">
        <w:t xml:space="preserve"> Secondly</w:t>
      </w:r>
      <w:r w:rsidR="00AB46C5">
        <w:t>,</w:t>
      </w:r>
      <w:r w:rsidRPr="002422A8">
        <w:t xml:space="preserve"> changes in index scores in relation to discharge from catchments at a regional scale</w:t>
      </w:r>
      <w:r w:rsidR="00AC2DD3">
        <w:t>,</w:t>
      </w:r>
      <w:r w:rsidRPr="002422A8">
        <w:t xml:space="preserve"> </w:t>
      </w:r>
      <w:r w:rsidR="00AB46C5">
        <w:t>and reef level water quality</w:t>
      </w:r>
      <w:r w:rsidR="00AC2DD3">
        <w:t>,</w:t>
      </w:r>
      <w:r w:rsidR="00AB46C5">
        <w:t xml:space="preserve"> </w:t>
      </w:r>
      <w:r w:rsidRPr="002422A8">
        <w:t xml:space="preserve">are presented as a broad approximation of </w:t>
      </w:r>
      <w:r w:rsidR="00D73026" w:rsidRPr="002422A8">
        <w:t xml:space="preserve">the </w:t>
      </w:r>
      <w:r w:rsidRPr="002422A8">
        <w:t xml:space="preserve">influence of runoff on coral community resilience. Temporal trends in community attributes are then presented for each </w:t>
      </w:r>
      <w:r w:rsidR="00D73026" w:rsidRPr="002422A8">
        <w:t>(sub-)</w:t>
      </w:r>
      <w:r w:rsidRPr="002422A8">
        <w:t>region along with time-series of data relating to the primary pressures influencing coral communities. Finally</w:t>
      </w:r>
      <w:r w:rsidR="00FA70E2" w:rsidRPr="002422A8">
        <w:t>,</w:t>
      </w:r>
      <w:r w:rsidRPr="002422A8">
        <w:t xml:space="preserve"> </w:t>
      </w:r>
      <w:r w:rsidR="00D73026" w:rsidRPr="002422A8">
        <w:t>s</w:t>
      </w:r>
      <w:r w:rsidRPr="002422A8">
        <w:t xml:space="preserve">ite-specific data and additional information tables are presented in Appendix 1 and may be referred to where specific detail is required. </w:t>
      </w:r>
    </w:p>
    <w:p w14:paraId="51A78ED3" w14:textId="77777777" w:rsidR="00FF6E56" w:rsidRPr="00BD25FD" w:rsidRDefault="000E09B7" w:rsidP="00247FC8">
      <w:pPr>
        <w:pStyle w:val="Heading2"/>
        <w:spacing w:before="240" w:after="240"/>
        <w:rPr>
          <w:color w:val="auto"/>
        </w:rPr>
      </w:pPr>
      <w:bookmarkStart w:id="114" w:name="_Toc514408405"/>
      <w:bookmarkStart w:id="115" w:name="_Toc437424406"/>
      <w:bookmarkStart w:id="116" w:name="_Toc437424530"/>
      <w:bookmarkStart w:id="117" w:name="_Toc437432461"/>
      <w:bookmarkStart w:id="118" w:name="_Toc437432534"/>
      <w:r w:rsidRPr="00BD25FD">
        <w:rPr>
          <w:color w:val="auto"/>
        </w:rPr>
        <w:t>5.1</w:t>
      </w:r>
      <w:r w:rsidR="00FF6E56" w:rsidRPr="00BD25FD">
        <w:rPr>
          <w:color w:val="auto"/>
        </w:rPr>
        <w:t xml:space="preserve"> Variation of coral index and indicator scores observed in 201</w:t>
      </w:r>
      <w:r w:rsidR="006520FC" w:rsidRPr="00BD25FD">
        <w:rPr>
          <w:color w:val="auto"/>
        </w:rPr>
        <w:t>7</w:t>
      </w:r>
      <w:bookmarkEnd w:id="114"/>
      <w:r w:rsidR="00FF6E56" w:rsidRPr="00BD25FD">
        <w:rPr>
          <w:color w:val="auto"/>
        </w:rPr>
        <w:t xml:space="preserve"> </w:t>
      </w:r>
    </w:p>
    <w:p w14:paraId="241F0E45" w14:textId="77777777" w:rsidR="00FF6E56" w:rsidRPr="00BD25FD" w:rsidRDefault="00555EC1" w:rsidP="00247FC8">
      <w:pPr>
        <w:pStyle w:val="Heading3"/>
      </w:pPr>
      <w:bookmarkStart w:id="119" w:name="_Ref503361148"/>
      <w:bookmarkStart w:id="120" w:name="_Toc514408406"/>
      <w:r w:rsidRPr="00BD25FD">
        <w:t xml:space="preserve">5.1.1 Regional </w:t>
      </w:r>
      <w:r w:rsidR="00BD49B5" w:rsidRPr="00BD25FD">
        <w:t>differences</w:t>
      </w:r>
      <w:bookmarkEnd w:id="119"/>
      <w:bookmarkEnd w:id="120"/>
    </w:p>
    <w:p w14:paraId="567329D5" w14:textId="20D0DDBF" w:rsidR="00795792" w:rsidRPr="00BD25FD" w:rsidRDefault="00FF6E56" w:rsidP="00FF6E56">
      <w:pPr>
        <w:rPr>
          <w:lang w:val="en-US"/>
        </w:rPr>
      </w:pPr>
      <w:r w:rsidRPr="00BD25FD">
        <w:rPr>
          <w:lang w:val="en-US"/>
        </w:rPr>
        <w:t xml:space="preserve">In </w:t>
      </w:r>
      <w:r w:rsidR="002A5159" w:rsidRPr="00BD25FD">
        <w:rPr>
          <w:lang w:val="en-US"/>
        </w:rPr>
        <w:t xml:space="preserve">2017 </w:t>
      </w:r>
      <w:r w:rsidR="004A2C09" w:rsidRPr="00BD25FD">
        <w:rPr>
          <w:lang w:val="en-US"/>
        </w:rPr>
        <w:t xml:space="preserve">the coral index </w:t>
      </w:r>
      <w:r w:rsidR="00A90C9F">
        <w:rPr>
          <w:lang w:val="en-US"/>
        </w:rPr>
        <w:t>wa</w:t>
      </w:r>
      <w:r w:rsidR="00741F83">
        <w:rPr>
          <w:lang w:val="en-US"/>
        </w:rPr>
        <w:t>s</w:t>
      </w:r>
      <w:r w:rsidR="004A2C09" w:rsidRPr="00BD25FD">
        <w:rPr>
          <w:lang w:val="en-US"/>
        </w:rPr>
        <w:t xml:space="preserve"> </w:t>
      </w:r>
      <w:r w:rsidR="00A90C9F">
        <w:rPr>
          <w:lang w:val="en-US"/>
        </w:rPr>
        <w:t xml:space="preserve">lower in </w:t>
      </w:r>
      <w:r w:rsidR="004A2C09" w:rsidRPr="00BD25FD">
        <w:rPr>
          <w:lang w:val="en-US"/>
        </w:rPr>
        <w:t xml:space="preserve">the Fitzroy region </w:t>
      </w:r>
      <w:r w:rsidR="00A90C9F">
        <w:rPr>
          <w:lang w:val="en-US"/>
        </w:rPr>
        <w:t>compared to the</w:t>
      </w:r>
      <w:r w:rsidR="004A2C09" w:rsidRPr="00BD25FD">
        <w:rPr>
          <w:lang w:val="en-US"/>
        </w:rPr>
        <w:t xml:space="preserve"> three remaining regions. Mean scores continue to remain low for all metrics in the Fitzroy region</w:t>
      </w:r>
      <w:r w:rsidR="006C03FC">
        <w:rPr>
          <w:lang w:val="en-US"/>
        </w:rPr>
        <w:t>,</w:t>
      </w:r>
      <w:r w:rsidR="00A90C9F">
        <w:rPr>
          <w:lang w:val="en-US"/>
        </w:rPr>
        <w:t xml:space="preserve"> particularly </w:t>
      </w:r>
      <w:r w:rsidR="006C03FC">
        <w:rPr>
          <w:lang w:val="en-US"/>
        </w:rPr>
        <w:t>when c</w:t>
      </w:r>
      <w:r w:rsidR="00A90C9F">
        <w:rPr>
          <w:lang w:val="en-US"/>
        </w:rPr>
        <w:t>ompar</w:t>
      </w:r>
      <w:r w:rsidR="006C03FC">
        <w:rPr>
          <w:lang w:val="en-US"/>
        </w:rPr>
        <w:t>ed</w:t>
      </w:r>
      <w:r w:rsidR="00A90C9F">
        <w:rPr>
          <w:lang w:val="en-US"/>
        </w:rPr>
        <w:t xml:space="preserve"> to the Wet Tropics</w:t>
      </w:r>
      <w:r w:rsidR="006C03FC">
        <w:rPr>
          <w:lang w:val="en-US"/>
        </w:rPr>
        <w:t xml:space="preserve">. Only the Composition metric scores were not significantly higher in the Wet Tropics compared to Fitzroy, </w:t>
      </w:r>
      <w:r w:rsidR="00A349DF">
        <w:rPr>
          <w:lang w:val="en-US"/>
        </w:rPr>
        <w:t>al</w:t>
      </w:r>
      <w:r w:rsidR="006C03FC">
        <w:rPr>
          <w:lang w:val="en-US"/>
        </w:rPr>
        <w:t xml:space="preserve">though scores for this metric </w:t>
      </w:r>
      <w:r w:rsidR="00626D6B">
        <w:rPr>
          <w:lang w:val="en-US"/>
        </w:rPr>
        <w:t>i</w:t>
      </w:r>
      <w:r w:rsidR="006C03FC">
        <w:rPr>
          <w:lang w:val="en-US"/>
        </w:rPr>
        <w:t>n the Fitzroy Region were lower than in both the Burdekin and Mackay Whitsunday</w:t>
      </w:r>
      <w:r w:rsidR="00AB46C5">
        <w:rPr>
          <w:lang w:val="en-US"/>
        </w:rPr>
        <w:t xml:space="preserve"> regions</w:t>
      </w:r>
      <w:r w:rsidR="00A90C9F">
        <w:rPr>
          <w:lang w:val="en-US"/>
        </w:rPr>
        <w:t xml:space="preserve"> </w:t>
      </w:r>
      <w:r w:rsidR="005838BB" w:rsidRPr="00BD25FD">
        <w:rPr>
          <w:lang w:val="en-US"/>
        </w:rPr>
        <w:t>(</w:t>
      </w:r>
      <w:r w:rsidR="0024084A">
        <w:rPr>
          <w:lang w:val="en-US"/>
        </w:rPr>
        <w:fldChar w:fldCharType="begin"/>
      </w:r>
      <w:r w:rsidR="0024084A">
        <w:rPr>
          <w:lang w:val="en-US"/>
        </w:rPr>
        <w:instrText xml:space="preserve"> REF _Ref491161196 \h </w:instrText>
      </w:r>
      <w:r w:rsidR="0024084A">
        <w:rPr>
          <w:lang w:val="en-US"/>
        </w:rPr>
      </w:r>
      <w:r w:rsidR="0024084A">
        <w:rPr>
          <w:lang w:val="en-US"/>
        </w:rPr>
        <w:fldChar w:fldCharType="separate"/>
      </w:r>
      <w:r w:rsidR="00A75175" w:rsidRPr="00F352E1">
        <w:t xml:space="preserve">Table </w:t>
      </w:r>
      <w:r w:rsidR="00A75175">
        <w:rPr>
          <w:noProof/>
        </w:rPr>
        <w:t>7</w:t>
      </w:r>
      <w:r w:rsidR="0024084A">
        <w:rPr>
          <w:lang w:val="en-US"/>
        </w:rPr>
        <w:fldChar w:fldCharType="end"/>
      </w:r>
      <w:r w:rsidR="005838BB" w:rsidRPr="00BD25FD">
        <w:rPr>
          <w:lang w:val="en-US"/>
        </w:rPr>
        <w:t xml:space="preserve">, </w:t>
      </w:r>
      <w:r w:rsidR="005838BB" w:rsidRPr="00BD25FD">
        <w:rPr>
          <w:lang w:val="en-US"/>
        </w:rPr>
        <w:fldChar w:fldCharType="begin"/>
      </w:r>
      <w:r w:rsidR="005838BB" w:rsidRPr="00BD25FD">
        <w:rPr>
          <w:lang w:val="en-US"/>
        </w:rPr>
        <w:instrText xml:space="preserve"> REF _Ref491161063 \h </w:instrText>
      </w:r>
      <w:r w:rsidR="005838BB" w:rsidRPr="00BD25FD">
        <w:rPr>
          <w:lang w:val="en-US"/>
        </w:rPr>
      </w:r>
      <w:r w:rsidR="005838BB" w:rsidRPr="00BD25FD">
        <w:rPr>
          <w:lang w:val="en-US"/>
        </w:rPr>
        <w:fldChar w:fldCharType="separate"/>
      </w:r>
      <w:r w:rsidR="00A75175" w:rsidRPr="00626D6B">
        <w:t xml:space="preserve">Figure </w:t>
      </w:r>
      <w:r w:rsidR="00A75175">
        <w:rPr>
          <w:noProof/>
        </w:rPr>
        <w:t>8</w:t>
      </w:r>
      <w:r w:rsidR="005838BB" w:rsidRPr="00BD25FD">
        <w:rPr>
          <w:lang w:val="en-US"/>
        </w:rPr>
        <w:fldChar w:fldCharType="end"/>
      </w:r>
      <w:r w:rsidR="005838BB" w:rsidRPr="00BD25FD">
        <w:rPr>
          <w:lang w:val="en-US"/>
        </w:rPr>
        <w:t xml:space="preserve">). Macroalgae scores in the Mackay Whitsunday region </w:t>
      </w:r>
      <w:r w:rsidR="00510C35" w:rsidRPr="00BD25FD">
        <w:rPr>
          <w:lang w:val="en-US"/>
        </w:rPr>
        <w:t xml:space="preserve">continue to be highest of the four regions and was the only metric </w:t>
      </w:r>
      <w:r w:rsidR="006C03FC">
        <w:rPr>
          <w:lang w:val="en-US"/>
        </w:rPr>
        <w:t xml:space="preserve">differing </w:t>
      </w:r>
      <w:r w:rsidR="00741F83">
        <w:rPr>
          <w:lang w:val="en-US"/>
        </w:rPr>
        <w:t>between</w:t>
      </w:r>
      <w:r w:rsidR="006C03FC">
        <w:rPr>
          <w:lang w:val="en-US"/>
        </w:rPr>
        <w:t xml:space="preserve"> this region and the Burdekin</w:t>
      </w:r>
      <w:r w:rsidR="00BD25FD" w:rsidRPr="00BD25FD">
        <w:rPr>
          <w:lang w:val="en-US"/>
        </w:rPr>
        <w:t xml:space="preserve">. </w:t>
      </w:r>
      <w:r w:rsidR="00510C35" w:rsidRPr="00BD25FD">
        <w:rPr>
          <w:lang w:val="en-US"/>
        </w:rPr>
        <w:t xml:space="preserve">In </w:t>
      </w:r>
      <w:r w:rsidR="00741F83">
        <w:rPr>
          <w:lang w:val="en-US"/>
        </w:rPr>
        <w:t>addition to the Fitzroy region</w:t>
      </w:r>
      <w:r w:rsidR="00E9697B">
        <w:rPr>
          <w:lang w:val="en-US"/>
        </w:rPr>
        <w:t xml:space="preserve">, </w:t>
      </w:r>
      <w:r w:rsidR="00E9697B" w:rsidRPr="00BD25FD">
        <w:rPr>
          <w:lang w:val="en-US"/>
        </w:rPr>
        <w:t>Coral</w:t>
      </w:r>
      <w:r w:rsidR="00510C35" w:rsidRPr="00BD25FD">
        <w:rPr>
          <w:lang w:val="en-US"/>
        </w:rPr>
        <w:t xml:space="preserve"> </w:t>
      </w:r>
      <w:r w:rsidR="007030FA">
        <w:rPr>
          <w:lang w:val="en-US"/>
        </w:rPr>
        <w:t>C</w:t>
      </w:r>
      <w:r w:rsidR="007030FA" w:rsidRPr="00BD25FD">
        <w:rPr>
          <w:lang w:val="en-US"/>
        </w:rPr>
        <w:t>over</w:t>
      </w:r>
      <w:r w:rsidR="007030FA">
        <w:rPr>
          <w:lang w:val="en-US"/>
        </w:rPr>
        <w:t xml:space="preserve"> </w:t>
      </w:r>
      <w:r w:rsidR="00741F83">
        <w:rPr>
          <w:lang w:val="en-US"/>
        </w:rPr>
        <w:t xml:space="preserve">scores in the Wet Tropics were also higher than the Whitsundays, where </w:t>
      </w:r>
      <w:r w:rsidR="00CE02D3">
        <w:rPr>
          <w:lang w:val="en-US"/>
        </w:rPr>
        <w:t>t</w:t>
      </w:r>
      <w:r w:rsidR="00AB46C5">
        <w:rPr>
          <w:lang w:val="en-US"/>
        </w:rPr>
        <w:t xml:space="preserve">ropical </w:t>
      </w:r>
      <w:r w:rsidR="00CE02D3">
        <w:rPr>
          <w:lang w:val="en-US"/>
        </w:rPr>
        <w:t>c</w:t>
      </w:r>
      <w:r w:rsidR="00AB46C5">
        <w:rPr>
          <w:lang w:val="en-US"/>
        </w:rPr>
        <w:t>yclone</w:t>
      </w:r>
      <w:r w:rsidR="00741F83">
        <w:rPr>
          <w:lang w:val="en-US"/>
        </w:rPr>
        <w:t xml:space="preserve"> Debbie has had a substantial i</w:t>
      </w:r>
      <w:r w:rsidR="00AB46C5">
        <w:rPr>
          <w:lang w:val="en-US"/>
        </w:rPr>
        <w:t>mpact</w:t>
      </w:r>
      <w:r w:rsidR="00741F83">
        <w:rPr>
          <w:lang w:val="en-US"/>
        </w:rPr>
        <w:t xml:space="preserve">. </w:t>
      </w:r>
      <w:r w:rsidR="00510C35" w:rsidRPr="00BD25FD">
        <w:rPr>
          <w:lang w:val="en-US"/>
        </w:rPr>
        <w:t xml:space="preserve">Cover </w:t>
      </w:r>
      <w:r w:rsidR="00A02B1B">
        <w:rPr>
          <w:lang w:val="en-US"/>
        </w:rPr>
        <w:t>C</w:t>
      </w:r>
      <w:r w:rsidR="00A02B1B" w:rsidRPr="00BD25FD">
        <w:rPr>
          <w:lang w:val="en-US"/>
        </w:rPr>
        <w:t xml:space="preserve">hange </w:t>
      </w:r>
      <w:r w:rsidR="00AB46C5">
        <w:rPr>
          <w:lang w:val="en-US"/>
        </w:rPr>
        <w:t>metric</w:t>
      </w:r>
      <w:r w:rsidR="00741F83">
        <w:rPr>
          <w:lang w:val="en-US"/>
        </w:rPr>
        <w:t xml:space="preserve"> scores were also higher in the Wet Tropics than the </w:t>
      </w:r>
      <w:r w:rsidR="00E9697B">
        <w:rPr>
          <w:lang w:val="en-US"/>
        </w:rPr>
        <w:t xml:space="preserve">other </w:t>
      </w:r>
      <w:r w:rsidR="00E9697B" w:rsidRPr="00BD25FD">
        <w:rPr>
          <w:lang w:val="en-US"/>
        </w:rPr>
        <w:t>three</w:t>
      </w:r>
      <w:r w:rsidR="00BD25FD" w:rsidRPr="00BD25FD">
        <w:rPr>
          <w:lang w:val="en-US"/>
        </w:rPr>
        <w:t xml:space="preserve"> regions </w:t>
      </w:r>
      <w:r w:rsidR="00741F83">
        <w:rPr>
          <w:lang w:val="en-US"/>
        </w:rPr>
        <w:t xml:space="preserve">on the back of high rates of cover increase in the years preceding the 2017 bleaching event </w:t>
      </w:r>
      <w:r w:rsidR="00BD25FD" w:rsidRPr="00BD25FD">
        <w:rPr>
          <w:lang w:val="en-US"/>
        </w:rPr>
        <w:t>(</w:t>
      </w:r>
      <w:r w:rsidR="0024084A">
        <w:rPr>
          <w:lang w:val="en-US"/>
        </w:rPr>
        <w:fldChar w:fldCharType="begin"/>
      </w:r>
      <w:r w:rsidR="0024084A">
        <w:rPr>
          <w:lang w:val="en-US"/>
        </w:rPr>
        <w:instrText xml:space="preserve"> REF _Ref491161196 \h </w:instrText>
      </w:r>
      <w:r w:rsidR="0024084A">
        <w:rPr>
          <w:lang w:val="en-US"/>
        </w:rPr>
      </w:r>
      <w:r w:rsidR="0024084A">
        <w:rPr>
          <w:lang w:val="en-US"/>
        </w:rPr>
        <w:fldChar w:fldCharType="separate"/>
      </w:r>
      <w:r w:rsidR="00A75175" w:rsidRPr="00F352E1">
        <w:t xml:space="preserve">Table </w:t>
      </w:r>
      <w:r w:rsidR="00A75175">
        <w:rPr>
          <w:noProof/>
        </w:rPr>
        <w:t>7</w:t>
      </w:r>
      <w:r w:rsidR="0024084A">
        <w:rPr>
          <w:lang w:val="en-US"/>
        </w:rPr>
        <w:fldChar w:fldCharType="end"/>
      </w:r>
      <w:r w:rsidR="00BD25FD" w:rsidRPr="00BD25FD">
        <w:rPr>
          <w:lang w:val="en-US"/>
        </w:rPr>
        <w:t xml:space="preserve">, </w:t>
      </w:r>
      <w:r w:rsidR="00BD25FD" w:rsidRPr="00BD25FD">
        <w:rPr>
          <w:lang w:val="en-US"/>
        </w:rPr>
        <w:fldChar w:fldCharType="begin"/>
      </w:r>
      <w:r w:rsidR="00BD25FD" w:rsidRPr="00BD25FD">
        <w:rPr>
          <w:lang w:val="en-US"/>
        </w:rPr>
        <w:instrText xml:space="preserve"> REF _Ref491161063 \h </w:instrText>
      </w:r>
      <w:r w:rsidR="00BD25FD" w:rsidRPr="00BD25FD">
        <w:rPr>
          <w:lang w:val="en-US"/>
        </w:rPr>
      </w:r>
      <w:r w:rsidR="00BD25FD" w:rsidRPr="00BD25FD">
        <w:rPr>
          <w:lang w:val="en-US"/>
        </w:rPr>
        <w:fldChar w:fldCharType="separate"/>
      </w:r>
      <w:r w:rsidR="00A75175" w:rsidRPr="00626D6B">
        <w:t xml:space="preserve">Figure </w:t>
      </w:r>
      <w:r w:rsidR="00A75175">
        <w:rPr>
          <w:noProof/>
        </w:rPr>
        <w:t>8</w:t>
      </w:r>
      <w:r w:rsidR="00BD25FD" w:rsidRPr="00BD25FD">
        <w:rPr>
          <w:lang w:val="en-US"/>
        </w:rPr>
        <w:fldChar w:fldCharType="end"/>
      </w:r>
      <w:r w:rsidR="00BD25FD" w:rsidRPr="00BD25FD">
        <w:rPr>
          <w:lang w:val="en-US"/>
        </w:rPr>
        <w:t>).</w:t>
      </w:r>
    </w:p>
    <w:p w14:paraId="1B18B622" w14:textId="77777777" w:rsidR="00D73026" w:rsidRPr="002422A8" w:rsidRDefault="00D73026" w:rsidP="00606A50">
      <w:pPr>
        <w:pStyle w:val="Caption"/>
        <w:rPr>
          <w:rStyle w:val="IntenseReference"/>
          <w:rFonts w:eastAsia="SimSun"/>
          <w:color w:val="auto"/>
        </w:rPr>
      </w:pPr>
      <w:bookmarkStart w:id="121" w:name="_Ref491161196"/>
      <w:bookmarkStart w:id="122" w:name="_Toc514407855"/>
      <w:r w:rsidRPr="00F352E1">
        <w:t xml:space="preserve">Table </w:t>
      </w:r>
      <w:r w:rsidR="00626D6B">
        <w:fldChar w:fldCharType="begin"/>
      </w:r>
      <w:r w:rsidR="00626D6B">
        <w:instrText xml:space="preserve"> SEQ Table \* ARABIC </w:instrText>
      </w:r>
      <w:r w:rsidR="00626D6B">
        <w:fldChar w:fldCharType="separate"/>
      </w:r>
      <w:r w:rsidR="00A75175">
        <w:rPr>
          <w:noProof/>
        </w:rPr>
        <w:t>7</w:t>
      </w:r>
      <w:r w:rsidR="00626D6B">
        <w:rPr>
          <w:noProof/>
        </w:rPr>
        <w:fldChar w:fldCharType="end"/>
      </w:r>
      <w:bookmarkEnd w:id="121"/>
      <w:r w:rsidRPr="00F352E1">
        <w:t xml:space="preserve"> Regional differences in index and metric scores</w:t>
      </w:r>
      <w:r w:rsidRPr="00F352E1">
        <w:rPr>
          <w:rStyle w:val="IntenseReference"/>
          <w:rFonts w:eastAsia="SimSun"/>
          <w:color w:val="4F81BD" w:themeColor="accent1"/>
        </w:rPr>
        <w:t xml:space="preserve">. </w:t>
      </w:r>
      <w:r w:rsidRPr="002422A8">
        <w:rPr>
          <w:rStyle w:val="IntenseReference"/>
          <w:rFonts w:eastAsia="SimSun"/>
          <w:color w:val="auto"/>
        </w:rPr>
        <w:t>Tabulated values represent the upper and lower 95% credible limits to the pair-wise comparison of scores between regions. Shading highlights where regional differences in scores were supported on the basis that the distribution of predicted differences excluded zero. Green shading indicates score were higher for the left-hand compared to right-hand region in the first column</w:t>
      </w:r>
      <w:r w:rsidR="006B4B65" w:rsidRPr="002422A8">
        <w:rPr>
          <w:rStyle w:val="IntenseReference"/>
          <w:rFonts w:eastAsia="SimSun"/>
          <w:color w:val="auto"/>
        </w:rPr>
        <w:t xml:space="preserve">, </w:t>
      </w:r>
      <w:r w:rsidRPr="002422A8">
        <w:rPr>
          <w:rStyle w:val="IntenseReference"/>
          <w:rFonts w:eastAsia="SimSun"/>
          <w:color w:val="auto"/>
        </w:rPr>
        <w:t>red shading indicates higher scores for the right-hand region.</w:t>
      </w:r>
      <w:bookmarkEnd w:id="122"/>
    </w:p>
    <w:tbl>
      <w:tblPr>
        <w:tblStyle w:val="TableGrid"/>
        <w:tblW w:w="0" w:type="auto"/>
        <w:tblLayout w:type="fixed"/>
        <w:tblLook w:val="04A0" w:firstRow="1" w:lastRow="0" w:firstColumn="1" w:lastColumn="0" w:noHBand="0" w:noVBand="1"/>
        <w:tblCaption w:val="Results of inter-regional comparisons of 2017 scores for index and metrics"/>
        <w:tblDescription w:val="A matric table of regional pairs and each index or metric that identifies where estimates in 2017 varied among regions. the salient points are found in the main text."/>
      </w:tblPr>
      <w:tblGrid>
        <w:gridCol w:w="2830"/>
        <w:gridCol w:w="567"/>
        <w:gridCol w:w="567"/>
        <w:gridCol w:w="567"/>
        <w:gridCol w:w="567"/>
        <w:gridCol w:w="567"/>
        <w:gridCol w:w="567"/>
        <w:gridCol w:w="567"/>
        <w:gridCol w:w="567"/>
        <w:gridCol w:w="567"/>
        <w:gridCol w:w="567"/>
        <w:gridCol w:w="567"/>
        <w:gridCol w:w="562"/>
      </w:tblGrid>
      <w:tr w:rsidR="007527BF" w:rsidRPr="00F352E1" w14:paraId="4DA11542" w14:textId="77777777" w:rsidTr="001E472C">
        <w:trPr>
          <w:trHeight w:val="459"/>
          <w:tblHeader/>
        </w:trPr>
        <w:tc>
          <w:tcPr>
            <w:tcW w:w="2830" w:type="dxa"/>
            <w:tcBorders>
              <w:bottom w:val="nil"/>
            </w:tcBorders>
            <w:noWrap/>
            <w:vAlign w:val="center"/>
            <w:hideMark/>
          </w:tcPr>
          <w:p w14:paraId="1E100375" w14:textId="77777777" w:rsidR="007527BF" w:rsidRPr="002422A8" w:rsidRDefault="007527BF" w:rsidP="00244FAE">
            <w:pPr>
              <w:rPr>
                <w:rFonts w:ascii="Arial Narrow" w:hAnsi="Arial Narrow"/>
              </w:rPr>
            </w:pPr>
            <w:r w:rsidRPr="002422A8">
              <w:rPr>
                <w:rFonts w:ascii="Arial Narrow" w:hAnsi="Arial Narrow"/>
              </w:rPr>
              <w:t>Regions</w:t>
            </w:r>
          </w:p>
        </w:tc>
        <w:tc>
          <w:tcPr>
            <w:tcW w:w="1134" w:type="dxa"/>
            <w:gridSpan w:val="2"/>
            <w:noWrap/>
            <w:vAlign w:val="center"/>
            <w:hideMark/>
          </w:tcPr>
          <w:p w14:paraId="67614F75" w14:textId="77777777" w:rsidR="007527BF" w:rsidRPr="002422A8" w:rsidRDefault="007527BF" w:rsidP="00244FAE">
            <w:pPr>
              <w:jc w:val="center"/>
              <w:rPr>
                <w:rFonts w:ascii="Arial Narrow" w:hAnsi="Arial Narrow"/>
              </w:rPr>
            </w:pPr>
            <w:r w:rsidRPr="002422A8">
              <w:rPr>
                <w:rFonts w:ascii="Arial Narrow" w:hAnsi="Arial Narrow"/>
              </w:rPr>
              <w:t>Index</w:t>
            </w:r>
          </w:p>
        </w:tc>
        <w:tc>
          <w:tcPr>
            <w:tcW w:w="1134" w:type="dxa"/>
            <w:gridSpan w:val="2"/>
            <w:noWrap/>
            <w:vAlign w:val="center"/>
            <w:hideMark/>
          </w:tcPr>
          <w:p w14:paraId="1B321EF0" w14:textId="18FC1109" w:rsidR="007527BF" w:rsidRPr="002422A8" w:rsidRDefault="007527BF" w:rsidP="009B6C07">
            <w:pPr>
              <w:jc w:val="center"/>
              <w:rPr>
                <w:rFonts w:ascii="Arial Narrow" w:hAnsi="Arial Narrow"/>
              </w:rPr>
            </w:pPr>
            <w:r w:rsidRPr="002422A8">
              <w:rPr>
                <w:rFonts w:ascii="Arial Narrow" w:hAnsi="Arial Narrow"/>
              </w:rPr>
              <w:t xml:space="preserve">Coral </w:t>
            </w:r>
            <w:r w:rsidR="009B6C07">
              <w:rPr>
                <w:rFonts w:ascii="Arial Narrow" w:hAnsi="Arial Narrow"/>
              </w:rPr>
              <w:t>C</w:t>
            </w:r>
            <w:r w:rsidRPr="002422A8">
              <w:rPr>
                <w:rFonts w:ascii="Arial Narrow" w:hAnsi="Arial Narrow"/>
              </w:rPr>
              <w:t>over</w:t>
            </w:r>
          </w:p>
        </w:tc>
        <w:tc>
          <w:tcPr>
            <w:tcW w:w="1134" w:type="dxa"/>
            <w:gridSpan w:val="2"/>
            <w:noWrap/>
            <w:vAlign w:val="center"/>
            <w:hideMark/>
          </w:tcPr>
          <w:p w14:paraId="6CD99216" w14:textId="77777777" w:rsidR="007527BF" w:rsidRPr="002422A8" w:rsidRDefault="007527BF" w:rsidP="00244FAE">
            <w:pPr>
              <w:jc w:val="center"/>
              <w:rPr>
                <w:rFonts w:ascii="Arial Narrow" w:hAnsi="Arial Narrow"/>
              </w:rPr>
            </w:pPr>
            <w:r w:rsidRPr="002422A8">
              <w:rPr>
                <w:rFonts w:ascii="Arial Narrow" w:hAnsi="Arial Narrow"/>
              </w:rPr>
              <w:t>Macroalgae</w:t>
            </w:r>
          </w:p>
        </w:tc>
        <w:tc>
          <w:tcPr>
            <w:tcW w:w="1134" w:type="dxa"/>
            <w:gridSpan w:val="2"/>
            <w:noWrap/>
            <w:vAlign w:val="center"/>
            <w:hideMark/>
          </w:tcPr>
          <w:p w14:paraId="71C638F8" w14:textId="6AD2A26F" w:rsidR="007527BF" w:rsidRPr="002422A8" w:rsidRDefault="007527BF" w:rsidP="009B6C07">
            <w:pPr>
              <w:jc w:val="center"/>
              <w:rPr>
                <w:rFonts w:ascii="Arial Narrow" w:hAnsi="Arial Narrow"/>
              </w:rPr>
            </w:pPr>
            <w:r w:rsidRPr="002422A8">
              <w:rPr>
                <w:rFonts w:ascii="Arial Narrow" w:hAnsi="Arial Narrow"/>
              </w:rPr>
              <w:t xml:space="preserve">Cover </w:t>
            </w:r>
            <w:r w:rsidR="009B6C07">
              <w:rPr>
                <w:rFonts w:ascii="Arial Narrow" w:hAnsi="Arial Narrow"/>
              </w:rPr>
              <w:t>C</w:t>
            </w:r>
            <w:r w:rsidRPr="002422A8">
              <w:rPr>
                <w:rFonts w:ascii="Arial Narrow" w:hAnsi="Arial Narrow"/>
              </w:rPr>
              <w:t>hange</w:t>
            </w:r>
          </w:p>
        </w:tc>
        <w:tc>
          <w:tcPr>
            <w:tcW w:w="1134" w:type="dxa"/>
            <w:gridSpan w:val="2"/>
            <w:noWrap/>
            <w:vAlign w:val="center"/>
            <w:hideMark/>
          </w:tcPr>
          <w:p w14:paraId="5C848059" w14:textId="77777777" w:rsidR="007527BF" w:rsidRPr="002422A8" w:rsidRDefault="007527BF" w:rsidP="00244FAE">
            <w:pPr>
              <w:jc w:val="center"/>
              <w:rPr>
                <w:rFonts w:ascii="Arial Narrow" w:hAnsi="Arial Narrow"/>
              </w:rPr>
            </w:pPr>
            <w:r w:rsidRPr="002422A8">
              <w:rPr>
                <w:rFonts w:ascii="Arial Narrow" w:hAnsi="Arial Narrow"/>
              </w:rPr>
              <w:t>Juvenile</w:t>
            </w:r>
          </w:p>
        </w:tc>
        <w:tc>
          <w:tcPr>
            <w:tcW w:w="1129" w:type="dxa"/>
            <w:gridSpan w:val="2"/>
            <w:noWrap/>
            <w:vAlign w:val="center"/>
            <w:hideMark/>
          </w:tcPr>
          <w:p w14:paraId="623CB2B8" w14:textId="77777777" w:rsidR="007527BF" w:rsidRPr="002422A8" w:rsidRDefault="007527BF" w:rsidP="00244FAE">
            <w:pPr>
              <w:jc w:val="center"/>
              <w:rPr>
                <w:rFonts w:ascii="Arial Narrow" w:hAnsi="Arial Narrow"/>
              </w:rPr>
            </w:pPr>
            <w:r w:rsidRPr="002422A8">
              <w:rPr>
                <w:rFonts w:ascii="Arial Narrow" w:hAnsi="Arial Narrow"/>
              </w:rPr>
              <w:t>Composition</w:t>
            </w:r>
          </w:p>
        </w:tc>
      </w:tr>
      <w:tr w:rsidR="007527BF" w:rsidRPr="00F352E1" w14:paraId="6D1242BA" w14:textId="77777777" w:rsidTr="001E472C">
        <w:trPr>
          <w:trHeight w:val="119"/>
          <w:tblHeader/>
        </w:trPr>
        <w:tc>
          <w:tcPr>
            <w:tcW w:w="2830" w:type="dxa"/>
            <w:tcBorders>
              <w:top w:val="nil"/>
            </w:tcBorders>
            <w:noWrap/>
            <w:vAlign w:val="center"/>
            <w:hideMark/>
          </w:tcPr>
          <w:p w14:paraId="37B96BB4" w14:textId="77777777" w:rsidR="007527BF" w:rsidRPr="002422A8" w:rsidRDefault="007527BF" w:rsidP="00244FAE">
            <w:pPr>
              <w:rPr>
                <w:rFonts w:ascii="Arial Narrow" w:hAnsi="Arial Narrow"/>
              </w:rPr>
            </w:pPr>
          </w:p>
        </w:tc>
        <w:tc>
          <w:tcPr>
            <w:tcW w:w="567" w:type="dxa"/>
            <w:noWrap/>
            <w:vAlign w:val="center"/>
            <w:hideMark/>
          </w:tcPr>
          <w:p w14:paraId="5F65B35A" w14:textId="77777777" w:rsidR="007527BF" w:rsidRPr="002422A8" w:rsidRDefault="007527BF" w:rsidP="00244FAE">
            <w:pPr>
              <w:jc w:val="center"/>
              <w:rPr>
                <w:rFonts w:ascii="Arial Narrow" w:hAnsi="Arial Narrow"/>
              </w:rPr>
            </w:pPr>
            <w:r w:rsidRPr="002422A8">
              <w:rPr>
                <w:rFonts w:ascii="Arial Narrow" w:hAnsi="Arial Narrow"/>
              </w:rPr>
              <w:t>l</w:t>
            </w:r>
          </w:p>
        </w:tc>
        <w:tc>
          <w:tcPr>
            <w:tcW w:w="567" w:type="dxa"/>
            <w:noWrap/>
            <w:vAlign w:val="center"/>
            <w:hideMark/>
          </w:tcPr>
          <w:p w14:paraId="5B9E712A" w14:textId="77777777" w:rsidR="007527BF" w:rsidRPr="002422A8" w:rsidRDefault="007527BF" w:rsidP="00244FAE">
            <w:pPr>
              <w:jc w:val="center"/>
              <w:rPr>
                <w:rFonts w:ascii="Arial Narrow" w:hAnsi="Arial Narrow"/>
              </w:rPr>
            </w:pPr>
            <w:r w:rsidRPr="002422A8">
              <w:rPr>
                <w:rFonts w:ascii="Arial Narrow" w:hAnsi="Arial Narrow"/>
              </w:rPr>
              <w:t>u</w:t>
            </w:r>
          </w:p>
        </w:tc>
        <w:tc>
          <w:tcPr>
            <w:tcW w:w="567" w:type="dxa"/>
            <w:noWrap/>
            <w:vAlign w:val="center"/>
            <w:hideMark/>
          </w:tcPr>
          <w:p w14:paraId="6868408E" w14:textId="77777777" w:rsidR="007527BF" w:rsidRPr="002422A8" w:rsidRDefault="007527BF" w:rsidP="00244FAE">
            <w:pPr>
              <w:jc w:val="center"/>
              <w:rPr>
                <w:rFonts w:ascii="Arial Narrow" w:hAnsi="Arial Narrow"/>
              </w:rPr>
            </w:pPr>
            <w:r w:rsidRPr="002422A8">
              <w:rPr>
                <w:rFonts w:ascii="Arial Narrow" w:hAnsi="Arial Narrow"/>
              </w:rPr>
              <w:t>l</w:t>
            </w:r>
          </w:p>
        </w:tc>
        <w:tc>
          <w:tcPr>
            <w:tcW w:w="567" w:type="dxa"/>
            <w:noWrap/>
            <w:vAlign w:val="center"/>
            <w:hideMark/>
          </w:tcPr>
          <w:p w14:paraId="028181CC" w14:textId="77777777" w:rsidR="007527BF" w:rsidRPr="002422A8" w:rsidRDefault="007527BF" w:rsidP="00244FAE">
            <w:pPr>
              <w:jc w:val="center"/>
              <w:rPr>
                <w:rFonts w:ascii="Arial Narrow" w:hAnsi="Arial Narrow"/>
              </w:rPr>
            </w:pPr>
            <w:r w:rsidRPr="002422A8">
              <w:rPr>
                <w:rFonts w:ascii="Arial Narrow" w:hAnsi="Arial Narrow"/>
              </w:rPr>
              <w:t>u</w:t>
            </w:r>
          </w:p>
        </w:tc>
        <w:tc>
          <w:tcPr>
            <w:tcW w:w="567" w:type="dxa"/>
            <w:noWrap/>
            <w:vAlign w:val="center"/>
            <w:hideMark/>
          </w:tcPr>
          <w:p w14:paraId="3D5D2C67" w14:textId="77777777" w:rsidR="007527BF" w:rsidRPr="002422A8" w:rsidRDefault="007527BF" w:rsidP="00244FAE">
            <w:pPr>
              <w:jc w:val="center"/>
              <w:rPr>
                <w:rFonts w:ascii="Arial Narrow" w:hAnsi="Arial Narrow"/>
              </w:rPr>
            </w:pPr>
            <w:r w:rsidRPr="002422A8">
              <w:rPr>
                <w:rFonts w:ascii="Arial Narrow" w:hAnsi="Arial Narrow"/>
              </w:rPr>
              <w:t>l</w:t>
            </w:r>
          </w:p>
        </w:tc>
        <w:tc>
          <w:tcPr>
            <w:tcW w:w="567" w:type="dxa"/>
            <w:noWrap/>
            <w:vAlign w:val="center"/>
            <w:hideMark/>
          </w:tcPr>
          <w:p w14:paraId="3A7D353A" w14:textId="77777777" w:rsidR="007527BF" w:rsidRPr="002422A8" w:rsidRDefault="007527BF" w:rsidP="00244FAE">
            <w:pPr>
              <w:jc w:val="center"/>
              <w:rPr>
                <w:rFonts w:ascii="Arial Narrow" w:hAnsi="Arial Narrow"/>
              </w:rPr>
            </w:pPr>
            <w:r w:rsidRPr="002422A8">
              <w:rPr>
                <w:rFonts w:ascii="Arial Narrow" w:hAnsi="Arial Narrow"/>
              </w:rPr>
              <w:t>u</w:t>
            </w:r>
          </w:p>
        </w:tc>
        <w:tc>
          <w:tcPr>
            <w:tcW w:w="567" w:type="dxa"/>
            <w:noWrap/>
            <w:vAlign w:val="center"/>
            <w:hideMark/>
          </w:tcPr>
          <w:p w14:paraId="706FB953" w14:textId="77777777" w:rsidR="007527BF" w:rsidRPr="002422A8" w:rsidRDefault="007527BF" w:rsidP="00244FAE">
            <w:pPr>
              <w:jc w:val="center"/>
              <w:rPr>
                <w:rFonts w:ascii="Arial Narrow" w:hAnsi="Arial Narrow"/>
              </w:rPr>
            </w:pPr>
            <w:r w:rsidRPr="002422A8">
              <w:rPr>
                <w:rFonts w:ascii="Arial Narrow" w:hAnsi="Arial Narrow"/>
              </w:rPr>
              <w:t>l</w:t>
            </w:r>
          </w:p>
        </w:tc>
        <w:tc>
          <w:tcPr>
            <w:tcW w:w="567" w:type="dxa"/>
            <w:noWrap/>
            <w:vAlign w:val="center"/>
            <w:hideMark/>
          </w:tcPr>
          <w:p w14:paraId="09259B65" w14:textId="77777777" w:rsidR="007527BF" w:rsidRPr="002422A8" w:rsidRDefault="007527BF" w:rsidP="00244FAE">
            <w:pPr>
              <w:jc w:val="center"/>
              <w:rPr>
                <w:rFonts w:ascii="Arial Narrow" w:hAnsi="Arial Narrow"/>
              </w:rPr>
            </w:pPr>
            <w:r w:rsidRPr="002422A8">
              <w:rPr>
                <w:rFonts w:ascii="Arial Narrow" w:hAnsi="Arial Narrow"/>
              </w:rPr>
              <w:t>u</w:t>
            </w:r>
          </w:p>
        </w:tc>
        <w:tc>
          <w:tcPr>
            <w:tcW w:w="567" w:type="dxa"/>
            <w:noWrap/>
            <w:vAlign w:val="center"/>
            <w:hideMark/>
          </w:tcPr>
          <w:p w14:paraId="02C71716" w14:textId="77777777" w:rsidR="007527BF" w:rsidRPr="002422A8" w:rsidRDefault="007527BF" w:rsidP="00244FAE">
            <w:pPr>
              <w:jc w:val="center"/>
              <w:rPr>
                <w:rFonts w:ascii="Arial Narrow" w:hAnsi="Arial Narrow"/>
              </w:rPr>
            </w:pPr>
            <w:r w:rsidRPr="002422A8">
              <w:rPr>
                <w:rFonts w:ascii="Arial Narrow" w:hAnsi="Arial Narrow"/>
              </w:rPr>
              <w:t>l</w:t>
            </w:r>
          </w:p>
        </w:tc>
        <w:tc>
          <w:tcPr>
            <w:tcW w:w="567" w:type="dxa"/>
            <w:noWrap/>
            <w:vAlign w:val="center"/>
            <w:hideMark/>
          </w:tcPr>
          <w:p w14:paraId="2ACD4C9C" w14:textId="77777777" w:rsidR="007527BF" w:rsidRPr="002422A8" w:rsidRDefault="007527BF" w:rsidP="00244FAE">
            <w:pPr>
              <w:jc w:val="center"/>
              <w:rPr>
                <w:rFonts w:ascii="Arial Narrow" w:hAnsi="Arial Narrow"/>
              </w:rPr>
            </w:pPr>
            <w:r w:rsidRPr="002422A8">
              <w:rPr>
                <w:rFonts w:ascii="Arial Narrow" w:hAnsi="Arial Narrow"/>
              </w:rPr>
              <w:t>u</w:t>
            </w:r>
          </w:p>
        </w:tc>
        <w:tc>
          <w:tcPr>
            <w:tcW w:w="567" w:type="dxa"/>
            <w:noWrap/>
            <w:vAlign w:val="center"/>
            <w:hideMark/>
          </w:tcPr>
          <w:p w14:paraId="2100B732" w14:textId="77777777" w:rsidR="007527BF" w:rsidRPr="002422A8" w:rsidRDefault="007527BF" w:rsidP="00244FAE">
            <w:pPr>
              <w:jc w:val="center"/>
              <w:rPr>
                <w:rFonts w:ascii="Arial Narrow" w:hAnsi="Arial Narrow"/>
              </w:rPr>
            </w:pPr>
            <w:r w:rsidRPr="002422A8">
              <w:rPr>
                <w:rFonts w:ascii="Arial Narrow" w:hAnsi="Arial Narrow"/>
              </w:rPr>
              <w:t>l</w:t>
            </w:r>
          </w:p>
        </w:tc>
        <w:tc>
          <w:tcPr>
            <w:tcW w:w="562" w:type="dxa"/>
            <w:noWrap/>
            <w:vAlign w:val="center"/>
            <w:hideMark/>
          </w:tcPr>
          <w:p w14:paraId="3380BE53" w14:textId="77777777" w:rsidR="007527BF" w:rsidRPr="002422A8" w:rsidRDefault="007527BF" w:rsidP="00244FAE">
            <w:pPr>
              <w:jc w:val="center"/>
              <w:rPr>
                <w:rFonts w:ascii="Arial Narrow" w:hAnsi="Arial Narrow"/>
              </w:rPr>
            </w:pPr>
            <w:r w:rsidRPr="002422A8">
              <w:rPr>
                <w:rFonts w:ascii="Arial Narrow" w:hAnsi="Arial Narrow"/>
              </w:rPr>
              <w:t>u</w:t>
            </w:r>
          </w:p>
        </w:tc>
      </w:tr>
      <w:tr w:rsidR="007527BF" w:rsidRPr="00F352E1" w14:paraId="4E66A515" w14:textId="77777777" w:rsidTr="001E472C">
        <w:trPr>
          <w:trHeight w:hRule="exact" w:val="397"/>
          <w:tblHeader/>
        </w:trPr>
        <w:tc>
          <w:tcPr>
            <w:tcW w:w="2830" w:type="dxa"/>
            <w:noWrap/>
            <w:tcMar>
              <w:left w:w="57" w:type="dxa"/>
              <w:right w:w="57" w:type="dxa"/>
            </w:tcMar>
            <w:vAlign w:val="bottom"/>
            <w:hideMark/>
          </w:tcPr>
          <w:p w14:paraId="7096CBD5" w14:textId="77777777" w:rsidR="007527BF" w:rsidRPr="002422A8" w:rsidRDefault="007527BF" w:rsidP="00244FAE">
            <w:pPr>
              <w:jc w:val="left"/>
              <w:rPr>
                <w:rFonts w:ascii="Arial Narrow" w:hAnsi="Arial Narrow"/>
                <w:color w:val="4F81BD" w:themeColor="accent1"/>
              </w:rPr>
            </w:pPr>
            <w:r w:rsidRPr="002422A8">
              <w:rPr>
                <w:rFonts w:ascii="Arial Narrow" w:hAnsi="Arial Narrow"/>
              </w:rPr>
              <w:t>Burdekin - Wet Tropics</w:t>
            </w:r>
          </w:p>
        </w:tc>
        <w:tc>
          <w:tcPr>
            <w:tcW w:w="567" w:type="dxa"/>
            <w:shd w:val="clear" w:color="auto" w:fill="auto"/>
            <w:noWrap/>
            <w:tcMar>
              <w:left w:w="57" w:type="dxa"/>
              <w:right w:w="57" w:type="dxa"/>
            </w:tcMar>
            <w:vAlign w:val="center"/>
            <w:hideMark/>
          </w:tcPr>
          <w:p w14:paraId="6416AABB" w14:textId="77777777" w:rsidR="007527BF" w:rsidRPr="002422A8" w:rsidRDefault="007527BF" w:rsidP="00244FAE">
            <w:pPr>
              <w:rPr>
                <w:rFonts w:ascii="Arial Narrow" w:hAnsi="Arial Narrow"/>
                <w:color w:val="4F81BD" w:themeColor="accent1"/>
              </w:rPr>
            </w:pPr>
            <w:r w:rsidRPr="00426920">
              <w:rPr>
                <w:rFonts w:ascii="Arial Narrow" w:hAnsi="Arial Narrow"/>
              </w:rPr>
              <w:t>-0.20</w:t>
            </w:r>
          </w:p>
        </w:tc>
        <w:tc>
          <w:tcPr>
            <w:tcW w:w="567" w:type="dxa"/>
            <w:shd w:val="clear" w:color="auto" w:fill="auto"/>
            <w:noWrap/>
            <w:tcMar>
              <w:left w:w="57" w:type="dxa"/>
              <w:right w:w="57" w:type="dxa"/>
            </w:tcMar>
            <w:vAlign w:val="center"/>
            <w:hideMark/>
          </w:tcPr>
          <w:p w14:paraId="54A0A79E" w14:textId="77777777" w:rsidR="007527BF" w:rsidRPr="002422A8" w:rsidRDefault="007527BF" w:rsidP="00244FAE">
            <w:pPr>
              <w:rPr>
                <w:rFonts w:ascii="Arial Narrow" w:hAnsi="Arial Narrow"/>
                <w:color w:val="4F81BD" w:themeColor="accent1"/>
              </w:rPr>
            </w:pPr>
            <w:r w:rsidRPr="00426920">
              <w:rPr>
                <w:rFonts w:ascii="Arial Narrow" w:hAnsi="Arial Narrow"/>
              </w:rPr>
              <w:t>0.00</w:t>
            </w:r>
          </w:p>
        </w:tc>
        <w:tc>
          <w:tcPr>
            <w:tcW w:w="567" w:type="dxa"/>
            <w:shd w:val="clear" w:color="auto" w:fill="auto"/>
            <w:noWrap/>
            <w:tcMar>
              <w:left w:w="57" w:type="dxa"/>
              <w:right w:w="57" w:type="dxa"/>
            </w:tcMar>
            <w:vAlign w:val="center"/>
            <w:hideMark/>
          </w:tcPr>
          <w:p w14:paraId="324B3084" w14:textId="77777777" w:rsidR="007527BF" w:rsidRPr="002422A8" w:rsidRDefault="007527BF" w:rsidP="00244FAE">
            <w:pPr>
              <w:rPr>
                <w:rFonts w:ascii="Arial Narrow" w:hAnsi="Arial Narrow"/>
                <w:color w:val="4F81BD" w:themeColor="accent1"/>
              </w:rPr>
            </w:pPr>
            <w:r w:rsidRPr="00426920">
              <w:rPr>
                <w:rFonts w:ascii="Arial Narrow" w:hAnsi="Arial Narrow"/>
              </w:rPr>
              <w:t>-0.23</w:t>
            </w:r>
          </w:p>
        </w:tc>
        <w:tc>
          <w:tcPr>
            <w:tcW w:w="567" w:type="dxa"/>
            <w:shd w:val="clear" w:color="auto" w:fill="auto"/>
            <w:noWrap/>
            <w:tcMar>
              <w:left w:w="57" w:type="dxa"/>
              <w:right w:w="57" w:type="dxa"/>
            </w:tcMar>
            <w:vAlign w:val="center"/>
            <w:hideMark/>
          </w:tcPr>
          <w:p w14:paraId="099102CF" w14:textId="77777777" w:rsidR="007527BF" w:rsidRPr="002422A8" w:rsidRDefault="007527BF" w:rsidP="00244FAE">
            <w:pPr>
              <w:rPr>
                <w:rFonts w:ascii="Arial Narrow" w:hAnsi="Arial Narrow"/>
                <w:color w:val="4F81BD" w:themeColor="accent1"/>
              </w:rPr>
            </w:pPr>
            <w:r w:rsidRPr="00426920">
              <w:rPr>
                <w:rFonts w:ascii="Arial Narrow" w:hAnsi="Arial Narrow"/>
              </w:rPr>
              <w:t>0.03</w:t>
            </w:r>
          </w:p>
        </w:tc>
        <w:tc>
          <w:tcPr>
            <w:tcW w:w="567" w:type="dxa"/>
            <w:noWrap/>
            <w:tcMar>
              <w:left w:w="57" w:type="dxa"/>
              <w:right w:w="57" w:type="dxa"/>
            </w:tcMar>
            <w:vAlign w:val="center"/>
            <w:hideMark/>
          </w:tcPr>
          <w:p w14:paraId="1B258449" w14:textId="77777777" w:rsidR="007527BF" w:rsidRPr="002422A8" w:rsidRDefault="007527BF" w:rsidP="00244FAE">
            <w:pPr>
              <w:rPr>
                <w:rFonts w:ascii="Arial Narrow" w:hAnsi="Arial Narrow"/>
                <w:color w:val="4F81BD" w:themeColor="accent1"/>
              </w:rPr>
            </w:pPr>
            <w:r w:rsidRPr="00426920">
              <w:rPr>
                <w:rFonts w:ascii="Arial Narrow" w:hAnsi="Arial Narrow"/>
              </w:rPr>
              <w:t>-0.37</w:t>
            </w:r>
          </w:p>
        </w:tc>
        <w:tc>
          <w:tcPr>
            <w:tcW w:w="567" w:type="dxa"/>
            <w:noWrap/>
            <w:tcMar>
              <w:left w:w="57" w:type="dxa"/>
              <w:right w:w="57" w:type="dxa"/>
            </w:tcMar>
            <w:vAlign w:val="center"/>
            <w:hideMark/>
          </w:tcPr>
          <w:p w14:paraId="0950AA22" w14:textId="77777777" w:rsidR="007527BF" w:rsidRPr="002422A8" w:rsidRDefault="007527BF" w:rsidP="00244FAE">
            <w:pPr>
              <w:rPr>
                <w:rFonts w:ascii="Arial Narrow" w:hAnsi="Arial Narrow"/>
                <w:color w:val="4F81BD" w:themeColor="accent1"/>
              </w:rPr>
            </w:pPr>
            <w:r w:rsidRPr="00426920">
              <w:rPr>
                <w:rFonts w:ascii="Arial Narrow" w:hAnsi="Arial Narrow"/>
              </w:rPr>
              <w:t>0.03</w:t>
            </w:r>
          </w:p>
        </w:tc>
        <w:tc>
          <w:tcPr>
            <w:tcW w:w="567" w:type="dxa"/>
            <w:shd w:val="clear" w:color="auto" w:fill="C2D69B" w:themeFill="accent3" w:themeFillTint="99"/>
            <w:noWrap/>
            <w:tcMar>
              <w:left w:w="57" w:type="dxa"/>
              <w:right w:w="57" w:type="dxa"/>
            </w:tcMar>
            <w:vAlign w:val="center"/>
            <w:hideMark/>
          </w:tcPr>
          <w:p w14:paraId="769B8402" w14:textId="77777777" w:rsidR="007527BF" w:rsidRPr="002422A8" w:rsidRDefault="007527BF" w:rsidP="00244FAE">
            <w:pPr>
              <w:rPr>
                <w:rFonts w:ascii="Arial Narrow" w:hAnsi="Arial Narrow"/>
                <w:color w:val="4F81BD" w:themeColor="accent1"/>
              </w:rPr>
            </w:pPr>
            <w:r w:rsidRPr="00426920">
              <w:rPr>
                <w:rFonts w:ascii="Arial Narrow" w:hAnsi="Arial Narrow"/>
              </w:rPr>
              <w:t>-0.33</w:t>
            </w:r>
          </w:p>
        </w:tc>
        <w:tc>
          <w:tcPr>
            <w:tcW w:w="567" w:type="dxa"/>
            <w:shd w:val="clear" w:color="auto" w:fill="C2D69B" w:themeFill="accent3" w:themeFillTint="99"/>
            <w:noWrap/>
            <w:tcMar>
              <w:left w:w="57" w:type="dxa"/>
              <w:right w:w="57" w:type="dxa"/>
            </w:tcMar>
            <w:vAlign w:val="center"/>
            <w:hideMark/>
          </w:tcPr>
          <w:p w14:paraId="472440A1" w14:textId="77777777" w:rsidR="007527BF" w:rsidRPr="002422A8" w:rsidRDefault="007527BF" w:rsidP="00244FAE">
            <w:pPr>
              <w:rPr>
                <w:rFonts w:ascii="Arial Narrow" w:hAnsi="Arial Narrow"/>
                <w:color w:val="4F81BD" w:themeColor="accent1"/>
              </w:rPr>
            </w:pPr>
            <w:r w:rsidRPr="00426920">
              <w:rPr>
                <w:rFonts w:ascii="Arial Narrow" w:hAnsi="Arial Narrow"/>
              </w:rPr>
              <w:t>0.00</w:t>
            </w:r>
          </w:p>
        </w:tc>
        <w:tc>
          <w:tcPr>
            <w:tcW w:w="567" w:type="dxa"/>
            <w:noWrap/>
            <w:tcMar>
              <w:left w:w="57" w:type="dxa"/>
              <w:right w:w="57" w:type="dxa"/>
            </w:tcMar>
            <w:vAlign w:val="center"/>
            <w:hideMark/>
          </w:tcPr>
          <w:p w14:paraId="54D03CB9" w14:textId="77777777" w:rsidR="007527BF" w:rsidRPr="002422A8" w:rsidRDefault="007527BF" w:rsidP="00244FAE">
            <w:pPr>
              <w:rPr>
                <w:rFonts w:ascii="Arial Narrow" w:hAnsi="Arial Narrow"/>
                <w:color w:val="4F81BD" w:themeColor="accent1"/>
              </w:rPr>
            </w:pPr>
            <w:r w:rsidRPr="00426920">
              <w:rPr>
                <w:rFonts w:ascii="Arial Narrow" w:hAnsi="Arial Narrow"/>
              </w:rPr>
              <w:t>-0.24</w:t>
            </w:r>
          </w:p>
        </w:tc>
        <w:tc>
          <w:tcPr>
            <w:tcW w:w="567" w:type="dxa"/>
            <w:noWrap/>
            <w:tcMar>
              <w:left w:w="57" w:type="dxa"/>
              <w:right w:w="57" w:type="dxa"/>
            </w:tcMar>
            <w:vAlign w:val="center"/>
            <w:hideMark/>
          </w:tcPr>
          <w:p w14:paraId="53B6760C" w14:textId="77777777" w:rsidR="007527BF" w:rsidRPr="002422A8" w:rsidRDefault="007527BF" w:rsidP="00244FAE">
            <w:pPr>
              <w:rPr>
                <w:rFonts w:ascii="Arial Narrow" w:hAnsi="Arial Narrow"/>
                <w:color w:val="4F81BD" w:themeColor="accent1"/>
              </w:rPr>
            </w:pPr>
            <w:r w:rsidRPr="00426920">
              <w:rPr>
                <w:rFonts w:ascii="Arial Narrow" w:hAnsi="Arial Narrow"/>
              </w:rPr>
              <w:t>0.14</w:t>
            </w:r>
          </w:p>
        </w:tc>
        <w:tc>
          <w:tcPr>
            <w:tcW w:w="567" w:type="dxa"/>
            <w:noWrap/>
            <w:tcMar>
              <w:left w:w="57" w:type="dxa"/>
              <w:right w:w="57" w:type="dxa"/>
            </w:tcMar>
            <w:vAlign w:val="center"/>
            <w:hideMark/>
          </w:tcPr>
          <w:p w14:paraId="19DB9955" w14:textId="77777777" w:rsidR="007527BF" w:rsidRPr="002422A8" w:rsidRDefault="007527BF" w:rsidP="00244FAE">
            <w:pPr>
              <w:rPr>
                <w:rFonts w:ascii="Arial Narrow" w:hAnsi="Arial Narrow"/>
                <w:color w:val="4F81BD" w:themeColor="accent1"/>
              </w:rPr>
            </w:pPr>
            <w:r w:rsidRPr="00426920">
              <w:rPr>
                <w:rFonts w:ascii="Arial Narrow" w:hAnsi="Arial Narrow"/>
              </w:rPr>
              <w:t>-0.13</w:t>
            </w:r>
          </w:p>
        </w:tc>
        <w:tc>
          <w:tcPr>
            <w:tcW w:w="562" w:type="dxa"/>
            <w:noWrap/>
            <w:tcMar>
              <w:left w:w="57" w:type="dxa"/>
              <w:right w:w="57" w:type="dxa"/>
            </w:tcMar>
            <w:vAlign w:val="center"/>
            <w:hideMark/>
          </w:tcPr>
          <w:p w14:paraId="189605BB" w14:textId="77777777" w:rsidR="007527BF" w:rsidRPr="002422A8" w:rsidRDefault="007527BF" w:rsidP="00244FAE">
            <w:pPr>
              <w:rPr>
                <w:rFonts w:ascii="Arial Narrow" w:hAnsi="Arial Narrow"/>
                <w:color w:val="4F81BD" w:themeColor="accent1"/>
              </w:rPr>
            </w:pPr>
            <w:r w:rsidRPr="00426920">
              <w:rPr>
                <w:rFonts w:ascii="Arial Narrow" w:hAnsi="Arial Narrow"/>
              </w:rPr>
              <w:t>0.69</w:t>
            </w:r>
          </w:p>
        </w:tc>
      </w:tr>
      <w:tr w:rsidR="007527BF" w:rsidRPr="00F352E1" w14:paraId="3EC12866" w14:textId="77777777" w:rsidTr="001E472C">
        <w:trPr>
          <w:trHeight w:hRule="exact" w:val="397"/>
          <w:tblHeader/>
        </w:trPr>
        <w:tc>
          <w:tcPr>
            <w:tcW w:w="2830" w:type="dxa"/>
            <w:noWrap/>
            <w:tcMar>
              <w:left w:w="57" w:type="dxa"/>
              <w:right w:w="57" w:type="dxa"/>
            </w:tcMar>
            <w:vAlign w:val="bottom"/>
            <w:hideMark/>
          </w:tcPr>
          <w:p w14:paraId="52D801C7" w14:textId="77777777" w:rsidR="007527BF" w:rsidRPr="002422A8" w:rsidRDefault="007527BF" w:rsidP="00244FAE">
            <w:pPr>
              <w:jc w:val="left"/>
              <w:rPr>
                <w:rFonts w:ascii="Arial Narrow" w:hAnsi="Arial Narrow"/>
                <w:color w:val="4F81BD" w:themeColor="accent1"/>
              </w:rPr>
            </w:pPr>
            <w:r w:rsidRPr="00426920">
              <w:rPr>
                <w:rFonts w:ascii="Arial Narrow" w:hAnsi="Arial Narrow"/>
              </w:rPr>
              <w:t>Mackay Whitsunday - Wet Tropics</w:t>
            </w:r>
          </w:p>
        </w:tc>
        <w:tc>
          <w:tcPr>
            <w:tcW w:w="567" w:type="dxa"/>
            <w:shd w:val="clear" w:color="auto" w:fill="auto"/>
            <w:noWrap/>
            <w:tcMar>
              <w:left w:w="57" w:type="dxa"/>
              <w:right w:w="57" w:type="dxa"/>
            </w:tcMar>
            <w:vAlign w:val="center"/>
            <w:hideMark/>
          </w:tcPr>
          <w:p w14:paraId="43C8FF64" w14:textId="77777777" w:rsidR="007527BF" w:rsidRPr="002422A8" w:rsidRDefault="007527BF" w:rsidP="00244FAE">
            <w:pPr>
              <w:rPr>
                <w:rFonts w:ascii="Arial Narrow" w:hAnsi="Arial Narrow"/>
                <w:color w:val="4F81BD" w:themeColor="accent1"/>
              </w:rPr>
            </w:pPr>
            <w:r w:rsidRPr="00426920">
              <w:rPr>
                <w:rFonts w:ascii="Arial Narrow" w:hAnsi="Arial Narrow"/>
              </w:rPr>
              <w:t>-0.12</w:t>
            </w:r>
          </w:p>
        </w:tc>
        <w:tc>
          <w:tcPr>
            <w:tcW w:w="567" w:type="dxa"/>
            <w:shd w:val="clear" w:color="auto" w:fill="auto"/>
            <w:noWrap/>
            <w:tcMar>
              <w:left w:w="57" w:type="dxa"/>
              <w:right w:w="57" w:type="dxa"/>
            </w:tcMar>
            <w:vAlign w:val="center"/>
            <w:hideMark/>
          </w:tcPr>
          <w:p w14:paraId="10FA7FD7" w14:textId="77777777" w:rsidR="007527BF" w:rsidRPr="002422A8" w:rsidRDefault="007527BF" w:rsidP="00244FAE">
            <w:pPr>
              <w:rPr>
                <w:rFonts w:ascii="Arial Narrow" w:hAnsi="Arial Narrow"/>
                <w:color w:val="4F81BD" w:themeColor="accent1"/>
              </w:rPr>
            </w:pPr>
            <w:r w:rsidRPr="00426920">
              <w:rPr>
                <w:rFonts w:ascii="Arial Narrow" w:hAnsi="Arial Narrow"/>
              </w:rPr>
              <w:t>0.07</w:t>
            </w:r>
          </w:p>
        </w:tc>
        <w:tc>
          <w:tcPr>
            <w:tcW w:w="567" w:type="dxa"/>
            <w:shd w:val="clear" w:color="auto" w:fill="E5B8B7" w:themeFill="accent2" w:themeFillTint="66"/>
            <w:noWrap/>
            <w:tcMar>
              <w:left w:w="57" w:type="dxa"/>
              <w:right w:w="57" w:type="dxa"/>
            </w:tcMar>
            <w:vAlign w:val="center"/>
            <w:hideMark/>
          </w:tcPr>
          <w:p w14:paraId="75070CC8" w14:textId="77777777" w:rsidR="007527BF" w:rsidRPr="002422A8" w:rsidRDefault="007527BF" w:rsidP="00244FAE">
            <w:pPr>
              <w:rPr>
                <w:rFonts w:ascii="Arial Narrow" w:hAnsi="Arial Narrow"/>
                <w:color w:val="4F81BD" w:themeColor="accent1"/>
              </w:rPr>
            </w:pPr>
            <w:r w:rsidRPr="00426920">
              <w:rPr>
                <w:rFonts w:ascii="Arial Narrow" w:hAnsi="Arial Narrow"/>
              </w:rPr>
              <w:t>-0.24</w:t>
            </w:r>
          </w:p>
        </w:tc>
        <w:tc>
          <w:tcPr>
            <w:tcW w:w="567" w:type="dxa"/>
            <w:shd w:val="clear" w:color="auto" w:fill="E5B8B7" w:themeFill="accent2" w:themeFillTint="66"/>
            <w:noWrap/>
            <w:tcMar>
              <w:left w:w="57" w:type="dxa"/>
              <w:right w:w="57" w:type="dxa"/>
            </w:tcMar>
            <w:vAlign w:val="center"/>
            <w:hideMark/>
          </w:tcPr>
          <w:p w14:paraId="2A823EE8" w14:textId="77777777" w:rsidR="007527BF" w:rsidRPr="002422A8" w:rsidRDefault="007527BF" w:rsidP="00244FAE">
            <w:pPr>
              <w:rPr>
                <w:rFonts w:ascii="Arial Narrow" w:hAnsi="Arial Narrow"/>
                <w:color w:val="4F81BD" w:themeColor="accent1"/>
              </w:rPr>
            </w:pPr>
            <w:r w:rsidRPr="00426920">
              <w:rPr>
                <w:rFonts w:ascii="Arial Narrow" w:hAnsi="Arial Narrow"/>
              </w:rPr>
              <w:t>-0.01</w:t>
            </w:r>
          </w:p>
        </w:tc>
        <w:tc>
          <w:tcPr>
            <w:tcW w:w="567" w:type="dxa"/>
            <w:shd w:val="clear" w:color="auto" w:fill="C2D69B" w:themeFill="accent3" w:themeFillTint="99"/>
            <w:noWrap/>
            <w:tcMar>
              <w:left w:w="57" w:type="dxa"/>
              <w:right w:w="57" w:type="dxa"/>
            </w:tcMar>
            <w:vAlign w:val="center"/>
            <w:hideMark/>
          </w:tcPr>
          <w:p w14:paraId="61B413A2" w14:textId="77777777" w:rsidR="007527BF" w:rsidRPr="002422A8" w:rsidRDefault="007527BF" w:rsidP="00244FAE">
            <w:pPr>
              <w:rPr>
                <w:rFonts w:ascii="Arial Narrow" w:hAnsi="Arial Narrow"/>
                <w:color w:val="4F81BD" w:themeColor="accent1"/>
              </w:rPr>
            </w:pPr>
            <w:r w:rsidRPr="00426920">
              <w:rPr>
                <w:rFonts w:ascii="Arial Narrow" w:hAnsi="Arial Narrow"/>
              </w:rPr>
              <w:t>0.06</w:t>
            </w:r>
          </w:p>
        </w:tc>
        <w:tc>
          <w:tcPr>
            <w:tcW w:w="567" w:type="dxa"/>
            <w:shd w:val="clear" w:color="auto" w:fill="C2D69B" w:themeFill="accent3" w:themeFillTint="99"/>
            <w:noWrap/>
            <w:tcMar>
              <w:left w:w="57" w:type="dxa"/>
              <w:right w:w="57" w:type="dxa"/>
            </w:tcMar>
            <w:vAlign w:val="center"/>
            <w:hideMark/>
          </w:tcPr>
          <w:p w14:paraId="54622762" w14:textId="77777777" w:rsidR="007527BF" w:rsidRPr="002422A8" w:rsidRDefault="007527BF" w:rsidP="00244FAE">
            <w:pPr>
              <w:rPr>
                <w:rFonts w:ascii="Arial Narrow" w:hAnsi="Arial Narrow"/>
                <w:color w:val="4F81BD" w:themeColor="accent1"/>
              </w:rPr>
            </w:pPr>
            <w:r w:rsidRPr="00426920">
              <w:rPr>
                <w:rFonts w:ascii="Arial Narrow" w:hAnsi="Arial Narrow"/>
              </w:rPr>
              <w:t>0.41</w:t>
            </w:r>
          </w:p>
        </w:tc>
        <w:tc>
          <w:tcPr>
            <w:tcW w:w="567" w:type="dxa"/>
            <w:shd w:val="clear" w:color="auto" w:fill="E5B8B7" w:themeFill="accent2" w:themeFillTint="66"/>
            <w:noWrap/>
            <w:tcMar>
              <w:left w:w="57" w:type="dxa"/>
              <w:right w:w="57" w:type="dxa"/>
            </w:tcMar>
            <w:vAlign w:val="center"/>
            <w:hideMark/>
          </w:tcPr>
          <w:p w14:paraId="548DCC44" w14:textId="77777777" w:rsidR="007527BF" w:rsidRPr="002422A8" w:rsidRDefault="007527BF" w:rsidP="00244FAE">
            <w:pPr>
              <w:rPr>
                <w:rFonts w:ascii="Arial Narrow" w:hAnsi="Arial Narrow"/>
                <w:color w:val="4F81BD" w:themeColor="accent1"/>
              </w:rPr>
            </w:pPr>
            <w:r w:rsidRPr="00426920">
              <w:rPr>
                <w:rFonts w:ascii="Arial Narrow" w:hAnsi="Arial Narrow"/>
              </w:rPr>
              <w:t>-0.49</w:t>
            </w:r>
          </w:p>
        </w:tc>
        <w:tc>
          <w:tcPr>
            <w:tcW w:w="567" w:type="dxa"/>
            <w:shd w:val="clear" w:color="auto" w:fill="E5B8B7" w:themeFill="accent2" w:themeFillTint="66"/>
            <w:noWrap/>
            <w:tcMar>
              <w:left w:w="57" w:type="dxa"/>
              <w:right w:w="57" w:type="dxa"/>
            </w:tcMar>
            <w:vAlign w:val="center"/>
            <w:hideMark/>
          </w:tcPr>
          <w:p w14:paraId="5EE23B98" w14:textId="77777777" w:rsidR="007527BF" w:rsidRPr="002422A8" w:rsidRDefault="007527BF" w:rsidP="00244FAE">
            <w:pPr>
              <w:rPr>
                <w:rFonts w:ascii="Arial Narrow" w:hAnsi="Arial Narrow"/>
                <w:color w:val="4F81BD" w:themeColor="accent1"/>
              </w:rPr>
            </w:pPr>
            <w:r w:rsidRPr="00426920">
              <w:rPr>
                <w:rFonts w:ascii="Arial Narrow" w:hAnsi="Arial Narrow"/>
              </w:rPr>
              <w:t>-0.16</w:t>
            </w:r>
          </w:p>
        </w:tc>
        <w:tc>
          <w:tcPr>
            <w:tcW w:w="567" w:type="dxa"/>
            <w:shd w:val="clear" w:color="auto" w:fill="auto"/>
            <w:noWrap/>
            <w:tcMar>
              <w:left w:w="57" w:type="dxa"/>
              <w:right w:w="57" w:type="dxa"/>
            </w:tcMar>
            <w:vAlign w:val="center"/>
            <w:hideMark/>
          </w:tcPr>
          <w:p w14:paraId="28152FD4" w14:textId="77777777" w:rsidR="007527BF" w:rsidRPr="002422A8" w:rsidRDefault="007527BF" w:rsidP="00244FAE">
            <w:pPr>
              <w:rPr>
                <w:rFonts w:ascii="Arial Narrow" w:hAnsi="Arial Narrow"/>
                <w:color w:val="4F81BD" w:themeColor="accent1"/>
              </w:rPr>
            </w:pPr>
            <w:r w:rsidRPr="00426920">
              <w:rPr>
                <w:rFonts w:ascii="Arial Narrow" w:hAnsi="Arial Narrow"/>
              </w:rPr>
              <w:t>-0.35</w:t>
            </w:r>
          </w:p>
        </w:tc>
        <w:tc>
          <w:tcPr>
            <w:tcW w:w="567" w:type="dxa"/>
            <w:shd w:val="clear" w:color="auto" w:fill="auto"/>
            <w:noWrap/>
            <w:tcMar>
              <w:left w:w="57" w:type="dxa"/>
              <w:right w:w="57" w:type="dxa"/>
            </w:tcMar>
            <w:vAlign w:val="center"/>
            <w:hideMark/>
          </w:tcPr>
          <w:p w14:paraId="4FD8AA49" w14:textId="77777777" w:rsidR="007527BF" w:rsidRPr="002422A8" w:rsidRDefault="007527BF" w:rsidP="00244FAE">
            <w:pPr>
              <w:rPr>
                <w:rFonts w:ascii="Arial Narrow" w:hAnsi="Arial Narrow"/>
                <w:color w:val="4F81BD" w:themeColor="accent1"/>
              </w:rPr>
            </w:pPr>
            <w:r w:rsidRPr="00732DA6">
              <w:rPr>
                <w:rFonts w:ascii="Arial Narrow" w:hAnsi="Arial Narrow"/>
              </w:rPr>
              <w:t>0.02</w:t>
            </w:r>
          </w:p>
        </w:tc>
        <w:tc>
          <w:tcPr>
            <w:tcW w:w="567" w:type="dxa"/>
            <w:noWrap/>
            <w:tcMar>
              <w:left w:w="57" w:type="dxa"/>
              <w:right w:w="57" w:type="dxa"/>
            </w:tcMar>
            <w:vAlign w:val="center"/>
            <w:hideMark/>
          </w:tcPr>
          <w:p w14:paraId="46099D4B" w14:textId="77777777" w:rsidR="007527BF" w:rsidRPr="002422A8" w:rsidRDefault="007527BF" w:rsidP="00244FAE">
            <w:pPr>
              <w:rPr>
                <w:rFonts w:ascii="Arial Narrow" w:hAnsi="Arial Narrow"/>
                <w:color w:val="4F81BD" w:themeColor="accent1"/>
              </w:rPr>
            </w:pPr>
            <w:r w:rsidRPr="00732DA6">
              <w:rPr>
                <w:rFonts w:ascii="Arial Narrow" w:hAnsi="Arial Narrow"/>
              </w:rPr>
              <w:t>-0.25</w:t>
            </w:r>
          </w:p>
        </w:tc>
        <w:tc>
          <w:tcPr>
            <w:tcW w:w="562" w:type="dxa"/>
            <w:noWrap/>
            <w:tcMar>
              <w:left w:w="57" w:type="dxa"/>
              <w:right w:w="57" w:type="dxa"/>
            </w:tcMar>
            <w:vAlign w:val="center"/>
            <w:hideMark/>
          </w:tcPr>
          <w:p w14:paraId="79E419DD" w14:textId="77777777" w:rsidR="007527BF" w:rsidRPr="002422A8" w:rsidRDefault="007527BF" w:rsidP="00244FAE">
            <w:pPr>
              <w:rPr>
                <w:rFonts w:ascii="Arial Narrow" w:hAnsi="Arial Narrow"/>
                <w:color w:val="4F81BD" w:themeColor="accent1"/>
              </w:rPr>
            </w:pPr>
            <w:r w:rsidRPr="00732DA6">
              <w:rPr>
                <w:rFonts w:ascii="Arial Narrow" w:hAnsi="Arial Narrow"/>
              </w:rPr>
              <w:t>0.60</w:t>
            </w:r>
          </w:p>
        </w:tc>
      </w:tr>
      <w:tr w:rsidR="007527BF" w:rsidRPr="00F352E1" w14:paraId="2203FCDA" w14:textId="77777777" w:rsidTr="001E472C">
        <w:trPr>
          <w:trHeight w:hRule="exact" w:val="397"/>
          <w:tblHeader/>
        </w:trPr>
        <w:tc>
          <w:tcPr>
            <w:tcW w:w="2830" w:type="dxa"/>
            <w:noWrap/>
            <w:tcMar>
              <w:left w:w="57" w:type="dxa"/>
              <w:right w:w="57" w:type="dxa"/>
            </w:tcMar>
            <w:vAlign w:val="bottom"/>
            <w:hideMark/>
          </w:tcPr>
          <w:p w14:paraId="1337A74D" w14:textId="77777777" w:rsidR="007527BF" w:rsidRPr="002422A8" w:rsidRDefault="007527BF" w:rsidP="00244FAE">
            <w:pPr>
              <w:jc w:val="left"/>
              <w:rPr>
                <w:rFonts w:ascii="Arial Narrow" w:hAnsi="Arial Narrow"/>
                <w:color w:val="4F81BD" w:themeColor="accent1"/>
              </w:rPr>
            </w:pPr>
            <w:r w:rsidRPr="00732DA6">
              <w:rPr>
                <w:rFonts w:ascii="Arial Narrow" w:hAnsi="Arial Narrow"/>
              </w:rPr>
              <w:t>Fitzroy - Wet Tropics</w:t>
            </w:r>
          </w:p>
        </w:tc>
        <w:tc>
          <w:tcPr>
            <w:tcW w:w="567" w:type="dxa"/>
            <w:shd w:val="clear" w:color="auto" w:fill="E5B8B7" w:themeFill="accent2" w:themeFillTint="66"/>
            <w:noWrap/>
            <w:tcMar>
              <w:left w:w="57" w:type="dxa"/>
              <w:right w:w="57" w:type="dxa"/>
            </w:tcMar>
            <w:vAlign w:val="center"/>
            <w:hideMark/>
          </w:tcPr>
          <w:p w14:paraId="5919EB12" w14:textId="77777777" w:rsidR="007527BF" w:rsidRPr="002422A8" w:rsidRDefault="007527BF" w:rsidP="00244FAE">
            <w:pPr>
              <w:rPr>
                <w:rFonts w:ascii="Arial Narrow" w:hAnsi="Arial Narrow"/>
                <w:color w:val="4F81BD" w:themeColor="accent1"/>
              </w:rPr>
            </w:pPr>
            <w:r w:rsidRPr="00732DA6">
              <w:rPr>
                <w:rFonts w:ascii="Arial Narrow" w:hAnsi="Arial Narrow"/>
              </w:rPr>
              <w:t>-0.39</w:t>
            </w:r>
          </w:p>
        </w:tc>
        <w:tc>
          <w:tcPr>
            <w:tcW w:w="567" w:type="dxa"/>
            <w:shd w:val="clear" w:color="auto" w:fill="E5B8B7" w:themeFill="accent2" w:themeFillTint="66"/>
            <w:noWrap/>
            <w:tcMar>
              <w:left w:w="57" w:type="dxa"/>
              <w:right w:w="57" w:type="dxa"/>
            </w:tcMar>
            <w:vAlign w:val="center"/>
            <w:hideMark/>
          </w:tcPr>
          <w:p w14:paraId="525BF0EC" w14:textId="77777777" w:rsidR="007527BF" w:rsidRPr="002422A8" w:rsidRDefault="007527BF" w:rsidP="00244FAE">
            <w:pPr>
              <w:rPr>
                <w:rFonts w:ascii="Arial Narrow" w:hAnsi="Arial Narrow"/>
                <w:color w:val="4F81BD" w:themeColor="accent1"/>
              </w:rPr>
            </w:pPr>
            <w:r w:rsidRPr="00732DA6">
              <w:rPr>
                <w:rFonts w:ascii="Arial Narrow" w:hAnsi="Arial Narrow"/>
              </w:rPr>
              <w:t>-0.21</w:t>
            </w:r>
          </w:p>
        </w:tc>
        <w:tc>
          <w:tcPr>
            <w:tcW w:w="567" w:type="dxa"/>
            <w:shd w:val="clear" w:color="auto" w:fill="E5B8B7" w:themeFill="accent2" w:themeFillTint="66"/>
            <w:noWrap/>
            <w:tcMar>
              <w:left w:w="57" w:type="dxa"/>
              <w:right w:w="57" w:type="dxa"/>
            </w:tcMar>
            <w:vAlign w:val="center"/>
            <w:hideMark/>
          </w:tcPr>
          <w:p w14:paraId="2C367057" w14:textId="77777777" w:rsidR="007527BF" w:rsidRPr="002422A8" w:rsidRDefault="007527BF" w:rsidP="00244FAE">
            <w:pPr>
              <w:rPr>
                <w:rFonts w:ascii="Arial Narrow" w:hAnsi="Arial Narrow"/>
                <w:color w:val="4F81BD" w:themeColor="accent1"/>
              </w:rPr>
            </w:pPr>
            <w:r w:rsidRPr="00732DA6">
              <w:rPr>
                <w:rFonts w:ascii="Arial Narrow" w:hAnsi="Arial Narrow"/>
              </w:rPr>
              <w:t>-0.30</w:t>
            </w:r>
          </w:p>
        </w:tc>
        <w:tc>
          <w:tcPr>
            <w:tcW w:w="567" w:type="dxa"/>
            <w:shd w:val="clear" w:color="auto" w:fill="E5B8B7" w:themeFill="accent2" w:themeFillTint="66"/>
            <w:noWrap/>
            <w:tcMar>
              <w:left w:w="57" w:type="dxa"/>
              <w:right w:w="57" w:type="dxa"/>
            </w:tcMar>
            <w:vAlign w:val="center"/>
            <w:hideMark/>
          </w:tcPr>
          <w:p w14:paraId="3F8094F2" w14:textId="77777777" w:rsidR="007527BF" w:rsidRPr="002422A8" w:rsidRDefault="007527BF" w:rsidP="00244FAE">
            <w:pPr>
              <w:rPr>
                <w:rFonts w:ascii="Arial Narrow" w:hAnsi="Arial Narrow"/>
                <w:color w:val="4F81BD" w:themeColor="accent1"/>
              </w:rPr>
            </w:pPr>
            <w:r w:rsidRPr="00426920">
              <w:rPr>
                <w:rFonts w:ascii="Arial Narrow" w:hAnsi="Arial Narrow"/>
              </w:rPr>
              <w:t>-0.03</w:t>
            </w:r>
          </w:p>
        </w:tc>
        <w:tc>
          <w:tcPr>
            <w:tcW w:w="567" w:type="dxa"/>
            <w:shd w:val="clear" w:color="auto" w:fill="E5B8B7" w:themeFill="accent2" w:themeFillTint="66"/>
            <w:noWrap/>
            <w:tcMar>
              <w:left w:w="57" w:type="dxa"/>
              <w:right w:w="57" w:type="dxa"/>
            </w:tcMar>
            <w:vAlign w:val="center"/>
            <w:hideMark/>
          </w:tcPr>
          <w:p w14:paraId="42DECB80" w14:textId="77777777" w:rsidR="007527BF" w:rsidRPr="002422A8" w:rsidRDefault="007527BF" w:rsidP="00244FAE">
            <w:pPr>
              <w:rPr>
                <w:rFonts w:ascii="Arial Narrow" w:hAnsi="Arial Narrow"/>
                <w:color w:val="4F81BD" w:themeColor="accent1"/>
              </w:rPr>
            </w:pPr>
            <w:r w:rsidRPr="00732DA6">
              <w:rPr>
                <w:rFonts w:ascii="Arial Narrow" w:hAnsi="Arial Narrow"/>
              </w:rPr>
              <w:t>-0.44</w:t>
            </w:r>
          </w:p>
        </w:tc>
        <w:tc>
          <w:tcPr>
            <w:tcW w:w="567" w:type="dxa"/>
            <w:shd w:val="clear" w:color="auto" w:fill="E5B8B7" w:themeFill="accent2" w:themeFillTint="66"/>
            <w:noWrap/>
            <w:tcMar>
              <w:left w:w="57" w:type="dxa"/>
              <w:right w:w="57" w:type="dxa"/>
            </w:tcMar>
            <w:vAlign w:val="center"/>
            <w:hideMark/>
          </w:tcPr>
          <w:p w14:paraId="7831C131" w14:textId="77777777" w:rsidR="007527BF" w:rsidRPr="002422A8" w:rsidRDefault="007527BF" w:rsidP="00244FAE">
            <w:pPr>
              <w:rPr>
                <w:rFonts w:ascii="Arial Narrow" w:hAnsi="Arial Narrow"/>
                <w:color w:val="4F81BD" w:themeColor="accent1"/>
              </w:rPr>
            </w:pPr>
            <w:r w:rsidRPr="00732DA6">
              <w:rPr>
                <w:rFonts w:ascii="Arial Narrow" w:hAnsi="Arial Narrow"/>
              </w:rPr>
              <w:t>-0.06</w:t>
            </w:r>
          </w:p>
        </w:tc>
        <w:tc>
          <w:tcPr>
            <w:tcW w:w="567" w:type="dxa"/>
            <w:shd w:val="clear" w:color="auto" w:fill="E5B8B7" w:themeFill="accent2" w:themeFillTint="66"/>
            <w:noWrap/>
            <w:tcMar>
              <w:left w:w="57" w:type="dxa"/>
              <w:right w:w="57" w:type="dxa"/>
            </w:tcMar>
            <w:vAlign w:val="center"/>
            <w:hideMark/>
          </w:tcPr>
          <w:p w14:paraId="27CD70E2" w14:textId="77777777" w:rsidR="007527BF" w:rsidRPr="002422A8" w:rsidRDefault="007527BF" w:rsidP="00244FAE">
            <w:pPr>
              <w:rPr>
                <w:rFonts w:ascii="Arial Narrow" w:hAnsi="Arial Narrow"/>
                <w:color w:val="4F81BD" w:themeColor="accent1"/>
              </w:rPr>
            </w:pPr>
            <w:r w:rsidRPr="00732DA6">
              <w:rPr>
                <w:rFonts w:ascii="Arial Narrow" w:hAnsi="Arial Narrow"/>
              </w:rPr>
              <w:t>-0.54</w:t>
            </w:r>
          </w:p>
        </w:tc>
        <w:tc>
          <w:tcPr>
            <w:tcW w:w="567" w:type="dxa"/>
            <w:shd w:val="clear" w:color="auto" w:fill="E5B8B7" w:themeFill="accent2" w:themeFillTint="66"/>
            <w:noWrap/>
            <w:tcMar>
              <w:left w:w="57" w:type="dxa"/>
              <w:right w:w="57" w:type="dxa"/>
            </w:tcMar>
            <w:vAlign w:val="center"/>
            <w:hideMark/>
          </w:tcPr>
          <w:p w14:paraId="0F706027" w14:textId="77777777" w:rsidR="007527BF" w:rsidRPr="002422A8" w:rsidRDefault="007527BF" w:rsidP="00244FAE">
            <w:pPr>
              <w:rPr>
                <w:rFonts w:ascii="Arial Narrow" w:hAnsi="Arial Narrow"/>
                <w:color w:val="4F81BD" w:themeColor="accent1"/>
              </w:rPr>
            </w:pPr>
            <w:r w:rsidRPr="00732DA6">
              <w:rPr>
                <w:rFonts w:ascii="Arial Narrow" w:hAnsi="Arial Narrow"/>
              </w:rPr>
              <w:t>-0.16</w:t>
            </w:r>
          </w:p>
        </w:tc>
        <w:tc>
          <w:tcPr>
            <w:tcW w:w="567" w:type="dxa"/>
            <w:shd w:val="clear" w:color="auto" w:fill="E5B8B7" w:themeFill="accent2" w:themeFillTint="66"/>
            <w:noWrap/>
            <w:tcMar>
              <w:left w:w="57" w:type="dxa"/>
              <w:right w:w="57" w:type="dxa"/>
            </w:tcMar>
            <w:vAlign w:val="center"/>
            <w:hideMark/>
          </w:tcPr>
          <w:p w14:paraId="652567AC" w14:textId="77777777" w:rsidR="007527BF" w:rsidRPr="002422A8" w:rsidRDefault="007527BF" w:rsidP="00244FAE">
            <w:pPr>
              <w:rPr>
                <w:rFonts w:ascii="Arial Narrow" w:hAnsi="Arial Narrow"/>
                <w:color w:val="4F81BD" w:themeColor="accent1"/>
              </w:rPr>
            </w:pPr>
            <w:r w:rsidRPr="00732DA6">
              <w:rPr>
                <w:rFonts w:ascii="Arial Narrow" w:hAnsi="Arial Narrow"/>
              </w:rPr>
              <w:t>-0.45</w:t>
            </w:r>
          </w:p>
        </w:tc>
        <w:tc>
          <w:tcPr>
            <w:tcW w:w="567" w:type="dxa"/>
            <w:shd w:val="clear" w:color="auto" w:fill="E5B8B7" w:themeFill="accent2" w:themeFillTint="66"/>
            <w:noWrap/>
            <w:tcMar>
              <w:left w:w="57" w:type="dxa"/>
              <w:right w:w="57" w:type="dxa"/>
            </w:tcMar>
            <w:vAlign w:val="center"/>
            <w:hideMark/>
          </w:tcPr>
          <w:p w14:paraId="67071177" w14:textId="77777777" w:rsidR="007527BF" w:rsidRPr="002422A8" w:rsidRDefault="007527BF" w:rsidP="00244FAE">
            <w:pPr>
              <w:rPr>
                <w:rFonts w:ascii="Arial Narrow" w:hAnsi="Arial Narrow"/>
                <w:color w:val="4F81BD" w:themeColor="accent1"/>
              </w:rPr>
            </w:pPr>
            <w:r w:rsidRPr="00732DA6">
              <w:rPr>
                <w:rFonts w:ascii="Arial Narrow" w:hAnsi="Arial Narrow"/>
              </w:rPr>
              <w:t>-0.05</w:t>
            </w:r>
          </w:p>
        </w:tc>
        <w:tc>
          <w:tcPr>
            <w:tcW w:w="567" w:type="dxa"/>
            <w:shd w:val="clear" w:color="auto" w:fill="auto"/>
            <w:noWrap/>
            <w:tcMar>
              <w:left w:w="57" w:type="dxa"/>
              <w:right w:w="57" w:type="dxa"/>
            </w:tcMar>
            <w:vAlign w:val="center"/>
            <w:hideMark/>
          </w:tcPr>
          <w:p w14:paraId="1535F639" w14:textId="77777777" w:rsidR="007527BF" w:rsidRPr="002422A8" w:rsidRDefault="007527BF" w:rsidP="00244FAE">
            <w:pPr>
              <w:rPr>
                <w:rFonts w:ascii="Arial Narrow" w:hAnsi="Arial Narrow"/>
                <w:color w:val="4F81BD" w:themeColor="accent1"/>
              </w:rPr>
            </w:pPr>
            <w:r w:rsidRPr="00732DA6">
              <w:rPr>
                <w:rFonts w:ascii="Arial Narrow" w:hAnsi="Arial Narrow"/>
              </w:rPr>
              <w:t>-0.63</w:t>
            </w:r>
          </w:p>
        </w:tc>
        <w:tc>
          <w:tcPr>
            <w:tcW w:w="562" w:type="dxa"/>
            <w:shd w:val="clear" w:color="auto" w:fill="auto"/>
            <w:noWrap/>
            <w:tcMar>
              <w:left w:w="57" w:type="dxa"/>
              <w:right w:w="57" w:type="dxa"/>
            </w:tcMar>
            <w:vAlign w:val="center"/>
            <w:hideMark/>
          </w:tcPr>
          <w:p w14:paraId="5233A313" w14:textId="77777777" w:rsidR="007527BF" w:rsidRPr="002422A8" w:rsidRDefault="007527BF" w:rsidP="00244FAE">
            <w:pPr>
              <w:rPr>
                <w:rFonts w:ascii="Arial Narrow" w:hAnsi="Arial Narrow"/>
                <w:color w:val="4F81BD" w:themeColor="accent1"/>
              </w:rPr>
            </w:pPr>
            <w:r w:rsidRPr="00732DA6">
              <w:rPr>
                <w:rFonts w:ascii="Arial Narrow" w:hAnsi="Arial Narrow"/>
              </w:rPr>
              <w:t>0.06</w:t>
            </w:r>
          </w:p>
        </w:tc>
      </w:tr>
      <w:tr w:rsidR="007527BF" w:rsidRPr="00F352E1" w14:paraId="7767542B" w14:textId="77777777" w:rsidTr="001E472C">
        <w:trPr>
          <w:trHeight w:hRule="exact" w:val="397"/>
          <w:tblHeader/>
        </w:trPr>
        <w:tc>
          <w:tcPr>
            <w:tcW w:w="2830" w:type="dxa"/>
            <w:noWrap/>
            <w:tcMar>
              <w:left w:w="57" w:type="dxa"/>
              <w:right w:w="57" w:type="dxa"/>
            </w:tcMar>
            <w:vAlign w:val="bottom"/>
            <w:hideMark/>
          </w:tcPr>
          <w:p w14:paraId="0E07EEB8" w14:textId="77777777" w:rsidR="007527BF" w:rsidRPr="002422A8" w:rsidRDefault="007527BF" w:rsidP="00244FAE">
            <w:pPr>
              <w:jc w:val="left"/>
              <w:rPr>
                <w:rFonts w:ascii="Arial Narrow" w:hAnsi="Arial Narrow"/>
                <w:color w:val="4F81BD" w:themeColor="accent1"/>
              </w:rPr>
            </w:pPr>
            <w:r w:rsidRPr="00732DA6">
              <w:rPr>
                <w:rFonts w:ascii="Arial Narrow" w:hAnsi="Arial Narrow"/>
              </w:rPr>
              <w:t>Mackay Whitsunday - Burdekin</w:t>
            </w:r>
          </w:p>
        </w:tc>
        <w:tc>
          <w:tcPr>
            <w:tcW w:w="567" w:type="dxa"/>
            <w:shd w:val="clear" w:color="auto" w:fill="auto"/>
            <w:noWrap/>
            <w:tcMar>
              <w:left w:w="57" w:type="dxa"/>
              <w:right w:w="57" w:type="dxa"/>
            </w:tcMar>
            <w:vAlign w:val="center"/>
            <w:hideMark/>
          </w:tcPr>
          <w:p w14:paraId="615DD32C" w14:textId="77777777" w:rsidR="007527BF" w:rsidRPr="002422A8" w:rsidRDefault="007527BF" w:rsidP="00244FAE">
            <w:pPr>
              <w:rPr>
                <w:rFonts w:ascii="Arial Narrow" w:hAnsi="Arial Narrow"/>
                <w:color w:val="4F81BD" w:themeColor="accent1"/>
              </w:rPr>
            </w:pPr>
            <w:r w:rsidRPr="00732DA6">
              <w:rPr>
                <w:rFonts w:ascii="Arial Narrow" w:hAnsi="Arial Narrow"/>
              </w:rPr>
              <w:t>-0.05</w:t>
            </w:r>
          </w:p>
        </w:tc>
        <w:tc>
          <w:tcPr>
            <w:tcW w:w="567" w:type="dxa"/>
            <w:shd w:val="clear" w:color="auto" w:fill="auto"/>
            <w:noWrap/>
            <w:tcMar>
              <w:left w:w="57" w:type="dxa"/>
              <w:right w:w="57" w:type="dxa"/>
            </w:tcMar>
            <w:vAlign w:val="center"/>
            <w:hideMark/>
          </w:tcPr>
          <w:p w14:paraId="677B2004" w14:textId="77777777" w:rsidR="007527BF" w:rsidRPr="002422A8" w:rsidRDefault="007527BF" w:rsidP="00244FAE">
            <w:pPr>
              <w:rPr>
                <w:rFonts w:ascii="Arial Narrow" w:hAnsi="Arial Narrow"/>
                <w:color w:val="4F81BD" w:themeColor="accent1"/>
              </w:rPr>
            </w:pPr>
            <w:r w:rsidRPr="00732DA6">
              <w:rPr>
                <w:rFonts w:ascii="Arial Narrow" w:hAnsi="Arial Narrow"/>
              </w:rPr>
              <w:t>0.18</w:t>
            </w:r>
          </w:p>
        </w:tc>
        <w:tc>
          <w:tcPr>
            <w:tcW w:w="567" w:type="dxa"/>
            <w:shd w:val="clear" w:color="auto" w:fill="auto"/>
            <w:noWrap/>
            <w:tcMar>
              <w:left w:w="57" w:type="dxa"/>
              <w:right w:w="57" w:type="dxa"/>
            </w:tcMar>
            <w:vAlign w:val="center"/>
            <w:hideMark/>
          </w:tcPr>
          <w:p w14:paraId="79881BE8" w14:textId="77777777" w:rsidR="007527BF" w:rsidRPr="002422A8" w:rsidRDefault="007527BF" w:rsidP="00244FAE">
            <w:pPr>
              <w:rPr>
                <w:rFonts w:ascii="Arial Narrow" w:hAnsi="Arial Narrow"/>
                <w:color w:val="4F81BD" w:themeColor="accent1"/>
              </w:rPr>
            </w:pPr>
            <w:r w:rsidRPr="00732DA6">
              <w:rPr>
                <w:rFonts w:ascii="Arial Narrow" w:hAnsi="Arial Narrow"/>
              </w:rPr>
              <w:t>-0.14</w:t>
            </w:r>
          </w:p>
        </w:tc>
        <w:tc>
          <w:tcPr>
            <w:tcW w:w="567" w:type="dxa"/>
            <w:shd w:val="clear" w:color="auto" w:fill="auto"/>
            <w:noWrap/>
            <w:tcMar>
              <w:left w:w="57" w:type="dxa"/>
              <w:right w:w="57" w:type="dxa"/>
            </w:tcMar>
            <w:vAlign w:val="center"/>
            <w:hideMark/>
          </w:tcPr>
          <w:p w14:paraId="75A3870B" w14:textId="77777777" w:rsidR="007527BF" w:rsidRPr="002422A8" w:rsidRDefault="007527BF" w:rsidP="00244FAE">
            <w:pPr>
              <w:rPr>
                <w:rFonts w:ascii="Arial Narrow" w:hAnsi="Arial Narrow"/>
                <w:color w:val="4F81BD" w:themeColor="accent1"/>
              </w:rPr>
            </w:pPr>
            <w:r w:rsidRPr="00732DA6">
              <w:rPr>
                <w:rFonts w:ascii="Arial Narrow" w:hAnsi="Arial Narrow"/>
              </w:rPr>
              <w:t>0.13</w:t>
            </w:r>
          </w:p>
        </w:tc>
        <w:tc>
          <w:tcPr>
            <w:tcW w:w="567" w:type="dxa"/>
            <w:shd w:val="clear" w:color="auto" w:fill="C2D69B" w:themeFill="accent3" w:themeFillTint="99"/>
            <w:noWrap/>
            <w:tcMar>
              <w:left w:w="57" w:type="dxa"/>
              <w:right w:w="57" w:type="dxa"/>
            </w:tcMar>
            <w:vAlign w:val="center"/>
            <w:hideMark/>
          </w:tcPr>
          <w:p w14:paraId="1D80A344" w14:textId="77777777" w:rsidR="007527BF" w:rsidRPr="002422A8" w:rsidRDefault="007527BF" w:rsidP="00244FAE">
            <w:pPr>
              <w:rPr>
                <w:rFonts w:ascii="Arial Narrow" w:hAnsi="Arial Narrow"/>
                <w:color w:val="4F81BD" w:themeColor="accent1"/>
              </w:rPr>
            </w:pPr>
            <w:r w:rsidRPr="00732DA6">
              <w:rPr>
                <w:rFonts w:ascii="Arial Narrow" w:hAnsi="Arial Narrow"/>
              </w:rPr>
              <w:t>0.23</w:t>
            </w:r>
          </w:p>
        </w:tc>
        <w:tc>
          <w:tcPr>
            <w:tcW w:w="567" w:type="dxa"/>
            <w:shd w:val="clear" w:color="auto" w:fill="C2D69B" w:themeFill="accent3" w:themeFillTint="99"/>
            <w:noWrap/>
            <w:tcMar>
              <w:left w:w="57" w:type="dxa"/>
              <w:right w:w="57" w:type="dxa"/>
            </w:tcMar>
            <w:vAlign w:val="center"/>
            <w:hideMark/>
          </w:tcPr>
          <w:p w14:paraId="6B041B54" w14:textId="77777777" w:rsidR="007527BF" w:rsidRPr="002422A8" w:rsidRDefault="007527BF" w:rsidP="00244FAE">
            <w:pPr>
              <w:rPr>
                <w:rFonts w:ascii="Arial Narrow" w:hAnsi="Arial Narrow"/>
                <w:color w:val="4F81BD" w:themeColor="accent1"/>
              </w:rPr>
            </w:pPr>
            <w:r w:rsidRPr="00732DA6">
              <w:rPr>
                <w:rFonts w:ascii="Arial Narrow" w:hAnsi="Arial Narrow"/>
              </w:rPr>
              <w:t>0.60</w:t>
            </w:r>
          </w:p>
        </w:tc>
        <w:tc>
          <w:tcPr>
            <w:tcW w:w="567" w:type="dxa"/>
            <w:noWrap/>
            <w:tcMar>
              <w:left w:w="57" w:type="dxa"/>
              <w:right w:w="57" w:type="dxa"/>
            </w:tcMar>
            <w:vAlign w:val="center"/>
            <w:hideMark/>
          </w:tcPr>
          <w:p w14:paraId="17994520" w14:textId="77777777" w:rsidR="007527BF" w:rsidRPr="002422A8" w:rsidRDefault="007527BF" w:rsidP="00244FAE">
            <w:pPr>
              <w:rPr>
                <w:rFonts w:ascii="Arial Narrow" w:hAnsi="Arial Narrow"/>
                <w:color w:val="4F81BD" w:themeColor="accent1"/>
              </w:rPr>
            </w:pPr>
            <w:r w:rsidRPr="00732DA6">
              <w:rPr>
                <w:rFonts w:ascii="Arial Narrow" w:hAnsi="Arial Narrow"/>
              </w:rPr>
              <w:t>-0.37</w:t>
            </w:r>
          </w:p>
        </w:tc>
        <w:tc>
          <w:tcPr>
            <w:tcW w:w="567" w:type="dxa"/>
            <w:noWrap/>
            <w:tcMar>
              <w:left w:w="57" w:type="dxa"/>
              <w:right w:w="57" w:type="dxa"/>
            </w:tcMar>
            <w:vAlign w:val="center"/>
            <w:hideMark/>
          </w:tcPr>
          <w:p w14:paraId="6DFDADC5" w14:textId="77777777" w:rsidR="007527BF" w:rsidRPr="002422A8" w:rsidRDefault="007527BF" w:rsidP="00244FAE">
            <w:pPr>
              <w:rPr>
                <w:rFonts w:ascii="Arial Narrow" w:hAnsi="Arial Narrow"/>
                <w:color w:val="4F81BD" w:themeColor="accent1"/>
              </w:rPr>
            </w:pPr>
            <w:r w:rsidRPr="00732DA6">
              <w:rPr>
                <w:rFonts w:ascii="Arial Narrow" w:hAnsi="Arial Narrow"/>
              </w:rPr>
              <w:t>0.04</w:t>
            </w:r>
          </w:p>
        </w:tc>
        <w:tc>
          <w:tcPr>
            <w:tcW w:w="567" w:type="dxa"/>
            <w:shd w:val="clear" w:color="auto" w:fill="auto"/>
            <w:noWrap/>
            <w:tcMar>
              <w:left w:w="57" w:type="dxa"/>
              <w:right w:w="57" w:type="dxa"/>
            </w:tcMar>
            <w:vAlign w:val="center"/>
            <w:hideMark/>
          </w:tcPr>
          <w:p w14:paraId="380053E8" w14:textId="77777777" w:rsidR="007527BF" w:rsidRPr="002422A8" w:rsidRDefault="007527BF" w:rsidP="00244FAE">
            <w:pPr>
              <w:rPr>
                <w:rFonts w:ascii="Arial Narrow" w:hAnsi="Arial Narrow"/>
                <w:color w:val="4F81BD" w:themeColor="accent1"/>
              </w:rPr>
            </w:pPr>
            <w:r w:rsidRPr="00732DA6">
              <w:rPr>
                <w:rFonts w:ascii="Arial Narrow" w:hAnsi="Arial Narrow"/>
              </w:rPr>
              <w:t>-0.33</w:t>
            </w:r>
          </w:p>
        </w:tc>
        <w:tc>
          <w:tcPr>
            <w:tcW w:w="567" w:type="dxa"/>
            <w:shd w:val="clear" w:color="auto" w:fill="auto"/>
            <w:noWrap/>
            <w:tcMar>
              <w:left w:w="57" w:type="dxa"/>
              <w:right w:w="57" w:type="dxa"/>
            </w:tcMar>
            <w:vAlign w:val="center"/>
            <w:hideMark/>
          </w:tcPr>
          <w:p w14:paraId="7F9FB023" w14:textId="77777777" w:rsidR="007527BF" w:rsidRPr="002422A8" w:rsidRDefault="007527BF" w:rsidP="00244FAE">
            <w:pPr>
              <w:rPr>
                <w:rFonts w:ascii="Arial Narrow" w:hAnsi="Arial Narrow"/>
                <w:color w:val="4F81BD" w:themeColor="accent1"/>
              </w:rPr>
            </w:pPr>
            <w:r w:rsidRPr="00732DA6">
              <w:rPr>
                <w:rFonts w:ascii="Arial Narrow" w:hAnsi="Arial Narrow"/>
              </w:rPr>
              <w:t>0.09</w:t>
            </w:r>
          </w:p>
        </w:tc>
        <w:tc>
          <w:tcPr>
            <w:tcW w:w="567" w:type="dxa"/>
            <w:noWrap/>
            <w:tcMar>
              <w:left w:w="57" w:type="dxa"/>
              <w:right w:w="57" w:type="dxa"/>
            </w:tcMar>
            <w:vAlign w:val="center"/>
            <w:hideMark/>
          </w:tcPr>
          <w:p w14:paraId="2C352C25" w14:textId="77777777" w:rsidR="007527BF" w:rsidRPr="002422A8" w:rsidRDefault="007527BF" w:rsidP="00244FAE">
            <w:pPr>
              <w:rPr>
                <w:rFonts w:ascii="Arial Narrow" w:hAnsi="Arial Narrow"/>
                <w:color w:val="4F81BD" w:themeColor="accent1"/>
              </w:rPr>
            </w:pPr>
            <w:r w:rsidRPr="00732DA6">
              <w:rPr>
                <w:rFonts w:ascii="Arial Narrow" w:hAnsi="Arial Narrow"/>
              </w:rPr>
              <w:t>-0.45</w:t>
            </w:r>
          </w:p>
        </w:tc>
        <w:tc>
          <w:tcPr>
            <w:tcW w:w="562" w:type="dxa"/>
            <w:noWrap/>
            <w:tcMar>
              <w:left w:w="57" w:type="dxa"/>
              <w:right w:w="57" w:type="dxa"/>
            </w:tcMar>
            <w:vAlign w:val="center"/>
            <w:hideMark/>
          </w:tcPr>
          <w:p w14:paraId="0EEB63FB" w14:textId="77777777" w:rsidR="007527BF" w:rsidRPr="002422A8" w:rsidRDefault="007527BF" w:rsidP="00244FAE">
            <w:pPr>
              <w:rPr>
                <w:rFonts w:ascii="Arial Narrow" w:hAnsi="Arial Narrow"/>
                <w:color w:val="4F81BD" w:themeColor="accent1"/>
              </w:rPr>
            </w:pPr>
            <w:r w:rsidRPr="00732DA6">
              <w:rPr>
                <w:rFonts w:ascii="Arial Narrow" w:hAnsi="Arial Narrow"/>
              </w:rPr>
              <w:t>0.31</w:t>
            </w:r>
          </w:p>
        </w:tc>
      </w:tr>
      <w:tr w:rsidR="007527BF" w:rsidRPr="00F352E1" w14:paraId="70A8FEE1" w14:textId="77777777" w:rsidTr="001E472C">
        <w:trPr>
          <w:trHeight w:hRule="exact" w:val="397"/>
          <w:tblHeader/>
        </w:trPr>
        <w:tc>
          <w:tcPr>
            <w:tcW w:w="2830" w:type="dxa"/>
            <w:noWrap/>
            <w:tcMar>
              <w:left w:w="57" w:type="dxa"/>
              <w:right w:w="57" w:type="dxa"/>
            </w:tcMar>
            <w:vAlign w:val="bottom"/>
            <w:hideMark/>
          </w:tcPr>
          <w:p w14:paraId="5214FA78" w14:textId="77777777" w:rsidR="007527BF" w:rsidRPr="002422A8" w:rsidRDefault="007527BF" w:rsidP="00244FAE">
            <w:pPr>
              <w:jc w:val="left"/>
              <w:rPr>
                <w:rFonts w:ascii="Arial Narrow" w:hAnsi="Arial Narrow"/>
                <w:color w:val="4F81BD" w:themeColor="accent1"/>
              </w:rPr>
            </w:pPr>
            <w:r w:rsidRPr="00732DA6">
              <w:rPr>
                <w:rFonts w:ascii="Arial Narrow" w:hAnsi="Arial Narrow"/>
              </w:rPr>
              <w:t>Fitzroy - Burdekin</w:t>
            </w:r>
          </w:p>
        </w:tc>
        <w:tc>
          <w:tcPr>
            <w:tcW w:w="567" w:type="dxa"/>
            <w:shd w:val="clear" w:color="auto" w:fill="E5B8B7" w:themeFill="accent2" w:themeFillTint="66"/>
            <w:noWrap/>
            <w:tcMar>
              <w:left w:w="57" w:type="dxa"/>
              <w:right w:w="57" w:type="dxa"/>
            </w:tcMar>
            <w:vAlign w:val="center"/>
            <w:hideMark/>
          </w:tcPr>
          <w:p w14:paraId="09D9A962" w14:textId="77777777" w:rsidR="007527BF" w:rsidRPr="002422A8" w:rsidRDefault="007527BF" w:rsidP="00244FAE">
            <w:pPr>
              <w:rPr>
                <w:rFonts w:ascii="Arial Narrow" w:hAnsi="Arial Narrow"/>
                <w:color w:val="4F81BD" w:themeColor="accent1"/>
              </w:rPr>
            </w:pPr>
            <w:r w:rsidRPr="00732DA6">
              <w:rPr>
                <w:rFonts w:ascii="Arial Narrow" w:hAnsi="Arial Narrow"/>
              </w:rPr>
              <w:t>-0.32</w:t>
            </w:r>
          </w:p>
        </w:tc>
        <w:tc>
          <w:tcPr>
            <w:tcW w:w="567" w:type="dxa"/>
            <w:shd w:val="clear" w:color="auto" w:fill="E5B8B7" w:themeFill="accent2" w:themeFillTint="66"/>
            <w:noWrap/>
            <w:tcMar>
              <w:left w:w="57" w:type="dxa"/>
              <w:right w:w="57" w:type="dxa"/>
            </w:tcMar>
            <w:vAlign w:val="center"/>
            <w:hideMark/>
          </w:tcPr>
          <w:p w14:paraId="7E43DBA1" w14:textId="77777777" w:rsidR="007527BF" w:rsidRPr="002422A8" w:rsidRDefault="007527BF" w:rsidP="00244FAE">
            <w:pPr>
              <w:rPr>
                <w:rFonts w:ascii="Arial Narrow" w:hAnsi="Arial Narrow"/>
                <w:color w:val="4F81BD" w:themeColor="accent1"/>
              </w:rPr>
            </w:pPr>
            <w:r w:rsidRPr="00732DA6">
              <w:rPr>
                <w:rFonts w:ascii="Arial Narrow" w:hAnsi="Arial Narrow"/>
              </w:rPr>
              <w:t>-0.10</w:t>
            </w:r>
          </w:p>
        </w:tc>
        <w:tc>
          <w:tcPr>
            <w:tcW w:w="567" w:type="dxa"/>
            <w:noWrap/>
            <w:tcMar>
              <w:left w:w="57" w:type="dxa"/>
              <w:right w:w="57" w:type="dxa"/>
            </w:tcMar>
            <w:vAlign w:val="center"/>
            <w:hideMark/>
          </w:tcPr>
          <w:p w14:paraId="0C4DB730" w14:textId="77777777" w:rsidR="007527BF" w:rsidRPr="002422A8" w:rsidRDefault="007527BF" w:rsidP="00244FAE">
            <w:pPr>
              <w:rPr>
                <w:rFonts w:ascii="Arial Narrow" w:hAnsi="Arial Narrow"/>
                <w:color w:val="4F81BD" w:themeColor="accent1"/>
              </w:rPr>
            </w:pPr>
            <w:r w:rsidRPr="00732DA6">
              <w:rPr>
                <w:rFonts w:ascii="Arial Narrow" w:hAnsi="Arial Narrow"/>
              </w:rPr>
              <w:t>-0.19</w:t>
            </w:r>
          </w:p>
        </w:tc>
        <w:tc>
          <w:tcPr>
            <w:tcW w:w="567" w:type="dxa"/>
            <w:noWrap/>
            <w:tcMar>
              <w:left w:w="57" w:type="dxa"/>
              <w:right w:w="57" w:type="dxa"/>
            </w:tcMar>
            <w:vAlign w:val="center"/>
            <w:hideMark/>
          </w:tcPr>
          <w:p w14:paraId="1C795E1E" w14:textId="77777777" w:rsidR="007527BF" w:rsidRPr="002422A8" w:rsidRDefault="007527BF" w:rsidP="00244FAE">
            <w:pPr>
              <w:rPr>
                <w:rFonts w:ascii="Arial Narrow" w:hAnsi="Arial Narrow"/>
                <w:color w:val="4F81BD" w:themeColor="accent1"/>
              </w:rPr>
            </w:pPr>
            <w:r w:rsidRPr="00732DA6">
              <w:rPr>
                <w:rFonts w:ascii="Arial Narrow" w:hAnsi="Arial Narrow"/>
              </w:rPr>
              <w:t>0.10</w:t>
            </w:r>
          </w:p>
        </w:tc>
        <w:tc>
          <w:tcPr>
            <w:tcW w:w="567" w:type="dxa"/>
            <w:noWrap/>
            <w:tcMar>
              <w:left w:w="57" w:type="dxa"/>
              <w:right w:w="57" w:type="dxa"/>
            </w:tcMar>
            <w:vAlign w:val="center"/>
            <w:hideMark/>
          </w:tcPr>
          <w:p w14:paraId="771C68C8" w14:textId="77777777" w:rsidR="007527BF" w:rsidRPr="002422A8" w:rsidRDefault="007527BF" w:rsidP="00244FAE">
            <w:pPr>
              <w:rPr>
                <w:rFonts w:ascii="Arial Narrow" w:hAnsi="Arial Narrow"/>
                <w:color w:val="4F81BD" w:themeColor="accent1"/>
              </w:rPr>
            </w:pPr>
            <w:r w:rsidRPr="00732DA6">
              <w:rPr>
                <w:rFonts w:ascii="Arial Narrow" w:hAnsi="Arial Narrow"/>
              </w:rPr>
              <w:t>-0.29</w:t>
            </w:r>
          </w:p>
        </w:tc>
        <w:tc>
          <w:tcPr>
            <w:tcW w:w="567" w:type="dxa"/>
            <w:noWrap/>
            <w:tcMar>
              <w:left w:w="57" w:type="dxa"/>
              <w:right w:w="57" w:type="dxa"/>
            </w:tcMar>
            <w:vAlign w:val="center"/>
            <w:hideMark/>
          </w:tcPr>
          <w:p w14:paraId="17ECB03A" w14:textId="77777777" w:rsidR="007527BF" w:rsidRPr="002422A8" w:rsidRDefault="007527BF" w:rsidP="00244FAE">
            <w:pPr>
              <w:rPr>
                <w:rFonts w:ascii="Arial Narrow" w:hAnsi="Arial Narrow"/>
                <w:color w:val="4F81BD" w:themeColor="accent1"/>
              </w:rPr>
            </w:pPr>
            <w:r w:rsidRPr="00732DA6">
              <w:rPr>
                <w:rFonts w:ascii="Arial Narrow" w:hAnsi="Arial Narrow"/>
              </w:rPr>
              <w:t>0.09</w:t>
            </w:r>
          </w:p>
        </w:tc>
        <w:tc>
          <w:tcPr>
            <w:tcW w:w="567" w:type="dxa"/>
            <w:noWrap/>
            <w:tcMar>
              <w:left w:w="57" w:type="dxa"/>
              <w:right w:w="57" w:type="dxa"/>
            </w:tcMar>
            <w:vAlign w:val="center"/>
            <w:hideMark/>
          </w:tcPr>
          <w:p w14:paraId="6E316660" w14:textId="77777777" w:rsidR="007527BF" w:rsidRPr="002422A8" w:rsidRDefault="007527BF" w:rsidP="00244FAE">
            <w:pPr>
              <w:rPr>
                <w:rFonts w:ascii="Arial Narrow" w:hAnsi="Arial Narrow"/>
                <w:color w:val="4F81BD" w:themeColor="accent1"/>
              </w:rPr>
            </w:pPr>
            <w:r w:rsidRPr="00732DA6">
              <w:rPr>
                <w:rFonts w:ascii="Arial Narrow" w:hAnsi="Arial Narrow"/>
              </w:rPr>
              <w:t>-0.43</w:t>
            </w:r>
          </w:p>
        </w:tc>
        <w:tc>
          <w:tcPr>
            <w:tcW w:w="567" w:type="dxa"/>
            <w:noWrap/>
            <w:tcMar>
              <w:left w:w="57" w:type="dxa"/>
              <w:right w:w="57" w:type="dxa"/>
            </w:tcMar>
            <w:vAlign w:val="center"/>
            <w:hideMark/>
          </w:tcPr>
          <w:p w14:paraId="783171C0" w14:textId="77777777" w:rsidR="007527BF" w:rsidRPr="002422A8" w:rsidRDefault="007527BF" w:rsidP="00244FAE">
            <w:pPr>
              <w:rPr>
                <w:rFonts w:ascii="Arial Narrow" w:hAnsi="Arial Narrow"/>
                <w:color w:val="4F81BD" w:themeColor="accent1"/>
              </w:rPr>
            </w:pPr>
            <w:r w:rsidRPr="00732DA6">
              <w:rPr>
                <w:rFonts w:ascii="Arial Narrow" w:hAnsi="Arial Narrow"/>
              </w:rPr>
              <w:t>0.01</w:t>
            </w:r>
          </w:p>
        </w:tc>
        <w:tc>
          <w:tcPr>
            <w:tcW w:w="567" w:type="dxa"/>
            <w:noWrap/>
            <w:tcMar>
              <w:left w:w="57" w:type="dxa"/>
              <w:right w:w="57" w:type="dxa"/>
            </w:tcMar>
            <w:vAlign w:val="center"/>
            <w:hideMark/>
          </w:tcPr>
          <w:p w14:paraId="1BE5BCC7" w14:textId="77777777" w:rsidR="007527BF" w:rsidRPr="002422A8" w:rsidRDefault="007527BF" w:rsidP="00244FAE">
            <w:pPr>
              <w:rPr>
                <w:rFonts w:ascii="Arial Narrow" w:hAnsi="Arial Narrow"/>
                <w:color w:val="4F81BD" w:themeColor="accent1"/>
              </w:rPr>
            </w:pPr>
            <w:r w:rsidRPr="00732DA6">
              <w:rPr>
                <w:rFonts w:ascii="Arial Narrow" w:hAnsi="Arial Narrow"/>
              </w:rPr>
              <w:t>-0.42</w:t>
            </w:r>
          </w:p>
        </w:tc>
        <w:tc>
          <w:tcPr>
            <w:tcW w:w="567" w:type="dxa"/>
            <w:noWrap/>
            <w:tcMar>
              <w:left w:w="57" w:type="dxa"/>
              <w:right w:w="57" w:type="dxa"/>
            </w:tcMar>
            <w:vAlign w:val="center"/>
            <w:hideMark/>
          </w:tcPr>
          <w:p w14:paraId="5787D2AB" w14:textId="77777777" w:rsidR="007527BF" w:rsidRPr="002422A8" w:rsidRDefault="007527BF" w:rsidP="00244FAE">
            <w:pPr>
              <w:rPr>
                <w:rFonts w:ascii="Arial Narrow" w:hAnsi="Arial Narrow"/>
                <w:color w:val="4F81BD" w:themeColor="accent1"/>
              </w:rPr>
            </w:pPr>
            <w:r w:rsidRPr="00732DA6">
              <w:rPr>
                <w:rFonts w:ascii="Arial Narrow" w:hAnsi="Arial Narrow"/>
              </w:rPr>
              <w:t>0.03</w:t>
            </w:r>
          </w:p>
        </w:tc>
        <w:tc>
          <w:tcPr>
            <w:tcW w:w="567" w:type="dxa"/>
            <w:shd w:val="clear" w:color="auto" w:fill="E5B8B7" w:themeFill="accent2" w:themeFillTint="66"/>
            <w:noWrap/>
            <w:tcMar>
              <w:left w:w="57" w:type="dxa"/>
              <w:right w:w="57" w:type="dxa"/>
            </w:tcMar>
            <w:vAlign w:val="center"/>
            <w:hideMark/>
          </w:tcPr>
          <w:p w14:paraId="10A9C2B1" w14:textId="77777777" w:rsidR="007527BF" w:rsidRPr="002422A8" w:rsidRDefault="007527BF" w:rsidP="00244FAE">
            <w:pPr>
              <w:rPr>
                <w:rFonts w:ascii="Arial Narrow" w:hAnsi="Arial Narrow"/>
                <w:color w:val="4F81BD" w:themeColor="accent1"/>
              </w:rPr>
            </w:pPr>
            <w:r w:rsidRPr="00732DA6">
              <w:rPr>
                <w:rFonts w:ascii="Arial Narrow" w:hAnsi="Arial Narrow"/>
              </w:rPr>
              <w:t>-0.85</w:t>
            </w:r>
          </w:p>
        </w:tc>
        <w:tc>
          <w:tcPr>
            <w:tcW w:w="562" w:type="dxa"/>
            <w:shd w:val="clear" w:color="auto" w:fill="E5B8B7" w:themeFill="accent2" w:themeFillTint="66"/>
            <w:noWrap/>
            <w:tcMar>
              <w:left w:w="57" w:type="dxa"/>
              <w:right w:w="57" w:type="dxa"/>
            </w:tcMar>
            <w:vAlign w:val="center"/>
            <w:hideMark/>
          </w:tcPr>
          <w:p w14:paraId="5B9EA83C" w14:textId="77777777" w:rsidR="007527BF" w:rsidRPr="002422A8" w:rsidRDefault="007527BF" w:rsidP="00244FAE">
            <w:pPr>
              <w:rPr>
                <w:rFonts w:ascii="Arial Narrow" w:hAnsi="Arial Narrow"/>
                <w:color w:val="4F81BD" w:themeColor="accent1"/>
              </w:rPr>
            </w:pPr>
            <w:r w:rsidRPr="00732DA6">
              <w:rPr>
                <w:rFonts w:ascii="Arial Narrow" w:hAnsi="Arial Narrow"/>
              </w:rPr>
              <w:t>-0.22</w:t>
            </w:r>
          </w:p>
        </w:tc>
      </w:tr>
      <w:tr w:rsidR="007527BF" w:rsidRPr="00F352E1" w14:paraId="228A3F49" w14:textId="77777777" w:rsidTr="001E472C">
        <w:trPr>
          <w:trHeight w:hRule="exact" w:val="397"/>
          <w:tblHeader/>
        </w:trPr>
        <w:tc>
          <w:tcPr>
            <w:tcW w:w="2830" w:type="dxa"/>
            <w:noWrap/>
            <w:tcMar>
              <w:left w:w="57" w:type="dxa"/>
              <w:right w:w="57" w:type="dxa"/>
            </w:tcMar>
            <w:vAlign w:val="bottom"/>
            <w:hideMark/>
          </w:tcPr>
          <w:p w14:paraId="1E46EBF6" w14:textId="77777777" w:rsidR="007527BF" w:rsidRPr="002422A8" w:rsidRDefault="007527BF" w:rsidP="00244FAE">
            <w:pPr>
              <w:jc w:val="left"/>
              <w:rPr>
                <w:rFonts w:ascii="Arial Narrow" w:hAnsi="Arial Narrow"/>
                <w:color w:val="4F81BD" w:themeColor="accent1"/>
              </w:rPr>
            </w:pPr>
            <w:r w:rsidRPr="00732DA6">
              <w:rPr>
                <w:rFonts w:ascii="Arial Narrow" w:hAnsi="Arial Narrow"/>
              </w:rPr>
              <w:t>Fitzroy - Mackay Whitsunday</w:t>
            </w:r>
          </w:p>
        </w:tc>
        <w:tc>
          <w:tcPr>
            <w:tcW w:w="567" w:type="dxa"/>
            <w:shd w:val="clear" w:color="auto" w:fill="E5B8B7" w:themeFill="accent2" w:themeFillTint="66"/>
            <w:noWrap/>
            <w:tcMar>
              <w:left w:w="57" w:type="dxa"/>
              <w:right w:w="57" w:type="dxa"/>
            </w:tcMar>
            <w:vAlign w:val="center"/>
            <w:hideMark/>
          </w:tcPr>
          <w:p w14:paraId="21D6F757" w14:textId="77777777" w:rsidR="007527BF" w:rsidRPr="002422A8" w:rsidRDefault="007527BF" w:rsidP="00244FAE">
            <w:pPr>
              <w:rPr>
                <w:rFonts w:ascii="Arial Narrow" w:hAnsi="Arial Narrow"/>
                <w:color w:val="4F81BD" w:themeColor="accent1"/>
              </w:rPr>
            </w:pPr>
            <w:r w:rsidRPr="00732DA6">
              <w:rPr>
                <w:rFonts w:ascii="Arial Narrow" w:hAnsi="Arial Narrow"/>
              </w:rPr>
              <w:t>-0.38</w:t>
            </w:r>
          </w:p>
        </w:tc>
        <w:tc>
          <w:tcPr>
            <w:tcW w:w="567" w:type="dxa"/>
            <w:shd w:val="clear" w:color="auto" w:fill="E5B8B7" w:themeFill="accent2" w:themeFillTint="66"/>
            <w:noWrap/>
            <w:tcMar>
              <w:left w:w="57" w:type="dxa"/>
              <w:right w:w="57" w:type="dxa"/>
            </w:tcMar>
            <w:vAlign w:val="center"/>
            <w:hideMark/>
          </w:tcPr>
          <w:p w14:paraId="4EDB7635" w14:textId="77777777" w:rsidR="007527BF" w:rsidRPr="002422A8" w:rsidRDefault="007527BF" w:rsidP="00244FAE">
            <w:pPr>
              <w:rPr>
                <w:rFonts w:ascii="Arial Narrow" w:hAnsi="Arial Narrow"/>
                <w:color w:val="4F81BD" w:themeColor="accent1"/>
              </w:rPr>
            </w:pPr>
            <w:r w:rsidRPr="00732DA6">
              <w:rPr>
                <w:rFonts w:ascii="Arial Narrow" w:hAnsi="Arial Narrow"/>
              </w:rPr>
              <w:t>-0.16</w:t>
            </w:r>
          </w:p>
        </w:tc>
        <w:tc>
          <w:tcPr>
            <w:tcW w:w="567" w:type="dxa"/>
            <w:shd w:val="clear" w:color="auto" w:fill="auto"/>
            <w:noWrap/>
            <w:tcMar>
              <w:left w:w="57" w:type="dxa"/>
              <w:right w:w="57" w:type="dxa"/>
            </w:tcMar>
            <w:vAlign w:val="center"/>
            <w:hideMark/>
          </w:tcPr>
          <w:p w14:paraId="5452B288" w14:textId="77777777" w:rsidR="007527BF" w:rsidRPr="002422A8" w:rsidRDefault="007527BF" w:rsidP="00244FAE">
            <w:pPr>
              <w:rPr>
                <w:rFonts w:ascii="Arial Narrow" w:hAnsi="Arial Narrow"/>
                <w:color w:val="4F81BD" w:themeColor="accent1"/>
              </w:rPr>
            </w:pPr>
            <w:r w:rsidRPr="00732DA6">
              <w:rPr>
                <w:rFonts w:ascii="Arial Narrow" w:hAnsi="Arial Narrow"/>
              </w:rPr>
              <w:t>-0.18</w:t>
            </w:r>
          </w:p>
        </w:tc>
        <w:tc>
          <w:tcPr>
            <w:tcW w:w="567" w:type="dxa"/>
            <w:shd w:val="clear" w:color="auto" w:fill="auto"/>
            <w:noWrap/>
            <w:tcMar>
              <w:left w:w="57" w:type="dxa"/>
              <w:right w:w="57" w:type="dxa"/>
            </w:tcMar>
            <w:vAlign w:val="center"/>
            <w:hideMark/>
          </w:tcPr>
          <w:p w14:paraId="0397FF19" w14:textId="77777777" w:rsidR="007527BF" w:rsidRPr="002422A8" w:rsidRDefault="007527BF" w:rsidP="00244FAE">
            <w:pPr>
              <w:rPr>
                <w:rFonts w:ascii="Arial Narrow" w:hAnsi="Arial Narrow"/>
                <w:color w:val="4F81BD" w:themeColor="accent1"/>
              </w:rPr>
            </w:pPr>
            <w:r w:rsidRPr="00732DA6">
              <w:rPr>
                <w:rFonts w:ascii="Arial Narrow" w:hAnsi="Arial Narrow"/>
              </w:rPr>
              <w:t>0.12</w:t>
            </w:r>
          </w:p>
        </w:tc>
        <w:tc>
          <w:tcPr>
            <w:tcW w:w="567" w:type="dxa"/>
            <w:shd w:val="clear" w:color="auto" w:fill="E5B8B7" w:themeFill="accent2" w:themeFillTint="66"/>
            <w:noWrap/>
            <w:tcMar>
              <w:left w:w="57" w:type="dxa"/>
              <w:right w:w="57" w:type="dxa"/>
            </w:tcMar>
            <w:vAlign w:val="center"/>
            <w:hideMark/>
          </w:tcPr>
          <w:p w14:paraId="792226F0" w14:textId="77777777" w:rsidR="007527BF" w:rsidRPr="002422A8" w:rsidRDefault="007527BF" w:rsidP="00244FAE">
            <w:pPr>
              <w:rPr>
                <w:rFonts w:ascii="Arial Narrow" w:hAnsi="Arial Narrow"/>
                <w:color w:val="4F81BD" w:themeColor="accent1"/>
              </w:rPr>
            </w:pPr>
            <w:r w:rsidRPr="00732DA6">
              <w:rPr>
                <w:rFonts w:ascii="Arial Narrow" w:hAnsi="Arial Narrow"/>
              </w:rPr>
              <w:t>-0.67</w:t>
            </w:r>
          </w:p>
        </w:tc>
        <w:tc>
          <w:tcPr>
            <w:tcW w:w="567" w:type="dxa"/>
            <w:shd w:val="clear" w:color="auto" w:fill="E5B8B7" w:themeFill="accent2" w:themeFillTint="66"/>
            <w:noWrap/>
            <w:tcMar>
              <w:left w:w="57" w:type="dxa"/>
              <w:right w:w="57" w:type="dxa"/>
            </w:tcMar>
            <w:vAlign w:val="center"/>
            <w:hideMark/>
          </w:tcPr>
          <w:p w14:paraId="2E3CC29E" w14:textId="77777777" w:rsidR="007527BF" w:rsidRPr="002422A8" w:rsidRDefault="007527BF" w:rsidP="00244FAE">
            <w:pPr>
              <w:rPr>
                <w:rFonts w:ascii="Arial Narrow" w:hAnsi="Arial Narrow"/>
                <w:color w:val="4F81BD" w:themeColor="accent1"/>
              </w:rPr>
            </w:pPr>
            <w:r w:rsidRPr="00732DA6">
              <w:rPr>
                <w:rFonts w:ascii="Arial Narrow" w:hAnsi="Arial Narrow"/>
              </w:rPr>
              <w:t>-0.31</w:t>
            </w:r>
          </w:p>
        </w:tc>
        <w:tc>
          <w:tcPr>
            <w:tcW w:w="567" w:type="dxa"/>
            <w:shd w:val="clear" w:color="auto" w:fill="auto"/>
            <w:noWrap/>
            <w:tcMar>
              <w:left w:w="57" w:type="dxa"/>
              <w:right w:w="57" w:type="dxa"/>
            </w:tcMar>
            <w:vAlign w:val="center"/>
            <w:hideMark/>
          </w:tcPr>
          <w:p w14:paraId="6C0303EF" w14:textId="77777777" w:rsidR="007527BF" w:rsidRPr="002422A8" w:rsidRDefault="007527BF" w:rsidP="00244FAE">
            <w:pPr>
              <w:rPr>
                <w:rFonts w:ascii="Arial Narrow" w:hAnsi="Arial Narrow"/>
                <w:color w:val="4F81BD" w:themeColor="accent1"/>
              </w:rPr>
            </w:pPr>
            <w:r w:rsidRPr="00732DA6">
              <w:rPr>
                <w:rFonts w:ascii="Arial Narrow" w:hAnsi="Arial Narrow"/>
              </w:rPr>
              <w:t>-0.23</w:t>
            </w:r>
          </w:p>
        </w:tc>
        <w:tc>
          <w:tcPr>
            <w:tcW w:w="567" w:type="dxa"/>
            <w:shd w:val="clear" w:color="auto" w:fill="auto"/>
            <w:noWrap/>
            <w:tcMar>
              <w:left w:w="57" w:type="dxa"/>
              <w:right w:w="57" w:type="dxa"/>
            </w:tcMar>
            <w:vAlign w:val="center"/>
            <w:hideMark/>
          </w:tcPr>
          <w:p w14:paraId="4ABACE2D" w14:textId="77777777" w:rsidR="007527BF" w:rsidRPr="002422A8" w:rsidRDefault="007527BF" w:rsidP="00244FAE">
            <w:pPr>
              <w:rPr>
                <w:rFonts w:ascii="Arial Narrow" w:hAnsi="Arial Narrow"/>
                <w:color w:val="4F81BD" w:themeColor="accent1"/>
              </w:rPr>
            </w:pPr>
            <w:r w:rsidRPr="00732DA6">
              <w:rPr>
                <w:rFonts w:ascii="Arial Narrow" w:hAnsi="Arial Narrow"/>
              </w:rPr>
              <w:t>0.20</w:t>
            </w:r>
          </w:p>
        </w:tc>
        <w:tc>
          <w:tcPr>
            <w:tcW w:w="567" w:type="dxa"/>
            <w:noWrap/>
            <w:tcMar>
              <w:left w:w="57" w:type="dxa"/>
              <w:right w:w="57" w:type="dxa"/>
            </w:tcMar>
            <w:vAlign w:val="center"/>
            <w:hideMark/>
          </w:tcPr>
          <w:p w14:paraId="7B8472FB" w14:textId="77777777" w:rsidR="007527BF" w:rsidRPr="002422A8" w:rsidRDefault="007527BF" w:rsidP="00244FAE">
            <w:pPr>
              <w:rPr>
                <w:rFonts w:ascii="Arial Narrow" w:hAnsi="Arial Narrow"/>
                <w:color w:val="4F81BD" w:themeColor="accent1"/>
              </w:rPr>
            </w:pPr>
            <w:r w:rsidRPr="00732DA6">
              <w:rPr>
                <w:rFonts w:ascii="Arial Narrow" w:hAnsi="Arial Narrow"/>
              </w:rPr>
              <w:t>-0.30</w:t>
            </w:r>
          </w:p>
        </w:tc>
        <w:tc>
          <w:tcPr>
            <w:tcW w:w="567" w:type="dxa"/>
            <w:noWrap/>
            <w:tcMar>
              <w:left w:w="57" w:type="dxa"/>
              <w:right w:w="57" w:type="dxa"/>
            </w:tcMar>
            <w:vAlign w:val="center"/>
            <w:hideMark/>
          </w:tcPr>
          <w:p w14:paraId="233BF0D6" w14:textId="77777777" w:rsidR="007527BF" w:rsidRPr="002422A8" w:rsidRDefault="007527BF" w:rsidP="00244FAE">
            <w:pPr>
              <w:rPr>
                <w:rFonts w:ascii="Arial Narrow" w:hAnsi="Arial Narrow"/>
                <w:color w:val="4F81BD" w:themeColor="accent1"/>
              </w:rPr>
            </w:pPr>
            <w:r w:rsidRPr="00732DA6">
              <w:rPr>
                <w:rFonts w:ascii="Arial Narrow" w:hAnsi="Arial Narrow"/>
              </w:rPr>
              <w:t>0.13</w:t>
            </w:r>
          </w:p>
        </w:tc>
        <w:tc>
          <w:tcPr>
            <w:tcW w:w="567" w:type="dxa"/>
            <w:shd w:val="clear" w:color="auto" w:fill="E5B8B7" w:themeFill="accent2" w:themeFillTint="66"/>
            <w:noWrap/>
            <w:tcMar>
              <w:left w:w="57" w:type="dxa"/>
              <w:right w:w="57" w:type="dxa"/>
            </w:tcMar>
            <w:vAlign w:val="center"/>
            <w:hideMark/>
          </w:tcPr>
          <w:p w14:paraId="4D92F9B7" w14:textId="77777777" w:rsidR="007527BF" w:rsidRPr="002422A8" w:rsidRDefault="007527BF" w:rsidP="00244FAE">
            <w:pPr>
              <w:rPr>
                <w:rFonts w:ascii="Arial Narrow" w:hAnsi="Arial Narrow"/>
                <w:color w:val="4F81BD" w:themeColor="accent1"/>
              </w:rPr>
            </w:pPr>
            <w:r w:rsidRPr="00732DA6">
              <w:rPr>
                <w:rFonts w:ascii="Arial Narrow" w:hAnsi="Arial Narrow"/>
              </w:rPr>
              <w:t>-0.78</w:t>
            </w:r>
          </w:p>
        </w:tc>
        <w:tc>
          <w:tcPr>
            <w:tcW w:w="562" w:type="dxa"/>
            <w:shd w:val="clear" w:color="auto" w:fill="E5B8B7" w:themeFill="accent2" w:themeFillTint="66"/>
            <w:noWrap/>
            <w:tcMar>
              <w:left w:w="57" w:type="dxa"/>
              <w:right w:w="57" w:type="dxa"/>
            </w:tcMar>
            <w:vAlign w:val="center"/>
            <w:hideMark/>
          </w:tcPr>
          <w:p w14:paraId="1A82AF42" w14:textId="77777777" w:rsidR="007527BF" w:rsidRPr="002422A8" w:rsidRDefault="007527BF" w:rsidP="00244FAE">
            <w:pPr>
              <w:rPr>
                <w:rFonts w:ascii="Arial Narrow" w:hAnsi="Arial Narrow"/>
                <w:color w:val="4F81BD" w:themeColor="accent1"/>
              </w:rPr>
            </w:pPr>
            <w:r w:rsidRPr="00732DA6">
              <w:rPr>
                <w:rFonts w:ascii="Arial Narrow" w:hAnsi="Arial Narrow"/>
              </w:rPr>
              <w:t>-0.12</w:t>
            </w:r>
          </w:p>
        </w:tc>
      </w:tr>
    </w:tbl>
    <w:p w14:paraId="2CAA91DD" w14:textId="77777777" w:rsidR="00D73026" w:rsidRPr="00F352E1" w:rsidRDefault="00D73026" w:rsidP="00D73026">
      <w:pPr>
        <w:rPr>
          <w:color w:val="4F81BD" w:themeColor="accent1"/>
          <w:lang w:val="en-US"/>
        </w:rPr>
      </w:pPr>
    </w:p>
    <w:p w14:paraId="26AA838F" w14:textId="77777777" w:rsidR="00FF6E56" w:rsidRPr="00F352E1" w:rsidRDefault="00FF6E56" w:rsidP="00FF6E56">
      <w:pPr>
        <w:rPr>
          <w:color w:val="4F81BD" w:themeColor="accent1"/>
          <w:lang w:val="en-US"/>
        </w:rPr>
      </w:pPr>
      <w:r w:rsidRPr="00F352E1">
        <w:rPr>
          <w:noProof/>
          <w:color w:val="4F81BD" w:themeColor="accent1"/>
          <w:lang w:val="en-AU" w:eastAsia="en-AU"/>
        </w:rPr>
        <w:drawing>
          <wp:inline distT="0" distB="0" distL="0" distR="0" wp14:anchorId="1261712E" wp14:editId="4E9B8A0E">
            <wp:extent cx="6120553" cy="4590415"/>
            <wp:effectExtent l="0" t="0" r="0" b="635"/>
            <wp:docPr id="236" name="Picture 236" descr="A series of box plots that present the distribution of index and metric scores for each region. where distributions are significantly different this is indicated. these differences are described in the main text." title="Distribution of scores for the index and metrics within each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regional scores box.pn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120553" cy="4590415"/>
                    </a:xfrm>
                    <a:prstGeom prst="rect">
                      <a:avLst/>
                    </a:prstGeom>
                  </pic:spPr>
                </pic:pic>
              </a:graphicData>
            </a:graphic>
          </wp:inline>
        </w:drawing>
      </w:r>
    </w:p>
    <w:p w14:paraId="7685C83B" w14:textId="77777777" w:rsidR="00FF6E56" w:rsidRPr="00626D6B" w:rsidRDefault="00D73026" w:rsidP="00606A50">
      <w:pPr>
        <w:pStyle w:val="Caption"/>
        <w:rPr>
          <w:rStyle w:val="IntenseReference"/>
          <w:rFonts w:eastAsia="SimSun"/>
        </w:rPr>
      </w:pPr>
      <w:bookmarkStart w:id="123" w:name="_Ref491161063"/>
      <w:bookmarkStart w:id="124" w:name="_Toc514335653"/>
      <w:r w:rsidRPr="00626D6B">
        <w:t xml:space="preserve">Figure </w:t>
      </w:r>
      <w:r w:rsidR="00FE19A9" w:rsidRPr="00626D6B">
        <w:fldChar w:fldCharType="begin"/>
      </w:r>
      <w:r w:rsidR="00FE19A9" w:rsidRPr="004252BF">
        <w:instrText xml:space="preserve"> SEQ Figure \* ARABIC </w:instrText>
      </w:r>
      <w:r w:rsidR="00FE19A9" w:rsidRPr="00626D6B">
        <w:fldChar w:fldCharType="separate"/>
      </w:r>
      <w:r w:rsidR="00A75175">
        <w:rPr>
          <w:noProof/>
        </w:rPr>
        <w:t>8</w:t>
      </w:r>
      <w:r w:rsidR="00FE19A9" w:rsidRPr="00626D6B">
        <w:fldChar w:fldCharType="end"/>
      </w:r>
      <w:bookmarkEnd w:id="123"/>
      <w:r w:rsidRPr="004252BF">
        <w:t xml:space="preserve"> Regional distributions of index and metric scores</w:t>
      </w:r>
      <w:r w:rsidR="006B1BD4" w:rsidRPr="00626D6B">
        <w:t>.</w:t>
      </w:r>
      <w:r w:rsidR="006B1BD4" w:rsidRPr="00626D6B">
        <w:rPr>
          <w:rStyle w:val="IntenseReference"/>
          <w:rFonts w:eastAsia="SimSun"/>
        </w:rPr>
        <w:t xml:space="preserve"> Boxplots show the median (bold horizontal line)</w:t>
      </w:r>
      <w:r w:rsidR="002030AF" w:rsidRPr="00626D6B">
        <w:rPr>
          <w:rStyle w:val="IntenseReference"/>
          <w:rFonts w:eastAsia="SimSun"/>
        </w:rPr>
        <w:t xml:space="preserve"> 25th to 75th percentiles (box) and highest and lowest observations within 1.5 times the distance length of the box from the upper and lower box margins (vertical lines), observations beyond these values are represented as dots. For the composition score a bar chart represents the proportion of observations scored as improved (score = 1). Labels above bars or boxplot elements identify regions with statistically similar distributions.</w:t>
      </w:r>
      <w:bookmarkEnd w:id="124"/>
      <w:r w:rsidR="006B1BD4" w:rsidRPr="00626D6B">
        <w:rPr>
          <w:rStyle w:val="IntenseReference"/>
          <w:rFonts w:eastAsia="SimSun"/>
        </w:rPr>
        <w:t xml:space="preserve"> </w:t>
      </w:r>
    </w:p>
    <w:p w14:paraId="055F83FC" w14:textId="77777777" w:rsidR="00BD49B5" w:rsidRPr="00F352E1" w:rsidRDefault="00BD49B5" w:rsidP="00247FC8">
      <w:pPr>
        <w:pStyle w:val="Heading3"/>
      </w:pPr>
      <w:bookmarkStart w:id="125" w:name="_Ref503361166"/>
      <w:bookmarkStart w:id="126" w:name="_Toc514408407"/>
      <w:r w:rsidRPr="00F352E1">
        <w:t>5.1.2 Effect of depth</w:t>
      </w:r>
      <w:bookmarkEnd w:id="125"/>
      <w:bookmarkEnd w:id="126"/>
    </w:p>
    <w:p w14:paraId="3C571A76" w14:textId="43020F1D" w:rsidR="00FF6E56" w:rsidRPr="00426920" w:rsidRDefault="0076699E" w:rsidP="00FF6E56">
      <w:pPr>
        <w:rPr>
          <w:szCs w:val="22"/>
        </w:rPr>
      </w:pPr>
      <w:r w:rsidRPr="00426920">
        <w:rPr>
          <w:szCs w:val="22"/>
        </w:rPr>
        <w:t>I</w:t>
      </w:r>
      <w:r w:rsidR="00FF6E56" w:rsidRPr="00426920">
        <w:rPr>
          <w:szCs w:val="22"/>
        </w:rPr>
        <w:t xml:space="preserve">ndex scores </w:t>
      </w:r>
      <w:r w:rsidRPr="00426920">
        <w:rPr>
          <w:szCs w:val="22"/>
        </w:rPr>
        <w:t>observed in 201</w:t>
      </w:r>
      <w:r w:rsidR="003E216D" w:rsidRPr="00426920">
        <w:rPr>
          <w:szCs w:val="22"/>
        </w:rPr>
        <w:t>7</w:t>
      </w:r>
      <w:r w:rsidRPr="00426920">
        <w:rPr>
          <w:szCs w:val="22"/>
        </w:rPr>
        <w:t xml:space="preserve"> did not differ consistently </w:t>
      </w:r>
      <w:r w:rsidR="00FF6E56" w:rsidRPr="00426920">
        <w:rPr>
          <w:szCs w:val="22"/>
        </w:rPr>
        <w:t>between 2 m and 5 m depths (</w:t>
      </w:r>
      <w:r w:rsidR="006B4B65" w:rsidRPr="00426920">
        <w:rPr>
          <w:szCs w:val="22"/>
        </w:rPr>
        <w:fldChar w:fldCharType="begin"/>
      </w:r>
      <w:r w:rsidR="006B4B65" w:rsidRPr="00426920">
        <w:rPr>
          <w:szCs w:val="22"/>
        </w:rPr>
        <w:instrText xml:space="preserve"> REF _Ref491162911 \h </w:instrText>
      </w:r>
      <w:r w:rsidR="006B4B65" w:rsidRPr="00426920">
        <w:rPr>
          <w:szCs w:val="22"/>
        </w:rPr>
      </w:r>
      <w:r w:rsidR="006B4B65" w:rsidRPr="00426920">
        <w:rPr>
          <w:szCs w:val="22"/>
        </w:rPr>
        <w:fldChar w:fldCharType="separate"/>
      </w:r>
      <w:r w:rsidR="00A75175" w:rsidRPr="00F352E1">
        <w:t xml:space="preserve">Table </w:t>
      </w:r>
      <w:r w:rsidR="00A75175">
        <w:rPr>
          <w:noProof/>
        </w:rPr>
        <w:t>8</w:t>
      </w:r>
      <w:r w:rsidR="006B4B65" w:rsidRPr="00426920">
        <w:rPr>
          <w:szCs w:val="22"/>
        </w:rPr>
        <w:fldChar w:fldCharType="end"/>
      </w:r>
      <w:r w:rsidR="00FF6E56" w:rsidRPr="00426920">
        <w:rPr>
          <w:szCs w:val="22"/>
        </w:rPr>
        <w:t xml:space="preserve">). </w:t>
      </w:r>
      <w:r w:rsidRPr="00426920">
        <w:rPr>
          <w:szCs w:val="22"/>
        </w:rPr>
        <w:t xml:space="preserve">Of the individual indicator metrics the </w:t>
      </w:r>
      <w:r w:rsidR="003E216D" w:rsidRPr="00426920">
        <w:rPr>
          <w:szCs w:val="22"/>
        </w:rPr>
        <w:t xml:space="preserve">Juvenile </w:t>
      </w:r>
      <w:r w:rsidRPr="00426920">
        <w:rPr>
          <w:szCs w:val="22"/>
        </w:rPr>
        <w:t xml:space="preserve">scores </w:t>
      </w:r>
      <w:r w:rsidR="00AB46C5" w:rsidRPr="00426920">
        <w:rPr>
          <w:szCs w:val="22"/>
        </w:rPr>
        <w:t xml:space="preserve">were higher at 2 m than at 5m </w:t>
      </w:r>
      <w:r w:rsidRPr="00426920">
        <w:rPr>
          <w:szCs w:val="22"/>
        </w:rPr>
        <w:t xml:space="preserve">in </w:t>
      </w:r>
      <w:r w:rsidR="00AB46C5">
        <w:rPr>
          <w:szCs w:val="22"/>
        </w:rPr>
        <w:t xml:space="preserve">both </w:t>
      </w:r>
      <w:r w:rsidRPr="00426920">
        <w:rPr>
          <w:szCs w:val="22"/>
        </w:rPr>
        <w:t xml:space="preserve">the </w:t>
      </w:r>
      <w:r w:rsidR="007A7535" w:rsidRPr="00426920">
        <w:rPr>
          <w:szCs w:val="22"/>
        </w:rPr>
        <w:t xml:space="preserve">Wet Tropics and Burdekin regions </w:t>
      </w:r>
      <w:r w:rsidR="00FF6E56" w:rsidRPr="00426920">
        <w:rPr>
          <w:szCs w:val="22"/>
        </w:rPr>
        <w:t>(</w:t>
      </w:r>
      <w:r w:rsidR="0024084A">
        <w:rPr>
          <w:szCs w:val="22"/>
        </w:rPr>
        <w:fldChar w:fldCharType="begin"/>
      </w:r>
      <w:r w:rsidR="0024084A">
        <w:rPr>
          <w:szCs w:val="22"/>
        </w:rPr>
        <w:instrText xml:space="preserve"> REF _Ref491162911 \h </w:instrText>
      </w:r>
      <w:r w:rsidR="0024084A">
        <w:rPr>
          <w:szCs w:val="22"/>
        </w:rPr>
      </w:r>
      <w:r w:rsidR="0024084A">
        <w:rPr>
          <w:szCs w:val="22"/>
        </w:rPr>
        <w:fldChar w:fldCharType="separate"/>
      </w:r>
      <w:r w:rsidR="00A75175" w:rsidRPr="00F352E1">
        <w:t xml:space="preserve">Table </w:t>
      </w:r>
      <w:r w:rsidR="00A75175">
        <w:rPr>
          <w:noProof/>
        </w:rPr>
        <w:t>8</w:t>
      </w:r>
      <w:r w:rsidR="0024084A">
        <w:rPr>
          <w:szCs w:val="22"/>
        </w:rPr>
        <w:fldChar w:fldCharType="end"/>
      </w:r>
      <w:r w:rsidR="00FF6E56" w:rsidRPr="00426920">
        <w:rPr>
          <w:szCs w:val="22"/>
        </w:rPr>
        <w:t xml:space="preserve">). </w:t>
      </w:r>
    </w:p>
    <w:p w14:paraId="749EF861" w14:textId="77777777" w:rsidR="00FF6E56" w:rsidRPr="00426920" w:rsidRDefault="006B4B65" w:rsidP="00606A50">
      <w:pPr>
        <w:pStyle w:val="Caption"/>
        <w:rPr>
          <w:rStyle w:val="IntenseReference"/>
          <w:rFonts w:eastAsia="SimSun"/>
          <w:color w:val="auto"/>
        </w:rPr>
      </w:pPr>
      <w:bookmarkStart w:id="127" w:name="_Ref491162911"/>
      <w:bookmarkStart w:id="128" w:name="_Toc514407856"/>
      <w:r w:rsidRPr="00F352E1">
        <w:t xml:space="preserve">Table </w:t>
      </w:r>
      <w:r w:rsidR="00626D6B">
        <w:fldChar w:fldCharType="begin"/>
      </w:r>
      <w:r w:rsidR="00626D6B">
        <w:instrText xml:space="preserve"> SEQ Table \* ARABIC </w:instrText>
      </w:r>
      <w:r w:rsidR="00626D6B">
        <w:fldChar w:fldCharType="separate"/>
      </w:r>
      <w:r w:rsidR="00A75175">
        <w:rPr>
          <w:noProof/>
        </w:rPr>
        <w:t>8</w:t>
      </w:r>
      <w:r w:rsidR="00626D6B">
        <w:rPr>
          <w:noProof/>
        </w:rPr>
        <w:fldChar w:fldCharType="end"/>
      </w:r>
      <w:bookmarkEnd w:id="127"/>
      <w:r w:rsidRPr="00F352E1">
        <w:t xml:space="preserve"> Influence of depth on index and metric scores</w:t>
      </w:r>
      <w:r w:rsidR="0076699E" w:rsidRPr="00F352E1">
        <w:rPr>
          <w:lang w:val="en-US"/>
        </w:rPr>
        <w:t>.</w:t>
      </w:r>
      <w:r w:rsidR="00FF6E56" w:rsidRPr="00F352E1">
        <w:rPr>
          <w:lang w:val="en-US"/>
        </w:rPr>
        <w:t xml:space="preserve"> </w:t>
      </w:r>
      <w:r w:rsidR="00FF6E56" w:rsidRPr="00426920">
        <w:rPr>
          <w:rStyle w:val="IntenseReference"/>
          <w:rFonts w:eastAsia="SimSun"/>
          <w:color w:val="auto"/>
        </w:rPr>
        <w:t xml:space="preserve">Tabulated values represent the upper (u) and lower (l) 95% credible limits to the pair-wise comparison of scores between </w:t>
      </w:r>
      <w:r w:rsidR="00AA72A3" w:rsidRPr="00426920">
        <w:rPr>
          <w:rStyle w:val="IntenseReference"/>
          <w:rFonts w:eastAsia="SimSun"/>
          <w:color w:val="auto"/>
        </w:rPr>
        <w:t>2 m</w:t>
      </w:r>
      <w:r w:rsidR="00FF6E56" w:rsidRPr="00426920">
        <w:rPr>
          <w:rStyle w:val="IntenseReference"/>
          <w:rFonts w:eastAsia="SimSun"/>
          <w:color w:val="auto"/>
        </w:rPr>
        <w:t xml:space="preserve"> and </w:t>
      </w:r>
      <w:r w:rsidR="00AA72A3" w:rsidRPr="00426920">
        <w:rPr>
          <w:rStyle w:val="IntenseReference"/>
          <w:rFonts w:eastAsia="SimSun"/>
          <w:color w:val="auto"/>
        </w:rPr>
        <w:t>5 m</w:t>
      </w:r>
      <w:r w:rsidR="00FF6E56" w:rsidRPr="00426920">
        <w:rPr>
          <w:rStyle w:val="IntenseReference"/>
          <w:rFonts w:eastAsia="SimSun"/>
          <w:color w:val="auto"/>
        </w:rPr>
        <w:t xml:space="preserve"> depths within each region. Shading highlights where depth differences in scores were supported on the basis that the distribution of predicted differences excluded zero. Green shading indicates score</w:t>
      </w:r>
      <w:r w:rsidRPr="00426920">
        <w:rPr>
          <w:rStyle w:val="IntenseReference"/>
          <w:rFonts w:eastAsia="SimSun"/>
          <w:color w:val="auto"/>
        </w:rPr>
        <w:t>s</w:t>
      </w:r>
      <w:r w:rsidR="00FF6E56" w:rsidRPr="00426920">
        <w:rPr>
          <w:rStyle w:val="IntenseReference"/>
          <w:rFonts w:eastAsia="SimSun"/>
          <w:color w:val="auto"/>
        </w:rPr>
        <w:t xml:space="preserve"> were higher at </w:t>
      </w:r>
      <w:r w:rsidR="00AA72A3" w:rsidRPr="00426920">
        <w:rPr>
          <w:rStyle w:val="IntenseReference"/>
          <w:rFonts w:eastAsia="SimSun"/>
          <w:color w:val="auto"/>
        </w:rPr>
        <w:t>2 m</w:t>
      </w:r>
      <w:r w:rsidR="00FF6E56" w:rsidRPr="00426920">
        <w:rPr>
          <w:rStyle w:val="IntenseReference"/>
          <w:rFonts w:eastAsia="SimSun"/>
          <w:color w:val="auto"/>
        </w:rPr>
        <w:t xml:space="preserve"> depths, red shading indicates scores were higher at </w:t>
      </w:r>
      <w:r w:rsidR="00AA72A3" w:rsidRPr="00426920">
        <w:rPr>
          <w:rStyle w:val="IntenseReference"/>
          <w:rFonts w:eastAsia="SimSun"/>
          <w:color w:val="auto"/>
        </w:rPr>
        <w:t>5 m</w:t>
      </w:r>
      <w:r w:rsidR="00FF6E56" w:rsidRPr="00426920">
        <w:rPr>
          <w:rStyle w:val="IntenseReference"/>
          <w:rFonts w:eastAsia="SimSun"/>
          <w:color w:val="auto"/>
        </w:rPr>
        <w:t xml:space="preserve"> depth.</w:t>
      </w:r>
      <w:bookmarkEnd w:id="128"/>
    </w:p>
    <w:tbl>
      <w:tblPr>
        <w:tblStyle w:val="TableGrid"/>
        <w:tblW w:w="9209" w:type="dxa"/>
        <w:tblLayout w:type="fixed"/>
        <w:tblLook w:val="04A0" w:firstRow="1" w:lastRow="0" w:firstColumn="1" w:lastColumn="0" w:noHBand="0" w:noVBand="1"/>
        <w:tblCaption w:val="Results of comparison between scores for the index and metrics at 2m and 5m depths"/>
        <w:tblDescription w:val="Results of statistical comparisons between the scores for the index and metrics observed at 2 meter and 5 meter depths in each region. Significant results are described in the main text."/>
      </w:tblPr>
      <w:tblGrid>
        <w:gridCol w:w="1838"/>
        <w:gridCol w:w="614"/>
        <w:gridCol w:w="614"/>
        <w:gridCol w:w="614"/>
        <w:gridCol w:w="615"/>
        <w:gridCol w:w="614"/>
        <w:gridCol w:w="614"/>
        <w:gridCol w:w="614"/>
        <w:gridCol w:w="614"/>
        <w:gridCol w:w="612"/>
        <w:gridCol w:w="617"/>
        <w:gridCol w:w="612"/>
        <w:gridCol w:w="617"/>
      </w:tblGrid>
      <w:tr w:rsidR="007A7535" w:rsidRPr="003E216D" w14:paraId="3F932BC4" w14:textId="77777777" w:rsidTr="001E472C">
        <w:trPr>
          <w:trHeight w:val="449"/>
          <w:tblHeader/>
        </w:trPr>
        <w:tc>
          <w:tcPr>
            <w:tcW w:w="1838" w:type="dxa"/>
            <w:tcBorders>
              <w:bottom w:val="nil"/>
            </w:tcBorders>
            <w:noWrap/>
            <w:vAlign w:val="center"/>
            <w:hideMark/>
          </w:tcPr>
          <w:p w14:paraId="11ABA770" w14:textId="77777777" w:rsidR="007A7535" w:rsidRPr="00426920" w:rsidRDefault="007A7535" w:rsidP="00FE55D4">
            <w:pPr>
              <w:rPr>
                <w:rFonts w:ascii="Arial Narrow" w:hAnsi="Arial Narrow"/>
              </w:rPr>
            </w:pPr>
            <w:r w:rsidRPr="00426920">
              <w:rPr>
                <w:rFonts w:ascii="Arial Narrow" w:hAnsi="Arial Narrow"/>
              </w:rPr>
              <w:t>Regions</w:t>
            </w:r>
          </w:p>
        </w:tc>
        <w:tc>
          <w:tcPr>
            <w:tcW w:w="1228" w:type="dxa"/>
            <w:gridSpan w:val="2"/>
            <w:noWrap/>
            <w:vAlign w:val="center"/>
            <w:hideMark/>
          </w:tcPr>
          <w:p w14:paraId="01433375" w14:textId="77777777" w:rsidR="007A7535" w:rsidRPr="00426920" w:rsidRDefault="007A7535" w:rsidP="00426920">
            <w:pPr>
              <w:jc w:val="center"/>
              <w:rPr>
                <w:rFonts w:ascii="Arial Narrow" w:hAnsi="Arial Narrow"/>
              </w:rPr>
            </w:pPr>
            <w:r w:rsidRPr="00426920">
              <w:rPr>
                <w:rFonts w:ascii="Arial Narrow" w:hAnsi="Arial Narrow"/>
              </w:rPr>
              <w:t>Index</w:t>
            </w:r>
          </w:p>
        </w:tc>
        <w:tc>
          <w:tcPr>
            <w:tcW w:w="1229" w:type="dxa"/>
            <w:gridSpan w:val="2"/>
            <w:noWrap/>
            <w:vAlign w:val="center"/>
            <w:hideMark/>
          </w:tcPr>
          <w:p w14:paraId="0A19B2B9" w14:textId="19CF5A16" w:rsidR="007A7535" w:rsidRPr="00426920" w:rsidRDefault="007A7535" w:rsidP="009B6C07">
            <w:pPr>
              <w:jc w:val="center"/>
              <w:rPr>
                <w:rFonts w:ascii="Arial Narrow" w:hAnsi="Arial Narrow"/>
              </w:rPr>
            </w:pPr>
            <w:r w:rsidRPr="00426920">
              <w:rPr>
                <w:rFonts w:ascii="Arial Narrow" w:hAnsi="Arial Narrow"/>
              </w:rPr>
              <w:t xml:space="preserve">Coral </w:t>
            </w:r>
            <w:r w:rsidR="009B6C07">
              <w:rPr>
                <w:rFonts w:ascii="Arial Narrow" w:hAnsi="Arial Narrow"/>
              </w:rPr>
              <w:t>C</w:t>
            </w:r>
            <w:r w:rsidRPr="00426920">
              <w:rPr>
                <w:rFonts w:ascii="Arial Narrow" w:hAnsi="Arial Narrow"/>
              </w:rPr>
              <w:t>over</w:t>
            </w:r>
          </w:p>
        </w:tc>
        <w:tc>
          <w:tcPr>
            <w:tcW w:w="1228" w:type="dxa"/>
            <w:gridSpan w:val="2"/>
            <w:noWrap/>
            <w:vAlign w:val="center"/>
            <w:hideMark/>
          </w:tcPr>
          <w:p w14:paraId="16EA24EC" w14:textId="77777777" w:rsidR="007A7535" w:rsidRPr="00426920" w:rsidRDefault="007A7535" w:rsidP="00426920">
            <w:pPr>
              <w:jc w:val="center"/>
              <w:rPr>
                <w:rFonts w:ascii="Arial Narrow" w:hAnsi="Arial Narrow"/>
              </w:rPr>
            </w:pPr>
            <w:r w:rsidRPr="00426920">
              <w:rPr>
                <w:rFonts w:ascii="Arial Narrow" w:hAnsi="Arial Narrow"/>
              </w:rPr>
              <w:t>Macroalgae</w:t>
            </w:r>
          </w:p>
        </w:tc>
        <w:tc>
          <w:tcPr>
            <w:tcW w:w="1228" w:type="dxa"/>
            <w:gridSpan w:val="2"/>
            <w:noWrap/>
            <w:vAlign w:val="center"/>
            <w:hideMark/>
          </w:tcPr>
          <w:p w14:paraId="2F973C2D" w14:textId="77777777" w:rsidR="007A7535" w:rsidRPr="00426920" w:rsidRDefault="007A7535" w:rsidP="00426920">
            <w:pPr>
              <w:jc w:val="center"/>
              <w:rPr>
                <w:rFonts w:ascii="Arial Narrow" w:hAnsi="Arial Narrow"/>
              </w:rPr>
            </w:pPr>
            <w:r w:rsidRPr="00426920">
              <w:rPr>
                <w:rFonts w:ascii="Arial Narrow" w:hAnsi="Arial Narrow"/>
              </w:rPr>
              <w:t>Juvenile</w:t>
            </w:r>
          </w:p>
        </w:tc>
        <w:tc>
          <w:tcPr>
            <w:tcW w:w="1229" w:type="dxa"/>
            <w:gridSpan w:val="2"/>
          </w:tcPr>
          <w:p w14:paraId="57EC62A6" w14:textId="68BC9C4A" w:rsidR="007A7535" w:rsidRPr="007A7535" w:rsidRDefault="007A7535" w:rsidP="009B6C07">
            <w:pPr>
              <w:jc w:val="center"/>
              <w:rPr>
                <w:rFonts w:ascii="Arial Narrow" w:hAnsi="Arial Narrow"/>
              </w:rPr>
            </w:pPr>
            <w:r w:rsidRPr="00243E94">
              <w:rPr>
                <w:rFonts w:ascii="Arial Narrow" w:hAnsi="Arial Narrow"/>
              </w:rPr>
              <w:t xml:space="preserve">Cover </w:t>
            </w:r>
            <w:r w:rsidR="009B6C07">
              <w:rPr>
                <w:rFonts w:ascii="Arial Narrow" w:hAnsi="Arial Narrow"/>
              </w:rPr>
              <w:t>C</w:t>
            </w:r>
            <w:r w:rsidRPr="00243E94">
              <w:rPr>
                <w:rFonts w:ascii="Arial Narrow" w:hAnsi="Arial Narrow"/>
              </w:rPr>
              <w:t>hange</w:t>
            </w:r>
          </w:p>
        </w:tc>
        <w:tc>
          <w:tcPr>
            <w:tcW w:w="1229" w:type="dxa"/>
            <w:gridSpan w:val="2"/>
            <w:vAlign w:val="center"/>
          </w:tcPr>
          <w:p w14:paraId="229169C3" w14:textId="77777777" w:rsidR="007A7535" w:rsidRPr="00426920" w:rsidRDefault="007A7535">
            <w:pPr>
              <w:jc w:val="center"/>
              <w:rPr>
                <w:rFonts w:ascii="Arial Narrow" w:hAnsi="Arial Narrow"/>
              </w:rPr>
            </w:pPr>
            <w:r w:rsidRPr="00426920">
              <w:rPr>
                <w:rFonts w:ascii="Arial Narrow" w:hAnsi="Arial Narrow"/>
              </w:rPr>
              <w:t>Composition</w:t>
            </w:r>
          </w:p>
        </w:tc>
      </w:tr>
      <w:tr w:rsidR="007A7535" w:rsidRPr="003E216D" w14:paraId="22AEF526" w14:textId="77777777" w:rsidTr="001E472C">
        <w:trPr>
          <w:trHeight w:val="143"/>
          <w:tblHeader/>
        </w:trPr>
        <w:tc>
          <w:tcPr>
            <w:tcW w:w="1838" w:type="dxa"/>
            <w:tcBorders>
              <w:top w:val="nil"/>
            </w:tcBorders>
            <w:noWrap/>
            <w:hideMark/>
          </w:tcPr>
          <w:p w14:paraId="0C02D473" w14:textId="77777777" w:rsidR="007A7535" w:rsidRPr="00426920" w:rsidRDefault="007A7535" w:rsidP="007A7535">
            <w:pPr>
              <w:rPr>
                <w:rFonts w:ascii="Arial Narrow" w:hAnsi="Arial Narrow"/>
              </w:rPr>
            </w:pPr>
          </w:p>
        </w:tc>
        <w:tc>
          <w:tcPr>
            <w:tcW w:w="614" w:type="dxa"/>
            <w:noWrap/>
            <w:hideMark/>
          </w:tcPr>
          <w:p w14:paraId="639CF5E0" w14:textId="77777777" w:rsidR="007A7535" w:rsidRPr="00426920" w:rsidRDefault="007A7535" w:rsidP="007A7535">
            <w:pPr>
              <w:rPr>
                <w:rFonts w:ascii="Arial Narrow" w:hAnsi="Arial Narrow"/>
              </w:rPr>
            </w:pPr>
            <w:r w:rsidRPr="00426920">
              <w:rPr>
                <w:rFonts w:ascii="Arial Narrow" w:hAnsi="Arial Narrow"/>
              </w:rPr>
              <w:t>l</w:t>
            </w:r>
          </w:p>
        </w:tc>
        <w:tc>
          <w:tcPr>
            <w:tcW w:w="614" w:type="dxa"/>
            <w:noWrap/>
            <w:hideMark/>
          </w:tcPr>
          <w:p w14:paraId="179171C3" w14:textId="77777777" w:rsidR="007A7535" w:rsidRPr="00426920" w:rsidRDefault="007A7535" w:rsidP="007A7535">
            <w:pPr>
              <w:rPr>
                <w:rFonts w:ascii="Arial Narrow" w:hAnsi="Arial Narrow"/>
              </w:rPr>
            </w:pPr>
            <w:r w:rsidRPr="00426920">
              <w:rPr>
                <w:rFonts w:ascii="Arial Narrow" w:hAnsi="Arial Narrow"/>
              </w:rPr>
              <w:t>u</w:t>
            </w:r>
          </w:p>
        </w:tc>
        <w:tc>
          <w:tcPr>
            <w:tcW w:w="614" w:type="dxa"/>
            <w:noWrap/>
            <w:hideMark/>
          </w:tcPr>
          <w:p w14:paraId="41C60215" w14:textId="77777777" w:rsidR="007A7535" w:rsidRPr="00426920" w:rsidRDefault="007A7535" w:rsidP="007A7535">
            <w:pPr>
              <w:rPr>
                <w:rFonts w:ascii="Arial Narrow" w:hAnsi="Arial Narrow"/>
              </w:rPr>
            </w:pPr>
            <w:r w:rsidRPr="00426920">
              <w:rPr>
                <w:rFonts w:ascii="Arial Narrow" w:hAnsi="Arial Narrow"/>
              </w:rPr>
              <w:t>l</w:t>
            </w:r>
          </w:p>
        </w:tc>
        <w:tc>
          <w:tcPr>
            <w:tcW w:w="615" w:type="dxa"/>
            <w:noWrap/>
            <w:hideMark/>
          </w:tcPr>
          <w:p w14:paraId="644ABAF7" w14:textId="77777777" w:rsidR="007A7535" w:rsidRPr="00426920" w:rsidRDefault="007A7535" w:rsidP="007A7535">
            <w:pPr>
              <w:rPr>
                <w:rFonts w:ascii="Arial Narrow" w:hAnsi="Arial Narrow"/>
              </w:rPr>
            </w:pPr>
            <w:r w:rsidRPr="00426920">
              <w:rPr>
                <w:rFonts w:ascii="Arial Narrow" w:hAnsi="Arial Narrow"/>
              </w:rPr>
              <w:t>u</w:t>
            </w:r>
          </w:p>
        </w:tc>
        <w:tc>
          <w:tcPr>
            <w:tcW w:w="614" w:type="dxa"/>
            <w:noWrap/>
            <w:hideMark/>
          </w:tcPr>
          <w:p w14:paraId="21F37FAE" w14:textId="77777777" w:rsidR="007A7535" w:rsidRPr="00426920" w:rsidRDefault="007A7535" w:rsidP="007A7535">
            <w:pPr>
              <w:rPr>
                <w:rFonts w:ascii="Arial Narrow" w:hAnsi="Arial Narrow"/>
              </w:rPr>
            </w:pPr>
            <w:r w:rsidRPr="00426920">
              <w:rPr>
                <w:rFonts w:ascii="Arial Narrow" w:hAnsi="Arial Narrow"/>
              </w:rPr>
              <w:t>l</w:t>
            </w:r>
          </w:p>
        </w:tc>
        <w:tc>
          <w:tcPr>
            <w:tcW w:w="614" w:type="dxa"/>
            <w:noWrap/>
            <w:hideMark/>
          </w:tcPr>
          <w:p w14:paraId="157609E9" w14:textId="77777777" w:rsidR="007A7535" w:rsidRPr="00426920" w:rsidRDefault="007A7535" w:rsidP="007A7535">
            <w:pPr>
              <w:rPr>
                <w:rFonts w:ascii="Arial Narrow" w:hAnsi="Arial Narrow"/>
              </w:rPr>
            </w:pPr>
            <w:r w:rsidRPr="00426920">
              <w:rPr>
                <w:rFonts w:ascii="Arial Narrow" w:hAnsi="Arial Narrow"/>
              </w:rPr>
              <w:t>u</w:t>
            </w:r>
          </w:p>
        </w:tc>
        <w:tc>
          <w:tcPr>
            <w:tcW w:w="614" w:type="dxa"/>
            <w:noWrap/>
            <w:hideMark/>
          </w:tcPr>
          <w:p w14:paraId="6C66DEFF" w14:textId="77777777" w:rsidR="007A7535" w:rsidRPr="00426920" w:rsidRDefault="007A7535" w:rsidP="007A7535">
            <w:pPr>
              <w:rPr>
                <w:rFonts w:ascii="Arial Narrow" w:hAnsi="Arial Narrow"/>
              </w:rPr>
            </w:pPr>
            <w:r w:rsidRPr="00426920">
              <w:rPr>
                <w:rFonts w:ascii="Arial Narrow" w:hAnsi="Arial Narrow"/>
              </w:rPr>
              <w:t>l</w:t>
            </w:r>
          </w:p>
        </w:tc>
        <w:tc>
          <w:tcPr>
            <w:tcW w:w="614" w:type="dxa"/>
            <w:noWrap/>
            <w:hideMark/>
          </w:tcPr>
          <w:p w14:paraId="4185D50C" w14:textId="77777777" w:rsidR="007A7535" w:rsidRPr="00426920" w:rsidRDefault="007A7535" w:rsidP="007A7535">
            <w:pPr>
              <w:rPr>
                <w:rFonts w:ascii="Arial Narrow" w:hAnsi="Arial Narrow"/>
              </w:rPr>
            </w:pPr>
            <w:r w:rsidRPr="00426920">
              <w:rPr>
                <w:rFonts w:ascii="Arial Narrow" w:hAnsi="Arial Narrow"/>
              </w:rPr>
              <w:t>u</w:t>
            </w:r>
          </w:p>
        </w:tc>
        <w:tc>
          <w:tcPr>
            <w:tcW w:w="612" w:type="dxa"/>
          </w:tcPr>
          <w:p w14:paraId="464B034D" w14:textId="77777777" w:rsidR="007A7535" w:rsidRPr="007A7535" w:rsidRDefault="007A7535" w:rsidP="007A7535">
            <w:pPr>
              <w:rPr>
                <w:rFonts w:ascii="Arial Narrow" w:hAnsi="Arial Narrow"/>
              </w:rPr>
            </w:pPr>
            <w:r w:rsidRPr="00645B80">
              <w:t>l</w:t>
            </w:r>
          </w:p>
        </w:tc>
        <w:tc>
          <w:tcPr>
            <w:tcW w:w="617" w:type="dxa"/>
          </w:tcPr>
          <w:p w14:paraId="46CA87ED" w14:textId="77777777" w:rsidR="007A7535" w:rsidRPr="007A7535" w:rsidRDefault="007A7535" w:rsidP="007A7535">
            <w:pPr>
              <w:rPr>
                <w:rFonts w:ascii="Arial Narrow" w:hAnsi="Arial Narrow"/>
              </w:rPr>
            </w:pPr>
            <w:r w:rsidRPr="00645B80">
              <w:t>u</w:t>
            </w:r>
          </w:p>
        </w:tc>
        <w:tc>
          <w:tcPr>
            <w:tcW w:w="612" w:type="dxa"/>
          </w:tcPr>
          <w:p w14:paraId="62CD589A" w14:textId="77777777" w:rsidR="007A7535" w:rsidRPr="00426920" w:rsidRDefault="007A7535" w:rsidP="007A7535">
            <w:pPr>
              <w:rPr>
                <w:rFonts w:ascii="Arial Narrow" w:hAnsi="Arial Narrow"/>
              </w:rPr>
            </w:pPr>
            <w:r w:rsidRPr="00426920">
              <w:rPr>
                <w:rFonts w:ascii="Arial Narrow" w:hAnsi="Arial Narrow"/>
              </w:rPr>
              <w:t>l</w:t>
            </w:r>
          </w:p>
        </w:tc>
        <w:tc>
          <w:tcPr>
            <w:tcW w:w="617" w:type="dxa"/>
          </w:tcPr>
          <w:p w14:paraId="7ACCED0D" w14:textId="77777777" w:rsidR="007A7535" w:rsidRPr="00426920" w:rsidRDefault="007A7535" w:rsidP="007A7535">
            <w:pPr>
              <w:rPr>
                <w:rFonts w:ascii="Arial Narrow" w:hAnsi="Arial Narrow"/>
              </w:rPr>
            </w:pPr>
            <w:r w:rsidRPr="00426920">
              <w:rPr>
                <w:rFonts w:ascii="Arial Narrow" w:hAnsi="Arial Narrow"/>
              </w:rPr>
              <w:t>u</w:t>
            </w:r>
          </w:p>
        </w:tc>
      </w:tr>
      <w:tr w:rsidR="007A7535" w:rsidRPr="003E216D" w14:paraId="02E64572" w14:textId="77777777" w:rsidTr="001E472C">
        <w:trPr>
          <w:trHeight w:val="340"/>
          <w:tblHeader/>
        </w:trPr>
        <w:tc>
          <w:tcPr>
            <w:tcW w:w="1838" w:type="dxa"/>
            <w:noWrap/>
            <w:tcMar>
              <w:left w:w="57" w:type="dxa"/>
              <w:right w:w="57" w:type="dxa"/>
            </w:tcMar>
            <w:hideMark/>
          </w:tcPr>
          <w:p w14:paraId="2CFF7C29" w14:textId="77777777" w:rsidR="007A7535" w:rsidRPr="00426920" w:rsidRDefault="007A7535" w:rsidP="007A7535">
            <w:pPr>
              <w:jc w:val="left"/>
              <w:rPr>
                <w:rFonts w:ascii="Arial Narrow" w:hAnsi="Arial Narrow"/>
              </w:rPr>
            </w:pPr>
            <w:r w:rsidRPr="00426920">
              <w:rPr>
                <w:rFonts w:ascii="Arial Narrow" w:hAnsi="Arial Narrow"/>
              </w:rPr>
              <w:t xml:space="preserve">Wet Tropics </w:t>
            </w:r>
          </w:p>
        </w:tc>
        <w:tc>
          <w:tcPr>
            <w:tcW w:w="614" w:type="dxa"/>
            <w:shd w:val="clear" w:color="auto" w:fill="auto"/>
            <w:noWrap/>
            <w:tcMar>
              <w:left w:w="57" w:type="dxa"/>
              <w:right w:w="57" w:type="dxa"/>
            </w:tcMar>
            <w:hideMark/>
          </w:tcPr>
          <w:p w14:paraId="604B0410" w14:textId="77777777" w:rsidR="007A7535" w:rsidRPr="00426920" w:rsidRDefault="007A7535" w:rsidP="007A7535">
            <w:pPr>
              <w:rPr>
                <w:rFonts w:ascii="Arial Narrow" w:hAnsi="Arial Narrow"/>
              </w:rPr>
            </w:pPr>
            <w:r w:rsidRPr="00426920">
              <w:rPr>
                <w:rFonts w:ascii="Arial Narrow" w:hAnsi="Arial Narrow"/>
              </w:rPr>
              <w:t>-0.04</w:t>
            </w:r>
          </w:p>
        </w:tc>
        <w:tc>
          <w:tcPr>
            <w:tcW w:w="614" w:type="dxa"/>
            <w:shd w:val="clear" w:color="auto" w:fill="auto"/>
            <w:noWrap/>
            <w:tcMar>
              <w:left w:w="57" w:type="dxa"/>
              <w:right w:w="57" w:type="dxa"/>
            </w:tcMar>
            <w:hideMark/>
          </w:tcPr>
          <w:p w14:paraId="38E7CB7B" w14:textId="77777777" w:rsidR="007A7535" w:rsidRPr="00426920" w:rsidRDefault="007A7535" w:rsidP="007A7535">
            <w:pPr>
              <w:rPr>
                <w:rFonts w:ascii="Arial Narrow" w:hAnsi="Arial Narrow"/>
              </w:rPr>
            </w:pPr>
            <w:r w:rsidRPr="00426920">
              <w:rPr>
                <w:rFonts w:ascii="Arial Narrow" w:hAnsi="Arial Narrow"/>
              </w:rPr>
              <w:t>0.15</w:t>
            </w:r>
          </w:p>
        </w:tc>
        <w:tc>
          <w:tcPr>
            <w:tcW w:w="614" w:type="dxa"/>
            <w:shd w:val="clear" w:color="auto" w:fill="auto"/>
            <w:noWrap/>
            <w:tcMar>
              <w:left w:w="57" w:type="dxa"/>
              <w:right w:w="57" w:type="dxa"/>
            </w:tcMar>
            <w:hideMark/>
          </w:tcPr>
          <w:p w14:paraId="2F75F637" w14:textId="77777777" w:rsidR="007A7535" w:rsidRPr="00426920" w:rsidRDefault="007A7535" w:rsidP="007A7535">
            <w:pPr>
              <w:rPr>
                <w:rFonts w:ascii="Arial Narrow" w:hAnsi="Arial Narrow"/>
              </w:rPr>
            </w:pPr>
            <w:r w:rsidRPr="00426920">
              <w:rPr>
                <w:rFonts w:ascii="Arial Narrow" w:hAnsi="Arial Narrow"/>
              </w:rPr>
              <w:t>-0.07</w:t>
            </w:r>
          </w:p>
        </w:tc>
        <w:tc>
          <w:tcPr>
            <w:tcW w:w="615" w:type="dxa"/>
            <w:shd w:val="clear" w:color="auto" w:fill="auto"/>
            <w:noWrap/>
            <w:tcMar>
              <w:left w:w="57" w:type="dxa"/>
              <w:right w:w="57" w:type="dxa"/>
            </w:tcMar>
            <w:hideMark/>
          </w:tcPr>
          <w:p w14:paraId="5B736F39" w14:textId="77777777" w:rsidR="007A7535" w:rsidRPr="00426920" w:rsidRDefault="007A7535" w:rsidP="007A7535">
            <w:pPr>
              <w:rPr>
                <w:rFonts w:ascii="Arial Narrow" w:hAnsi="Arial Narrow"/>
              </w:rPr>
            </w:pPr>
            <w:r w:rsidRPr="00426920">
              <w:rPr>
                <w:rFonts w:ascii="Arial Narrow" w:hAnsi="Arial Narrow"/>
              </w:rPr>
              <w:t>0.15</w:t>
            </w:r>
          </w:p>
        </w:tc>
        <w:tc>
          <w:tcPr>
            <w:tcW w:w="614" w:type="dxa"/>
            <w:shd w:val="clear" w:color="auto" w:fill="auto"/>
            <w:noWrap/>
            <w:tcMar>
              <w:left w:w="57" w:type="dxa"/>
              <w:right w:w="57" w:type="dxa"/>
            </w:tcMar>
            <w:hideMark/>
          </w:tcPr>
          <w:p w14:paraId="767ED657" w14:textId="77777777" w:rsidR="007A7535" w:rsidRPr="00426920" w:rsidRDefault="007A7535" w:rsidP="007A7535">
            <w:pPr>
              <w:rPr>
                <w:rFonts w:ascii="Arial Narrow" w:hAnsi="Arial Narrow"/>
              </w:rPr>
            </w:pPr>
            <w:r w:rsidRPr="00426920">
              <w:rPr>
                <w:rFonts w:ascii="Arial Narrow" w:hAnsi="Arial Narrow"/>
              </w:rPr>
              <w:t>-0.21</w:t>
            </w:r>
          </w:p>
        </w:tc>
        <w:tc>
          <w:tcPr>
            <w:tcW w:w="614" w:type="dxa"/>
            <w:shd w:val="clear" w:color="auto" w:fill="auto"/>
            <w:noWrap/>
            <w:tcMar>
              <w:left w:w="57" w:type="dxa"/>
              <w:right w:w="57" w:type="dxa"/>
            </w:tcMar>
            <w:hideMark/>
          </w:tcPr>
          <w:p w14:paraId="7AF1B260" w14:textId="77777777" w:rsidR="007A7535" w:rsidRPr="00426920" w:rsidRDefault="007A7535" w:rsidP="007A7535">
            <w:pPr>
              <w:rPr>
                <w:rFonts w:ascii="Arial Narrow" w:hAnsi="Arial Narrow"/>
              </w:rPr>
            </w:pPr>
            <w:r w:rsidRPr="00426920">
              <w:rPr>
                <w:rFonts w:ascii="Arial Narrow" w:hAnsi="Arial Narrow"/>
              </w:rPr>
              <w:t>0.29</w:t>
            </w:r>
          </w:p>
        </w:tc>
        <w:tc>
          <w:tcPr>
            <w:tcW w:w="614" w:type="dxa"/>
            <w:shd w:val="clear" w:color="auto" w:fill="C2D69B" w:themeFill="accent3" w:themeFillTint="99"/>
            <w:noWrap/>
            <w:tcMar>
              <w:left w:w="57" w:type="dxa"/>
              <w:right w:w="57" w:type="dxa"/>
            </w:tcMar>
            <w:hideMark/>
          </w:tcPr>
          <w:p w14:paraId="255506EF" w14:textId="77777777" w:rsidR="007A7535" w:rsidRPr="00426920" w:rsidRDefault="007A7535" w:rsidP="007A7535">
            <w:pPr>
              <w:rPr>
                <w:rFonts w:ascii="Arial Narrow" w:hAnsi="Arial Narrow"/>
              </w:rPr>
            </w:pPr>
            <w:r w:rsidRPr="00426920">
              <w:rPr>
                <w:rFonts w:ascii="Arial Narrow" w:hAnsi="Arial Narrow"/>
              </w:rPr>
              <w:t>0.03</w:t>
            </w:r>
          </w:p>
        </w:tc>
        <w:tc>
          <w:tcPr>
            <w:tcW w:w="614" w:type="dxa"/>
            <w:shd w:val="clear" w:color="auto" w:fill="C2D69B" w:themeFill="accent3" w:themeFillTint="99"/>
            <w:noWrap/>
            <w:tcMar>
              <w:left w:w="57" w:type="dxa"/>
              <w:right w:w="57" w:type="dxa"/>
            </w:tcMar>
            <w:hideMark/>
          </w:tcPr>
          <w:p w14:paraId="49F7D49E" w14:textId="77777777" w:rsidR="007A7535" w:rsidRPr="00426920" w:rsidRDefault="007A7535" w:rsidP="007A7535">
            <w:pPr>
              <w:rPr>
                <w:rFonts w:ascii="Arial Narrow" w:hAnsi="Arial Narrow"/>
              </w:rPr>
            </w:pPr>
            <w:r w:rsidRPr="00426920">
              <w:rPr>
                <w:rFonts w:ascii="Arial Narrow" w:hAnsi="Arial Narrow"/>
              </w:rPr>
              <w:t>0.38</w:t>
            </w:r>
          </w:p>
        </w:tc>
        <w:tc>
          <w:tcPr>
            <w:tcW w:w="612" w:type="dxa"/>
            <w:shd w:val="clear" w:color="auto" w:fill="auto"/>
          </w:tcPr>
          <w:p w14:paraId="43A48A6A" w14:textId="77777777" w:rsidR="007A7535" w:rsidRPr="007A7535" w:rsidRDefault="007A7535" w:rsidP="007A7535">
            <w:pPr>
              <w:rPr>
                <w:rFonts w:ascii="Arial Narrow" w:hAnsi="Arial Narrow"/>
              </w:rPr>
            </w:pPr>
            <w:r w:rsidRPr="00D83D3F">
              <w:rPr>
                <w:rFonts w:ascii="Arial Narrow" w:hAnsi="Arial Narrow"/>
              </w:rPr>
              <w:t>-0.09</w:t>
            </w:r>
          </w:p>
        </w:tc>
        <w:tc>
          <w:tcPr>
            <w:tcW w:w="617" w:type="dxa"/>
            <w:shd w:val="clear" w:color="auto" w:fill="auto"/>
          </w:tcPr>
          <w:p w14:paraId="1A5ED642" w14:textId="77777777" w:rsidR="007A7535" w:rsidRPr="007A7535" w:rsidRDefault="007A7535" w:rsidP="007A7535">
            <w:pPr>
              <w:rPr>
                <w:rFonts w:ascii="Arial Narrow" w:hAnsi="Arial Narrow"/>
              </w:rPr>
            </w:pPr>
            <w:r w:rsidRPr="00D83D3F">
              <w:rPr>
                <w:rFonts w:ascii="Arial Narrow" w:hAnsi="Arial Narrow"/>
              </w:rPr>
              <w:t>0.24</w:t>
            </w:r>
          </w:p>
        </w:tc>
        <w:tc>
          <w:tcPr>
            <w:tcW w:w="612" w:type="dxa"/>
          </w:tcPr>
          <w:p w14:paraId="434E5BF9" w14:textId="77777777" w:rsidR="007A7535" w:rsidRPr="00426920" w:rsidRDefault="007A7535" w:rsidP="007A7535">
            <w:pPr>
              <w:rPr>
                <w:rFonts w:ascii="Arial Narrow" w:hAnsi="Arial Narrow"/>
              </w:rPr>
            </w:pPr>
          </w:p>
        </w:tc>
        <w:tc>
          <w:tcPr>
            <w:tcW w:w="617" w:type="dxa"/>
          </w:tcPr>
          <w:p w14:paraId="302B2990" w14:textId="77777777" w:rsidR="007A7535" w:rsidRPr="00426920" w:rsidRDefault="007A7535" w:rsidP="007A7535">
            <w:pPr>
              <w:rPr>
                <w:rFonts w:ascii="Arial Narrow" w:hAnsi="Arial Narrow"/>
              </w:rPr>
            </w:pPr>
          </w:p>
        </w:tc>
      </w:tr>
      <w:tr w:rsidR="007A7535" w:rsidRPr="003E216D" w14:paraId="52A71044" w14:textId="77777777" w:rsidTr="001E472C">
        <w:trPr>
          <w:trHeight w:val="340"/>
          <w:tblHeader/>
        </w:trPr>
        <w:tc>
          <w:tcPr>
            <w:tcW w:w="1838" w:type="dxa"/>
            <w:noWrap/>
            <w:tcMar>
              <w:left w:w="57" w:type="dxa"/>
              <w:right w:w="57" w:type="dxa"/>
            </w:tcMar>
            <w:hideMark/>
          </w:tcPr>
          <w:p w14:paraId="5702C881" w14:textId="77777777" w:rsidR="007A7535" w:rsidRPr="00426920" w:rsidRDefault="007A7535" w:rsidP="007A7535">
            <w:pPr>
              <w:jc w:val="left"/>
              <w:rPr>
                <w:rFonts w:ascii="Arial Narrow" w:hAnsi="Arial Narrow"/>
              </w:rPr>
            </w:pPr>
            <w:r w:rsidRPr="00426920">
              <w:rPr>
                <w:rFonts w:ascii="Arial Narrow" w:hAnsi="Arial Narrow"/>
              </w:rPr>
              <w:t>Burdekin</w:t>
            </w:r>
          </w:p>
        </w:tc>
        <w:tc>
          <w:tcPr>
            <w:tcW w:w="614" w:type="dxa"/>
            <w:shd w:val="clear" w:color="auto" w:fill="auto"/>
            <w:noWrap/>
            <w:tcMar>
              <w:left w:w="57" w:type="dxa"/>
              <w:right w:w="57" w:type="dxa"/>
            </w:tcMar>
            <w:hideMark/>
          </w:tcPr>
          <w:p w14:paraId="20D2EF82" w14:textId="77777777" w:rsidR="007A7535" w:rsidRPr="00426920" w:rsidRDefault="007A7535" w:rsidP="007A7535">
            <w:pPr>
              <w:rPr>
                <w:rFonts w:ascii="Arial Narrow" w:hAnsi="Arial Narrow"/>
              </w:rPr>
            </w:pPr>
            <w:r w:rsidRPr="00426920">
              <w:rPr>
                <w:rFonts w:ascii="Arial Narrow" w:hAnsi="Arial Narrow"/>
              </w:rPr>
              <w:t>-0.07</w:t>
            </w:r>
          </w:p>
        </w:tc>
        <w:tc>
          <w:tcPr>
            <w:tcW w:w="614" w:type="dxa"/>
            <w:shd w:val="clear" w:color="auto" w:fill="auto"/>
            <w:noWrap/>
            <w:tcMar>
              <w:left w:w="57" w:type="dxa"/>
              <w:right w:w="57" w:type="dxa"/>
            </w:tcMar>
            <w:hideMark/>
          </w:tcPr>
          <w:p w14:paraId="573B1542" w14:textId="77777777" w:rsidR="007A7535" w:rsidRPr="00426920" w:rsidRDefault="007A7535" w:rsidP="007A7535">
            <w:pPr>
              <w:rPr>
                <w:rFonts w:ascii="Arial Narrow" w:hAnsi="Arial Narrow"/>
              </w:rPr>
            </w:pPr>
            <w:r w:rsidRPr="00426920">
              <w:rPr>
                <w:rFonts w:ascii="Arial Narrow" w:hAnsi="Arial Narrow"/>
              </w:rPr>
              <w:t>0.20</w:t>
            </w:r>
          </w:p>
        </w:tc>
        <w:tc>
          <w:tcPr>
            <w:tcW w:w="614" w:type="dxa"/>
            <w:shd w:val="clear" w:color="auto" w:fill="auto"/>
            <w:noWrap/>
            <w:tcMar>
              <w:left w:w="57" w:type="dxa"/>
              <w:right w:w="57" w:type="dxa"/>
            </w:tcMar>
            <w:hideMark/>
          </w:tcPr>
          <w:p w14:paraId="10AB6650" w14:textId="77777777" w:rsidR="007A7535" w:rsidRPr="00426920" w:rsidRDefault="007A7535" w:rsidP="007A7535">
            <w:pPr>
              <w:rPr>
                <w:rFonts w:ascii="Arial Narrow" w:hAnsi="Arial Narrow"/>
              </w:rPr>
            </w:pPr>
            <w:r w:rsidRPr="00426920">
              <w:rPr>
                <w:rFonts w:ascii="Arial Narrow" w:hAnsi="Arial Narrow"/>
              </w:rPr>
              <w:t>-0.08</w:t>
            </w:r>
          </w:p>
        </w:tc>
        <w:tc>
          <w:tcPr>
            <w:tcW w:w="615" w:type="dxa"/>
            <w:shd w:val="clear" w:color="auto" w:fill="auto"/>
            <w:noWrap/>
            <w:tcMar>
              <w:left w:w="57" w:type="dxa"/>
              <w:right w:w="57" w:type="dxa"/>
            </w:tcMar>
            <w:hideMark/>
          </w:tcPr>
          <w:p w14:paraId="1A80BCAB" w14:textId="77777777" w:rsidR="007A7535" w:rsidRPr="00426920" w:rsidRDefault="007A7535" w:rsidP="007A7535">
            <w:pPr>
              <w:rPr>
                <w:rFonts w:ascii="Arial Narrow" w:hAnsi="Arial Narrow"/>
              </w:rPr>
            </w:pPr>
            <w:r w:rsidRPr="00426920">
              <w:rPr>
                <w:rFonts w:ascii="Arial Narrow" w:hAnsi="Arial Narrow"/>
              </w:rPr>
              <w:t>0.22</w:t>
            </w:r>
          </w:p>
        </w:tc>
        <w:tc>
          <w:tcPr>
            <w:tcW w:w="614" w:type="dxa"/>
            <w:shd w:val="clear" w:color="auto" w:fill="auto"/>
            <w:noWrap/>
            <w:tcMar>
              <w:left w:w="57" w:type="dxa"/>
              <w:right w:w="57" w:type="dxa"/>
            </w:tcMar>
            <w:hideMark/>
          </w:tcPr>
          <w:p w14:paraId="57D2A909" w14:textId="77777777" w:rsidR="007A7535" w:rsidRPr="00426920" w:rsidRDefault="007A7535" w:rsidP="007A7535">
            <w:pPr>
              <w:rPr>
                <w:rFonts w:ascii="Arial Narrow" w:hAnsi="Arial Narrow"/>
              </w:rPr>
            </w:pPr>
            <w:r w:rsidRPr="00426920">
              <w:rPr>
                <w:rFonts w:ascii="Arial Narrow" w:hAnsi="Arial Narrow"/>
              </w:rPr>
              <w:t>-0.36</w:t>
            </w:r>
          </w:p>
        </w:tc>
        <w:tc>
          <w:tcPr>
            <w:tcW w:w="614" w:type="dxa"/>
            <w:shd w:val="clear" w:color="auto" w:fill="auto"/>
            <w:noWrap/>
            <w:tcMar>
              <w:left w:w="57" w:type="dxa"/>
              <w:right w:w="57" w:type="dxa"/>
            </w:tcMar>
            <w:hideMark/>
          </w:tcPr>
          <w:p w14:paraId="47ABB1F5" w14:textId="77777777" w:rsidR="007A7535" w:rsidRPr="00426920" w:rsidRDefault="007A7535" w:rsidP="007A7535">
            <w:pPr>
              <w:rPr>
                <w:rFonts w:ascii="Arial Narrow" w:hAnsi="Arial Narrow"/>
              </w:rPr>
            </w:pPr>
            <w:r w:rsidRPr="00426920">
              <w:rPr>
                <w:rFonts w:ascii="Arial Narrow" w:hAnsi="Arial Narrow"/>
              </w:rPr>
              <w:t>0.25</w:t>
            </w:r>
          </w:p>
        </w:tc>
        <w:tc>
          <w:tcPr>
            <w:tcW w:w="614" w:type="dxa"/>
            <w:shd w:val="clear" w:color="auto" w:fill="C2D69B" w:themeFill="accent3" w:themeFillTint="99"/>
            <w:noWrap/>
            <w:tcMar>
              <w:left w:w="57" w:type="dxa"/>
              <w:right w:w="57" w:type="dxa"/>
            </w:tcMar>
            <w:hideMark/>
          </w:tcPr>
          <w:p w14:paraId="20D6EF3B" w14:textId="77777777" w:rsidR="007A7535" w:rsidRPr="00426920" w:rsidRDefault="007A7535" w:rsidP="007A7535">
            <w:pPr>
              <w:rPr>
                <w:rFonts w:ascii="Arial Narrow" w:hAnsi="Arial Narrow"/>
              </w:rPr>
            </w:pPr>
            <w:r w:rsidRPr="00426920">
              <w:rPr>
                <w:rFonts w:ascii="Arial Narrow" w:hAnsi="Arial Narrow"/>
              </w:rPr>
              <w:t>0.08</w:t>
            </w:r>
          </w:p>
        </w:tc>
        <w:tc>
          <w:tcPr>
            <w:tcW w:w="614" w:type="dxa"/>
            <w:shd w:val="clear" w:color="auto" w:fill="C2D69B" w:themeFill="accent3" w:themeFillTint="99"/>
            <w:noWrap/>
            <w:tcMar>
              <w:left w:w="57" w:type="dxa"/>
              <w:right w:w="57" w:type="dxa"/>
            </w:tcMar>
            <w:hideMark/>
          </w:tcPr>
          <w:p w14:paraId="70A45B22" w14:textId="77777777" w:rsidR="007A7535" w:rsidRPr="00426920" w:rsidRDefault="007A7535" w:rsidP="007A7535">
            <w:pPr>
              <w:rPr>
                <w:rFonts w:ascii="Arial Narrow" w:hAnsi="Arial Narrow"/>
              </w:rPr>
            </w:pPr>
            <w:r w:rsidRPr="00426920">
              <w:rPr>
                <w:rFonts w:ascii="Arial Narrow" w:hAnsi="Arial Narrow"/>
              </w:rPr>
              <w:t>0.50</w:t>
            </w:r>
          </w:p>
        </w:tc>
        <w:tc>
          <w:tcPr>
            <w:tcW w:w="612" w:type="dxa"/>
            <w:shd w:val="clear" w:color="auto" w:fill="auto"/>
          </w:tcPr>
          <w:p w14:paraId="6C492A19" w14:textId="77777777" w:rsidR="007A7535" w:rsidRPr="007A7535" w:rsidRDefault="007A7535" w:rsidP="007A7535">
            <w:pPr>
              <w:rPr>
                <w:rFonts w:ascii="Arial Narrow" w:hAnsi="Arial Narrow"/>
              </w:rPr>
            </w:pPr>
            <w:r w:rsidRPr="00D83D3F">
              <w:rPr>
                <w:rFonts w:ascii="Arial Narrow" w:hAnsi="Arial Narrow"/>
              </w:rPr>
              <w:t>-0.33</w:t>
            </w:r>
          </w:p>
        </w:tc>
        <w:tc>
          <w:tcPr>
            <w:tcW w:w="617" w:type="dxa"/>
            <w:shd w:val="clear" w:color="auto" w:fill="auto"/>
          </w:tcPr>
          <w:p w14:paraId="4DE0FFEF" w14:textId="77777777" w:rsidR="007A7535" w:rsidRPr="007A7535" w:rsidRDefault="007A7535" w:rsidP="007A7535">
            <w:pPr>
              <w:rPr>
                <w:rFonts w:ascii="Arial Narrow" w:hAnsi="Arial Narrow"/>
              </w:rPr>
            </w:pPr>
            <w:r w:rsidRPr="00D83D3F">
              <w:rPr>
                <w:rFonts w:ascii="Arial Narrow" w:hAnsi="Arial Narrow"/>
              </w:rPr>
              <w:t>0.25</w:t>
            </w:r>
          </w:p>
        </w:tc>
        <w:tc>
          <w:tcPr>
            <w:tcW w:w="612" w:type="dxa"/>
          </w:tcPr>
          <w:p w14:paraId="4BC76198" w14:textId="77777777" w:rsidR="007A7535" w:rsidRPr="00426920" w:rsidRDefault="007A7535" w:rsidP="007A7535">
            <w:pPr>
              <w:rPr>
                <w:rFonts w:ascii="Arial Narrow" w:hAnsi="Arial Narrow"/>
              </w:rPr>
            </w:pPr>
          </w:p>
        </w:tc>
        <w:tc>
          <w:tcPr>
            <w:tcW w:w="617" w:type="dxa"/>
          </w:tcPr>
          <w:p w14:paraId="3AF7E208" w14:textId="77777777" w:rsidR="007A7535" w:rsidRPr="00426920" w:rsidRDefault="007A7535" w:rsidP="007A7535">
            <w:pPr>
              <w:rPr>
                <w:rFonts w:ascii="Arial Narrow" w:hAnsi="Arial Narrow"/>
              </w:rPr>
            </w:pPr>
          </w:p>
        </w:tc>
      </w:tr>
      <w:tr w:rsidR="007A7535" w:rsidRPr="003E216D" w14:paraId="3B4F2DC9" w14:textId="77777777" w:rsidTr="001E472C">
        <w:trPr>
          <w:trHeight w:val="340"/>
          <w:tblHeader/>
        </w:trPr>
        <w:tc>
          <w:tcPr>
            <w:tcW w:w="1838" w:type="dxa"/>
            <w:noWrap/>
            <w:tcMar>
              <w:left w:w="57" w:type="dxa"/>
              <w:right w:w="57" w:type="dxa"/>
            </w:tcMar>
            <w:hideMark/>
          </w:tcPr>
          <w:p w14:paraId="6E27E5DB" w14:textId="77777777" w:rsidR="007A7535" w:rsidRPr="00426920" w:rsidRDefault="007A7535" w:rsidP="007A7535">
            <w:pPr>
              <w:jc w:val="left"/>
              <w:rPr>
                <w:rFonts w:ascii="Arial Narrow" w:hAnsi="Arial Narrow"/>
              </w:rPr>
            </w:pPr>
            <w:r w:rsidRPr="00426920">
              <w:rPr>
                <w:rFonts w:ascii="Arial Narrow" w:hAnsi="Arial Narrow"/>
              </w:rPr>
              <w:t xml:space="preserve">Mackay Whitsunday </w:t>
            </w:r>
          </w:p>
        </w:tc>
        <w:tc>
          <w:tcPr>
            <w:tcW w:w="614" w:type="dxa"/>
            <w:shd w:val="clear" w:color="auto" w:fill="auto"/>
            <w:noWrap/>
            <w:tcMar>
              <w:left w:w="57" w:type="dxa"/>
              <w:right w:w="57" w:type="dxa"/>
            </w:tcMar>
            <w:hideMark/>
          </w:tcPr>
          <w:p w14:paraId="0BA9E4A5" w14:textId="77777777" w:rsidR="007A7535" w:rsidRPr="00426920" w:rsidRDefault="007A7535" w:rsidP="007A7535">
            <w:pPr>
              <w:rPr>
                <w:rFonts w:ascii="Arial Narrow" w:hAnsi="Arial Narrow"/>
              </w:rPr>
            </w:pPr>
            <w:r w:rsidRPr="00426920">
              <w:rPr>
                <w:rFonts w:ascii="Arial Narrow" w:hAnsi="Arial Narrow"/>
              </w:rPr>
              <w:t>-0.07</w:t>
            </w:r>
          </w:p>
        </w:tc>
        <w:tc>
          <w:tcPr>
            <w:tcW w:w="614" w:type="dxa"/>
            <w:shd w:val="clear" w:color="auto" w:fill="auto"/>
            <w:noWrap/>
            <w:tcMar>
              <w:left w:w="57" w:type="dxa"/>
              <w:right w:w="57" w:type="dxa"/>
            </w:tcMar>
            <w:hideMark/>
          </w:tcPr>
          <w:p w14:paraId="0FB53894" w14:textId="77777777" w:rsidR="007A7535" w:rsidRPr="00426920" w:rsidRDefault="007A7535" w:rsidP="007A7535">
            <w:pPr>
              <w:rPr>
                <w:rFonts w:ascii="Arial Narrow" w:hAnsi="Arial Narrow"/>
              </w:rPr>
            </w:pPr>
            <w:r w:rsidRPr="00426920">
              <w:rPr>
                <w:rFonts w:ascii="Arial Narrow" w:hAnsi="Arial Narrow"/>
              </w:rPr>
              <w:t>0.20</w:t>
            </w:r>
          </w:p>
        </w:tc>
        <w:tc>
          <w:tcPr>
            <w:tcW w:w="614" w:type="dxa"/>
            <w:shd w:val="clear" w:color="auto" w:fill="auto"/>
            <w:noWrap/>
            <w:tcMar>
              <w:left w:w="57" w:type="dxa"/>
              <w:right w:w="57" w:type="dxa"/>
            </w:tcMar>
            <w:hideMark/>
          </w:tcPr>
          <w:p w14:paraId="364846CE" w14:textId="77777777" w:rsidR="007A7535" w:rsidRPr="00426920" w:rsidRDefault="007A7535" w:rsidP="007A7535">
            <w:pPr>
              <w:rPr>
                <w:rFonts w:ascii="Arial Narrow" w:hAnsi="Arial Narrow"/>
              </w:rPr>
            </w:pPr>
            <w:r w:rsidRPr="00426920">
              <w:rPr>
                <w:rFonts w:ascii="Arial Narrow" w:hAnsi="Arial Narrow"/>
              </w:rPr>
              <w:t>-0.04</w:t>
            </w:r>
          </w:p>
        </w:tc>
        <w:tc>
          <w:tcPr>
            <w:tcW w:w="615" w:type="dxa"/>
            <w:shd w:val="clear" w:color="auto" w:fill="auto"/>
            <w:noWrap/>
            <w:tcMar>
              <w:left w:w="57" w:type="dxa"/>
              <w:right w:w="57" w:type="dxa"/>
            </w:tcMar>
            <w:hideMark/>
          </w:tcPr>
          <w:p w14:paraId="0DD119CA" w14:textId="77777777" w:rsidR="007A7535" w:rsidRPr="00426920" w:rsidRDefault="007A7535" w:rsidP="007A7535">
            <w:pPr>
              <w:rPr>
                <w:rFonts w:ascii="Arial Narrow" w:hAnsi="Arial Narrow"/>
              </w:rPr>
            </w:pPr>
            <w:r w:rsidRPr="00426920">
              <w:rPr>
                <w:rFonts w:ascii="Arial Narrow" w:hAnsi="Arial Narrow"/>
              </w:rPr>
              <w:t>0.25</w:t>
            </w:r>
          </w:p>
        </w:tc>
        <w:tc>
          <w:tcPr>
            <w:tcW w:w="614" w:type="dxa"/>
            <w:shd w:val="clear" w:color="auto" w:fill="auto"/>
            <w:noWrap/>
            <w:tcMar>
              <w:left w:w="57" w:type="dxa"/>
              <w:right w:w="57" w:type="dxa"/>
            </w:tcMar>
            <w:hideMark/>
          </w:tcPr>
          <w:p w14:paraId="29D722C4" w14:textId="77777777" w:rsidR="007A7535" w:rsidRPr="00426920" w:rsidRDefault="007A7535" w:rsidP="007A7535">
            <w:pPr>
              <w:rPr>
                <w:rFonts w:ascii="Arial Narrow" w:hAnsi="Arial Narrow"/>
              </w:rPr>
            </w:pPr>
            <w:r w:rsidRPr="00426920">
              <w:rPr>
                <w:rFonts w:ascii="Arial Narrow" w:hAnsi="Arial Narrow"/>
              </w:rPr>
              <w:t>-0.19</w:t>
            </w:r>
          </w:p>
        </w:tc>
        <w:tc>
          <w:tcPr>
            <w:tcW w:w="614" w:type="dxa"/>
            <w:shd w:val="clear" w:color="auto" w:fill="auto"/>
            <w:noWrap/>
            <w:tcMar>
              <w:left w:w="57" w:type="dxa"/>
              <w:right w:w="57" w:type="dxa"/>
            </w:tcMar>
            <w:hideMark/>
          </w:tcPr>
          <w:p w14:paraId="3D5D7E83" w14:textId="77777777" w:rsidR="007A7535" w:rsidRPr="00426920" w:rsidRDefault="007A7535" w:rsidP="007A7535">
            <w:pPr>
              <w:rPr>
                <w:rFonts w:ascii="Arial Narrow" w:hAnsi="Arial Narrow"/>
              </w:rPr>
            </w:pPr>
            <w:r w:rsidRPr="00426920">
              <w:rPr>
                <w:rFonts w:ascii="Arial Narrow" w:hAnsi="Arial Narrow"/>
              </w:rPr>
              <w:t>0.27</w:t>
            </w:r>
          </w:p>
        </w:tc>
        <w:tc>
          <w:tcPr>
            <w:tcW w:w="614" w:type="dxa"/>
            <w:shd w:val="clear" w:color="auto" w:fill="auto"/>
            <w:noWrap/>
            <w:tcMar>
              <w:left w:w="57" w:type="dxa"/>
              <w:right w:w="57" w:type="dxa"/>
            </w:tcMar>
            <w:hideMark/>
          </w:tcPr>
          <w:p w14:paraId="46CB421A" w14:textId="77777777" w:rsidR="007A7535" w:rsidRPr="00426920" w:rsidRDefault="007A7535" w:rsidP="007A7535">
            <w:pPr>
              <w:rPr>
                <w:rFonts w:ascii="Arial Narrow" w:hAnsi="Arial Narrow"/>
              </w:rPr>
            </w:pPr>
            <w:r w:rsidRPr="00426920">
              <w:rPr>
                <w:rFonts w:ascii="Arial Narrow" w:hAnsi="Arial Narrow"/>
              </w:rPr>
              <w:t>-0.09</w:t>
            </w:r>
          </w:p>
        </w:tc>
        <w:tc>
          <w:tcPr>
            <w:tcW w:w="614" w:type="dxa"/>
            <w:shd w:val="clear" w:color="auto" w:fill="auto"/>
            <w:noWrap/>
            <w:tcMar>
              <w:left w:w="57" w:type="dxa"/>
              <w:right w:w="57" w:type="dxa"/>
            </w:tcMar>
            <w:hideMark/>
          </w:tcPr>
          <w:p w14:paraId="7EB3C977" w14:textId="77777777" w:rsidR="007A7535" w:rsidRPr="00426920" w:rsidRDefault="007A7535" w:rsidP="007A7535">
            <w:pPr>
              <w:rPr>
                <w:rFonts w:ascii="Arial Narrow" w:hAnsi="Arial Narrow"/>
              </w:rPr>
            </w:pPr>
            <w:r w:rsidRPr="00426920">
              <w:rPr>
                <w:rFonts w:ascii="Arial Narrow" w:hAnsi="Arial Narrow"/>
              </w:rPr>
              <w:t>0.34</w:t>
            </w:r>
          </w:p>
        </w:tc>
        <w:tc>
          <w:tcPr>
            <w:tcW w:w="612" w:type="dxa"/>
            <w:shd w:val="clear" w:color="auto" w:fill="auto"/>
          </w:tcPr>
          <w:p w14:paraId="5244DB42" w14:textId="77777777" w:rsidR="007A7535" w:rsidRPr="007A7535" w:rsidRDefault="007A7535" w:rsidP="007A7535">
            <w:pPr>
              <w:rPr>
                <w:rFonts w:ascii="Arial Narrow" w:hAnsi="Arial Narrow"/>
              </w:rPr>
            </w:pPr>
            <w:r w:rsidRPr="00D83D3F">
              <w:rPr>
                <w:rFonts w:ascii="Arial Narrow" w:hAnsi="Arial Narrow"/>
              </w:rPr>
              <w:t>-0.44</w:t>
            </w:r>
          </w:p>
        </w:tc>
        <w:tc>
          <w:tcPr>
            <w:tcW w:w="617" w:type="dxa"/>
            <w:shd w:val="clear" w:color="auto" w:fill="auto"/>
          </w:tcPr>
          <w:p w14:paraId="369C44B9" w14:textId="77777777" w:rsidR="007A7535" w:rsidRPr="007A7535" w:rsidRDefault="007A7535" w:rsidP="007A7535">
            <w:pPr>
              <w:rPr>
                <w:rFonts w:ascii="Arial Narrow" w:hAnsi="Arial Narrow"/>
              </w:rPr>
            </w:pPr>
            <w:r w:rsidRPr="00D83D3F">
              <w:rPr>
                <w:rFonts w:ascii="Arial Narrow" w:hAnsi="Arial Narrow"/>
              </w:rPr>
              <w:t>0.10</w:t>
            </w:r>
          </w:p>
        </w:tc>
        <w:tc>
          <w:tcPr>
            <w:tcW w:w="612" w:type="dxa"/>
          </w:tcPr>
          <w:p w14:paraId="24054D91" w14:textId="77777777" w:rsidR="007A7535" w:rsidRPr="00426920" w:rsidRDefault="007A7535" w:rsidP="007A7535">
            <w:pPr>
              <w:rPr>
                <w:rFonts w:ascii="Arial Narrow" w:hAnsi="Arial Narrow"/>
              </w:rPr>
            </w:pPr>
          </w:p>
        </w:tc>
        <w:tc>
          <w:tcPr>
            <w:tcW w:w="617" w:type="dxa"/>
          </w:tcPr>
          <w:p w14:paraId="7A7D7DC7" w14:textId="77777777" w:rsidR="007A7535" w:rsidRPr="00426920" w:rsidRDefault="007A7535" w:rsidP="007A7535">
            <w:pPr>
              <w:rPr>
                <w:rFonts w:ascii="Arial Narrow" w:hAnsi="Arial Narrow"/>
              </w:rPr>
            </w:pPr>
          </w:p>
        </w:tc>
      </w:tr>
      <w:tr w:rsidR="007A7535" w:rsidRPr="003E216D" w14:paraId="58940E27" w14:textId="77777777" w:rsidTr="001E472C">
        <w:trPr>
          <w:trHeight w:val="340"/>
          <w:tblHeader/>
        </w:trPr>
        <w:tc>
          <w:tcPr>
            <w:tcW w:w="1838" w:type="dxa"/>
            <w:noWrap/>
            <w:tcMar>
              <w:left w:w="57" w:type="dxa"/>
              <w:right w:w="57" w:type="dxa"/>
            </w:tcMar>
            <w:hideMark/>
          </w:tcPr>
          <w:p w14:paraId="679C4079" w14:textId="77777777" w:rsidR="007A7535" w:rsidRPr="00426920" w:rsidRDefault="007A7535" w:rsidP="007A7535">
            <w:pPr>
              <w:jc w:val="left"/>
              <w:rPr>
                <w:rFonts w:ascii="Arial Narrow" w:hAnsi="Arial Narrow"/>
              </w:rPr>
            </w:pPr>
            <w:r w:rsidRPr="00426920">
              <w:rPr>
                <w:rFonts w:ascii="Arial Narrow" w:hAnsi="Arial Narrow"/>
              </w:rPr>
              <w:t>Fitzroy</w:t>
            </w:r>
          </w:p>
        </w:tc>
        <w:tc>
          <w:tcPr>
            <w:tcW w:w="614" w:type="dxa"/>
            <w:shd w:val="clear" w:color="auto" w:fill="auto"/>
            <w:noWrap/>
            <w:tcMar>
              <w:left w:w="57" w:type="dxa"/>
              <w:right w:w="57" w:type="dxa"/>
            </w:tcMar>
            <w:hideMark/>
          </w:tcPr>
          <w:p w14:paraId="70625498" w14:textId="77777777" w:rsidR="007A7535" w:rsidRPr="00426920" w:rsidRDefault="007A7535" w:rsidP="007A7535">
            <w:pPr>
              <w:rPr>
                <w:rFonts w:ascii="Arial Narrow" w:hAnsi="Arial Narrow"/>
              </w:rPr>
            </w:pPr>
            <w:r w:rsidRPr="00426920">
              <w:rPr>
                <w:rFonts w:ascii="Arial Narrow" w:hAnsi="Arial Narrow"/>
              </w:rPr>
              <w:t>-0.17</w:t>
            </w:r>
          </w:p>
        </w:tc>
        <w:tc>
          <w:tcPr>
            <w:tcW w:w="614" w:type="dxa"/>
            <w:shd w:val="clear" w:color="auto" w:fill="auto"/>
            <w:noWrap/>
            <w:tcMar>
              <w:left w:w="57" w:type="dxa"/>
              <w:right w:w="57" w:type="dxa"/>
            </w:tcMar>
            <w:hideMark/>
          </w:tcPr>
          <w:p w14:paraId="075447FA" w14:textId="77777777" w:rsidR="007A7535" w:rsidRPr="00426920" w:rsidRDefault="007A7535" w:rsidP="007A7535">
            <w:pPr>
              <w:rPr>
                <w:rFonts w:ascii="Arial Narrow" w:hAnsi="Arial Narrow"/>
              </w:rPr>
            </w:pPr>
            <w:r w:rsidRPr="00426920">
              <w:rPr>
                <w:rFonts w:ascii="Arial Narrow" w:hAnsi="Arial Narrow"/>
              </w:rPr>
              <w:t>0.08</w:t>
            </w:r>
          </w:p>
        </w:tc>
        <w:tc>
          <w:tcPr>
            <w:tcW w:w="614" w:type="dxa"/>
            <w:shd w:val="clear" w:color="auto" w:fill="auto"/>
            <w:noWrap/>
            <w:tcMar>
              <w:left w:w="57" w:type="dxa"/>
              <w:right w:w="57" w:type="dxa"/>
            </w:tcMar>
            <w:hideMark/>
          </w:tcPr>
          <w:p w14:paraId="475A05EE" w14:textId="77777777" w:rsidR="007A7535" w:rsidRPr="00426920" w:rsidRDefault="007A7535" w:rsidP="007A7535">
            <w:pPr>
              <w:rPr>
                <w:rFonts w:ascii="Arial Narrow" w:hAnsi="Arial Narrow"/>
              </w:rPr>
            </w:pPr>
            <w:r w:rsidRPr="00426920">
              <w:rPr>
                <w:rFonts w:ascii="Arial Narrow" w:hAnsi="Arial Narrow"/>
              </w:rPr>
              <w:t>-0.04</w:t>
            </w:r>
          </w:p>
        </w:tc>
        <w:tc>
          <w:tcPr>
            <w:tcW w:w="615" w:type="dxa"/>
            <w:shd w:val="clear" w:color="auto" w:fill="auto"/>
            <w:noWrap/>
            <w:tcMar>
              <w:left w:w="57" w:type="dxa"/>
              <w:right w:w="57" w:type="dxa"/>
            </w:tcMar>
            <w:hideMark/>
          </w:tcPr>
          <w:p w14:paraId="63A25992" w14:textId="77777777" w:rsidR="007A7535" w:rsidRPr="00426920" w:rsidRDefault="007A7535" w:rsidP="007A7535">
            <w:pPr>
              <w:rPr>
                <w:rFonts w:ascii="Arial Narrow" w:hAnsi="Arial Narrow"/>
              </w:rPr>
            </w:pPr>
            <w:r w:rsidRPr="00426920">
              <w:rPr>
                <w:rFonts w:ascii="Arial Narrow" w:hAnsi="Arial Narrow"/>
              </w:rPr>
              <w:t>0.25</w:t>
            </w:r>
          </w:p>
        </w:tc>
        <w:tc>
          <w:tcPr>
            <w:tcW w:w="614" w:type="dxa"/>
            <w:shd w:val="clear" w:color="auto" w:fill="auto"/>
            <w:noWrap/>
            <w:tcMar>
              <w:left w:w="57" w:type="dxa"/>
              <w:right w:w="57" w:type="dxa"/>
            </w:tcMar>
            <w:hideMark/>
          </w:tcPr>
          <w:p w14:paraId="66531545" w14:textId="77777777" w:rsidR="007A7535" w:rsidRPr="00426920" w:rsidRDefault="007A7535" w:rsidP="007A7535">
            <w:pPr>
              <w:rPr>
                <w:rFonts w:ascii="Arial Narrow" w:hAnsi="Arial Narrow"/>
              </w:rPr>
            </w:pPr>
            <w:r w:rsidRPr="00426920">
              <w:rPr>
                <w:rFonts w:ascii="Arial Narrow" w:hAnsi="Arial Narrow"/>
              </w:rPr>
              <w:t>-0.34</w:t>
            </w:r>
          </w:p>
        </w:tc>
        <w:tc>
          <w:tcPr>
            <w:tcW w:w="614" w:type="dxa"/>
            <w:shd w:val="clear" w:color="auto" w:fill="auto"/>
            <w:noWrap/>
            <w:tcMar>
              <w:left w:w="57" w:type="dxa"/>
              <w:right w:w="57" w:type="dxa"/>
            </w:tcMar>
            <w:hideMark/>
          </w:tcPr>
          <w:p w14:paraId="1C63F31A" w14:textId="77777777" w:rsidR="007A7535" w:rsidRPr="00426920" w:rsidRDefault="007A7535" w:rsidP="007A7535">
            <w:pPr>
              <w:rPr>
                <w:rFonts w:ascii="Arial Narrow" w:hAnsi="Arial Narrow"/>
              </w:rPr>
            </w:pPr>
            <w:r w:rsidRPr="00426920">
              <w:rPr>
                <w:rFonts w:ascii="Arial Narrow" w:hAnsi="Arial Narrow"/>
              </w:rPr>
              <w:t>0.19</w:t>
            </w:r>
          </w:p>
        </w:tc>
        <w:tc>
          <w:tcPr>
            <w:tcW w:w="614" w:type="dxa"/>
            <w:shd w:val="clear" w:color="auto" w:fill="auto"/>
            <w:noWrap/>
            <w:tcMar>
              <w:left w:w="57" w:type="dxa"/>
              <w:right w:w="57" w:type="dxa"/>
            </w:tcMar>
            <w:hideMark/>
          </w:tcPr>
          <w:p w14:paraId="4171E9A9" w14:textId="77777777" w:rsidR="007A7535" w:rsidRPr="00426920" w:rsidRDefault="007A7535" w:rsidP="007A7535">
            <w:pPr>
              <w:rPr>
                <w:rFonts w:ascii="Arial Narrow" w:hAnsi="Arial Narrow"/>
              </w:rPr>
            </w:pPr>
            <w:r w:rsidRPr="00426920">
              <w:rPr>
                <w:rFonts w:ascii="Arial Narrow" w:hAnsi="Arial Narrow"/>
              </w:rPr>
              <w:t>-0.28</w:t>
            </w:r>
          </w:p>
        </w:tc>
        <w:tc>
          <w:tcPr>
            <w:tcW w:w="614" w:type="dxa"/>
            <w:shd w:val="clear" w:color="auto" w:fill="auto"/>
            <w:noWrap/>
            <w:tcMar>
              <w:left w:w="57" w:type="dxa"/>
              <w:right w:w="57" w:type="dxa"/>
            </w:tcMar>
            <w:hideMark/>
          </w:tcPr>
          <w:p w14:paraId="4A1DE198" w14:textId="77777777" w:rsidR="007A7535" w:rsidRPr="00426920" w:rsidRDefault="007A7535" w:rsidP="007A7535">
            <w:pPr>
              <w:rPr>
                <w:rFonts w:ascii="Arial Narrow" w:hAnsi="Arial Narrow"/>
              </w:rPr>
            </w:pPr>
            <w:r w:rsidRPr="00426920">
              <w:rPr>
                <w:rFonts w:ascii="Arial Narrow" w:hAnsi="Arial Narrow"/>
              </w:rPr>
              <w:t>0.15</w:t>
            </w:r>
          </w:p>
        </w:tc>
        <w:tc>
          <w:tcPr>
            <w:tcW w:w="612" w:type="dxa"/>
            <w:shd w:val="clear" w:color="auto" w:fill="auto"/>
          </w:tcPr>
          <w:p w14:paraId="77645EF4" w14:textId="77777777" w:rsidR="007A7535" w:rsidRPr="007A7535" w:rsidRDefault="007A7535" w:rsidP="007A7535">
            <w:pPr>
              <w:rPr>
                <w:rFonts w:ascii="Arial Narrow" w:hAnsi="Arial Narrow"/>
              </w:rPr>
            </w:pPr>
            <w:r w:rsidRPr="00D83D3F">
              <w:rPr>
                <w:rFonts w:ascii="Arial Narrow" w:hAnsi="Arial Narrow"/>
              </w:rPr>
              <w:t>-0.32</w:t>
            </w:r>
          </w:p>
        </w:tc>
        <w:tc>
          <w:tcPr>
            <w:tcW w:w="617" w:type="dxa"/>
            <w:shd w:val="clear" w:color="auto" w:fill="auto"/>
          </w:tcPr>
          <w:p w14:paraId="609BB591" w14:textId="77777777" w:rsidR="007A7535" w:rsidRPr="007A7535" w:rsidRDefault="007A7535" w:rsidP="007A7535">
            <w:pPr>
              <w:rPr>
                <w:rFonts w:ascii="Arial Narrow" w:hAnsi="Arial Narrow"/>
              </w:rPr>
            </w:pPr>
            <w:r w:rsidRPr="00D83D3F">
              <w:rPr>
                <w:rFonts w:ascii="Arial Narrow" w:hAnsi="Arial Narrow"/>
              </w:rPr>
              <w:t>0.29</w:t>
            </w:r>
          </w:p>
        </w:tc>
        <w:tc>
          <w:tcPr>
            <w:tcW w:w="612" w:type="dxa"/>
          </w:tcPr>
          <w:p w14:paraId="5091707D" w14:textId="77777777" w:rsidR="007A7535" w:rsidRPr="00426920" w:rsidRDefault="007A7535" w:rsidP="007A7535">
            <w:pPr>
              <w:rPr>
                <w:rFonts w:ascii="Arial Narrow" w:hAnsi="Arial Narrow"/>
              </w:rPr>
            </w:pPr>
          </w:p>
        </w:tc>
        <w:tc>
          <w:tcPr>
            <w:tcW w:w="617" w:type="dxa"/>
          </w:tcPr>
          <w:p w14:paraId="76954C11" w14:textId="77777777" w:rsidR="007A7535" w:rsidRPr="00426920" w:rsidRDefault="007A7535" w:rsidP="007A7535">
            <w:pPr>
              <w:rPr>
                <w:rFonts w:ascii="Arial Narrow" w:hAnsi="Arial Narrow"/>
              </w:rPr>
            </w:pPr>
          </w:p>
        </w:tc>
      </w:tr>
    </w:tbl>
    <w:p w14:paraId="42EFD040" w14:textId="77777777" w:rsidR="00FF6E56" w:rsidRPr="00426920" w:rsidRDefault="00FF6E56" w:rsidP="00FF6E56">
      <w:pPr>
        <w:rPr>
          <w:lang w:val="en-US"/>
        </w:rPr>
      </w:pPr>
    </w:p>
    <w:p w14:paraId="0514F82D" w14:textId="77777777" w:rsidR="00BD49B5" w:rsidRPr="00F352E1" w:rsidRDefault="00BD49B5" w:rsidP="00247FC8">
      <w:pPr>
        <w:pStyle w:val="Heading3"/>
      </w:pPr>
      <w:bookmarkStart w:id="129" w:name="_Ref503361184"/>
      <w:bookmarkStart w:id="130" w:name="_Toc514408408"/>
      <w:r w:rsidRPr="00F352E1">
        <w:t>5.1.3 Response to environmental gradients</w:t>
      </w:r>
      <w:bookmarkEnd w:id="129"/>
      <w:bookmarkEnd w:id="130"/>
    </w:p>
    <w:p w14:paraId="1081906C" w14:textId="7D9D7092" w:rsidR="0074462D" w:rsidRDefault="00D57752" w:rsidP="00FF6E56">
      <w:pPr>
        <w:rPr>
          <w:color w:val="000000" w:themeColor="text1"/>
          <w:szCs w:val="22"/>
        </w:rPr>
      </w:pPr>
      <w:r w:rsidRPr="00DD2C06">
        <w:rPr>
          <w:color w:val="000000" w:themeColor="text1"/>
          <w:szCs w:val="22"/>
        </w:rPr>
        <w:t xml:space="preserve">Index scores in </w:t>
      </w:r>
      <w:r w:rsidR="00655BE6" w:rsidRPr="00DD2C06">
        <w:rPr>
          <w:color w:val="000000" w:themeColor="text1"/>
          <w:szCs w:val="22"/>
        </w:rPr>
        <w:t xml:space="preserve">2017 </w:t>
      </w:r>
      <w:r w:rsidRPr="00DD2C06">
        <w:rPr>
          <w:color w:val="000000" w:themeColor="text1"/>
          <w:szCs w:val="22"/>
        </w:rPr>
        <w:t xml:space="preserve">were </w:t>
      </w:r>
      <w:r w:rsidR="00741F83" w:rsidRPr="00DD2C06">
        <w:rPr>
          <w:color w:val="000000" w:themeColor="text1"/>
          <w:szCs w:val="22"/>
        </w:rPr>
        <w:t>inversely related to the</w:t>
      </w:r>
      <w:r w:rsidRPr="00DD2C06">
        <w:rPr>
          <w:color w:val="000000" w:themeColor="text1"/>
          <w:szCs w:val="22"/>
        </w:rPr>
        <w:t xml:space="preserve"> long-term mean </w:t>
      </w:r>
      <w:r w:rsidR="006B4B65" w:rsidRPr="00DD2C06">
        <w:rPr>
          <w:color w:val="000000" w:themeColor="text1"/>
          <w:szCs w:val="22"/>
        </w:rPr>
        <w:t>Chl</w:t>
      </w:r>
      <w:r w:rsidRPr="00DD2C06">
        <w:rPr>
          <w:color w:val="000000" w:themeColor="text1"/>
          <w:szCs w:val="22"/>
        </w:rPr>
        <w:t xml:space="preserve"> </w:t>
      </w:r>
      <w:r w:rsidRPr="00DD2C06">
        <w:rPr>
          <w:i/>
          <w:color w:val="000000" w:themeColor="text1"/>
          <w:szCs w:val="22"/>
        </w:rPr>
        <w:t>a</w:t>
      </w:r>
      <w:r w:rsidRPr="00DD2C06">
        <w:rPr>
          <w:color w:val="000000" w:themeColor="text1"/>
          <w:szCs w:val="22"/>
        </w:rPr>
        <w:t xml:space="preserve"> levels</w:t>
      </w:r>
      <w:r w:rsidR="00741F83" w:rsidRPr="00DD2C06">
        <w:rPr>
          <w:color w:val="000000" w:themeColor="text1"/>
          <w:szCs w:val="22"/>
        </w:rPr>
        <w:t xml:space="preserve"> at both 2m and 5m depths (Figure 9</w:t>
      </w:r>
      <w:r w:rsidR="00C21A97">
        <w:rPr>
          <w:color w:val="000000" w:themeColor="text1"/>
          <w:szCs w:val="22"/>
        </w:rPr>
        <w:t>a</w:t>
      </w:r>
      <w:r w:rsidR="00741F83" w:rsidRPr="00DD2C06">
        <w:rPr>
          <w:color w:val="000000" w:themeColor="text1"/>
          <w:szCs w:val="22"/>
        </w:rPr>
        <w:t>,</w:t>
      </w:r>
      <w:r w:rsidR="00C21A97">
        <w:rPr>
          <w:color w:val="000000" w:themeColor="text1"/>
          <w:szCs w:val="22"/>
        </w:rPr>
        <w:t xml:space="preserve"> Figure 10a</w:t>
      </w:r>
      <w:r w:rsidR="00741F83" w:rsidRPr="00DD2C06">
        <w:rPr>
          <w:color w:val="000000" w:themeColor="text1"/>
          <w:szCs w:val="22"/>
        </w:rPr>
        <w:t>)</w:t>
      </w:r>
      <w:r w:rsidRPr="00DD2C06">
        <w:rPr>
          <w:color w:val="000000" w:themeColor="text1"/>
          <w:szCs w:val="22"/>
        </w:rPr>
        <w:t xml:space="preserve"> </w:t>
      </w:r>
      <w:r w:rsidR="008B1BBE" w:rsidRPr="00DD2C06">
        <w:rPr>
          <w:color w:val="000000" w:themeColor="text1"/>
          <w:szCs w:val="22"/>
        </w:rPr>
        <w:t>highlight</w:t>
      </w:r>
      <w:r w:rsidR="008B1BBE">
        <w:rPr>
          <w:color w:val="000000" w:themeColor="text1"/>
          <w:szCs w:val="22"/>
        </w:rPr>
        <w:t>ing</w:t>
      </w:r>
      <w:r w:rsidR="008B1BBE" w:rsidRPr="00DD2C06">
        <w:rPr>
          <w:color w:val="000000" w:themeColor="text1"/>
          <w:szCs w:val="22"/>
        </w:rPr>
        <w:t xml:space="preserve"> th</w:t>
      </w:r>
      <w:r w:rsidR="008B1BBE">
        <w:rPr>
          <w:color w:val="000000" w:themeColor="text1"/>
          <w:szCs w:val="22"/>
        </w:rPr>
        <w:t xml:space="preserve">at exposure to above wet season Guideline </w:t>
      </w:r>
      <w:r w:rsidR="008B1BBE" w:rsidRPr="00DD2C06">
        <w:rPr>
          <w:color w:val="000000" w:themeColor="text1"/>
          <w:szCs w:val="22"/>
        </w:rPr>
        <w:t xml:space="preserve">Chl </w:t>
      </w:r>
      <w:r w:rsidR="008B1BBE" w:rsidRPr="00AB46C5">
        <w:rPr>
          <w:i/>
          <w:color w:val="000000" w:themeColor="text1"/>
          <w:szCs w:val="22"/>
        </w:rPr>
        <w:t>a</w:t>
      </w:r>
      <w:r w:rsidR="008B1BBE" w:rsidRPr="00DD2C06">
        <w:rPr>
          <w:color w:val="000000" w:themeColor="text1"/>
          <w:szCs w:val="22"/>
        </w:rPr>
        <w:t xml:space="preserve"> concentrations </w:t>
      </w:r>
      <w:r w:rsidR="008B1BBE">
        <w:rPr>
          <w:color w:val="000000" w:themeColor="text1"/>
          <w:szCs w:val="22"/>
        </w:rPr>
        <w:t xml:space="preserve">has a negative influence on </w:t>
      </w:r>
      <w:r w:rsidR="008B1BBE" w:rsidRPr="00DD2C06">
        <w:rPr>
          <w:color w:val="000000" w:themeColor="text1"/>
          <w:szCs w:val="22"/>
        </w:rPr>
        <w:t>the condition of inshore reefs</w:t>
      </w:r>
      <w:r w:rsidR="008B1BBE">
        <w:rPr>
          <w:color w:val="000000" w:themeColor="text1"/>
          <w:szCs w:val="22"/>
        </w:rPr>
        <w:t>.</w:t>
      </w:r>
      <w:r w:rsidR="008B1BBE" w:rsidRPr="00DD2C06">
        <w:rPr>
          <w:color w:val="000000" w:themeColor="text1"/>
          <w:szCs w:val="22"/>
        </w:rPr>
        <w:t xml:space="preserve"> </w:t>
      </w:r>
      <w:r w:rsidR="00511B42" w:rsidRPr="00DD2C06">
        <w:rPr>
          <w:color w:val="000000" w:themeColor="text1"/>
          <w:szCs w:val="22"/>
        </w:rPr>
        <w:t>Linear models applied separately to each metric demonstrate that</w:t>
      </w:r>
      <w:r w:rsidR="00C21A97">
        <w:rPr>
          <w:color w:val="000000" w:themeColor="text1"/>
          <w:szCs w:val="22"/>
        </w:rPr>
        <w:t xml:space="preserve"> at 2</w:t>
      </w:r>
      <w:r w:rsidR="008B1BBE">
        <w:rPr>
          <w:color w:val="000000" w:themeColor="text1"/>
          <w:szCs w:val="22"/>
        </w:rPr>
        <w:t xml:space="preserve"> </w:t>
      </w:r>
      <w:r w:rsidR="00C21A97">
        <w:rPr>
          <w:color w:val="000000" w:themeColor="text1"/>
          <w:szCs w:val="22"/>
        </w:rPr>
        <w:t xml:space="preserve">m depth </w:t>
      </w:r>
      <w:r w:rsidR="00511B42" w:rsidRPr="00DD2C06">
        <w:rPr>
          <w:color w:val="000000" w:themeColor="text1"/>
          <w:szCs w:val="22"/>
        </w:rPr>
        <w:t xml:space="preserve"> the Coral </w:t>
      </w:r>
      <w:r w:rsidR="00A02B1B">
        <w:rPr>
          <w:color w:val="000000" w:themeColor="text1"/>
          <w:szCs w:val="22"/>
        </w:rPr>
        <w:t>C</w:t>
      </w:r>
      <w:r w:rsidR="00A02B1B" w:rsidRPr="00DD2C06">
        <w:rPr>
          <w:color w:val="000000" w:themeColor="text1"/>
          <w:szCs w:val="22"/>
        </w:rPr>
        <w:t xml:space="preserve">over </w:t>
      </w:r>
      <w:r w:rsidR="00511B42" w:rsidRPr="00DD2C06">
        <w:rPr>
          <w:color w:val="000000" w:themeColor="text1"/>
          <w:szCs w:val="22"/>
        </w:rPr>
        <w:t xml:space="preserve">and </w:t>
      </w:r>
      <w:r w:rsidR="00741F83" w:rsidRPr="00DD2C06">
        <w:rPr>
          <w:color w:val="000000" w:themeColor="text1"/>
          <w:szCs w:val="22"/>
        </w:rPr>
        <w:t xml:space="preserve">Macroalgae metrics </w:t>
      </w:r>
      <w:r w:rsidR="00511B42" w:rsidRPr="00DD2C06">
        <w:rPr>
          <w:color w:val="000000" w:themeColor="text1"/>
          <w:szCs w:val="22"/>
        </w:rPr>
        <w:t>(</w:t>
      </w:r>
      <w:r w:rsidR="00C21A97">
        <w:rPr>
          <w:color w:val="000000" w:themeColor="text1"/>
          <w:szCs w:val="22"/>
        </w:rPr>
        <w:t>Figure 9b, d</w:t>
      </w:r>
      <w:r w:rsidR="00511B42" w:rsidRPr="00DD2C06">
        <w:rPr>
          <w:color w:val="000000" w:themeColor="text1"/>
          <w:szCs w:val="22"/>
        </w:rPr>
        <w:t xml:space="preserve">) </w:t>
      </w:r>
      <w:r w:rsidR="00443A53">
        <w:rPr>
          <w:color w:val="000000" w:themeColor="text1"/>
          <w:szCs w:val="22"/>
        </w:rPr>
        <w:t>decline</w:t>
      </w:r>
      <w:r w:rsidR="008B1BBE">
        <w:rPr>
          <w:color w:val="000000" w:themeColor="text1"/>
          <w:szCs w:val="22"/>
        </w:rPr>
        <w:t>d</w:t>
      </w:r>
      <w:r w:rsidR="00443A53">
        <w:rPr>
          <w:color w:val="000000" w:themeColor="text1"/>
          <w:szCs w:val="22"/>
        </w:rPr>
        <w:t xml:space="preserve"> as</w:t>
      </w:r>
      <w:r w:rsidR="008B1BBE">
        <w:rPr>
          <w:color w:val="000000" w:themeColor="text1"/>
          <w:szCs w:val="22"/>
        </w:rPr>
        <w:t xml:space="preserve"> mean</w:t>
      </w:r>
      <w:r w:rsidR="00443A53">
        <w:rPr>
          <w:color w:val="000000" w:themeColor="text1"/>
          <w:szCs w:val="22"/>
        </w:rPr>
        <w:t xml:space="preserve"> Chl a </w:t>
      </w:r>
      <w:r w:rsidR="008B1BBE">
        <w:rPr>
          <w:color w:val="000000" w:themeColor="text1"/>
          <w:szCs w:val="22"/>
        </w:rPr>
        <w:t xml:space="preserve">exceedance </w:t>
      </w:r>
      <w:r w:rsidR="00B71279">
        <w:rPr>
          <w:color w:val="000000" w:themeColor="text1"/>
          <w:szCs w:val="22"/>
        </w:rPr>
        <w:t>increased</w:t>
      </w:r>
      <w:r w:rsidR="00511B42" w:rsidRPr="00DD2C06">
        <w:rPr>
          <w:color w:val="000000" w:themeColor="text1"/>
          <w:szCs w:val="22"/>
        </w:rPr>
        <w:t xml:space="preserve">. </w:t>
      </w:r>
      <w:r w:rsidR="00443A53">
        <w:rPr>
          <w:color w:val="000000" w:themeColor="text1"/>
          <w:szCs w:val="22"/>
        </w:rPr>
        <w:t>At 5</w:t>
      </w:r>
      <w:r w:rsidR="008B1BBE">
        <w:rPr>
          <w:color w:val="000000" w:themeColor="text1"/>
          <w:szCs w:val="22"/>
        </w:rPr>
        <w:t xml:space="preserve"> </w:t>
      </w:r>
      <w:r w:rsidR="00443A53">
        <w:rPr>
          <w:color w:val="000000" w:themeColor="text1"/>
          <w:szCs w:val="22"/>
        </w:rPr>
        <w:t xml:space="preserve">m depth </w:t>
      </w:r>
      <w:r w:rsidR="008B1BBE">
        <w:rPr>
          <w:color w:val="000000" w:themeColor="text1"/>
          <w:szCs w:val="22"/>
        </w:rPr>
        <w:t>Macroalgae scores showed a similar decline as Chl a exceedance increased</w:t>
      </w:r>
      <w:r w:rsidR="00443A53">
        <w:rPr>
          <w:color w:val="000000" w:themeColor="text1"/>
          <w:szCs w:val="22"/>
        </w:rPr>
        <w:t xml:space="preserve"> (Figure 10b)</w:t>
      </w:r>
      <w:r w:rsidR="008B1BBE">
        <w:rPr>
          <w:color w:val="000000" w:themeColor="text1"/>
          <w:szCs w:val="22"/>
        </w:rPr>
        <w:t xml:space="preserve">. Also contributing to the decline in index scores with increasing Chl a concentrations at 5 m depth was </w:t>
      </w:r>
      <w:r w:rsidR="00443A53">
        <w:rPr>
          <w:color w:val="000000" w:themeColor="text1"/>
          <w:szCs w:val="22"/>
        </w:rPr>
        <w:t xml:space="preserve">a higher probability </w:t>
      </w:r>
      <w:r w:rsidR="008B1BBE">
        <w:rPr>
          <w:color w:val="000000" w:themeColor="text1"/>
          <w:szCs w:val="22"/>
        </w:rPr>
        <w:t>that, over the period of the MMP, coral community composition has shifted toward that expected in poorer water quality</w:t>
      </w:r>
      <w:r w:rsidR="00092855">
        <w:rPr>
          <w:color w:val="000000" w:themeColor="text1"/>
          <w:szCs w:val="22"/>
        </w:rPr>
        <w:t>, although this relationship was weak as evidenced by the very low pseudo r-square value for the underlying model</w:t>
      </w:r>
      <w:r w:rsidR="008B1BBE">
        <w:rPr>
          <w:color w:val="000000" w:themeColor="text1"/>
          <w:szCs w:val="22"/>
        </w:rPr>
        <w:t xml:space="preserve"> (Figure 10c). </w:t>
      </w:r>
      <w:r w:rsidR="00DD2C06" w:rsidRPr="00DD2C06">
        <w:rPr>
          <w:color w:val="000000" w:themeColor="text1"/>
          <w:szCs w:val="22"/>
        </w:rPr>
        <w:t xml:space="preserve">. </w:t>
      </w:r>
      <w:r w:rsidR="00C21A97">
        <w:rPr>
          <w:color w:val="000000" w:themeColor="text1"/>
          <w:szCs w:val="22"/>
        </w:rPr>
        <w:t>In addition to a response to Chl a levels the Coral Cover metric show</w:t>
      </w:r>
      <w:r w:rsidR="00092855">
        <w:rPr>
          <w:color w:val="000000" w:themeColor="text1"/>
          <w:szCs w:val="22"/>
        </w:rPr>
        <w:t>ed</w:t>
      </w:r>
      <w:r w:rsidR="00C21A97">
        <w:rPr>
          <w:color w:val="000000" w:themeColor="text1"/>
          <w:szCs w:val="22"/>
        </w:rPr>
        <w:t xml:space="preserve"> a nonlinear</w:t>
      </w:r>
      <w:r w:rsidR="008B1BBE">
        <w:rPr>
          <w:color w:val="000000" w:themeColor="text1"/>
          <w:szCs w:val="22"/>
        </w:rPr>
        <w:t xml:space="preserve"> relationship to</w:t>
      </w:r>
      <w:r w:rsidR="00C21A97">
        <w:rPr>
          <w:color w:val="000000" w:themeColor="text1"/>
          <w:szCs w:val="22"/>
        </w:rPr>
        <w:t xml:space="preserve"> </w:t>
      </w:r>
      <w:r w:rsidR="008B1BBE">
        <w:rPr>
          <w:color w:val="000000" w:themeColor="text1"/>
          <w:szCs w:val="22"/>
        </w:rPr>
        <w:t xml:space="preserve">NAP </w:t>
      </w:r>
      <w:r w:rsidR="00C21A97">
        <w:rPr>
          <w:color w:val="000000" w:themeColor="text1"/>
          <w:szCs w:val="22"/>
        </w:rPr>
        <w:t>concentration</w:t>
      </w:r>
      <w:r w:rsidR="00092855">
        <w:rPr>
          <w:color w:val="000000" w:themeColor="text1"/>
          <w:szCs w:val="22"/>
        </w:rPr>
        <w:t>. For</w:t>
      </w:r>
      <w:r w:rsidR="00C21A97">
        <w:rPr>
          <w:color w:val="000000" w:themeColor="text1"/>
          <w:szCs w:val="22"/>
        </w:rPr>
        <w:t xml:space="preserve"> the most part </w:t>
      </w:r>
      <w:r w:rsidR="00092855">
        <w:rPr>
          <w:color w:val="000000" w:themeColor="text1"/>
          <w:szCs w:val="22"/>
        </w:rPr>
        <w:t xml:space="preserve">Coral Cover scores tend to </w:t>
      </w:r>
      <w:r w:rsidR="00C21A97">
        <w:rPr>
          <w:color w:val="000000" w:themeColor="text1"/>
          <w:szCs w:val="22"/>
        </w:rPr>
        <w:t>declin</w:t>
      </w:r>
      <w:r w:rsidR="00092855">
        <w:rPr>
          <w:color w:val="000000" w:themeColor="text1"/>
          <w:szCs w:val="22"/>
        </w:rPr>
        <w:t xml:space="preserve">e at as mean </w:t>
      </w:r>
      <w:r w:rsidR="00C21A97">
        <w:rPr>
          <w:color w:val="000000" w:themeColor="text1"/>
          <w:szCs w:val="22"/>
        </w:rPr>
        <w:t>NAP levels increase</w:t>
      </w:r>
      <w:r w:rsidR="008B1BBE">
        <w:rPr>
          <w:color w:val="000000" w:themeColor="text1"/>
          <w:szCs w:val="22"/>
        </w:rPr>
        <w:t xml:space="preserve"> (Figure </w:t>
      </w:r>
      <w:r w:rsidR="009F6D99">
        <w:rPr>
          <w:color w:val="000000" w:themeColor="text1"/>
          <w:szCs w:val="22"/>
        </w:rPr>
        <w:t xml:space="preserve">9c). This relationship is not monotonic however, due to the relatively high </w:t>
      </w:r>
      <w:r w:rsidR="00092855">
        <w:rPr>
          <w:color w:val="000000" w:themeColor="text1"/>
          <w:szCs w:val="22"/>
        </w:rPr>
        <w:t>C</w:t>
      </w:r>
      <w:r w:rsidR="009F6D99">
        <w:rPr>
          <w:color w:val="000000" w:themeColor="text1"/>
          <w:szCs w:val="22"/>
        </w:rPr>
        <w:t>oral Cover score at Middle Reef</w:t>
      </w:r>
      <w:r w:rsidR="00443A53">
        <w:rPr>
          <w:color w:val="000000" w:themeColor="text1"/>
          <w:szCs w:val="22"/>
        </w:rPr>
        <w:t xml:space="preserve"> in the Burdekin Region</w:t>
      </w:r>
      <w:r w:rsidR="009F6D99">
        <w:rPr>
          <w:color w:val="000000" w:themeColor="text1"/>
          <w:szCs w:val="22"/>
        </w:rPr>
        <w:t xml:space="preserve"> which is the </w:t>
      </w:r>
      <w:r w:rsidR="00092855">
        <w:rPr>
          <w:color w:val="000000" w:themeColor="text1"/>
          <w:szCs w:val="22"/>
        </w:rPr>
        <w:t xml:space="preserve">only site </w:t>
      </w:r>
      <w:r w:rsidR="009F6D99">
        <w:rPr>
          <w:color w:val="000000" w:themeColor="text1"/>
          <w:szCs w:val="22"/>
        </w:rPr>
        <w:t>where</w:t>
      </w:r>
      <w:r w:rsidR="00443A53">
        <w:rPr>
          <w:color w:val="000000" w:themeColor="text1"/>
          <w:szCs w:val="22"/>
        </w:rPr>
        <w:t xml:space="preserve"> </w:t>
      </w:r>
      <w:r w:rsidR="009F6D99">
        <w:rPr>
          <w:color w:val="000000" w:themeColor="text1"/>
          <w:szCs w:val="22"/>
        </w:rPr>
        <w:t xml:space="preserve">mean </w:t>
      </w:r>
      <w:r w:rsidR="00443A53">
        <w:rPr>
          <w:color w:val="000000" w:themeColor="text1"/>
          <w:szCs w:val="22"/>
        </w:rPr>
        <w:t xml:space="preserve">NAP concentrations </w:t>
      </w:r>
      <w:r w:rsidR="00092855">
        <w:rPr>
          <w:color w:val="000000" w:themeColor="text1"/>
          <w:szCs w:val="22"/>
        </w:rPr>
        <w:t>of 3.4</w:t>
      </w:r>
      <w:r w:rsidR="00443A53">
        <w:rPr>
          <w:color w:val="000000" w:themeColor="text1"/>
          <w:szCs w:val="22"/>
        </w:rPr>
        <w:t>mgL</w:t>
      </w:r>
      <w:r w:rsidR="00443A53" w:rsidRPr="00C82ABC">
        <w:rPr>
          <w:color w:val="000000" w:themeColor="text1"/>
          <w:szCs w:val="22"/>
          <w:vertAlign w:val="superscript"/>
        </w:rPr>
        <w:t>-1</w:t>
      </w:r>
      <w:r w:rsidR="00092855">
        <w:rPr>
          <w:color w:val="000000" w:themeColor="text1"/>
          <w:szCs w:val="22"/>
        </w:rPr>
        <w:t>, exceed the mean of 2.3mgL</w:t>
      </w:r>
      <w:r w:rsidR="00092855" w:rsidRPr="00C82ABC">
        <w:rPr>
          <w:color w:val="000000" w:themeColor="text1"/>
          <w:szCs w:val="22"/>
          <w:vertAlign w:val="superscript"/>
        </w:rPr>
        <w:t>-1</w:t>
      </w:r>
      <w:r w:rsidR="00092855">
        <w:rPr>
          <w:color w:val="000000" w:themeColor="text1"/>
          <w:szCs w:val="22"/>
        </w:rPr>
        <w:t xml:space="preserve"> observed at Peak Island in the Fitzroy Region</w:t>
      </w:r>
      <w:r w:rsidR="00B71279">
        <w:rPr>
          <w:color w:val="000000" w:themeColor="text1"/>
          <w:szCs w:val="22"/>
        </w:rPr>
        <w:t>.</w:t>
      </w:r>
    </w:p>
    <w:p w14:paraId="154112A8" w14:textId="77777777" w:rsidR="00606A50" w:rsidRDefault="00606A50" w:rsidP="00FF6E56">
      <w:pPr>
        <w:rPr>
          <w:color w:val="000000" w:themeColor="text1"/>
          <w:szCs w:val="22"/>
        </w:rPr>
      </w:pPr>
    </w:p>
    <w:p w14:paraId="558E29F1" w14:textId="3A928303" w:rsidR="002B40C9" w:rsidRDefault="00606A50" w:rsidP="00FF6E56">
      <w:pPr>
        <w:rPr>
          <w:color w:val="000000" w:themeColor="text1"/>
          <w:szCs w:val="22"/>
        </w:rPr>
      </w:pPr>
      <w:r>
        <w:rPr>
          <w:noProof/>
          <w:color w:val="000000" w:themeColor="text1"/>
          <w:szCs w:val="22"/>
          <w:lang w:val="en-AU" w:eastAsia="en-AU"/>
        </w:rPr>
        <w:drawing>
          <wp:inline distT="0" distB="0" distL="0" distR="0" wp14:anchorId="21B8CBA7" wp14:editId="59482F3D">
            <wp:extent cx="6120765" cy="3825240"/>
            <wp:effectExtent l="0" t="0" r="0" b="3810"/>
            <wp:docPr id="232" name="Picture 232" descr="Plots presenting results of significant relatinships between the index and metrics to enviroenmental covariates of Chlorophyll and NAP observed at 2m depths in 2017. There is a negative relationship between Chlorophyll concentration and scores for the index, macroalgae and coral cover. also a generally negative relationship between NAP concentration and Coral Cover." title="relationship between index and metric scores and environmental condion, 2 meter dep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metric.scores.glm.2m.pn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6120765" cy="3825240"/>
                    </a:xfrm>
                    <a:prstGeom prst="rect">
                      <a:avLst/>
                    </a:prstGeom>
                  </pic:spPr>
                </pic:pic>
              </a:graphicData>
            </a:graphic>
          </wp:inline>
        </w:drawing>
      </w:r>
    </w:p>
    <w:p w14:paraId="40ED4D20" w14:textId="77777777" w:rsidR="00606A50" w:rsidRDefault="00E8797E" w:rsidP="00606A50">
      <w:pPr>
        <w:pStyle w:val="Caption"/>
        <w:rPr>
          <w:rStyle w:val="IntenseReference"/>
          <w:rFonts w:eastAsia="SimSun"/>
        </w:rPr>
      </w:pPr>
      <w:bookmarkStart w:id="131" w:name="_Ref491163149"/>
      <w:bookmarkStart w:id="132" w:name="_Toc514335654"/>
      <w:r w:rsidRPr="004252BF">
        <w:t xml:space="preserve">Figure </w:t>
      </w:r>
      <w:r w:rsidR="00FE19A9" w:rsidRPr="00626D6B">
        <w:fldChar w:fldCharType="begin"/>
      </w:r>
      <w:r w:rsidR="00FE19A9" w:rsidRPr="004252BF">
        <w:instrText xml:space="preserve"> SEQ Figure \* ARABIC </w:instrText>
      </w:r>
      <w:r w:rsidR="00FE19A9" w:rsidRPr="00626D6B">
        <w:fldChar w:fldCharType="separate"/>
      </w:r>
      <w:r w:rsidR="00A75175">
        <w:rPr>
          <w:noProof/>
        </w:rPr>
        <w:t>9</w:t>
      </w:r>
      <w:r w:rsidR="00FE19A9" w:rsidRPr="00626D6B">
        <w:fldChar w:fldCharType="end"/>
      </w:r>
      <w:bookmarkEnd w:id="131"/>
      <w:r w:rsidRPr="004252BF">
        <w:t xml:space="preserve"> </w:t>
      </w:r>
      <w:bookmarkEnd w:id="132"/>
      <w:r w:rsidR="00606A50">
        <w:t>C</w:t>
      </w:r>
      <w:r w:rsidR="00606A50" w:rsidRPr="004252BF">
        <w:t xml:space="preserve">oral index </w:t>
      </w:r>
      <w:r w:rsidR="00606A50">
        <w:t>and metric score relationships to</w:t>
      </w:r>
      <w:r w:rsidR="00606A50" w:rsidRPr="004252BF">
        <w:t xml:space="preserve"> environmental conditions</w:t>
      </w:r>
      <w:r w:rsidR="00606A50">
        <w:t xml:space="preserve"> at 2 m depth sites</w:t>
      </w:r>
      <w:r w:rsidR="00606A50" w:rsidRPr="004252BF">
        <w:t>.</w:t>
      </w:r>
      <w:r w:rsidR="00606A50" w:rsidRPr="00626D6B">
        <w:rPr>
          <w:rStyle w:val="IntenseReference"/>
          <w:rFonts w:eastAsia="SimSun"/>
        </w:rPr>
        <w:t xml:space="preserve"> </w:t>
      </w:r>
      <w:r w:rsidR="00606A50">
        <w:rPr>
          <w:rStyle w:val="IntenseReference"/>
          <w:rFonts w:eastAsia="SimSun"/>
        </w:rPr>
        <w:t xml:space="preserve">Only index or metric score and Chl a or NAP combinations for which AICc comparisons to a null model indicated a response are included. Plots present predicted relationship bounded by the 95% </w:t>
      </w:r>
      <w:r w:rsidR="00606A50" w:rsidRPr="00626D6B">
        <w:rPr>
          <w:rStyle w:val="IntenseReference"/>
          <w:rFonts w:eastAsia="SimSun"/>
        </w:rPr>
        <w:t xml:space="preserve">confidence intervals of </w:t>
      </w:r>
      <w:r w:rsidR="00606A50">
        <w:rPr>
          <w:rStyle w:val="IntenseReference"/>
          <w:rFonts w:eastAsia="SimSun"/>
        </w:rPr>
        <w:t xml:space="preserve">the </w:t>
      </w:r>
      <w:r w:rsidR="00606A50" w:rsidRPr="00626D6B">
        <w:rPr>
          <w:rStyle w:val="IntenseReference"/>
          <w:rFonts w:eastAsia="SimSun"/>
        </w:rPr>
        <w:t>prediction.</w:t>
      </w:r>
      <w:r w:rsidR="00606A50">
        <w:rPr>
          <w:rStyle w:val="IntenseReference"/>
          <w:rFonts w:eastAsia="SimSun"/>
        </w:rPr>
        <w:t xml:space="preserve"> R-square values indicate the proportion of variability in scores explained by the predicted relationship.</w:t>
      </w:r>
    </w:p>
    <w:p w14:paraId="36F1663B" w14:textId="3BE3C820" w:rsidR="00FF6E56" w:rsidRPr="00F352E1" w:rsidRDefault="009B6C07" w:rsidP="00606A50">
      <w:pPr>
        <w:pStyle w:val="Caption"/>
        <w:rPr>
          <w:color w:val="4F81BD" w:themeColor="accent1"/>
          <w:szCs w:val="22"/>
        </w:rPr>
      </w:pPr>
      <w:r>
        <w:rPr>
          <w:noProof/>
          <w:color w:val="4F81BD" w:themeColor="accent1"/>
          <w:szCs w:val="22"/>
          <w:lang w:val="en-AU" w:eastAsia="en-AU"/>
        </w:rPr>
        <w:drawing>
          <wp:inline distT="0" distB="0" distL="0" distR="0" wp14:anchorId="2C813DF5" wp14:editId="32670836">
            <wp:extent cx="6120765" cy="3825240"/>
            <wp:effectExtent l="0" t="0" r="0" b="3810"/>
            <wp:docPr id="237" name="Picture 237" descr="Plots illustrating the negative relationship between Chlorophyll concentration and scores for the index, macroalgae and Composition metrics at 5m deopths in 2017. " title="relationship between index and metric scores and environmental condion, 5 meter dep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metric.scores.glm.5m.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6120765" cy="3825240"/>
                    </a:xfrm>
                    <a:prstGeom prst="rect">
                      <a:avLst/>
                    </a:prstGeom>
                  </pic:spPr>
                </pic:pic>
              </a:graphicData>
            </a:graphic>
          </wp:inline>
        </w:drawing>
      </w:r>
    </w:p>
    <w:p w14:paraId="65EBC3C4" w14:textId="56405441" w:rsidR="00357FC4" w:rsidRDefault="00E8797E" w:rsidP="00606A50">
      <w:pPr>
        <w:pStyle w:val="Caption"/>
        <w:rPr>
          <w:rStyle w:val="IntenseReference"/>
          <w:rFonts w:eastAsia="SimSun"/>
        </w:rPr>
      </w:pPr>
      <w:bookmarkStart w:id="133" w:name="_Ref491163585"/>
      <w:bookmarkStart w:id="134" w:name="_Toc514335655"/>
      <w:r w:rsidRPr="004252BF">
        <w:t xml:space="preserve">Figure </w:t>
      </w:r>
      <w:r w:rsidR="00FE19A9" w:rsidRPr="00626D6B">
        <w:fldChar w:fldCharType="begin"/>
      </w:r>
      <w:r w:rsidR="00FE19A9" w:rsidRPr="004252BF">
        <w:instrText xml:space="preserve"> SEQ Figure \* ARABIC </w:instrText>
      </w:r>
      <w:r w:rsidR="00FE19A9" w:rsidRPr="00626D6B">
        <w:fldChar w:fldCharType="separate"/>
      </w:r>
      <w:r w:rsidR="00A75175">
        <w:rPr>
          <w:noProof/>
        </w:rPr>
        <w:t>10</w:t>
      </w:r>
      <w:r w:rsidR="00FE19A9" w:rsidRPr="00626D6B">
        <w:fldChar w:fldCharType="end"/>
      </w:r>
      <w:bookmarkEnd w:id="133"/>
      <w:r w:rsidRPr="004252BF">
        <w:t xml:space="preserve"> </w:t>
      </w:r>
      <w:r w:rsidR="00F41349">
        <w:t>C</w:t>
      </w:r>
      <w:r w:rsidR="00F41349" w:rsidRPr="004252BF">
        <w:t xml:space="preserve">oral index </w:t>
      </w:r>
      <w:r w:rsidR="00F41349">
        <w:t>and metric score relationships to</w:t>
      </w:r>
      <w:r w:rsidR="00F41349" w:rsidRPr="004252BF">
        <w:t xml:space="preserve"> environmental conditions</w:t>
      </w:r>
      <w:r w:rsidR="00F41349">
        <w:t xml:space="preserve"> at 5 m depth sites</w:t>
      </w:r>
      <w:r w:rsidR="00F41349" w:rsidRPr="004252BF">
        <w:t>.</w:t>
      </w:r>
      <w:r w:rsidR="00F41349" w:rsidRPr="00626D6B">
        <w:rPr>
          <w:rStyle w:val="IntenseReference"/>
          <w:rFonts w:eastAsia="SimSun"/>
        </w:rPr>
        <w:t xml:space="preserve"> </w:t>
      </w:r>
      <w:r w:rsidR="00F41349">
        <w:rPr>
          <w:rStyle w:val="IntenseReference"/>
          <w:rFonts w:eastAsia="SimSun"/>
        </w:rPr>
        <w:t xml:space="preserve">Only index or metric score and Chl a or NAP combinations for which AICc comparisons to a null model indicated a response are included. Plots present predicted relationship bounded by the 95% </w:t>
      </w:r>
      <w:r w:rsidR="00F41349" w:rsidRPr="00626D6B">
        <w:rPr>
          <w:rStyle w:val="IntenseReference"/>
          <w:rFonts w:eastAsia="SimSun"/>
        </w:rPr>
        <w:t xml:space="preserve">confidence intervals of </w:t>
      </w:r>
      <w:r w:rsidR="00F41349">
        <w:rPr>
          <w:rStyle w:val="IntenseReference"/>
          <w:rFonts w:eastAsia="SimSun"/>
        </w:rPr>
        <w:t xml:space="preserve">the </w:t>
      </w:r>
      <w:r w:rsidR="00F41349" w:rsidRPr="00626D6B">
        <w:rPr>
          <w:rStyle w:val="IntenseReference"/>
          <w:rFonts w:eastAsia="SimSun"/>
        </w:rPr>
        <w:t>prediction.</w:t>
      </w:r>
      <w:r w:rsidR="00F41349">
        <w:rPr>
          <w:rStyle w:val="IntenseReference"/>
          <w:rFonts w:eastAsia="SimSun"/>
        </w:rPr>
        <w:t xml:space="preserve"> R-square values indicate the proportion of variability in scores explained by the predicted relationship.</w:t>
      </w:r>
      <w:bookmarkEnd w:id="134"/>
    </w:p>
    <w:p w14:paraId="6854CA2C" w14:textId="7D50095F" w:rsidR="00606A50" w:rsidRDefault="00606A50">
      <w:pPr>
        <w:jc w:val="left"/>
        <w:rPr>
          <w:szCs w:val="22"/>
        </w:rPr>
      </w:pPr>
      <w:r>
        <w:rPr>
          <w:szCs w:val="22"/>
        </w:rPr>
        <w:br w:type="page"/>
      </w:r>
    </w:p>
    <w:p w14:paraId="59331AFC" w14:textId="75F58DFB" w:rsidR="00BD49B5" w:rsidRDefault="00357FC4" w:rsidP="00247FC8">
      <w:pPr>
        <w:pStyle w:val="Heading3"/>
      </w:pPr>
      <w:r w:rsidRPr="00F352E1">
        <w:rPr>
          <w:szCs w:val="22"/>
        </w:rPr>
        <w:t xml:space="preserve"> </w:t>
      </w:r>
      <w:bookmarkStart w:id="135" w:name="_Ref503361215"/>
      <w:bookmarkStart w:id="136" w:name="_Toc514408409"/>
      <w:r w:rsidR="00BD49B5" w:rsidRPr="00F352E1">
        <w:t>5.1.4 Influence of discharge and catchment loads</w:t>
      </w:r>
      <w:bookmarkEnd w:id="135"/>
      <w:bookmarkEnd w:id="136"/>
    </w:p>
    <w:p w14:paraId="4CE48600" w14:textId="0EBF8B6E" w:rsidR="00606A50" w:rsidRDefault="00036C05" w:rsidP="00606A50">
      <w:pPr>
        <w:rPr>
          <w:color w:val="000000" w:themeColor="text1"/>
        </w:rPr>
      </w:pPr>
      <w:r>
        <w:rPr>
          <w:color w:val="000000" w:themeColor="text1"/>
        </w:rPr>
        <w:t xml:space="preserve">During </w:t>
      </w:r>
      <w:r w:rsidRPr="00655BE6">
        <w:rPr>
          <w:color w:val="000000" w:themeColor="text1"/>
        </w:rPr>
        <w:t xml:space="preserve">periods that reefs were not impacted by acute disturbances (cyclones, bleaching, COTS or direct exposure to low salinity floodwaters) </w:t>
      </w:r>
      <w:r>
        <w:rPr>
          <w:color w:val="000000" w:themeColor="text1"/>
        </w:rPr>
        <w:t>biennial change</w:t>
      </w:r>
      <w:r w:rsidRPr="00655BE6">
        <w:rPr>
          <w:color w:val="000000" w:themeColor="text1"/>
        </w:rPr>
        <w:t xml:space="preserve"> in index scores </w:t>
      </w:r>
      <w:r>
        <w:rPr>
          <w:color w:val="000000" w:themeColor="text1"/>
        </w:rPr>
        <w:t xml:space="preserve">were </w:t>
      </w:r>
      <w:r w:rsidRPr="00655BE6">
        <w:rPr>
          <w:color w:val="000000" w:themeColor="text1"/>
        </w:rPr>
        <w:t>negative</w:t>
      </w:r>
      <w:r>
        <w:rPr>
          <w:color w:val="000000" w:themeColor="text1"/>
        </w:rPr>
        <w:t>ly related to discharge from the local catchments (</w:t>
      </w:r>
      <w:r w:rsidR="00035EA5">
        <w:rPr>
          <w:color w:val="000000" w:themeColor="text1"/>
        </w:rPr>
        <w:t>Table 9</w:t>
      </w:r>
      <w:r>
        <w:rPr>
          <w:color w:val="000000" w:themeColor="text1"/>
        </w:rPr>
        <w:t xml:space="preserve">, </w:t>
      </w:r>
      <w:r w:rsidRPr="00655BE6">
        <w:rPr>
          <w:color w:val="000000" w:themeColor="text1"/>
        </w:rPr>
        <w:t>Figure 11</w:t>
      </w:r>
      <w:r>
        <w:rPr>
          <w:color w:val="000000" w:themeColor="text1"/>
        </w:rPr>
        <w:t xml:space="preserve">). In both the Burdekin and Fitzroy regions monotonic declines in recovery, measured as biennial change in index scores, were associated with increasing discharge from the region’s catchments as well as increasing exposure to above GL values of Chl </w:t>
      </w:r>
      <w:r w:rsidRPr="00C13E4F">
        <w:rPr>
          <w:i/>
          <w:color w:val="000000" w:themeColor="text1"/>
        </w:rPr>
        <w:t>a</w:t>
      </w:r>
      <w:r>
        <w:rPr>
          <w:i/>
          <w:color w:val="000000" w:themeColor="text1"/>
        </w:rPr>
        <w:t xml:space="preserve"> </w:t>
      </w:r>
      <w:r w:rsidRPr="00A93153">
        <w:rPr>
          <w:color w:val="000000" w:themeColor="text1"/>
        </w:rPr>
        <w:t>over the summer period</w:t>
      </w:r>
      <w:r>
        <w:rPr>
          <w:color w:val="000000" w:themeColor="text1"/>
        </w:rPr>
        <w:t xml:space="preserve"> (</w:t>
      </w:r>
      <w:r w:rsidR="00035EA5">
        <w:rPr>
          <w:color w:val="000000" w:themeColor="text1"/>
        </w:rPr>
        <w:t>Table 9</w:t>
      </w:r>
      <w:r w:rsidRPr="00655BE6">
        <w:rPr>
          <w:color w:val="000000" w:themeColor="text1"/>
        </w:rPr>
        <w:t xml:space="preserve">). </w:t>
      </w:r>
      <w:r>
        <w:rPr>
          <w:color w:val="000000" w:themeColor="text1"/>
        </w:rPr>
        <w:t>In each of the Burdekin, Fitzroy and Wet Tropics regions, loads of N and P captured variation in changes in index scores. Where these relationships were not monotonic the flexibility of the model applied would have contributed to the variance explained. In each case, predicted changes in the index were consistently positive at the lowest nutrient loads. The weakest relationship between index scores and environmental variables occurred in the Mackay Whitsunday region where there was marginal evidence for lower change in index scores during years of high discharge of high turbidity (</w:t>
      </w:r>
      <w:r w:rsidR="00035EA5">
        <w:rPr>
          <w:color w:val="000000" w:themeColor="text1"/>
        </w:rPr>
        <w:t>Table 9</w:t>
      </w:r>
      <w:r>
        <w:rPr>
          <w:color w:val="000000" w:themeColor="text1"/>
        </w:rPr>
        <w:t xml:space="preserve">). </w:t>
      </w:r>
    </w:p>
    <w:p w14:paraId="2B7C9F5A" w14:textId="77777777" w:rsidR="00036C05" w:rsidRDefault="00036C05" w:rsidP="00606A50">
      <w:pPr>
        <w:pStyle w:val="Caption"/>
        <w:rPr>
          <w:rStyle w:val="IntenseReference"/>
          <w:rFonts w:eastAsia="SimSun"/>
          <w:color w:val="auto"/>
        </w:rPr>
      </w:pPr>
      <w:bookmarkStart w:id="137" w:name="_Ref491164625"/>
      <w:bookmarkStart w:id="138" w:name="_Toc514407857"/>
      <w:r w:rsidRPr="00F352E1">
        <w:t xml:space="preserve">Table </w:t>
      </w:r>
      <w:r>
        <w:fldChar w:fldCharType="begin"/>
      </w:r>
      <w:r>
        <w:instrText xml:space="preserve"> SEQ Table \* ARABIC </w:instrText>
      </w:r>
      <w:r>
        <w:fldChar w:fldCharType="separate"/>
      </w:r>
      <w:r w:rsidR="00A75175">
        <w:rPr>
          <w:noProof/>
        </w:rPr>
        <w:t>9</w:t>
      </w:r>
      <w:r>
        <w:rPr>
          <w:noProof/>
        </w:rPr>
        <w:fldChar w:fldCharType="end"/>
      </w:r>
      <w:bookmarkEnd w:id="137"/>
      <w:r w:rsidRPr="00F352E1">
        <w:t xml:space="preserve"> Relationship between changes in index scores and </w:t>
      </w:r>
      <w:r>
        <w:t>environmental conditions</w:t>
      </w:r>
      <w:r w:rsidRPr="00F352E1">
        <w:t xml:space="preserve">. </w:t>
      </w:r>
      <w:r w:rsidRPr="004C26C1">
        <w:rPr>
          <w:rStyle w:val="IntenseReference"/>
          <w:rFonts w:eastAsia="SimSun"/>
          <w:color w:val="auto"/>
        </w:rPr>
        <w:t>Tabulated are the model R-square value</w:t>
      </w:r>
      <w:r>
        <w:rPr>
          <w:rStyle w:val="IntenseReference"/>
          <w:rFonts w:eastAsia="SimSun"/>
          <w:color w:val="auto"/>
        </w:rPr>
        <w:t>s for each combination of index score change within Regions and environmental covariates</w:t>
      </w:r>
      <w:r w:rsidRPr="004C26C1">
        <w:rPr>
          <w:rStyle w:val="IntenseReference"/>
          <w:rFonts w:eastAsia="SimSun"/>
          <w:color w:val="auto"/>
        </w:rPr>
        <w:t xml:space="preserve">. </w:t>
      </w:r>
      <w:r>
        <w:rPr>
          <w:rStyle w:val="IntenseReference"/>
          <w:rFonts w:eastAsia="SimSun"/>
          <w:color w:val="auto"/>
        </w:rPr>
        <w:t>Bold font indicates statistically supported (P</w:t>
      </w:r>
      <w:r w:rsidR="00BE148D">
        <w:rPr>
          <w:rStyle w:val="IntenseReference"/>
          <w:rFonts w:eastAsia="SimSun"/>
          <w:color w:val="auto"/>
        </w:rPr>
        <w:t>-values</w:t>
      </w:r>
      <w:r>
        <w:rPr>
          <w:rStyle w:val="IntenseReference"/>
          <w:rFonts w:eastAsia="SimSun"/>
          <w:color w:val="auto"/>
        </w:rPr>
        <w:t xml:space="preserve">&lt;0.05) relationships were observed. These relationships were either monotonic higher increase in index scores at lower exposures to the environmental covariate (darker shading), Not monotonic </w:t>
      </w:r>
      <w:r w:rsidR="00A349DF">
        <w:rPr>
          <w:rStyle w:val="IntenseReference"/>
          <w:rFonts w:eastAsia="SimSun"/>
          <w:color w:val="auto"/>
        </w:rPr>
        <w:t xml:space="preserve">with </w:t>
      </w:r>
      <w:r>
        <w:rPr>
          <w:rStyle w:val="IntenseReference"/>
          <w:rFonts w:eastAsia="SimSun"/>
          <w:color w:val="auto"/>
        </w:rPr>
        <w:t xml:space="preserve">higher changes in index scores occurred at lower exposures (*), or not monotonic. Lighter shading indicates where monotonic declines in index change corresponded to increasing exposure </w:t>
      </w:r>
      <w:r w:rsidR="00A349DF">
        <w:rPr>
          <w:rStyle w:val="IntenseReference"/>
          <w:rFonts w:eastAsia="SimSun"/>
          <w:color w:val="auto"/>
        </w:rPr>
        <w:t>al</w:t>
      </w:r>
      <w:r>
        <w:rPr>
          <w:rStyle w:val="IntenseReference"/>
          <w:rFonts w:eastAsia="SimSun"/>
          <w:color w:val="auto"/>
        </w:rPr>
        <w:t>though the relationship was only weakly supported (P</w:t>
      </w:r>
      <w:r w:rsidR="00BE148D">
        <w:rPr>
          <w:rStyle w:val="IntenseReference"/>
          <w:rFonts w:eastAsia="SimSun"/>
          <w:color w:val="auto"/>
        </w:rPr>
        <w:t>-values</w:t>
      </w:r>
      <w:r>
        <w:rPr>
          <w:rStyle w:val="IntenseReference"/>
          <w:rFonts w:eastAsia="SimSun"/>
          <w:color w:val="auto"/>
        </w:rPr>
        <w:t xml:space="preserve"> between 0.05 and 0.1). Results for Total N and P are b</w:t>
      </w:r>
      <w:r>
        <w:t>ased on data provided by the State of Queensland (Department of Science, Information Technology and Innovation) 2016.</w:t>
      </w:r>
      <w:bookmarkEnd w:id="138"/>
    </w:p>
    <w:tbl>
      <w:tblPr>
        <w:tblStyle w:val="TableGrid5"/>
        <w:tblW w:w="9209" w:type="dxa"/>
        <w:tblLayout w:type="fixed"/>
        <w:tblLook w:val="04A0" w:firstRow="1" w:lastRow="0" w:firstColumn="1" w:lastColumn="0" w:noHBand="0" w:noVBand="1"/>
        <w:tblCaption w:val="relatioonship between index scores and variability in environemntal conditions"/>
        <w:tblDescription w:val="A table listing the significance and r-square values for temporal relationships between the coral index and a range of waterquality and riverine discharge parameters. Salient points are described in the main text."/>
      </w:tblPr>
      <w:tblGrid>
        <w:gridCol w:w="1838"/>
        <w:gridCol w:w="1474"/>
        <w:gridCol w:w="1474"/>
        <w:gridCol w:w="1474"/>
        <w:gridCol w:w="1474"/>
        <w:gridCol w:w="1475"/>
      </w:tblGrid>
      <w:tr w:rsidR="00036C05" w:rsidRPr="00AA43B2" w14:paraId="0A0B6108" w14:textId="77777777" w:rsidTr="001E472C">
        <w:trPr>
          <w:tblHeader/>
        </w:trPr>
        <w:tc>
          <w:tcPr>
            <w:tcW w:w="1838" w:type="dxa"/>
          </w:tcPr>
          <w:p w14:paraId="66F9FF88" w14:textId="77777777" w:rsidR="00036C05" w:rsidRPr="00AA43B2" w:rsidRDefault="00036C05" w:rsidP="00036C05">
            <w:pPr>
              <w:jc w:val="left"/>
              <w:rPr>
                <w:rFonts w:ascii="Arial Narrow" w:hAnsi="Arial Narrow"/>
                <w:bCs/>
                <w:color w:val="000000"/>
              </w:rPr>
            </w:pPr>
            <w:r w:rsidRPr="00AA43B2">
              <w:rPr>
                <w:rFonts w:ascii="Arial Narrow" w:hAnsi="Arial Narrow"/>
                <w:bCs/>
                <w:color w:val="000000"/>
              </w:rPr>
              <w:t>Region</w:t>
            </w:r>
          </w:p>
        </w:tc>
        <w:tc>
          <w:tcPr>
            <w:tcW w:w="1474" w:type="dxa"/>
          </w:tcPr>
          <w:p w14:paraId="1FCCFB52" w14:textId="77777777" w:rsidR="00036C05" w:rsidRPr="00AA43B2" w:rsidRDefault="00036C05" w:rsidP="00036C05">
            <w:pPr>
              <w:jc w:val="center"/>
              <w:rPr>
                <w:rFonts w:ascii="Arial Narrow" w:hAnsi="Arial Narrow"/>
                <w:bCs/>
                <w:color w:val="000000"/>
              </w:rPr>
            </w:pPr>
            <w:r w:rsidRPr="00AA43B2">
              <w:rPr>
                <w:rFonts w:ascii="Arial Narrow" w:hAnsi="Arial Narrow"/>
                <w:bCs/>
                <w:color w:val="000000"/>
              </w:rPr>
              <w:t>Freshwater Discharge</w:t>
            </w:r>
          </w:p>
        </w:tc>
        <w:tc>
          <w:tcPr>
            <w:tcW w:w="1474" w:type="dxa"/>
          </w:tcPr>
          <w:p w14:paraId="15D23662" w14:textId="77777777" w:rsidR="00036C05" w:rsidRPr="00AA43B2" w:rsidRDefault="00036C05" w:rsidP="00036C05">
            <w:pPr>
              <w:jc w:val="center"/>
              <w:rPr>
                <w:rFonts w:ascii="Arial Narrow" w:hAnsi="Arial Narrow"/>
                <w:bCs/>
                <w:color w:val="000000"/>
              </w:rPr>
            </w:pPr>
            <w:r w:rsidRPr="00AA43B2">
              <w:rPr>
                <w:rFonts w:ascii="Arial Narrow" w:hAnsi="Arial Narrow"/>
                <w:bCs/>
                <w:color w:val="000000"/>
              </w:rPr>
              <w:t>Total N river load</w:t>
            </w:r>
          </w:p>
        </w:tc>
        <w:tc>
          <w:tcPr>
            <w:tcW w:w="1474" w:type="dxa"/>
          </w:tcPr>
          <w:p w14:paraId="3C7D0CEB" w14:textId="77777777" w:rsidR="00036C05" w:rsidRPr="00AA43B2" w:rsidRDefault="00036C05" w:rsidP="00036C05">
            <w:pPr>
              <w:jc w:val="center"/>
              <w:rPr>
                <w:rFonts w:ascii="Arial Narrow" w:hAnsi="Arial Narrow"/>
                <w:bCs/>
                <w:color w:val="000000"/>
              </w:rPr>
            </w:pPr>
            <w:r w:rsidRPr="00AA43B2">
              <w:rPr>
                <w:rFonts w:ascii="Arial Narrow" w:hAnsi="Arial Narrow"/>
                <w:bCs/>
                <w:color w:val="000000"/>
              </w:rPr>
              <w:t>Total P river load</w:t>
            </w:r>
          </w:p>
        </w:tc>
        <w:tc>
          <w:tcPr>
            <w:tcW w:w="1474" w:type="dxa"/>
          </w:tcPr>
          <w:p w14:paraId="24655982" w14:textId="77777777" w:rsidR="00036C05" w:rsidRPr="00AA43B2" w:rsidRDefault="00036C05" w:rsidP="00036C05">
            <w:pPr>
              <w:jc w:val="center"/>
              <w:rPr>
                <w:rFonts w:ascii="Arial Narrow" w:eastAsia="Calibri" w:hAnsi="Arial Narrow"/>
                <w:bCs/>
                <w:color w:val="000000"/>
              </w:rPr>
            </w:pPr>
            <w:r w:rsidRPr="00AA43B2">
              <w:rPr>
                <w:rFonts w:ascii="Arial Narrow" w:eastAsia="Calibri" w:hAnsi="Arial Narrow"/>
                <w:bCs/>
                <w:color w:val="000000"/>
              </w:rPr>
              <w:t>Non algal particulates (reef)</w:t>
            </w:r>
          </w:p>
        </w:tc>
        <w:tc>
          <w:tcPr>
            <w:tcW w:w="1475" w:type="dxa"/>
          </w:tcPr>
          <w:p w14:paraId="5F27844D" w14:textId="77777777" w:rsidR="00036C05" w:rsidRPr="00AA43B2" w:rsidRDefault="00036C05" w:rsidP="00036C05">
            <w:pPr>
              <w:jc w:val="center"/>
              <w:rPr>
                <w:rFonts w:ascii="Arial Narrow" w:eastAsia="Calibri" w:hAnsi="Arial Narrow"/>
                <w:bCs/>
                <w:color w:val="000000"/>
              </w:rPr>
            </w:pPr>
            <w:r w:rsidRPr="00AA43B2">
              <w:rPr>
                <w:rFonts w:ascii="Arial Narrow" w:eastAsia="Calibri" w:hAnsi="Arial Narrow"/>
                <w:bCs/>
                <w:color w:val="000000"/>
              </w:rPr>
              <w:t>Chlorophyll (reef)</w:t>
            </w:r>
          </w:p>
        </w:tc>
      </w:tr>
      <w:tr w:rsidR="00036C05" w:rsidRPr="00AA43B2" w14:paraId="758286E1" w14:textId="77777777" w:rsidTr="001E472C">
        <w:trPr>
          <w:tblHeader/>
        </w:trPr>
        <w:tc>
          <w:tcPr>
            <w:tcW w:w="1838" w:type="dxa"/>
          </w:tcPr>
          <w:p w14:paraId="71962853" w14:textId="77777777" w:rsidR="00036C05" w:rsidRPr="00AA43B2" w:rsidRDefault="00036C05" w:rsidP="00036C05">
            <w:pPr>
              <w:jc w:val="left"/>
              <w:rPr>
                <w:rFonts w:ascii="Arial Narrow" w:hAnsi="Arial Narrow"/>
                <w:bCs/>
                <w:color w:val="000000"/>
              </w:rPr>
            </w:pPr>
            <w:r w:rsidRPr="00AA43B2">
              <w:rPr>
                <w:rFonts w:ascii="Arial Narrow" w:hAnsi="Arial Narrow"/>
                <w:bCs/>
                <w:color w:val="000000"/>
              </w:rPr>
              <w:t>Wet Tropics</w:t>
            </w:r>
          </w:p>
        </w:tc>
        <w:tc>
          <w:tcPr>
            <w:tcW w:w="1474" w:type="dxa"/>
            <w:shd w:val="clear" w:color="auto" w:fill="FF9999"/>
            <w:tcMar>
              <w:left w:w="57" w:type="dxa"/>
              <w:right w:w="57" w:type="dxa"/>
            </w:tcMar>
          </w:tcPr>
          <w:p w14:paraId="2895EFBD" w14:textId="77777777" w:rsidR="00036C05" w:rsidRPr="00AA43B2" w:rsidRDefault="00036C05" w:rsidP="00036C05">
            <w:pPr>
              <w:jc w:val="left"/>
              <w:rPr>
                <w:rFonts w:ascii="Arial Narrow" w:hAnsi="Arial Narrow"/>
                <w:b/>
                <w:bCs/>
                <w:color w:val="000000"/>
              </w:rPr>
            </w:pPr>
            <w:r w:rsidRPr="00AA43B2">
              <w:rPr>
                <w:rFonts w:ascii="Arial Narrow" w:hAnsi="Arial Narrow"/>
                <w:b/>
                <w:bCs/>
                <w:color w:val="000000"/>
              </w:rPr>
              <w:t>0.15</w:t>
            </w:r>
          </w:p>
        </w:tc>
        <w:tc>
          <w:tcPr>
            <w:tcW w:w="1474" w:type="dxa"/>
            <w:shd w:val="clear" w:color="auto" w:fill="FF9999"/>
            <w:tcMar>
              <w:left w:w="57" w:type="dxa"/>
              <w:right w:w="57" w:type="dxa"/>
            </w:tcMar>
          </w:tcPr>
          <w:p w14:paraId="1B1AFB9B" w14:textId="77777777" w:rsidR="00036C05" w:rsidRPr="00AA43B2" w:rsidRDefault="00036C05" w:rsidP="00036C05">
            <w:pPr>
              <w:jc w:val="left"/>
              <w:rPr>
                <w:rFonts w:ascii="Arial Narrow" w:hAnsi="Arial Narrow"/>
                <w:b/>
                <w:bCs/>
                <w:color w:val="000000"/>
              </w:rPr>
            </w:pPr>
            <w:r w:rsidRPr="00AA43B2">
              <w:rPr>
                <w:rFonts w:ascii="Arial Narrow" w:hAnsi="Arial Narrow"/>
                <w:b/>
                <w:bCs/>
                <w:color w:val="000000"/>
              </w:rPr>
              <w:t>0.105</w:t>
            </w:r>
          </w:p>
        </w:tc>
        <w:tc>
          <w:tcPr>
            <w:tcW w:w="1474" w:type="dxa"/>
            <w:tcMar>
              <w:left w:w="57" w:type="dxa"/>
              <w:right w:w="57" w:type="dxa"/>
            </w:tcMar>
          </w:tcPr>
          <w:p w14:paraId="753329E5" w14:textId="77777777" w:rsidR="00036C05" w:rsidRPr="00AA43B2" w:rsidRDefault="00036C05" w:rsidP="00036C05">
            <w:pPr>
              <w:jc w:val="left"/>
              <w:rPr>
                <w:rFonts w:ascii="Arial Narrow" w:hAnsi="Arial Narrow"/>
                <w:b/>
                <w:bCs/>
                <w:color w:val="000000"/>
              </w:rPr>
            </w:pPr>
            <w:r w:rsidRPr="00AA43B2">
              <w:rPr>
                <w:rFonts w:ascii="Arial Narrow" w:hAnsi="Arial Narrow"/>
                <w:b/>
                <w:bCs/>
                <w:color w:val="000000"/>
              </w:rPr>
              <w:t>0.159*</w:t>
            </w:r>
          </w:p>
        </w:tc>
        <w:tc>
          <w:tcPr>
            <w:tcW w:w="1474" w:type="dxa"/>
            <w:tcMar>
              <w:left w:w="57" w:type="dxa"/>
              <w:right w:w="57" w:type="dxa"/>
            </w:tcMar>
          </w:tcPr>
          <w:p w14:paraId="46DB260F" w14:textId="77777777" w:rsidR="00036C05" w:rsidRPr="00AA43B2" w:rsidRDefault="00036C05" w:rsidP="00036C05">
            <w:pPr>
              <w:jc w:val="left"/>
              <w:rPr>
                <w:rFonts w:ascii="Arial Narrow" w:eastAsia="Calibri" w:hAnsi="Arial Narrow"/>
                <w:bCs/>
                <w:color w:val="000000"/>
              </w:rPr>
            </w:pPr>
            <w:r w:rsidRPr="00AA43B2">
              <w:rPr>
                <w:rFonts w:ascii="Arial Narrow" w:eastAsia="Calibri" w:hAnsi="Arial Narrow"/>
                <w:bCs/>
                <w:color w:val="000000"/>
              </w:rPr>
              <w:t>0.052</w:t>
            </w:r>
          </w:p>
        </w:tc>
        <w:tc>
          <w:tcPr>
            <w:tcW w:w="1475" w:type="dxa"/>
            <w:tcBorders>
              <w:bottom w:val="single" w:sz="4" w:space="0" w:color="auto"/>
            </w:tcBorders>
            <w:tcMar>
              <w:left w:w="57" w:type="dxa"/>
              <w:right w:w="57" w:type="dxa"/>
            </w:tcMar>
          </w:tcPr>
          <w:p w14:paraId="604FEEA1" w14:textId="77777777" w:rsidR="00036C05" w:rsidRPr="00AA43B2" w:rsidRDefault="00036C05" w:rsidP="00036C05">
            <w:pPr>
              <w:jc w:val="left"/>
              <w:rPr>
                <w:rFonts w:ascii="Arial Narrow" w:eastAsia="Calibri" w:hAnsi="Arial Narrow"/>
                <w:bCs/>
                <w:color w:val="000000"/>
              </w:rPr>
            </w:pPr>
            <w:r w:rsidRPr="00AA43B2">
              <w:rPr>
                <w:rFonts w:ascii="Arial Narrow" w:eastAsia="Calibri" w:hAnsi="Arial Narrow"/>
                <w:bCs/>
                <w:color w:val="000000"/>
              </w:rPr>
              <w:t>0.0</w:t>
            </w:r>
            <w:r>
              <w:rPr>
                <w:rFonts w:ascii="Arial Narrow" w:eastAsia="Calibri" w:hAnsi="Arial Narrow"/>
                <w:bCs/>
                <w:color w:val="000000"/>
              </w:rPr>
              <w:t>88</w:t>
            </w:r>
          </w:p>
        </w:tc>
      </w:tr>
      <w:tr w:rsidR="00036C05" w:rsidRPr="00AA43B2" w14:paraId="2AC4021D" w14:textId="77777777" w:rsidTr="001E472C">
        <w:trPr>
          <w:tblHeader/>
        </w:trPr>
        <w:tc>
          <w:tcPr>
            <w:tcW w:w="1838" w:type="dxa"/>
          </w:tcPr>
          <w:p w14:paraId="2B7D5143" w14:textId="77777777" w:rsidR="00036C05" w:rsidRPr="00AA43B2" w:rsidRDefault="00036C05" w:rsidP="00036C05">
            <w:pPr>
              <w:jc w:val="left"/>
              <w:rPr>
                <w:rFonts w:ascii="Arial Narrow" w:hAnsi="Arial Narrow"/>
                <w:bCs/>
                <w:color w:val="000000"/>
              </w:rPr>
            </w:pPr>
            <w:r w:rsidRPr="00AA43B2">
              <w:rPr>
                <w:rFonts w:ascii="Arial Narrow" w:hAnsi="Arial Narrow"/>
                <w:bCs/>
                <w:color w:val="000000"/>
              </w:rPr>
              <w:t>Burdekin</w:t>
            </w:r>
          </w:p>
        </w:tc>
        <w:tc>
          <w:tcPr>
            <w:tcW w:w="1474" w:type="dxa"/>
            <w:shd w:val="clear" w:color="auto" w:fill="FF9999"/>
            <w:tcMar>
              <w:left w:w="57" w:type="dxa"/>
              <w:right w:w="57" w:type="dxa"/>
            </w:tcMar>
          </w:tcPr>
          <w:p w14:paraId="01A343FF" w14:textId="77777777" w:rsidR="00036C05" w:rsidRPr="00AA43B2" w:rsidRDefault="00036C05" w:rsidP="00036C05">
            <w:pPr>
              <w:jc w:val="left"/>
              <w:rPr>
                <w:rFonts w:ascii="Arial Narrow" w:hAnsi="Arial Narrow"/>
                <w:b/>
                <w:bCs/>
                <w:color w:val="000000"/>
              </w:rPr>
            </w:pPr>
            <w:r w:rsidRPr="00AA43B2">
              <w:rPr>
                <w:rFonts w:ascii="Arial Narrow" w:hAnsi="Arial Narrow"/>
                <w:b/>
                <w:bCs/>
                <w:color w:val="000000"/>
              </w:rPr>
              <w:t>0.167</w:t>
            </w:r>
          </w:p>
        </w:tc>
        <w:tc>
          <w:tcPr>
            <w:tcW w:w="1474" w:type="dxa"/>
            <w:tcMar>
              <w:left w:w="57" w:type="dxa"/>
              <w:right w:w="57" w:type="dxa"/>
            </w:tcMar>
          </w:tcPr>
          <w:p w14:paraId="6F743A24" w14:textId="77777777" w:rsidR="00036C05" w:rsidRPr="00AA43B2" w:rsidRDefault="00036C05" w:rsidP="00036C05">
            <w:pPr>
              <w:jc w:val="left"/>
              <w:rPr>
                <w:rFonts w:ascii="Arial Narrow" w:hAnsi="Arial Narrow"/>
                <w:b/>
                <w:bCs/>
                <w:color w:val="000000"/>
              </w:rPr>
            </w:pPr>
            <w:r w:rsidRPr="00AA43B2">
              <w:rPr>
                <w:rFonts w:ascii="Arial Narrow" w:hAnsi="Arial Narrow"/>
                <w:b/>
                <w:bCs/>
                <w:color w:val="000000"/>
              </w:rPr>
              <w:t>0.249*</w:t>
            </w:r>
          </w:p>
        </w:tc>
        <w:tc>
          <w:tcPr>
            <w:tcW w:w="1474" w:type="dxa"/>
            <w:tcMar>
              <w:left w:w="57" w:type="dxa"/>
              <w:right w:w="57" w:type="dxa"/>
            </w:tcMar>
          </w:tcPr>
          <w:p w14:paraId="58E7733C" w14:textId="77777777" w:rsidR="00036C05" w:rsidRPr="00AA43B2" w:rsidRDefault="00036C05" w:rsidP="00036C05">
            <w:pPr>
              <w:jc w:val="left"/>
              <w:rPr>
                <w:rFonts w:ascii="Arial Narrow" w:hAnsi="Arial Narrow"/>
                <w:b/>
                <w:bCs/>
                <w:color w:val="000000"/>
              </w:rPr>
            </w:pPr>
            <w:r w:rsidRPr="00AA43B2">
              <w:rPr>
                <w:rFonts w:ascii="Arial Narrow" w:hAnsi="Arial Narrow"/>
                <w:b/>
                <w:bCs/>
                <w:color w:val="000000"/>
              </w:rPr>
              <w:t>0.248*</w:t>
            </w:r>
          </w:p>
        </w:tc>
        <w:tc>
          <w:tcPr>
            <w:tcW w:w="1474" w:type="dxa"/>
            <w:tcMar>
              <w:left w:w="57" w:type="dxa"/>
              <w:right w:w="57" w:type="dxa"/>
            </w:tcMar>
          </w:tcPr>
          <w:p w14:paraId="423CA96D" w14:textId="77777777" w:rsidR="00036C05" w:rsidRPr="00AA43B2" w:rsidRDefault="00036C05" w:rsidP="00036C05">
            <w:pPr>
              <w:jc w:val="left"/>
              <w:rPr>
                <w:rFonts w:ascii="Arial Narrow" w:eastAsia="Calibri" w:hAnsi="Arial Narrow"/>
                <w:bCs/>
                <w:color w:val="000000"/>
              </w:rPr>
            </w:pPr>
            <w:r w:rsidRPr="00AA43B2">
              <w:rPr>
                <w:rFonts w:ascii="Arial Narrow" w:eastAsia="Calibri" w:hAnsi="Arial Narrow"/>
                <w:bCs/>
                <w:color w:val="000000"/>
              </w:rPr>
              <w:t>0.026</w:t>
            </w:r>
          </w:p>
        </w:tc>
        <w:tc>
          <w:tcPr>
            <w:tcW w:w="1475" w:type="dxa"/>
            <w:shd w:val="clear" w:color="auto" w:fill="auto"/>
            <w:tcMar>
              <w:left w:w="57" w:type="dxa"/>
              <w:right w:w="57" w:type="dxa"/>
            </w:tcMar>
          </w:tcPr>
          <w:p w14:paraId="2C3C9244" w14:textId="77777777" w:rsidR="00036C05" w:rsidRPr="00AA43B2" w:rsidRDefault="00036C05" w:rsidP="00036C05">
            <w:pPr>
              <w:jc w:val="left"/>
              <w:rPr>
                <w:rFonts w:ascii="Arial Narrow" w:eastAsia="Calibri" w:hAnsi="Arial Narrow"/>
                <w:b/>
                <w:bCs/>
                <w:color w:val="000000"/>
              </w:rPr>
            </w:pPr>
            <w:r w:rsidRPr="00AA43B2">
              <w:rPr>
                <w:rFonts w:ascii="Arial Narrow" w:eastAsia="Calibri" w:hAnsi="Arial Narrow"/>
                <w:b/>
                <w:bCs/>
                <w:color w:val="000000"/>
              </w:rPr>
              <w:t>0.1</w:t>
            </w:r>
            <w:r>
              <w:rPr>
                <w:rFonts w:ascii="Arial Narrow" w:eastAsia="Calibri" w:hAnsi="Arial Narrow"/>
                <w:b/>
                <w:bCs/>
                <w:color w:val="000000"/>
              </w:rPr>
              <w:t>53*</w:t>
            </w:r>
          </w:p>
        </w:tc>
      </w:tr>
      <w:tr w:rsidR="00036C05" w:rsidRPr="00AA43B2" w14:paraId="45CC96BA" w14:textId="77777777" w:rsidTr="001E472C">
        <w:trPr>
          <w:tblHeader/>
        </w:trPr>
        <w:tc>
          <w:tcPr>
            <w:tcW w:w="1838" w:type="dxa"/>
          </w:tcPr>
          <w:p w14:paraId="3C91C9FC" w14:textId="77777777" w:rsidR="00036C05" w:rsidRPr="00AA43B2" w:rsidRDefault="00036C05" w:rsidP="00036C05">
            <w:pPr>
              <w:jc w:val="left"/>
              <w:rPr>
                <w:rFonts w:ascii="Arial Narrow" w:hAnsi="Arial Narrow"/>
                <w:bCs/>
                <w:color w:val="000000"/>
              </w:rPr>
            </w:pPr>
            <w:r w:rsidRPr="00AA43B2">
              <w:rPr>
                <w:rFonts w:ascii="Arial Narrow" w:hAnsi="Arial Narrow"/>
                <w:bCs/>
                <w:color w:val="000000"/>
              </w:rPr>
              <w:t>Mackay Whitsunday</w:t>
            </w:r>
          </w:p>
        </w:tc>
        <w:tc>
          <w:tcPr>
            <w:tcW w:w="1474" w:type="dxa"/>
            <w:shd w:val="clear" w:color="auto" w:fill="FFCCCC"/>
            <w:tcMar>
              <w:left w:w="57" w:type="dxa"/>
              <w:right w:w="57" w:type="dxa"/>
            </w:tcMar>
          </w:tcPr>
          <w:p w14:paraId="3FFE8BE8" w14:textId="77777777" w:rsidR="00036C05" w:rsidRPr="00AA43B2" w:rsidRDefault="00036C05" w:rsidP="00036C05">
            <w:pPr>
              <w:jc w:val="left"/>
              <w:rPr>
                <w:rFonts w:ascii="Arial Narrow" w:hAnsi="Arial Narrow"/>
                <w:bCs/>
                <w:color w:val="000000"/>
              </w:rPr>
            </w:pPr>
            <w:r w:rsidRPr="00AA43B2">
              <w:rPr>
                <w:rFonts w:ascii="Arial Narrow" w:hAnsi="Arial Narrow"/>
                <w:bCs/>
                <w:color w:val="000000"/>
              </w:rPr>
              <w:t>0.041</w:t>
            </w:r>
          </w:p>
        </w:tc>
        <w:tc>
          <w:tcPr>
            <w:tcW w:w="1474" w:type="dxa"/>
            <w:tcMar>
              <w:left w:w="57" w:type="dxa"/>
              <w:right w:w="57" w:type="dxa"/>
            </w:tcMar>
          </w:tcPr>
          <w:p w14:paraId="234A2870" w14:textId="77777777" w:rsidR="00036C05" w:rsidRPr="00AA43B2" w:rsidRDefault="00036C05" w:rsidP="00036C05">
            <w:pPr>
              <w:jc w:val="left"/>
              <w:rPr>
                <w:rFonts w:ascii="Arial Narrow" w:hAnsi="Arial Narrow"/>
                <w:bCs/>
                <w:color w:val="000000"/>
              </w:rPr>
            </w:pPr>
            <w:r w:rsidRPr="00AA43B2">
              <w:rPr>
                <w:rFonts w:ascii="Arial Narrow" w:hAnsi="Arial Narrow"/>
                <w:bCs/>
                <w:color w:val="000000"/>
              </w:rPr>
              <w:t>0.014</w:t>
            </w:r>
          </w:p>
        </w:tc>
        <w:tc>
          <w:tcPr>
            <w:tcW w:w="1474" w:type="dxa"/>
            <w:tcMar>
              <w:left w:w="57" w:type="dxa"/>
              <w:right w:w="57" w:type="dxa"/>
            </w:tcMar>
          </w:tcPr>
          <w:p w14:paraId="6EFE0C67" w14:textId="77777777" w:rsidR="00036C05" w:rsidRPr="00AA43B2" w:rsidRDefault="00036C05" w:rsidP="00036C05">
            <w:pPr>
              <w:jc w:val="left"/>
              <w:rPr>
                <w:rFonts w:ascii="Arial Narrow" w:hAnsi="Arial Narrow"/>
                <w:bCs/>
                <w:color w:val="000000"/>
              </w:rPr>
            </w:pPr>
            <w:r w:rsidRPr="00AA43B2">
              <w:rPr>
                <w:rFonts w:ascii="Arial Narrow" w:hAnsi="Arial Narrow"/>
                <w:bCs/>
                <w:color w:val="000000"/>
              </w:rPr>
              <w:t>0.018</w:t>
            </w:r>
          </w:p>
        </w:tc>
        <w:tc>
          <w:tcPr>
            <w:tcW w:w="1474" w:type="dxa"/>
            <w:tcBorders>
              <w:bottom w:val="single" w:sz="4" w:space="0" w:color="auto"/>
            </w:tcBorders>
            <w:shd w:val="clear" w:color="auto" w:fill="FFCCCC"/>
            <w:tcMar>
              <w:left w:w="57" w:type="dxa"/>
              <w:right w:w="57" w:type="dxa"/>
            </w:tcMar>
          </w:tcPr>
          <w:p w14:paraId="232EC2B5" w14:textId="77777777" w:rsidR="00036C05" w:rsidRPr="00AA43B2" w:rsidRDefault="00036C05" w:rsidP="00036C05">
            <w:pPr>
              <w:jc w:val="left"/>
              <w:rPr>
                <w:rFonts w:ascii="Arial Narrow" w:eastAsia="Calibri" w:hAnsi="Arial Narrow"/>
                <w:bCs/>
                <w:color w:val="000000"/>
              </w:rPr>
            </w:pPr>
            <w:r w:rsidRPr="00AA43B2">
              <w:rPr>
                <w:rFonts w:ascii="Arial Narrow" w:eastAsia="Calibri" w:hAnsi="Arial Narrow"/>
                <w:bCs/>
                <w:color w:val="000000"/>
              </w:rPr>
              <w:t>0.052</w:t>
            </w:r>
          </w:p>
        </w:tc>
        <w:tc>
          <w:tcPr>
            <w:tcW w:w="1475" w:type="dxa"/>
            <w:tcBorders>
              <w:bottom w:val="single" w:sz="4" w:space="0" w:color="auto"/>
            </w:tcBorders>
            <w:tcMar>
              <w:left w:w="57" w:type="dxa"/>
              <w:right w:w="57" w:type="dxa"/>
            </w:tcMar>
          </w:tcPr>
          <w:p w14:paraId="53F053D3" w14:textId="77777777" w:rsidR="00036C05" w:rsidRPr="00AA43B2" w:rsidRDefault="00036C05" w:rsidP="00036C05">
            <w:pPr>
              <w:jc w:val="left"/>
              <w:rPr>
                <w:rFonts w:ascii="Arial Narrow" w:eastAsia="Calibri" w:hAnsi="Arial Narrow"/>
                <w:bCs/>
                <w:color w:val="000000"/>
              </w:rPr>
            </w:pPr>
            <w:r w:rsidRPr="00AA43B2">
              <w:rPr>
                <w:rFonts w:ascii="Arial Narrow" w:eastAsia="Calibri" w:hAnsi="Arial Narrow"/>
                <w:bCs/>
                <w:color w:val="000000"/>
              </w:rPr>
              <w:t>0.06</w:t>
            </w:r>
            <w:r>
              <w:rPr>
                <w:rFonts w:ascii="Arial Narrow" w:eastAsia="Calibri" w:hAnsi="Arial Narrow"/>
                <w:bCs/>
                <w:color w:val="000000"/>
              </w:rPr>
              <w:t>5</w:t>
            </w:r>
          </w:p>
        </w:tc>
      </w:tr>
      <w:tr w:rsidR="00036C05" w:rsidRPr="00AA43B2" w14:paraId="57C71CBD" w14:textId="77777777" w:rsidTr="001E472C">
        <w:trPr>
          <w:tblHeader/>
        </w:trPr>
        <w:tc>
          <w:tcPr>
            <w:tcW w:w="1838" w:type="dxa"/>
          </w:tcPr>
          <w:p w14:paraId="54BF2593" w14:textId="77777777" w:rsidR="00036C05" w:rsidRPr="00AA43B2" w:rsidRDefault="00036C05" w:rsidP="00036C05">
            <w:pPr>
              <w:jc w:val="left"/>
              <w:rPr>
                <w:rFonts w:ascii="Arial Narrow" w:hAnsi="Arial Narrow"/>
                <w:bCs/>
                <w:color w:val="000000"/>
              </w:rPr>
            </w:pPr>
            <w:r w:rsidRPr="00AA43B2">
              <w:rPr>
                <w:rFonts w:ascii="Arial Narrow" w:hAnsi="Arial Narrow"/>
                <w:bCs/>
                <w:color w:val="000000"/>
              </w:rPr>
              <w:t>Fitzroy</w:t>
            </w:r>
          </w:p>
        </w:tc>
        <w:tc>
          <w:tcPr>
            <w:tcW w:w="1474" w:type="dxa"/>
            <w:shd w:val="clear" w:color="auto" w:fill="FF9999"/>
            <w:tcMar>
              <w:left w:w="57" w:type="dxa"/>
              <w:right w:w="57" w:type="dxa"/>
            </w:tcMar>
          </w:tcPr>
          <w:p w14:paraId="44116799" w14:textId="77777777" w:rsidR="00036C05" w:rsidRPr="00AA43B2" w:rsidRDefault="00036C05" w:rsidP="00036C05">
            <w:pPr>
              <w:jc w:val="left"/>
              <w:rPr>
                <w:rFonts w:ascii="Arial Narrow" w:hAnsi="Arial Narrow"/>
                <w:b/>
                <w:bCs/>
                <w:color w:val="000000"/>
              </w:rPr>
            </w:pPr>
            <w:r w:rsidRPr="00AA43B2">
              <w:rPr>
                <w:rFonts w:ascii="Arial Narrow" w:hAnsi="Arial Narrow"/>
                <w:b/>
                <w:bCs/>
                <w:color w:val="000000"/>
              </w:rPr>
              <w:t>0.229</w:t>
            </w:r>
          </w:p>
        </w:tc>
        <w:tc>
          <w:tcPr>
            <w:tcW w:w="1474" w:type="dxa"/>
            <w:tcMar>
              <w:left w:w="57" w:type="dxa"/>
              <w:right w:w="57" w:type="dxa"/>
            </w:tcMar>
          </w:tcPr>
          <w:p w14:paraId="6AC02156" w14:textId="77777777" w:rsidR="00036C05" w:rsidRPr="00AA43B2" w:rsidRDefault="00036C05" w:rsidP="00036C05">
            <w:pPr>
              <w:jc w:val="left"/>
              <w:rPr>
                <w:rFonts w:ascii="Arial Narrow" w:hAnsi="Arial Narrow"/>
                <w:b/>
                <w:bCs/>
                <w:color w:val="000000"/>
              </w:rPr>
            </w:pPr>
            <w:r w:rsidRPr="00AA43B2">
              <w:rPr>
                <w:rFonts w:ascii="Arial Narrow" w:hAnsi="Arial Narrow"/>
                <w:b/>
                <w:bCs/>
                <w:color w:val="000000"/>
              </w:rPr>
              <w:t>0.24</w:t>
            </w:r>
          </w:p>
        </w:tc>
        <w:tc>
          <w:tcPr>
            <w:tcW w:w="1474" w:type="dxa"/>
            <w:tcMar>
              <w:left w:w="57" w:type="dxa"/>
              <w:right w:w="57" w:type="dxa"/>
            </w:tcMar>
          </w:tcPr>
          <w:p w14:paraId="67CBC864" w14:textId="77777777" w:rsidR="00036C05" w:rsidRPr="00AA43B2" w:rsidRDefault="00036C05" w:rsidP="00036C05">
            <w:pPr>
              <w:jc w:val="left"/>
              <w:rPr>
                <w:rFonts w:ascii="Arial Narrow" w:hAnsi="Arial Narrow"/>
                <w:b/>
                <w:bCs/>
                <w:color w:val="000000"/>
              </w:rPr>
            </w:pPr>
            <w:r w:rsidRPr="00AA43B2">
              <w:rPr>
                <w:rFonts w:ascii="Arial Narrow" w:hAnsi="Arial Narrow"/>
                <w:b/>
                <w:bCs/>
                <w:color w:val="000000"/>
              </w:rPr>
              <w:t>0.235</w:t>
            </w:r>
          </w:p>
        </w:tc>
        <w:tc>
          <w:tcPr>
            <w:tcW w:w="1474" w:type="dxa"/>
            <w:shd w:val="clear" w:color="auto" w:fill="FFCCCC"/>
            <w:tcMar>
              <w:left w:w="57" w:type="dxa"/>
              <w:right w:w="57" w:type="dxa"/>
            </w:tcMar>
          </w:tcPr>
          <w:p w14:paraId="0FD3909A" w14:textId="77777777" w:rsidR="00036C05" w:rsidRPr="00AA43B2" w:rsidRDefault="00036C05" w:rsidP="00036C05">
            <w:pPr>
              <w:jc w:val="left"/>
              <w:rPr>
                <w:rFonts w:ascii="Arial Narrow" w:eastAsia="Calibri" w:hAnsi="Arial Narrow"/>
                <w:bCs/>
                <w:color w:val="000000"/>
              </w:rPr>
            </w:pPr>
            <w:r w:rsidRPr="00AA43B2">
              <w:rPr>
                <w:rFonts w:ascii="Arial Narrow" w:eastAsia="Calibri" w:hAnsi="Arial Narrow"/>
                <w:bCs/>
                <w:color w:val="000000"/>
              </w:rPr>
              <w:t>0.051</w:t>
            </w:r>
          </w:p>
        </w:tc>
        <w:tc>
          <w:tcPr>
            <w:tcW w:w="1475" w:type="dxa"/>
            <w:shd w:val="clear" w:color="auto" w:fill="FF9999"/>
            <w:tcMar>
              <w:left w:w="57" w:type="dxa"/>
              <w:right w:w="57" w:type="dxa"/>
            </w:tcMar>
          </w:tcPr>
          <w:p w14:paraId="425F297B" w14:textId="77777777" w:rsidR="00036C05" w:rsidRPr="00AA43B2" w:rsidRDefault="00036C05" w:rsidP="00036C05">
            <w:pPr>
              <w:jc w:val="left"/>
              <w:rPr>
                <w:rFonts w:ascii="Arial Narrow" w:eastAsia="Calibri" w:hAnsi="Arial Narrow"/>
                <w:b/>
                <w:bCs/>
                <w:color w:val="000000"/>
              </w:rPr>
            </w:pPr>
            <w:r w:rsidRPr="00AA43B2">
              <w:rPr>
                <w:rFonts w:ascii="Arial Narrow" w:eastAsia="Calibri" w:hAnsi="Arial Narrow"/>
                <w:b/>
                <w:bCs/>
                <w:color w:val="000000"/>
              </w:rPr>
              <w:t>0.</w:t>
            </w:r>
            <w:r>
              <w:rPr>
                <w:rFonts w:ascii="Arial Narrow" w:eastAsia="Calibri" w:hAnsi="Arial Narrow"/>
                <w:b/>
                <w:bCs/>
                <w:color w:val="000000"/>
              </w:rPr>
              <w:t>216</w:t>
            </w:r>
          </w:p>
        </w:tc>
      </w:tr>
    </w:tbl>
    <w:p w14:paraId="0CA65C53" w14:textId="77777777" w:rsidR="00036C05" w:rsidRDefault="00036C05" w:rsidP="00606A50">
      <w:pPr>
        <w:pStyle w:val="Caption"/>
        <w:rPr>
          <w:rStyle w:val="IntenseReference"/>
          <w:rFonts w:eastAsia="SimSun"/>
          <w:color w:val="auto"/>
        </w:rPr>
      </w:pPr>
    </w:p>
    <w:p w14:paraId="65309193" w14:textId="77777777" w:rsidR="00036C05" w:rsidRPr="00036C05" w:rsidRDefault="00036C05" w:rsidP="00036C05">
      <w:pPr>
        <w:rPr>
          <w:lang w:val="en-US"/>
        </w:rPr>
      </w:pPr>
    </w:p>
    <w:p w14:paraId="134DA1CD" w14:textId="77777777" w:rsidR="00357FC4" w:rsidRPr="00F352E1" w:rsidRDefault="00A76245" w:rsidP="00357FC4">
      <w:pPr>
        <w:rPr>
          <w:b/>
          <w:color w:val="4F81BD" w:themeColor="accent1"/>
          <w:szCs w:val="22"/>
          <w:highlight w:val="yellow"/>
        </w:rPr>
      </w:pPr>
      <w:r>
        <w:rPr>
          <w:b/>
          <w:noProof/>
          <w:color w:val="4F81BD" w:themeColor="accent1"/>
          <w:szCs w:val="22"/>
          <w:lang w:val="en-AU" w:eastAsia="en-AU"/>
        </w:rPr>
        <w:drawing>
          <wp:inline distT="0" distB="0" distL="0" distR="0" wp14:anchorId="17EAB36B" wp14:editId="34D2A658">
            <wp:extent cx="6120765" cy="6120765"/>
            <wp:effectExtent l="0" t="0" r="0" b="0"/>
            <wp:docPr id="3" name="Picture 3" descr="plots of the relationship between the change in index scores and river discharge. The index tends to decline at higher levels of discharge in the Wet Tropics, Burdekin and Fitzroy Region. Results are presented also in the main text." title="relationship between river discharge and index sco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ndex_change_env.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2444F071" w14:textId="77777777" w:rsidR="00E8797E" w:rsidRPr="00626D6B" w:rsidRDefault="00E8797E" w:rsidP="00606A50">
      <w:pPr>
        <w:pStyle w:val="Caption"/>
        <w:rPr>
          <w:rStyle w:val="IntenseReference"/>
          <w:rFonts w:eastAsia="SimSun"/>
        </w:rPr>
      </w:pPr>
      <w:bookmarkStart w:id="139" w:name="_Ref491164700"/>
      <w:bookmarkStart w:id="140" w:name="_Toc514335656"/>
      <w:r w:rsidRPr="004252BF">
        <w:t xml:space="preserve">Figure </w:t>
      </w:r>
      <w:r w:rsidR="00FE19A9" w:rsidRPr="00626D6B">
        <w:fldChar w:fldCharType="begin"/>
      </w:r>
      <w:r w:rsidR="00FE19A9" w:rsidRPr="004252BF">
        <w:instrText xml:space="preserve"> SEQ Figure \* ARABIC </w:instrText>
      </w:r>
      <w:r w:rsidR="00FE19A9" w:rsidRPr="00626D6B">
        <w:fldChar w:fldCharType="separate"/>
      </w:r>
      <w:r w:rsidR="00A75175">
        <w:rPr>
          <w:noProof/>
        </w:rPr>
        <w:t>11</w:t>
      </w:r>
      <w:r w:rsidR="00FE19A9" w:rsidRPr="00626D6B">
        <w:fldChar w:fldCharType="end"/>
      </w:r>
      <w:bookmarkEnd w:id="139"/>
      <w:r w:rsidRPr="004252BF">
        <w:t xml:space="preserve"> Relationship between the coral index and runoff from local catchments.</w:t>
      </w:r>
      <w:r w:rsidRPr="00626D6B">
        <w:rPr>
          <w:rStyle w:val="IntenseReference"/>
          <w:rFonts w:eastAsia="SimSun"/>
        </w:rPr>
        <w:t xml:space="preserve"> </w:t>
      </w:r>
      <w:r w:rsidR="00124525" w:rsidRPr="00626D6B">
        <w:rPr>
          <w:rStyle w:val="IntenseReference"/>
          <w:rFonts w:eastAsia="SimSun"/>
        </w:rPr>
        <w:t xml:space="preserve">Plotted points represent observed change in the index score at each reef and depth over a two year period. Observations </w:t>
      </w:r>
      <w:r w:rsidR="0074462D">
        <w:rPr>
          <w:rStyle w:val="IntenseReference"/>
          <w:rFonts w:eastAsia="SimSun"/>
        </w:rPr>
        <w:t xml:space="preserve">following </w:t>
      </w:r>
      <w:r w:rsidR="00124525" w:rsidRPr="00626D6B">
        <w:rPr>
          <w:rStyle w:val="IntenseReference"/>
          <w:rFonts w:eastAsia="SimSun"/>
        </w:rPr>
        <w:t xml:space="preserve">for which acute disturbances impacted communities in the period between samples were excluded. Discharge values represent the </w:t>
      </w:r>
      <w:r w:rsidR="00577377" w:rsidRPr="00626D6B">
        <w:rPr>
          <w:rStyle w:val="IntenseReference"/>
          <w:rFonts w:eastAsia="SimSun"/>
        </w:rPr>
        <w:t>cumulative</w:t>
      </w:r>
      <w:r w:rsidR="00124525" w:rsidRPr="00626D6B">
        <w:rPr>
          <w:rStyle w:val="IntenseReference"/>
          <w:rFonts w:eastAsia="SimSun"/>
        </w:rPr>
        <w:t xml:space="preserve"> discharge from the region’s major rivers over the two year period corresponding to index changes. Trend lines represent the predicted change in index scores (solid line) and the 95% confidence intervals of the prediction (dash lines).</w:t>
      </w:r>
      <w:bookmarkEnd w:id="140"/>
      <w:r w:rsidR="00124525" w:rsidRPr="00626D6B">
        <w:rPr>
          <w:rStyle w:val="IntenseReference"/>
          <w:rFonts w:eastAsia="SimSun"/>
        </w:rPr>
        <w:t xml:space="preserve"> </w:t>
      </w:r>
    </w:p>
    <w:p w14:paraId="03C8F705" w14:textId="77777777" w:rsidR="00AF55F5" w:rsidRDefault="00AF55F5">
      <w:pPr>
        <w:jc w:val="left"/>
        <w:rPr>
          <w:color w:val="4F81BD" w:themeColor="accent1"/>
          <w:szCs w:val="22"/>
        </w:rPr>
      </w:pPr>
      <w:r>
        <w:rPr>
          <w:color w:val="4F81BD" w:themeColor="accent1"/>
          <w:szCs w:val="22"/>
        </w:rPr>
        <w:br w:type="page"/>
      </w:r>
    </w:p>
    <w:p w14:paraId="4FB937BC" w14:textId="77777777" w:rsidR="00EA753F" w:rsidRPr="00382A2B" w:rsidRDefault="00F352CD" w:rsidP="00247FC8">
      <w:pPr>
        <w:pStyle w:val="Heading2"/>
        <w:spacing w:before="240" w:after="240"/>
        <w:rPr>
          <w:color w:val="auto"/>
        </w:rPr>
      </w:pPr>
      <w:bookmarkStart w:id="141" w:name="_Ref503361006"/>
      <w:bookmarkStart w:id="142" w:name="_Toc514408410"/>
      <w:r w:rsidRPr="00382A2B">
        <w:rPr>
          <w:color w:val="auto"/>
        </w:rPr>
        <w:t>5</w:t>
      </w:r>
      <w:r w:rsidR="002A28EE" w:rsidRPr="00382A2B">
        <w:rPr>
          <w:color w:val="auto"/>
        </w:rPr>
        <w:t>.</w:t>
      </w:r>
      <w:r w:rsidR="00BD49B5" w:rsidRPr="00382A2B">
        <w:rPr>
          <w:color w:val="auto"/>
        </w:rPr>
        <w:t>2</w:t>
      </w:r>
      <w:r w:rsidR="00A803D4" w:rsidRPr="00382A2B">
        <w:rPr>
          <w:color w:val="auto"/>
        </w:rPr>
        <w:t xml:space="preserve"> </w:t>
      </w:r>
      <w:r w:rsidR="00BD49B5" w:rsidRPr="00382A2B">
        <w:rPr>
          <w:color w:val="auto"/>
        </w:rPr>
        <w:t>Regional condition of coral communities</w:t>
      </w:r>
      <w:bookmarkEnd w:id="141"/>
      <w:bookmarkEnd w:id="142"/>
      <w:r w:rsidR="00BD49B5" w:rsidRPr="00382A2B">
        <w:rPr>
          <w:color w:val="auto"/>
        </w:rPr>
        <w:t xml:space="preserve"> </w:t>
      </w:r>
      <w:bookmarkEnd w:id="115"/>
      <w:bookmarkEnd w:id="116"/>
      <w:bookmarkEnd w:id="117"/>
      <w:bookmarkEnd w:id="118"/>
    </w:p>
    <w:p w14:paraId="0F9BF4A0" w14:textId="77777777" w:rsidR="00BD49B5" w:rsidRPr="00F352E1" w:rsidRDefault="00BD49B5" w:rsidP="00247FC8">
      <w:pPr>
        <w:pStyle w:val="Heading3"/>
      </w:pPr>
      <w:bookmarkStart w:id="143" w:name="_Toc514408411"/>
      <w:r w:rsidRPr="00F352E1">
        <w:t>5.2.1 Wet Tropics Region: Barron Daintree sub-region</w:t>
      </w:r>
      <w:bookmarkEnd w:id="143"/>
    </w:p>
    <w:p w14:paraId="6D0462FB" w14:textId="7A6D0BFC" w:rsidR="00FF6E56" w:rsidRPr="007527BF" w:rsidRDefault="00FF6E56" w:rsidP="00FF6E56">
      <w:r w:rsidRPr="007527BF">
        <w:t xml:space="preserve">The coral index </w:t>
      </w:r>
      <w:r w:rsidR="001F7613" w:rsidRPr="007527BF">
        <w:t xml:space="preserve">remained </w:t>
      </w:r>
      <w:r w:rsidR="001F7613">
        <w:t>categorised as ‘moderate’</w:t>
      </w:r>
      <w:r w:rsidR="001F7613" w:rsidRPr="007527BF">
        <w:t xml:space="preserve"> </w:t>
      </w:r>
      <w:r w:rsidR="00CE3D81">
        <w:t>in 2017</w:t>
      </w:r>
      <w:r w:rsidR="00FC2C47">
        <w:t xml:space="preserve"> </w:t>
      </w:r>
      <w:r w:rsidR="001F7613">
        <w:t>despite a slight decline.</w:t>
      </w:r>
      <w:r w:rsidR="00FC2C47">
        <w:t xml:space="preserve"> </w:t>
      </w:r>
      <w:r w:rsidRPr="007527BF">
        <w:t>(</w:t>
      </w:r>
      <w:r w:rsidR="00A617D9" w:rsidRPr="007527BF">
        <w:fldChar w:fldCharType="begin"/>
      </w:r>
      <w:r w:rsidR="00A617D9" w:rsidRPr="007527BF">
        <w:instrText xml:space="preserve"> REF _Ref491178261 \h </w:instrText>
      </w:r>
      <w:r w:rsidR="00A617D9" w:rsidRPr="007527BF">
        <w:fldChar w:fldCharType="separate"/>
      </w:r>
      <w:r w:rsidR="00A75175" w:rsidRPr="00F352E1">
        <w:t xml:space="preserve">Figure </w:t>
      </w:r>
      <w:r w:rsidR="00A75175">
        <w:rPr>
          <w:noProof/>
        </w:rPr>
        <w:t>12</w:t>
      </w:r>
      <w:r w:rsidR="00A617D9" w:rsidRPr="007527BF">
        <w:fldChar w:fldCharType="end"/>
      </w:r>
      <w:r w:rsidR="00A617D9" w:rsidRPr="007527BF">
        <w:t xml:space="preserve">, </w:t>
      </w:r>
      <w:r w:rsidR="00A617D9" w:rsidRPr="007527BF">
        <w:fldChar w:fldCharType="begin"/>
      </w:r>
      <w:r w:rsidR="00A617D9" w:rsidRPr="007527BF">
        <w:instrText xml:space="preserve"> REF _Ref491178290 \h </w:instrText>
      </w:r>
      <w:r w:rsidR="00A617D9" w:rsidRPr="007527BF">
        <w:fldChar w:fldCharType="separate"/>
      </w:r>
      <w:r w:rsidR="00A75175" w:rsidRPr="00F352E1">
        <w:t xml:space="preserve">Figure </w:t>
      </w:r>
      <w:r w:rsidR="00A75175">
        <w:rPr>
          <w:noProof/>
        </w:rPr>
        <w:t>13</w:t>
      </w:r>
      <w:r w:rsidR="00A617D9" w:rsidRPr="007527BF">
        <w:fldChar w:fldCharType="end"/>
      </w:r>
      <w:r w:rsidRPr="007527BF">
        <w:t>).</w:t>
      </w:r>
      <w:r w:rsidR="00E75F5C" w:rsidRPr="007527BF">
        <w:t xml:space="preserve"> </w:t>
      </w:r>
      <w:r w:rsidR="001F7613">
        <w:t>Reduction in the index was</w:t>
      </w:r>
      <w:r w:rsidR="00F872DF" w:rsidRPr="007527BF">
        <w:t xml:space="preserve"> </w:t>
      </w:r>
      <w:r w:rsidR="00957ED6">
        <w:t>most evident at</w:t>
      </w:r>
      <w:r w:rsidR="00F872DF" w:rsidRPr="007527BF">
        <w:t xml:space="preserve"> </w:t>
      </w:r>
      <w:r w:rsidR="00D24D20" w:rsidRPr="007527BF">
        <w:t>2</w:t>
      </w:r>
      <w:r w:rsidR="00F872DF" w:rsidRPr="007527BF">
        <w:t xml:space="preserve"> m depth sites</w:t>
      </w:r>
      <w:r w:rsidR="00522964" w:rsidRPr="007527BF">
        <w:t xml:space="preserve"> where</w:t>
      </w:r>
      <w:r w:rsidR="00C55615">
        <w:t xml:space="preserve">, with the exception of </w:t>
      </w:r>
      <w:r w:rsidR="00F80B64">
        <w:t>Macroalgae</w:t>
      </w:r>
      <w:r w:rsidR="00C55615">
        <w:t>,</w:t>
      </w:r>
      <w:r w:rsidR="00522964" w:rsidRPr="007527BF">
        <w:t xml:space="preserve"> </w:t>
      </w:r>
      <w:r w:rsidR="00C55615">
        <w:t>all metrics showed</w:t>
      </w:r>
      <w:r w:rsidR="001B189A">
        <w:t xml:space="preserve"> an</w:t>
      </w:r>
      <w:r w:rsidR="00C55615">
        <w:t xml:space="preserve"> </w:t>
      </w:r>
      <w:r w:rsidR="001B189A">
        <w:t xml:space="preserve">overall </w:t>
      </w:r>
      <w:r w:rsidR="00A349DF">
        <w:t>although</w:t>
      </w:r>
      <w:r w:rsidR="001B189A">
        <w:t xml:space="preserve"> inconsistent </w:t>
      </w:r>
      <w:r w:rsidR="00C55615">
        <w:t>decline</w:t>
      </w:r>
      <w:r w:rsidR="005F1FA1" w:rsidRPr="007527BF">
        <w:t xml:space="preserve"> (</w:t>
      </w:r>
      <w:r w:rsidR="0024084A">
        <w:fldChar w:fldCharType="begin"/>
      </w:r>
      <w:r w:rsidR="0024084A">
        <w:instrText xml:space="preserve"> REF _Ref491178406 \h </w:instrText>
      </w:r>
      <w:r w:rsidR="0024084A">
        <w:fldChar w:fldCharType="separate"/>
      </w:r>
      <w:r w:rsidR="00A75175" w:rsidRPr="00F352E1">
        <w:t xml:space="preserve">Table </w:t>
      </w:r>
      <w:r w:rsidR="00A75175">
        <w:rPr>
          <w:noProof/>
        </w:rPr>
        <w:t>10</w:t>
      </w:r>
      <w:r w:rsidR="0024084A">
        <w:fldChar w:fldCharType="end"/>
      </w:r>
      <w:r w:rsidR="005F1FA1" w:rsidRPr="007527BF">
        <w:t>)</w:t>
      </w:r>
      <w:r w:rsidR="00CD7630" w:rsidRPr="007527BF">
        <w:t>.</w:t>
      </w:r>
      <w:r w:rsidR="005F1FA1" w:rsidRPr="007527BF">
        <w:t xml:space="preserve"> At </w:t>
      </w:r>
      <w:r w:rsidR="00CD7630" w:rsidRPr="007527BF">
        <w:t>5</w:t>
      </w:r>
      <w:r w:rsidR="005F1FA1" w:rsidRPr="007527BF">
        <w:t xml:space="preserve"> </w:t>
      </w:r>
      <w:r w:rsidR="00A617D9" w:rsidRPr="007527BF">
        <w:t>m depth</w:t>
      </w:r>
      <w:r w:rsidR="000E2680">
        <w:t xml:space="preserve"> changes in scores were less consistent</w:t>
      </w:r>
      <w:r w:rsidR="005827DD">
        <w:t>,</w:t>
      </w:r>
      <w:r w:rsidR="000E2680">
        <w:t xml:space="preserve"> </w:t>
      </w:r>
      <w:r w:rsidR="005C1C90" w:rsidRPr="007527BF">
        <w:t xml:space="preserve">coral </w:t>
      </w:r>
      <w:r w:rsidR="00CD7630" w:rsidRPr="007527BF">
        <w:t>composition improved, whilst an increase in macroalgae</w:t>
      </w:r>
      <w:r w:rsidR="008574C8">
        <w:t xml:space="preserve"> at Snapper North</w:t>
      </w:r>
      <w:r w:rsidR="00CD7630" w:rsidRPr="007527BF">
        <w:t xml:space="preserve"> saw this metric decline</w:t>
      </w:r>
      <w:r w:rsidR="008574C8">
        <w:t xml:space="preserve"> (</w:t>
      </w:r>
      <w:r w:rsidR="0024084A">
        <w:fldChar w:fldCharType="begin"/>
      </w:r>
      <w:r w:rsidR="0024084A">
        <w:instrText xml:space="preserve"> REF _Ref491178406 \h </w:instrText>
      </w:r>
      <w:r w:rsidR="0024084A">
        <w:fldChar w:fldCharType="separate"/>
      </w:r>
      <w:r w:rsidR="00A75175" w:rsidRPr="00F352E1">
        <w:t xml:space="preserve">Table </w:t>
      </w:r>
      <w:r w:rsidR="00A75175">
        <w:rPr>
          <w:noProof/>
        </w:rPr>
        <w:t>10</w:t>
      </w:r>
      <w:r w:rsidR="0024084A">
        <w:fldChar w:fldCharType="end"/>
      </w:r>
      <w:r w:rsidR="0024084A">
        <w:t xml:space="preserve">, </w:t>
      </w:r>
      <w:r w:rsidR="003F670B">
        <w:fldChar w:fldCharType="begin"/>
      </w:r>
      <w:r w:rsidR="003F670B">
        <w:instrText xml:space="preserve"> REF _Ref501095809 \h </w:instrText>
      </w:r>
      <w:r w:rsidR="003F670B">
        <w:fldChar w:fldCharType="separate"/>
      </w:r>
      <w:r w:rsidR="00A75175">
        <w:t xml:space="preserve">Figure A1. </w:t>
      </w:r>
      <w:r w:rsidR="00A75175">
        <w:rPr>
          <w:noProof/>
        </w:rPr>
        <w:t>1</w:t>
      </w:r>
      <w:r w:rsidR="003F670B">
        <w:fldChar w:fldCharType="end"/>
      </w:r>
      <w:r w:rsidR="008574C8">
        <w:rPr>
          <w:rFonts w:cs="Arial"/>
          <w:szCs w:val="22"/>
        </w:rPr>
        <w:t>)</w:t>
      </w:r>
      <w:r w:rsidR="00CD7630" w:rsidRPr="007527BF">
        <w:t xml:space="preserve">. </w:t>
      </w:r>
    </w:p>
    <w:p w14:paraId="5C56349D" w14:textId="77777777" w:rsidR="00DC6700" w:rsidRPr="00C44D73" w:rsidRDefault="00577377" w:rsidP="00606A50">
      <w:pPr>
        <w:pStyle w:val="Caption"/>
        <w:rPr>
          <w:rStyle w:val="IntenseReference"/>
          <w:rFonts w:eastAsia="SimSun"/>
        </w:rPr>
      </w:pPr>
      <w:bookmarkStart w:id="144" w:name="_Ref491178406"/>
      <w:bookmarkStart w:id="145" w:name="_Toc514407858"/>
      <w:r w:rsidRPr="00F352E1">
        <w:t xml:space="preserve">Table </w:t>
      </w:r>
      <w:r w:rsidR="00626D6B">
        <w:fldChar w:fldCharType="begin"/>
      </w:r>
      <w:r w:rsidR="00626D6B">
        <w:instrText xml:space="preserve"> SEQ Table \* ARABIC </w:instrText>
      </w:r>
      <w:r w:rsidR="00626D6B">
        <w:fldChar w:fldCharType="separate"/>
      </w:r>
      <w:r w:rsidR="00A75175">
        <w:rPr>
          <w:noProof/>
        </w:rPr>
        <w:t>10</w:t>
      </w:r>
      <w:r w:rsidR="00626D6B">
        <w:rPr>
          <w:noProof/>
        </w:rPr>
        <w:fldChar w:fldCharType="end"/>
      </w:r>
      <w:bookmarkEnd w:id="144"/>
      <w:r w:rsidRPr="00F352E1">
        <w:t xml:space="preserve"> </w:t>
      </w:r>
      <w:r w:rsidR="00BB098E">
        <w:t>I</w:t>
      </w:r>
      <w:r w:rsidRPr="00F352E1">
        <w:t>ndex and metric score</w:t>
      </w:r>
      <w:r w:rsidR="00BB098E">
        <w:t xml:space="preserve"> comparisons</w:t>
      </w:r>
      <w:r w:rsidRPr="00F352E1">
        <w:t xml:space="preserve"> in the Barren Daintree sub-region</w:t>
      </w:r>
      <w:r w:rsidR="0000691A" w:rsidRPr="00F352E1">
        <w:t>.</w:t>
      </w:r>
      <w:r w:rsidR="0000691A" w:rsidRPr="00C44D73">
        <w:rPr>
          <w:rStyle w:val="IntenseReference"/>
          <w:rFonts w:eastAsia="SimSun"/>
        </w:rPr>
        <w:t xml:space="preserve"> Data compare the changes in scores between local maxima and minima in the index time-series. For the index, and each metric,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145"/>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atistical comparison between index and metric scores between local maxima and minima in the time-series of scores in the region"/>
        <w:tblDescription w:val="A table listing the maxima in minima index scores and significance of changes in the index and each metric. The salient results are discussed in the main text. "/>
      </w:tblPr>
      <w:tblGrid>
        <w:gridCol w:w="1074"/>
        <w:gridCol w:w="350"/>
        <w:gridCol w:w="625"/>
        <w:gridCol w:w="625"/>
        <w:gridCol w:w="625"/>
        <w:gridCol w:w="603"/>
        <w:gridCol w:w="647"/>
        <w:gridCol w:w="626"/>
        <w:gridCol w:w="625"/>
        <w:gridCol w:w="625"/>
        <w:gridCol w:w="625"/>
        <w:gridCol w:w="625"/>
        <w:gridCol w:w="625"/>
        <w:gridCol w:w="626"/>
      </w:tblGrid>
      <w:tr w:rsidR="00606628" w:rsidRPr="000E340E" w14:paraId="63B9E654" w14:textId="77777777" w:rsidTr="00112B73">
        <w:trPr>
          <w:trHeight w:hRule="exact" w:val="301"/>
        </w:trPr>
        <w:tc>
          <w:tcPr>
            <w:tcW w:w="1074" w:type="dxa"/>
            <w:vMerge w:val="restart"/>
            <w:shd w:val="clear" w:color="auto" w:fill="auto"/>
            <w:noWrap/>
            <w:tcMar>
              <w:left w:w="57" w:type="dxa"/>
              <w:right w:w="57" w:type="dxa"/>
            </w:tcMar>
            <w:vAlign w:val="bottom"/>
          </w:tcPr>
          <w:p w14:paraId="722D4792" w14:textId="77777777" w:rsidR="00606628" w:rsidRPr="000E340E" w:rsidRDefault="00606628" w:rsidP="00112B73">
            <w:pPr>
              <w:spacing w:after="0"/>
              <w:rPr>
                <w:rFonts w:ascii="Arial Narrow" w:hAnsi="Arial Narrow"/>
                <w:sz w:val="20"/>
                <w:lang w:eastAsia="en-AU"/>
              </w:rPr>
            </w:pPr>
            <w:r w:rsidRPr="000E340E">
              <w:rPr>
                <w:rFonts w:ascii="Arial Narrow" w:hAnsi="Arial Narrow"/>
                <w:color w:val="000000"/>
                <w:sz w:val="20"/>
                <w:lang w:eastAsia="en-AU"/>
              </w:rPr>
              <w:t>Period</w:t>
            </w:r>
          </w:p>
        </w:tc>
        <w:tc>
          <w:tcPr>
            <w:tcW w:w="350" w:type="dxa"/>
            <w:vMerge w:val="restart"/>
            <w:shd w:val="clear" w:color="auto" w:fill="auto"/>
            <w:noWrap/>
            <w:tcMar>
              <w:left w:w="57" w:type="dxa"/>
              <w:right w:w="57" w:type="dxa"/>
            </w:tcMar>
            <w:textDirection w:val="btLr"/>
            <w:vAlign w:val="bottom"/>
          </w:tcPr>
          <w:p w14:paraId="4E1F9264" w14:textId="77777777" w:rsidR="00606628" w:rsidRPr="000E340E" w:rsidRDefault="00606628" w:rsidP="00112B73">
            <w:pPr>
              <w:spacing w:after="0"/>
              <w:ind w:left="113" w:right="113"/>
              <w:jc w:val="center"/>
              <w:rPr>
                <w:rFonts w:ascii="Arial Narrow" w:hAnsi="Arial Narrow"/>
                <w:sz w:val="20"/>
                <w:lang w:eastAsia="en-AU"/>
              </w:rPr>
            </w:pPr>
            <w:r w:rsidRPr="000E340E">
              <w:rPr>
                <w:rFonts w:ascii="Arial Narrow" w:hAnsi="Arial Narrow"/>
                <w:color w:val="000000"/>
                <w:sz w:val="20"/>
                <w:lang w:eastAsia="en-AU"/>
              </w:rPr>
              <w:t>Depth</w:t>
            </w:r>
          </w:p>
        </w:tc>
        <w:tc>
          <w:tcPr>
            <w:tcW w:w="1250" w:type="dxa"/>
            <w:gridSpan w:val="2"/>
            <w:shd w:val="clear" w:color="auto" w:fill="auto"/>
            <w:noWrap/>
            <w:tcMar>
              <w:left w:w="57" w:type="dxa"/>
              <w:right w:w="57" w:type="dxa"/>
            </w:tcMar>
            <w:vAlign w:val="bottom"/>
          </w:tcPr>
          <w:p w14:paraId="2C3FE4F7" w14:textId="77777777" w:rsidR="00606628" w:rsidRPr="000E340E" w:rsidRDefault="00606628" w:rsidP="00112B73">
            <w:pPr>
              <w:spacing w:after="0"/>
              <w:rPr>
                <w:rFonts w:ascii="Arial Narrow" w:hAnsi="Arial Narrow"/>
                <w:color w:val="000000"/>
                <w:sz w:val="20"/>
                <w:lang w:eastAsia="en-AU"/>
              </w:rPr>
            </w:pPr>
            <w:r w:rsidRPr="000E340E">
              <w:rPr>
                <w:rFonts w:ascii="Arial Narrow" w:hAnsi="Arial Narrow"/>
                <w:color w:val="000000"/>
                <w:sz w:val="20"/>
                <w:lang w:eastAsia="en-AU"/>
              </w:rPr>
              <w:t>Index</w:t>
            </w:r>
          </w:p>
        </w:tc>
        <w:tc>
          <w:tcPr>
            <w:tcW w:w="1228" w:type="dxa"/>
            <w:gridSpan w:val="2"/>
            <w:shd w:val="clear" w:color="auto" w:fill="auto"/>
            <w:noWrap/>
            <w:tcMar>
              <w:left w:w="57" w:type="dxa"/>
              <w:right w:w="57" w:type="dxa"/>
            </w:tcMar>
            <w:vAlign w:val="bottom"/>
          </w:tcPr>
          <w:p w14:paraId="2A3F9B05" w14:textId="77777777" w:rsidR="00606628" w:rsidRPr="000E340E" w:rsidRDefault="00606628" w:rsidP="00112B73">
            <w:pPr>
              <w:spacing w:after="0"/>
              <w:rPr>
                <w:rFonts w:ascii="Arial Narrow" w:hAnsi="Arial Narrow"/>
                <w:color w:val="000000"/>
                <w:sz w:val="20"/>
                <w:lang w:eastAsia="en-AU"/>
              </w:rPr>
            </w:pPr>
            <w:r w:rsidRPr="000E340E">
              <w:rPr>
                <w:rFonts w:ascii="Arial Narrow" w:hAnsi="Arial Narrow"/>
                <w:color w:val="000000"/>
                <w:sz w:val="20"/>
                <w:lang w:eastAsia="en-AU"/>
              </w:rPr>
              <w:t>Coral Cover</w:t>
            </w:r>
          </w:p>
        </w:tc>
        <w:tc>
          <w:tcPr>
            <w:tcW w:w="1273" w:type="dxa"/>
            <w:gridSpan w:val="2"/>
            <w:shd w:val="clear" w:color="auto" w:fill="auto"/>
            <w:noWrap/>
            <w:tcMar>
              <w:left w:w="57" w:type="dxa"/>
              <w:right w:w="57" w:type="dxa"/>
            </w:tcMar>
            <w:vAlign w:val="bottom"/>
          </w:tcPr>
          <w:p w14:paraId="652AC6A3" w14:textId="77777777" w:rsidR="00606628" w:rsidRPr="000E340E" w:rsidRDefault="00606628" w:rsidP="00112B73">
            <w:pPr>
              <w:spacing w:after="0"/>
              <w:rPr>
                <w:rFonts w:ascii="Arial Narrow" w:hAnsi="Arial Narrow"/>
                <w:color w:val="000000"/>
                <w:sz w:val="20"/>
                <w:lang w:eastAsia="en-AU"/>
              </w:rPr>
            </w:pPr>
            <w:r w:rsidRPr="000E340E">
              <w:rPr>
                <w:rFonts w:ascii="Arial Narrow" w:hAnsi="Arial Narrow"/>
                <w:color w:val="000000"/>
                <w:sz w:val="20"/>
                <w:lang w:eastAsia="en-AU"/>
              </w:rPr>
              <w:t>Macroalgae</w:t>
            </w:r>
          </w:p>
        </w:tc>
        <w:tc>
          <w:tcPr>
            <w:tcW w:w="1250" w:type="dxa"/>
            <w:gridSpan w:val="2"/>
            <w:shd w:val="clear" w:color="auto" w:fill="auto"/>
            <w:noWrap/>
            <w:tcMar>
              <w:left w:w="57" w:type="dxa"/>
              <w:right w:w="57" w:type="dxa"/>
            </w:tcMar>
            <w:vAlign w:val="bottom"/>
          </w:tcPr>
          <w:p w14:paraId="3513416B" w14:textId="77777777" w:rsidR="00606628" w:rsidRPr="000E340E" w:rsidRDefault="00606628" w:rsidP="00112B73">
            <w:pPr>
              <w:spacing w:after="0"/>
              <w:rPr>
                <w:rFonts w:ascii="Arial Narrow" w:hAnsi="Arial Narrow"/>
                <w:color w:val="000000"/>
                <w:sz w:val="20"/>
                <w:lang w:eastAsia="en-AU"/>
              </w:rPr>
            </w:pPr>
            <w:r w:rsidRPr="000E340E">
              <w:rPr>
                <w:rFonts w:ascii="Arial Narrow" w:hAnsi="Arial Narrow"/>
                <w:color w:val="000000"/>
                <w:sz w:val="20"/>
                <w:lang w:eastAsia="en-AU"/>
              </w:rPr>
              <w:t>Juvenile Coral</w:t>
            </w:r>
          </w:p>
        </w:tc>
        <w:tc>
          <w:tcPr>
            <w:tcW w:w="1250" w:type="dxa"/>
            <w:gridSpan w:val="2"/>
            <w:shd w:val="clear" w:color="auto" w:fill="auto"/>
            <w:noWrap/>
            <w:tcMar>
              <w:left w:w="57" w:type="dxa"/>
              <w:right w:w="57" w:type="dxa"/>
            </w:tcMar>
            <w:vAlign w:val="bottom"/>
          </w:tcPr>
          <w:p w14:paraId="3EC1766B" w14:textId="77777777" w:rsidR="00606628" w:rsidRPr="000E340E" w:rsidRDefault="00606628" w:rsidP="00112B73">
            <w:pPr>
              <w:spacing w:after="0"/>
              <w:rPr>
                <w:rFonts w:ascii="Arial Narrow" w:hAnsi="Arial Narrow"/>
                <w:color w:val="000000"/>
                <w:sz w:val="20"/>
                <w:lang w:eastAsia="en-AU"/>
              </w:rPr>
            </w:pPr>
            <w:r w:rsidRPr="000E340E">
              <w:rPr>
                <w:rFonts w:ascii="Arial Narrow" w:hAnsi="Arial Narrow"/>
                <w:color w:val="000000"/>
                <w:sz w:val="20"/>
                <w:lang w:eastAsia="en-AU"/>
              </w:rPr>
              <w:t xml:space="preserve">Cover </w:t>
            </w:r>
            <w:r>
              <w:rPr>
                <w:rFonts w:ascii="Arial Narrow" w:hAnsi="Arial Narrow"/>
                <w:color w:val="000000"/>
                <w:sz w:val="20"/>
                <w:lang w:eastAsia="en-AU"/>
              </w:rPr>
              <w:t>C</w:t>
            </w:r>
            <w:r w:rsidRPr="000E340E">
              <w:rPr>
                <w:rFonts w:ascii="Arial Narrow" w:hAnsi="Arial Narrow"/>
                <w:color w:val="000000"/>
                <w:sz w:val="20"/>
                <w:lang w:eastAsia="en-AU"/>
              </w:rPr>
              <w:t>hange</w:t>
            </w:r>
          </w:p>
        </w:tc>
        <w:tc>
          <w:tcPr>
            <w:tcW w:w="1251" w:type="dxa"/>
            <w:gridSpan w:val="2"/>
            <w:shd w:val="clear" w:color="auto" w:fill="auto"/>
            <w:noWrap/>
            <w:tcMar>
              <w:left w:w="57" w:type="dxa"/>
              <w:right w:w="57" w:type="dxa"/>
            </w:tcMar>
            <w:vAlign w:val="bottom"/>
          </w:tcPr>
          <w:p w14:paraId="1EE8CAD4" w14:textId="77777777" w:rsidR="00606628" w:rsidRPr="000E340E" w:rsidRDefault="00606628" w:rsidP="00112B73">
            <w:pPr>
              <w:spacing w:after="0"/>
              <w:rPr>
                <w:rFonts w:ascii="Arial Narrow" w:hAnsi="Arial Narrow"/>
                <w:color w:val="000000"/>
                <w:sz w:val="20"/>
                <w:lang w:eastAsia="en-AU"/>
              </w:rPr>
            </w:pPr>
            <w:r w:rsidRPr="000E340E">
              <w:rPr>
                <w:rFonts w:ascii="Arial Narrow" w:hAnsi="Arial Narrow"/>
                <w:color w:val="000000"/>
                <w:sz w:val="20"/>
                <w:lang w:eastAsia="en-AU"/>
              </w:rPr>
              <w:t>Composition</w:t>
            </w:r>
          </w:p>
        </w:tc>
      </w:tr>
      <w:tr w:rsidR="00606628" w:rsidRPr="000E340E" w14:paraId="1B151123" w14:textId="77777777" w:rsidTr="00112B73">
        <w:trPr>
          <w:trHeight w:val="520"/>
        </w:trPr>
        <w:tc>
          <w:tcPr>
            <w:tcW w:w="1074" w:type="dxa"/>
            <w:vMerge/>
            <w:tcBorders>
              <w:bottom w:val="single" w:sz="4" w:space="0" w:color="auto"/>
            </w:tcBorders>
            <w:shd w:val="clear" w:color="auto" w:fill="auto"/>
            <w:noWrap/>
            <w:tcMar>
              <w:left w:w="57" w:type="dxa"/>
              <w:right w:w="57" w:type="dxa"/>
            </w:tcMar>
            <w:vAlign w:val="bottom"/>
          </w:tcPr>
          <w:p w14:paraId="6DC61102" w14:textId="77777777" w:rsidR="00606628" w:rsidRPr="000E340E" w:rsidRDefault="00606628" w:rsidP="00112B73">
            <w:pPr>
              <w:spacing w:after="0"/>
              <w:rPr>
                <w:rFonts w:ascii="Arial Narrow" w:hAnsi="Arial Narrow"/>
                <w:color w:val="000000"/>
                <w:sz w:val="20"/>
                <w:lang w:eastAsia="en-AU"/>
              </w:rPr>
            </w:pPr>
          </w:p>
        </w:tc>
        <w:tc>
          <w:tcPr>
            <w:tcW w:w="350" w:type="dxa"/>
            <w:vMerge/>
            <w:tcBorders>
              <w:bottom w:val="single" w:sz="4" w:space="0" w:color="auto"/>
            </w:tcBorders>
            <w:shd w:val="clear" w:color="auto" w:fill="auto"/>
            <w:noWrap/>
            <w:tcMar>
              <w:left w:w="57" w:type="dxa"/>
              <w:right w:w="57" w:type="dxa"/>
            </w:tcMar>
            <w:vAlign w:val="bottom"/>
          </w:tcPr>
          <w:p w14:paraId="62877A87" w14:textId="77777777" w:rsidR="00606628" w:rsidRPr="000E340E" w:rsidRDefault="00606628" w:rsidP="00112B73">
            <w:pPr>
              <w:spacing w:after="0"/>
              <w:jc w:val="center"/>
              <w:rPr>
                <w:rFonts w:ascii="Arial Narrow" w:hAnsi="Arial Narrow"/>
                <w:color w:val="000000"/>
                <w:sz w:val="20"/>
                <w:lang w:eastAsia="en-AU"/>
              </w:rPr>
            </w:pPr>
          </w:p>
        </w:tc>
        <w:tc>
          <w:tcPr>
            <w:tcW w:w="625" w:type="dxa"/>
            <w:tcBorders>
              <w:bottom w:val="single" w:sz="4" w:space="0" w:color="auto"/>
            </w:tcBorders>
            <w:shd w:val="clear" w:color="auto" w:fill="auto"/>
            <w:noWrap/>
            <w:tcMar>
              <w:left w:w="57" w:type="dxa"/>
              <w:right w:w="57" w:type="dxa"/>
            </w:tcMar>
            <w:vAlign w:val="bottom"/>
          </w:tcPr>
          <w:p w14:paraId="0274702D" w14:textId="77777777" w:rsidR="00606628" w:rsidRPr="000E340E" w:rsidRDefault="00606628" w:rsidP="00112B73">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tcBorders>
              <w:bottom w:val="single" w:sz="4" w:space="0" w:color="auto"/>
            </w:tcBorders>
            <w:shd w:val="clear" w:color="auto" w:fill="auto"/>
            <w:noWrap/>
            <w:tcMar>
              <w:left w:w="57" w:type="dxa"/>
              <w:right w:w="57" w:type="dxa"/>
            </w:tcMar>
            <w:vAlign w:val="bottom"/>
          </w:tcPr>
          <w:p w14:paraId="48002DBD" w14:textId="77777777" w:rsidR="00606628" w:rsidRPr="000E340E" w:rsidRDefault="00606628" w:rsidP="00112B73">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tcBorders>
              <w:bottom w:val="single" w:sz="4" w:space="0" w:color="auto"/>
            </w:tcBorders>
            <w:shd w:val="clear" w:color="auto" w:fill="auto"/>
            <w:noWrap/>
            <w:tcMar>
              <w:left w:w="57" w:type="dxa"/>
              <w:right w:w="57" w:type="dxa"/>
            </w:tcMar>
            <w:vAlign w:val="bottom"/>
          </w:tcPr>
          <w:p w14:paraId="49E778C3" w14:textId="77777777" w:rsidR="00606628" w:rsidRPr="000E340E" w:rsidRDefault="00606628" w:rsidP="00112B73">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03" w:type="dxa"/>
            <w:tcBorders>
              <w:bottom w:val="single" w:sz="4" w:space="0" w:color="auto"/>
            </w:tcBorders>
            <w:shd w:val="clear" w:color="auto" w:fill="auto"/>
            <w:noWrap/>
            <w:tcMar>
              <w:left w:w="57" w:type="dxa"/>
              <w:right w:w="57" w:type="dxa"/>
            </w:tcMar>
            <w:vAlign w:val="bottom"/>
          </w:tcPr>
          <w:p w14:paraId="5010BE29" w14:textId="77777777" w:rsidR="00606628" w:rsidRPr="000E340E" w:rsidRDefault="00606628" w:rsidP="00112B73">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47" w:type="dxa"/>
            <w:tcBorders>
              <w:bottom w:val="single" w:sz="4" w:space="0" w:color="auto"/>
            </w:tcBorders>
            <w:shd w:val="clear" w:color="auto" w:fill="auto"/>
            <w:noWrap/>
            <w:tcMar>
              <w:left w:w="57" w:type="dxa"/>
              <w:right w:w="57" w:type="dxa"/>
            </w:tcMar>
            <w:vAlign w:val="bottom"/>
          </w:tcPr>
          <w:p w14:paraId="2D5C0542" w14:textId="77777777" w:rsidR="00606628" w:rsidRPr="000E340E" w:rsidRDefault="00606628" w:rsidP="00112B73">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6" w:type="dxa"/>
            <w:tcBorders>
              <w:bottom w:val="single" w:sz="4" w:space="0" w:color="auto"/>
            </w:tcBorders>
            <w:shd w:val="clear" w:color="auto" w:fill="auto"/>
            <w:noWrap/>
            <w:tcMar>
              <w:left w:w="57" w:type="dxa"/>
              <w:right w:w="57" w:type="dxa"/>
            </w:tcMar>
            <w:vAlign w:val="bottom"/>
          </w:tcPr>
          <w:p w14:paraId="3E429110" w14:textId="77777777" w:rsidR="00606628" w:rsidRPr="000E340E" w:rsidRDefault="00606628" w:rsidP="00112B73">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tcBorders>
              <w:bottom w:val="single" w:sz="4" w:space="0" w:color="auto"/>
            </w:tcBorders>
            <w:shd w:val="clear" w:color="auto" w:fill="auto"/>
            <w:noWrap/>
            <w:tcMar>
              <w:left w:w="57" w:type="dxa"/>
              <w:right w:w="57" w:type="dxa"/>
            </w:tcMar>
            <w:vAlign w:val="bottom"/>
          </w:tcPr>
          <w:p w14:paraId="1AC3F5B8" w14:textId="77777777" w:rsidR="00606628" w:rsidRPr="000E340E" w:rsidRDefault="00606628" w:rsidP="00112B73">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tcBorders>
              <w:bottom w:val="single" w:sz="4" w:space="0" w:color="auto"/>
            </w:tcBorders>
            <w:shd w:val="clear" w:color="auto" w:fill="auto"/>
            <w:noWrap/>
            <w:tcMar>
              <w:left w:w="57" w:type="dxa"/>
              <w:right w:w="57" w:type="dxa"/>
            </w:tcMar>
            <w:vAlign w:val="bottom"/>
          </w:tcPr>
          <w:p w14:paraId="6AB664B0" w14:textId="77777777" w:rsidR="00606628" w:rsidRPr="000E340E" w:rsidRDefault="00606628" w:rsidP="00112B73">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tcBorders>
              <w:bottom w:val="single" w:sz="4" w:space="0" w:color="auto"/>
            </w:tcBorders>
            <w:shd w:val="clear" w:color="auto" w:fill="auto"/>
            <w:noWrap/>
            <w:tcMar>
              <w:left w:w="57" w:type="dxa"/>
              <w:right w:w="57" w:type="dxa"/>
            </w:tcMar>
            <w:vAlign w:val="bottom"/>
          </w:tcPr>
          <w:p w14:paraId="7241B3C3" w14:textId="77777777" w:rsidR="00606628" w:rsidRPr="000E340E" w:rsidRDefault="00606628" w:rsidP="00112B73">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5" w:type="dxa"/>
            <w:tcBorders>
              <w:bottom w:val="single" w:sz="4" w:space="0" w:color="auto"/>
            </w:tcBorders>
            <w:shd w:val="clear" w:color="auto" w:fill="auto"/>
            <w:noWrap/>
            <w:tcMar>
              <w:left w:w="57" w:type="dxa"/>
              <w:right w:w="57" w:type="dxa"/>
            </w:tcMar>
            <w:vAlign w:val="bottom"/>
          </w:tcPr>
          <w:p w14:paraId="5D9A3B65" w14:textId="77777777" w:rsidR="00606628" w:rsidRPr="000E340E" w:rsidRDefault="00606628" w:rsidP="00112B73">
            <w:pPr>
              <w:spacing w:after="0"/>
              <w:rPr>
                <w:rFonts w:ascii="Arial Narrow" w:hAnsi="Arial Narrow"/>
                <w:color w:val="000000"/>
                <w:sz w:val="20"/>
                <w:lang w:eastAsia="en-AU"/>
              </w:rPr>
            </w:pPr>
            <w:r w:rsidRPr="000E340E">
              <w:rPr>
                <w:rFonts w:ascii="Arial Narrow" w:hAnsi="Arial Narrow"/>
                <w:color w:val="000000"/>
                <w:sz w:val="20"/>
                <w:lang w:eastAsia="en-AU"/>
              </w:rPr>
              <w:t>P</w:t>
            </w:r>
          </w:p>
        </w:tc>
        <w:tc>
          <w:tcPr>
            <w:tcW w:w="625" w:type="dxa"/>
            <w:tcBorders>
              <w:bottom w:val="single" w:sz="4" w:space="0" w:color="auto"/>
            </w:tcBorders>
            <w:shd w:val="clear" w:color="auto" w:fill="auto"/>
            <w:noWrap/>
            <w:tcMar>
              <w:left w:w="57" w:type="dxa"/>
              <w:right w:w="57" w:type="dxa"/>
            </w:tcMar>
            <w:vAlign w:val="bottom"/>
          </w:tcPr>
          <w:p w14:paraId="00E57FC4" w14:textId="77777777" w:rsidR="00606628" w:rsidRPr="000E340E" w:rsidRDefault="00606628" w:rsidP="00112B73">
            <w:pPr>
              <w:spacing w:after="0"/>
              <w:rPr>
                <w:rFonts w:ascii="Arial Narrow" w:hAnsi="Arial Narrow"/>
                <w:color w:val="000000"/>
                <w:sz w:val="20"/>
                <w:lang w:eastAsia="en-AU"/>
              </w:rPr>
            </w:pPr>
            <w:r w:rsidRPr="000E340E">
              <w:rPr>
                <w:rFonts w:ascii="Arial Narrow" w:hAnsi="Arial Narrow"/>
                <w:color w:val="000000"/>
                <w:sz w:val="20"/>
                <w:lang w:eastAsia="en-AU"/>
              </w:rPr>
              <w:t>Score</w:t>
            </w:r>
          </w:p>
        </w:tc>
        <w:tc>
          <w:tcPr>
            <w:tcW w:w="626" w:type="dxa"/>
            <w:tcBorders>
              <w:bottom w:val="single" w:sz="4" w:space="0" w:color="auto"/>
            </w:tcBorders>
            <w:shd w:val="clear" w:color="auto" w:fill="auto"/>
            <w:noWrap/>
            <w:tcMar>
              <w:left w:w="57" w:type="dxa"/>
              <w:right w:w="57" w:type="dxa"/>
            </w:tcMar>
            <w:vAlign w:val="bottom"/>
          </w:tcPr>
          <w:p w14:paraId="7F632F28" w14:textId="77777777" w:rsidR="00606628" w:rsidRPr="000E340E" w:rsidRDefault="00606628" w:rsidP="00112B73">
            <w:pPr>
              <w:spacing w:after="0"/>
              <w:rPr>
                <w:rFonts w:ascii="Arial Narrow" w:hAnsi="Arial Narrow"/>
                <w:color w:val="000000"/>
                <w:sz w:val="20"/>
                <w:lang w:eastAsia="en-AU"/>
              </w:rPr>
            </w:pPr>
            <w:r w:rsidRPr="000E340E">
              <w:rPr>
                <w:rFonts w:ascii="Arial Narrow" w:hAnsi="Arial Narrow"/>
                <w:color w:val="000000"/>
                <w:sz w:val="20"/>
                <w:lang w:eastAsia="en-AU"/>
              </w:rPr>
              <w:t>P</w:t>
            </w:r>
          </w:p>
        </w:tc>
      </w:tr>
      <w:tr w:rsidR="00606628" w:rsidRPr="000E340E" w14:paraId="637A350E" w14:textId="77777777" w:rsidTr="00C44D73">
        <w:trPr>
          <w:trHeight w:val="300"/>
        </w:trPr>
        <w:tc>
          <w:tcPr>
            <w:tcW w:w="1074" w:type="dxa"/>
            <w:vMerge w:val="restart"/>
            <w:tcBorders>
              <w:top w:val="single" w:sz="4" w:space="0" w:color="auto"/>
              <w:left w:val="single" w:sz="4" w:space="0" w:color="auto"/>
            </w:tcBorders>
            <w:shd w:val="clear" w:color="auto" w:fill="auto"/>
            <w:noWrap/>
            <w:tcMar>
              <w:left w:w="57" w:type="dxa"/>
              <w:right w:w="57" w:type="dxa"/>
            </w:tcMar>
            <w:vAlign w:val="center"/>
          </w:tcPr>
          <w:p w14:paraId="123F379F" w14:textId="77777777" w:rsidR="00606628" w:rsidRPr="000E340E" w:rsidRDefault="00606628" w:rsidP="00112B73">
            <w:pPr>
              <w:spacing w:after="0"/>
              <w:rPr>
                <w:rFonts w:ascii="Arial Narrow" w:hAnsi="Arial Narrow"/>
                <w:color w:val="000000"/>
                <w:sz w:val="20"/>
                <w:lang w:eastAsia="en-AU"/>
              </w:rPr>
            </w:pPr>
            <w:r w:rsidRPr="000E340E">
              <w:rPr>
                <w:rFonts w:ascii="Arial Narrow" w:hAnsi="Arial Narrow"/>
                <w:color w:val="000000"/>
                <w:sz w:val="20"/>
                <w:lang w:eastAsia="en-AU"/>
              </w:rPr>
              <w:t>2008 to 2014</w:t>
            </w:r>
          </w:p>
        </w:tc>
        <w:tc>
          <w:tcPr>
            <w:tcW w:w="350" w:type="dxa"/>
            <w:tcBorders>
              <w:top w:val="single" w:sz="4" w:space="0" w:color="auto"/>
            </w:tcBorders>
            <w:shd w:val="clear" w:color="auto" w:fill="auto"/>
            <w:noWrap/>
            <w:tcMar>
              <w:left w:w="57" w:type="dxa"/>
              <w:right w:w="57" w:type="dxa"/>
            </w:tcMar>
            <w:vAlign w:val="center"/>
          </w:tcPr>
          <w:p w14:paraId="1E458251" w14:textId="77777777" w:rsidR="00606628" w:rsidRPr="000E340E" w:rsidRDefault="00606628" w:rsidP="00112B73">
            <w:pPr>
              <w:spacing w:after="0"/>
              <w:jc w:val="center"/>
              <w:rPr>
                <w:rFonts w:ascii="Arial Narrow" w:hAnsi="Arial Narrow"/>
                <w:color w:val="000000"/>
                <w:sz w:val="20"/>
                <w:lang w:eastAsia="en-AU"/>
              </w:rPr>
            </w:pPr>
            <w:r w:rsidRPr="000E340E">
              <w:rPr>
                <w:rFonts w:ascii="Arial Narrow" w:hAnsi="Arial Narrow"/>
                <w:color w:val="000000"/>
                <w:sz w:val="20"/>
                <w:lang w:eastAsia="en-AU"/>
              </w:rPr>
              <w:t>2</w:t>
            </w:r>
          </w:p>
        </w:tc>
        <w:tc>
          <w:tcPr>
            <w:tcW w:w="625" w:type="dxa"/>
            <w:tcBorders>
              <w:top w:val="single" w:sz="4" w:space="0" w:color="auto"/>
            </w:tcBorders>
            <w:shd w:val="clear" w:color="auto" w:fill="E6B8B7"/>
            <w:noWrap/>
            <w:tcMar>
              <w:left w:w="57" w:type="dxa"/>
              <w:right w:w="57" w:type="dxa"/>
            </w:tcMar>
            <w:vAlign w:val="center"/>
          </w:tcPr>
          <w:p w14:paraId="6BA50FB3"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-0.21</w:t>
            </w:r>
          </w:p>
        </w:tc>
        <w:tc>
          <w:tcPr>
            <w:tcW w:w="625" w:type="dxa"/>
            <w:tcBorders>
              <w:top w:val="single" w:sz="4" w:space="0" w:color="auto"/>
            </w:tcBorders>
            <w:shd w:val="clear" w:color="auto" w:fill="E6B8B7"/>
            <w:noWrap/>
            <w:tcMar>
              <w:left w:w="57" w:type="dxa"/>
              <w:right w:w="57" w:type="dxa"/>
            </w:tcMar>
            <w:vAlign w:val="center"/>
          </w:tcPr>
          <w:p w14:paraId="365841A9"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w:t>
            </w:r>
            <w:r w:rsidRPr="00F1654A">
              <w:rPr>
                <w:rFonts w:ascii="Arial Narrow" w:hAnsi="Arial Narrow"/>
                <w:color w:val="000000"/>
                <w:sz w:val="20"/>
                <w:shd w:val="clear" w:color="auto" w:fill="E6B8B7"/>
                <w:lang w:eastAsia="en-AU"/>
              </w:rPr>
              <w:t>.</w:t>
            </w:r>
            <w:r w:rsidRPr="00BC1E12">
              <w:rPr>
                <w:rFonts w:ascii="Arial Narrow" w:hAnsi="Arial Narrow"/>
                <w:color w:val="000000"/>
                <w:sz w:val="20"/>
                <w:lang w:eastAsia="en-AU"/>
              </w:rPr>
              <w:t>89</w:t>
            </w:r>
          </w:p>
        </w:tc>
        <w:tc>
          <w:tcPr>
            <w:tcW w:w="625" w:type="dxa"/>
            <w:tcBorders>
              <w:top w:val="single" w:sz="4" w:space="0" w:color="auto"/>
            </w:tcBorders>
            <w:shd w:val="clear" w:color="auto" w:fill="F2DBDB" w:themeFill="accent2" w:themeFillTint="33"/>
            <w:noWrap/>
            <w:tcMar>
              <w:left w:w="57" w:type="dxa"/>
              <w:right w:w="57" w:type="dxa"/>
            </w:tcMar>
            <w:vAlign w:val="center"/>
          </w:tcPr>
          <w:p w14:paraId="72DBBF24"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-0.37</w:t>
            </w:r>
          </w:p>
        </w:tc>
        <w:tc>
          <w:tcPr>
            <w:tcW w:w="603" w:type="dxa"/>
            <w:tcBorders>
              <w:top w:val="single" w:sz="4" w:space="0" w:color="auto"/>
            </w:tcBorders>
            <w:shd w:val="clear" w:color="auto" w:fill="F2DBDB" w:themeFill="accent2" w:themeFillTint="33"/>
            <w:noWrap/>
            <w:tcMar>
              <w:left w:w="57" w:type="dxa"/>
              <w:right w:w="57" w:type="dxa"/>
            </w:tcMar>
            <w:vAlign w:val="center"/>
          </w:tcPr>
          <w:p w14:paraId="7340C49B"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0.7</w:t>
            </w:r>
            <w:r>
              <w:rPr>
                <w:rFonts w:ascii="Arial Narrow" w:hAnsi="Arial Narrow"/>
                <w:color w:val="000000"/>
                <w:sz w:val="20"/>
                <w:lang w:eastAsia="en-AU"/>
              </w:rPr>
              <w:t>1</w:t>
            </w:r>
          </w:p>
        </w:tc>
        <w:tc>
          <w:tcPr>
            <w:tcW w:w="647" w:type="dxa"/>
            <w:tcBorders>
              <w:top w:val="single" w:sz="4" w:space="0" w:color="auto"/>
            </w:tcBorders>
            <w:shd w:val="clear" w:color="auto" w:fill="F2DBDB" w:themeFill="accent2" w:themeFillTint="33"/>
            <w:noWrap/>
            <w:tcMar>
              <w:left w:w="57" w:type="dxa"/>
              <w:right w:w="57" w:type="dxa"/>
            </w:tcMar>
            <w:vAlign w:val="center"/>
          </w:tcPr>
          <w:p w14:paraId="16C36A51"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-0.17</w:t>
            </w:r>
          </w:p>
        </w:tc>
        <w:tc>
          <w:tcPr>
            <w:tcW w:w="626" w:type="dxa"/>
            <w:tcBorders>
              <w:top w:val="single" w:sz="4" w:space="0" w:color="auto"/>
              <w:right w:val="single" w:sz="4" w:space="0" w:color="auto"/>
            </w:tcBorders>
            <w:shd w:val="clear" w:color="auto" w:fill="F2DBDB" w:themeFill="accent2" w:themeFillTint="33"/>
            <w:noWrap/>
            <w:tcMar>
              <w:left w:w="57" w:type="dxa"/>
              <w:right w:w="57" w:type="dxa"/>
            </w:tcMar>
            <w:vAlign w:val="center"/>
          </w:tcPr>
          <w:p w14:paraId="61D27094" w14:textId="77777777" w:rsidR="00606628" w:rsidRPr="00BC1E12" w:rsidRDefault="00606628" w:rsidP="00112B73">
            <w:pPr>
              <w:spacing w:after="0"/>
              <w:jc w:val="right"/>
              <w:rPr>
                <w:rFonts w:ascii="Arial Narrow" w:hAnsi="Arial Narrow"/>
                <w:color w:val="000000"/>
                <w:sz w:val="20"/>
                <w:lang w:eastAsia="en-AU"/>
              </w:rPr>
            </w:pPr>
            <w:r>
              <w:rPr>
                <w:rFonts w:ascii="Arial Narrow" w:hAnsi="Arial Narrow"/>
                <w:color w:val="000000"/>
                <w:sz w:val="20"/>
                <w:lang w:eastAsia="en-AU"/>
              </w:rPr>
              <w:t>0.75</w:t>
            </w:r>
          </w:p>
        </w:tc>
        <w:tc>
          <w:tcPr>
            <w:tcW w:w="625" w:type="dxa"/>
            <w:tcBorders>
              <w:top w:val="single" w:sz="4" w:space="0" w:color="auto"/>
            </w:tcBorders>
            <w:shd w:val="clear" w:color="000000" w:fill="DA9694"/>
            <w:noWrap/>
            <w:tcMar>
              <w:left w:w="57" w:type="dxa"/>
              <w:right w:w="57" w:type="dxa"/>
            </w:tcMar>
            <w:vAlign w:val="center"/>
          </w:tcPr>
          <w:p w14:paraId="6135BEB9"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-0.42</w:t>
            </w:r>
          </w:p>
        </w:tc>
        <w:tc>
          <w:tcPr>
            <w:tcW w:w="625" w:type="dxa"/>
            <w:tcBorders>
              <w:top w:val="single" w:sz="4" w:space="0" w:color="auto"/>
            </w:tcBorders>
            <w:shd w:val="clear" w:color="000000" w:fill="DA9694"/>
            <w:noWrap/>
            <w:tcMar>
              <w:left w:w="57" w:type="dxa"/>
              <w:right w:w="57" w:type="dxa"/>
            </w:tcMar>
            <w:vAlign w:val="center"/>
          </w:tcPr>
          <w:p w14:paraId="65E29AB1"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0.92</w:t>
            </w:r>
          </w:p>
        </w:tc>
        <w:tc>
          <w:tcPr>
            <w:tcW w:w="625" w:type="dxa"/>
            <w:tcBorders>
              <w:top w:val="single" w:sz="4" w:space="0" w:color="auto"/>
            </w:tcBorders>
            <w:shd w:val="clear" w:color="auto" w:fill="DA9694"/>
            <w:noWrap/>
            <w:tcMar>
              <w:left w:w="57" w:type="dxa"/>
              <w:right w:w="57" w:type="dxa"/>
            </w:tcMar>
            <w:vAlign w:val="center"/>
          </w:tcPr>
          <w:p w14:paraId="41557030"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-0.62</w:t>
            </w:r>
          </w:p>
        </w:tc>
        <w:tc>
          <w:tcPr>
            <w:tcW w:w="625" w:type="dxa"/>
            <w:tcBorders>
              <w:top w:val="single" w:sz="4" w:space="0" w:color="auto"/>
            </w:tcBorders>
            <w:shd w:val="clear" w:color="000000" w:fill="DA9694"/>
            <w:noWrap/>
            <w:tcMar>
              <w:left w:w="57" w:type="dxa"/>
              <w:right w:w="57" w:type="dxa"/>
            </w:tcMar>
            <w:vAlign w:val="center"/>
          </w:tcPr>
          <w:p w14:paraId="05BDACE5" w14:textId="77777777" w:rsidR="00606628" w:rsidRPr="00BC1E12" w:rsidRDefault="00606628" w:rsidP="00112B73">
            <w:pPr>
              <w:spacing w:after="0"/>
              <w:jc w:val="right"/>
              <w:rPr>
                <w:rFonts w:ascii="Arial Narrow" w:hAnsi="Arial Narrow"/>
                <w:color w:val="000000"/>
                <w:sz w:val="20"/>
                <w:lang w:eastAsia="en-AU"/>
              </w:rPr>
            </w:pPr>
            <w:r>
              <w:rPr>
                <w:rFonts w:ascii="Arial Narrow" w:hAnsi="Arial Narrow"/>
                <w:color w:val="000000"/>
                <w:sz w:val="20"/>
                <w:lang w:eastAsia="en-AU"/>
              </w:rPr>
              <w:t>0.98</w:t>
            </w:r>
          </w:p>
        </w:tc>
        <w:tc>
          <w:tcPr>
            <w:tcW w:w="625" w:type="dxa"/>
            <w:tcBorders>
              <w:top w:val="single" w:sz="4" w:space="0" w:color="auto"/>
            </w:tcBorders>
            <w:shd w:val="clear" w:color="000000" w:fill="538DD5"/>
            <w:noWrap/>
            <w:tcMar>
              <w:left w:w="57" w:type="dxa"/>
              <w:right w:w="57" w:type="dxa"/>
            </w:tcMar>
            <w:vAlign w:val="center"/>
          </w:tcPr>
          <w:p w14:paraId="589E7D4B"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0.50</w:t>
            </w:r>
          </w:p>
        </w:tc>
        <w:tc>
          <w:tcPr>
            <w:tcW w:w="626" w:type="dxa"/>
            <w:tcBorders>
              <w:top w:val="single" w:sz="4" w:space="0" w:color="auto"/>
            </w:tcBorders>
            <w:shd w:val="clear" w:color="000000" w:fill="538DD5"/>
            <w:noWrap/>
            <w:tcMar>
              <w:left w:w="57" w:type="dxa"/>
              <w:right w:w="57" w:type="dxa"/>
            </w:tcMar>
            <w:vAlign w:val="center"/>
          </w:tcPr>
          <w:p w14:paraId="5339979D"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1.00</w:t>
            </w:r>
          </w:p>
        </w:tc>
      </w:tr>
      <w:tr w:rsidR="00606628" w:rsidRPr="000E340E" w14:paraId="1124855F" w14:textId="77777777" w:rsidTr="00C44D73">
        <w:trPr>
          <w:trHeight w:val="300"/>
        </w:trPr>
        <w:tc>
          <w:tcPr>
            <w:tcW w:w="1074" w:type="dxa"/>
            <w:vMerge/>
            <w:tcBorders>
              <w:left w:val="single" w:sz="4" w:space="0" w:color="auto"/>
            </w:tcBorders>
            <w:shd w:val="clear" w:color="auto" w:fill="auto"/>
            <w:noWrap/>
            <w:tcMar>
              <w:left w:w="57" w:type="dxa"/>
              <w:right w:w="57" w:type="dxa"/>
            </w:tcMar>
            <w:vAlign w:val="center"/>
          </w:tcPr>
          <w:p w14:paraId="62523DD0" w14:textId="77777777" w:rsidR="00606628" w:rsidRPr="000E340E" w:rsidRDefault="00606628" w:rsidP="00112B73">
            <w:pPr>
              <w:spacing w:after="0"/>
              <w:jc w:val="right"/>
              <w:rPr>
                <w:rFonts w:ascii="Arial Narrow" w:hAnsi="Arial Narrow"/>
                <w:color w:val="000000"/>
                <w:sz w:val="20"/>
                <w:lang w:eastAsia="en-AU"/>
              </w:rPr>
            </w:pPr>
          </w:p>
        </w:tc>
        <w:tc>
          <w:tcPr>
            <w:tcW w:w="350" w:type="dxa"/>
            <w:shd w:val="clear" w:color="auto" w:fill="auto"/>
            <w:noWrap/>
            <w:tcMar>
              <w:left w:w="57" w:type="dxa"/>
              <w:right w:w="57" w:type="dxa"/>
            </w:tcMar>
            <w:vAlign w:val="center"/>
          </w:tcPr>
          <w:p w14:paraId="081A4BB4" w14:textId="77777777" w:rsidR="00606628" w:rsidRPr="000E340E" w:rsidRDefault="00606628" w:rsidP="00112B73">
            <w:pPr>
              <w:spacing w:after="0"/>
              <w:jc w:val="center"/>
              <w:rPr>
                <w:rFonts w:ascii="Arial Narrow" w:hAnsi="Arial Narrow"/>
                <w:color w:val="000000"/>
                <w:sz w:val="20"/>
                <w:lang w:eastAsia="en-AU"/>
              </w:rPr>
            </w:pPr>
            <w:r w:rsidRPr="000E340E">
              <w:rPr>
                <w:rFonts w:ascii="Arial Narrow" w:hAnsi="Arial Narrow"/>
                <w:color w:val="000000"/>
                <w:sz w:val="20"/>
                <w:lang w:eastAsia="en-AU"/>
              </w:rPr>
              <w:t>5</w:t>
            </w:r>
          </w:p>
        </w:tc>
        <w:tc>
          <w:tcPr>
            <w:tcW w:w="625" w:type="dxa"/>
            <w:shd w:val="clear" w:color="auto" w:fill="E6B8B7"/>
            <w:noWrap/>
            <w:tcMar>
              <w:left w:w="57" w:type="dxa"/>
              <w:right w:w="57" w:type="dxa"/>
            </w:tcMar>
            <w:vAlign w:val="center"/>
          </w:tcPr>
          <w:p w14:paraId="73D6E485"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-0.2</w:t>
            </w:r>
            <w:r>
              <w:rPr>
                <w:rFonts w:ascii="Arial Narrow" w:hAnsi="Arial Narrow"/>
                <w:color w:val="000000"/>
                <w:sz w:val="20"/>
                <w:lang w:eastAsia="en-AU"/>
              </w:rPr>
              <w:t>6</w:t>
            </w:r>
          </w:p>
        </w:tc>
        <w:tc>
          <w:tcPr>
            <w:tcW w:w="625" w:type="dxa"/>
            <w:shd w:val="clear" w:color="auto" w:fill="E6B8B7"/>
            <w:noWrap/>
            <w:tcMar>
              <w:left w:w="57" w:type="dxa"/>
              <w:right w:w="57" w:type="dxa"/>
            </w:tcMar>
            <w:vAlign w:val="center"/>
          </w:tcPr>
          <w:p w14:paraId="1609C1FF"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0.8</w:t>
            </w:r>
            <w:r>
              <w:rPr>
                <w:rFonts w:ascii="Arial Narrow" w:hAnsi="Arial Narrow"/>
                <w:color w:val="000000"/>
                <w:sz w:val="20"/>
                <w:lang w:eastAsia="en-AU"/>
              </w:rPr>
              <w:t>2</w:t>
            </w:r>
          </w:p>
        </w:tc>
        <w:tc>
          <w:tcPr>
            <w:tcW w:w="625" w:type="dxa"/>
            <w:shd w:val="clear" w:color="auto" w:fill="auto"/>
            <w:noWrap/>
            <w:tcMar>
              <w:left w:w="57" w:type="dxa"/>
              <w:right w:w="57" w:type="dxa"/>
            </w:tcMar>
            <w:vAlign w:val="center"/>
          </w:tcPr>
          <w:p w14:paraId="0F641AE6"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-0.12</w:t>
            </w:r>
          </w:p>
        </w:tc>
        <w:tc>
          <w:tcPr>
            <w:tcW w:w="603" w:type="dxa"/>
            <w:shd w:val="clear" w:color="auto" w:fill="auto"/>
            <w:noWrap/>
            <w:tcMar>
              <w:left w:w="57" w:type="dxa"/>
              <w:right w:w="57" w:type="dxa"/>
            </w:tcMar>
            <w:vAlign w:val="center"/>
          </w:tcPr>
          <w:p w14:paraId="0E689311"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0.59</w:t>
            </w:r>
          </w:p>
        </w:tc>
        <w:tc>
          <w:tcPr>
            <w:tcW w:w="647" w:type="dxa"/>
            <w:shd w:val="clear" w:color="000000" w:fill="E6B8B7"/>
            <w:noWrap/>
            <w:tcMar>
              <w:left w:w="57" w:type="dxa"/>
              <w:right w:w="57" w:type="dxa"/>
            </w:tcMar>
            <w:vAlign w:val="center"/>
          </w:tcPr>
          <w:p w14:paraId="5CDEBEC7"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-0.43</w:t>
            </w:r>
          </w:p>
        </w:tc>
        <w:tc>
          <w:tcPr>
            <w:tcW w:w="626" w:type="dxa"/>
            <w:tcBorders>
              <w:right w:val="single" w:sz="4" w:space="0" w:color="auto"/>
            </w:tcBorders>
            <w:shd w:val="clear" w:color="000000" w:fill="E6B8B7"/>
            <w:noWrap/>
            <w:tcMar>
              <w:left w:w="57" w:type="dxa"/>
              <w:right w:w="57" w:type="dxa"/>
            </w:tcMar>
            <w:vAlign w:val="center"/>
          </w:tcPr>
          <w:p w14:paraId="6849BCB2" w14:textId="77777777" w:rsidR="00606628" w:rsidRPr="00BC1E12" w:rsidRDefault="00606628" w:rsidP="00112B73">
            <w:pPr>
              <w:spacing w:after="0"/>
              <w:jc w:val="right"/>
              <w:rPr>
                <w:rFonts w:ascii="Arial Narrow" w:hAnsi="Arial Narrow"/>
                <w:color w:val="000000"/>
                <w:sz w:val="20"/>
                <w:lang w:eastAsia="en-AU"/>
              </w:rPr>
            </w:pPr>
            <w:r>
              <w:rPr>
                <w:rFonts w:ascii="Arial Narrow" w:hAnsi="Arial Narrow"/>
                <w:color w:val="000000"/>
                <w:sz w:val="20"/>
                <w:lang w:eastAsia="en-AU"/>
              </w:rPr>
              <w:t>0.80</w:t>
            </w:r>
          </w:p>
        </w:tc>
        <w:tc>
          <w:tcPr>
            <w:tcW w:w="625" w:type="dxa"/>
            <w:shd w:val="clear" w:color="auto" w:fill="auto"/>
            <w:noWrap/>
            <w:tcMar>
              <w:left w:w="57" w:type="dxa"/>
              <w:right w:w="57" w:type="dxa"/>
            </w:tcMar>
            <w:vAlign w:val="center"/>
          </w:tcPr>
          <w:p w14:paraId="6FD8E1C9"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-0.04</w:t>
            </w:r>
          </w:p>
        </w:tc>
        <w:tc>
          <w:tcPr>
            <w:tcW w:w="625" w:type="dxa"/>
            <w:shd w:val="clear" w:color="auto" w:fill="auto"/>
            <w:noWrap/>
            <w:tcMar>
              <w:left w:w="57" w:type="dxa"/>
              <w:right w:w="57" w:type="dxa"/>
            </w:tcMar>
            <w:vAlign w:val="center"/>
          </w:tcPr>
          <w:p w14:paraId="6E5AD626"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w:t>
            </w:r>
            <w:r>
              <w:rPr>
                <w:rFonts w:ascii="Arial Narrow" w:hAnsi="Arial Narrow"/>
                <w:color w:val="000000"/>
                <w:sz w:val="20"/>
                <w:lang w:eastAsia="en-AU"/>
              </w:rPr>
              <w:t>59</w:t>
            </w:r>
          </w:p>
        </w:tc>
        <w:tc>
          <w:tcPr>
            <w:tcW w:w="625" w:type="dxa"/>
            <w:shd w:val="clear" w:color="auto" w:fill="F2DBDB" w:themeFill="accent2" w:themeFillTint="33"/>
            <w:noWrap/>
            <w:tcMar>
              <w:left w:w="57" w:type="dxa"/>
              <w:right w:w="57" w:type="dxa"/>
            </w:tcMar>
            <w:vAlign w:val="center"/>
          </w:tcPr>
          <w:p w14:paraId="2DD67301"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-0.21</w:t>
            </w:r>
          </w:p>
        </w:tc>
        <w:tc>
          <w:tcPr>
            <w:tcW w:w="625" w:type="dxa"/>
            <w:shd w:val="clear" w:color="auto" w:fill="F2DBDB" w:themeFill="accent2" w:themeFillTint="33"/>
            <w:noWrap/>
            <w:tcMar>
              <w:left w:w="57" w:type="dxa"/>
              <w:right w:w="57" w:type="dxa"/>
            </w:tcMar>
            <w:vAlign w:val="center"/>
          </w:tcPr>
          <w:p w14:paraId="1706C94E"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0.7</w:t>
            </w:r>
            <w:r>
              <w:rPr>
                <w:rFonts w:ascii="Arial Narrow" w:hAnsi="Arial Narrow"/>
                <w:color w:val="000000"/>
                <w:sz w:val="20"/>
                <w:lang w:eastAsia="en-AU"/>
              </w:rPr>
              <w:t>1</w:t>
            </w:r>
          </w:p>
        </w:tc>
        <w:tc>
          <w:tcPr>
            <w:tcW w:w="625" w:type="dxa"/>
            <w:shd w:val="clear" w:color="000000" w:fill="DA9694"/>
            <w:noWrap/>
            <w:tcMar>
              <w:left w:w="57" w:type="dxa"/>
              <w:right w:w="57" w:type="dxa"/>
            </w:tcMar>
            <w:vAlign w:val="center"/>
          </w:tcPr>
          <w:p w14:paraId="7A6563F0"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-0.50</w:t>
            </w:r>
          </w:p>
        </w:tc>
        <w:tc>
          <w:tcPr>
            <w:tcW w:w="626" w:type="dxa"/>
            <w:shd w:val="clear" w:color="000000" w:fill="DA9694"/>
            <w:noWrap/>
            <w:tcMar>
              <w:left w:w="57" w:type="dxa"/>
              <w:right w:w="57" w:type="dxa"/>
            </w:tcMar>
            <w:vAlign w:val="center"/>
          </w:tcPr>
          <w:p w14:paraId="1EB7EDA5"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1.00</w:t>
            </w:r>
          </w:p>
        </w:tc>
      </w:tr>
      <w:tr w:rsidR="00606628" w:rsidRPr="000E340E" w14:paraId="3C1FCB38" w14:textId="77777777" w:rsidTr="00C44D73">
        <w:trPr>
          <w:trHeight w:val="300"/>
        </w:trPr>
        <w:tc>
          <w:tcPr>
            <w:tcW w:w="1074" w:type="dxa"/>
            <w:vMerge w:val="restart"/>
            <w:tcBorders>
              <w:left w:val="single" w:sz="4" w:space="0" w:color="auto"/>
            </w:tcBorders>
            <w:shd w:val="clear" w:color="auto" w:fill="auto"/>
            <w:noWrap/>
            <w:tcMar>
              <w:left w:w="57" w:type="dxa"/>
              <w:right w:w="57" w:type="dxa"/>
            </w:tcMar>
            <w:vAlign w:val="center"/>
          </w:tcPr>
          <w:p w14:paraId="411D4A5B" w14:textId="77777777" w:rsidR="00606628" w:rsidRPr="000E340E" w:rsidRDefault="00606628" w:rsidP="00112B73">
            <w:pPr>
              <w:spacing w:after="0"/>
              <w:rPr>
                <w:rFonts w:ascii="Arial Narrow" w:hAnsi="Arial Narrow"/>
                <w:color w:val="000000"/>
                <w:sz w:val="20"/>
                <w:lang w:eastAsia="en-AU"/>
              </w:rPr>
            </w:pPr>
            <w:r w:rsidRPr="000E340E">
              <w:rPr>
                <w:rFonts w:ascii="Arial Narrow" w:hAnsi="Arial Narrow"/>
                <w:color w:val="000000"/>
                <w:sz w:val="20"/>
                <w:lang w:eastAsia="en-AU"/>
              </w:rPr>
              <w:t>2014 to 2016</w:t>
            </w:r>
          </w:p>
        </w:tc>
        <w:tc>
          <w:tcPr>
            <w:tcW w:w="350" w:type="dxa"/>
            <w:shd w:val="clear" w:color="auto" w:fill="auto"/>
            <w:noWrap/>
            <w:tcMar>
              <w:left w:w="57" w:type="dxa"/>
              <w:right w:w="57" w:type="dxa"/>
            </w:tcMar>
            <w:vAlign w:val="center"/>
          </w:tcPr>
          <w:p w14:paraId="1BBA4B6B" w14:textId="77777777" w:rsidR="00606628" w:rsidRPr="000E340E" w:rsidRDefault="00606628" w:rsidP="00112B73">
            <w:pPr>
              <w:spacing w:after="0"/>
              <w:jc w:val="center"/>
              <w:rPr>
                <w:rFonts w:ascii="Arial Narrow" w:hAnsi="Arial Narrow"/>
                <w:color w:val="000000"/>
                <w:sz w:val="20"/>
                <w:lang w:eastAsia="en-AU"/>
              </w:rPr>
            </w:pPr>
            <w:r w:rsidRPr="000E340E">
              <w:rPr>
                <w:rFonts w:ascii="Arial Narrow" w:hAnsi="Arial Narrow"/>
                <w:color w:val="000000"/>
                <w:sz w:val="20"/>
                <w:lang w:eastAsia="en-AU"/>
              </w:rPr>
              <w:t>2</w:t>
            </w:r>
          </w:p>
        </w:tc>
        <w:tc>
          <w:tcPr>
            <w:tcW w:w="625" w:type="dxa"/>
            <w:shd w:val="clear" w:color="auto" w:fill="FFFFFF" w:themeFill="background1"/>
            <w:noWrap/>
            <w:tcMar>
              <w:left w:w="57" w:type="dxa"/>
              <w:right w:w="57" w:type="dxa"/>
            </w:tcMar>
            <w:vAlign w:val="center"/>
          </w:tcPr>
          <w:p w14:paraId="54EC10DA"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-0.03</w:t>
            </w:r>
          </w:p>
        </w:tc>
        <w:tc>
          <w:tcPr>
            <w:tcW w:w="625" w:type="dxa"/>
            <w:shd w:val="clear" w:color="auto" w:fill="FFFFFF" w:themeFill="background1"/>
            <w:noWrap/>
            <w:tcMar>
              <w:left w:w="57" w:type="dxa"/>
              <w:right w:w="57" w:type="dxa"/>
            </w:tcMar>
            <w:vAlign w:val="center"/>
          </w:tcPr>
          <w:p w14:paraId="7F4F51E2"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w:t>
            </w:r>
            <w:r>
              <w:rPr>
                <w:rFonts w:ascii="Arial Narrow" w:hAnsi="Arial Narrow"/>
                <w:color w:val="000000"/>
                <w:sz w:val="20"/>
                <w:lang w:eastAsia="en-AU"/>
              </w:rPr>
              <w:t>68</w:t>
            </w:r>
          </w:p>
        </w:tc>
        <w:tc>
          <w:tcPr>
            <w:tcW w:w="625" w:type="dxa"/>
            <w:shd w:val="clear" w:color="000000" w:fill="538DD5"/>
            <w:noWrap/>
            <w:tcMar>
              <w:left w:w="57" w:type="dxa"/>
              <w:right w:w="57" w:type="dxa"/>
            </w:tcMar>
            <w:vAlign w:val="center"/>
          </w:tcPr>
          <w:p w14:paraId="21055160"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0.08</w:t>
            </w:r>
          </w:p>
        </w:tc>
        <w:tc>
          <w:tcPr>
            <w:tcW w:w="603" w:type="dxa"/>
            <w:shd w:val="clear" w:color="000000" w:fill="538DD5"/>
            <w:noWrap/>
            <w:tcMar>
              <w:left w:w="57" w:type="dxa"/>
              <w:right w:w="57" w:type="dxa"/>
            </w:tcMar>
            <w:vAlign w:val="center"/>
          </w:tcPr>
          <w:p w14:paraId="640F9688"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0.98</w:t>
            </w:r>
          </w:p>
        </w:tc>
        <w:tc>
          <w:tcPr>
            <w:tcW w:w="647" w:type="dxa"/>
            <w:shd w:val="clear" w:color="auto" w:fill="F2DBDB" w:themeFill="accent2" w:themeFillTint="33"/>
            <w:noWrap/>
            <w:tcMar>
              <w:left w:w="57" w:type="dxa"/>
              <w:right w:w="57" w:type="dxa"/>
            </w:tcMar>
            <w:vAlign w:val="center"/>
          </w:tcPr>
          <w:p w14:paraId="450EC442"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-0.13</w:t>
            </w:r>
          </w:p>
        </w:tc>
        <w:tc>
          <w:tcPr>
            <w:tcW w:w="626" w:type="dxa"/>
            <w:tcBorders>
              <w:right w:val="single" w:sz="4" w:space="0" w:color="auto"/>
            </w:tcBorders>
            <w:shd w:val="clear" w:color="auto" w:fill="F2DBDB" w:themeFill="accent2" w:themeFillTint="33"/>
            <w:noWrap/>
            <w:tcMar>
              <w:left w:w="57" w:type="dxa"/>
              <w:right w:w="57" w:type="dxa"/>
            </w:tcMar>
            <w:vAlign w:val="center"/>
          </w:tcPr>
          <w:p w14:paraId="628C048C" w14:textId="77777777" w:rsidR="00606628" w:rsidRPr="00BC1E12" w:rsidRDefault="00606628" w:rsidP="00112B73">
            <w:pPr>
              <w:spacing w:after="0"/>
              <w:jc w:val="right"/>
              <w:rPr>
                <w:rFonts w:ascii="Arial Narrow" w:hAnsi="Arial Narrow"/>
                <w:color w:val="000000"/>
                <w:sz w:val="20"/>
                <w:lang w:eastAsia="en-AU"/>
              </w:rPr>
            </w:pPr>
            <w:r>
              <w:rPr>
                <w:rFonts w:ascii="Arial Narrow" w:hAnsi="Arial Narrow"/>
                <w:color w:val="000000"/>
                <w:sz w:val="20"/>
                <w:lang w:eastAsia="en-AU"/>
              </w:rPr>
              <w:t>0.76</w:t>
            </w:r>
          </w:p>
        </w:tc>
        <w:tc>
          <w:tcPr>
            <w:tcW w:w="625" w:type="dxa"/>
            <w:shd w:val="clear" w:color="auto" w:fill="auto"/>
            <w:noWrap/>
            <w:tcMar>
              <w:left w:w="57" w:type="dxa"/>
              <w:right w:w="57" w:type="dxa"/>
            </w:tcMar>
            <w:vAlign w:val="center"/>
          </w:tcPr>
          <w:p w14:paraId="30975044"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-0.03</w:t>
            </w:r>
          </w:p>
        </w:tc>
        <w:tc>
          <w:tcPr>
            <w:tcW w:w="625" w:type="dxa"/>
            <w:shd w:val="clear" w:color="auto" w:fill="auto"/>
            <w:noWrap/>
            <w:tcMar>
              <w:left w:w="57" w:type="dxa"/>
              <w:right w:w="57" w:type="dxa"/>
            </w:tcMar>
            <w:vAlign w:val="center"/>
          </w:tcPr>
          <w:p w14:paraId="37EF1FA3" w14:textId="77777777" w:rsidR="00606628" w:rsidRPr="00BC1E12" w:rsidRDefault="00606628" w:rsidP="00112B73">
            <w:pPr>
              <w:spacing w:after="0"/>
              <w:jc w:val="right"/>
              <w:rPr>
                <w:rFonts w:ascii="Arial Narrow" w:hAnsi="Arial Narrow"/>
                <w:color w:val="000000"/>
                <w:sz w:val="20"/>
                <w:lang w:eastAsia="en-AU"/>
              </w:rPr>
            </w:pPr>
            <w:r>
              <w:rPr>
                <w:rFonts w:ascii="Arial Narrow" w:hAnsi="Arial Narrow"/>
                <w:color w:val="000000"/>
                <w:sz w:val="20"/>
                <w:lang w:eastAsia="en-AU"/>
              </w:rPr>
              <w:t>0.60</w:t>
            </w:r>
          </w:p>
        </w:tc>
        <w:tc>
          <w:tcPr>
            <w:tcW w:w="625" w:type="dxa"/>
            <w:shd w:val="clear" w:color="000000" w:fill="538DD5"/>
            <w:noWrap/>
            <w:tcMar>
              <w:left w:w="57" w:type="dxa"/>
              <w:right w:w="57" w:type="dxa"/>
            </w:tcMar>
            <w:vAlign w:val="center"/>
          </w:tcPr>
          <w:p w14:paraId="6B9D8F5F"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0.44</w:t>
            </w:r>
          </w:p>
        </w:tc>
        <w:tc>
          <w:tcPr>
            <w:tcW w:w="625" w:type="dxa"/>
            <w:shd w:val="clear" w:color="000000" w:fill="538DD5"/>
            <w:noWrap/>
            <w:tcMar>
              <w:left w:w="57" w:type="dxa"/>
              <w:right w:w="57" w:type="dxa"/>
            </w:tcMar>
            <w:vAlign w:val="center"/>
          </w:tcPr>
          <w:p w14:paraId="16922394"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1.00</w:t>
            </w:r>
          </w:p>
        </w:tc>
        <w:tc>
          <w:tcPr>
            <w:tcW w:w="625" w:type="dxa"/>
            <w:shd w:val="clear" w:color="auto" w:fill="F2DBDB" w:themeFill="accent2" w:themeFillTint="33"/>
            <w:noWrap/>
            <w:tcMar>
              <w:left w:w="57" w:type="dxa"/>
              <w:right w:w="57" w:type="dxa"/>
            </w:tcMar>
            <w:vAlign w:val="center"/>
          </w:tcPr>
          <w:p w14:paraId="7F6BA62D"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-0.50</w:t>
            </w:r>
          </w:p>
        </w:tc>
        <w:tc>
          <w:tcPr>
            <w:tcW w:w="626" w:type="dxa"/>
            <w:shd w:val="clear" w:color="auto" w:fill="F2DBDB" w:themeFill="accent2" w:themeFillTint="33"/>
            <w:noWrap/>
            <w:tcMar>
              <w:left w:w="57" w:type="dxa"/>
              <w:right w:w="57" w:type="dxa"/>
            </w:tcMar>
            <w:vAlign w:val="center"/>
          </w:tcPr>
          <w:p w14:paraId="5FD2FC24"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0.7</w:t>
            </w:r>
            <w:r>
              <w:rPr>
                <w:rFonts w:ascii="Arial Narrow" w:hAnsi="Arial Narrow"/>
                <w:color w:val="000000"/>
                <w:sz w:val="20"/>
                <w:lang w:eastAsia="en-AU"/>
              </w:rPr>
              <w:t>4</w:t>
            </w:r>
          </w:p>
        </w:tc>
      </w:tr>
      <w:tr w:rsidR="00606628" w:rsidRPr="000E340E" w14:paraId="2EC49530" w14:textId="77777777" w:rsidTr="00C44D73">
        <w:trPr>
          <w:cantSplit/>
          <w:trHeight w:hRule="exact" w:val="301"/>
        </w:trPr>
        <w:tc>
          <w:tcPr>
            <w:tcW w:w="1074" w:type="dxa"/>
            <w:vMerge/>
            <w:tcBorders>
              <w:left w:val="single" w:sz="4" w:space="0" w:color="auto"/>
            </w:tcBorders>
            <w:shd w:val="clear" w:color="auto" w:fill="auto"/>
            <w:noWrap/>
            <w:tcMar>
              <w:left w:w="57" w:type="dxa"/>
              <w:right w:w="57" w:type="dxa"/>
            </w:tcMar>
            <w:vAlign w:val="center"/>
          </w:tcPr>
          <w:p w14:paraId="2AC3EA87" w14:textId="77777777" w:rsidR="00606628" w:rsidRPr="000E340E" w:rsidRDefault="00606628" w:rsidP="00112B73">
            <w:pPr>
              <w:spacing w:after="0"/>
              <w:jc w:val="right"/>
              <w:rPr>
                <w:rFonts w:ascii="Arial Narrow" w:hAnsi="Arial Narrow"/>
                <w:color w:val="000000"/>
                <w:sz w:val="20"/>
                <w:lang w:eastAsia="en-AU"/>
              </w:rPr>
            </w:pPr>
          </w:p>
        </w:tc>
        <w:tc>
          <w:tcPr>
            <w:tcW w:w="350" w:type="dxa"/>
            <w:shd w:val="clear" w:color="auto" w:fill="auto"/>
            <w:noWrap/>
            <w:tcMar>
              <w:left w:w="57" w:type="dxa"/>
              <w:right w:w="57" w:type="dxa"/>
            </w:tcMar>
            <w:vAlign w:val="center"/>
          </w:tcPr>
          <w:p w14:paraId="390905F3" w14:textId="77777777" w:rsidR="00606628" w:rsidRPr="000E340E" w:rsidRDefault="00606628" w:rsidP="00112B73">
            <w:pPr>
              <w:spacing w:after="0"/>
              <w:jc w:val="center"/>
              <w:rPr>
                <w:rFonts w:ascii="Arial Narrow" w:hAnsi="Arial Narrow"/>
                <w:color w:val="000000"/>
                <w:sz w:val="20"/>
                <w:lang w:eastAsia="en-AU"/>
              </w:rPr>
            </w:pPr>
            <w:r w:rsidRPr="000E340E">
              <w:rPr>
                <w:rFonts w:ascii="Arial Narrow" w:hAnsi="Arial Narrow"/>
                <w:color w:val="000000"/>
                <w:sz w:val="20"/>
                <w:lang w:eastAsia="en-AU"/>
              </w:rPr>
              <w:t>5</w:t>
            </w:r>
          </w:p>
        </w:tc>
        <w:tc>
          <w:tcPr>
            <w:tcW w:w="625" w:type="dxa"/>
            <w:shd w:val="clear" w:color="auto" w:fill="C6D9F1" w:themeFill="text2" w:themeFillTint="33"/>
            <w:noWrap/>
            <w:tcMar>
              <w:left w:w="57" w:type="dxa"/>
              <w:right w:w="57" w:type="dxa"/>
            </w:tcMar>
            <w:vAlign w:val="center"/>
          </w:tcPr>
          <w:p w14:paraId="2A360B01"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0.14</w:t>
            </w:r>
          </w:p>
        </w:tc>
        <w:tc>
          <w:tcPr>
            <w:tcW w:w="625" w:type="dxa"/>
            <w:shd w:val="clear" w:color="auto" w:fill="C6D9F1" w:themeFill="text2" w:themeFillTint="33"/>
            <w:noWrap/>
            <w:tcMar>
              <w:left w:w="57" w:type="dxa"/>
              <w:right w:w="57" w:type="dxa"/>
            </w:tcMar>
            <w:vAlign w:val="center"/>
          </w:tcPr>
          <w:p w14:paraId="7650E307"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w:t>
            </w:r>
            <w:r>
              <w:rPr>
                <w:rFonts w:ascii="Arial Narrow" w:hAnsi="Arial Narrow"/>
                <w:color w:val="000000"/>
                <w:sz w:val="20"/>
                <w:lang w:eastAsia="en-AU"/>
              </w:rPr>
              <w:t>71</w:t>
            </w:r>
          </w:p>
        </w:tc>
        <w:tc>
          <w:tcPr>
            <w:tcW w:w="625" w:type="dxa"/>
            <w:shd w:val="clear" w:color="auto" w:fill="auto"/>
            <w:noWrap/>
            <w:tcMar>
              <w:left w:w="57" w:type="dxa"/>
              <w:right w:w="57" w:type="dxa"/>
            </w:tcMar>
            <w:vAlign w:val="center"/>
          </w:tcPr>
          <w:p w14:paraId="18227031"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-0.02</w:t>
            </w:r>
          </w:p>
        </w:tc>
        <w:tc>
          <w:tcPr>
            <w:tcW w:w="603" w:type="dxa"/>
            <w:shd w:val="clear" w:color="auto" w:fill="auto"/>
            <w:noWrap/>
            <w:tcMar>
              <w:left w:w="57" w:type="dxa"/>
              <w:right w:w="57" w:type="dxa"/>
            </w:tcMar>
            <w:vAlign w:val="center"/>
          </w:tcPr>
          <w:p w14:paraId="7C36C9F6"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0.55</w:t>
            </w:r>
          </w:p>
        </w:tc>
        <w:tc>
          <w:tcPr>
            <w:tcW w:w="647" w:type="dxa"/>
            <w:shd w:val="clear" w:color="auto" w:fill="C6D9F1" w:themeFill="text2" w:themeFillTint="33"/>
            <w:noWrap/>
            <w:tcMar>
              <w:left w:w="57" w:type="dxa"/>
              <w:right w:w="57" w:type="dxa"/>
            </w:tcMar>
            <w:vAlign w:val="center"/>
          </w:tcPr>
          <w:p w14:paraId="5CEECB1E"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0.33</w:t>
            </w:r>
          </w:p>
        </w:tc>
        <w:tc>
          <w:tcPr>
            <w:tcW w:w="626" w:type="dxa"/>
            <w:tcBorders>
              <w:right w:val="single" w:sz="4" w:space="0" w:color="auto"/>
            </w:tcBorders>
            <w:shd w:val="clear" w:color="auto" w:fill="C6D9F1" w:themeFill="text2" w:themeFillTint="33"/>
            <w:noWrap/>
            <w:tcMar>
              <w:left w:w="57" w:type="dxa"/>
              <w:right w:w="57" w:type="dxa"/>
            </w:tcMar>
            <w:vAlign w:val="center"/>
          </w:tcPr>
          <w:p w14:paraId="4FF31557" w14:textId="77777777" w:rsidR="00606628" w:rsidRPr="00BC1E12" w:rsidRDefault="00606628" w:rsidP="00112B73">
            <w:pPr>
              <w:spacing w:after="0"/>
              <w:jc w:val="right"/>
              <w:rPr>
                <w:rFonts w:ascii="Arial Narrow" w:hAnsi="Arial Narrow"/>
                <w:color w:val="000000"/>
                <w:sz w:val="20"/>
                <w:lang w:eastAsia="en-AU"/>
              </w:rPr>
            </w:pPr>
            <w:r>
              <w:rPr>
                <w:rFonts w:ascii="Arial Narrow" w:hAnsi="Arial Narrow"/>
                <w:color w:val="000000"/>
                <w:sz w:val="20"/>
                <w:lang w:eastAsia="en-AU"/>
              </w:rPr>
              <w:t>0.74</w:t>
            </w:r>
          </w:p>
        </w:tc>
        <w:tc>
          <w:tcPr>
            <w:tcW w:w="625" w:type="dxa"/>
            <w:shd w:val="clear" w:color="auto" w:fill="auto"/>
            <w:noWrap/>
            <w:tcMar>
              <w:left w:w="57" w:type="dxa"/>
              <w:right w:w="57" w:type="dxa"/>
            </w:tcMar>
            <w:vAlign w:val="center"/>
          </w:tcPr>
          <w:p w14:paraId="3B868379"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0.01</w:t>
            </w:r>
          </w:p>
        </w:tc>
        <w:tc>
          <w:tcPr>
            <w:tcW w:w="625" w:type="dxa"/>
            <w:shd w:val="clear" w:color="auto" w:fill="auto"/>
            <w:noWrap/>
            <w:tcMar>
              <w:left w:w="57" w:type="dxa"/>
              <w:right w:w="57" w:type="dxa"/>
            </w:tcMar>
            <w:vAlign w:val="center"/>
          </w:tcPr>
          <w:p w14:paraId="326E7CC5"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0.56</w:t>
            </w:r>
          </w:p>
        </w:tc>
        <w:tc>
          <w:tcPr>
            <w:tcW w:w="625" w:type="dxa"/>
            <w:shd w:val="clear" w:color="000000" w:fill="8DB4E2"/>
            <w:noWrap/>
            <w:tcMar>
              <w:left w:w="57" w:type="dxa"/>
              <w:right w:w="57" w:type="dxa"/>
            </w:tcMar>
            <w:vAlign w:val="center"/>
          </w:tcPr>
          <w:p w14:paraId="53B553CD"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0.38</w:t>
            </w:r>
          </w:p>
        </w:tc>
        <w:tc>
          <w:tcPr>
            <w:tcW w:w="625" w:type="dxa"/>
            <w:shd w:val="clear" w:color="000000" w:fill="8DB4E2"/>
            <w:noWrap/>
            <w:tcMar>
              <w:left w:w="57" w:type="dxa"/>
              <w:right w:w="57" w:type="dxa"/>
            </w:tcMar>
            <w:vAlign w:val="center"/>
          </w:tcPr>
          <w:p w14:paraId="6E5CCF30"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0.8</w:t>
            </w:r>
            <w:r>
              <w:rPr>
                <w:rFonts w:ascii="Arial Narrow" w:hAnsi="Arial Narrow"/>
                <w:color w:val="000000"/>
                <w:sz w:val="20"/>
                <w:lang w:eastAsia="en-AU"/>
              </w:rPr>
              <w:t>0</w:t>
            </w:r>
          </w:p>
        </w:tc>
        <w:tc>
          <w:tcPr>
            <w:tcW w:w="625" w:type="dxa"/>
            <w:shd w:val="clear" w:color="auto" w:fill="auto"/>
            <w:noWrap/>
            <w:tcMar>
              <w:left w:w="57" w:type="dxa"/>
              <w:right w:w="57" w:type="dxa"/>
            </w:tcMar>
            <w:vAlign w:val="center"/>
          </w:tcPr>
          <w:p w14:paraId="79855DF8"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0.00</w:t>
            </w:r>
          </w:p>
        </w:tc>
        <w:tc>
          <w:tcPr>
            <w:tcW w:w="626" w:type="dxa"/>
            <w:shd w:val="clear" w:color="auto" w:fill="auto"/>
            <w:noWrap/>
            <w:tcMar>
              <w:left w:w="57" w:type="dxa"/>
              <w:right w:w="57" w:type="dxa"/>
            </w:tcMar>
            <w:vAlign w:val="center"/>
          </w:tcPr>
          <w:p w14:paraId="0C72E4EA" w14:textId="77777777" w:rsidR="00606628" w:rsidRPr="00BC1E12" w:rsidRDefault="00606628" w:rsidP="00112B73">
            <w:pPr>
              <w:spacing w:after="0"/>
              <w:jc w:val="right"/>
              <w:rPr>
                <w:rFonts w:ascii="Arial Narrow" w:hAnsi="Arial Narrow"/>
                <w:color w:val="000000"/>
                <w:sz w:val="20"/>
                <w:lang w:eastAsia="en-AU"/>
              </w:rPr>
            </w:pPr>
            <w:r>
              <w:rPr>
                <w:rFonts w:ascii="Arial Narrow" w:hAnsi="Arial Narrow"/>
                <w:color w:val="000000"/>
                <w:sz w:val="20"/>
                <w:lang w:eastAsia="en-AU"/>
              </w:rPr>
              <w:t>NA</w:t>
            </w:r>
          </w:p>
        </w:tc>
      </w:tr>
      <w:tr w:rsidR="00606628" w:rsidRPr="000E340E" w14:paraId="1F65F39A" w14:textId="77777777" w:rsidTr="000E2680">
        <w:trPr>
          <w:trHeight w:hRule="exact" w:val="301"/>
        </w:trPr>
        <w:tc>
          <w:tcPr>
            <w:tcW w:w="1074" w:type="dxa"/>
            <w:vMerge w:val="restart"/>
            <w:tcBorders>
              <w:left w:val="single" w:sz="4" w:space="0" w:color="auto"/>
            </w:tcBorders>
            <w:shd w:val="clear" w:color="auto" w:fill="auto"/>
            <w:noWrap/>
            <w:tcMar>
              <w:left w:w="57" w:type="dxa"/>
              <w:right w:w="57" w:type="dxa"/>
            </w:tcMar>
            <w:vAlign w:val="center"/>
          </w:tcPr>
          <w:p w14:paraId="469C2469" w14:textId="77777777" w:rsidR="00606628" w:rsidRPr="000E340E" w:rsidRDefault="00606628" w:rsidP="00112B73">
            <w:pPr>
              <w:spacing w:after="0"/>
              <w:jc w:val="right"/>
              <w:rPr>
                <w:rFonts w:ascii="Arial Narrow" w:hAnsi="Arial Narrow"/>
                <w:color w:val="000000"/>
                <w:sz w:val="20"/>
                <w:lang w:eastAsia="en-AU"/>
              </w:rPr>
            </w:pPr>
            <w:r>
              <w:rPr>
                <w:rFonts w:ascii="Arial Narrow" w:hAnsi="Arial Narrow"/>
                <w:color w:val="000000"/>
                <w:sz w:val="20"/>
                <w:lang w:eastAsia="en-AU"/>
              </w:rPr>
              <w:t>2016 to 2017</w:t>
            </w:r>
          </w:p>
        </w:tc>
        <w:tc>
          <w:tcPr>
            <w:tcW w:w="350" w:type="dxa"/>
            <w:shd w:val="clear" w:color="auto" w:fill="auto"/>
            <w:noWrap/>
            <w:tcMar>
              <w:left w:w="57" w:type="dxa"/>
              <w:right w:w="57" w:type="dxa"/>
            </w:tcMar>
            <w:vAlign w:val="center"/>
          </w:tcPr>
          <w:p w14:paraId="6F2D9F0B" w14:textId="77777777" w:rsidR="00606628" w:rsidRPr="000E340E" w:rsidRDefault="00606628" w:rsidP="00112B73">
            <w:pPr>
              <w:spacing w:after="0"/>
              <w:jc w:val="center"/>
              <w:rPr>
                <w:rFonts w:ascii="Arial Narrow" w:hAnsi="Arial Narrow"/>
                <w:color w:val="000000"/>
                <w:sz w:val="20"/>
                <w:lang w:eastAsia="en-AU"/>
              </w:rPr>
            </w:pPr>
            <w:r>
              <w:rPr>
                <w:rFonts w:ascii="Arial Narrow" w:hAnsi="Arial Narrow"/>
                <w:color w:val="000000"/>
                <w:sz w:val="20"/>
                <w:lang w:eastAsia="en-AU"/>
              </w:rPr>
              <w:t>2</w:t>
            </w:r>
          </w:p>
        </w:tc>
        <w:tc>
          <w:tcPr>
            <w:tcW w:w="625" w:type="dxa"/>
            <w:shd w:val="clear" w:color="auto" w:fill="E6B8B7"/>
            <w:noWrap/>
            <w:tcMar>
              <w:left w:w="57" w:type="dxa"/>
              <w:right w:w="57" w:type="dxa"/>
            </w:tcMar>
            <w:vAlign w:val="center"/>
          </w:tcPr>
          <w:p w14:paraId="443B4D1A"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-0.05</w:t>
            </w:r>
          </w:p>
        </w:tc>
        <w:tc>
          <w:tcPr>
            <w:tcW w:w="625" w:type="dxa"/>
            <w:shd w:val="clear" w:color="auto" w:fill="E6B8B7"/>
            <w:noWrap/>
            <w:tcMar>
              <w:left w:w="57" w:type="dxa"/>
              <w:right w:w="57" w:type="dxa"/>
            </w:tcMar>
            <w:vAlign w:val="center"/>
          </w:tcPr>
          <w:p w14:paraId="3209ABB3"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0.8</w:t>
            </w:r>
            <w:r>
              <w:rPr>
                <w:rFonts w:ascii="Arial Narrow" w:hAnsi="Arial Narrow"/>
                <w:color w:val="000000"/>
                <w:sz w:val="20"/>
                <w:lang w:eastAsia="en-AU"/>
              </w:rPr>
              <w:t>2</w:t>
            </w:r>
          </w:p>
        </w:tc>
        <w:tc>
          <w:tcPr>
            <w:tcW w:w="625" w:type="dxa"/>
            <w:shd w:val="clear" w:color="auto" w:fill="auto"/>
            <w:noWrap/>
            <w:tcMar>
              <w:left w:w="57" w:type="dxa"/>
              <w:right w:w="57" w:type="dxa"/>
            </w:tcMar>
            <w:vAlign w:val="center"/>
          </w:tcPr>
          <w:p w14:paraId="380CAFEB" w14:textId="77777777" w:rsidR="00606628" w:rsidRPr="00BC1E12" w:rsidRDefault="00606628" w:rsidP="00112B73">
            <w:pPr>
              <w:jc w:val="right"/>
              <w:rPr>
                <w:rFonts w:ascii="Arial Narrow" w:hAnsi="Arial Narrow"/>
                <w:color w:val="000000"/>
                <w:sz w:val="20"/>
              </w:rPr>
            </w:pPr>
            <w:r w:rsidRPr="00BC1E12">
              <w:rPr>
                <w:rFonts w:ascii="Arial Narrow" w:hAnsi="Arial Narrow"/>
                <w:color w:val="000000"/>
                <w:sz w:val="20"/>
              </w:rPr>
              <w:t>-0.02</w:t>
            </w:r>
          </w:p>
        </w:tc>
        <w:tc>
          <w:tcPr>
            <w:tcW w:w="603" w:type="dxa"/>
            <w:shd w:val="clear" w:color="auto" w:fill="auto"/>
            <w:noWrap/>
            <w:tcMar>
              <w:left w:w="57" w:type="dxa"/>
              <w:right w:w="57" w:type="dxa"/>
            </w:tcMar>
            <w:vAlign w:val="center"/>
          </w:tcPr>
          <w:p w14:paraId="59C5A58F" w14:textId="77777777" w:rsidR="00606628" w:rsidRPr="00BC1E12" w:rsidRDefault="00606628" w:rsidP="00112B73">
            <w:pPr>
              <w:jc w:val="right"/>
              <w:rPr>
                <w:rFonts w:ascii="Arial Narrow" w:hAnsi="Arial Narrow"/>
                <w:color w:val="000000"/>
                <w:sz w:val="20"/>
              </w:rPr>
            </w:pPr>
            <w:r>
              <w:rPr>
                <w:rFonts w:ascii="Arial Narrow" w:hAnsi="Arial Narrow"/>
                <w:color w:val="000000"/>
                <w:sz w:val="20"/>
              </w:rPr>
              <w:t>0.68</w:t>
            </w:r>
          </w:p>
        </w:tc>
        <w:tc>
          <w:tcPr>
            <w:tcW w:w="647" w:type="dxa"/>
            <w:shd w:val="clear" w:color="auto" w:fill="C6D9F1" w:themeFill="text2" w:themeFillTint="33"/>
            <w:noWrap/>
            <w:tcMar>
              <w:left w:w="57" w:type="dxa"/>
              <w:right w:w="57" w:type="dxa"/>
            </w:tcMar>
            <w:vAlign w:val="center"/>
          </w:tcPr>
          <w:p w14:paraId="0E6D3AF7" w14:textId="77777777" w:rsidR="00606628" w:rsidRPr="00BC1E12" w:rsidRDefault="00606628" w:rsidP="00112B73">
            <w:pPr>
              <w:jc w:val="right"/>
              <w:rPr>
                <w:rFonts w:ascii="Arial Narrow" w:hAnsi="Arial Narrow"/>
                <w:color w:val="000000"/>
                <w:sz w:val="20"/>
              </w:rPr>
            </w:pPr>
            <w:r w:rsidRPr="00BC1E12">
              <w:rPr>
                <w:rFonts w:ascii="Arial Narrow" w:hAnsi="Arial Narrow"/>
                <w:color w:val="000000"/>
                <w:sz w:val="20"/>
              </w:rPr>
              <w:t>0.05</w:t>
            </w:r>
          </w:p>
        </w:tc>
        <w:tc>
          <w:tcPr>
            <w:tcW w:w="626" w:type="dxa"/>
            <w:tcBorders>
              <w:right w:val="single" w:sz="4" w:space="0" w:color="auto"/>
            </w:tcBorders>
            <w:shd w:val="clear" w:color="auto" w:fill="C6D9F1" w:themeFill="text2" w:themeFillTint="33"/>
            <w:noWrap/>
            <w:tcMar>
              <w:left w:w="57" w:type="dxa"/>
              <w:right w:w="57" w:type="dxa"/>
            </w:tcMar>
            <w:vAlign w:val="center"/>
          </w:tcPr>
          <w:p w14:paraId="0F7BCB4F" w14:textId="77777777" w:rsidR="00606628" w:rsidRPr="00BC1E12" w:rsidRDefault="00606628" w:rsidP="00112B73">
            <w:pPr>
              <w:spacing w:after="0"/>
              <w:jc w:val="right"/>
              <w:rPr>
                <w:rFonts w:ascii="Arial Narrow" w:hAnsi="Arial Narrow"/>
                <w:color w:val="000000"/>
                <w:sz w:val="20"/>
                <w:lang w:eastAsia="en-AU"/>
              </w:rPr>
            </w:pPr>
            <w:r>
              <w:rPr>
                <w:rFonts w:ascii="Arial Narrow" w:hAnsi="Arial Narrow"/>
                <w:color w:val="000000"/>
                <w:sz w:val="20"/>
                <w:lang w:eastAsia="en-AU"/>
              </w:rPr>
              <w:t>0.76</w:t>
            </w:r>
          </w:p>
        </w:tc>
        <w:tc>
          <w:tcPr>
            <w:tcW w:w="625" w:type="dxa"/>
            <w:shd w:val="clear" w:color="auto" w:fill="DA9694"/>
            <w:noWrap/>
            <w:tcMar>
              <w:left w:w="57" w:type="dxa"/>
              <w:right w:w="57" w:type="dxa"/>
            </w:tcMar>
            <w:vAlign w:val="center"/>
          </w:tcPr>
          <w:p w14:paraId="1B33444F" w14:textId="77777777" w:rsidR="00606628" w:rsidRPr="00BC1E12" w:rsidRDefault="00606628" w:rsidP="00112B73">
            <w:pPr>
              <w:jc w:val="right"/>
              <w:rPr>
                <w:rFonts w:ascii="Arial Narrow" w:hAnsi="Arial Narrow"/>
                <w:color w:val="000000"/>
                <w:sz w:val="20"/>
              </w:rPr>
            </w:pPr>
            <w:r w:rsidRPr="00BC1E12">
              <w:rPr>
                <w:rFonts w:ascii="Arial Narrow" w:hAnsi="Arial Narrow"/>
                <w:color w:val="000000"/>
                <w:sz w:val="20"/>
              </w:rPr>
              <w:t>-0.03</w:t>
            </w:r>
          </w:p>
        </w:tc>
        <w:tc>
          <w:tcPr>
            <w:tcW w:w="625" w:type="dxa"/>
            <w:shd w:val="clear" w:color="auto" w:fill="DA9694"/>
            <w:noWrap/>
            <w:tcMar>
              <w:left w:w="57" w:type="dxa"/>
              <w:right w:w="57" w:type="dxa"/>
            </w:tcMar>
            <w:vAlign w:val="center"/>
          </w:tcPr>
          <w:p w14:paraId="18D03D6E"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1.00</w:t>
            </w:r>
          </w:p>
        </w:tc>
        <w:tc>
          <w:tcPr>
            <w:tcW w:w="625" w:type="dxa"/>
            <w:shd w:val="clear" w:color="auto" w:fill="F2DBDB" w:themeFill="accent2" w:themeFillTint="33"/>
            <w:noWrap/>
            <w:tcMar>
              <w:left w:w="57" w:type="dxa"/>
              <w:right w:w="57" w:type="dxa"/>
            </w:tcMar>
            <w:vAlign w:val="center"/>
          </w:tcPr>
          <w:p w14:paraId="07D15751" w14:textId="77777777" w:rsidR="00606628" w:rsidRPr="00BC1E12" w:rsidRDefault="00606628" w:rsidP="00112B73">
            <w:pPr>
              <w:jc w:val="right"/>
              <w:rPr>
                <w:rFonts w:ascii="Arial Narrow" w:hAnsi="Arial Narrow"/>
                <w:color w:val="000000"/>
                <w:sz w:val="20"/>
              </w:rPr>
            </w:pPr>
            <w:r w:rsidRPr="00BC1E12">
              <w:rPr>
                <w:rFonts w:ascii="Arial Narrow" w:hAnsi="Arial Narrow"/>
                <w:color w:val="000000"/>
                <w:sz w:val="20"/>
              </w:rPr>
              <w:t>-0.04</w:t>
            </w:r>
          </w:p>
        </w:tc>
        <w:tc>
          <w:tcPr>
            <w:tcW w:w="625" w:type="dxa"/>
            <w:shd w:val="clear" w:color="auto" w:fill="F2DBDB" w:themeFill="accent2" w:themeFillTint="33"/>
            <w:noWrap/>
            <w:tcMar>
              <w:left w:w="57" w:type="dxa"/>
              <w:right w:w="57" w:type="dxa"/>
            </w:tcMar>
            <w:vAlign w:val="center"/>
          </w:tcPr>
          <w:p w14:paraId="050F744E" w14:textId="77777777" w:rsidR="00606628" w:rsidRPr="00BC1E12" w:rsidRDefault="00606628" w:rsidP="00112B73">
            <w:pPr>
              <w:jc w:val="right"/>
              <w:rPr>
                <w:rFonts w:ascii="Arial Narrow" w:hAnsi="Arial Narrow"/>
                <w:color w:val="000000"/>
                <w:sz w:val="20"/>
              </w:rPr>
            </w:pPr>
            <w:r w:rsidRPr="00BC1E12">
              <w:rPr>
                <w:rFonts w:ascii="Arial Narrow" w:hAnsi="Arial Narrow"/>
                <w:color w:val="000000"/>
                <w:sz w:val="20"/>
              </w:rPr>
              <w:t>0.7</w:t>
            </w:r>
            <w:r>
              <w:rPr>
                <w:rFonts w:ascii="Arial Narrow" w:hAnsi="Arial Narrow"/>
                <w:color w:val="000000"/>
                <w:sz w:val="20"/>
              </w:rPr>
              <w:t>9</w:t>
            </w:r>
          </w:p>
        </w:tc>
        <w:tc>
          <w:tcPr>
            <w:tcW w:w="625" w:type="dxa"/>
            <w:shd w:val="clear" w:color="auto" w:fill="F2DBDB" w:themeFill="accent2" w:themeFillTint="33"/>
            <w:noWrap/>
            <w:tcMar>
              <w:left w:w="57" w:type="dxa"/>
              <w:right w:w="57" w:type="dxa"/>
            </w:tcMar>
            <w:vAlign w:val="center"/>
          </w:tcPr>
          <w:p w14:paraId="3CED7874" w14:textId="77777777" w:rsidR="00606628" w:rsidRPr="00BC1E12" w:rsidRDefault="00606628" w:rsidP="00112B73">
            <w:pPr>
              <w:jc w:val="right"/>
              <w:rPr>
                <w:rFonts w:ascii="Arial Narrow" w:hAnsi="Arial Narrow"/>
                <w:color w:val="000000"/>
                <w:sz w:val="20"/>
              </w:rPr>
            </w:pPr>
            <w:r w:rsidRPr="00BC1E12">
              <w:rPr>
                <w:rFonts w:ascii="Arial Narrow" w:hAnsi="Arial Narrow"/>
                <w:color w:val="000000"/>
                <w:sz w:val="20"/>
              </w:rPr>
              <w:t>-0.25</w:t>
            </w:r>
          </w:p>
        </w:tc>
        <w:tc>
          <w:tcPr>
            <w:tcW w:w="626" w:type="dxa"/>
            <w:shd w:val="clear" w:color="auto" w:fill="F2DBDB" w:themeFill="accent2" w:themeFillTint="33"/>
            <w:noWrap/>
            <w:tcMar>
              <w:left w:w="57" w:type="dxa"/>
              <w:right w:w="57" w:type="dxa"/>
            </w:tcMar>
            <w:vAlign w:val="center"/>
          </w:tcPr>
          <w:p w14:paraId="7D32C2BE"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0.7</w:t>
            </w:r>
            <w:r>
              <w:rPr>
                <w:rFonts w:ascii="Arial Narrow" w:hAnsi="Arial Narrow"/>
                <w:color w:val="000000"/>
                <w:sz w:val="20"/>
                <w:lang w:eastAsia="en-AU"/>
              </w:rPr>
              <w:t>6</w:t>
            </w:r>
          </w:p>
        </w:tc>
      </w:tr>
      <w:tr w:rsidR="00606628" w:rsidRPr="000E340E" w14:paraId="7B57BA76" w14:textId="77777777" w:rsidTr="00C44D73">
        <w:trPr>
          <w:cantSplit/>
          <w:trHeight w:hRule="exact" w:val="301"/>
        </w:trPr>
        <w:tc>
          <w:tcPr>
            <w:tcW w:w="1074" w:type="dxa"/>
            <w:vMerge/>
            <w:tcBorders>
              <w:left w:val="single" w:sz="4" w:space="0" w:color="auto"/>
              <w:bottom w:val="single" w:sz="4" w:space="0" w:color="auto"/>
            </w:tcBorders>
            <w:shd w:val="clear" w:color="auto" w:fill="auto"/>
            <w:noWrap/>
            <w:tcMar>
              <w:left w:w="57" w:type="dxa"/>
              <w:right w:w="57" w:type="dxa"/>
            </w:tcMar>
            <w:vAlign w:val="center"/>
          </w:tcPr>
          <w:p w14:paraId="253F2919" w14:textId="77777777" w:rsidR="00606628" w:rsidRPr="000E340E" w:rsidRDefault="00606628" w:rsidP="00112B73">
            <w:pPr>
              <w:spacing w:after="0"/>
              <w:jc w:val="right"/>
              <w:rPr>
                <w:rFonts w:ascii="Arial Narrow" w:hAnsi="Arial Narrow"/>
                <w:color w:val="000000"/>
                <w:sz w:val="20"/>
                <w:lang w:eastAsia="en-AU"/>
              </w:rPr>
            </w:pPr>
          </w:p>
        </w:tc>
        <w:tc>
          <w:tcPr>
            <w:tcW w:w="350" w:type="dxa"/>
            <w:tcBorders>
              <w:bottom w:val="single" w:sz="4" w:space="0" w:color="auto"/>
            </w:tcBorders>
            <w:shd w:val="clear" w:color="auto" w:fill="auto"/>
            <w:noWrap/>
            <w:tcMar>
              <w:left w:w="57" w:type="dxa"/>
              <w:right w:w="57" w:type="dxa"/>
            </w:tcMar>
            <w:vAlign w:val="center"/>
          </w:tcPr>
          <w:p w14:paraId="031868DF" w14:textId="77777777" w:rsidR="00606628" w:rsidRPr="000E340E" w:rsidRDefault="00606628" w:rsidP="00112B73">
            <w:pPr>
              <w:spacing w:after="0"/>
              <w:jc w:val="center"/>
              <w:rPr>
                <w:rFonts w:ascii="Arial Narrow" w:hAnsi="Arial Narrow"/>
                <w:color w:val="000000"/>
                <w:sz w:val="20"/>
                <w:lang w:eastAsia="en-AU"/>
              </w:rPr>
            </w:pPr>
            <w:r>
              <w:rPr>
                <w:rFonts w:ascii="Arial Narrow" w:hAnsi="Arial Narrow"/>
                <w:color w:val="000000"/>
                <w:sz w:val="20"/>
                <w:lang w:eastAsia="en-AU"/>
              </w:rPr>
              <w:t>5</w:t>
            </w:r>
          </w:p>
        </w:tc>
        <w:tc>
          <w:tcPr>
            <w:tcW w:w="625" w:type="dxa"/>
            <w:tcBorders>
              <w:bottom w:val="single" w:sz="4" w:space="0" w:color="auto"/>
            </w:tcBorders>
            <w:shd w:val="clear" w:color="auto" w:fill="auto"/>
            <w:noWrap/>
            <w:tcMar>
              <w:left w:w="57" w:type="dxa"/>
              <w:right w:w="57" w:type="dxa"/>
            </w:tcMar>
            <w:vAlign w:val="center"/>
          </w:tcPr>
          <w:p w14:paraId="5A7BDCBF"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-0.03</w:t>
            </w:r>
          </w:p>
        </w:tc>
        <w:tc>
          <w:tcPr>
            <w:tcW w:w="625" w:type="dxa"/>
            <w:tcBorders>
              <w:bottom w:val="single" w:sz="4" w:space="0" w:color="auto"/>
            </w:tcBorders>
            <w:shd w:val="clear" w:color="auto" w:fill="auto"/>
            <w:noWrap/>
            <w:tcMar>
              <w:left w:w="57" w:type="dxa"/>
              <w:right w:w="57" w:type="dxa"/>
            </w:tcMar>
            <w:vAlign w:val="center"/>
          </w:tcPr>
          <w:p w14:paraId="5CD06BE5"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0.5</w:t>
            </w:r>
            <w:r>
              <w:rPr>
                <w:rFonts w:ascii="Arial Narrow" w:hAnsi="Arial Narrow"/>
                <w:color w:val="000000"/>
                <w:sz w:val="20"/>
                <w:lang w:eastAsia="en-AU"/>
              </w:rPr>
              <w:t>8</w:t>
            </w:r>
          </w:p>
        </w:tc>
        <w:tc>
          <w:tcPr>
            <w:tcW w:w="625" w:type="dxa"/>
            <w:tcBorders>
              <w:bottom w:val="single" w:sz="4" w:space="0" w:color="auto"/>
            </w:tcBorders>
            <w:shd w:val="clear" w:color="auto" w:fill="auto"/>
            <w:noWrap/>
            <w:tcMar>
              <w:left w:w="57" w:type="dxa"/>
              <w:right w:w="57" w:type="dxa"/>
            </w:tcMar>
            <w:vAlign w:val="center"/>
          </w:tcPr>
          <w:p w14:paraId="42C81F3C" w14:textId="77777777" w:rsidR="00606628" w:rsidRPr="00BC1E12" w:rsidRDefault="00606628" w:rsidP="00112B73">
            <w:pPr>
              <w:jc w:val="right"/>
              <w:rPr>
                <w:rFonts w:ascii="Arial Narrow" w:hAnsi="Arial Narrow"/>
                <w:color w:val="000000"/>
                <w:sz w:val="20"/>
              </w:rPr>
            </w:pPr>
            <w:r w:rsidRPr="00BC1E12">
              <w:rPr>
                <w:rFonts w:ascii="Arial Narrow" w:hAnsi="Arial Narrow"/>
                <w:color w:val="000000"/>
                <w:sz w:val="20"/>
              </w:rPr>
              <w:t>0.00</w:t>
            </w:r>
          </w:p>
        </w:tc>
        <w:tc>
          <w:tcPr>
            <w:tcW w:w="603" w:type="dxa"/>
            <w:tcBorders>
              <w:bottom w:val="single" w:sz="4" w:space="0" w:color="auto"/>
            </w:tcBorders>
            <w:shd w:val="clear" w:color="auto" w:fill="auto"/>
            <w:noWrap/>
            <w:tcMar>
              <w:left w:w="57" w:type="dxa"/>
              <w:right w:w="57" w:type="dxa"/>
            </w:tcMar>
            <w:vAlign w:val="center"/>
          </w:tcPr>
          <w:p w14:paraId="126321FB" w14:textId="77777777" w:rsidR="00606628" w:rsidRPr="00BC1E12" w:rsidRDefault="00606628" w:rsidP="00112B73">
            <w:pPr>
              <w:jc w:val="right"/>
              <w:rPr>
                <w:rFonts w:ascii="Arial Narrow" w:hAnsi="Arial Narrow"/>
                <w:color w:val="000000"/>
                <w:sz w:val="20"/>
              </w:rPr>
            </w:pPr>
            <w:r w:rsidRPr="00BC1E12">
              <w:rPr>
                <w:rFonts w:ascii="Arial Narrow" w:hAnsi="Arial Narrow"/>
                <w:color w:val="000000"/>
                <w:sz w:val="20"/>
              </w:rPr>
              <w:t>0.5</w:t>
            </w:r>
            <w:r>
              <w:rPr>
                <w:rFonts w:ascii="Arial Narrow" w:hAnsi="Arial Narrow"/>
                <w:color w:val="000000"/>
                <w:sz w:val="20"/>
              </w:rPr>
              <w:t>1</w:t>
            </w:r>
          </w:p>
        </w:tc>
        <w:tc>
          <w:tcPr>
            <w:tcW w:w="647" w:type="dxa"/>
            <w:tcBorders>
              <w:bottom w:val="single" w:sz="4" w:space="0" w:color="auto"/>
            </w:tcBorders>
            <w:shd w:val="clear" w:color="auto" w:fill="F2DBDB" w:themeFill="accent2" w:themeFillTint="33"/>
            <w:noWrap/>
            <w:tcMar>
              <w:left w:w="57" w:type="dxa"/>
              <w:right w:w="57" w:type="dxa"/>
            </w:tcMar>
            <w:vAlign w:val="center"/>
          </w:tcPr>
          <w:p w14:paraId="001B6438" w14:textId="77777777" w:rsidR="00606628" w:rsidRPr="00BC1E12" w:rsidRDefault="00606628" w:rsidP="00112B73">
            <w:pPr>
              <w:jc w:val="right"/>
              <w:rPr>
                <w:rFonts w:ascii="Arial Narrow" w:hAnsi="Arial Narrow"/>
                <w:color w:val="000000"/>
                <w:sz w:val="20"/>
              </w:rPr>
            </w:pPr>
            <w:r w:rsidRPr="00BC1E12">
              <w:rPr>
                <w:rFonts w:ascii="Arial Narrow" w:hAnsi="Arial Narrow"/>
                <w:color w:val="000000"/>
                <w:sz w:val="20"/>
              </w:rPr>
              <w:t>-0.32</w:t>
            </w:r>
          </w:p>
        </w:tc>
        <w:tc>
          <w:tcPr>
            <w:tcW w:w="626" w:type="dxa"/>
            <w:tcBorders>
              <w:bottom w:val="single" w:sz="4" w:space="0" w:color="auto"/>
              <w:right w:val="single" w:sz="4" w:space="0" w:color="auto"/>
            </w:tcBorders>
            <w:shd w:val="clear" w:color="auto" w:fill="F2DBDB" w:themeFill="accent2" w:themeFillTint="33"/>
            <w:noWrap/>
            <w:tcMar>
              <w:left w:w="57" w:type="dxa"/>
              <w:right w:w="57" w:type="dxa"/>
            </w:tcMar>
            <w:vAlign w:val="center"/>
          </w:tcPr>
          <w:p w14:paraId="35E05724" w14:textId="77777777" w:rsidR="00606628" w:rsidRPr="00BC1E12" w:rsidRDefault="00606628" w:rsidP="00112B73">
            <w:pPr>
              <w:spacing w:after="0"/>
              <w:jc w:val="right"/>
              <w:rPr>
                <w:rFonts w:ascii="Arial Narrow" w:hAnsi="Arial Narrow"/>
                <w:color w:val="000000"/>
                <w:sz w:val="20"/>
                <w:lang w:eastAsia="en-AU"/>
              </w:rPr>
            </w:pPr>
            <w:r>
              <w:rPr>
                <w:rFonts w:ascii="Arial Narrow" w:hAnsi="Arial Narrow"/>
                <w:color w:val="000000"/>
                <w:sz w:val="20"/>
                <w:lang w:eastAsia="en-AU"/>
              </w:rPr>
              <w:t>0.74</w:t>
            </w:r>
          </w:p>
        </w:tc>
        <w:tc>
          <w:tcPr>
            <w:tcW w:w="625" w:type="dxa"/>
            <w:tcBorders>
              <w:bottom w:val="single" w:sz="4" w:space="0" w:color="auto"/>
            </w:tcBorders>
            <w:shd w:val="clear" w:color="auto" w:fill="auto"/>
            <w:noWrap/>
            <w:tcMar>
              <w:left w:w="57" w:type="dxa"/>
              <w:right w:w="57" w:type="dxa"/>
            </w:tcMar>
            <w:vAlign w:val="center"/>
          </w:tcPr>
          <w:p w14:paraId="7A7BCCA7" w14:textId="77777777" w:rsidR="00606628" w:rsidRPr="00BC1E12" w:rsidRDefault="00606628" w:rsidP="00112B73">
            <w:pPr>
              <w:jc w:val="right"/>
              <w:rPr>
                <w:rFonts w:ascii="Arial Narrow" w:hAnsi="Arial Narrow"/>
                <w:color w:val="000000"/>
                <w:sz w:val="20"/>
              </w:rPr>
            </w:pPr>
            <w:r w:rsidRPr="00BC1E12">
              <w:rPr>
                <w:rFonts w:ascii="Arial Narrow" w:hAnsi="Arial Narrow"/>
                <w:color w:val="000000"/>
                <w:sz w:val="20"/>
              </w:rPr>
              <w:t>0.06</w:t>
            </w:r>
          </w:p>
        </w:tc>
        <w:tc>
          <w:tcPr>
            <w:tcW w:w="625" w:type="dxa"/>
            <w:tcBorders>
              <w:bottom w:val="single" w:sz="4" w:space="0" w:color="auto"/>
            </w:tcBorders>
            <w:shd w:val="clear" w:color="auto" w:fill="auto"/>
            <w:noWrap/>
            <w:tcMar>
              <w:left w:w="57" w:type="dxa"/>
              <w:right w:w="57" w:type="dxa"/>
            </w:tcMar>
            <w:vAlign w:val="center"/>
          </w:tcPr>
          <w:p w14:paraId="7A672351"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0.6</w:t>
            </w:r>
            <w:r>
              <w:rPr>
                <w:rFonts w:ascii="Arial Narrow" w:hAnsi="Arial Narrow"/>
                <w:color w:val="000000"/>
                <w:sz w:val="20"/>
                <w:lang w:eastAsia="en-AU"/>
              </w:rPr>
              <w:t>2</w:t>
            </w:r>
          </w:p>
        </w:tc>
        <w:tc>
          <w:tcPr>
            <w:tcW w:w="625" w:type="dxa"/>
            <w:tcBorders>
              <w:bottom w:val="single" w:sz="4" w:space="0" w:color="auto"/>
            </w:tcBorders>
            <w:shd w:val="clear" w:color="auto" w:fill="F2DBDB" w:themeFill="accent2" w:themeFillTint="33"/>
            <w:noWrap/>
            <w:tcMar>
              <w:left w:w="57" w:type="dxa"/>
              <w:right w:w="57" w:type="dxa"/>
            </w:tcMar>
            <w:vAlign w:val="center"/>
          </w:tcPr>
          <w:p w14:paraId="61C2D5FB" w14:textId="77777777" w:rsidR="00606628" w:rsidRPr="00BC1E12" w:rsidRDefault="00606628" w:rsidP="00112B73">
            <w:pPr>
              <w:jc w:val="right"/>
              <w:rPr>
                <w:rFonts w:ascii="Arial Narrow" w:hAnsi="Arial Narrow"/>
                <w:color w:val="000000"/>
                <w:sz w:val="20"/>
              </w:rPr>
            </w:pPr>
            <w:r w:rsidRPr="00BC1E12">
              <w:rPr>
                <w:rFonts w:ascii="Arial Narrow" w:hAnsi="Arial Narrow"/>
                <w:color w:val="000000"/>
                <w:sz w:val="20"/>
              </w:rPr>
              <w:t>-0.06</w:t>
            </w:r>
          </w:p>
        </w:tc>
        <w:tc>
          <w:tcPr>
            <w:tcW w:w="625" w:type="dxa"/>
            <w:tcBorders>
              <w:bottom w:val="single" w:sz="4" w:space="0" w:color="auto"/>
            </w:tcBorders>
            <w:shd w:val="clear" w:color="auto" w:fill="F2DBDB" w:themeFill="accent2" w:themeFillTint="33"/>
            <w:noWrap/>
            <w:tcMar>
              <w:left w:w="57" w:type="dxa"/>
              <w:right w:w="57" w:type="dxa"/>
            </w:tcMar>
            <w:vAlign w:val="center"/>
          </w:tcPr>
          <w:p w14:paraId="0A97EC42" w14:textId="77777777" w:rsidR="00606628" w:rsidRPr="00BC1E12" w:rsidRDefault="00606628" w:rsidP="00112B73">
            <w:pPr>
              <w:jc w:val="right"/>
              <w:rPr>
                <w:rFonts w:ascii="Arial Narrow" w:hAnsi="Arial Narrow"/>
                <w:color w:val="000000"/>
                <w:sz w:val="20"/>
              </w:rPr>
            </w:pPr>
            <w:r>
              <w:rPr>
                <w:rFonts w:ascii="Arial Narrow" w:hAnsi="Arial Narrow"/>
                <w:color w:val="000000"/>
                <w:sz w:val="20"/>
              </w:rPr>
              <w:t>0.70</w:t>
            </w:r>
          </w:p>
        </w:tc>
        <w:tc>
          <w:tcPr>
            <w:tcW w:w="625" w:type="dxa"/>
            <w:tcBorders>
              <w:bottom w:val="single" w:sz="4" w:space="0" w:color="auto"/>
            </w:tcBorders>
            <w:shd w:val="clear" w:color="auto" w:fill="C6D9F1" w:themeFill="text2" w:themeFillTint="33"/>
            <w:noWrap/>
            <w:tcMar>
              <w:left w:w="57" w:type="dxa"/>
              <w:right w:w="57" w:type="dxa"/>
            </w:tcMar>
            <w:vAlign w:val="center"/>
          </w:tcPr>
          <w:p w14:paraId="014F4CF0" w14:textId="77777777" w:rsidR="00606628" w:rsidRPr="00BC1E12" w:rsidRDefault="00606628" w:rsidP="00112B73">
            <w:pPr>
              <w:jc w:val="right"/>
              <w:rPr>
                <w:rFonts w:ascii="Arial Narrow" w:hAnsi="Arial Narrow"/>
                <w:color w:val="000000"/>
                <w:sz w:val="20"/>
              </w:rPr>
            </w:pPr>
            <w:r w:rsidRPr="00BC1E12">
              <w:rPr>
                <w:rFonts w:ascii="Arial Narrow" w:hAnsi="Arial Narrow"/>
                <w:color w:val="000000"/>
                <w:sz w:val="20"/>
              </w:rPr>
              <w:t>0.17</w:t>
            </w:r>
          </w:p>
        </w:tc>
        <w:tc>
          <w:tcPr>
            <w:tcW w:w="626" w:type="dxa"/>
            <w:tcBorders>
              <w:bottom w:val="single" w:sz="4" w:space="0" w:color="auto"/>
            </w:tcBorders>
            <w:shd w:val="clear" w:color="auto" w:fill="C6D9F1" w:themeFill="text2" w:themeFillTint="33"/>
            <w:noWrap/>
            <w:tcMar>
              <w:left w:w="57" w:type="dxa"/>
              <w:right w:w="57" w:type="dxa"/>
            </w:tcMar>
            <w:vAlign w:val="center"/>
          </w:tcPr>
          <w:p w14:paraId="5A474610" w14:textId="77777777" w:rsidR="00606628" w:rsidRPr="00BC1E12" w:rsidRDefault="00606628" w:rsidP="00112B73">
            <w:pPr>
              <w:spacing w:after="0"/>
              <w:jc w:val="right"/>
              <w:rPr>
                <w:rFonts w:ascii="Arial Narrow" w:hAnsi="Arial Narrow"/>
                <w:color w:val="000000"/>
                <w:sz w:val="20"/>
                <w:lang w:eastAsia="en-AU"/>
              </w:rPr>
            </w:pPr>
            <w:r w:rsidRPr="00BC1E12">
              <w:rPr>
                <w:rFonts w:ascii="Arial Narrow" w:hAnsi="Arial Narrow"/>
                <w:color w:val="000000"/>
                <w:sz w:val="20"/>
                <w:lang w:eastAsia="en-AU"/>
              </w:rPr>
              <w:t>0.7</w:t>
            </w:r>
            <w:r>
              <w:rPr>
                <w:rFonts w:ascii="Arial Narrow" w:hAnsi="Arial Narrow"/>
                <w:color w:val="000000"/>
                <w:sz w:val="20"/>
                <w:lang w:eastAsia="en-AU"/>
              </w:rPr>
              <w:t>0</w:t>
            </w:r>
          </w:p>
        </w:tc>
      </w:tr>
    </w:tbl>
    <w:p w14:paraId="6F9946B0" w14:textId="77777777" w:rsidR="00DC6700" w:rsidRDefault="00DC6700" w:rsidP="00671DC7">
      <w:pPr>
        <w:rPr>
          <w:color w:val="4F81BD" w:themeColor="accent1"/>
          <w:lang w:val="en-AU"/>
        </w:rPr>
      </w:pPr>
    </w:p>
    <w:p w14:paraId="6639B7A9" w14:textId="1F55AD9F" w:rsidR="00B03061" w:rsidRDefault="005F1FA1" w:rsidP="00B03061">
      <w:pPr>
        <w:rPr>
          <w:lang w:val="en-AU"/>
        </w:rPr>
      </w:pPr>
      <w:r w:rsidRPr="00764B44">
        <w:rPr>
          <w:lang w:val="en-AU"/>
        </w:rPr>
        <w:t xml:space="preserve">The </w:t>
      </w:r>
      <w:r w:rsidR="005827DD">
        <w:rPr>
          <w:lang w:val="en-AU"/>
        </w:rPr>
        <w:t xml:space="preserve">decline in </w:t>
      </w:r>
      <w:r w:rsidR="00ED4C50">
        <w:rPr>
          <w:lang w:val="en-AU"/>
        </w:rPr>
        <w:t xml:space="preserve">the coral index </w:t>
      </w:r>
      <w:r w:rsidR="00FC2C47">
        <w:rPr>
          <w:lang w:val="en-AU"/>
        </w:rPr>
        <w:t xml:space="preserve">was </w:t>
      </w:r>
      <w:r w:rsidR="00FD3744">
        <w:rPr>
          <w:lang w:val="en-AU"/>
        </w:rPr>
        <w:t xml:space="preserve">primarily due to </w:t>
      </w:r>
      <w:r w:rsidR="00ED4C50">
        <w:rPr>
          <w:lang w:val="en-AU"/>
        </w:rPr>
        <w:t xml:space="preserve">high </w:t>
      </w:r>
      <w:r w:rsidR="00FC2C47">
        <w:rPr>
          <w:lang w:val="en-AU"/>
        </w:rPr>
        <w:t xml:space="preserve">water </w:t>
      </w:r>
      <w:r w:rsidR="00ED4C50">
        <w:rPr>
          <w:lang w:val="en-AU"/>
        </w:rPr>
        <w:t>temperatures (</w:t>
      </w:r>
      <w:r w:rsidR="003F1E67" w:rsidRPr="00764B44">
        <w:rPr>
          <w:lang w:val="en-AU"/>
        </w:rPr>
        <w:fldChar w:fldCharType="begin"/>
      </w:r>
      <w:r w:rsidR="003F1E67" w:rsidRPr="00764B44">
        <w:rPr>
          <w:lang w:val="en-AU"/>
        </w:rPr>
        <w:instrText xml:space="preserve"> REF _Ref491178261 \h </w:instrText>
      </w:r>
      <w:r w:rsidR="003F1E67" w:rsidRPr="00764B44">
        <w:rPr>
          <w:lang w:val="en-AU"/>
        </w:rPr>
      </w:r>
      <w:r w:rsidR="003F1E67" w:rsidRPr="00764B44">
        <w:rPr>
          <w:lang w:val="en-AU"/>
        </w:rPr>
        <w:fldChar w:fldCharType="separate"/>
      </w:r>
      <w:r w:rsidR="00A75175" w:rsidRPr="00F352E1">
        <w:t xml:space="preserve">Figure </w:t>
      </w:r>
      <w:r w:rsidR="00A75175">
        <w:rPr>
          <w:noProof/>
        </w:rPr>
        <w:t>12</w:t>
      </w:r>
      <w:r w:rsidR="003F1E67" w:rsidRPr="00764B44">
        <w:rPr>
          <w:lang w:val="en-AU"/>
        </w:rPr>
        <w:fldChar w:fldCharType="end"/>
      </w:r>
      <w:r w:rsidR="00ED4C50">
        <w:rPr>
          <w:lang w:val="en-AU"/>
        </w:rPr>
        <w:t>c</w:t>
      </w:r>
      <w:r w:rsidR="003F1E67" w:rsidRPr="00764B44">
        <w:rPr>
          <w:lang w:val="en-AU"/>
        </w:rPr>
        <w:t>)</w:t>
      </w:r>
      <w:r w:rsidR="00ED4C50">
        <w:rPr>
          <w:lang w:val="en-AU"/>
        </w:rPr>
        <w:t xml:space="preserve"> that lead to coral bleaching in early 2017</w:t>
      </w:r>
      <w:r w:rsidR="00FC2C47">
        <w:rPr>
          <w:lang w:val="en-AU"/>
        </w:rPr>
        <w:t>.</w:t>
      </w:r>
      <w:r w:rsidR="009E7A78">
        <w:rPr>
          <w:lang w:val="en-AU"/>
        </w:rPr>
        <w:t xml:space="preserve"> </w:t>
      </w:r>
      <w:r w:rsidR="00ED4C50">
        <w:rPr>
          <w:lang w:val="en-AU"/>
        </w:rPr>
        <w:t xml:space="preserve">The impacts from bleaching were </w:t>
      </w:r>
      <w:r w:rsidR="00CE3D81">
        <w:rPr>
          <w:lang w:val="en-AU"/>
        </w:rPr>
        <w:t xml:space="preserve">most evident at </w:t>
      </w:r>
      <w:r w:rsidR="009E7A78" w:rsidRPr="007430DC">
        <w:t>Snapper North, where</w:t>
      </w:r>
      <w:r w:rsidR="007540CE" w:rsidRPr="007540CE">
        <w:t xml:space="preserve"> </w:t>
      </w:r>
      <w:r w:rsidR="007540CE">
        <w:t xml:space="preserve">hard coral cover was </w:t>
      </w:r>
      <w:r w:rsidR="009E7A78" w:rsidRPr="007430DC">
        <w:t xml:space="preserve">58% </w:t>
      </w:r>
      <w:r w:rsidR="00CE3D81">
        <w:t xml:space="preserve">(2 m) </w:t>
      </w:r>
      <w:r w:rsidR="009E7A78" w:rsidRPr="007430DC">
        <w:t xml:space="preserve">and 37% </w:t>
      </w:r>
      <w:r w:rsidR="00CE3D81">
        <w:t xml:space="preserve">(5 m) </w:t>
      </w:r>
      <w:r w:rsidR="007540CE">
        <w:t>lower than model based projec</w:t>
      </w:r>
      <w:r w:rsidR="001B76D4">
        <w:t>tions fro</w:t>
      </w:r>
      <w:r w:rsidR="007540CE">
        <w:t>m  observations</w:t>
      </w:r>
      <w:r w:rsidR="00CE3D81">
        <w:t xml:space="preserve"> </w:t>
      </w:r>
      <w:r w:rsidR="007540CE">
        <w:t xml:space="preserve">in 2016 </w:t>
      </w:r>
      <w:r w:rsidR="00CE3D81">
        <w:t xml:space="preserve">(Figure 12e, </w:t>
      </w:r>
      <w:r w:rsidR="004A0F8F">
        <w:fldChar w:fldCharType="begin"/>
      </w:r>
      <w:r w:rsidR="004A0F8F">
        <w:instrText xml:space="preserve"> REF _Ref500961104 \h </w:instrText>
      </w:r>
      <w:r w:rsidR="004A0F8F">
        <w:fldChar w:fldCharType="separate"/>
      </w:r>
      <w:r w:rsidR="00A75175">
        <w:t xml:space="preserve">Table A1. </w:t>
      </w:r>
      <w:r w:rsidR="00A75175">
        <w:rPr>
          <w:noProof/>
        </w:rPr>
        <w:t>4</w:t>
      </w:r>
      <w:r w:rsidR="004A0F8F">
        <w:fldChar w:fldCharType="end"/>
      </w:r>
      <w:r w:rsidR="00F3671C">
        <w:t>).</w:t>
      </w:r>
      <w:r w:rsidR="00033AFF" w:rsidRPr="00764B44">
        <w:rPr>
          <w:lang w:val="en-AU"/>
        </w:rPr>
        <w:t xml:space="preserve"> </w:t>
      </w:r>
      <w:r w:rsidR="009E7A78">
        <w:rPr>
          <w:lang w:val="en-AU"/>
        </w:rPr>
        <w:t>Conversely, there were small increases in coral c</w:t>
      </w:r>
      <w:r w:rsidR="00CE3D81">
        <w:rPr>
          <w:lang w:val="en-AU"/>
        </w:rPr>
        <w:t xml:space="preserve">over at Snapper South 2 m depth </w:t>
      </w:r>
      <w:r w:rsidR="009E7A78">
        <w:rPr>
          <w:lang w:val="en-AU"/>
        </w:rPr>
        <w:t>and at Low Isles</w:t>
      </w:r>
      <w:r w:rsidR="00F3671C">
        <w:rPr>
          <w:lang w:val="en-AU"/>
        </w:rPr>
        <w:t xml:space="preserve"> (</w:t>
      </w:r>
      <w:r w:rsidR="003F670B">
        <w:rPr>
          <w:lang w:val="en-AU"/>
        </w:rPr>
        <w:fldChar w:fldCharType="begin"/>
      </w:r>
      <w:r w:rsidR="003F670B">
        <w:rPr>
          <w:lang w:val="en-AU"/>
        </w:rPr>
        <w:instrText xml:space="preserve"> REF _Ref501095809 \h </w:instrText>
      </w:r>
      <w:r w:rsidR="003F670B">
        <w:rPr>
          <w:lang w:val="en-AU"/>
        </w:rPr>
      </w:r>
      <w:r w:rsidR="003F670B">
        <w:rPr>
          <w:lang w:val="en-AU"/>
        </w:rPr>
        <w:fldChar w:fldCharType="separate"/>
      </w:r>
      <w:r w:rsidR="00A75175">
        <w:t xml:space="preserve">Figure A1. </w:t>
      </w:r>
      <w:r w:rsidR="00A75175">
        <w:rPr>
          <w:noProof/>
        </w:rPr>
        <w:t>1</w:t>
      </w:r>
      <w:r w:rsidR="003F670B">
        <w:rPr>
          <w:lang w:val="en-AU"/>
        </w:rPr>
        <w:fldChar w:fldCharType="end"/>
      </w:r>
      <w:r w:rsidR="00F3671C">
        <w:rPr>
          <w:lang w:val="en-AU"/>
        </w:rPr>
        <w:t>)</w:t>
      </w:r>
      <w:r w:rsidR="009E7A78">
        <w:rPr>
          <w:lang w:val="en-AU"/>
        </w:rPr>
        <w:t xml:space="preserve">. </w:t>
      </w:r>
      <w:r w:rsidR="00FD3744">
        <w:rPr>
          <w:lang w:val="en-AU"/>
        </w:rPr>
        <w:t xml:space="preserve">Although </w:t>
      </w:r>
      <w:r w:rsidR="00182C47">
        <w:rPr>
          <w:lang w:val="en-AU"/>
        </w:rPr>
        <w:t xml:space="preserve">the impacts of bleaching were not sufficient to be classified as an acute disturbance at Snapper South, lower than projected rates of increase in cover did contribute to a downturn in the Coral Change metric at </w:t>
      </w:r>
      <w:r w:rsidR="00FE58BB">
        <w:rPr>
          <w:lang w:val="en-AU"/>
        </w:rPr>
        <w:t>that reef</w:t>
      </w:r>
      <w:r w:rsidR="00182C47">
        <w:rPr>
          <w:lang w:val="en-AU"/>
        </w:rPr>
        <w:t xml:space="preserve">. </w:t>
      </w:r>
      <w:r w:rsidR="00180FB4">
        <w:rPr>
          <w:lang w:val="en-AU"/>
        </w:rPr>
        <w:t>In c</w:t>
      </w:r>
      <w:r w:rsidR="00182C47">
        <w:rPr>
          <w:lang w:val="en-AU"/>
        </w:rPr>
        <w:t>on</w:t>
      </w:r>
      <w:r w:rsidR="00180FB4">
        <w:rPr>
          <w:lang w:val="en-AU"/>
        </w:rPr>
        <w:t>trast</w:t>
      </w:r>
      <w:r w:rsidR="00182C47">
        <w:rPr>
          <w:lang w:val="en-AU"/>
        </w:rPr>
        <w:t xml:space="preserve">, </w:t>
      </w:r>
      <w:r w:rsidR="00FE58BB">
        <w:rPr>
          <w:lang w:val="en-AU"/>
        </w:rPr>
        <w:t xml:space="preserve">the </w:t>
      </w:r>
      <w:r w:rsidR="00182C47">
        <w:rPr>
          <w:lang w:val="en-AU"/>
        </w:rPr>
        <w:t xml:space="preserve">rapid increase in hard coral cover at Low Isles </w:t>
      </w:r>
      <w:r w:rsidR="00180FB4">
        <w:rPr>
          <w:lang w:val="en-AU"/>
        </w:rPr>
        <w:t xml:space="preserve">from 21.6% in 2015 to </w:t>
      </w:r>
      <w:r w:rsidR="00182C47">
        <w:rPr>
          <w:lang w:val="en-AU"/>
        </w:rPr>
        <w:t>30.3% in December 2016 contribute</w:t>
      </w:r>
      <w:r w:rsidR="00180FB4">
        <w:rPr>
          <w:lang w:val="en-AU"/>
        </w:rPr>
        <w:t>d</w:t>
      </w:r>
      <w:r w:rsidR="00182C47">
        <w:rPr>
          <w:lang w:val="en-AU"/>
        </w:rPr>
        <w:t xml:space="preserve"> to both an increase in the Coral Cover </w:t>
      </w:r>
      <w:r w:rsidR="00180FB4">
        <w:rPr>
          <w:lang w:val="en-AU"/>
        </w:rPr>
        <w:t xml:space="preserve">metric </w:t>
      </w:r>
      <w:r w:rsidR="00182C47">
        <w:rPr>
          <w:lang w:val="en-AU"/>
        </w:rPr>
        <w:t xml:space="preserve">and continued maximum score for the Coral Change metric </w:t>
      </w:r>
      <w:r w:rsidR="00180FB4">
        <w:rPr>
          <w:lang w:val="en-AU"/>
        </w:rPr>
        <w:t>at that reef</w:t>
      </w:r>
      <w:r w:rsidR="00182C47">
        <w:rPr>
          <w:lang w:val="en-AU"/>
        </w:rPr>
        <w:t>. As the December 2016 surveys of Low Isles preceded the ensuing bleaching event any impact of bleaching at that reefs remains unassessed</w:t>
      </w:r>
      <w:r w:rsidR="00FE58BB">
        <w:rPr>
          <w:lang w:val="en-AU"/>
        </w:rPr>
        <w:t>, although likely to have been severe based on aerial surveys (</w:t>
      </w:r>
      <w:r w:rsidR="00FE58BB">
        <w:rPr>
          <w:lang w:val="en-AU"/>
        </w:rPr>
        <w:fldChar w:fldCharType="begin"/>
      </w:r>
      <w:r w:rsidR="00FE58BB">
        <w:rPr>
          <w:lang w:val="en-AU"/>
        </w:rPr>
        <w:instrText xml:space="preserve"> REF _Ref500748416 \h </w:instrText>
      </w:r>
      <w:r w:rsidR="00FE58BB">
        <w:rPr>
          <w:lang w:val="en-AU"/>
        </w:rPr>
      </w:r>
      <w:r w:rsidR="00FE58BB">
        <w:rPr>
          <w:lang w:val="en-AU"/>
        </w:rPr>
        <w:fldChar w:fldCharType="separate"/>
      </w:r>
      <w:r w:rsidR="00A75175">
        <w:t xml:space="preserve">Figure </w:t>
      </w:r>
      <w:r w:rsidR="00A75175">
        <w:rPr>
          <w:noProof/>
        </w:rPr>
        <w:t>24</w:t>
      </w:r>
      <w:r w:rsidR="00FE58BB">
        <w:rPr>
          <w:lang w:val="en-AU"/>
        </w:rPr>
        <w:fldChar w:fldCharType="end"/>
      </w:r>
      <w:r w:rsidR="00FE58BB">
        <w:rPr>
          <w:lang w:val="en-AU"/>
        </w:rPr>
        <w:t>)</w:t>
      </w:r>
      <w:r w:rsidR="00182C47">
        <w:rPr>
          <w:lang w:val="en-AU"/>
        </w:rPr>
        <w:t xml:space="preserve">. </w:t>
      </w:r>
      <w:r w:rsidR="00FE58BB">
        <w:rPr>
          <w:lang w:val="en-AU"/>
        </w:rPr>
        <w:t>Another possible effect of the bleaching event w</w:t>
      </w:r>
      <w:r w:rsidR="00F80B64">
        <w:rPr>
          <w:lang w:val="en-AU"/>
        </w:rPr>
        <w:t>as</w:t>
      </w:r>
      <w:r w:rsidR="00180FB4">
        <w:rPr>
          <w:lang w:val="en-AU"/>
        </w:rPr>
        <w:t xml:space="preserve"> minor</w:t>
      </w:r>
      <w:r w:rsidR="00FE58BB">
        <w:rPr>
          <w:lang w:val="en-AU"/>
        </w:rPr>
        <w:t xml:space="preserve"> reduction</w:t>
      </w:r>
      <w:r w:rsidR="00180FB4">
        <w:rPr>
          <w:lang w:val="en-AU"/>
        </w:rPr>
        <w:t>s</w:t>
      </w:r>
      <w:r w:rsidR="00FE58BB">
        <w:rPr>
          <w:lang w:val="en-AU"/>
        </w:rPr>
        <w:t xml:space="preserve"> in density of </w:t>
      </w:r>
      <w:r w:rsidR="00225AA2">
        <w:rPr>
          <w:lang w:val="en-AU"/>
        </w:rPr>
        <w:t xml:space="preserve">juvenile </w:t>
      </w:r>
      <w:r w:rsidR="00FE58BB">
        <w:rPr>
          <w:lang w:val="en-AU"/>
        </w:rPr>
        <w:t>corals at Snapper Island reefs</w:t>
      </w:r>
      <w:r w:rsidR="00180FB4">
        <w:rPr>
          <w:lang w:val="en-AU"/>
        </w:rPr>
        <w:t xml:space="preserve"> (</w:t>
      </w:r>
      <w:r w:rsidR="00180FB4">
        <w:rPr>
          <w:lang w:val="en-AU"/>
        </w:rPr>
        <w:fldChar w:fldCharType="begin"/>
      </w:r>
      <w:r w:rsidR="00180FB4">
        <w:rPr>
          <w:lang w:val="en-AU"/>
        </w:rPr>
        <w:instrText xml:space="preserve"> REF _Ref491178290 \h </w:instrText>
      </w:r>
      <w:r w:rsidR="00180FB4">
        <w:rPr>
          <w:lang w:val="en-AU"/>
        </w:rPr>
      </w:r>
      <w:r w:rsidR="00180FB4">
        <w:rPr>
          <w:lang w:val="en-AU"/>
        </w:rPr>
        <w:fldChar w:fldCharType="separate"/>
      </w:r>
      <w:r w:rsidR="00A75175" w:rsidRPr="00F352E1">
        <w:t xml:space="preserve">Figure </w:t>
      </w:r>
      <w:r w:rsidR="00A75175">
        <w:rPr>
          <w:noProof/>
        </w:rPr>
        <w:t>13</w:t>
      </w:r>
      <w:r w:rsidR="00180FB4">
        <w:rPr>
          <w:lang w:val="en-AU"/>
        </w:rPr>
        <w:fldChar w:fldCharType="end"/>
      </w:r>
      <w:r w:rsidR="00180FB4">
        <w:rPr>
          <w:lang w:val="en-AU"/>
        </w:rPr>
        <w:t xml:space="preserve">d, </w:t>
      </w:r>
      <w:r w:rsidR="00180FB4">
        <w:rPr>
          <w:lang w:val="en-AU"/>
        </w:rPr>
        <w:fldChar w:fldCharType="begin"/>
      </w:r>
      <w:r w:rsidR="00180FB4">
        <w:rPr>
          <w:lang w:val="en-AU"/>
        </w:rPr>
        <w:instrText xml:space="preserve"> REF _Ref501095809 \h </w:instrText>
      </w:r>
      <w:r w:rsidR="00180FB4">
        <w:rPr>
          <w:lang w:val="en-AU"/>
        </w:rPr>
      </w:r>
      <w:r w:rsidR="00180FB4">
        <w:rPr>
          <w:lang w:val="en-AU"/>
        </w:rPr>
        <w:fldChar w:fldCharType="separate"/>
      </w:r>
      <w:r w:rsidR="00A75175">
        <w:t xml:space="preserve">Figure A1. </w:t>
      </w:r>
      <w:r w:rsidR="00A75175">
        <w:rPr>
          <w:noProof/>
        </w:rPr>
        <w:t>1</w:t>
      </w:r>
      <w:r w:rsidR="00180FB4">
        <w:rPr>
          <w:lang w:val="en-AU"/>
        </w:rPr>
        <w:fldChar w:fldCharType="end"/>
      </w:r>
      <w:r w:rsidR="00180FB4">
        <w:rPr>
          <w:lang w:val="en-AU"/>
        </w:rPr>
        <w:t>)</w:t>
      </w:r>
      <w:r w:rsidR="00FE58BB">
        <w:rPr>
          <w:lang w:val="en-AU"/>
        </w:rPr>
        <w:t xml:space="preserve">. </w:t>
      </w:r>
      <w:r w:rsidR="00B03061" w:rsidRPr="00927F83">
        <w:t xml:space="preserve">Prior to 2017 bleaching had not impacted </w:t>
      </w:r>
      <w:r w:rsidR="00B03061">
        <w:t xml:space="preserve">the </w:t>
      </w:r>
      <w:r w:rsidR="00B03061" w:rsidRPr="00927F83">
        <w:t xml:space="preserve">communities </w:t>
      </w:r>
      <w:r w:rsidR="00B03061">
        <w:t xml:space="preserve">monitored in this </w:t>
      </w:r>
      <w:r w:rsidR="00B03061" w:rsidRPr="00927F83">
        <w:t>region</w:t>
      </w:r>
      <w:r w:rsidR="00B03061">
        <w:t xml:space="preserve"> since 1998, when again, impacts were more severe at Snapper North than Sapper South (Table A1.1)</w:t>
      </w:r>
      <w:r w:rsidR="00B03061" w:rsidRPr="00927F83">
        <w:t>. Following the 2016</w:t>
      </w:r>
      <w:r w:rsidR="00C976D1">
        <w:softHyphen/>
      </w:r>
      <w:r w:rsidR="00B03061" w:rsidRPr="00927F83">
        <w:t xml:space="preserve">17 event, bleaching now accounts for 6% of </w:t>
      </w:r>
      <w:r w:rsidR="00FE58BB">
        <w:t xml:space="preserve">observed </w:t>
      </w:r>
      <w:r w:rsidR="00B03061" w:rsidRPr="00927F83">
        <w:t>coral cover loss</w:t>
      </w:r>
      <w:r w:rsidR="00FD3744">
        <w:t>es since 2005</w:t>
      </w:r>
      <w:r w:rsidR="00B03061" w:rsidRPr="00927F83">
        <w:t xml:space="preserve"> (</w:t>
      </w:r>
      <w:r w:rsidR="00B03061" w:rsidRPr="00927F83">
        <w:fldChar w:fldCharType="begin"/>
      </w:r>
      <w:r w:rsidR="00B03061" w:rsidRPr="00927F83">
        <w:instrText xml:space="preserve"> REF _Ref491178261 \h </w:instrText>
      </w:r>
      <w:r w:rsidR="00B03061" w:rsidRPr="00927F83">
        <w:fldChar w:fldCharType="separate"/>
      </w:r>
      <w:r w:rsidR="00A75175" w:rsidRPr="00F352E1">
        <w:t xml:space="preserve">Figure </w:t>
      </w:r>
      <w:r w:rsidR="00A75175">
        <w:rPr>
          <w:noProof/>
        </w:rPr>
        <w:t>12</w:t>
      </w:r>
      <w:r w:rsidR="00B03061" w:rsidRPr="00927F83">
        <w:fldChar w:fldCharType="end"/>
      </w:r>
      <w:r w:rsidR="00B03061" w:rsidRPr="00927F83">
        <w:t>e</w:t>
      </w:r>
      <w:r w:rsidR="00FE58BB">
        <w:t>)</w:t>
      </w:r>
      <w:r w:rsidR="00B03061">
        <w:rPr>
          <w:lang w:val="en-AU"/>
        </w:rPr>
        <w:t>.</w:t>
      </w:r>
    </w:p>
    <w:p w14:paraId="4F47B39F" w14:textId="0437629D" w:rsidR="00B53089" w:rsidRPr="003F670B" w:rsidRDefault="00FC2C47" w:rsidP="00671DC7">
      <w:pPr>
        <w:rPr>
          <w:lang w:val="en-AU"/>
        </w:rPr>
      </w:pPr>
      <w:r>
        <w:rPr>
          <w:lang w:val="en-AU"/>
        </w:rPr>
        <w:t>The 2017 bleaching event interrupted the recovery in coral communities that had begun following a series of disturbances through to 2014 (Figures 12e</w:t>
      </w:r>
      <w:r w:rsidR="00180FB4">
        <w:rPr>
          <w:lang w:val="en-AU"/>
        </w:rPr>
        <w:t>,</w:t>
      </w:r>
      <w:r>
        <w:rPr>
          <w:lang w:val="en-AU"/>
        </w:rPr>
        <w:t xml:space="preserve"> 13a, </w:t>
      </w:r>
      <w:r w:rsidR="00035EA5">
        <w:rPr>
          <w:lang w:val="en-AU"/>
        </w:rPr>
        <w:t>Table 10</w:t>
      </w:r>
      <w:r w:rsidRPr="00FC2C47">
        <w:rPr>
          <w:lang w:val="en-AU"/>
        </w:rPr>
        <w:t>).</w:t>
      </w:r>
      <w:r w:rsidR="008A7F55" w:rsidRPr="00FC2C47">
        <w:rPr>
          <w:lang w:val="en-AU"/>
        </w:rPr>
        <w:t xml:space="preserve"> </w:t>
      </w:r>
      <w:r w:rsidR="008661F8" w:rsidRPr="00FC2C47">
        <w:rPr>
          <w:lang w:val="en-AU"/>
        </w:rPr>
        <w:t>Although the maximum index score occurred in 2008, scores remained in the ‘good’ range until 2011</w:t>
      </w:r>
      <w:r w:rsidR="008661F8" w:rsidRPr="00764B44">
        <w:rPr>
          <w:lang w:val="en-AU"/>
        </w:rPr>
        <w:t xml:space="preserve">. </w:t>
      </w:r>
      <w:r w:rsidR="003920EC" w:rsidRPr="00764B44">
        <w:rPr>
          <w:lang w:val="en-AU"/>
        </w:rPr>
        <w:t xml:space="preserve">The decline between 2011 and 2014 was initiated </w:t>
      </w:r>
      <w:r w:rsidR="00AD4E98" w:rsidRPr="00764B44">
        <w:rPr>
          <w:lang w:val="en-AU"/>
        </w:rPr>
        <w:t xml:space="preserve">by a loss of coral cover </w:t>
      </w:r>
      <w:r>
        <w:rPr>
          <w:lang w:val="en-AU"/>
        </w:rPr>
        <w:t>due to disease (</w:t>
      </w:r>
      <w:r w:rsidR="00180FB4">
        <w:rPr>
          <w:lang w:val="en-AU"/>
        </w:rPr>
        <w:fldChar w:fldCharType="begin"/>
      </w:r>
      <w:r w:rsidR="00180FB4">
        <w:rPr>
          <w:lang w:val="en-AU"/>
        </w:rPr>
        <w:instrText xml:space="preserve"> REF _Ref501096335 \h </w:instrText>
      </w:r>
      <w:r w:rsidR="00180FB4">
        <w:rPr>
          <w:lang w:val="en-AU"/>
        </w:rPr>
      </w:r>
      <w:r w:rsidR="00180FB4">
        <w:rPr>
          <w:lang w:val="en-AU"/>
        </w:rPr>
        <w:fldChar w:fldCharType="separate"/>
      </w:r>
      <w:r w:rsidR="00A75175">
        <w:t xml:space="preserve">Figure A1. </w:t>
      </w:r>
      <w:r w:rsidR="00A75175">
        <w:rPr>
          <w:noProof/>
        </w:rPr>
        <w:t>7</w:t>
      </w:r>
      <w:r w:rsidR="00180FB4">
        <w:rPr>
          <w:lang w:val="en-AU"/>
        </w:rPr>
        <w:fldChar w:fldCharType="end"/>
      </w:r>
      <w:r w:rsidR="00AD4E98" w:rsidRPr="00764B44">
        <w:rPr>
          <w:lang w:val="en-AU"/>
        </w:rPr>
        <w:t>)</w:t>
      </w:r>
      <w:r w:rsidR="00180FB4">
        <w:rPr>
          <w:lang w:val="en-AU"/>
        </w:rPr>
        <w:t xml:space="preserve"> that contributed to decline in </w:t>
      </w:r>
      <w:r w:rsidR="00B87235" w:rsidRPr="00764B44">
        <w:rPr>
          <w:lang w:val="en-AU"/>
        </w:rPr>
        <w:t xml:space="preserve">the </w:t>
      </w:r>
      <w:r w:rsidR="007527BF">
        <w:rPr>
          <w:lang w:val="en-AU"/>
        </w:rPr>
        <w:t>C</w:t>
      </w:r>
      <w:r w:rsidR="00B87235" w:rsidRPr="00764B44">
        <w:rPr>
          <w:lang w:val="en-AU"/>
        </w:rPr>
        <w:t xml:space="preserve">over </w:t>
      </w:r>
      <w:r w:rsidR="00FE58BB">
        <w:rPr>
          <w:lang w:val="en-AU"/>
        </w:rPr>
        <w:t>C</w:t>
      </w:r>
      <w:r w:rsidR="00B87235" w:rsidRPr="00764B44">
        <w:rPr>
          <w:lang w:val="en-AU"/>
        </w:rPr>
        <w:t>hange metric through to 2014</w:t>
      </w:r>
      <w:r w:rsidR="00180FB4">
        <w:rPr>
          <w:lang w:val="en-AU"/>
        </w:rPr>
        <w:t>.</w:t>
      </w:r>
      <w:r w:rsidR="00B87235" w:rsidRPr="00764B44">
        <w:rPr>
          <w:lang w:val="en-AU"/>
        </w:rPr>
        <w:t xml:space="preserve"> </w:t>
      </w:r>
      <w:r w:rsidR="00C04B6E" w:rsidRPr="00764B44">
        <w:rPr>
          <w:lang w:val="en-AU"/>
        </w:rPr>
        <w:t xml:space="preserve">There was also </w:t>
      </w:r>
      <w:r w:rsidR="00C04B6E" w:rsidRPr="00995C4E">
        <w:t xml:space="preserve">a </w:t>
      </w:r>
      <w:r w:rsidR="00AD4E98" w:rsidRPr="00995C4E">
        <w:t xml:space="preserve">marked increase in </w:t>
      </w:r>
      <w:r w:rsidR="00C04B6E" w:rsidRPr="00995C4E">
        <w:t xml:space="preserve">the cover of </w:t>
      </w:r>
      <w:r w:rsidR="00AD4E98" w:rsidRPr="00995C4E">
        <w:t xml:space="preserve">macroalgae </w:t>
      </w:r>
      <w:r w:rsidR="00B87235" w:rsidRPr="00995C4E">
        <w:t xml:space="preserve">at Snapper North </w:t>
      </w:r>
      <w:r w:rsidR="00C04B6E" w:rsidRPr="00995C4E">
        <w:t>in 2011 (peaks at 2</w:t>
      </w:r>
      <w:r w:rsidR="003032B3" w:rsidRPr="00995C4E">
        <w:t xml:space="preserve"> </w:t>
      </w:r>
      <w:r w:rsidR="00C04B6E" w:rsidRPr="00995C4E">
        <w:t>m and 5</w:t>
      </w:r>
      <w:r w:rsidR="003032B3" w:rsidRPr="00995C4E">
        <w:t xml:space="preserve"> </w:t>
      </w:r>
      <w:r w:rsidR="00C04B6E" w:rsidRPr="00995C4E">
        <w:t xml:space="preserve">m reefs, </w:t>
      </w:r>
      <w:r w:rsidR="00A617D9" w:rsidRPr="00995C4E">
        <w:fldChar w:fldCharType="begin"/>
      </w:r>
      <w:r w:rsidR="00A617D9" w:rsidRPr="00995C4E">
        <w:instrText xml:space="preserve"> REF _Ref491178290 \h </w:instrText>
      </w:r>
      <w:r w:rsidR="00A617D9" w:rsidRPr="00995C4E">
        <w:fldChar w:fldCharType="separate"/>
      </w:r>
      <w:r w:rsidR="00A75175" w:rsidRPr="00F352E1">
        <w:t xml:space="preserve">Figure </w:t>
      </w:r>
      <w:r w:rsidR="00A75175">
        <w:rPr>
          <w:noProof/>
        </w:rPr>
        <w:t>13</w:t>
      </w:r>
      <w:r w:rsidR="00A617D9" w:rsidRPr="00995C4E">
        <w:fldChar w:fldCharType="end"/>
      </w:r>
      <w:r w:rsidR="00B03061" w:rsidRPr="00995C4E">
        <w:t>c</w:t>
      </w:r>
      <w:r w:rsidR="00C04B6E" w:rsidRPr="00995C4E">
        <w:t>,</w:t>
      </w:r>
      <w:r w:rsidR="00180FB4">
        <w:t xml:space="preserve"> </w:t>
      </w:r>
      <w:r w:rsidR="00180FB4">
        <w:fldChar w:fldCharType="begin"/>
      </w:r>
      <w:r w:rsidR="00180FB4">
        <w:instrText xml:space="preserve"> REF _Ref501095809 \h </w:instrText>
      </w:r>
      <w:r w:rsidR="00180FB4">
        <w:fldChar w:fldCharType="separate"/>
      </w:r>
      <w:r w:rsidR="00A75175">
        <w:t xml:space="preserve">Figure A1. </w:t>
      </w:r>
      <w:r w:rsidR="00A75175">
        <w:rPr>
          <w:noProof/>
        </w:rPr>
        <w:t>1</w:t>
      </w:r>
      <w:r w:rsidR="00180FB4">
        <w:fldChar w:fldCharType="end"/>
      </w:r>
      <w:r w:rsidR="00C04B6E" w:rsidRPr="00995C4E">
        <w:t>)</w:t>
      </w:r>
      <w:r w:rsidR="00FD0D27" w:rsidRPr="00995C4E">
        <w:t xml:space="preserve">. The </w:t>
      </w:r>
      <w:r w:rsidR="009B13C7" w:rsidRPr="00995C4E">
        <w:t xml:space="preserve">continued increase, and </w:t>
      </w:r>
      <w:r w:rsidR="00FD0D27" w:rsidRPr="00995C4E">
        <w:t>persistence</w:t>
      </w:r>
      <w:r w:rsidR="009B13C7" w:rsidRPr="00995C4E">
        <w:t>,</w:t>
      </w:r>
      <w:r w:rsidR="00FD0D27" w:rsidRPr="00995C4E">
        <w:t xml:space="preserve"> of </w:t>
      </w:r>
      <w:r w:rsidR="009B13C7" w:rsidRPr="00995C4E">
        <w:t xml:space="preserve">a </w:t>
      </w:r>
      <w:r w:rsidR="00FD0D27" w:rsidRPr="00995C4E">
        <w:t xml:space="preserve">high proportion of macroalgae in the algal community at </w:t>
      </w:r>
      <w:r w:rsidR="009A6008" w:rsidRPr="00995C4E">
        <w:t>2</w:t>
      </w:r>
      <w:r w:rsidR="00FD0D27" w:rsidRPr="00995C4E">
        <w:t xml:space="preserve"> m depth</w:t>
      </w:r>
      <w:r w:rsidR="00B03EE6" w:rsidRPr="00995C4E">
        <w:t>,</w:t>
      </w:r>
      <w:r w:rsidR="00FD0D27" w:rsidRPr="00995C4E">
        <w:t xml:space="preserve"> Snapper North</w:t>
      </w:r>
      <w:r w:rsidR="00B03EE6" w:rsidRPr="00995C4E">
        <w:t>,</w:t>
      </w:r>
      <w:r w:rsidR="00FD0D27" w:rsidRPr="00995C4E">
        <w:t xml:space="preserve"> is consistent with the above guideline levels of Chl </w:t>
      </w:r>
      <w:r w:rsidR="00FD0D27" w:rsidRPr="003F670B">
        <w:rPr>
          <w:i/>
        </w:rPr>
        <w:t>a</w:t>
      </w:r>
      <w:r w:rsidR="00FD0D27" w:rsidRPr="00995C4E">
        <w:t xml:space="preserve"> </w:t>
      </w:r>
      <w:r w:rsidR="005827DD" w:rsidRPr="00995C4E">
        <w:t xml:space="preserve">typical of </w:t>
      </w:r>
      <w:r w:rsidR="00FD0D27" w:rsidRPr="00995C4E">
        <w:t>waters surrounding Snapper Island (</w:t>
      </w:r>
      <w:r w:rsidR="00A617D9" w:rsidRPr="00995C4E">
        <w:fldChar w:fldCharType="begin"/>
      </w:r>
      <w:r w:rsidR="00A617D9" w:rsidRPr="00995C4E">
        <w:instrText xml:space="preserve"> REF _Ref491178261 \h </w:instrText>
      </w:r>
      <w:r w:rsidR="00A617D9" w:rsidRPr="00995C4E">
        <w:fldChar w:fldCharType="separate"/>
      </w:r>
      <w:r w:rsidR="00A75175" w:rsidRPr="00F352E1">
        <w:t xml:space="preserve">Figure </w:t>
      </w:r>
      <w:r w:rsidR="00A75175">
        <w:rPr>
          <w:noProof/>
        </w:rPr>
        <w:t>12</w:t>
      </w:r>
      <w:r w:rsidR="00A617D9" w:rsidRPr="00995C4E">
        <w:fldChar w:fldCharType="end"/>
      </w:r>
      <w:r w:rsidR="00A617D9" w:rsidRPr="00995C4E">
        <w:t>a)</w:t>
      </w:r>
      <w:r w:rsidR="00CA4856">
        <w:t>.</w:t>
      </w:r>
      <w:r w:rsidR="00180FB4">
        <w:t xml:space="preserve"> </w:t>
      </w:r>
      <w:r w:rsidR="00CA4856">
        <w:t>It is evident however</w:t>
      </w:r>
      <w:r w:rsidR="00A93153">
        <w:t>,</w:t>
      </w:r>
      <w:r w:rsidR="00CA4856">
        <w:t xml:space="preserve"> that the high proportion of macroalgae </w:t>
      </w:r>
      <w:r w:rsidR="00180FB4">
        <w:t>must also be influenced by additional processes as the similar water quality at Snapper South does not support similar algal communities</w:t>
      </w:r>
      <w:r w:rsidR="00A617D9" w:rsidRPr="00995C4E">
        <w:t>.</w:t>
      </w:r>
    </w:p>
    <w:p w14:paraId="0CC2C3D1" w14:textId="4471A9F3" w:rsidR="00BA3C73" w:rsidRPr="00927F83" w:rsidRDefault="003032B3" w:rsidP="00B53089">
      <w:r w:rsidRPr="00927F83">
        <w:t>A</w:t>
      </w:r>
      <w:r w:rsidR="00B53089" w:rsidRPr="00927F83">
        <w:t>t Snapper Island low densities of COTS were observed</w:t>
      </w:r>
      <w:r w:rsidR="00C51EEB" w:rsidRPr="00927F83">
        <w:t xml:space="preserve"> in</w:t>
      </w:r>
      <w:r w:rsidR="00B53089" w:rsidRPr="00927F83">
        <w:t xml:space="preserve"> 2012, pre-empting an outbreak in 2013 when densities reached 288 and 613 individuals per hectare at Snapper North and Snapper South respectively. This outbreak removed between 66% (Snapper North </w:t>
      </w:r>
      <w:r w:rsidR="00C51EEB" w:rsidRPr="00927F83">
        <w:t>–</w:t>
      </w:r>
      <w:r w:rsidR="00B53089" w:rsidRPr="00927F83">
        <w:t xml:space="preserve"> 5</w:t>
      </w:r>
      <w:r w:rsidR="00C51EEB" w:rsidRPr="00927F83">
        <w:t xml:space="preserve"> </w:t>
      </w:r>
      <w:r w:rsidR="00B53089" w:rsidRPr="00927F83">
        <w:t xml:space="preserve">m depth) and 17% (Snapper South </w:t>
      </w:r>
      <w:r w:rsidR="00C51EEB" w:rsidRPr="00927F83">
        <w:t>–</w:t>
      </w:r>
      <w:r w:rsidR="00B53089" w:rsidRPr="00927F83">
        <w:t xml:space="preserve"> 5</w:t>
      </w:r>
      <w:r w:rsidR="00C51EEB" w:rsidRPr="00927F83">
        <w:t xml:space="preserve"> </w:t>
      </w:r>
      <w:r w:rsidR="00B53089" w:rsidRPr="00927F83">
        <w:t xml:space="preserve">m depth) of the coral cover with the main losses occurring within the family Acroporidae </w:t>
      </w:r>
      <w:r w:rsidR="00B53089" w:rsidRPr="00927F83">
        <w:rPr>
          <w:rFonts w:cs="Arial"/>
          <w:szCs w:val="22"/>
        </w:rPr>
        <w:t>(</w:t>
      </w:r>
      <w:r w:rsidR="00A9477F">
        <w:rPr>
          <w:rFonts w:cs="Arial"/>
          <w:szCs w:val="22"/>
        </w:rPr>
        <w:fldChar w:fldCharType="begin"/>
      </w:r>
      <w:r w:rsidR="00A9477F">
        <w:rPr>
          <w:rFonts w:cs="Arial"/>
          <w:szCs w:val="22"/>
        </w:rPr>
        <w:instrText xml:space="preserve"> REF _Ref501095809 \h </w:instrText>
      </w:r>
      <w:r w:rsidR="00A9477F">
        <w:rPr>
          <w:rFonts w:cs="Arial"/>
          <w:szCs w:val="22"/>
        </w:rPr>
      </w:r>
      <w:r w:rsidR="00A9477F">
        <w:rPr>
          <w:rFonts w:cs="Arial"/>
          <w:szCs w:val="22"/>
        </w:rPr>
        <w:fldChar w:fldCharType="separate"/>
      </w:r>
      <w:r w:rsidR="00A75175">
        <w:t xml:space="preserve">Figure A1. </w:t>
      </w:r>
      <w:r w:rsidR="00A75175">
        <w:rPr>
          <w:noProof/>
        </w:rPr>
        <w:t>1</w:t>
      </w:r>
      <w:r w:rsidR="00A9477F">
        <w:rPr>
          <w:rFonts w:cs="Arial"/>
          <w:szCs w:val="22"/>
        </w:rPr>
        <w:fldChar w:fldCharType="end"/>
      </w:r>
      <w:r w:rsidR="0024084A">
        <w:rPr>
          <w:rFonts w:cs="Arial"/>
          <w:szCs w:val="22"/>
        </w:rPr>
        <w:t xml:space="preserve">, </w:t>
      </w:r>
      <w:r w:rsidR="00A9477F">
        <w:rPr>
          <w:rFonts w:cs="Arial"/>
          <w:szCs w:val="22"/>
        </w:rPr>
        <w:fldChar w:fldCharType="begin"/>
      </w:r>
      <w:r w:rsidR="00A9477F">
        <w:rPr>
          <w:rFonts w:cs="Arial"/>
          <w:szCs w:val="22"/>
        </w:rPr>
        <w:instrText xml:space="preserve"> REF _Ref500961104 \h </w:instrText>
      </w:r>
      <w:r w:rsidR="00A9477F">
        <w:rPr>
          <w:rFonts w:cs="Arial"/>
          <w:szCs w:val="22"/>
        </w:rPr>
      </w:r>
      <w:r w:rsidR="00A9477F">
        <w:rPr>
          <w:rFonts w:cs="Arial"/>
          <w:szCs w:val="22"/>
        </w:rPr>
        <w:fldChar w:fldCharType="separate"/>
      </w:r>
      <w:r w:rsidR="00A75175">
        <w:t xml:space="preserve">Table A1. </w:t>
      </w:r>
      <w:r w:rsidR="00A75175">
        <w:rPr>
          <w:noProof/>
        </w:rPr>
        <w:t>4</w:t>
      </w:r>
      <w:r w:rsidR="00A9477F">
        <w:rPr>
          <w:rFonts w:cs="Arial"/>
          <w:szCs w:val="22"/>
        </w:rPr>
        <w:fldChar w:fldCharType="end"/>
      </w:r>
      <w:r w:rsidR="00A9477F">
        <w:rPr>
          <w:rFonts w:cs="Arial"/>
          <w:szCs w:val="22"/>
        </w:rPr>
        <w:t>)</w:t>
      </w:r>
      <w:r w:rsidR="00B53089" w:rsidRPr="00927F83">
        <w:t>. By 2014</w:t>
      </w:r>
      <w:r w:rsidR="00C51EEB" w:rsidRPr="00927F83">
        <w:t>,</w:t>
      </w:r>
      <w:r w:rsidR="00B53089" w:rsidRPr="00927F83">
        <w:t xml:space="preserve"> COTS numbers had substantially declined with no individuals recorded at Snapper North and densities reduced to 63 per hectare at Snapper South. </w:t>
      </w:r>
      <w:r w:rsidR="003134F1" w:rsidRPr="00927F83">
        <w:t>N</w:t>
      </w:r>
      <w:r w:rsidR="00B53089" w:rsidRPr="00927F83">
        <w:t xml:space="preserve">o COTS </w:t>
      </w:r>
      <w:r w:rsidR="0048357B">
        <w:t>have been</w:t>
      </w:r>
      <w:r w:rsidR="00B53089" w:rsidRPr="00927F83">
        <w:t xml:space="preserve"> observed at Snapper Island</w:t>
      </w:r>
      <w:r w:rsidR="003134F1" w:rsidRPr="00927F83">
        <w:t xml:space="preserve"> since 2015</w:t>
      </w:r>
      <w:r w:rsidR="00B53089" w:rsidRPr="00927F83">
        <w:t>.</w:t>
      </w:r>
      <w:r w:rsidR="00E75F5C" w:rsidRPr="00927F83">
        <w:t xml:space="preserve"> </w:t>
      </w:r>
      <w:r w:rsidRPr="00927F83">
        <w:t xml:space="preserve">Low Isles </w:t>
      </w:r>
      <w:r w:rsidR="00C51EEB" w:rsidRPr="00927F83">
        <w:t xml:space="preserve">also </w:t>
      </w:r>
      <w:r w:rsidRPr="00927F83">
        <w:t xml:space="preserve">has a history of COTS outbreaks </w:t>
      </w:r>
      <w:r w:rsidR="00B03EE6" w:rsidRPr="00927F83">
        <w:t xml:space="preserve">that </w:t>
      </w:r>
      <w:r w:rsidR="0048357B">
        <w:t xml:space="preserve">we attribute to the loss of </w:t>
      </w:r>
      <w:r w:rsidR="00927F83" w:rsidRPr="00927F83">
        <w:t>69</w:t>
      </w:r>
      <w:r w:rsidR="00B03EE6" w:rsidRPr="00927F83">
        <w:t xml:space="preserve">% of hard coral cover over the </w:t>
      </w:r>
      <w:r w:rsidRPr="00927F83">
        <w:t>period 1997-1999</w:t>
      </w:r>
      <w:r w:rsidR="00B03EE6" w:rsidRPr="00927F83">
        <w:t>. M</w:t>
      </w:r>
      <w:r w:rsidRPr="00927F83">
        <w:t>ore recently</w:t>
      </w:r>
      <w:r w:rsidR="00B03EE6" w:rsidRPr="00927F83">
        <w:t>,</w:t>
      </w:r>
      <w:r w:rsidRPr="00927F83">
        <w:t xml:space="preserve"> COTS </w:t>
      </w:r>
      <w:r w:rsidR="00252717" w:rsidRPr="00927F83">
        <w:t xml:space="preserve">were observed in 2013 and 2015 </w:t>
      </w:r>
      <w:r w:rsidR="0048357B">
        <w:t xml:space="preserve">and </w:t>
      </w:r>
      <w:r w:rsidR="00B03EE6" w:rsidRPr="00927F83">
        <w:t xml:space="preserve">assumed to have </w:t>
      </w:r>
      <w:r w:rsidR="0048357B">
        <w:t xml:space="preserve">been responsible for the </w:t>
      </w:r>
      <w:r w:rsidR="00252717" w:rsidRPr="00927F83">
        <w:t xml:space="preserve">38% </w:t>
      </w:r>
      <w:r w:rsidR="0048357B">
        <w:t>reduction in coral cover in that period</w:t>
      </w:r>
      <w:r w:rsidR="00252717" w:rsidRPr="00927F83">
        <w:t xml:space="preserve"> </w:t>
      </w:r>
      <w:r w:rsidRPr="00927F83">
        <w:rPr>
          <w:rFonts w:cs="Arial"/>
          <w:szCs w:val="22"/>
        </w:rPr>
        <w:t>(</w:t>
      </w:r>
      <w:r w:rsidR="00A9477F">
        <w:rPr>
          <w:rFonts w:cs="Arial"/>
          <w:szCs w:val="22"/>
        </w:rPr>
        <w:fldChar w:fldCharType="begin"/>
      </w:r>
      <w:r w:rsidR="00A9477F">
        <w:rPr>
          <w:rFonts w:cs="Arial"/>
          <w:szCs w:val="22"/>
        </w:rPr>
        <w:instrText xml:space="preserve"> REF _Ref491178290 \h </w:instrText>
      </w:r>
      <w:r w:rsidR="00A9477F">
        <w:rPr>
          <w:rFonts w:cs="Arial"/>
          <w:szCs w:val="22"/>
        </w:rPr>
      </w:r>
      <w:r w:rsidR="00A9477F">
        <w:rPr>
          <w:rFonts w:cs="Arial"/>
          <w:szCs w:val="22"/>
        </w:rPr>
        <w:fldChar w:fldCharType="separate"/>
      </w:r>
      <w:r w:rsidR="00A75175" w:rsidRPr="00F352E1">
        <w:t xml:space="preserve">Figure </w:t>
      </w:r>
      <w:r w:rsidR="00A75175">
        <w:rPr>
          <w:noProof/>
        </w:rPr>
        <w:t>13</w:t>
      </w:r>
      <w:r w:rsidR="00A9477F">
        <w:rPr>
          <w:rFonts w:cs="Arial"/>
          <w:szCs w:val="22"/>
        </w:rPr>
        <w:fldChar w:fldCharType="end"/>
      </w:r>
      <w:r w:rsidR="00A9477F">
        <w:rPr>
          <w:rFonts w:cs="Arial"/>
          <w:szCs w:val="22"/>
        </w:rPr>
        <w:t xml:space="preserve">b, </w:t>
      </w:r>
      <w:r w:rsidR="00A9477F">
        <w:rPr>
          <w:rFonts w:cs="Arial"/>
          <w:szCs w:val="22"/>
        </w:rPr>
        <w:fldChar w:fldCharType="begin"/>
      </w:r>
      <w:r w:rsidR="00A9477F">
        <w:rPr>
          <w:rFonts w:cs="Arial"/>
          <w:szCs w:val="22"/>
        </w:rPr>
        <w:instrText xml:space="preserve"> REF _Ref500961104 \h </w:instrText>
      </w:r>
      <w:r w:rsidR="00A9477F">
        <w:rPr>
          <w:rFonts w:cs="Arial"/>
          <w:szCs w:val="22"/>
        </w:rPr>
      </w:r>
      <w:r w:rsidR="00A9477F">
        <w:rPr>
          <w:rFonts w:cs="Arial"/>
          <w:szCs w:val="22"/>
        </w:rPr>
        <w:fldChar w:fldCharType="separate"/>
      </w:r>
      <w:r w:rsidR="00A75175">
        <w:t xml:space="preserve">Table A1. </w:t>
      </w:r>
      <w:r w:rsidR="00A75175">
        <w:rPr>
          <w:noProof/>
        </w:rPr>
        <w:t>4</w:t>
      </w:r>
      <w:r w:rsidR="00A9477F">
        <w:rPr>
          <w:rFonts w:cs="Arial"/>
          <w:szCs w:val="22"/>
        </w:rPr>
        <w:fldChar w:fldCharType="end"/>
      </w:r>
      <w:r w:rsidR="00A9477F">
        <w:rPr>
          <w:rFonts w:cs="Arial"/>
          <w:szCs w:val="22"/>
        </w:rPr>
        <w:t xml:space="preserve">, </w:t>
      </w:r>
      <w:r w:rsidR="00A9477F">
        <w:rPr>
          <w:rFonts w:cs="Arial"/>
          <w:szCs w:val="22"/>
        </w:rPr>
        <w:fldChar w:fldCharType="begin"/>
      </w:r>
      <w:r w:rsidR="00A9477F">
        <w:rPr>
          <w:rFonts w:cs="Arial"/>
          <w:szCs w:val="22"/>
        </w:rPr>
        <w:instrText xml:space="preserve"> REF _Ref501095809 \h </w:instrText>
      </w:r>
      <w:r w:rsidR="00A9477F">
        <w:rPr>
          <w:rFonts w:cs="Arial"/>
          <w:szCs w:val="22"/>
        </w:rPr>
      </w:r>
      <w:r w:rsidR="00A9477F">
        <w:rPr>
          <w:rFonts w:cs="Arial"/>
          <w:szCs w:val="22"/>
        </w:rPr>
        <w:fldChar w:fldCharType="separate"/>
      </w:r>
      <w:r w:rsidR="00A75175">
        <w:t xml:space="preserve">Figure A1. </w:t>
      </w:r>
      <w:r w:rsidR="00A75175">
        <w:rPr>
          <w:noProof/>
        </w:rPr>
        <w:t>1</w:t>
      </w:r>
      <w:r w:rsidR="00A9477F">
        <w:rPr>
          <w:rFonts w:cs="Arial"/>
          <w:szCs w:val="22"/>
        </w:rPr>
        <w:fldChar w:fldCharType="end"/>
      </w:r>
      <w:r w:rsidRPr="00927F83">
        <w:t>).</w:t>
      </w:r>
      <w:r w:rsidRPr="00F352E1">
        <w:rPr>
          <w:color w:val="4F81BD" w:themeColor="accent1"/>
        </w:rPr>
        <w:t xml:space="preserve"> </w:t>
      </w:r>
      <w:r w:rsidR="00B53089" w:rsidRPr="00927F83">
        <w:t>Physical impacts to these reefs were recorded following a severe storm in 2009 and</w:t>
      </w:r>
      <w:r w:rsidR="001709A5" w:rsidRPr="00927F83">
        <w:t>,</w:t>
      </w:r>
      <w:r w:rsidR="00B53089" w:rsidRPr="00927F83">
        <w:t xml:space="preserve"> most significantly, Cyclone Ita in 2014 that removed </w:t>
      </w:r>
      <w:r w:rsidR="00927F83">
        <w:t>65</w:t>
      </w:r>
      <w:r w:rsidR="00B53089" w:rsidRPr="00927F83">
        <w:t>% of the hard coral cover and almost eliminated soft corals form Snapper North</w:t>
      </w:r>
      <w:r w:rsidR="00C51EEB" w:rsidRPr="00927F83">
        <w:t xml:space="preserve"> (</w:t>
      </w:r>
      <w:r w:rsidR="00A9477F">
        <w:rPr>
          <w:rFonts w:cs="Arial"/>
          <w:szCs w:val="22"/>
        </w:rPr>
        <w:fldChar w:fldCharType="begin"/>
      </w:r>
      <w:r w:rsidR="00A9477F">
        <w:rPr>
          <w:rFonts w:cs="Arial"/>
          <w:szCs w:val="22"/>
        </w:rPr>
        <w:instrText xml:space="preserve"> REF _Ref491178290 \h </w:instrText>
      </w:r>
      <w:r w:rsidR="00A9477F">
        <w:rPr>
          <w:rFonts w:cs="Arial"/>
          <w:szCs w:val="22"/>
        </w:rPr>
      </w:r>
      <w:r w:rsidR="00A9477F">
        <w:rPr>
          <w:rFonts w:cs="Arial"/>
          <w:szCs w:val="22"/>
        </w:rPr>
        <w:fldChar w:fldCharType="separate"/>
      </w:r>
      <w:r w:rsidR="00A75175" w:rsidRPr="00F352E1">
        <w:t xml:space="preserve">Figure </w:t>
      </w:r>
      <w:r w:rsidR="00A75175">
        <w:rPr>
          <w:noProof/>
        </w:rPr>
        <w:t>13</w:t>
      </w:r>
      <w:r w:rsidR="00A9477F">
        <w:rPr>
          <w:rFonts w:cs="Arial"/>
          <w:szCs w:val="22"/>
        </w:rPr>
        <w:fldChar w:fldCharType="end"/>
      </w:r>
      <w:r w:rsidR="00A9477F">
        <w:rPr>
          <w:rFonts w:cs="Arial"/>
          <w:szCs w:val="22"/>
        </w:rPr>
        <w:t xml:space="preserve">b, </w:t>
      </w:r>
      <w:r w:rsidR="00A9477F">
        <w:rPr>
          <w:rFonts w:cs="Arial"/>
          <w:szCs w:val="22"/>
        </w:rPr>
        <w:fldChar w:fldCharType="begin"/>
      </w:r>
      <w:r w:rsidR="00A9477F">
        <w:rPr>
          <w:rFonts w:cs="Arial"/>
          <w:szCs w:val="22"/>
        </w:rPr>
        <w:instrText xml:space="preserve"> REF _Ref500961104 \h </w:instrText>
      </w:r>
      <w:r w:rsidR="00A9477F">
        <w:rPr>
          <w:rFonts w:cs="Arial"/>
          <w:szCs w:val="22"/>
        </w:rPr>
      </w:r>
      <w:r w:rsidR="00A9477F">
        <w:rPr>
          <w:rFonts w:cs="Arial"/>
          <w:szCs w:val="22"/>
        </w:rPr>
        <w:fldChar w:fldCharType="separate"/>
      </w:r>
      <w:r w:rsidR="00A75175">
        <w:t xml:space="preserve">Table A1. </w:t>
      </w:r>
      <w:r w:rsidR="00A75175">
        <w:rPr>
          <w:noProof/>
        </w:rPr>
        <w:t>4</w:t>
      </w:r>
      <w:r w:rsidR="00A9477F">
        <w:rPr>
          <w:rFonts w:cs="Arial"/>
          <w:szCs w:val="22"/>
        </w:rPr>
        <w:fldChar w:fldCharType="end"/>
      </w:r>
      <w:r w:rsidR="00A9477F">
        <w:rPr>
          <w:rFonts w:cs="Arial"/>
          <w:szCs w:val="22"/>
        </w:rPr>
        <w:t xml:space="preserve">, </w:t>
      </w:r>
      <w:r w:rsidR="00A9477F">
        <w:rPr>
          <w:rFonts w:cs="Arial"/>
          <w:szCs w:val="22"/>
        </w:rPr>
        <w:fldChar w:fldCharType="begin"/>
      </w:r>
      <w:r w:rsidR="00A9477F">
        <w:rPr>
          <w:rFonts w:cs="Arial"/>
          <w:szCs w:val="22"/>
        </w:rPr>
        <w:instrText xml:space="preserve"> REF _Ref501095809 \h </w:instrText>
      </w:r>
      <w:r w:rsidR="00A9477F">
        <w:rPr>
          <w:rFonts w:cs="Arial"/>
          <w:szCs w:val="22"/>
        </w:rPr>
      </w:r>
      <w:r w:rsidR="00A9477F">
        <w:rPr>
          <w:rFonts w:cs="Arial"/>
          <w:szCs w:val="22"/>
        </w:rPr>
        <w:fldChar w:fldCharType="separate"/>
      </w:r>
      <w:r w:rsidR="00A75175">
        <w:t xml:space="preserve">Figure A1. </w:t>
      </w:r>
      <w:r w:rsidR="00A75175">
        <w:rPr>
          <w:noProof/>
        </w:rPr>
        <w:t>1</w:t>
      </w:r>
      <w:r w:rsidR="00A9477F">
        <w:rPr>
          <w:rFonts w:cs="Arial"/>
          <w:szCs w:val="22"/>
        </w:rPr>
        <w:fldChar w:fldCharType="end"/>
      </w:r>
      <w:r w:rsidR="00C51EEB" w:rsidRPr="00927F83">
        <w:t>)</w:t>
      </w:r>
      <w:r w:rsidR="00B53089" w:rsidRPr="00927F83">
        <w:t>. Damage was less severe at Snapper South</w:t>
      </w:r>
      <w:r w:rsidR="001709A5" w:rsidRPr="00927F83">
        <w:t>,</w:t>
      </w:r>
      <w:r w:rsidR="00B53089" w:rsidRPr="00927F83">
        <w:t xml:space="preserve"> though both 2</w:t>
      </w:r>
      <w:r w:rsidR="00252717" w:rsidRPr="00927F83">
        <w:t xml:space="preserve"> </w:t>
      </w:r>
      <w:r w:rsidR="00B53089" w:rsidRPr="00927F83">
        <w:t>m and 5</w:t>
      </w:r>
      <w:r w:rsidR="00252717" w:rsidRPr="00927F83">
        <w:t xml:space="preserve"> </w:t>
      </w:r>
      <w:r w:rsidR="00B53089" w:rsidRPr="00927F83">
        <w:t>m depths lost a substantial amount of coral (</w:t>
      </w:r>
      <w:r w:rsidR="00A9477F">
        <w:rPr>
          <w:rFonts w:cs="Arial"/>
          <w:szCs w:val="22"/>
        </w:rPr>
        <w:fldChar w:fldCharType="begin"/>
      </w:r>
      <w:r w:rsidR="00A9477F">
        <w:rPr>
          <w:rFonts w:cs="Arial"/>
          <w:szCs w:val="22"/>
        </w:rPr>
        <w:instrText xml:space="preserve"> REF _Ref491178290 \h </w:instrText>
      </w:r>
      <w:r w:rsidR="00A9477F">
        <w:rPr>
          <w:rFonts w:cs="Arial"/>
          <w:szCs w:val="22"/>
        </w:rPr>
      </w:r>
      <w:r w:rsidR="00A9477F">
        <w:rPr>
          <w:rFonts w:cs="Arial"/>
          <w:szCs w:val="22"/>
        </w:rPr>
        <w:fldChar w:fldCharType="separate"/>
      </w:r>
      <w:r w:rsidR="00A75175" w:rsidRPr="00F352E1">
        <w:t xml:space="preserve">Figure </w:t>
      </w:r>
      <w:r w:rsidR="00A75175">
        <w:rPr>
          <w:noProof/>
        </w:rPr>
        <w:t>13</w:t>
      </w:r>
      <w:r w:rsidR="00A9477F">
        <w:rPr>
          <w:rFonts w:cs="Arial"/>
          <w:szCs w:val="22"/>
        </w:rPr>
        <w:fldChar w:fldCharType="end"/>
      </w:r>
      <w:r w:rsidR="00A9477F">
        <w:rPr>
          <w:rFonts w:cs="Arial"/>
          <w:szCs w:val="22"/>
        </w:rPr>
        <w:t xml:space="preserve">b, </w:t>
      </w:r>
      <w:r w:rsidR="00A9477F">
        <w:rPr>
          <w:rFonts w:cs="Arial"/>
          <w:szCs w:val="22"/>
        </w:rPr>
        <w:fldChar w:fldCharType="begin"/>
      </w:r>
      <w:r w:rsidR="00A9477F">
        <w:rPr>
          <w:rFonts w:cs="Arial"/>
          <w:szCs w:val="22"/>
        </w:rPr>
        <w:instrText xml:space="preserve"> REF _Ref500961104 \h </w:instrText>
      </w:r>
      <w:r w:rsidR="00A9477F">
        <w:rPr>
          <w:rFonts w:cs="Arial"/>
          <w:szCs w:val="22"/>
        </w:rPr>
      </w:r>
      <w:r w:rsidR="00A9477F">
        <w:rPr>
          <w:rFonts w:cs="Arial"/>
          <w:szCs w:val="22"/>
        </w:rPr>
        <w:fldChar w:fldCharType="separate"/>
      </w:r>
      <w:r w:rsidR="00A75175">
        <w:t xml:space="preserve">Table A1. </w:t>
      </w:r>
      <w:r w:rsidR="00A75175">
        <w:rPr>
          <w:noProof/>
        </w:rPr>
        <w:t>4</w:t>
      </w:r>
      <w:r w:rsidR="00A9477F">
        <w:rPr>
          <w:rFonts w:cs="Arial"/>
          <w:szCs w:val="22"/>
        </w:rPr>
        <w:fldChar w:fldCharType="end"/>
      </w:r>
      <w:r w:rsidR="00A9477F">
        <w:rPr>
          <w:rFonts w:cs="Arial"/>
          <w:szCs w:val="22"/>
        </w:rPr>
        <w:t xml:space="preserve">, </w:t>
      </w:r>
      <w:r w:rsidR="00A9477F">
        <w:rPr>
          <w:rFonts w:cs="Arial"/>
          <w:szCs w:val="22"/>
        </w:rPr>
        <w:fldChar w:fldCharType="begin"/>
      </w:r>
      <w:r w:rsidR="00A9477F">
        <w:rPr>
          <w:rFonts w:cs="Arial"/>
          <w:szCs w:val="22"/>
        </w:rPr>
        <w:instrText xml:space="preserve"> REF _Ref501095809 \h </w:instrText>
      </w:r>
      <w:r w:rsidR="00A9477F">
        <w:rPr>
          <w:rFonts w:cs="Arial"/>
          <w:szCs w:val="22"/>
        </w:rPr>
      </w:r>
      <w:r w:rsidR="00A9477F">
        <w:rPr>
          <w:rFonts w:cs="Arial"/>
          <w:szCs w:val="22"/>
        </w:rPr>
        <w:fldChar w:fldCharType="separate"/>
      </w:r>
      <w:r w:rsidR="00A75175">
        <w:t xml:space="preserve">Figure A1. </w:t>
      </w:r>
      <w:r w:rsidR="00A75175">
        <w:rPr>
          <w:noProof/>
        </w:rPr>
        <w:t>1</w:t>
      </w:r>
      <w:r w:rsidR="00A9477F">
        <w:rPr>
          <w:rFonts w:cs="Arial"/>
          <w:szCs w:val="22"/>
        </w:rPr>
        <w:fldChar w:fldCharType="end"/>
      </w:r>
      <w:r w:rsidR="00C51EEB" w:rsidRPr="00927F83">
        <w:rPr>
          <w:rFonts w:cs="Arial"/>
          <w:szCs w:val="22"/>
        </w:rPr>
        <w:t>).</w:t>
      </w:r>
      <w:r w:rsidR="00B53089" w:rsidRPr="00927F83">
        <w:t xml:space="preserve"> </w:t>
      </w:r>
      <w:r w:rsidR="0048357B">
        <w:t>In all, p</w:t>
      </w:r>
      <w:r w:rsidR="0048357B" w:rsidRPr="00927F83">
        <w:t>redation by COTS and damage from tropical cyclones and storms remain the most significant contributors to coral loss</w:t>
      </w:r>
      <w:r w:rsidR="0048357B">
        <w:t xml:space="preserve"> in this sub-region</w:t>
      </w:r>
      <w:r w:rsidR="0048357B" w:rsidRPr="00927F83">
        <w:t>, accounting for 42% and 32% of the hard coral cover losses since 2005 (</w:t>
      </w:r>
      <w:r w:rsidR="0048357B" w:rsidRPr="00927F83">
        <w:fldChar w:fldCharType="begin"/>
      </w:r>
      <w:r w:rsidR="0048357B" w:rsidRPr="00927F83">
        <w:instrText xml:space="preserve"> REF _Ref491178261 \h </w:instrText>
      </w:r>
      <w:r w:rsidR="0048357B" w:rsidRPr="00927F83">
        <w:fldChar w:fldCharType="separate"/>
      </w:r>
      <w:r w:rsidR="00A75175" w:rsidRPr="00F352E1">
        <w:t xml:space="preserve">Figure </w:t>
      </w:r>
      <w:r w:rsidR="00A75175">
        <w:rPr>
          <w:noProof/>
        </w:rPr>
        <w:t>12</w:t>
      </w:r>
      <w:r w:rsidR="0048357B" w:rsidRPr="00927F83">
        <w:fldChar w:fldCharType="end"/>
      </w:r>
      <w:r w:rsidR="0048357B" w:rsidRPr="00927F83">
        <w:t xml:space="preserve">e). </w:t>
      </w:r>
    </w:p>
    <w:p w14:paraId="26DECF5E" w14:textId="77777777" w:rsidR="001709A5" w:rsidRPr="007527BF" w:rsidRDefault="00BA3C73" w:rsidP="00BA3C73">
      <w:r w:rsidRPr="007527BF">
        <w:t>Despite variability in discharge (</w:t>
      </w:r>
      <w:r w:rsidRPr="007527BF">
        <w:fldChar w:fldCharType="begin"/>
      </w:r>
      <w:r w:rsidRPr="007527BF">
        <w:instrText xml:space="preserve"> REF _Ref491178261 \h </w:instrText>
      </w:r>
      <w:r w:rsidRPr="007527BF">
        <w:fldChar w:fldCharType="separate"/>
      </w:r>
      <w:r w:rsidR="00A75175" w:rsidRPr="00F352E1">
        <w:t xml:space="preserve">Figure </w:t>
      </w:r>
      <w:r w:rsidR="00A75175">
        <w:rPr>
          <w:noProof/>
        </w:rPr>
        <w:t>12</w:t>
      </w:r>
      <w:r w:rsidRPr="007527BF">
        <w:fldChar w:fldCharType="end"/>
      </w:r>
      <w:r w:rsidRPr="007527BF">
        <w:t>d)</w:t>
      </w:r>
      <w:r w:rsidR="001709A5" w:rsidRPr="007527BF">
        <w:t>,</w:t>
      </w:r>
      <w:r w:rsidRPr="007527BF">
        <w:t xml:space="preserve"> and associated loads of nutrients and sediments </w:t>
      </w:r>
      <w:r w:rsidR="001709A5" w:rsidRPr="007527BF">
        <w:t xml:space="preserve">delivered </w:t>
      </w:r>
      <w:r w:rsidRPr="007527BF">
        <w:t xml:space="preserve">from adjacent catchments (Waterhouse </w:t>
      </w:r>
      <w:r w:rsidRPr="007527BF">
        <w:rPr>
          <w:i/>
        </w:rPr>
        <w:t>et al.</w:t>
      </w:r>
      <w:r w:rsidRPr="007527BF">
        <w:t xml:space="preserve"> 201</w:t>
      </w:r>
      <w:r w:rsidR="00841929">
        <w:t>8</w:t>
      </w:r>
      <w:r w:rsidRPr="007527BF">
        <w:t>)</w:t>
      </w:r>
      <w:r w:rsidR="001709A5" w:rsidRPr="007527BF">
        <w:t>,</w:t>
      </w:r>
      <w:r w:rsidRPr="007527BF">
        <w:t xml:space="preserve"> there have been no clear trends in regional </w:t>
      </w:r>
      <w:r w:rsidR="001709A5" w:rsidRPr="007527BF">
        <w:t xml:space="preserve">water </w:t>
      </w:r>
      <w:r w:rsidRPr="007527BF">
        <w:t>quality in the Barron Daintree sub-region (</w:t>
      </w:r>
      <w:r w:rsidR="00A9477F">
        <w:fldChar w:fldCharType="begin"/>
      </w:r>
      <w:r w:rsidR="00A9477F">
        <w:instrText xml:space="preserve"> REF _Ref501097019 \h </w:instrText>
      </w:r>
      <w:r w:rsidR="00A9477F">
        <w:fldChar w:fldCharType="separate"/>
      </w:r>
      <w:r w:rsidR="00A75175">
        <w:t xml:space="preserve">Figure A1. </w:t>
      </w:r>
      <w:r w:rsidR="00A75175">
        <w:rPr>
          <w:noProof/>
        </w:rPr>
        <w:t>9</w:t>
      </w:r>
      <w:r w:rsidR="00A9477F">
        <w:fldChar w:fldCharType="end"/>
      </w:r>
      <w:r w:rsidRPr="007527BF">
        <w:t xml:space="preserve">). </w:t>
      </w:r>
    </w:p>
    <w:p w14:paraId="4CC60398" w14:textId="77777777" w:rsidR="00BA3C73" w:rsidRPr="00F352E1" w:rsidRDefault="001709A5" w:rsidP="00BA3C73">
      <w:pPr>
        <w:rPr>
          <w:color w:val="4F81BD" w:themeColor="accent1"/>
        </w:rPr>
      </w:pPr>
      <w:r w:rsidRPr="00F352E1">
        <w:rPr>
          <w:color w:val="4F81BD" w:themeColor="accent1"/>
        </w:rPr>
        <w:t xml:space="preserve"> </w:t>
      </w:r>
    </w:p>
    <w:p w14:paraId="6384ABC5" w14:textId="77777777" w:rsidR="003066B1" w:rsidRPr="00F352E1" w:rsidRDefault="003066B1" w:rsidP="00B53089">
      <w:pPr>
        <w:rPr>
          <w:color w:val="4F81BD" w:themeColor="accent1"/>
        </w:rPr>
      </w:pPr>
      <w:r w:rsidRPr="00F352E1">
        <w:rPr>
          <w:color w:val="4F81BD" w:themeColor="accent1"/>
        </w:rPr>
        <w:br w:type="page"/>
      </w:r>
    </w:p>
    <w:p w14:paraId="73BE7E54" w14:textId="77777777" w:rsidR="00567382" w:rsidRPr="00F352E1" w:rsidRDefault="00D15EF9" w:rsidP="00567382">
      <w:pPr>
        <w:rPr>
          <w:color w:val="4F81BD" w:themeColor="accent1"/>
        </w:rPr>
      </w:pPr>
      <w:bookmarkStart w:id="146" w:name="_Ref438119398"/>
      <w:bookmarkStart w:id="147" w:name="_Toc437423849"/>
      <w:bookmarkStart w:id="148" w:name="_Toc437424028"/>
      <w:bookmarkStart w:id="149" w:name="_Toc437424294"/>
      <w:bookmarkStart w:id="150" w:name="_Toc437597628"/>
      <w:r>
        <w:rPr>
          <w:noProof/>
          <w:color w:val="4F81BD" w:themeColor="accent1"/>
          <w:lang w:val="en-AU" w:eastAsia="en-AU"/>
        </w:rPr>
        <w:drawing>
          <wp:inline distT="0" distB="0" distL="0" distR="0" wp14:anchorId="53477A59" wp14:editId="5E4FDD3C">
            <wp:extent cx="6120765" cy="6120765"/>
            <wp:effectExtent l="0" t="0" r="0" b="0"/>
            <wp:docPr id="19" name="Picture 19" descr="A panel of five figures. The first and second show maps of the monitored reefs indicating Snapper Island sites in higher Chlorophyll and Non-algal particulate concentration waters than Low Isles. A plot of temperature anomalies indicating highest anomalies occurred in 2017. A plot of regional river discharge with maximum values in 2011 and 2014. A plot of disturbance severity based on loss of coral cover each year, salient points discussed in the main text.&#10;" title="Environmental conditions experienced by coral communities in th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Env_Daintree.pn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6E014D94" w14:textId="135DBE12" w:rsidR="006F0445" w:rsidRPr="001322DD" w:rsidRDefault="001729EF" w:rsidP="00606A50">
      <w:pPr>
        <w:pStyle w:val="Caption"/>
        <w:rPr>
          <w:rStyle w:val="IntenseReference"/>
          <w:rFonts w:eastAsia="SimSun"/>
        </w:rPr>
      </w:pPr>
      <w:bookmarkStart w:id="151" w:name="_Ref491178261"/>
      <w:bookmarkStart w:id="152" w:name="_Ref469687738"/>
      <w:bookmarkStart w:id="153" w:name="_Toc514335657"/>
      <w:r w:rsidRPr="00F352E1">
        <w:t xml:space="preserve">Figure </w:t>
      </w:r>
      <w:r w:rsidR="00626D6B">
        <w:fldChar w:fldCharType="begin"/>
      </w:r>
      <w:r w:rsidR="00626D6B">
        <w:instrText xml:space="preserve"> SEQ Figure \* ARABIC </w:instrText>
      </w:r>
      <w:r w:rsidR="00626D6B">
        <w:fldChar w:fldCharType="separate"/>
      </w:r>
      <w:r w:rsidR="00A75175">
        <w:rPr>
          <w:noProof/>
        </w:rPr>
        <w:t>12</w:t>
      </w:r>
      <w:r w:rsidR="00626D6B">
        <w:rPr>
          <w:noProof/>
        </w:rPr>
        <w:fldChar w:fldCharType="end"/>
      </w:r>
      <w:bookmarkEnd w:id="151"/>
      <w:r w:rsidRPr="00F352E1">
        <w:t xml:space="preserve"> Barron Daintree sub-region environmental </w:t>
      </w:r>
      <w:r w:rsidR="00A416E6" w:rsidRPr="00F352E1">
        <w:t>pressures</w:t>
      </w:r>
      <w:r w:rsidRPr="00F352E1">
        <w:t>.</w:t>
      </w:r>
      <w:bookmarkEnd w:id="146"/>
      <w:bookmarkEnd w:id="147"/>
      <w:bookmarkEnd w:id="148"/>
      <w:bookmarkEnd w:id="149"/>
      <w:bookmarkEnd w:id="150"/>
      <w:bookmarkEnd w:id="152"/>
      <w:r w:rsidRPr="00F352E1">
        <w:rPr>
          <w:rStyle w:val="IntenseReference"/>
          <w:rFonts w:eastAsia="SimSun"/>
          <w:color w:val="4F81BD" w:themeColor="accent1"/>
        </w:rPr>
        <w:t xml:space="preserve"> </w:t>
      </w:r>
      <w:r w:rsidR="006F0445" w:rsidRPr="001322DD">
        <w:rPr>
          <w:rStyle w:val="IntenseReference"/>
          <w:rFonts w:eastAsia="SimSun"/>
        </w:rPr>
        <w:t xml:space="preserve">Maps show location of monitoring sites, red symbols MMP, yellow symbols LTMP along with </w:t>
      </w:r>
      <w:r w:rsidR="00330C7D" w:rsidRPr="001322DD">
        <w:rPr>
          <w:rStyle w:val="IntenseReference"/>
          <w:rFonts w:eastAsia="SimSun"/>
        </w:rPr>
        <w:t>a)</w:t>
      </w:r>
      <w:r w:rsidR="006F0445" w:rsidRPr="001322DD">
        <w:rPr>
          <w:rStyle w:val="IntenseReference"/>
          <w:rFonts w:eastAsia="SimSun"/>
        </w:rPr>
        <w:t xml:space="preserve"> mean </w:t>
      </w:r>
      <w:r w:rsidR="00663F7B" w:rsidRPr="001322DD">
        <w:rPr>
          <w:rStyle w:val="IntenseReference"/>
          <w:rFonts w:eastAsia="SimSun"/>
        </w:rPr>
        <w:t>c</w:t>
      </w:r>
      <w:r w:rsidR="006F0445" w:rsidRPr="001322DD">
        <w:rPr>
          <w:rStyle w:val="IntenseReference"/>
          <w:rFonts w:eastAsia="SimSun"/>
        </w:rPr>
        <w:t xml:space="preserve">hlorophyll </w:t>
      </w:r>
      <w:r w:rsidR="00663F7B" w:rsidRPr="001322DD">
        <w:rPr>
          <w:rStyle w:val="IntenseReference"/>
          <w:rFonts w:eastAsia="SimSun"/>
          <w:i/>
        </w:rPr>
        <w:t>a</w:t>
      </w:r>
      <w:r w:rsidR="00663F7B" w:rsidRPr="001322DD">
        <w:rPr>
          <w:rStyle w:val="IntenseReference"/>
          <w:rFonts w:eastAsia="SimSun"/>
        </w:rPr>
        <w:t xml:space="preserve"> </w:t>
      </w:r>
      <w:r w:rsidR="001322DD" w:rsidRPr="001322DD">
        <w:rPr>
          <w:rStyle w:val="IntenseReference"/>
          <w:rFonts w:eastAsia="SimSun"/>
        </w:rPr>
        <w:t>exceedance of wet season Guideline (0.63ugL</w:t>
      </w:r>
      <w:r w:rsidR="001322DD" w:rsidRPr="001322DD">
        <w:rPr>
          <w:rStyle w:val="IntenseReference"/>
          <w:rFonts w:eastAsia="SimSun"/>
          <w:vertAlign w:val="superscript"/>
        </w:rPr>
        <w:t>-1</w:t>
      </w:r>
      <w:r w:rsidR="001322DD" w:rsidRPr="001322DD">
        <w:rPr>
          <w:rStyle w:val="IntenseReference"/>
          <w:rFonts w:eastAsia="SimSun"/>
        </w:rPr>
        <w:t xml:space="preserve">) </w:t>
      </w:r>
      <w:r w:rsidR="00330C7D" w:rsidRPr="001322DD">
        <w:rPr>
          <w:rStyle w:val="IntenseReference"/>
          <w:rFonts w:eastAsia="SimSun"/>
        </w:rPr>
        <w:t xml:space="preserve">and b) mean Non </w:t>
      </w:r>
      <w:r w:rsidR="001322DD" w:rsidRPr="001322DD">
        <w:rPr>
          <w:rStyle w:val="IntenseReference"/>
          <w:rFonts w:eastAsia="SimSun"/>
        </w:rPr>
        <w:t>A</w:t>
      </w:r>
      <w:r w:rsidR="00330C7D" w:rsidRPr="001322DD">
        <w:rPr>
          <w:rStyle w:val="IntenseReference"/>
          <w:rFonts w:eastAsia="SimSun"/>
        </w:rPr>
        <w:t xml:space="preserve">lgal </w:t>
      </w:r>
      <w:r w:rsidR="001322DD" w:rsidRPr="001322DD">
        <w:rPr>
          <w:rStyle w:val="IntenseReference"/>
          <w:rFonts w:eastAsia="SimSun"/>
        </w:rPr>
        <w:t>P</w:t>
      </w:r>
      <w:r w:rsidR="00330C7D" w:rsidRPr="001322DD">
        <w:rPr>
          <w:rStyle w:val="IntenseReference"/>
          <w:rFonts w:eastAsia="SimSun"/>
        </w:rPr>
        <w:t>articulate concentrations. Water quality data are mean levels over the</w:t>
      </w:r>
      <w:r w:rsidR="00595A3F" w:rsidRPr="001322DD">
        <w:rPr>
          <w:rStyle w:val="IntenseReference"/>
          <w:rFonts w:eastAsia="SimSun"/>
        </w:rPr>
        <w:t xml:space="preserve"> period 2003-2016</w:t>
      </w:r>
      <w:r w:rsidR="001322DD" w:rsidRPr="001322DD">
        <w:rPr>
          <w:rStyle w:val="IntenseReference"/>
          <w:rFonts w:eastAsia="SimSun"/>
        </w:rPr>
        <w:t xml:space="preserve"> (Chl) and 2003-2017 (NAP)</w:t>
      </w:r>
      <w:r w:rsidR="00330C7D" w:rsidRPr="001322DD">
        <w:rPr>
          <w:rStyle w:val="IntenseReference"/>
          <w:rFonts w:eastAsia="SimSun"/>
        </w:rPr>
        <w:t xml:space="preserve">. c) Seasonally adjusted temperature deviation, timing of cyclones and storms indicated by black arrows, accumulated degree heating days over the summer period (1st of December - 31st March) </w:t>
      </w:r>
      <w:r w:rsidR="001322DD" w:rsidRPr="001322DD">
        <w:rPr>
          <w:rStyle w:val="IntenseReference"/>
          <w:rFonts w:eastAsia="SimSun"/>
        </w:rPr>
        <w:t>as reported by BoM (</w:t>
      </w:r>
      <w:r w:rsidR="00330C7D" w:rsidRPr="001322DD">
        <w:rPr>
          <w:rStyle w:val="IntenseReference"/>
          <w:rFonts w:eastAsia="SimSun"/>
        </w:rPr>
        <w:t>black symbols</w:t>
      </w:r>
      <w:r w:rsidR="001322DD" w:rsidRPr="001322DD">
        <w:rPr>
          <w:rStyle w:val="IntenseReference"/>
          <w:rFonts w:eastAsia="SimSun"/>
        </w:rPr>
        <w:t xml:space="preserve">) and derived from </w:t>
      </w:r>
      <w:r w:rsidR="00036C05">
        <w:rPr>
          <w:rStyle w:val="IntenseReference"/>
          <w:rFonts w:eastAsia="SimSun"/>
        </w:rPr>
        <w:t>in situ</w:t>
      </w:r>
      <w:r w:rsidR="001322DD" w:rsidRPr="001322DD">
        <w:rPr>
          <w:rStyle w:val="IntenseReference"/>
          <w:rFonts w:eastAsia="SimSun"/>
        </w:rPr>
        <w:t xml:space="preserve"> loggers (grey symbols)</w:t>
      </w:r>
      <w:r w:rsidR="00330C7D" w:rsidRPr="001322DD">
        <w:rPr>
          <w:rStyle w:val="IntenseReference"/>
          <w:rFonts w:eastAsia="SimSun"/>
        </w:rPr>
        <w:t xml:space="preserve"> d) Combined daily (blue) and annual</w:t>
      </w:r>
      <w:r w:rsidR="00021A8F">
        <w:rPr>
          <w:rStyle w:val="IntenseReference"/>
          <w:rFonts w:eastAsia="SimSun"/>
        </w:rPr>
        <w:t xml:space="preserve"> water year</w:t>
      </w:r>
      <w:r w:rsidR="00330C7D" w:rsidRPr="001322DD">
        <w:rPr>
          <w:rStyle w:val="IntenseReference"/>
          <w:rFonts w:eastAsia="SimSun"/>
        </w:rPr>
        <w:t xml:space="preserve"> </w:t>
      </w:r>
      <w:r w:rsidR="00240263">
        <w:rPr>
          <w:rStyle w:val="IntenseReference"/>
          <w:rFonts w:eastAsia="SimSun"/>
        </w:rPr>
        <w:t xml:space="preserve">– October to September </w:t>
      </w:r>
      <w:r w:rsidR="00330C7D" w:rsidRPr="001322DD">
        <w:rPr>
          <w:rStyle w:val="IntenseReference"/>
          <w:rFonts w:eastAsia="SimSun"/>
        </w:rPr>
        <w:t xml:space="preserve">(red) discharge for the </w:t>
      </w:r>
      <w:r w:rsidR="0024684D" w:rsidRPr="001322DD">
        <w:rPr>
          <w:rStyle w:val="IntenseReference"/>
          <w:rFonts w:eastAsia="SimSun"/>
        </w:rPr>
        <w:t xml:space="preserve">Daintree and </w:t>
      </w:r>
      <w:r w:rsidR="00330C7D" w:rsidRPr="001322DD">
        <w:rPr>
          <w:rStyle w:val="IntenseReference"/>
          <w:rFonts w:eastAsia="SimSun"/>
        </w:rPr>
        <w:t>Barron rivers, red dashed line represents long-term median discharge (19</w:t>
      </w:r>
      <w:r w:rsidR="001C36F4" w:rsidRPr="001322DD">
        <w:rPr>
          <w:rStyle w:val="IntenseReference"/>
          <w:rFonts w:eastAsia="SimSun"/>
        </w:rPr>
        <w:t>86</w:t>
      </w:r>
      <w:r w:rsidR="00330C7D" w:rsidRPr="001322DD">
        <w:rPr>
          <w:rStyle w:val="IntenseReference"/>
          <w:rFonts w:eastAsia="SimSun"/>
        </w:rPr>
        <w:t>-</w:t>
      </w:r>
      <w:r w:rsidR="001C36F4" w:rsidRPr="001322DD">
        <w:rPr>
          <w:rStyle w:val="IntenseReference"/>
          <w:rFonts w:eastAsia="SimSun"/>
        </w:rPr>
        <w:t>2016</w:t>
      </w:r>
      <w:r w:rsidR="00330C7D" w:rsidRPr="001322DD">
        <w:rPr>
          <w:rStyle w:val="IntenseReference"/>
          <w:rFonts w:eastAsia="SimSun"/>
        </w:rPr>
        <w:t>). e</w:t>
      </w:r>
      <w:r w:rsidR="006F0445" w:rsidRPr="001322DD">
        <w:rPr>
          <w:rStyle w:val="IntenseReference"/>
          <w:rFonts w:eastAsia="SimSun"/>
        </w:rPr>
        <w:t xml:space="preserve">) break-down </w:t>
      </w:r>
      <w:r w:rsidR="00330C7D" w:rsidRPr="001322DD">
        <w:rPr>
          <w:rStyle w:val="IntenseReference"/>
          <w:rFonts w:eastAsia="SimSun"/>
        </w:rPr>
        <w:t>of hard coral cover loss by disturbance type</w:t>
      </w:r>
      <w:r w:rsidR="001C36F4" w:rsidRPr="001322DD">
        <w:rPr>
          <w:rStyle w:val="IntenseReference"/>
          <w:rFonts w:eastAsia="SimSun"/>
        </w:rPr>
        <w:t>; l</w:t>
      </w:r>
      <w:r w:rsidR="00330C7D" w:rsidRPr="001322DD">
        <w:rPr>
          <w:rStyle w:val="IntenseReference"/>
          <w:rFonts w:eastAsia="SimSun"/>
        </w:rPr>
        <w:t>ength of bars represent the mean loss of cover across all reefs (see methods section for further detail)</w:t>
      </w:r>
      <w:r w:rsidR="006F0445" w:rsidRPr="001322DD">
        <w:rPr>
          <w:rStyle w:val="IntenseReference"/>
          <w:rFonts w:eastAsia="SimSun"/>
        </w:rPr>
        <w:t>.</w:t>
      </w:r>
      <w:bookmarkEnd w:id="153"/>
      <w:r w:rsidR="006F0445" w:rsidRPr="001322DD">
        <w:rPr>
          <w:rStyle w:val="IntenseReference"/>
          <w:rFonts w:eastAsia="SimSun"/>
        </w:rPr>
        <w:t xml:space="preserve"> </w:t>
      </w:r>
    </w:p>
    <w:p w14:paraId="430A2AB7" w14:textId="77777777" w:rsidR="006F0445" w:rsidRPr="00F352E1" w:rsidRDefault="006F0445" w:rsidP="00B14EAC">
      <w:pPr>
        <w:rPr>
          <w:color w:val="4F81BD" w:themeColor="accent1"/>
        </w:rPr>
      </w:pPr>
    </w:p>
    <w:p w14:paraId="7815835F" w14:textId="77777777" w:rsidR="000C6FCB" w:rsidRPr="00F352E1" w:rsidRDefault="000C6FCB" w:rsidP="00B14EAC">
      <w:pPr>
        <w:rPr>
          <w:color w:val="4F81BD" w:themeColor="accent1"/>
        </w:rPr>
      </w:pPr>
    </w:p>
    <w:p w14:paraId="6C5DCBFE" w14:textId="77777777" w:rsidR="00256AC1" w:rsidRDefault="006D2B24" w:rsidP="00FB7FD7">
      <w:pPr>
        <w:rPr>
          <w:noProof/>
          <w:color w:val="4F81BD" w:themeColor="accent1"/>
          <w:lang w:val="en-AU" w:eastAsia="en-AU"/>
        </w:rPr>
      </w:pPr>
      <w:r>
        <w:rPr>
          <w:noProof/>
          <w:color w:val="4F81BD" w:themeColor="accent1"/>
          <w:lang w:val="en-AU" w:eastAsia="en-AU"/>
        </w:rPr>
        <w:drawing>
          <wp:inline distT="0" distB="0" distL="0" distR="0" wp14:anchorId="0599DBA4" wp14:editId="12F7E16F">
            <wp:extent cx="6118860" cy="5351452"/>
            <wp:effectExtent l="0" t="0" r="0" b="1905"/>
            <wp:docPr id="1" name="Picture 1" descr="Plots of the trend in scores through time, salient points are discussed in the main text.&#10;" title="Trends in index and metric scores within the region and at individual reef and depth combin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XTERNAL PROJECTS\GBRMPA_RWQPP_Monitoring\Reports\Visit 13 2017\R\data\Output\Daintree_plots_noWQ.png"/>
                    <pic:cNvPicPr>
                      <a:picLocks noChangeAspect="1" noChangeArrowheads="1"/>
                    </pic:cNvPicPr>
                  </pic:nvPicPr>
                  <pic:blipFill>
                    <a:blip r:embed="rId47" cstate="print">
                      <a:extLst>
                        <a:ext uri="{28A0092B-C50C-407E-A947-70E740481C1C}">
                          <a14:useLocalDpi xmlns:a14="http://schemas.microsoft.com/office/drawing/2010/main" val="0"/>
                        </a:ext>
                      </a:extLst>
                    </a:blip>
                    <a:stretch>
                      <a:fillRect/>
                    </a:stretch>
                  </pic:blipFill>
                  <pic:spPr bwMode="auto">
                    <a:xfrm>
                      <a:off x="0" y="0"/>
                      <a:ext cx="6118860" cy="5351452"/>
                    </a:xfrm>
                    <a:prstGeom prst="rect">
                      <a:avLst/>
                    </a:prstGeom>
                    <a:noFill/>
                    <a:ln>
                      <a:noFill/>
                    </a:ln>
                  </pic:spPr>
                </pic:pic>
              </a:graphicData>
            </a:graphic>
          </wp:inline>
        </w:drawing>
      </w:r>
    </w:p>
    <w:p w14:paraId="6567D279" w14:textId="77777777" w:rsidR="007527BF" w:rsidRDefault="006A1DEF" w:rsidP="00606A50">
      <w:pPr>
        <w:pStyle w:val="Caption"/>
        <w:rPr>
          <w:rStyle w:val="IntenseReference"/>
          <w:rFonts w:eastAsia="SimSun"/>
        </w:rPr>
      </w:pPr>
      <w:bookmarkStart w:id="154" w:name="_Ref491178290"/>
      <w:bookmarkStart w:id="155" w:name="_Ref438119411"/>
      <w:bookmarkStart w:id="156" w:name="_Toc437423850"/>
      <w:bookmarkStart w:id="157" w:name="_Toc437424029"/>
      <w:bookmarkStart w:id="158" w:name="_Toc437424295"/>
      <w:bookmarkStart w:id="159" w:name="_Toc437597629"/>
      <w:bookmarkStart w:id="160" w:name="_Toc514335658"/>
      <w:r w:rsidRPr="00F352E1">
        <w:t xml:space="preserve">Figure </w:t>
      </w:r>
      <w:r w:rsidR="00626D6B">
        <w:fldChar w:fldCharType="begin"/>
      </w:r>
      <w:r w:rsidR="00626D6B">
        <w:instrText xml:space="preserve"> SEQ Figure \* ARABIC </w:instrText>
      </w:r>
      <w:r w:rsidR="00626D6B">
        <w:fldChar w:fldCharType="separate"/>
      </w:r>
      <w:r w:rsidR="00A75175">
        <w:rPr>
          <w:noProof/>
        </w:rPr>
        <w:t>13</w:t>
      </w:r>
      <w:r w:rsidR="00626D6B">
        <w:rPr>
          <w:noProof/>
        </w:rPr>
        <w:fldChar w:fldCharType="end"/>
      </w:r>
      <w:bookmarkEnd w:id="154"/>
      <w:r w:rsidRPr="00F352E1">
        <w:t xml:space="preserve"> Barron Daintree sub-region</w:t>
      </w:r>
      <w:r w:rsidR="00A416E6" w:rsidRPr="00F352E1">
        <w:t xml:space="preserve"> index and indicator trends</w:t>
      </w:r>
      <w:r w:rsidRPr="00F352E1">
        <w:t>.</w:t>
      </w:r>
      <w:bookmarkEnd w:id="155"/>
      <w:bookmarkEnd w:id="156"/>
      <w:bookmarkEnd w:id="157"/>
      <w:bookmarkEnd w:id="158"/>
      <w:bookmarkEnd w:id="159"/>
      <w:r w:rsidR="00EA753F" w:rsidRPr="00C44D73">
        <w:rPr>
          <w:rStyle w:val="IntenseReference"/>
          <w:rFonts w:eastAsia="SimSun"/>
        </w:rPr>
        <w:t xml:space="preserve"> </w:t>
      </w:r>
      <w:r w:rsidR="0018476A" w:rsidRPr="00C44D73">
        <w:rPr>
          <w:rStyle w:val="IntenseReference"/>
          <w:rFonts w:eastAsia="SimSun"/>
        </w:rPr>
        <w:t xml:space="preserve">a) </w:t>
      </w:r>
      <w:bookmarkStart w:id="161" w:name="_Toc437424296"/>
      <w:bookmarkStart w:id="162" w:name="_Toc437432349"/>
      <w:bookmarkStart w:id="163" w:name="_Toc437597630"/>
      <w:r w:rsidR="00DC4665" w:rsidRPr="00626D6B">
        <w:rPr>
          <w:rStyle w:val="IntenseReference"/>
          <w:rFonts w:eastAsia="SimSun"/>
        </w:rPr>
        <w:t>Coral index</w:t>
      </w:r>
      <w:r w:rsidR="0018476A" w:rsidRPr="00626D6B">
        <w:rPr>
          <w:rStyle w:val="IntenseReference"/>
          <w:rFonts w:eastAsia="SimSun"/>
        </w:rPr>
        <w:t>,</w:t>
      </w:r>
      <w:r w:rsidR="00DC4665" w:rsidRPr="00626D6B">
        <w:rPr>
          <w:rStyle w:val="IntenseReference"/>
          <w:rFonts w:eastAsia="SimSun"/>
        </w:rPr>
        <w:t xml:space="preserve"> colour coding: dark green- ‘very good’; light green-‘good’; yellow – ‘moderate; orange – ‘poor’; red – ‘very poor’. </w:t>
      </w:r>
      <w:r w:rsidR="0018476A" w:rsidRPr="009808B7">
        <w:rPr>
          <w:rStyle w:val="IntenseReference"/>
          <w:rFonts w:eastAsia="SimSun"/>
        </w:rPr>
        <w:t xml:space="preserve">b – </w:t>
      </w:r>
      <w:r w:rsidR="00DC4665" w:rsidRPr="009808B7">
        <w:rPr>
          <w:rStyle w:val="IntenseReference"/>
          <w:rFonts w:eastAsia="SimSun"/>
        </w:rPr>
        <w:t>f</w:t>
      </w:r>
      <w:r w:rsidR="0018476A" w:rsidRPr="009808B7">
        <w:rPr>
          <w:rStyle w:val="IntenseReference"/>
          <w:rFonts w:eastAsia="SimSun"/>
        </w:rPr>
        <w:t>) trends in individual indicators, (</w:t>
      </w:r>
      <w:r w:rsidR="00DC4665" w:rsidRPr="009808B7">
        <w:rPr>
          <w:rStyle w:val="IntenseReference"/>
          <w:rFonts w:eastAsia="SimSun"/>
        </w:rPr>
        <w:t>blue lines</w:t>
      </w:r>
      <w:r w:rsidR="0018476A" w:rsidRPr="009808B7">
        <w:rPr>
          <w:rStyle w:val="IntenseReference"/>
          <w:rFonts w:eastAsia="SimSun"/>
        </w:rPr>
        <w:t xml:space="preserve">) bound by </w:t>
      </w:r>
      <w:r w:rsidR="00DC4665" w:rsidRPr="009808B7">
        <w:rPr>
          <w:rStyle w:val="IntenseReference"/>
          <w:rFonts w:eastAsia="SimSun"/>
        </w:rPr>
        <w:t>95% confidence intervals of those trends</w:t>
      </w:r>
      <w:r w:rsidR="0018476A" w:rsidRPr="009808B7">
        <w:rPr>
          <w:rStyle w:val="IntenseReference"/>
          <w:rFonts w:eastAsia="SimSun"/>
        </w:rPr>
        <w:t xml:space="preserve"> (shading)</w:t>
      </w:r>
      <w:r w:rsidR="00DC4665" w:rsidRPr="009808B7">
        <w:rPr>
          <w:rStyle w:val="IntenseReference"/>
          <w:rFonts w:eastAsia="SimSun"/>
        </w:rPr>
        <w:t xml:space="preserve">, grey lines represent observed profiles </w:t>
      </w:r>
      <w:r w:rsidR="0018476A" w:rsidRPr="009808B7">
        <w:rPr>
          <w:rStyle w:val="IntenseReference"/>
          <w:rFonts w:eastAsia="SimSun"/>
        </w:rPr>
        <w:t>at 5 m (dashed) and 2 m (solid) depths</w:t>
      </w:r>
      <w:r w:rsidR="00DC4665" w:rsidRPr="009808B7">
        <w:rPr>
          <w:rStyle w:val="IntenseReference"/>
          <w:rFonts w:eastAsia="SimSun"/>
        </w:rPr>
        <w:t xml:space="preserve"> </w:t>
      </w:r>
      <w:r w:rsidR="0018476A" w:rsidRPr="009808B7">
        <w:rPr>
          <w:rStyle w:val="IntenseReference"/>
          <w:rFonts w:eastAsia="SimSun"/>
        </w:rPr>
        <w:t>for</w:t>
      </w:r>
      <w:r w:rsidR="00DC4665" w:rsidRPr="009808B7">
        <w:rPr>
          <w:rStyle w:val="IntenseReference"/>
          <w:rFonts w:eastAsia="SimSun"/>
        </w:rPr>
        <w:t xml:space="preserve"> individual reefs</w:t>
      </w:r>
      <w:r w:rsidR="007527BF" w:rsidRPr="009808B7">
        <w:rPr>
          <w:rStyle w:val="IntenseReference"/>
          <w:rFonts w:eastAsia="SimSun"/>
        </w:rPr>
        <w:t>.</w:t>
      </w:r>
      <w:bookmarkEnd w:id="160"/>
      <w:r w:rsidR="007527BF" w:rsidRPr="009808B7">
        <w:rPr>
          <w:rStyle w:val="IntenseReference"/>
          <w:rFonts w:eastAsia="SimSun"/>
        </w:rPr>
        <w:t xml:space="preserve"> </w:t>
      </w:r>
      <w:r w:rsidR="00DC4665" w:rsidRPr="009808B7">
        <w:rPr>
          <w:rStyle w:val="IntenseReference"/>
          <w:rFonts w:eastAsia="SimSun"/>
        </w:rPr>
        <w:t xml:space="preserve"> </w:t>
      </w:r>
      <w:bookmarkStart w:id="164" w:name="_Toc437424407"/>
      <w:bookmarkStart w:id="165" w:name="_Toc437424531"/>
      <w:bookmarkStart w:id="166" w:name="_Toc437432462"/>
      <w:bookmarkStart w:id="167" w:name="_Toc437432535"/>
      <w:bookmarkEnd w:id="161"/>
      <w:bookmarkEnd w:id="162"/>
      <w:bookmarkEnd w:id="163"/>
    </w:p>
    <w:p w14:paraId="5B0247E5" w14:textId="77777777" w:rsidR="00807B54" w:rsidRDefault="00807B54" w:rsidP="00C44D73">
      <w:pPr>
        <w:rPr>
          <w:rFonts w:eastAsia="SimSun"/>
        </w:rPr>
      </w:pPr>
    </w:p>
    <w:p w14:paraId="018CF12A" w14:textId="77777777" w:rsidR="00807B54" w:rsidRDefault="00807B54" w:rsidP="00C44D73">
      <w:pPr>
        <w:rPr>
          <w:rFonts w:eastAsia="SimSun"/>
        </w:rPr>
      </w:pPr>
    </w:p>
    <w:p w14:paraId="170C8AFD" w14:textId="77777777" w:rsidR="00807B54" w:rsidRDefault="00807B54" w:rsidP="00C44D73">
      <w:pPr>
        <w:rPr>
          <w:rFonts w:eastAsia="SimSun"/>
        </w:rPr>
      </w:pPr>
    </w:p>
    <w:p w14:paraId="573CBE43" w14:textId="77777777" w:rsidR="00807B54" w:rsidRDefault="00807B54" w:rsidP="00C44D73">
      <w:pPr>
        <w:rPr>
          <w:rFonts w:eastAsia="SimSun"/>
        </w:rPr>
      </w:pPr>
    </w:p>
    <w:p w14:paraId="505BF814" w14:textId="77777777" w:rsidR="00807B54" w:rsidRDefault="00807B54" w:rsidP="00C44D73">
      <w:pPr>
        <w:rPr>
          <w:rFonts w:eastAsia="SimSun"/>
        </w:rPr>
      </w:pPr>
    </w:p>
    <w:p w14:paraId="7348F06D" w14:textId="77777777" w:rsidR="00807B54" w:rsidRDefault="00807B54" w:rsidP="00C44D73">
      <w:pPr>
        <w:rPr>
          <w:rFonts w:eastAsia="SimSun"/>
        </w:rPr>
      </w:pPr>
    </w:p>
    <w:p w14:paraId="503C8BA5" w14:textId="77777777" w:rsidR="00807B54" w:rsidRDefault="00807B54" w:rsidP="00C44D73">
      <w:pPr>
        <w:rPr>
          <w:rFonts w:eastAsia="SimSun"/>
        </w:rPr>
      </w:pPr>
    </w:p>
    <w:p w14:paraId="3DC61122" w14:textId="77777777" w:rsidR="00807B54" w:rsidRDefault="00807B54" w:rsidP="00C44D73">
      <w:pPr>
        <w:rPr>
          <w:rFonts w:eastAsia="SimSun"/>
        </w:rPr>
      </w:pPr>
    </w:p>
    <w:p w14:paraId="728C172C" w14:textId="77777777" w:rsidR="00807B54" w:rsidRPr="00C44D73" w:rsidRDefault="00807B54" w:rsidP="00C44D73">
      <w:pPr>
        <w:rPr>
          <w:rFonts w:eastAsia="SimSun"/>
        </w:rPr>
      </w:pPr>
    </w:p>
    <w:p w14:paraId="0361DA51" w14:textId="77777777" w:rsidR="00EA753F" w:rsidRPr="00F352E1" w:rsidRDefault="00F352CD" w:rsidP="00607BCA">
      <w:pPr>
        <w:pStyle w:val="Heading3"/>
      </w:pPr>
      <w:bookmarkStart w:id="168" w:name="_Toc514408412"/>
      <w:r w:rsidRPr="00F352E1">
        <w:t>5</w:t>
      </w:r>
      <w:r w:rsidR="002A28EE" w:rsidRPr="00F352E1">
        <w:t>.</w:t>
      </w:r>
      <w:r w:rsidR="00BD49B5" w:rsidRPr="00F352E1">
        <w:t>2.2</w:t>
      </w:r>
      <w:r w:rsidR="00A803D4" w:rsidRPr="00F352E1">
        <w:t xml:space="preserve"> </w:t>
      </w:r>
      <w:r w:rsidR="00EA753F" w:rsidRPr="00F352E1">
        <w:t>Wet Tropics Region: Johnstone Russell-Mulgrave sub-region</w:t>
      </w:r>
      <w:bookmarkEnd w:id="164"/>
      <w:bookmarkEnd w:id="165"/>
      <w:bookmarkEnd w:id="166"/>
      <w:bookmarkEnd w:id="167"/>
      <w:bookmarkEnd w:id="168"/>
    </w:p>
    <w:p w14:paraId="5C00F51E" w14:textId="251CB17B" w:rsidR="00807B54" w:rsidRPr="000E2680" w:rsidRDefault="003544F2" w:rsidP="00EE6401">
      <w:r w:rsidRPr="00F56190">
        <w:t xml:space="preserve">In </w:t>
      </w:r>
      <w:r w:rsidR="007F028C" w:rsidRPr="00F56190">
        <w:t xml:space="preserve">2017 </w:t>
      </w:r>
      <w:r w:rsidRPr="00F56190">
        <w:t xml:space="preserve">the coral index </w:t>
      </w:r>
      <w:r w:rsidR="007F028C" w:rsidRPr="00F56190">
        <w:t xml:space="preserve">declined to ‘moderate’ after </w:t>
      </w:r>
      <w:r w:rsidR="00912870" w:rsidRPr="00F56190">
        <w:t>reach</w:t>
      </w:r>
      <w:r w:rsidR="007F028C" w:rsidRPr="00F56190">
        <w:t>ing</w:t>
      </w:r>
      <w:r w:rsidR="00912870" w:rsidRPr="00F56190">
        <w:t xml:space="preserve"> a ‘good’ classification </w:t>
      </w:r>
      <w:r w:rsidR="007F028C" w:rsidRPr="00F56190">
        <w:t>in 201</w:t>
      </w:r>
      <w:r w:rsidR="000F777A" w:rsidRPr="00F56190">
        <w:t>6</w:t>
      </w:r>
      <w:r w:rsidRPr="00F56190">
        <w:t xml:space="preserve"> (</w:t>
      </w:r>
      <w:r w:rsidR="007F028C" w:rsidRPr="00FD3F4C">
        <w:fldChar w:fldCharType="begin"/>
      </w:r>
      <w:r w:rsidR="007F028C" w:rsidRPr="00F56190">
        <w:instrText xml:space="preserve"> REF _Ref491181369 \h </w:instrText>
      </w:r>
      <w:r w:rsidR="007F028C" w:rsidRPr="00FD3F4C">
        <w:fldChar w:fldCharType="separate"/>
      </w:r>
      <w:r w:rsidR="00A75175" w:rsidRPr="004252BF">
        <w:t xml:space="preserve">Figure </w:t>
      </w:r>
      <w:r w:rsidR="00A75175">
        <w:rPr>
          <w:noProof/>
        </w:rPr>
        <w:t>15</w:t>
      </w:r>
      <w:r w:rsidR="007F028C" w:rsidRPr="00FD3F4C">
        <w:fldChar w:fldCharType="end"/>
      </w:r>
      <w:r w:rsidRPr="00F56190">
        <w:t>a)</w:t>
      </w:r>
      <w:r w:rsidR="00912870" w:rsidRPr="00F56190">
        <w:t>.</w:t>
      </w:r>
      <w:r w:rsidR="005D5A92" w:rsidRPr="00F56190">
        <w:t xml:space="preserve"> </w:t>
      </w:r>
      <w:r w:rsidR="00F1182B">
        <w:t>These declines are inconsistent among reefs (</w:t>
      </w:r>
      <w:r w:rsidR="00035EA5">
        <w:t>Table 11</w:t>
      </w:r>
      <w:r w:rsidR="00F1182B">
        <w:t xml:space="preserve">), especially at 5m depths where only five of the </w:t>
      </w:r>
      <w:r w:rsidR="00287ED9">
        <w:t>eight</w:t>
      </w:r>
      <w:r w:rsidR="00F1182B">
        <w:t xml:space="preserve"> reefs monitored were visited post the 2017 summer. </w:t>
      </w:r>
      <w:r w:rsidR="00417AEE" w:rsidRPr="00F56190">
        <w:t xml:space="preserve">Coral cover </w:t>
      </w:r>
      <w:r w:rsidR="00B50962">
        <w:t>declined</w:t>
      </w:r>
      <w:r w:rsidR="00417AEE" w:rsidRPr="00F56190">
        <w:t xml:space="preserve"> across the region as did juvenile densities, resulting in decreased scores for both of these metrics</w:t>
      </w:r>
      <w:r w:rsidR="00E70E1D">
        <w:t xml:space="preserve">, most notably at </w:t>
      </w:r>
      <w:r w:rsidR="006520FC">
        <w:t>2</w:t>
      </w:r>
      <w:r w:rsidR="00E70E1D">
        <w:t xml:space="preserve"> m depth</w:t>
      </w:r>
      <w:r w:rsidR="00417AEE" w:rsidRPr="00F56190">
        <w:t xml:space="preserve"> </w:t>
      </w:r>
      <w:r w:rsidR="007F028C" w:rsidRPr="00F56190">
        <w:t>(</w:t>
      </w:r>
      <w:r w:rsidR="00F70E9D">
        <w:fldChar w:fldCharType="begin"/>
      </w:r>
      <w:r w:rsidR="00F70E9D">
        <w:instrText xml:space="preserve"> REF _Ref491181369 \h </w:instrText>
      </w:r>
      <w:r w:rsidR="00F70E9D">
        <w:fldChar w:fldCharType="separate"/>
      </w:r>
      <w:r w:rsidR="00A75175" w:rsidRPr="004252BF">
        <w:t xml:space="preserve">Figure </w:t>
      </w:r>
      <w:r w:rsidR="00A75175">
        <w:rPr>
          <w:noProof/>
        </w:rPr>
        <w:t>15</w:t>
      </w:r>
      <w:r w:rsidR="00F70E9D">
        <w:fldChar w:fldCharType="end"/>
      </w:r>
      <w:r w:rsidR="00F70E9D">
        <w:t>,</w:t>
      </w:r>
      <w:r w:rsidR="0024084A">
        <w:t xml:space="preserve"> </w:t>
      </w:r>
      <w:r w:rsidR="0024084A">
        <w:fldChar w:fldCharType="begin"/>
      </w:r>
      <w:r w:rsidR="0024084A">
        <w:instrText xml:space="preserve"> REF _Ref496105214 \h </w:instrText>
      </w:r>
      <w:r w:rsidR="0024084A">
        <w:fldChar w:fldCharType="separate"/>
      </w:r>
      <w:r w:rsidR="00A75175" w:rsidRPr="00F352E1">
        <w:t xml:space="preserve">Table </w:t>
      </w:r>
      <w:r w:rsidR="00A75175">
        <w:rPr>
          <w:noProof/>
        </w:rPr>
        <w:t>11</w:t>
      </w:r>
      <w:r w:rsidR="0024084A">
        <w:fldChar w:fldCharType="end"/>
      </w:r>
      <w:r w:rsidR="007F028C" w:rsidRPr="00F56190">
        <w:t>).</w:t>
      </w:r>
      <w:r w:rsidR="00807B54">
        <w:t xml:space="preserve"> The influence of these declines on the </w:t>
      </w:r>
      <w:r w:rsidR="00225AA2">
        <w:t xml:space="preserve">coral </w:t>
      </w:r>
      <w:r w:rsidR="00807B54">
        <w:t xml:space="preserve">index has been offset by </w:t>
      </w:r>
      <w:r w:rsidR="00C44D73">
        <w:t xml:space="preserve">a general improvement in the Cover </w:t>
      </w:r>
      <w:r w:rsidR="00225AA2">
        <w:t xml:space="preserve">Change </w:t>
      </w:r>
      <w:r w:rsidR="00C44D73">
        <w:t>metric.</w:t>
      </w:r>
      <w:r w:rsidR="00807B54">
        <w:t xml:space="preserve"> </w:t>
      </w:r>
      <w:r w:rsidR="00C44D73">
        <w:t xml:space="preserve">The Cover </w:t>
      </w:r>
      <w:r w:rsidR="00225AA2">
        <w:t xml:space="preserve">Change </w:t>
      </w:r>
      <w:r w:rsidR="00C44D73">
        <w:t xml:space="preserve">metric is assessed over non-disturbance years and the general improvement in this metric reflects rapid increases in cover observed prior to the </w:t>
      </w:r>
      <w:r w:rsidR="0048357B">
        <w:t>2017</w:t>
      </w:r>
      <w:r w:rsidR="00C44D73">
        <w:t xml:space="preserve"> bleaching event.</w:t>
      </w:r>
      <w:r w:rsidR="00807B54">
        <w:t xml:space="preserve"> Whilst scores for Macroalgae were generally good across the region, a</w:t>
      </w:r>
      <w:r w:rsidR="00417AEE" w:rsidRPr="00F56190">
        <w:t xml:space="preserve"> sharp rise in the proportional cover of macroalgae</w:t>
      </w:r>
      <w:r w:rsidR="003A2942" w:rsidRPr="00F56190">
        <w:t xml:space="preserve"> </w:t>
      </w:r>
      <w:r w:rsidR="00807B54">
        <w:t xml:space="preserve">at Franklands West </w:t>
      </w:r>
      <w:r w:rsidR="00417AEE" w:rsidRPr="00F56190">
        <w:t xml:space="preserve">ensured continued poor scores for the </w:t>
      </w:r>
      <w:r w:rsidR="00C40C0E">
        <w:t>M</w:t>
      </w:r>
      <w:r w:rsidR="00417AEE" w:rsidRPr="00F56190">
        <w:t>ac</w:t>
      </w:r>
      <w:r w:rsidR="00610E50" w:rsidRPr="00F56190">
        <w:t>roalgae</w:t>
      </w:r>
      <w:r w:rsidR="00417AEE" w:rsidRPr="00F56190">
        <w:t xml:space="preserve"> metric</w:t>
      </w:r>
      <w:r w:rsidR="00610E50" w:rsidRPr="00F56190">
        <w:t xml:space="preserve"> </w:t>
      </w:r>
      <w:r w:rsidR="003A2942" w:rsidRPr="00F56190">
        <w:t xml:space="preserve">at this reef </w:t>
      </w:r>
      <w:r w:rsidR="00610E50" w:rsidRPr="00F56190">
        <w:t>(</w:t>
      </w:r>
      <w:r w:rsidR="001553E8">
        <w:fldChar w:fldCharType="begin"/>
      </w:r>
      <w:r w:rsidR="001553E8">
        <w:instrText xml:space="preserve"> REF _Ref501104990 \h </w:instrText>
      </w:r>
      <w:r w:rsidR="001553E8">
        <w:fldChar w:fldCharType="separate"/>
      </w:r>
      <w:r w:rsidR="00A75175">
        <w:t xml:space="preserve">Figure A1. </w:t>
      </w:r>
      <w:r w:rsidR="00A75175">
        <w:rPr>
          <w:noProof/>
        </w:rPr>
        <w:t>2</w:t>
      </w:r>
      <w:r w:rsidR="001553E8">
        <w:fldChar w:fldCharType="end"/>
      </w:r>
      <w:r w:rsidR="001553E8">
        <w:t xml:space="preserve">, </w:t>
      </w:r>
      <w:r w:rsidR="001553E8">
        <w:fldChar w:fldCharType="begin"/>
      </w:r>
      <w:r w:rsidR="001553E8">
        <w:instrText xml:space="preserve"> REF _Ref501105016 \h </w:instrText>
      </w:r>
      <w:r w:rsidR="001553E8">
        <w:fldChar w:fldCharType="separate"/>
      </w:r>
      <w:r w:rsidR="00A75175">
        <w:t xml:space="preserve">Table A1. </w:t>
      </w:r>
      <w:r w:rsidR="00A75175">
        <w:rPr>
          <w:noProof/>
        </w:rPr>
        <w:t>5</w:t>
      </w:r>
      <w:r w:rsidR="001553E8">
        <w:fldChar w:fldCharType="end"/>
      </w:r>
      <w:r w:rsidR="002F4BA7" w:rsidRPr="00F56190">
        <w:t>)</w:t>
      </w:r>
      <w:r w:rsidR="00EE6401">
        <w:t xml:space="preserve">. Here, the </w:t>
      </w:r>
      <w:r w:rsidR="00610E50" w:rsidRPr="00F56190">
        <w:t>macroalga</w:t>
      </w:r>
      <w:r w:rsidR="00EE6401">
        <w:t>l community</w:t>
      </w:r>
      <w:r w:rsidR="003A2942" w:rsidRPr="007527BF">
        <w:t xml:space="preserve"> is</w:t>
      </w:r>
      <w:r w:rsidR="00610E50" w:rsidRPr="007527BF">
        <w:t xml:space="preserve"> dominated by</w:t>
      </w:r>
      <w:r w:rsidR="006F7BC3" w:rsidRPr="007527BF">
        <w:t xml:space="preserve"> red algae species (</w:t>
      </w:r>
      <w:r w:rsidR="001553E8">
        <w:fldChar w:fldCharType="begin"/>
      </w:r>
      <w:r w:rsidR="001553E8">
        <w:instrText xml:space="preserve"> REF _Ref501105037 \h </w:instrText>
      </w:r>
      <w:r w:rsidR="001553E8">
        <w:fldChar w:fldCharType="separate"/>
      </w:r>
      <w:r w:rsidR="00A75175">
        <w:t xml:space="preserve">Table A1. </w:t>
      </w:r>
      <w:r w:rsidR="00A75175">
        <w:rPr>
          <w:noProof/>
        </w:rPr>
        <w:t>9</w:t>
      </w:r>
      <w:r w:rsidR="001553E8">
        <w:fldChar w:fldCharType="end"/>
      </w:r>
      <w:r w:rsidR="006F7BC3" w:rsidRPr="007527BF">
        <w:t>)</w:t>
      </w:r>
      <w:r w:rsidR="00EE6401">
        <w:t xml:space="preserve"> and t</w:t>
      </w:r>
      <w:r w:rsidR="006F7BC3" w:rsidRPr="007527BF">
        <w:t xml:space="preserve">his pattern does </w:t>
      </w:r>
      <w:r w:rsidR="00C863A5" w:rsidRPr="007527BF">
        <w:t xml:space="preserve">not </w:t>
      </w:r>
      <w:r w:rsidR="008718A4" w:rsidRPr="007527BF">
        <w:t xml:space="preserve">clearly </w:t>
      </w:r>
      <w:r w:rsidR="00C863A5" w:rsidRPr="007527BF">
        <w:t xml:space="preserve">reflect poor water quality at this site </w:t>
      </w:r>
      <w:r w:rsidR="00C37F3C" w:rsidRPr="007527BF">
        <w:t xml:space="preserve">as conditions </w:t>
      </w:r>
      <w:r w:rsidR="006B7563" w:rsidRPr="007527BF">
        <w:t xml:space="preserve">are consistently better than those observed at </w:t>
      </w:r>
      <w:r w:rsidR="00C2526C" w:rsidRPr="007527BF">
        <w:t>High I</w:t>
      </w:r>
      <w:r w:rsidR="006B7563" w:rsidRPr="007527BF">
        <w:t>sland and comparable to those observed at Fitzroy Island</w:t>
      </w:r>
      <w:r w:rsidR="008718A4" w:rsidRPr="007527BF">
        <w:t xml:space="preserve"> where Macroalgae scores are higher</w:t>
      </w:r>
      <w:r w:rsidR="006B7563" w:rsidRPr="007527BF">
        <w:t xml:space="preserve"> (</w:t>
      </w:r>
      <w:r w:rsidR="008718A4" w:rsidRPr="007527BF">
        <w:fldChar w:fldCharType="begin"/>
      </w:r>
      <w:r w:rsidR="008718A4" w:rsidRPr="007527BF">
        <w:instrText xml:space="preserve"> REF _Ref491180328 \h </w:instrText>
      </w:r>
      <w:r w:rsidR="001709A5" w:rsidRPr="007527BF">
        <w:instrText xml:space="preserve"> \* MERGEFORMAT </w:instrText>
      </w:r>
      <w:r w:rsidR="008718A4" w:rsidRPr="007527BF">
        <w:fldChar w:fldCharType="separate"/>
      </w:r>
      <w:r w:rsidR="00A75175" w:rsidRPr="00F352E1">
        <w:t xml:space="preserve">Figure </w:t>
      </w:r>
      <w:r w:rsidR="00A75175">
        <w:rPr>
          <w:noProof/>
        </w:rPr>
        <w:t>14</w:t>
      </w:r>
      <w:r w:rsidR="008718A4" w:rsidRPr="007527BF">
        <w:fldChar w:fldCharType="end"/>
      </w:r>
      <w:r w:rsidR="008718A4" w:rsidRPr="007527BF">
        <w:t>a, b,</w:t>
      </w:r>
      <w:r w:rsidR="006B7563" w:rsidRPr="007527BF">
        <w:t xml:space="preserve"> Waterhouse </w:t>
      </w:r>
      <w:r w:rsidR="006B7563" w:rsidRPr="007527BF">
        <w:rPr>
          <w:i/>
        </w:rPr>
        <w:t>et al.</w:t>
      </w:r>
      <w:r w:rsidR="006B7563" w:rsidRPr="007527BF">
        <w:t xml:space="preserve"> 201</w:t>
      </w:r>
      <w:r w:rsidR="00841929">
        <w:t>8</w:t>
      </w:r>
      <w:r w:rsidR="006B7563" w:rsidRPr="007527BF">
        <w:t>)</w:t>
      </w:r>
      <w:r w:rsidR="00EE6401">
        <w:t>.</w:t>
      </w:r>
      <w:bookmarkStart w:id="169" w:name="_Ref491180360"/>
      <w:r w:rsidR="00807B54">
        <w:t xml:space="preserve"> </w:t>
      </w:r>
    </w:p>
    <w:p w14:paraId="2BC879BC" w14:textId="77777777" w:rsidR="001709A5" w:rsidRPr="00F352E1" w:rsidRDefault="001709A5" w:rsidP="00606A50">
      <w:pPr>
        <w:pStyle w:val="Caption"/>
      </w:pPr>
      <w:bookmarkStart w:id="170" w:name="_Ref496105214"/>
      <w:bookmarkStart w:id="171" w:name="_Ref496105205"/>
      <w:bookmarkStart w:id="172" w:name="_Toc514407859"/>
      <w:r w:rsidRPr="00F352E1">
        <w:t xml:space="preserve">Table </w:t>
      </w:r>
      <w:r w:rsidR="00626D6B">
        <w:fldChar w:fldCharType="begin"/>
      </w:r>
      <w:r w:rsidR="00626D6B">
        <w:instrText xml:space="preserve"> SEQ Table \* ARABIC </w:instrText>
      </w:r>
      <w:r w:rsidR="00626D6B">
        <w:fldChar w:fldCharType="separate"/>
      </w:r>
      <w:r w:rsidR="00A75175">
        <w:rPr>
          <w:noProof/>
        </w:rPr>
        <w:t>11</w:t>
      </w:r>
      <w:r w:rsidR="00626D6B">
        <w:rPr>
          <w:noProof/>
        </w:rPr>
        <w:fldChar w:fldCharType="end"/>
      </w:r>
      <w:bookmarkEnd w:id="169"/>
      <w:bookmarkEnd w:id="170"/>
      <w:r w:rsidRPr="00F352E1">
        <w:t xml:space="preserve"> </w:t>
      </w:r>
      <w:r w:rsidR="00BB098E">
        <w:t>I</w:t>
      </w:r>
      <w:r w:rsidR="00BB098E" w:rsidRPr="00F352E1">
        <w:t>ndex and metric score</w:t>
      </w:r>
      <w:r w:rsidR="00BB098E">
        <w:t xml:space="preserve"> comparisons</w:t>
      </w:r>
      <w:r w:rsidR="00BB098E" w:rsidRPr="00F352E1">
        <w:t xml:space="preserve"> in the</w:t>
      </w:r>
      <w:r w:rsidR="00BB098E">
        <w:t xml:space="preserve"> </w:t>
      </w:r>
      <w:r w:rsidRPr="00F352E1">
        <w:t>Johnstone Russell-Mulgrave sub-region. Data compare the changes in scores between local maxima and minima in the index time-series. For the index, and each metric,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171"/>
      <w:bookmarkEnd w:id="172"/>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atistical comparison between index and metric scores between local maxima and minima in the time-series of scores in the region"/>
        <w:tblDescription w:val="A table listing the maxima in minima index scores and significance of changes in the index and each metric. The salient results are discussed in the main text. &#10;"/>
      </w:tblPr>
      <w:tblGrid>
        <w:gridCol w:w="1074"/>
        <w:gridCol w:w="350"/>
        <w:gridCol w:w="625"/>
        <w:gridCol w:w="625"/>
        <w:gridCol w:w="625"/>
        <w:gridCol w:w="625"/>
        <w:gridCol w:w="625"/>
        <w:gridCol w:w="626"/>
        <w:gridCol w:w="625"/>
        <w:gridCol w:w="625"/>
        <w:gridCol w:w="625"/>
        <w:gridCol w:w="625"/>
        <w:gridCol w:w="625"/>
        <w:gridCol w:w="626"/>
      </w:tblGrid>
      <w:tr w:rsidR="00606628" w:rsidRPr="00852372" w14:paraId="11B76CF7" w14:textId="77777777" w:rsidTr="00112B73">
        <w:trPr>
          <w:trHeight w:val="300"/>
        </w:trPr>
        <w:tc>
          <w:tcPr>
            <w:tcW w:w="1074" w:type="dxa"/>
            <w:vMerge w:val="restart"/>
            <w:shd w:val="clear" w:color="auto" w:fill="auto"/>
            <w:noWrap/>
            <w:tcMar>
              <w:left w:w="57" w:type="dxa"/>
              <w:right w:w="57" w:type="dxa"/>
            </w:tcMar>
            <w:vAlign w:val="bottom"/>
          </w:tcPr>
          <w:p w14:paraId="44F2E21C" w14:textId="77777777" w:rsidR="00606628" w:rsidRPr="00852372" w:rsidRDefault="00606628" w:rsidP="00112B73">
            <w:pPr>
              <w:spacing w:after="0"/>
              <w:rPr>
                <w:rFonts w:ascii="Arial Narrow" w:hAnsi="Arial Narrow"/>
                <w:sz w:val="20"/>
                <w:lang w:eastAsia="en-AU"/>
              </w:rPr>
            </w:pPr>
            <w:r w:rsidRPr="00852372">
              <w:rPr>
                <w:rFonts w:ascii="Arial Narrow" w:hAnsi="Arial Narrow"/>
                <w:color w:val="000000"/>
                <w:sz w:val="20"/>
                <w:lang w:eastAsia="en-AU"/>
              </w:rPr>
              <w:t>Period</w:t>
            </w:r>
          </w:p>
        </w:tc>
        <w:tc>
          <w:tcPr>
            <w:tcW w:w="350" w:type="dxa"/>
            <w:vMerge w:val="restart"/>
            <w:shd w:val="clear" w:color="auto" w:fill="auto"/>
            <w:noWrap/>
            <w:tcMar>
              <w:left w:w="57" w:type="dxa"/>
              <w:right w:w="57" w:type="dxa"/>
            </w:tcMar>
            <w:textDirection w:val="btLr"/>
            <w:vAlign w:val="bottom"/>
          </w:tcPr>
          <w:p w14:paraId="34D92A95" w14:textId="77777777" w:rsidR="00606628" w:rsidRPr="00852372" w:rsidRDefault="00606628" w:rsidP="00112B73">
            <w:pPr>
              <w:spacing w:after="0"/>
              <w:ind w:left="113" w:right="113"/>
              <w:jc w:val="center"/>
              <w:rPr>
                <w:rFonts w:ascii="Arial Narrow" w:hAnsi="Arial Narrow"/>
                <w:sz w:val="20"/>
                <w:lang w:eastAsia="en-AU"/>
              </w:rPr>
            </w:pPr>
            <w:r w:rsidRPr="00852372">
              <w:rPr>
                <w:rFonts w:ascii="Arial Narrow" w:hAnsi="Arial Narrow"/>
                <w:color w:val="000000"/>
                <w:sz w:val="20"/>
                <w:lang w:eastAsia="en-AU"/>
              </w:rPr>
              <w:t>Depth</w:t>
            </w:r>
          </w:p>
        </w:tc>
        <w:tc>
          <w:tcPr>
            <w:tcW w:w="1250" w:type="dxa"/>
            <w:gridSpan w:val="2"/>
            <w:shd w:val="clear" w:color="auto" w:fill="auto"/>
            <w:noWrap/>
            <w:tcMar>
              <w:left w:w="57" w:type="dxa"/>
              <w:right w:w="57" w:type="dxa"/>
            </w:tcMar>
            <w:vAlign w:val="bottom"/>
          </w:tcPr>
          <w:p w14:paraId="0A436AE0"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Index</w:t>
            </w:r>
          </w:p>
        </w:tc>
        <w:tc>
          <w:tcPr>
            <w:tcW w:w="1250" w:type="dxa"/>
            <w:gridSpan w:val="2"/>
            <w:shd w:val="clear" w:color="auto" w:fill="auto"/>
            <w:noWrap/>
            <w:tcMar>
              <w:left w:w="57" w:type="dxa"/>
              <w:right w:w="57" w:type="dxa"/>
            </w:tcMar>
            <w:vAlign w:val="bottom"/>
          </w:tcPr>
          <w:p w14:paraId="5767D78F"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Coral Cover</w:t>
            </w:r>
          </w:p>
        </w:tc>
        <w:tc>
          <w:tcPr>
            <w:tcW w:w="1251" w:type="dxa"/>
            <w:gridSpan w:val="2"/>
            <w:shd w:val="clear" w:color="auto" w:fill="auto"/>
            <w:noWrap/>
            <w:tcMar>
              <w:left w:w="57" w:type="dxa"/>
              <w:right w:w="57" w:type="dxa"/>
            </w:tcMar>
            <w:vAlign w:val="bottom"/>
          </w:tcPr>
          <w:p w14:paraId="45C56E07"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Macroalgae</w:t>
            </w:r>
          </w:p>
        </w:tc>
        <w:tc>
          <w:tcPr>
            <w:tcW w:w="1250" w:type="dxa"/>
            <w:gridSpan w:val="2"/>
            <w:shd w:val="clear" w:color="auto" w:fill="auto"/>
            <w:noWrap/>
            <w:tcMar>
              <w:left w:w="57" w:type="dxa"/>
              <w:right w:w="57" w:type="dxa"/>
            </w:tcMar>
            <w:vAlign w:val="bottom"/>
          </w:tcPr>
          <w:p w14:paraId="421ADDA8"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Juvenile</w:t>
            </w:r>
          </w:p>
        </w:tc>
        <w:tc>
          <w:tcPr>
            <w:tcW w:w="1250" w:type="dxa"/>
            <w:gridSpan w:val="2"/>
            <w:shd w:val="clear" w:color="auto" w:fill="auto"/>
            <w:noWrap/>
            <w:tcMar>
              <w:left w:w="57" w:type="dxa"/>
              <w:right w:w="57" w:type="dxa"/>
            </w:tcMar>
            <w:vAlign w:val="bottom"/>
          </w:tcPr>
          <w:p w14:paraId="1BB64B14"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Cover Change</w:t>
            </w:r>
          </w:p>
        </w:tc>
        <w:tc>
          <w:tcPr>
            <w:tcW w:w="1251" w:type="dxa"/>
            <w:gridSpan w:val="2"/>
            <w:shd w:val="clear" w:color="auto" w:fill="auto"/>
            <w:noWrap/>
            <w:tcMar>
              <w:left w:w="57" w:type="dxa"/>
              <w:right w:w="57" w:type="dxa"/>
            </w:tcMar>
            <w:vAlign w:val="bottom"/>
          </w:tcPr>
          <w:p w14:paraId="3B6AF7F6"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Composition</w:t>
            </w:r>
          </w:p>
        </w:tc>
      </w:tr>
      <w:tr w:rsidR="00606628" w:rsidRPr="00852372" w14:paraId="680D3FF9" w14:textId="77777777" w:rsidTr="00112B73">
        <w:trPr>
          <w:trHeight w:val="520"/>
        </w:trPr>
        <w:tc>
          <w:tcPr>
            <w:tcW w:w="1074" w:type="dxa"/>
            <w:vMerge/>
            <w:shd w:val="clear" w:color="auto" w:fill="auto"/>
            <w:noWrap/>
            <w:tcMar>
              <w:left w:w="57" w:type="dxa"/>
              <w:right w:w="57" w:type="dxa"/>
            </w:tcMar>
            <w:vAlign w:val="bottom"/>
          </w:tcPr>
          <w:p w14:paraId="44DBF5FB" w14:textId="77777777" w:rsidR="00606628" w:rsidRPr="00852372" w:rsidRDefault="00606628" w:rsidP="00112B73">
            <w:pPr>
              <w:spacing w:after="0"/>
              <w:rPr>
                <w:rFonts w:ascii="Arial Narrow" w:hAnsi="Arial Narrow"/>
                <w:color w:val="000000"/>
                <w:sz w:val="20"/>
                <w:lang w:eastAsia="en-AU"/>
              </w:rPr>
            </w:pPr>
          </w:p>
        </w:tc>
        <w:tc>
          <w:tcPr>
            <w:tcW w:w="350" w:type="dxa"/>
            <w:vMerge/>
            <w:shd w:val="clear" w:color="auto" w:fill="auto"/>
            <w:noWrap/>
            <w:tcMar>
              <w:left w:w="57" w:type="dxa"/>
              <w:right w:w="57" w:type="dxa"/>
            </w:tcMar>
            <w:vAlign w:val="bottom"/>
          </w:tcPr>
          <w:p w14:paraId="45786524" w14:textId="77777777" w:rsidR="00606628" w:rsidRPr="00852372" w:rsidRDefault="00606628" w:rsidP="00112B73">
            <w:pPr>
              <w:spacing w:after="0"/>
              <w:jc w:val="center"/>
              <w:rPr>
                <w:rFonts w:ascii="Arial Narrow" w:hAnsi="Arial Narrow"/>
                <w:color w:val="000000"/>
                <w:sz w:val="20"/>
                <w:lang w:eastAsia="en-AU"/>
              </w:rPr>
            </w:pPr>
          </w:p>
        </w:tc>
        <w:tc>
          <w:tcPr>
            <w:tcW w:w="625" w:type="dxa"/>
            <w:shd w:val="clear" w:color="auto" w:fill="auto"/>
            <w:noWrap/>
            <w:tcMar>
              <w:left w:w="57" w:type="dxa"/>
              <w:right w:w="57" w:type="dxa"/>
            </w:tcMar>
            <w:vAlign w:val="bottom"/>
          </w:tcPr>
          <w:p w14:paraId="36CCF071"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5" w:type="dxa"/>
            <w:shd w:val="clear" w:color="auto" w:fill="auto"/>
            <w:noWrap/>
            <w:tcMar>
              <w:left w:w="57" w:type="dxa"/>
              <w:right w:w="57" w:type="dxa"/>
            </w:tcMar>
            <w:vAlign w:val="bottom"/>
          </w:tcPr>
          <w:p w14:paraId="6F30FB23"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451F509F"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5" w:type="dxa"/>
            <w:shd w:val="clear" w:color="auto" w:fill="auto"/>
            <w:noWrap/>
            <w:tcMar>
              <w:left w:w="57" w:type="dxa"/>
              <w:right w:w="57" w:type="dxa"/>
            </w:tcMar>
            <w:vAlign w:val="bottom"/>
          </w:tcPr>
          <w:p w14:paraId="5D64B49C"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7B719E22"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6" w:type="dxa"/>
            <w:shd w:val="clear" w:color="auto" w:fill="auto"/>
            <w:noWrap/>
            <w:tcMar>
              <w:left w:w="57" w:type="dxa"/>
              <w:right w:w="57" w:type="dxa"/>
            </w:tcMar>
            <w:vAlign w:val="bottom"/>
          </w:tcPr>
          <w:p w14:paraId="50CC79E8"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4F6DA75A"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5" w:type="dxa"/>
            <w:shd w:val="clear" w:color="auto" w:fill="auto"/>
            <w:noWrap/>
            <w:tcMar>
              <w:left w:w="57" w:type="dxa"/>
              <w:right w:w="57" w:type="dxa"/>
            </w:tcMar>
            <w:vAlign w:val="bottom"/>
          </w:tcPr>
          <w:p w14:paraId="3CB9FB04"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45DFA1B1"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5" w:type="dxa"/>
            <w:shd w:val="clear" w:color="auto" w:fill="auto"/>
            <w:noWrap/>
            <w:tcMar>
              <w:left w:w="57" w:type="dxa"/>
              <w:right w:w="57" w:type="dxa"/>
            </w:tcMar>
            <w:vAlign w:val="bottom"/>
          </w:tcPr>
          <w:p w14:paraId="2F4AE9F4"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67FE09A2"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6" w:type="dxa"/>
            <w:shd w:val="clear" w:color="auto" w:fill="auto"/>
            <w:noWrap/>
            <w:tcMar>
              <w:left w:w="57" w:type="dxa"/>
              <w:right w:w="57" w:type="dxa"/>
            </w:tcMar>
            <w:vAlign w:val="bottom"/>
          </w:tcPr>
          <w:p w14:paraId="17C47D72"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r>
      <w:tr w:rsidR="00606628" w:rsidRPr="00852372" w14:paraId="4686593A" w14:textId="77777777" w:rsidTr="00C44D73">
        <w:trPr>
          <w:cantSplit/>
          <w:trHeight w:hRule="exact" w:val="301"/>
        </w:trPr>
        <w:tc>
          <w:tcPr>
            <w:tcW w:w="1074" w:type="dxa"/>
            <w:vMerge w:val="restart"/>
            <w:shd w:val="clear" w:color="auto" w:fill="auto"/>
            <w:noWrap/>
            <w:tcMar>
              <w:left w:w="57" w:type="dxa"/>
              <w:right w:w="57" w:type="dxa"/>
            </w:tcMar>
            <w:vAlign w:val="center"/>
          </w:tcPr>
          <w:p w14:paraId="5F5C312F" w14:textId="77777777" w:rsidR="00606628" w:rsidRPr="00852372" w:rsidRDefault="00606628" w:rsidP="00112B73">
            <w:pPr>
              <w:spacing w:after="0"/>
              <w:rPr>
                <w:rFonts w:ascii="Arial Narrow" w:hAnsi="Arial Narrow"/>
                <w:bCs/>
                <w:color w:val="000000"/>
                <w:sz w:val="20"/>
              </w:rPr>
            </w:pPr>
            <w:r w:rsidRPr="00852372">
              <w:rPr>
                <w:rFonts w:ascii="Arial Narrow" w:hAnsi="Arial Narrow"/>
                <w:bCs/>
                <w:color w:val="000000"/>
                <w:sz w:val="20"/>
              </w:rPr>
              <w:t>200</w:t>
            </w:r>
            <w:r>
              <w:rPr>
                <w:rFonts w:ascii="Arial Narrow" w:hAnsi="Arial Narrow"/>
                <w:bCs/>
                <w:color w:val="000000"/>
                <w:sz w:val="20"/>
              </w:rPr>
              <w:t>9</w:t>
            </w:r>
            <w:r w:rsidRPr="00852372">
              <w:rPr>
                <w:rFonts w:ascii="Arial Narrow" w:hAnsi="Arial Narrow"/>
                <w:bCs/>
                <w:color w:val="000000"/>
                <w:sz w:val="20"/>
              </w:rPr>
              <w:t xml:space="preserve"> to 2012</w:t>
            </w:r>
          </w:p>
        </w:tc>
        <w:tc>
          <w:tcPr>
            <w:tcW w:w="350" w:type="dxa"/>
            <w:shd w:val="clear" w:color="auto" w:fill="auto"/>
            <w:noWrap/>
            <w:tcMar>
              <w:left w:w="57" w:type="dxa"/>
              <w:right w:w="57" w:type="dxa"/>
            </w:tcMar>
            <w:vAlign w:val="center"/>
          </w:tcPr>
          <w:p w14:paraId="6ED7D055" w14:textId="77777777" w:rsidR="00606628" w:rsidRPr="00852372" w:rsidRDefault="00606628" w:rsidP="00112B73">
            <w:pPr>
              <w:spacing w:after="0"/>
              <w:jc w:val="center"/>
              <w:rPr>
                <w:rFonts w:ascii="Arial Narrow" w:hAnsi="Arial Narrow"/>
                <w:bCs/>
                <w:color w:val="000000"/>
                <w:sz w:val="20"/>
              </w:rPr>
            </w:pPr>
            <w:r w:rsidRPr="00852372">
              <w:rPr>
                <w:rFonts w:ascii="Arial Narrow" w:hAnsi="Arial Narrow"/>
                <w:bCs/>
                <w:color w:val="000000"/>
                <w:sz w:val="20"/>
              </w:rPr>
              <w:t>2</w:t>
            </w:r>
          </w:p>
        </w:tc>
        <w:tc>
          <w:tcPr>
            <w:tcW w:w="625" w:type="dxa"/>
            <w:shd w:val="clear" w:color="auto" w:fill="D99594"/>
            <w:noWrap/>
            <w:tcMar>
              <w:left w:w="57" w:type="dxa"/>
              <w:right w:w="57" w:type="dxa"/>
            </w:tcMar>
            <w:vAlign w:val="bottom"/>
          </w:tcPr>
          <w:p w14:paraId="68603B2C"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-0.21</w:t>
            </w:r>
          </w:p>
        </w:tc>
        <w:tc>
          <w:tcPr>
            <w:tcW w:w="625" w:type="dxa"/>
            <w:shd w:val="clear" w:color="auto" w:fill="D99594"/>
            <w:noWrap/>
            <w:tcMar>
              <w:left w:w="57" w:type="dxa"/>
              <w:right w:w="57" w:type="dxa"/>
            </w:tcMar>
            <w:vAlign w:val="bottom"/>
          </w:tcPr>
          <w:p w14:paraId="4ECAEF36"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0.9</w:t>
            </w:r>
            <w:r>
              <w:rPr>
                <w:rFonts w:ascii="Arial Narrow" w:hAnsi="Arial Narrow"/>
                <w:bCs/>
                <w:color w:val="000000"/>
                <w:sz w:val="20"/>
              </w:rPr>
              <w:t>2</w:t>
            </w:r>
          </w:p>
        </w:tc>
        <w:tc>
          <w:tcPr>
            <w:tcW w:w="625" w:type="dxa"/>
            <w:shd w:val="clear" w:color="auto" w:fill="E5B8B7"/>
            <w:noWrap/>
            <w:tcMar>
              <w:left w:w="57" w:type="dxa"/>
              <w:right w:w="57" w:type="dxa"/>
            </w:tcMar>
            <w:vAlign w:val="bottom"/>
          </w:tcPr>
          <w:p w14:paraId="5A47B77E"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-0.24</w:t>
            </w:r>
          </w:p>
        </w:tc>
        <w:tc>
          <w:tcPr>
            <w:tcW w:w="625" w:type="dxa"/>
            <w:shd w:val="clear" w:color="auto" w:fill="E5B8B7"/>
            <w:noWrap/>
            <w:tcMar>
              <w:left w:w="57" w:type="dxa"/>
              <w:right w:w="57" w:type="dxa"/>
            </w:tcMar>
            <w:vAlign w:val="bottom"/>
          </w:tcPr>
          <w:p w14:paraId="0C57448D"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0.85</w:t>
            </w:r>
          </w:p>
        </w:tc>
        <w:tc>
          <w:tcPr>
            <w:tcW w:w="625" w:type="dxa"/>
            <w:shd w:val="clear" w:color="auto" w:fill="F2DBDB" w:themeFill="accent2" w:themeFillTint="33"/>
            <w:noWrap/>
            <w:tcMar>
              <w:left w:w="57" w:type="dxa"/>
              <w:right w:w="57" w:type="dxa"/>
            </w:tcMar>
            <w:vAlign w:val="bottom"/>
          </w:tcPr>
          <w:p w14:paraId="0AED9EA8"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-0.21</w:t>
            </w:r>
          </w:p>
        </w:tc>
        <w:tc>
          <w:tcPr>
            <w:tcW w:w="626" w:type="dxa"/>
            <w:shd w:val="clear" w:color="auto" w:fill="F2DBDB" w:themeFill="accent2" w:themeFillTint="33"/>
            <w:noWrap/>
            <w:tcMar>
              <w:left w:w="57" w:type="dxa"/>
              <w:right w:w="57" w:type="dxa"/>
            </w:tcMar>
            <w:vAlign w:val="bottom"/>
          </w:tcPr>
          <w:p w14:paraId="58EC46CE"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0.70</w:t>
            </w:r>
          </w:p>
        </w:tc>
        <w:tc>
          <w:tcPr>
            <w:tcW w:w="625" w:type="dxa"/>
            <w:shd w:val="clear" w:color="auto" w:fill="E6B8B7"/>
            <w:noWrap/>
            <w:tcMar>
              <w:left w:w="57" w:type="dxa"/>
              <w:right w:w="57" w:type="dxa"/>
            </w:tcMar>
            <w:vAlign w:val="bottom"/>
          </w:tcPr>
          <w:p w14:paraId="7B653A61"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-0.12</w:t>
            </w:r>
          </w:p>
        </w:tc>
        <w:tc>
          <w:tcPr>
            <w:tcW w:w="625" w:type="dxa"/>
            <w:shd w:val="clear" w:color="auto" w:fill="E6B8B7"/>
            <w:noWrap/>
            <w:tcMar>
              <w:left w:w="57" w:type="dxa"/>
              <w:right w:w="57" w:type="dxa"/>
            </w:tcMar>
            <w:vAlign w:val="bottom"/>
          </w:tcPr>
          <w:p w14:paraId="757D8A81"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w:t>
            </w:r>
            <w:r>
              <w:rPr>
                <w:rFonts w:ascii="Arial Narrow" w:hAnsi="Arial Narrow"/>
                <w:bCs/>
                <w:color w:val="000000"/>
                <w:sz w:val="20"/>
              </w:rPr>
              <w:t>82</w:t>
            </w:r>
          </w:p>
        </w:tc>
        <w:tc>
          <w:tcPr>
            <w:tcW w:w="625" w:type="dxa"/>
            <w:shd w:val="clear" w:color="auto" w:fill="F2DBDB" w:themeFill="accent2" w:themeFillTint="33"/>
            <w:noWrap/>
            <w:tcMar>
              <w:left w:w="57" w:type="dxa"/>
              <w:right w:w="57" w:type="dxa"/>
            </w:tcMar>
            <w:vAlign w:val="bottom"/>
          </w:tcPr>
          <w:p w14:paraId="6C376D06"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-0.22</w:t>
            </w:r>
          </w:p>
        </w:tc>
        <w:tc>
          <w:tcPr>
            <w:tcW w:w="625" w:type="dxa"/>
            <w:shd w:val="clear" w:color="auto" w:fill="F2DBDB" w:themeFill="accent2" w:themeFillTint="33"/>
            <w:noWrap/>
            <w:tcMar>
              <w:left w:w="57" w:type="dxa"/>
              <w:right w:w="57" w:type="dxa"/>
            </w:tcMar>
            <w:vAlign w:val="bottom"/>
          </w:tcPr>
          <w:p w14:paraId="255E6A41"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0.7</w:t>
            </w:r>
            <w:r>
              <w:rPr>
                <w:rFonts w:ascii="Arial Narrow" w:hAnsi="Arial Narrow"/>
                <w:bCs/>
                <w:color w:val="000000"/>
                <w:sz w:val="20"/>
              </w:rPr>
              <w:t>1</w:t>
            </w:r>
          </w:p>
        </w:tc>
        <w:tc>
          <w:tcPr>
            <w:tcW w:w="625" w:type="dxa"/>
            <w:shd w:val="clear" w:color="auto" w:fill="F2DBDB" w:themeFill="accent2" w:themeFillTint="33"/>
            <w:noWrap/>
            <w:tcMar>
              <w:left w:w="57" w:type="dxa"/>
              <w:right w:w="57" w:type="dxa"/>
            </w:tcMar>
            <w:vAlign w:val="bottom"/>
          </w:tcPr>
          <w:p w14:paraId="321F08D2"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-0.25</w:t>
            </w:r>
          </w:p>
        </w:tc>
        <w:tc>
          <w:tcPr>
            <w:tcW w:w="626" w:type="dxa"/>
            <w:shd w:val="clear" w:color="auto" w:fill="F2DBDB" w:themeFill="accent2" w:themeFillTint="33"/>
            <w:noWrap/>
            <w:tcMar>
              <w:left w:w="57" w:type="dxa"/>
              <w:right w:w="57" w:type="dxa"/>
            </w:tcMar>
            <w:vAlign w:val="bottom"/>
          </w:tcPr>
          <w:p w14:paraId="6BA22585"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0.7</w:t>
            </w:r>
            <w:r>
              <w:rPr>
                <w:rFonts w:ascii="Arial Narrow" w:hAnsi="Arial Narrow"/>
                <w:bCs/>
                <w:color w:val="000000"/>
                <w:sz w:val="20"/>
              </w:rPr>
              <w:t>3</w:t>
            </w:r>
          </w:p>
        </w:tc>
      </w:tr>
      <w:tr w:rsidR="00606628" w:rsidRPr="00852372" w14:paraId="289323C5" w14:textId="77777777" w:rsidTr="00C44D73">
        <w:trPr>
          <w:cantSplit/>
          <w:trHeight w:hRule="exact" w:val="301"/>
        </w:trPr>
        <w:tc>
          <w:tcPr>
            <w:tcW w:w="1074" w:type="dxa"/>
            <w:vMerge/>
            <w:shd w:val="clear" w:color="auto" w:fill="auto"/>
            <w:noWrap/>
            <w:tcMar>
              <w:left w:w="57" w:type="dxa"/>
              <w:right w:w="57" w:type="dxa"/>
            </w:tcMar>
            <w:vAlign w:val="center"/>
          </w:tcPr>
          <w:p w14:paraId="2B19CDEE" w14:textId="77777777" w:rsidR="00606628" w:rsidRPr="00852372" w:rsidRDefault="00606628" w:rsidP="00112B73">
            <w:pPr>
              <w:spacing w:after="0"/>
              <w:jc w:val="right"/>
              <w:rPr>
                <w:rFonts w:ascii="Arial Narrow" w:hAnsi="Arial Narrow"/>
                <w:bCs/>
                <w:color w:val="000000"/>
                <w:sz w:val="20"/>
              </w:rPr>
            </w:pPr>
          </w:p>
        </w:tc>
        <w:tc>
          <w:tcPr>
            <w:tcW w:w="350" w:type="dxa"/>
            <w:shd w:val="clear" w:color="auto" w:fill="auto"/>
            <w:noWrap/>
            <w:tcMar>
              <w:left w:w="57" w:type="dxa"/>
              <w:right w:w="57" w:type="dxa"/>
            </w:tcMar>
            <w:vAlign w:val="center"/>
          </w:tcPr>
          <w:p w14:paraId="17FDDE5B" w14:textId="77777777" w:rsidR="00606628" w:rsidRPr="00852372" w:rsidRDefault="00606628" w:rsidP="00112B73">
            <w:pPr>
              <w:spacing w:after="0"/>
              <w:jc w:val="center"/>
              <w:rPr>
                <w:rFonts w:ascii="Arial Narrow" w:hAnsi="Arial Narrow"/>
                <w:bCs/>
                <w:color w:val="000000"/>
                <w:sz w:val="20"/>
              </w:rPr>
            </w:pPr>
            <w:r w:rsidRPr="00852372">
              <w:rPr>
                <w:rFonts w:ascii="Arial Narrow" w:hAnsi="Arial Narrow"/>
                <w:bCs/>
                <w:color w:val="000000"/>
                <w:sz w:val="20"/>
              </w:rPr>
              <w:t>5</w:t>
            </w:r>
          </w:p>
        </w:tc>
        <w:tc>
          <w:tcPr>
            <w:tcW w:w="625" w:type="dxa"/>
            <w:shd w:val="clear" w:color="auto" w:fill="F2DBDB" w:themeFill="accent2" w:themeFillTint="33"/>
            <w:noWrap/>
            <w:tcMar>
              <w:left w:w="57" w:type="dxa"/>
              <w:right w:w="57" w:type="dxa"/>
            </w:tcMar>
            <w:vAlign w:val="bottom"/>
          </w:tcPr>
          <w:p w14:paraId="01481A0F"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-0.13</w:t>
            </w:r>
          </w:p>
        </w:tc>
        <w:tc>
          <w:tcPr>
            <w:tcW w:w="625" w:type="dxa"/>
            <w:shd w:val="clear" w:color="auto" w:fill="F2DBDB" w:themeFill="accent2" w:themeFillTint="33"/>
            <w:noWrap/>
            <w:tcMar>
              <w:left w:w="57" w:type="dxa"/>
              <w:right w:w="57" w:type="dxa"/>
            </w:tcMar>
            <w:vAlign w:val="bottom"/>
          </w:tcPr>
          <w:p w14:paraId="461C727D"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w:t>
            </w:r>
            <w:r>
              <w:rPr>
                <w:rFonts w:ascii="Arial Narrow" w:hAnsi="Arial Narrow"/>
                <w:bCs/>
                <w:color w:val="000000"/>
                <w:sz w:val="20"/>
              </w:rPr>
              <w:t>78</w:t>
            </w:r>
          </w:p>
        </w:tc>
        <w:tc>
          <w:tcPr>
            <w:tcW w:w="625" w:type="dxa"/>
            <w:shd w:val="clear" w:color="auto" w:fill="E5B8B7"/>
            <w:noWrap/>
            <w:tcMar>
              <w:left w:w="57" w:type="dxa"/>
              <w:right w:w="57" w:type="dxa"/>
            </w:tcMar>
            <w:vAlign w:val="bottom"/>
          </w:tcPr>
          <w:p w14:paraId="4C60F25D"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-0.14</w:t>
            </w:r>
          </w:p>
        </w:tc>
        <w:tc>
          <w:tcPr>
            <w:tcW w:w="625" w:type="dxa"/>
            <w:shd w:val="clear" w:color="auto" w:fill="E5B8B7"/>
            <w:noWrap/>
            <w:tcMar>
              <w:left w:w="57" w:type="dxa"/>
              <w:right w:w="57" w:type="dxa"/>
            </w:tcMar>
            <w:vAlign w:val="bottom"/>
          </w:tcPr>
          <w:p w14:paraId="3E3EADA1"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0.86</w:t>
            </w:r>
          </w:p>
        </w:tc>
        <w:tc>
          <w:tcPr>
            <w:tcW w:w="625" w:type="dxa"/>
            <w:shd w:val="clear" w:color="auto" w:fill="FFFFFF"/>
            <w:noWrap/>
            <w:tcMar>
              <w:left w:w="57" w:type="dxa"/>
              <w:right w:w="57" w:type="dxa"/>
            </w:tcMar>
            <w:vAlign w:val="bottom"/>
          </w:tcPr>
          <w:p w14:paraId="0597DD26"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-0.04</w:t>
            </w:r>
          </w:p>
        </w:tc>
        <w:tc>
          <w:tcPr>
            <w:tcW w:w="626" w:type="dxa"/>
            <w:shd w:val="clear" w:color="auto" w:fill="FFFFFF"/>
            <w:noWrap/>
            <w:tcMar>
              <w:left w:w="57" w:type="dxa"/>
              <w:right w:w="57" w:type="dxa"/>
            </w:tcMar>
            <w:vAlign w:val="bottom"/>
          </w:tcPr>
          <w:p w14:paraId="2E0B9E3F" w14:textId="77777777" w:rsidR="00606628" w:rsidRPr="00BC1E12" w:rsidRDefault="00606628" w:rsidP="00112B73">
            <w:pPr>
              <w:spacing w:after="0"/>
              <w:jc w:val="right"/>
              <w:rPr>
                <w:rFonts w:ascii="Arial Narrow" w:hAnsi="Arial Narrow"/>
                <w:bCs/>
                <w:color w:val="000000"/>
                <w:sz w:val="20"/>
              </w:rPr>
            </w:pPr>
            <w:r>
              <w:rPr>
                <w:rFonts w:ascii="Arial Narrow" w:hAnsi="Arial Narrow"/>
                <w:bCs/>
                <w:color w:val="000000"/>
                <w:sz w:val="20"/>
              </w:rPr>
              <w:t>0.55</w:t>
            </w:r>
          </w:p>
        </w:tc>
        <w:tc>
          <w:tcPr>
            <w:tcW w:w="625" w:type="dxa"/>
            <w:shd w:val="clear" w:color="auto" w:fill="E5B8B7"/>
            <w:noWrap/>
            <w:tcMar>
              <w:left w:w="57" w:type="dxa"/>
              <w:right w:w="57" w:type="dxa"/>
            </w:tcMar>
            <w:vAlign w:val="bottom"/>
          </w:tcPr>
          <w:p w14:paraId="0EC2AD82"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-0.12</w:t>
            </w:r>
          </w:p>
        </w:tc>
        <w:tc>
          <w:tcPr>
            <w:tcW w:w="625" w:type="dxa"/>
            <w:shd w:val="clear" w:color="auto" w:fill="E5B8B7"/>
            <w:noWrap/>
            <w:tcMar>
              <w:left w:w="57" w:type="dxa"/>
              <w:right w:w="57" w:type="dxa"/>
            </w:tcMar>
            <w:vAlign w:val="bottom"/>
          </w:tcPr>
          <w:p w14:paraId="5D8706CD" w14:textId="77777777" w:rsidR="00606628" w:rsidRPr="00BC1E12" w:rsidRDefault="00606628" w:rsidP="00112B73">
            <w:pPr>
              <w:spacing w:after="0"/>
              <w:jc w:val="right"/>
              <w:rPr>
                <w:rFonts w:ascii="Arial Narrow" w:hAnsi="Arial Narrow"/>
                <w:bCs/>
                <w:color w:val="000000"/>
                <w:sz w:val="20"/>
              </w:rPr>
            </w:pPr>
            <w:r>
              <w:rPr>
                <w:rFonts w:ascii="Arial Narrow" w:hAnsi="Arial Narrow"/>
                <w:bCs/>
                <w:color w:val="000000"/>
                <w:sz w:val="20"/>
              </w:rPr>
              <w:t>0.83</w:t>
            </w:r>
          </w:p>
        </w:tc>
        <w:tc>
          <w:tcPr>
            <w:tcW w:w="625" w:type="dxa"/>
            <w:shd w:val="clear" w:color="auto" w:fill="FFFFFF" w:themeFill="background1"/>
            <w:noWrap/>
            <w:tcMar>
              <w:left w:w="57" w:type="dxa"/>
              <w:right w:w="57" w:type="dxa"/>
            </w:tcMar>
            <w:vAlign w:val="bottom"/>
          </w:tcPr>
          <w:p w14:paraId="201CD79E"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-0.10</w:t>
            </w:r>
          </w:p>
        </w:tc>
        <w:tc>
          <w:tcPr>
            <w:tcW w:w="625" w:type="dxa"/>
            <w:shd w:val="clear" w:color="auto" w:fill="FFFFFF" w:themeFill="background1"/>
            <w:noWrap/>
            <w:tcMar>
              <w:left w:w="57" w:type="dxa"/>
              <w:right w:w="57" w:type="dxa"/>
            </w:tcMar>
            <w:vAlign w:val="bottom"/>
          </w:tcPr>
          <w:p w14:paraId="0D888684"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0.6</w:t>
            </w:r>
            <w:r>
              <w:rPr>
                <w:rFonts w:ascii="Arial Narrow" w:hAnsi="Arial Narrow"/>
                <w:bCs/>
                <w:color w:val="000000"/>
                <w:sz w:val="20"/>
              </w:rPr>
              <w:t>1</w:t>
            </w:r>
          </w:p>
        </w:tc>
        <w:tc>
          <w:tcPr>
            <w:tcW w:w="625" w:type="dxa"/>
            <w:shd w:val="clear" w:color="auto" w:fill="F2DBDB" w:themeFill="accent2" w:themeFillTint="33"/>
            <w:noWrap/>
            <w:tcMar>
              <w:left w:w="57" w:type="dxa"/>
              <w:right w:w="57" w:type="dxa"/>
            </w:tcMar>
            <w:vAlign w:val="bottom"/>
          </w:tcPr>
          <w:p w14:paraId="499D3FAF"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-0.25</w:t>
            </w:r>
          </w:p>
        </w:tc>
        <w:tc>
          <w:tcPr>
            <w:tcW w:w="626" w:type="dxa"/>
            <w:shd w:val="clear" w:color="auto" w:fill="F2DBDB" w:themeFill="accent2" w:themeFillTint="33"/>
            <w:noWrap/>
            <w:tcMar>
              <w:left w:w="57" w:type="dxa"/>
              <w:right w:w="57" w:type="dxa"/>
            </w:tcMar>
            <w:vAlign w:val="bottom"/>
          </w:tcPr>
          <w:p w14:paraId="30A0EC39"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0.7</w:t>
            </w:r>
            <w:r>
              <w:rPr>
                <w:rFonts w:ascii="Arial Narrow" w:hAnsi="Arial Narrow"/>
                <w:bCs/>
                <w:color w:val="000000"/>
                <w:sz w:val="20"/>
              </w:rPr>
              <w:t>1</w:t>
            </w:r>
          </w:p>
        </w:tc>
      </w:tr>
      <w:tr w:rsidR="00606628" w:rsidRPr="00852372" w14:paraId="6DB25C6E" w14:textId="77777777" w:rsidTr="00112B73">
        <w:trPr>
          <w:cantSplit/>
          <w:trHeight w:hRule="exact" w:val="301"/>
        </w:trPr>
        <w:tc>
          <w:tcPr>
            <w:tcW w:w="1074" w:type="dxa"/>
            <w:vMerge w:val="restart"/>
            <w:shd w:val="clear" w:color="auto" w:fill="auto"/>
            <w:noWrap/>
            <w:tcMar>
              <w:left w:w="57" w:type="dxa"/>
              <w:right w:w="57" w:type="dxa"/>
            </w:tcMar>
            <w:vAlign w:val="center"/>
          </w:tcPr>
          <w:p w14:paraId="2FD006F9" w14:textId="77777777" w:rsidR="00606628" w:rsidRPr="00852372" w:rsidRDefault="00606628" w:rsidP="00112B73">
            <w:pPr>
              <w:spacing w:after="0"/>
              <w:rPr>
                <w:rFonts w:ascii="Arial Narrow" w:hAnsi="Arial Narrow"/>
                <w:bCs/>
                <w:color w:val="000000"/>
                <w:sz w:val="20"/>
              </w:rPr>
            </w:pPr>
            <w:r w:rsidRPr="00852372">
              <w:rPr>
                <w:rFonts w:ascii="Arial Narrow" w:hAnsi="Arial Narrow"/>
                <w:bCs/>
                <w:color w:val="000000"/>
                <w:sz w:val="20"/>
              </w:rPr>
              <w:t>2012 to 2016</w:t>
            </w:r>
          </w:p>
        </w:tc>
        <w:tc>
          <w:tcPr>
            <w:tcW w:w="350" w:type="dxa"/>
            <w:shd w:val="clear" w:color="auto" w:fill="auto"/>
            <w:noWrap/>
            <w:tcMar>
              <w:left w:w="57" w:type="dxa"/>
              <w:right w:w="57" w:type="dxa"/>
            </w:tcMar>
            <w:vAlign w:val="center"/>
          </w:tcPr>
          <w:p w14:paraId="5AA84018" w14:textId="77777777" w:rsidR="00606628" w:rsidRPr="00852372" w:rsidRDefault="00606628" w:rsidP="00112B73">
            <w:pPr>
              <w:spacing w:after="0"/>
              <w:jc w:val="center"/>
              <w:rPr>
                <w:rFonts w:ascii="Arial Narrow" w:hAnsi="Arial Narrow"/>
                <w:bCs/>
                <w:color w:val="000000"/>
                <w:sz w:val="20"/>
              </w:rPr>
            </w:pPr>
            <w:r w:rsidRPr="00852372">
              <w:rPr>
                <w:rFonts w:ascii="Arial Narrow" w:hAnsi="Arial Narrow"/>
                <w:bCs/>
                <w:color w:val="000000"/>
                <w:sz w:val="20"/>
              </w:rPr>
              <w:t>2</w:t>
            </w:r>
          </w:p>
        </w:tc>
        <w:tc>
          <w:tcPr>
            <w:tcW w:w="625" w:type="dxa"/>
            <w:shd w:val="clear" w:color="auto" w:fill="548DD4"/>
            <w:noWrap/>
            <w:tcMar>
              <w:left w:w="57" w:type="dxa"/>
              <w:right w:w="57" w:type="dxa"/>
            </w:tcMar>
            <w:vAlign w:val="bottom"/>
          </w:tcPr>
          <w:p w14:paraId="03AFB70F"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0.20</w:t>
            </w:r>
          </w:p>
        </w:tc>
        <w:tc>
          <w:tcPr>
            <w:tcW w:w="625" w:type="dxa"/>
            <w:shd w:val="clear" w:color="auto" w:fill="548DD4"/>
            <w:noWrap/>
            <w:tcMar>
              <w:left w:w="57" w:type="dxa"/>
              <w:right w:w="57" w:type="dxa"/>
            </w:tcMar>
            <w:vAlign w:val="bottom"/>
          </w:tcPr>
          <w:p w14:paraId="070E61DE"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0.92</w:t>
            </w:r>
          </w:p>
        </w:tc>
        <w:tc>
          <w:tcPr>
            <w:tcW w:w="625" w:type="dxa"/>
            <w:shd w:val="clear" w:color="auto" w:fill="548DD4"/>
            <w:noWrap/>
            <w:tcMar>
              <w:left w:w="57" w:type="dxa"/>
              <w:right w:w="57" w:type="dxa"/>
            </w:tcMar>
            <w:vAlign w:val="bottom"/>
          </w:tcPr>
          <w:p w14:paraId="4DCD2397"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0.29</w:t>
            </w:r>
          </w:p>
        </w:tc>
        <w:tc>
          <w:tcPr>
            <w:tcW w:w="625" w:type="dxa"/>
            <w:shd w:val="clear" w:color="auto" w:fill="548DD4"/>
            <w:noWrap/>
            <w:tcMar>
              <w:left w:w="57" w:type="dxa"/>
              <w:right w:w="57" w:type="dxa"/>
            </w:tcMar>
            <w:vAlign w:val="bottom"/>
          </w:tcPr>
          <w:p w14:paraId="51DB3C8F"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0.9</w:t>
            </w:r>
            <w:r>
              <w:rPr>
                <w:rFonts w:ascii="Arial Narrow" w:hAnsi="Arial Narrow"/>
                <w:bCs/>
                <w:color w:val="000000"/>
                <w:sz w:val="20"/>
              </w:rPr>
              <w:t>3</w:t>
            </w:r>
          </w:p>
        </w:tc>
        <w:tc>
          <w:tcPr>
            <w:tcW w:w="625" w:type="dxa"/>
            <w:shd w:val="clear" w:color="auto" w:fill="FFFFFF"/>
            <w:noWrap/>
            <w:tcMar>
              <w:left w:w="57" w:type="dxa"/>
              <w:right w:w="57" w:type="dxa"/>
            </w:tcMar>
            <w:vAlign w:val="bottom"/>
          </w:tcPr>
          <w:p w14:paraId="62AF1895"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0.04</w:t>
            </w:r>
          </w:p>
        </w:tc>
        <w:tc>
          <w:tcPr>
            <w:tcW w:w="626" w:type="dxa"/>
            <w:shd w:val="clear" w:color="auto" w:fill="FFFFFF"/>
            <w:noWrap/>
            <w:tcMar>
              <w:left w:w="57" w:type="dxa"/>
              <w:right w:w="57" w:type="dxa"/>
            </w:tcMar>
            <w:vAlign w:val="bottom"/>
          </w:tcPr>
          <w:p w14:paraId="724EF5C6" w14:textId="77777777" w:rsidR="00606628" w:rsidRPr="00BC1E12" w:rsidRDefault="00606628" w:rsidP="00112B73">
            <w:pPr>
              <w:spacing w:after="0"/>
              <w:jc w:val="right"/>
              <w:rPr>
                <w:rFonts w:ascii="Arial Narrow" w:hAnsi="Arial Narrow"/>
                <w:bCs/>
                <w:color w:val="000000"/>
                <w:sz w:val="20"/>
              </w:rPr>
            </w:pPr>
            <w:r>
              <w:rPr>
                <w:rFonts w:ascii="Arial Narrow" w:hAnsi="Arial Narrow"/>
                <w:bCs/>
                <w:color w:val="000000"/>
                <w:sz w:val="20"/>
              </w:rPr>
              <w:t>0.55</w:t>
            </w:r>
          </w:p>
        </w:tc>
        <w:tc>
          <w:tcPr>
            <w:tcW w:w="625" w:type="dxa"/>
            <w:shd w:val="clear" w:color="auto" w:fill="548DD4"/>
            <w:noWrap/>
            <w:tcMar>
              <w:left w:w="57" w:type="dxa"/>
              <w:right w:w="57" w:type="dxa"/>
            </w:tcMar>
            <w:vAlign w:val="bottom"/>
          </w:tcPr>
          <w:p w14:paraId="5A37B17A"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0.07</w:t>
            </w:r>
          </w:p>
        </w:tc>
        <w:tc>
          <w:tcPr>
            <w:tcW w:w="625" w:type="dxa"/>
            <w:shd w:val="clear" w:color="auto" w:fill="548DD4"/>
            <w:noWrap/>
            <w:tcMar>
              <w:left w:w="57" w:type="dxa"/>
              <w:right w:w="57" w:type="dxa"/>
            </w:tcMar>
            <w:vAlign w:val="bottom"/>
          </w:tcPr>
          <w:p w14:paraId="25A07B99"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0.91</w:t>
            </w:r>
          </w:p>
        </w:tc>
        <w:tc>
          <w:tcPr>
            <w:tcW w:w="625" w:type="dxa"/>
            <w:shd w:val="clear" w:color="auto" w:fill="FFFFFF"/>
            <w:noWrap/>
            <w:tcMar>
              <w:left w:w="57" w:type="dxa"/>
              <w:right w:w="57" w:type="dxa"/>
            </w:tcMar>
            <w:vAlign w:val="bottom"/>
          </w:tcPr>
          <w:p w14:paraId="18B2741A"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0.27</w:t>
            </w:r>
          </w:p>
        </w:tc>
        <w:tc>
          <w:tcPr>
            <w:tcW w:w="625" w:type="dxa"/>
            <w:shd w:val="clear" w:color="auto" w:fill="FFFFFF"/>
            <w:noWrap/>
            <w:tcMar>
              <w:left w:w="57" w:type="dxa"/>
              <w:right w:w="57" w:type="dxa"/>
            </w:tcMar>
            <w:vAlign w:val="bottom"/>
          </w:tcPr>
          <w:p w14:paraId="111CC2EB"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0.66</w:t>
            </w:r>
          </w:p>
        </w:tc>
        <w:tc>
          <w:tcPr>
            <w:tcW w:w="625" w:type="dxa"/>
            <w:shd w:val="clear" w:color="auto" w:fill="8DB3E2"/>
            <w:noWrap/>
            <w:tcMar>
              <w:left w:w="57" w:type="dxa"/>
              <w:right w:w="57" w:type="dxa"/>
            </w:tcMar>
            <w:vAlign w:val="bottom"/>
          </w:tcPr>
          <w:p w14:paraId="176E7110"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0.33</w:t>
            </w:r>
          </w:p>
        </w:tc>
        <w:tc>
          <w:tcPr>
            <w:tcW w:w="626" w:type="dxa"/>
            <w:shd w:val="clear" w:color="auto" w:fill="8DB3E2"/>
            <w:noWrap/>
            <w:tcMar>
              <w:left w:w="57" w:type="dxa"/>
              <w:right w:w="57" w:type="dxa"/>
            </w:tcMar>
            <w:vAlign w:val="bottom"/>
          </w:tcPr>
          <w:p w14:paraId="02F4356E"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0.8</w:t>
            </w:r>
            <w:r>
              <w:rPr>
                <w:rFonts w:ascii="Arial Narrow" w:hAnsi="Arial Narrow"/>
                <w:bCs/>
                <w:color w:val="000000"/>
                <w:sz w:val="20"/>
              </w:rPr>
              <w:t>0</w:t>
            </w:r>
          </w:p>
        </w:tc>
      </w:tr>
      <w:tr w:rsidR="00606628" w:rsidRPr="00852372" w14:paraId="599319A8" w14:textId="77777777" w:rsidTr="00C44D73">
        <w:trPr>
          <w:cantSplit/>
          <w:trHeight w:hRule="exact" w:val="301"/>
        </w:trPr>
        <w:tc>
          <w:tcPr>
            <w:tcW w:w="1074" w:type="dxa"/>
            <w:vMerge/>
            <w:shd w:val="clear" w:color="auto" w:fill="auto"/>
            <w:noWrap/>
            <w:tcMar>
              <w:left w:w="57" w:type="dxa"/>
              <w:right w:w="57" w:type="dxa"/>
            </w:tcMar>
            <w:vAlign w:val="center"/>
          </w:tcPr>
          <w:p w14:paraId="6E90CCE4" w14:textId="77777777" w:rsidR="00606628" w:rsidRPr="00852372" w:rsidRDefault="00606628" w:rsidP="00112B73">
            <w:pPr>
              <w:spacing w:after="0"/>
              <w:jc w:val="right"/>
              <w:rPr>
                <w:rFonts w:ascii="Arial Narrow" w:hAnsi="Arial Narrow"/>
                <w:bCs/>
                <w:color w:val="000000"/>
                <w:sz w:val="20"/>
              </w:rPr>
            </w:pPr>
          </w:p>
        </w:tc>
        <w:tc>
          <w:tcPr>
            <w:tcW w:w="350" w:type="dxa"/>
            <w:shd w:val="clear" w:color="auto" w:fill="auto"/>
            <w:noWrap/>
            <w:tcMar>
              <w:left w:w="57" w:type="dxa"/>
              <w:right w:w="57" w:type="dxa"/>
            </w:tcMar>
            <w:vAlign w:val="center"/>
          </w:tcPr>
          <w:p w14:paraId="44112B02" w14:textId="77777777" w:rsidR="00606628" w:rsidRPr="00852372" w:rsidRDefault="00606628" w:rsidP="00112B73">
            <w:pPr>
              <w:spacing w:after="0"/>
              <w:jc w:val="center"/>
              <w:rPr>
                <w:rFonts w:ascii="Arial Narrow" w:hAnsi="Arial Narrow"/>
                <w:bCs/>
                <w:color w:val="000000"/>
                <w:sz w:val="20"/>
              </w:rPr>
            </w:pPr>
            <w:r w:rsidRPr="00852372">
              <w:rPr>
                <w:rFonts w:ascii="Arial Narrow" w:hAnsi="Arial Narrow"/>
                <w:bCs/>
                <w:color w:val="000000"/>
                <w:sz w:val="20"/>
              </w:rPr>
              <w:t>5</w:t>
            </w:r>
          </w:p>
        </w:tc>
        <w:tc>
          <w:tcPr>
            <w:tcW w:w="625" w:type="dxa"/>
            <w:shd w:val="clear" w:color="auto" w:fill="C6D9F1" w:themeFill="text2" w:themeFillTint="33"/>
            <w:noWrap/>
            <w:tcMar>
              <w:left w:w="57" w:type="dxa"/>
              <w:right w:w="57" w:type="dxa"/>
            </w:tcMar>
            <w:vAlign w:val="bottom"/>
          </w:tcPr>
          <w:p w14:paraId="61ABC005"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0.06</w:t>
            </w:r>
          </w:p>
        </w:tc>
        <w:tc>
          <w:tcPr>
            <w:tcW w:w="625" w:type="dxa"/>
            <w:shd w:val="clear" w:color="auto" w:fill="C6D9F1" w:themeFill="text2" w:themeFillTint="33"/>
            <w:noWrap/>
            <w:tcMar>
              <w:left w:w="57" w:type="dxa"/>
              <w:right w:w="57" w:type="dxa"/>
            </w:tcMar>
            <w:vAlign w:val="bottom"/>
          </w:tcPr>
          <w:p w14:paraId="14F266EC"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0.7</w:t>
            </w:r>
            <w:r>
              <w:rPr>
                <w:rFonts w:ascii="Arial Narrow" w:hAnsi="Arial Narrow"/>
                <w:bCs/>
                <w:color w:val="000000"/>
                <w:sz w:val="20"/>
              </w:rPr>
              <w:t>2</w:t>
            </w:r>
          </w:p>
        </w:tc>
        <w:tc>
          <w:tcPr>
            <w:tcW w:w="625" w:type="dxa"/>
            <w:shd w:val="clear" w:color="auto" w:fill="C6D9F1" w:themeFill="text2" w:themeFillTint="33"/>
            <w:noWrap/>
            <w:tcMar>
              <w:left w:w="57" w:type="dxa"/>
              <w:right w:w="57" w:type="dxa"/>
            </w:tcMar>
            <w:vAlign w:val="bottom"/>
          </w:tcPr>
          <w:p w14:paraId="32631CD0"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0.14</w:t>
            </w:r>
          </w:p>
        </w:tc>
        <w:tc>
          <w:tcPr>
            <w:tcW w:w="625" w:type="dxa"/>
            <w:shd w:val="clear" w:color="auto" w:fill="C6D9F1" w:themeFill="text2" w:themeFillTint="33"/>
            <w:noWrap/>
            <w:tcMar>
              <w:left w:w="57" w:type="dxa"/>
              <w:right w:w="57" w:type="dxa"/>
            </w:tcMar>
            <w:vAlign w:val="bottom"/>
          </w:tcPr>
          <w:p w14:paraId="1F55306E"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0.7</w:t>
            </w:r>
            <w:r>
              <w:rPr>
                <w:rFonts w:ascii="Arial Narrow" w:hAnsi="Arial Narrow"/>
                <w:bCs/>
                <w:color w:val="000000"/>
                <w:sz w:val="20"/>
              </w:rPr>
              <w:t>5</w:t>
            </w:r>
          </w:p>
        </w:tc>
        <w:tc>
          <w:tcPr>
            <w:tcW w:w="625" w:type="dxa"/>
            <w:shd w:val="clear" w:color="auto" w:fill="F2DBDB" w:themeFill="accent2" w:themeFillTint="33"/>
            <w:noWrap/>
            <w:tcMar>
              <w:left w:w="57" w:type="dxa"/>
              <w:right w:w="57" w:type="dxa"/>
            </w:tcMar>
            <w:vAlign w:val="bottom"/>
          </w:tcPr>
          <w:p w14:paraId="222FAFC6"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-0.10</w:t>
            </w:r>
          </w:p>
        </w:tc>
        <w:tc>
          <w:tcPr>
            <w:tcW w:w="626" w:type="dxa"/>
            <w:shd w:val="clear" w:color="auto" w:fill="F2DBDB" w:themeFill="accent2" w:themeFillTint="33"/>
            <w:noWrap/>
            <w:tcMar>
              <w:left w:w="57" w:type="dxa"/>
              <w:right w:w="57" w:type="dxa"/>
            </w:tcMar>
            <w:vAlign w:val="bottom"/>
          </w:tcPr>
          <w:p w14:paraId="1A77012B" w14:textId="77777777" w:rsidR="00606628" w:rsidRPr="00BC1E12" w:rsidRDefault="00606628" w:rsidP="00112B73">
            <w:pPr>
              <w:spacing w:after="0"/>
              <w:jc w:val="right"/>
              <w:rPr>
                <w:rFonts w:ascii="Arial Narrow" w:hAnsi="Arial Narrow"/>
                <w:bCs/>
                <w:color w:val="000000"/>
                <w:sz w:val="20"/>
              </w:rPr>
            </w:pPr>
            <w:r>
              <w:rPr>
                <w:rFonts w:ascii="Arial Narrow" w:hAnsi="Arial Narrow"/>
                <w:bCs/>
                <w:color w:val="000000"/>
                <w:sz w:val="20"/>
              </w:rPr>
              <w:t>0.74</w:t>
            </w:r>
          </w:p>
        </w:tc>
        <w:tc>
          <w:tcPr>
            <w:tcW w:w="625" w:type="dxa"/>
            <w:shd w:val="clear" w:color="auto" w:fill="8DB3E2"/>
            <w:noWrap/>
            <w:tcMar>
              <w:left w:w="57" w:type="dxa"/>
              <w:right w:w="57" w:type="dxa"/>
            </w:tcMar>
            <w:vAlign w:val="bottom"/>
          </w:tcPr>
          <w:p w14:paraId="627497F9"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0.16</w:t>
            </w:r>
          </w:p>
        </w:tc>
        <w:tc>
          <w:tcPr>
            <w:tcW w:w="625" w:type="dxa"/>
            <w:shd w:val="clear" w:color="auto" w:fill="8DB3E2"/>
            <w:noWrap/>
            <w:tcMar>
              <w:left w:w="57" w:type="dxa"/>
              <w:right w:w="57" w:type="dxa"/>
            </w:tcMar>
            <w:vAlign w:val="bottom"/>
          </w:tcPr>
          <w:p w14:paraId="2DF724FE"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0.83</w:t>
            </w:r>
          </w:p>
        </w:tc>
        <w:tc>
          <w:tcPr>
            <w:tcW w:w="625" w:type="dxa"/>
            <w:shd w:val="clear" w:color="auto" w:fill="C6D9F1" w:themeFill="text2" w:themeFillTint="33"/>
            <w:noWrap/>
            <w:tcMar>
              <w:left w:w="57" w:type="dxa"/>
              <w:right w:w="57" w:type="dxa"/>
            </w:tcMar>
            <w:vAlign w:val="bottom"/>
          </w:tcPr>
          <w:p w14:paraId="7D52EF93"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0.22</w:t>
            </w:r>
          </w:p>
        </w:tc>
        <w:tc>
          <w:tcPr>
            <w:tcW w:w="625" w:type="dxa"/>
            <w:shd w:val="clear" w:color="auto" w:fill="C6D9F1" w:themeFill="text2" w:themeFillTint="33"/>
            <w:noWrap/>
            <w:tcMar>
              <w:left w:w="57" w:type="dxa"/>
              <w:right w:w="57" w:type="dxa"/>
            </w:tcMar>
            <w:vAlign w:val="bottom"/>
          </w:tcPr>
          <w:p w14:paraId="71BDC94B"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0.7</w:t>
            </w:r>
            <w:r>
              <w:rPr>
                <w:rFonts w:ascii="Arial Narrow" w:hAnsi="Arial Narrow"/>
                <w:bCs/>
                <w:color w:val="000000"/>
                <w:sz w:val="20"/>
              </w:rPr>
              <w:t>1</w:t>
            </w:r>
          </w:p>
        </w:tc>
        <w:tc>
          <w:tcPr>
            <w:tcW w:w="625" w:type="dxa"/>
            <w:shd w:val="clear" w:color="auto" w:fill="auto"/>
            <w:noWrap/>
            <w:tcMar>
              <w:left w:w="57" w:type="dxa"/>
              <w:right w:w="57" w:type="dxa"/>
            </w:tcMar>
            <w:vAlign w:val="bottom"/>
          </w:tcPr>
          <w:p w14:paraId="18E03BDC"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-0.06</w:t>
            </w:r>
          </w:p>
        </w:tc>
        <w:tc>
          <w:tcPr>
            <w:tcW w:w="626" w:type="dxa"/>
            <w:shd w:val="clear" w:color="auto" w:fill="auto"/>
            <w:noWrap/>
            <w:tcMar>
              <w:left w:w="57" w:type="dxa"/>
              <w:right w:w="57" w:type="dxa"/>
            </w:tcMar>
            <w:vAlign w:val="bottom"/>
          </w:tcPr>
          <w:p w14:paraId="6D6512E7" w14:textId="77777777" w:rsidR="00606628" w:rsidRPr="00BC1E12" w:rsidRDefault="00606628" w:rsidP="00112B73">
            <w:pPr>
              <w:spacing w:after="0"/>
              <w:jc w:val="right"/>
              <w:rPr>
                <w:rFonts w:ascii="Arial Narrow" w:hAnsi="Arial Narrow"/>
                <w:bCs/>
                <w:color w:val="000000"/>
                <w:sz w:val="20"/>
              </w:rPr>
            </w:pPr>
            <w:r w:rsidRPr="00BC1E12">
              <w:rPr>
                <w:rFonts w:ascii="Arial Narrow" w:hAnsi="Arial Narrow"/>
                <w:bCs/>
                <w:color w:val="000000"/>
                <w:sz w:val="20"/>
              </w:rPr>
              <w:t>0.5</w:t>
            </w:r>
            <w:r>
              <w:rPr>
                <w:rFonts w:ascii="Arial Narrow" w:hAnsi="Arial Narrow"/>
                <w:bCs/>
                <w:color w:val="000000"/>
                <w:sz w:val="20"/>
              </w:rPr>
              <w:t>2</w:t>
            </w:r>
          </w:p>
        </w:tc>
      </w:tr>
      <w:tr w:rsidR="00606628" w:rsidRPr="00852372" w14:paraId="43F47A0B" w14:textId="77777777" w:rsidTr="00C44D73">
        <w:trPr>
          <w:cantSplit/>
          <w:trHeight w:hRule="exact" w:val="301"/>
        </w:trPr>
        <w:tc>
          <w:tcPr>
            <w:tcW w:w="1074" w:type="dxa"/>
            <w:vMerge w:val="restart"/>
            <w:shd w:val="clear" w:color="auto" w:fill="auto"/>
            <w:noWrap/>
            <w:tcMar>
              <w:left w:w="57" w:type="dxa"/>
              <w:right w:w="57" w:type="dxa"/>
            </w:tcMar>
            <w:vAlign w:val="center"/>
          </w:tcPr>
          <w:p w14:paraId="7B4C380A" w14:textId="77777777" w:rsidR="00606628" w:rsidRPr="00852372" w:rsidRDefault="00606628" w:rsidP="00112B73">
            <w:pPr>
              <w:spacing w:after="0"/>
              <w:jc w:val="right"/>
              <w:rPr>
                <w:rFonts w:ascii="Arial Narrow" w:hAnsi="Arial Narrow"/>
                <w:bCs/>
                <w:color w:val="000000"/>
                <w:sz w:val="20"/>
              </w:rPr>
            </w:pPr>
            <w:r>
              <w:rPr>
                <w:rFonts w:ascii="Arial Narrow" w:hAnsi="Arial Narrow"/>
                <w:bCs/>
                <w:color w:val="000000"/>
                <w:sz w:val="20"/>
              </w:rPr>
              <w:t>2016 to 2017</w:t>
            </w:r>
          </w:p>
        </w:tc>
        <w:tc>
          <w:tcPr>
            <w:tcW w:w="350" w:type="dxa"/>
            <w:shd w:val="clear" w:color="auto" w:fill="auto"/>
            <w:noWrap/>
            <w:tcMar>
              <w:left w:w="57" w:type="dxa"/>
              <w:right w:w="57" w:type="dxa"/>
            </w:tcMar>
            <w:vAlign w:val="center"/>
          </w:tcPr>
          <w:p w14:paraId="360EDB0F" w14:textId="77777777" w:rsidR="00606628" w:rsidRPr="00852372" w:rsidRDefault="00606628" w:rsidP="00112B73">
            <w:pPr>
              <w:spacing w:after="0"/>
              <w:jc w:val="center"/>
              <w:rPr>
                <w:rFonts w:ascii="Arial Narrow" w:hAnsi="Arial Narrow"/>
                <w:bCs/>
                <w:color w:val="000000"/>
                <w:sz w:val="20"/>
              </w:rPr>
            </w:pPr>
            <w:r>
              <w:rPr>
                <w:rFonts w:ascii="Arial Narrow" w:hAnsi="Arial Narrow"/>
                <w:bCs/>
                <w:color w:val="000000"/>
                <w:sz w:val="20"/>
              </w:rPr>
              <w:t>2</w:t>
            </w:r>
          </w:p>
        </w:tc>
        <w:tc>
          <w:tcPr>
            <w:tcW w:w="625" w:type="dxa"/>
            <w:shd w:val="clear" w:color="auto" w:fill="F2DBDB" w:themeFill="accent2" w:themeFillTint="33"/>
            <w:noWrap/>
            <w:tcMar>
              <w:left w:w="57" w:type="dxa"/>
              <w:right w:w="57" w:type="dxa"/>
            </w:tcMar>
            <w:vAlign w:val="center"/>
          </w:tcPr>
          <w:p w14:paraId="72F69900" w14:textId="77777777" w:rsidR="00606628" w:rsidRPr="00BC1E12" w:rsidRDefault="00606628" w:rsidP="00112B73">
            <w:pPr>
              <w:spacing w:after="0"/>
              <w:jc w:val="center"/>
              <w:rPr>
                <w:rFonts w:ascii="Arial Narrow" w:hAnsi="Arial Narrow"/>
                <w:bCs/>
                <w:color w:val="000000"/>
                <w:sz w:val="20"/>
              </w:rPr>
            </w:pPr>
            <w:r w:rsidRPr="00BC1E12">
              <w:rPr>
                <w:rFonts w:ascii="Arial Narrow" w:hAnsi="Arial Narrow"/>
                <w:bCs/>
                <w:color w:val="000000"/>
                <w:sz w:val="20"/>
              </w:rPr>
              <w:t>-0.06</w:t>
            </w:r>
          </w:p>
        </w:tc>
        <w:tc>
          <w:tcPr>
            <w:tcW w:w="625" w:type="dxa"/>
            <w:shd w:val="clear" w:color="auto" w:fill="F2DBDB" w:themeFill="accent2" w:themeFillTint="33"/>
            <w:noWrap/>
            <w:tcMar>
              <w:left w:w="57" w:type="dxa"/>
              <w:right w:w="57" w:type="dxa"/>
            </w:tcMar>
            <w:vAlign w:val="center"/>
          </w:tcPr>
          <w:p w14:paraId="79588AEF" w14:textId="77777777" w:rsidR="00606628" w:rsidRPr="00BC1E12" w:rsidRDefault="00606628" w:rsidP="00112B73">
            <w:pPr>
              <w:spacing w:after="0"/>
              <w:jc w:val="center"/>
              <w:rPr>
                <w:rFonts w:ascii="Arial Narrow" w:hAnsi="Arial Narrow"/>
                <w:bCs/>
                <w:color w:val="000000"/>
                <w:sz w:val="20"/>
              </w:rPr>
            </w:pPr>
            <w:r>
              <w:rPr>
                <w:rFonts w:ascii="Arial Narrow" w:hAnsi="Arial Narrow"/>
                <w:bCs/>
                <w:color w:val="000000"/>
                <w:sz w:val="20"/>
              </w:rPr>
              <w:t>0.76</w:t>
            </w:r>
          </w:p>
        </w:tc>
        <w:tc>
          <w:tcPr>
            <w:tcW w:w="625" w:type="dxa"/>
            <w:shd w:val="clear" w:color="auto" w:fill="DA9694"/>
            <w:noWrap/>
            <w:tcMar>
              <w:left w:w="57" w:type="dxa"/>
              <w:right w:w="57" w:type="dxa"/>
            </w:tcMar>
            <w:vAlign w:val="center"/>
          </w:tcPr>
          <w:p w14:paraId="54D6EF6E" w14:textId="77777777" w:rsidR="00606628" w:rsidRPr="00BC1E12" w:rsidRDefault="00606628" w:rsidP="00112B73">
            <w:pPr>
              <w:jc w:val="center"/>
              <w:rPr>
                <w:rFonts w:ascii="Arial Narrow" w:hAnsi="Arial Narrow"/>
                <w:color w:val="000000"/>
                <w:sz w:val="20"/>
              </w:rPr>
            </w:pPr>
            <w:r w:rsidRPr="00BC1E12">
              <w:rPr>
                <w:rFonts w:ascii="Arial Narrow" w:hAnsi="Arial Narrow"/>
                <w:color w:val="000000"/>
                <w:sz w:val="20"/>
              </w:rPr>
              <w:t>-0.18</w:t>
            </w:r>
          </w:p>
        </w:tc>
        <w:tc>
          <w:tcPr>
            <w:tcW w:w="625" w:type="dxa"/>
            <w:shd w:val="clear" w:color="auto" w:fill="DA9694"/>
            <w:noWrap/>
            <w:tcMar>
              <w:left w:w="57" w:type="dxa"/>
              <w:right w:w="57" w:type="dxa"/>
            </w:tcMar>
            <w:vAlign w:val="center"/>
          </w:tcPr>
          <w:p w14:paraId="54AC2B7F" w14:textId="77777777" w:rsidR="00606628" w:rsidRPr="00BC1E12" w:rsidRDefault="00606628" w:rsidP="00112B73">
            <w:pPr>
              <w:jc w:val="center"/>
              <w:rPr>
                <w:rFonts w:ascii="Arial Narrow" w:hAnsi="Arial Narrow"/>
                <w:color w:val="000000"/>
                <w:sz w:val="20"/>
              </w:rPr>
            </w:pPr>
            <w:r w:rsidRPr="00BC1E12">
              <w:rPr>
                <w:rFonts w:ascii="Arial Narrow" w:hAnsi="Arial Narrow"/>
                <w:color w:val="000000"/>
                <w:sz w:val="20"/>
              </w:rPr>
              <w:t>0.9</w:t>
            </w:r>
            <w:r>
              <w:rPr>
                <w:rFonts w:ascii="Arial Narrow" w:hAnsi="Arial Narrow"/>
                <w:color w:val="000000"/>
                <w:sz w:val="20"/>
              </w:rPr>
              <w:t>0</w:t>
            </w:r>
          </w:p>
        </w:tc>
        <w:tc>
          <w:tcPr>
            <w:tcW w:w="625" w:type="dxa"/>
            <w:shd w:val="clear" w:color="auto" w:fill="auto"/>
            <w:noWrap/>
            <w:tcMar>
              <w:left w:w="57" w:type="dxa"/>
              <w:right w:w="57" w:type="dxa"/>
            </w:tcMar>
            <w:vAlign w:val="center"/>
          </w:tcPr>
          <w:p w14:paraId="6C0D8D7D" w14:textId="77777777" w:rsidR="00606628" w:rsidRPr="00BC1E12" w:rsidRDefault="00606628" w:rsidP="00112B73">
            <w:pPr>
              <w:jc w:val="center"/>
              <w:rPr>
                <w:rFonts w:ascii="Arial Narrow" w:hAnsi="Arial Narrow"/>
                <w:color w:val="000000"/>
                <w:sz w:val="20"/>
              </w:rPr>
            </w:pPr>
            <w:r w:rsidRPr="00BC1E12">
              <w:rPr>
                <w:rFonts w:ascii="Arial Narrow" w:hAnsi="Arial Narrow"/>
                <w:color w:val="000000"/>
                <w:sz w:val="20"/>
              </w:rPr>
              <w:t>0.09</w:t>
            </w:r>
          </w:p>
        </w:tc>
        <w:tc>
          <w:tcPr>
            <w:tcW w:w="626" w:type="dxa"/>
            <w:shd w:val="clear" w:color="auto" w:fill="auto"/>
            <w:noWrap/>
            <w:tcMar>
              <w:left w:w="57" w:type="dxa"/>
              <w:right w:w="57" w:type="dxa"/>
            </w:tcMar>
            <w:vAlign w:val="center"/>
          </w:tcPr>
          <w:p w14:paraId="5EF9D2E5" w14:textId="77777777" w:rsidR="00606628" w:rsidRPr="00BC1E12" w:rsidRDefault="00606628" w:rsidP="00112B73">
            <w:pPr>
              <w:jc w:val="center"/>
              <w:rPr>
                <w:rFonts w:ascii="Arial Narrow" w:hAnsi="Arial Narrow"/>
                <w:color w:val="000000"/>
                <w:sz w:val="20"/>
              </w:rPr>
            </w:pPr>
            <w:r>
              <w:rPr>
                <w:rFonts w:ascii="Arial Narrow" w:hAnsi="Arial Narrow"/>
                <w:color w:val="000000"/>
                <w:sz w:val="20"/>
              </w:rPr>
              <w:t>0.66</w:t>
            </w:r>
          </w:p>
        </w:tc>
        <w:tc>
          <w:tcPr>
            <w:tcW w:w="625" w:type="dxa"/>
            <w:shd w:val="clear" w:color="auto" w:fill="E6B8B7"/>
            <w:noWrap/>
            <w:tcMar>
              <w:left w:w="57" w:type="dxa"/>
              <w:right w:w="57" w:type="dxa"/>
            </w:tcMar>
            <w:vAlign w:val="center"/>
          </w:tcPr>
          <w:p w14:paraId="311C76FB" w14:textId="77777777" w:rsidR="00606628" w:rsidRPr="00BC1E12" w:rsidRDefault="00606628" w:rsidP="00112B73">
            <w:pPr>
              <w:jc w:val="center"/>
              <w:rPr>
                <w:rFonts w:ascii="Arial Narrow" w:hAnsi="Arial Narrow"/>
                <w:color w:val="000000"/>
                <w:sz w:val="20"/>
              </w:rPr>
            </w:pPr>
            <w:r w:rsidRPr="00BC1E12">
              <w:rPr>
                <w:rFonts w:ascii="Arial Narrow" w:hAnsi="Arial Narrow"/>
                <w:color w:val="000000"/>
                <w:sz w:val="20"/>
              </w:rPr>
              <w:t>-0.11</w:t>
            </w:r>
          </w:p>
        </w:tc>
        <w:tc>
          <w:tcPr>
            <w:tcW w:w="625" w:type="dxa"/>
            <w:shd w:val="clear" w:color="auto" w:fill="E6B8B7"/>
            <w:noWrap/>
            <w:tcMar>
              <w:left w:w="57" w:type="dxa"/>
              <w:right w:w="57" w:type="dxa"/>
            </w:tcMar>
            <w:vAlign w:val="center"/>
          </w:tcPr>
          <w:p w14:paraId="2C0D4238" w14:textId="77777777" w:rsidR="00606628" w:rsidRPr="00BC1E12" w:rsidRDefault="00606628" w:rsidP="00112B73">
            <w:pPr>
              <w:jc w:val="center"/>
              <w:rPr>
                <w:rFonts w:ascii="Arial Narrow" w:hAnsi="Arial Narrow"/>
                <w:color w:val="000000"/>
                <w:sz w:val="20"/>
              </w:rPr>
            </w:pPr>
            <w:r>
              <w:rPr>
                <w:rFonts w:ascii="Arial Narrow" w:hAnsi="Arial Narrow"/>
                <w:color w:val="000000"/>
                <w:sz w:val="20"/>
              </w:rPr>
              <w:t>0.84</w:t>
            </w:r>
          </w:p>
        </w:tc>
        <w:tc>
          <w:tcPr>
            <w:tcW w:w="625" w:type="dxa"/>
            <w:shd w:val="clear" w:color="auto" w:fill="C6D9F1" w:themeFill="text2" w:themeFillTint="33"/>
            <w:noWrap/>
            <w:tcMar>
              <w:left w:w="57" w:type="dxa"/>
              <w:right w:w="57" w:type="dxa"/>
            </w:tcMar>
            <w:vAlign w:val="center"/>
          </w:tcPr>
          <w:p w14:paraId="13B21951" w14:textId="77777777" w:rsidR="00606628" w:rsidRPr="00BC1E12" w:rsidRDefault="00606628" w:rsidP="00112B73">
            <w:pPr>
              <w:jc w:val="center"/>
              <w:rPr>
                <w:rFonts w:ascii="Arial Narrow" w:hAnsi="Arial Narrow"/>
                <w:color w:val="000000"/>
                <w:sz w:val="20"/>
              </w:rPr>
            </w:pPr>
            <w:r w:rsidRPr="00BC1E12">
              <w:rPr>
                <w:rFonts w:ascii="Arial Narrow" w:hAnsi="Arial Narrow"/>
                <w:color w:val="000000"/>
                <w:sz w:val="20"/>
              </w:rPr>
              <w:t>0.09</w:t>
            </w:r>
          </w:p>
        </w:tc>
        <w:tc>
          <w:tcPr>
            <w:tcW w:w="625" w:type="dxa"/>
            <w:shd w:val="clear" w:color="auto" w:fill="C6D9F1" w:themeFill="text2" w:themeFillTint="33"/>
            <w:noWrap/>
            <w:tcMar>
              <w:left w:w="57" w:type="dxa"/>
              <w:right w:w="57" w:type="dxa"/>
            </w:tcMar>
            <w:vAlign w:val="center"/>
          </w:tcPr>
          <w:p w14:paraId="3281EA08" w14:textId="77777777" w:rsidR="00606628" w:rsidRPr="00BC1E12" w:rsidRDefault="00606628" w:rsidP="00112B73">
            <w:pPr>
              <w:jc w:val="center"/>
              <w:rPr>
                <w:rFonts w:ascii="Arial Narrow" w:hAnsi="Arial Narrow"/>
                <w:color w:val="000000"/>
                <w:sz w:val="20"/>
              </w:rPr>
            </w:pPr>
            <w:r w:rsidRPr="00BC1E12">
              <w:rPr>
                <w:rFonts w:ascii="Arial Narrow" w:hAnsi="Arial Narrow"/>
                <w:color w:val="000000"/>
                <w:sz w:val="20"/>
              </w:rPr>
              <w:t>0.7</w:t>
            </w:r>
            <w:r>
              <w:rPr>
                <w:rFonts w:ascii="Arial Narrow" w:hAnsi="Arial Narrow"/>
                <w:color w:val="000000"/>
                <w:sz w:val="20"/>
              </w:rPr>
              <w:t>4</w:t>
            </w:r>
          </w:p>
        </w:tc>
        <w:tc>
          <w:tcPr>
            <w:tcW w:w="625" w:type="dxa"/>
            <w:shd w:val="clear" w:color="auto" w:fill="F2DBDB" w:themeFill="accent2" w:themeFillTint="33"/>
            <w:noWrap/>
            <w:tcMar>
              <w:left w:w="57" w:type="dxa"/>
              <w:right w:w="57" w:type="dxa"/>
            </w:tcMar>
            <w:vAlign w:val="center"/>
          </w:tcPr>
          <w:p w14:paraId="3CFBF1D3" w14:textId="77777777" w:rsidR="00606628" w:rsidRPr="00BC1E12" w:rsidRDefault="00606628" w:rsidP="00112B73">
            <w:pPr>
              <w:jc w:val="center"/>
              <w:rPr>
                <w:rFonts w:ascii="Arial Narrow" w:hAnsi="Arial Narrow"/>
                <w:color w:val="000000"/>
                <w:sz w:val="20"/>
              </w:rPr>
            </w:pPr>
            <w:r w:rsidRPr="00BC1E12">
              <w:rPr>
                <w:rFonts w:ascii="Arial Narrow" w:hAnsi="Arial Narrow"/>
                <w:color w:val="000000"/>
                <w:sz w:val="20"/>
              </w:rPr>
              <w:t>-0.17</w:t>
            </w:r>
          </w:p>
        </w:tc>
        <w:tc>
          <w:tcPr>
            <w:tcW w:w="626" w:type="dxa"/>
            <w:shd w:val="clear" w:color="auto" w:fill="F2DBDB" w:themeFill="accent2" w:themeFillTint="33"/>
            <w:noWrap/>
            <w:tcMar>
              <w:left w:w="57" w:type="dxa"/>
              <w:right w:w="57" w:type="dxa"/>
            </w:tcMar>
            <w:vAlign w:val="center"/>
          </w:tcPr>
          <w:p w14:paraId="2878F8FB" w14:textId="77777777" w:rsidR="00606628" w:rsidRPr="00BC1E12" w:rsidRDefault="00606628" w:rsidP="00112B73">
            <w:pPr>
              <w:spacing w:after="0"/>
              <w:jc w:val="center"/>
              <w:rPr>
                <w:rFonts w:ascii="Arial Narrow" w:hAnsi="Arial Narrow"/>
                <w:bCs/>
                <w:color w:val="000000"/>
                <w:sz w:val="20"/>
              </w:rPr>
            </w:pPr>
            <w:r w:rsidRPr="00BC1E12">
              <w:rPr>
                <w:rFonts w:ascii="Arial Narrow" w:hAnsi="Arial Narrow"/>
                <w:bCs/>
                <w:color w:val="000000"/>
                <w:sz w:val="20"/>
              </w:rPr>
              <w:t>0.7</w:t>
            </w:r>
            <w:r>
              <w:rPr>
                <w:rFonts w:ascii="Arial Narrow" w:hAnsi="Arial Narrow"/>
                <w:bCs/>
                <w:color w:val="000000"/>
                <w:sz w:val="20"/>
              </w:rPr>
              <w:t>4</w:t>
            </w:r>
          </w:p>
        </w:tc>
      </w:tr>
      <w:tr w:rsidR="00606628" w:rsidRPr="00852372" w14:paraId="3BA10CFC" w14:textId="77777777" w:rsidTr="00C44D73">
        <w:trPr>
          <w:cantSplit/>
          <w:trHeight w:hRule="exact" w:val="301"/>
        </w:trPr>
        <w:tc>
          <w:tcPr>
            <w:tcW w:w="1074" w:type="dxa"/>
            <w:vMerge/>
            <w:shd w:val="clear" w:color="auto" w:fill="auto"/>
            <w:noWrap/>
            <w:tcMar>
              <w:left w:w="57" w:type="dxa"/>
              <w:right w:w="57" w:type="dxa"/>
            </w:tcMar>
            <w:vAlign w:val="center"/>
          </w:tcPr>
          <w:p w14:paraId="14FACF11" w14:textId="77777777" w:rsidR="00606628" w:rsidRPr="00852372" w:rsidRDefault="00606628" w:rsidP="00112B73">
            <w:pPr>
              <w:spacing w:after="0"/>
              <w:jc w:val="right"/>
              <w:rPr>
                <w:rFonts w:ascii="Arial Narrow" w:hAnsi="Arial Narrow"/>
                <w:bCs/>
                <w:color w:val="000000"/>
                <w:sz w:val="20"/>
              </w:rPr>
            </w:pPr>
          </w:p>
        </w:tc>
        <w:tc>
          <w:tcPr>
            <w:tcW w:w="350" w:type="dxa"/>
            <w:shd w:val="clear" w:color="auto" w:fill="auto"/>
            <w:noWrap/>
            <w:tcMar>
              <w:left w:w="57" w:type="dxa"/>
              <w:right w:w="57" w:type="dxa"/>
            </w:tcMar>
            <w:vAlign w:val="center"/>
          </w:tcPr>
          <w:p w14:paraId="74E67532" w14:textId="77777777" w:rsidR="00606628" w:rsidRPr="00852372" w:rsidRDefault="00606628" w:rsidP="00112B73">
            <w:pPr>
              <w:spacing w:after="0"/>
              <w:jc w:val="center"/>
              <w:rPr>
                <w:rFonts w:ascii="Arial Narrow" w:hAnsi="Arial Narrow"/>
                <w:bCs/>
                <w:color w:val="000000"/>
                <w:sz w:val="20"/>
              </w:rPr>
            </w:pPr>
            <w:r>
              <w:rPr>
                <w:rFonts w:ascii="Arial Narrow" w:hAnsi="Arial Narrow"/>
                <w:bCs/>
                <w:color w:val="000000"/>
                <w:sz w:val="20"/>
              </w:rPr>
              <w:t>5</w:t>
            </w:r>
          </w:p>
        </w:tc>
        <w:tc>
          <w:tcPr>
            <w:tcW w:w="625" w:type="dxa"/>
            <w:shd w:val="clear" w:color="auto" w:fill="auto"/>
            <w:noWrap/>
            <w:tcMar>
              <w:left w:w="57" w:type="dxa"/>
              <w:right w:w="57" w:type="dxa"/>
            </w:tcMar>
            <w:vAlign w:val="center"/>
          </w:tcPr>
          <w:p w14:paraId="482AFDF1" w14:textId="77777777" w:rsidR="00606628" w:rsidRPr="00BC1E12" w:rsidRDefault="00606628" w:rsidP="00112B73">
            <w:pPr>
              <w:spacing w:after="0"/>
              <w:jc w:val="center"/>
              <w:rPr>
                <w:rFonts w:ascii="Arial Narrow" w:hAnsi="Arial Narrow"/>
                <w:bCs/>
                <w:color w:val="000000"/>
                <w:sz w:val="20"/>
              </w:rPr>
            </w:pPr>
            <w:r w:rsidRPr="00BC1E12">
              <w:rPr>
                <w:rFonts w:ascii="Arial Narrow" w:hAnsi="Arial Narrow"/>
                <w:bCs/>
                <w:color w:val="000000"/>
                <w:sz w:val="20"/>
              </w:rPr>
              <w:t>-0.01</w:t>
            </w:r>
          </w:p>
        </w:tc>
        <w:tc>
          <w:tcPr>
            <w:tcW w:w="625" w:type="dxa"/>
            <w:shd w:val="clear" w:color="auto" w:fill="auto"/>
            <w:noWrap/>
            <w:tcMar>
              <w:left w:w="57" w:type="dxa"/>
              <w:right w:w="57" w:type="dxa"/>
            </w:tcMar>
            <w:vAlign w:val="center"/>
          </w:tcPr>
          <w:p w14:paraId="345CED47" w14:textId="77777777" w:rsidR="00606628" w:rsidRPr="00BC1E12" w:rsidRDefault="00606628" w:rsidP="00112B73">
            <w:pPr>
              <w:spacing w:after="0"/>
              <w:jc w:val="center"/>
              <w:rPr>
                <w:rFonts w:ascii="Arial Narrow" w:hAnsi="Arial Narrow"/>
                <w:bCs/>
                <w:color w:val="000000"/>
                <w:sz w:val="20"/>
              </w:rPr>
            </w:pPr>
            <w:r>
              <w:rPr>
                <w:rFonts w:ascii="Arial Narrow" w:hAnsi="Arial Narrow"/>
                <w:bCs/>
                <w:color w:val="000000"/>
                <w:sz w:val="20"/>
              </w:rPr>
              <w:t>0.53</w:t>
            </w:r>
          </w:p>
        </w:tc>
        <w:tc>
          <w:tcPr>
            <w:tcW w:w="625" w:type="dxa"/>
            <w:shd w:val="clear" w:color="auto" w:fill="E6B8B7"/>
            <w:noWrap/>
            <w:tcMar>
              <w:left w:w="57" w:type="dxa"/>
              <w:right w:w="57" w:type="dxa"/>
            </w:tcMar>
            <w:vAlign w:val="center"/>
          </w:tcPr>
          <w:p w14:paraId="6C0797C1" w14:textId="77777777" w:rsidR="00606628" w:rsidRPr="00BC1E12" w:rsidRDefault="00606628" w:rsidP="00112B73">
            <w:pPr>
              <w:jc w:val="center"/>
              <w:rPr>
                <w:rFonts w:ascii="Arial Narrow" w:hAnsi="Arial Narrow"/>
                <w:color w:val="000000"/>
                <w:sz w:val="20"/>
              </w:rPr>
            </w:pPr>
            <w:r w:rsidRPr="00BC1E12">
              <w:rPr>
                <w:rFonts w:ascii="Arial Narrow" w:hAnsi="Arial Narrow"/>
                <w:color w:val="000000"/>
                <w:sz w:val="20"/>
              </w:rPr>
              <w:t>-0.10</w:t>
            </w:r>
          </w:p>
        </w:tc>
        <w:tc>
          <w:tcPr>
            <w:tcW w:w="625" w:type="dxa"/>
            <w:shd w:val="clear" w:color="auto" w:fill="E6B8B7"/>
            <w:noWrap/>
            <w:tcMar>
              <w:left w:w="57" w:type="dxa"/>
              <w:right w:w="57" w:type="dxa"/>
            </w:tcMar>
            <w:vAlign w:val="center"/>
          </w:tcPr>
          <w:p w14:paraId="7A55B495" w14:textId="77777777" w:rsidR="00606628" w:rsidRPr="00BC1E12" w:rsidRDefault="00606628" w:rsidP="00112B73">
            <w:pPr>
              <w:jc w:val="center"/>
              <w:rPr>
                <w:rFonts w:ascii="Arial Narrow" w:hAnsi="Arial Narrow"/>
                <w:color w:val="000000"/>
                <w:sz w:val="20"/>
              </w:rPr>
            </w:pPr>
            <w:r w:rsidRPr="00BC1E12">
              <w:rPr>
                <w:rFonts w:ascii="Arial Narrow" w:hAnsi="Arial Narrow"/>
                <w:color w:val="000000"/>
                <w:sz w:val="20"/>
              </w:rPr>
              <w:t>0.</w:t>
            </w:r>
            <w:r>
              <w:rPr>
                <w:rFonts w:ascii="Arial Narrow" w:hAnsi="Arial Narrow"/>
                <w:color w:val="000000"/>
                <w:sz w:val="20"/>
              </w:rPr>
              <w:t>81</w:t>
            </w:r>
          </w:p>
        </w:tc>
        <w:tc>
          <w:tcPr>
            <w:tcW w:w="625" w:type="dxa"/>
            <w:shd w:val="clear" w:color="auto" w:fill="auto"/>
            <w:noWrap/>
            <w:tcMar>
              <w:left w:w="57" w:type="dxa"/>
              <w:right w:w="57" w:type="dxa"/>
            </w:tcMar>
            <w:vAlign w:val="center"/>
          </w:tcPr>
          <w:p w14:paraId="44FDA081" w14:textId="77777777" w:rsidR="00606628" w:rsidRPr="00BC1E12" w:rsidRDefault="00606628" w:rsidP="00112B73">
            <w:pPr>
              <w:jc w:val="center"/>
              <w:rPr>
                <w:rFonts w:ascii="Arial Narrow" w:hAnsi="Arial Narrow"/>
                <w:color w:val="000000"/>
                <w:sz w:val="20"/>
              </w:rPr>
            </w:pPr>
            <w:r w:rsidRPr="00BC1E12">
              <w:rPr>
                <w:rFonts w:ascii="Arial Narrow" w:hAnsi="Arial Narrow"/>
                <w:color w:val="000000"/>
                <w:sz w:val="20"/>
              </w:rPr>
              <w:t>0.06</w:t>
            </w:r>
          </w:p>
        </w:tc>
        <w:tc>
          <w:tcPr>
            <w:tcW w:w="626" w:type="dxa"/>
            <w:shd w:val="clear" w:color="auto" w:fill="auto"/>
            <w:noWrap/>
            <w:tcMar>
              <w:left w:w="57" w:type="dxa"/>
              <w:right w:w="57" w:type="dxa"/>
            </w:tcMar>
            <w:vAlign w:val="center"/>
          </w:tcPr>
          <w:p w14:paraId="51034FC0" w14:textId="77777777" w:rsidR="00606628" w:rsidRPr="00BC1E12" w:rsidRDefault="00606628" w:rsidP="00112B73">
            <w:pPr>
              <w:jc w:val="center"/>
              <w:rPr>
                <w:rFonts w:ascii="Arial Narrow" w:hAnsi="Arial Narrow"/>
                <w:color w:val="000000"/>
                <w:sz w:val="20"/>
              </w:rPr>
            </w:pPr>
            <w:r>
              <w:rPr>
                <w:rFonts w:ascii="Arial Narrow" w:hAnsi="Arial Narrow"/>
                <w:color w:val="000000"/>
                <w:sz w:val="20"/>
              </w:rPr>
              <w:t>0.66</w:t>
            </w:r>
          </w:p>
        </w:tc>
        <w:tc>
          <w:tcPr>
            <w:tcW w:w="625" w:type="dxa"/>
            <w:shd w:val="clear" w:color="auto" w:fill="F2DBDB" w:themeFill="accent2" w:themeFillTint="33"/>
            <w:noWrap/>
            <w:tcMar>
              <w:left w:w="57" w:type="dxa"/>
              <w:right w:w="57" w:type="dxa"/>
            </w:tcMar>
            <w:vAlign w:val="center"/>
          </w:tcPr>
          <w:p w14:paraId="07175F41" w14:textId="77777777" w:rsidR="00606628" w:rsidRPr="00BC1E12" w:rsidRDefault="00606628" w:rsidP="00112B73">
            <w:pPr>
              <w:jc w:val="center"/>
              <w:rPr>
                <w:rFonts w:ascii="Arial Narrow" w:hAnsi="Arial Narrow"/>
                <w:color w:val="000000"/>
                <w:sz w:val="20"/>
              </w:rPr>
            </w:pPr>
            <w:r w:rsidRPr="00BC1E12">
              <w:rPr>
                <w:rFonts w:ascii="Arial Narrow" w:hAnsi="Arial Narrow"/>
                <w:color w:val="000000"/>
                <w:sz w:val="20"/>
              </w:rPr>
              <w:t>-0.06</w:t>
            </w:r>
          </w:p>
        </w:tc>
        <w:tc>
          <w:tcPr>
            <w:tcW w:w="625" w:type="dxa"/>
            <w:shd w:val="clear" w:color="auto" w:fill="F2DBDB" w:themeFill="accent2" w:themeFillTint="33"/>
            <w:noWrap/>
            <w:tcMar>
              <w:left w:w="57" w:type="dxa"/>
              <w:right w:w="57" w:type="dxa"/>
            </w:tcMar>
            <w:vAlign w:val="center"/>
          </w:tcPr>
          <w:p w14:paraId="26AE06AC" w14:textId="77777777" w:rsidR="00606628" w:rsidRPr="00BC1E12" w:rsidRDefault="00606628" w:rsidP="00112B73">
            <w:pPr>
              <w:jc w:val="center"/>
              <w:rPr>
                <w:rFonts w:ascii="Arial Narrow" w:hAnsi="Arial Narrow"/>
                <w:color w:val="000000"/>
                <w:sz w:val="20"/>
              </w:rPr>
            </w:pPr>
            <w:r>
              <w:rPr>
                <w:rFonts w:ascii="Arial Narrow" w:hAnsi="Arial Narrow"/>
                <w:color w:val="000000"/>
                <w:sz w:val="20"/>
              </w:rPr>
              <w:t>0.78</w:t>
            </w:r>
          </w:p>
        </w:tc>
        <w:tc>
          <w:tcPr>
            <w:tcW w:w="625" w:type="dxa"/>
            <w:shd w:val="clear" w:color="auto" w:fill="C6D9F1" w:themeFill="text2" w:themeFillTint="33"/>
            <w:noWrap/>
            <w:tcMar>
              <w:left w:w="57" w:type="dxa"/>
              <w:right w:w="57" w:type="dxa"/>
            </w:tcMar>
            <w:vAlign w:val="center"/>
          </w:tcPr>
          <w:p w14:paraId="7D42C7F3" w14:textId="77777777" w:rsidR="00606628" w:rsidRPr="00BC1E12" w:rsidRDefault="00606628" w:rsidP="00112B73">
            <w:pPr>
              <w:jc w:val="center"/>
              <w:rPr>
                <w:rFonts w:ascii="Arial Narrow" w:hAnsi="Arial Narrow"/>
                <w:color w:val="000000"/>
                <w:sz w:val="20"/>
              </w:rPr>
            </w:pPr>
            <w:r w:rsidRPr="00BC1E12">
              <w:rPr>
                <w:rFonts w:ascii="Arial Narrow" w:hAnsi="Arial Narrow"/>
                <w:color w:val="000000"/>
                <w:sz w:val="20"/>
              </w:rPr>
              <w:t>0.10</w:t>
            </w:r>
          </w:p>
        </w:tc>
        <w:tc>
          <w:tcPr>
            <w:tcW w:w="625" w:type="dxa"/>
            <w:shd w:val="clear" w:color="auto" w:fill="C6D9F1" w:themeFill="text2" w:themeFillTint="33"/>
            <w:noWrap/>
            <w:tcMar>
              <w:left w:w="57" w:type="dxa"/>
              <w:right w:w="57" w:type="dxa"/>
            </w:tcMar>
            <w:vAlign w:val="center"/>
          </w:tcPr>
          <w:p w14:paraId="05FDC2D2" w14:textId="77777777" w:rsidR="00606628" w:rsidRPr="00BC1E12" w:rsidRDefault="00606628" w:rsidP="00112B73">
            <w:pPr>
              <w:jc w:val="center"/>
              <w:rPr>
                <w:rFonts w:ascii="Arial Narrow" w:hAnsi="Arial Narrow"/>
                <w:color w:val="000000"/>
                <w:sz w:val="20"/>
              </w:rPr>
            </w:pPr>
            <w:r w:rsidRPr="00BC1E12">
              <w:rPr>
                <w:rFonts w:ascii="Arial Narrow" w:hAnsi="Arial Narrow"/>
                <w:color w:val="000000"/>
                <w:sz w:val="20"/>
              </w:rPr>
              <w:t>0.7</w:t>
            </w:r>
            <w:r>
              <w:rPr>
                <w:rFonts w:ascii="Arial Narrow" w:hAnsi="Arial Narrow"/>
                <w:color w:val="000000"/>
                <w:sz w:val="20"/>
              </w:rPr>
              <w:t>7</w:t>
            </w:r>
          </w:p>
        </w:tc>
        <w:tc>
          <w:tcPr>
            <w:tcW w:w="625" w:type="dxa"/>
            <w:shd w:val="clear" w:color="auto" w:fill="auto"/>
            <w:noWrap/>
            <w:tcMar>
              <w:left w:w="57" w:type="dxa"/>
              <w:right w:w="57" w:type="dxa"/>
            </w:tcMar>
            <w:vAlign w:val="center"/>
          </w:tcPr>
          <w:p w14:paraId="7327AA68" w14:textId="77777777" w:rsidR="00606628" w:rsidRPr="00BC1E12" w:rsidRDefault="00606628" w:rsidP="00112B73">
            <w:pPr>
              <w:jc w:val="center"/>
              <w:rPr>
                <w:rFonts w:ascii="Arial Narrow" w:hAnsi="Arial Narrow"/>
                <w:color w:val="000000"/>
                <w:sz w:val="20"/>
              </w:rPr>
            </w:pPr>
            <w:r w:rsidRPr="00BC1E12">
              <w:rPr>
                <w:rFonts w:ascii="Arial Narrow" w:hAnsi="Arial Narrow"/>
                <w:color w:val="000000"/>
                <w:sz w:val="20"/>
              </w:rPr>
              <w:t>0.00</w:t>
            </w:r>
          </w:p>
        </w:tc>
        <w:tc>
          <w:tcPr>
            <w:tcW w:w="626" w:type="dxa"/>
            <w:shd w:val="clear" w:color="auto" w:fill="auto"/>
            <w:noWrap/>
            <w:tcMar>
              <w:left w:w="57" w:type="dxa"/>
              <w:right w:w="57" w:type="dxa"/>
            </w:tcMar>
            <w:vAlign w:val="center"/>
          </w:tcPr>
          <w:p w14:paraId="53C159DB" w14:textId="77777777" w:rsidR="00606628" w:rsidRPr="00BC1E12" w:rsidRDefault="00606628" w:rsidP="00112B73">
            <w:pPr>
              <w:spacing w:after="0"/>
              <w:jc w:val="center"/>
              <w:rPr>
                <w:rFonts w:ascii="Arial Narrow" w:hAnsi="Arial Narrow"/>
                <w:bCs/>
                <w:color w:val="000000"/>
                <w:sz w:val="20"/>
              </w:rPr>
            </w:pPr>
            <w:r w:rsidRPr="00BC1E12">
              <w:rPr>
                <w:rFonts w:ascii="Arial Narrow" w:hAnsi="Arial Narrow"/>
                <w:bCs/>
                <w:color w:val="000000"/>
                <w:sz w:val="20"/>
              </w:rPr>
              <w:t>0.5</w:t>
            </w:r>
            <w:r>
              <w:rPr>
                <w:rFonts w:ascii="Arial Narrow" w:hAnsi="Arial Narrow"/>
                <w:bCs/>
                <w:color w:val="000000"/>
                <w:sz w:val="20"/>
              </w:rPr>
              <w:t>0</w:t>
            </w:r>
          </w:p>
        </w:tc>
      </w:tr>
    </w:tbl>
    <w:p w14:paraId="2C7C0500" w14:textId="77777777" w:rsidR="001709A5" w:rsidRPr="00F352E1" w:rsidRDefault="001709A5" w:rsidP="001709A5">
      <w:pPr>
        <w:rPr>
          <w:color w:val="4F81BD" w:themeColor="accent1"/>
        </w:rPr>
      </w:pPr>
    </w:p>
    <w:p w14:paraId="2CD8A898" w14:textId="2DCF9EB8" w:rsidR="006B5F2F" w:rsidRPr="007527BF" w:rsidRDefault="001A345D" w:rsidP="006B5F2F">
      <w:pPr>
        <w:rPr>
          <w:rFonts w:eastAsiaTheme="minorHAnsi" w:cs="Arial"/>
          <w:szCs w:val="22"/>
          <w:lang w:val="en-AU"/>
        </w:rPr>
      </w:pPr>
      <w:r>
        <w:rPr>
          <w:rFonts w:eastAsiaTheme="minorHAnsi" w:cs="Arial"/>
          <w:szCs w:val="22"/>
          <w:lang w:val="en-AU"/>
        </w:rPr>
        <w:t>The decline in the index</w:t>
      </w:r>
      <w:r w:rsidR="00345164">
        <w:rPr>
          <w:rFonts w:eastAsiaTheme="minorHAnsi" w:cs="Arial"/>
          <w:szCs w:val="22"/>
          <w:lang w:val="en-AU"/>
        </w:rPr>
        <w:t>,</w:t>
      </w:r>
      <w:r>
        <w:rPr>
          <w:rFonts w:eastAsiaTheme="minorHAnsi" w:cs="Arial"/>
          <w:szCs w:val="22"/>
          <w:lang w:val="en-AU"/>
        </w:rPr>
        <w:t xml:space="preserve"> and in particular coral cover</w:t>
      </w:r>
      <w:r w:rsidR="00345164">
        <w:rPr>
          <w:rFonts w:eastAsiaTheme="minorHAnsi" w:cs="Arial"/>
          <w:szCs w:val="22"/>
          <w:lang w:val="en-AU"/>
        </w:rPr>
        <w:t>,</w:t>
      </w:r>
      <w:r>
        <w:rPr>
          <w:rFonts w:eastAsiaTheme="minorHAnsi" w:cs="Arial"/>
          <w:szCs w:val="22"/>
          <w:lang w:val="en-AU"/>
        </w:rPr>
        <w:t xml:space="preserve"> resulted </w:t>
      </w:r>
      <w:r w:rsidR="00345164">
        <w:rPr>
          <w:rFonts w:eastAsiaTheme="minorHAnsi" w:cs="Arial"/>
          <w:szCs w:val="22"/>
          <w:lang w:val="en-AU"/>
        </w:rPr>
        <w:t xml:space="preserve">in response to </w:t>
      </w:r>
      <w:r>
        <w:rPr>
          <w:rFonts w:eastAsiaTheme="minorHAnsi" w:cs="Arial"/>
          <w:szCs w:val="22"/>
          <w:lang w:val="en-AU"/>
        </w:rPr>
        <w:t xml:space="preserve">the high water temperatures and ensuing coral bleaching over </w:t>
      </w:r>
      <w:r w:rsidR="006B5F2F" w:rsidRPr="007527BF">
        <w:rPr>
          <w:rFonts w:eastAsiaTheme="minorHAnsi" w:cs="Arial"/>
          <w:szCs w:val="22"/>
          <w:lang w:val="en-AU"/>
        </w:rPr>
        <w:t>the 201</w:t>
      </w:r>
      <w:r w:rsidR="001313B7" w:rsidRPr="007527BF">
        <w:rPr>
          <w:rFonts w:eastAsiaTheme="minorHAnsi" w:cs="Arial"/>
          <w:szCs w:val="22"/>
          <w:lang w:val="en-AU"/>
        </w:rPr>
        <w:t>6</w:t>
      </w:r>
      <w:r w:rsidR="00C976D1">
        <w:rPr>
          <w:rFonts w:cs="Arial"/>
          <w:color w:val="333333"/>
          <w:sz w:val="18"/>
          <w:szCs w:val="18"/>
          <w:lang w:val="en"/>
        </w:rPr>
        <w:t>–</w:t>
      </w:r>
      <w:r w:rsidR="00C976D1" w:rsidRPr="007527BF" w:rsidDel="00C976D1">
        <w:rPr>
          <w:rFonts w:eastAsiaTheme="minorHAnsi" w:cs="Arial"/>
          <w:szCs w:val="22"/>
          <w:lang w:val="en-AU"/>
        </w:rPr>
        <w:t xml:space="preserve"> </w:t>
      </w:r>
      <w:r w:rsidR="006B5F2F" w:rsidRPr="007527BF">
        <w:rPr>
          <w:rFonts w:eastAsiaTheme="minorHAnsi" w:cs="Arial"/>
          <w:szCs w:val="22"/>
          <w:lang w:val="en-AU"/>
        </w:rPr>
        <w:t>1</w:t>
      </w:r>
      <w:r w:rsidR="001313B7" w:rsidRPr="007527BF">
        <w:rPr>
          <w:rFonts w:eastAsiaTheme="minorHAnsi" w:cs="Arial"/>
          <w:szCs w:val="22"/>
          <w:lang w:val="en-AU"/>
        </w:rPr>
        <w:t>7</w:t>
      </w:r>
      <w:r w:rsidR="006B5F2F" w:rsidRPr="007527BF">
        <w:rPr>
          <w:rFonts w:eastAsiaTheme="minorHAnsi" w:cs="Arial"/>
          <w:szCs w:val="22"/>
          <w:lang w:val="en-AU"/>
        </w:rPr>
        <w:t xml:space="preserve"> summer</w:t>
      </w:r>
      <w:r w:rsidR="00B50962">
        <w:rPr>
          <w:rFonts w:eastAsiaTheme="minorHAnsi" w:cs="Arial"/>
          <w:szCs w:val="22"/>
          <w:lang w:val="en-AU"/>
        </w:rPr>
        <w:t xml:space="preserve"> </w:t>
      </w:r>
      <w:r w:rsidR="001313B7" w:rsidRPr="007527BF">
        <w:rPr>
          <w:rFonts w:eastAsiaTheme="minorHAnsi" w:cs="Arial"/>
          <w:szCs w:val="22"/>
          <w:lang w:val="en-AU"/>
        </w:rPr>
        <w:t>(</w:t>
      </w:r>
      <w:r w:rsidR="008200AB" w:rsidRPr="007527BF">
        <w:rPr>
          <w:rFonts w:eastAsiaTheme="minorHAnsi" w:cs="Arial"/>
          <w:szCs w:val="22"/>
          <w:lang w:val="en-AU"/>
        </w:rPr>
        <w:fldChar w:fldCharType="begin"/>
      </w:r>
      <w:r w:rsidR="008200AB" w:rsidRPr="007527BF">
        <w:rPr>
          <w:rFonts w:eastAsiaTheme="minorHAnsi" w:cs="Arial"/>
          <w:szCs w:val="22"/>
          <w:lang w:val="en-AU"/>
        </w:rPr>
        <w:instrText xml:space="preserve"> REF _Ref491180328 \h </w:instrText>
      </w:r>
      <w:r w:rsidR="008200AB" w:rsidRPr="007527BF">
        <w:rPr>
          <w:rFonts w:eastAsiaTheme="minorHAnsi" w:cs="Arial"/>
          <w:szCs w:val="22"/>
          <w:lang w:val="en-AU"/>
        </w:rPr>
      </w:r>
      <w:r w:rsidR="008200AB" w:rsidRPr="007527BF">
        <w:rPr>
          <w:rFonts w:eastAsiaTheme="minorHAnsi" w:cs="Arial"/>
          <w:szCs w:val="22"/>
          <w:lang w:val="en-AU"/>
        </w:rPr>
        <w:fldChar w:fldCharType="separate"/>
      </w:r>
      <w:r w:rsidR="00A75175" w:rsidRPr="00F352E1">
        <w:t xml:space="preserve">Figure </w:t>
      </w:r>
      <w:r w:rsidR="00A75175">
        <w:rPr>
          <w:noProof/>
        </w:rPr>
        <w:t>14</w:t>
      </w:r>
      <w:r w:rsidR="008200AB" w:rsidRPr="007527BF">
        <w:rPr>
          <w:rFonts w:eastAsiaTheme="minorHAnsi" w:cs="Arial"/>
          <w:szCs w:val="22"/>
          <w:lang w:val="en-AU"/>
        </w:rPr>
        <w:fldChar w:fldCharType="end"/>
      </w:r>
      <w:r w:rsidR="008200AB" w:rsidRPr="007527BF">
        <w:rPr>
          <w:rFonts w:eastAsiaTheme="minorHAnsi" w:cs="Arial"/>
          <w:szCs w:val="22"/>
          <w:lang w:val="en-AU"/>
        </w:rPr>
        <w:t>c</w:t>
      </w:r>
      <w:r w:rsidR="006B5F2F" w:rsidRPr="007527BF">
        <w:rPr>
          <w:rFonts w:eastAsiaTheme="minorHAnsi" w:cs="Arial"/>
          <w:szCs w:val="22"/>
          <w:lang w:val="en-AU"/>
        </w:rPr>
        <w:t xml:space="preserve">). </w:t>
      </w:r>
      <w:r w:rsidR="00345164">
        <w:rPr>
          <w:rFonts w:eastAsiaTheme="minorHAnsi" w:cs="Arial"/>
          <w:szCs w:val="22"/>
          <w:lang w:val="en-AU"/>
        </w:rPr>
        <w:t>The impacts of the bleaching event were,</w:t>
      </w:r>
      <w:r w:rsidR="00807B54">
        <w:rPr>
          <w:rFonts w:eastAsiaTheme="minorHAnsi" w:cs="Arial"/>
          <w:szCs w:val="22"/>
          <w:lang w:val="en-AU"/>
        </w:rPr>
        <w:t xml:space="preserve"> however</w:t>
      </w:r>
      <w:r w:rsidR="00345164">
        <w:rPr>
          <w:rFonts w:eastAsiaTheme="minorHAnsi" w:cs="Arial"/>
          <w:szCs w:val="22"/>
          <w:lang w:val="en-AU"/>
        </w:rPr>
        <w:t>,</w:t>
      </w:r>
      <w:r w:rsidR="00807B54">
        <w:rPr>
          <w:rFonts w:eastAsiaTheme="minorHAnsi" w:cs="Arial"/>
          <w:szCs w:val="22"/>
          <w:lang w:val="en-AU"/>
        </w:rPr>
        <w:t xml:space="preserve"> variable </w:t>
      </w:r>
      <w:r w:rsidR="003719CA">
        <w:rPr>
          <w:rFonts w:eastAsiaTheme="minorHAnsi" w:cs="Arial"/>
          <w:szCs w:val="22"/>
          <w:lang w:val="en-AU"/>
        </w:rPr>
        <w:t>among reefs with between 5% and 23% of the coral present in 2016 lost (</w:t>
      </w:r>
      <w:r w:rsidR="0024084A" w:rsidRPr="0024084A">
        <w:rPr>
          <w:rFonts w:eastAsiaTheme="minorHAnsi" w:cs="Arial"/>
          <w:szCs w:val="22"/>
          <w:lang w:val="en-AU"/>
        </w:rPr>
        <w:fldChar w:fldCharType="begin"/>
      </w:r>
      <w:r w:rsidR="0024084A" w:rsidRPr="0024084A">
        <w:rPr>
          <w:rFonts w:eastAsiaTheme="minorHAnsi" w:cs="Arial"/>
          <w:szCs w:val="22"/>
          <w:lang w:val="en-AU"/>
        </w:rPr>
        <w:instrText xml:space="preserve"> REF _Ref500764021 \h  \* MERGEFORMAT </w:instrText>
      </w:r>
      <w:r w:rsidR="0024084A" w:rsidRPr="0024084A">
        <w:rPr>
          <w:rFonts w:eastAsiaTheme="minorHAnsi" w:cs="Arial"/>
          <w:szCs w:val="22"/>
          <w:lang w:val="en-AU"/>
        </w:rPr>
      </w:r>
      <w:r w:rsidR="0024084A" w:rsidRPr="0024084A">
        <w:rPr>
          <w:rFonts w:eastAsiaTheme="minorHAnsi" w:cs="Arial"/>
          <w:szCs w:val="22"/>
          <w:lang w:val="en-AU"/>
        </w:rPr>
        <w:fldChar w:fldCharType="separate"/>
      </w:r>
      <w:r w:rsidR="00A75175" w:rsidRPr="00A75175">
        <w:rPr>
          <w:rFonts w:eastAsia="SimSun" w:cs="Arial"/>
          <w:szCs w:val="22"/>
        </w:rPr>
        <w:t xml:space="preserve">Table </w:t>
      </w:r>
      <w:r w:rsidR="00A75175" w:rsidRPr="00A75175">
        <w:rPr>
          <w:rFonts w:eastAsia="SimSun" w:cs="Arial"/>
          <w:noProof/>
          <w:szCs w:val="22"/>
        </w:rPr>
        <w:t>17</w:t>
      </w:r>
      <w:r w:rsidR="0024084A" w:rsidRPr="0024084A">
        <w:rPr>
          <w:rFonts w:eastAsiaTheme="minorHAnsi" w:cs="Arial"/>
          <w:szCs w:val="22"/>
          <w:lang w:val="en-AU"/>
        </w:rPr>
        <w:fldChar w:fldCharType="end"/>
      </w:r>
      <w:r w:rsidR="003719CA">
        <w:rPr>
          <w:rFonts w:eastAsiaTheme="minorHAnsi" w:cs="Arial"/>
          <w:szCs w:val="22"/>
          <w:lang w:val="en-AU"/>
        </w:rPr>
        <w:t xml:space="preserve">). </w:t>
      </w:r>
      <w:r w:rsidR="006B5F2F" w:rsidRPr="007527BF">
        <w:rPr>
          <w:rFonts w:eastAsiaTheme="minorHAnsi" w:cs="Arial"/>
          <w:szCs w:val="22"/>
          <w:lang w:val="en-AU"/>
        </w:rPr>
        <w:t xml:space="preserve">Colonies exhibiting bleaching </w:t>
      </w:r>
      <w:r w:rsidR="001313B7" w:rsidRPr="007527BF">
        <w:rPr>
          <w:rFonts w:eastAsiaTheme="minorHAnsi" w:cs="Arial"/>
          <w:szCs w:val="22"/>
          <w:lang w:val="en-AU"/>
        </w:rPr>
        <w:t xml:space="preserve">included a range of </w:t>
      </w:r>
      <w:r w:rsidR="006B5F2F" w:rsidRPr="007527BF">
        <w:rPr>
          <w:rFonts w:eastAsiaTheme="minorHAnsi" w:cs="Arial"/>
          <w:szCs w:val="22"/>
          <w:lang w:val="en-AU"/>
        </w:rPr>
        <w:t xml:space="preserve">genera, </w:t>
      </w:r>
      <w:r w:rsidR="001313B7" w:rsidRPr="007527BF">
        <w:rPr>
          <w:rFonts w:eastAsiaTheme="minorHAnsi" w:cs="Arial"/>
          <w:szCs w:val="22"/>
          <w:lang w:val="en-AU"/>
        </w:rPr>
        <w:t xml:space="preserve">particularly </w:t>
      </w:r>
      <w:r w:rsidR="001313B7" w:rsidRPr="007527BF">
        <w:rPr>
          <w:rFonts w:eastAsiaTheme="minorHAnsi" w:cs="Arial"/>
          <w:i/>
          <w:szCs w:val="22"/>
          <w:lang w:val="en-AU"/>
        </w:rPr>
        <w:t>Acropora</w:t>
      </w:r>
      <w:r w:rsidR="001313B7" w:rsidRPr="007527BF">
        <w:rPr>
          <w:rFonts w:eastAsiaTheme="minorHAnsi" w:cs="Arial"/>
          <w:szCs w:val="22"/>
          <w:lang w:val="en-AU"/>
        </w:rPr>
        <w:t xml:space="preserve">, </w:t>
      </w:r>
      <w:r w:rsidR="006B5F2F" w:rsidRPr="007527BF">
        <w:rPr>
          <w:rFonts w:eastAsiaTheme="minorHAnsi" w:cs="Arial"/>
          <w:i/>
          <w:szCs w:val="22"/>
          <w:lang w:val="en-AU"/>
        </w:rPr>
        <w:t>Pocillopora</w:t>
      </w:r>
      <w:r w:rsidR="006B5F2F" w:rsidRPr="007527BF">
        <w:rPr>
          <w:rFonts w:eastAsiaTheme="minorHAnsi" w:cs="Arial"/>
          <w:szCs w:val="22"/>
          <w:lang w:val="en-AU"/>
        </w:rPr>
        <w:t xml:space="preserve">, and </w:t>
      </w:r>
      <w:r w:rsidR="006B5F2F" w:rsidRPr="007527BF">
        <w:rPr>
          <w:rFonts w:eastAsiaTheme="minorHAnsi" w:cs="Arial"/>
          <w:i/>
          <w:szCs w:val="22"/>
          <w:lang w:val="en-AU"/>
        </w:rPr>
        <w:t>Montipora</w:t>
      </w:r>
      <w:r w:rsidR="001313B7" w:rsidRPr="007527BF">
        <w:rPr>
          <w:rFonts w:eastAsiaTheme="minorHAnsi" w:cs="Arial"/>
          <w:szCs w:val="22"/>
          <w:lang w:val="en-AU"/>
        </w:rPr>
        <w:t xml:space="preserve">, and the soft corals </w:t>
      </w:r>
      <w:r w:rsidR="001313B7" w:rsidRPr="007527BF">
        <w:rPr>
          <w:rFonts w:eastAsiaTheme="minorHAnsi" w:cs="Arial"/>
          <w:i/>
          <w:szCs w:val="22"/>
          <w:lang w:val="en-AU"/>
        </w:rPr>
        <w:t>Sinularia</w:t>
      </w:r>
      <w:r w:rsidR="001313B7" w:rsidRPr="007527BF">
        <w:rPr>
          <w:rFonts w:eastAsiaTheme="minorHAnsi" w:cs="Arial"/>
          <w:szCs w:val="22"/>
          <w:lang w:val="en-AU"/>
        </w:rPr>
        <w:t xml:space="preserve"> and </w:t>
      </w:r>
      <w:r w:rsidR="001313B7" w:rsidRPr="007527BF">
        <w:rPr>
          <w:rFonts w:eastAsiaTheme="minorHAnsi" w:cs="Arial"/>
          <w:i/>
          <w:szCs w:val="22"/>
          <w:lang w:val="en-AU"/>
        </w:rPr>
        <w:t>Lobophytum</w:t>
      </w:r>
      <w:r w:rsidR="006B5F2F" w:rsidRPr="007527BF">
        <w:rPr>
          <w:rFonts w:eastAsiaTheme="minorHAnsi" w:cs="Arial"/>
          <w:szCs w:val="22"/>
          <w:lang w:val="en-AU"/>
        </w:rPr>
        <w:t xml:space="preserve">. </w:t>
      </w:r>
      <w:r w:rsidR="003719CA" w:rsidRPr="007527BF">
        <w:rPr>
          <w:rFonts w:eastAsiaTheme="minorHAnsi" w:cs="Arial"/>
          <w:szCs w:val="22"/>
          <w:lang w:val="en-AU"/>
        </w:rPr>
        <w:t>Overall, bleaching now contributes to 14.9% of coral los</w:t>
      </w:r>
      <w:r w:rsidR="002F04DE">
        <w:rPr>
          <w:rFonts w:eastAsiaTheme="minorHAnsi" w:cs="Arial"/>
          <w:szCs w:val="22"/>
          <w:lang w:val="en-AU"/>
        </w:rPr>
        <w:t>t</w:t>
      </w:r>
      <w:r w:rsidR="003719CA" w:rsidRPr="007527BF">
        <w:rPr>
          <w:rFonts w:eastAsiaTheme="minorHAnsi" w:cs="Arial"/>
          <w:szCs w:val="22"/>
          <w:lang w:val="en-AU"/>
        </w:rPr>
        <w:t xml:space="preserve"> in the region since 2005 (</w:t>
      </w:r>
      <w:r w:rsidR="003719CA" w:rsidRPr="007527BF">
        <w:rPr>
          <w:rFonts w:eastAsiaTheme="minorHAnsi" w:cs="Arial"/>
          <w:szCs w:val="22"/>
          <w:lang w:val="en-AU"/>
        </w:rPr>
        <w:fldChar w:fldCharType="begin"/>
      </w:r>
      <w:r w:rsidR="003719CA" w:rsidRPr="007527BF">
        <w:rPr>
          <w:rFonts w:eastAsiaTheme="minorHAnsi" w:cs="Arial"/>
          <w:szCs w:val="22"/>
          <w:lang w:val="en-AU"/>
        </w:rPr>
        <w:instrText xml:space="preserve"> REF _Ref491180328 \h </w:instrText>
      </w:r>
      <w:r w:rsidR="003719CA" w:rsidRPr="007527BF">
        <w:rPr>
          <w:rFonts w:eastAsiaTheme="minorHAnsi" w:cs="Arial"/>
          <w:szCs w:val="22"/>
          <w:lang w:val="en-AU"/>
        </w:rPr>
      </w:r>
      <w:r w:rsidR="003719CA" w:rsidRPr="007527BF">
        <w:rPr>
          <w:rFonts w:eastAsiaTheme="minorHAnsi" w:cs="Arial"/>
          <w:szCs w:val="22"/>
          <w:lang w:val="en-AU"/>
        </w:rPr>
        <w:fldChar w:fldCharType="separate"/>
      </w:r>
      <w:r w:rsidR="00A75175" w:rsidRPr="00F352E1">
        <w:t xml:space="preserve">Figure </w:t>
      </w:r>
      <w:r w:rsidR="00A75175">
        <w:rPr>
          <w:noProof/>
        </w:rPr>
        <w:t>14</w:t>
      </w:r>
      <w:r w:rsidR="003719CA" w:rsidRPr="007527BF">
        <w:rPr>
          <w:rFonts w:eastAsiaTheme="minorHAnsi" w:cs="Arial"/>
          <w:szCs w:val="22"/>
          <w:lang w:val="en-AU"/>
        </w:rPr>
        <w:fldChar w:fldCharType="end"/>
      </w:r>
      <w:r w:rsidR="003719CA" w:rsidRPr="007527BF">
        <w:rPr>
          <w:rFonts w:eastAsiaTheme="minorHAnsi" w:cs="Arial"/>
          <w:szCs w:val="22"/>
          <w:lang w:val="en-AU"/>
        </w:rPr>
        <w:t xml:space="preserve">c). </w:t>
      </w:r>
      <w:r w:rsidR="002F04DE">
        <w:rPr>
          <w:rFonts w:eastAsiaTheme="minorHAnsi" w:cs="Arial"/>
          <w:szCs w:val="22"/>
          <w:lang w:val="en-AU"/>
        </w:rPr>
        <w:t xml:space="preserve">Impacts of the bleaching event were not documented at </w:t>
      </w:r>
      <w:r w:rsidR="00B14D94">
        <w:rPr>
          <w:rFonts w:eastAsiaTheme="minorHAnsi" w:cs="Arial"/>
          <w:szCs w:val="22"/>
          <w:lang w:val="en-AU"/>
        </w:rPr>
        <w:t>th</w:t>
      </w:r>
      <w:r w:rsidR="002F04DE">
        <w:rPr>
          <w:rFonts w:eastAsiaTheme="minorHAnsi" w:cs="Arial"/>
          <w:szCs w:val="22"/>
          <w:lang w:val="en-AU"/>
        </w:rPr>
        <w:t>ree reefs</w:t>
      </w:r>
      <w:r w:rsidR="001553E8">
        <w:rPr>
          <w:rFonts w:eastAsiaTheme="minorHAnsi" w:cs="Arial"/>
          <w:szCs w:val="22"/>
          <w:lang w:val="en-AU"/>
        </w:rPr>
        <w:t>:</w:t>
      </w:r>
      <w:r w:rsidR="002F04DE">
        <w:rPr>
          <w:rFonts w:eastAsiaTheme="minorHAnsi" w:cs="Arial"/>
          <w:szCs w:val="22"/>
          <w:lang w:val="en-AU"/>
        </w:rPr>
        <w:t xml:space="preserve"> Fitzroy East was not surveyed in 2017, and </w:t>
      </w:r>
      <w:r w:rsidR="001553E8">
        <w:rPr>
          <w:rFonts w:eastAsiaTheme="minorHAnsi" w:cs="Arial"/>
          <w:szCs w:val="22"/>
          <w:lang w:val="en-AU"/>
        </w:rPr>
        <w:t xml:space="preserve">surveys at </w:t>
      </w:r>
      <w:r w:rsidR="00B50962">
        <w:rPr>
          <w:rFonts w:eastAsiaTheme="minorHAnsi" w:cs="Arial"/>
          <w:szCs w:val="22"/>
          <w:lang w:val="en-AU"/>
        </w:rPr>
        <w:t>Fitzroy West LTMP</w:t>
      </w:r>
      <w:r w:rsidR="002F04DE">
        <w:rPr>
          <w:rFonts w:eastAsiaTheme="minorHAnsi" w:cs="Arial"/>
          <w:szCs w:val="22"/>
          <w:lang w:val="en-AU"/>
        </w:rPr>
        <w:t xml:space="preserve"> and Green</w:t>
      </w:r>
      <w:r w:rsidR="001553E8">
        <w:rPr>
          <w:rFonts w:eastAsiaTheme="minorHAnsi" w:cs="Arial"/>
          <w:szCs w:val="22"/>
          <w:lang w:val="en-AU"/>
        </w:rPr>
        <w:t xml:space="preserve"> preceded the bleaching event</w:t>
      </w:r>
      <w:r w:rsidR="00B14D94">
        <w:rPr>
          <w:rFonts w:eastAsiaTheme="minorHAnsi" w:cs="Arial"/>
          <w:szCs w:val="22"/>
          <w:lang w:val="en-AU"/>
        </w:rPr>
        <w:t xml:space="preserve">. It is </w:t>
      </w:r>
      <w:r w:rsidR="002F04DE">
        <w:rPr>
          <w:rFonts w:eastAsiaTheme="minorHAnsi" w:cs="Arial"/>
          <w:szCs w:val="22"/>
          <w:lang w:val="en-AU"/>
        </w:rPr>
        <w:t xml:space="preserve">likely </w:t>
      </w:r>
      <w:r w:rsidR="00B14D94">
        <w:rPr>
          <w:rFonts w:eastAsiaTheme="minorHAnsi" w:cs="Arial"/>
          <w:szCs w:val="22"/>
          <w:lang w:val="en-AU"/>
        </w:rPr>
        <w:t xml:space="preserve">that future surveys of these reefs will </w:t>
      </w:r>
      <w:r w:rsidR="002F04DE">
        <w:rPr>
          <w:rFonts w:eastAsiaTheme="minorHAnsi" w:cs="Arial"/>
          <w:szCs w:val="22"/>
          <w:lang w:val="en-AU"/>
        </w:rPr>
        <w:t>add to the overall impact attributed to the 2017 bleaching event</w:t>
      </w:r>
      <w:r w:rsidR="002A3DAD">
        <w:rPr>
          <w:rFonts w:eastAsiaTheme="minorHAnsi" w:cs="Arial"/>
          <w:szCs w:val="22"/>
          <w:lang w:val="en-AU"/>
        </w:rPr>
        <w:t xml:space="preserve">. </w:t>
      </w:r>
    </w:p>
    <w:p w14:paraId="0EC88FA9" w14:textId="77777777" w:rsidR="0011079D" w:rsidRPr="007527BF" w:rsidRDefault="00B14D94" w:rsidP="006B5F2F">
      <w:pPr>
        <w:rPr>
          <w:rFonts w:cs="Arial"/>
          <w:szCs w:val="22"/>
        </w:rPr>
      </w:pPr>
      <w:r>
        <w:t xml:space="preserve">The current condition of the reefs in this region also reflect past disturbance events. </w:t>
      </w:r>
      <w:r w:rsidR="0011079D" w:rsidRPr="007527BF">
        <w:t>In 2011 the reefs in this region suffered their most severe setback (</w:t>
      </w:r>
      <w:r w:rsidR="00940CC9" w:rsidRPr="007527BF">
        <w:fldChar w:fldCharType="begin"/>
      </w:r>
      <w:r w:rsidR="00940CC9" w:rsidRPr="007527BF">
        <w:instrText xml:space="preserve"> REF _Ref491180328 \h </w:instrText>
      </w:r>
      <w:r w:rsidR="00940CC9" w:rsidRPr="007527BF">
        <w:fldChar w:fldCharType="separate"/>
      </w:r>
      <w:r w:rsidR="00A75175" w:rsidRPr="00F352E1">
        <w:t xml:space="preserve">Figure </w:t>
      </w:r>
      <w:r w:rsidR="00A75175">
        <w:rPr>
          <w:noProof/>
        </w:rPr>
        <w:t>14</w:t>
      </w:r>
      <w:r w:rsidR="00940CC9" w:rsidRPr="007527BF">
        <w:fldChar w:fldCharType="end"/>
      </w:r>
      <w:r w:rsidR="00940CC9" w:rsidRPr="007527BF">
        <w:t>e</w:t>
      </w:r>
      <w:r w:rsidR="0011079D" w:rsidRPr="007527BF">
        <w:t xml:space="preserve">). Two consecutive cyclones, Tasha and Yasi, caused significant damage to coral communities at Franklands East, Franklands West and High East. </w:t>
      </w:r>
      <w:r w:rsidR="005D5A92" w:rsidRPr="007527BF">
        <w:t xml:space="preserve">At High West, loss of coral cover at 2 m depth following these cyclones was attributed </w:t>
      </w:r>
      <w:r w:rsidR="0011079D" w:rsidRPr="007527BF">
        <w:t>to low salinity floodwaters (</w:t>
      </w:r>
      <w:r w:rsidR="004A0F8F">
        <w:fldChar w:fldCharType="begin"/>
      </w:r>
      <w:r w:rsidR="004A0F8F">
        <w:instrText xml:space="preserve"> REF _Ref500961104 \h </w:instrText>
      </w:r>
      <w:r w:rsidR="004A0F8F">
        <w:fldChar w:fldCharType="separate"/>
      </w:r>
      <w:r w:rsidR="00A75175">
        <w:t xml:space="preserve">Table A1. </w:t>
      </w:r>
      <w:r w:rsidR="00A75175">
        <w:rPr>
          <w:noProof/>
        </w:rPr>
        <w:t>4</w:t>
      </w:r>
      <w:r w:rsidR="004A0F8F">
        <w:fldChar w:fldCharType="end"/>
      </w:r>
      <w:r w:rsidR="00BE20D6" w:rsidRPr="007527BF">
        <w:t>,</w:t>
      </w:r>
      <w:r w:rsidR="00F70E9D">
        <w:t xml:space="preserve"> </w:t>
      </w:r>
      <w:r w:rsidR="00F70E9D">
        <w:fldChar w:fldCharType="begin"/>
      </w:r>
      <w:r w:rsidR="00F70E9D">
        <w:instrText xml:space="preserve"> REF _Ref501104990 \h </w:instrText>
      </w:r>
      <w:r w:rsidR="00F70E9D">
        <w:fldChar w:fldCharType="separate"/>
      </w:r>
      <w:r w:rsidR="00A75175">
        <w:t xml:space="preserve">Figure A1. </w:t>
      </w:r>
      <w:r w:rsidR="00A75175">
        <w:rPr>
          <w:noProof/>
        </w:rPr>
        <w:t>2</w:t>
      </w:r>
      <w:r w:rsidR="00F70E9D">
        <w:fldChar w:fldCharType="end"/>
      </w:r>
      <w:r w:rsidR="0011079D" w:rsidRPr="007527BF">
        <w:t>). In combination</w:t>
      </w:r>
      <w:r w:rsidR="00940CC9" w:rsidRPr="007527BF">
        <w:t>,</w:t>
      </w:r>
      <w:r w:rsidR="0011079D" w:rsidRPr="007527BF">
        <w:t xml:space="preserve"> these disturbances resulted in a sharp decline in the coral index in 2012 (</w:t>
      </w:r>
      <w:r w:rsidR="00940CC9" w:rsidRPr="007527BF">
        <w:fldChar w:fldCharType="begin"/>
      </w:r>
      <w:r w:rsidR="00940CC9" w:rsidRPr="007527BF">
        <w:instrText xml:space="preserve"> REF _Ref491181369 \h </w:instrText>
      </w:r>
      <w:r w:rsidR="00BE20D6" w:rsidRPr="007527BF">
        <w:instrText xml:space="preserve"> \* MERGEFORMAT </w:instrText>
      </w:r>
      <w:r w:rsidR="00940CC9" w:rsidRPr="007527BF">
        <w:fldChar w:fldCharType="separate"/>
      </w:r>
      <w:r w:rsidR="00A75175" w:rsidRPr="004252BF">
        <w:t xml:space="preserve">Figure </w:t>
      </w:r>
      <w:r w:rsidR="00A75175">
        <w:rPr>
          <w:noProof/>
        </w:rPr>
        <w:t>15</w:t>
      </w:r>
      <w:r w:rsidR="00940CC9" w:rsidRPr="007527BF">
        <w:fldChar w:fldCharType="end"/>
      </w:r>
      <w:r w:rsidR="00940CC9" w:rsidRPr="007527BF">
        <w:t>a</w:t>
      </w:r>
      <w:r w:rsidR="0011079D" w:rsidRPr="007527BF">
        <w:t>). The effects of cyclones were further compounded by the increased prevalence of disease in 2011 (</w:t>
      </w:r>
      <w:r w:rsidR="00F70E9D">
        <w:fldChar w:fldCharType="begin"/>
      </w:r>
      <w:r w:rsidR="00F70E9D">
        <w:instrText xml:space="preserve"> REF _Ref501096335 \h </w:instrText>
      </w:r>
      <w:r w:rsidR="00F70E9D">
        <w:fldChar w:fldCharType="separate"/>
      </w:r>
      <w:r w:rsidR="00A75175">
        <w:t xml:space="preserve">Figure A1. </w:t>
      </w:r>
      <w:r w:rsidR="00A75175">
        <w:rPr>
          <w:noProof/>
        </w:rPr>
        <w:t>7</w:t>
      </w:r>
      <w:r w:rsidR="00F70E9D">
        <w:fldChar w:fldCharType="end"/>
      </w:r>
      <w:r w:rsidR="0011079D" w:rsidRPr="007527BF">
        <w:t>). Fitzroy Island, which had escaped serious damage from Tasha and Yasi</w:t>
      </w:r>
      <w:r w:rsidR="00940CC9" w:rsidRPr="007527BF">
        <w:t>, incurred the highest loss of coral as a result of disease</w:t>
      </w:r>
      <w:r w:rsidR="00B370C9">
        <w:t xml:space="preserve">. </w:t>
      </w:r>
      <w:r w:rsidR="00940CC9" w:rsidRPr="007527BF">
        <w:t xml:space="preserve">At Fitzroy East between </w:t>
      </w:r>
      <w:r w:rsidR="0011079D" w:rsidRPr="007527BF">
        <w:t xml:space="preserve">60% </w:t>
      </w:r>
      <w:r w:rsidR="00940CC9" w:rsidRPr="007527BF">
        <w:t xml:space="preserve">(2 m) and </w:t>
      </w:r>
      <w:r w:rsidR="0011079D" w:rsidRPr="007527BF">
        <w:t>42% (5 m</w:t>
      </w:r>
      <w:r w:rsidR="00940CC9" w:rsidRPr="007527BF">
        <w:t xml:space="preserve">) of the hard </w:t>
      </w:r>
      <w:r w:rsidR="00A0396E">
        <w:t xml:space="preserve">coral </w:t>
      </w:r>
      <w:r w:rsidR="00940CC9" w:rsidRPr="007527BF">
        <w:t xml:space="preserve">cover, predominantly </w:t>
      </w:r>
      <w:r w:rsidR="00940CC9" w:rsidRPr="007527BF">
        <w:rPr>
          <w:i/>
        </w:rPr>
        <w:t>Acropora</w:t>
      </w:r>
      <w:r w:rsidR="00940CC9" w:rsidRPr="007527BF">
        <w:t>, was lost as a result of disease (</w:t>
      </w:r>
      <w:r w:rsidR="00F70E9D">
        <w:fldChar w:fldCharType="begin"/>
      </w:r>
      <w:r w:rsidR="00F70E9D">
        <w:instrText xml:space="preserve"> REF _Ref501104990 \h </w:instrText>
      </w:r>
      <w:r w:rsidR="00F70E9D">
        <w:fldChar w:fldCharType="separate"/>
      </w:r>
      <w:r w:rsidR="00A75175">
        <w:t xml:space="preserve">Figure A1. </w:t>
      </w:r>
      <w:r w:rsidR="00A75175">
        <w:rPr>
          <w:noProof/>
        </w:rPr>
        <w:t>2</w:t>
      </w:r>
      <w:r w:rsidR="00F70E9D">
        <w:fldChar w:fldCharType="end"/>
      </w:r>
      <w:r w:rsidR="0011079D" w:rsidRPr="007527BF">
        <w:rPr>
          <w:rFonts w:cs="Arial"/>
          <w:szCs w:val="22"/>
        </w:rPr>
        <w:t>,</w:t>
      </w:r>
      <w:r w:rsidR="002A3DAD">
        <w:rPr>
          <w:rFonts w:cs="Arial"/>
          <w:szCs w:val="22"/>
        </w:rPr>
        <w:t xml:space="preserve"> </w:t>
      </w:r>
      <w:r w:rsidR="002A3DAD">
        <w:rPr>
          <w:rFonts w:cs="Arial"/>
          <w:szCs w:val="22"/>
        </w:rPr>
        <w:fldChar w:fldCharType="begin"/>
      </w:r>
      <w:r w:rsidR="002A3DAD">
        <w:rPr>
          <w:rFonts w:cs="Arial"/>
          <w:szCs w:val="22"/>
        </w:rPr>
        <w:instrText xml:space="preserve"> REF _Ref500961104 \h </w:instrText>
      </w:r>
      <w:r w:rsidR="002A3DAD">
        <w:rPr>
          <w:rFonts w:cs="Arial"/>
          <w:szCs w:val="22"/>
        </w:rPr>
      </w:r>
      <w:r w:rsidR="002A3DAD">
        <w:rPr>
          <w:rFonts w:cs="Arial"/>
          <w:szCs w:val="22"/>
        </w:rPr>
        <w:fldChar w:fldCharType="separate"/>
      </w:r>
      <w:r w:rsidR="00A75175">
        <w:t xml:space="preserve">Table A1. </w:t>
      </w:r>
      <w:r w:rsidR="00A75175">
        <w:rPr>
          <w:noProof/>
        </w:rPr>
        <w:t>4</w:t>
      </w:r>
      <w:r w:rsidR="002A3DAD">
        <w:rPr>
          <w:rFonts w:cs="Arial"/>
          <w:szCs w:val="22"/>
        </w:rPr>
        <w:fldChar w:fldCharType="end"/>
      </w:r>
      <w:r w:rsidR="0011079D" w:rsidRPr="007527BF">
        <w:rPr>
          <w:rFonts w:cs="Arial"/>
          <w:szCs w:val="22"/>
        </w:rPr>
        <w:t>). While the cause of the marked increase in disease observed at</w:t>
      </w:r>
      <w:r w:rsidR="0057726F">
        <w:rPr>
          <w:rFonts w:cs="Arial"/>
          <w:szCs w:val="22"/>
        </w:rPr>
        <w:t xml:space="preserve"> </w:t>
      </w:r>
      <w:r w:rsidR="0011079D" w:rsidRPr="007527BF">
        <w:rPr>
          <w:rFonts w:cs="Arial"/>
          <w:szCs w:val="22"/>
        </w:rPr>
        <w:t>Fitzroy Island in 2011 is unknown</w:t>
      </w:r>
      <w:r w:rsidR="00B34751" w:rsidRPr="007527BF">
        <w:rPr>
          <w:rFonts w:cs="Arial"/>
          <w:szCs w:val="22"/>
        </w:rPr>
        <w:t>,</w:t>
      </w:r>
      <w:r w:rsidR="0011079D" w:rsidRPr="007527BF">
        <w:rPr>
          <w:rFonts w:cs="Arial"/>
          <w:szCs w:val="22"/>
        </w:rPr>
        <w:t xml:space="preserve"> it did coincide </w:t>
      </w:r>
      <w:r w:rsidR="0049220A" w:rsidRPr="007527BF">
        <w:rPr>
          <w:rFonts w:cs="Arial"/>
          <w:szCs w:val="22"/>
        </w:rPr>
        <w:t>with</w:t>
      </w:r>
      <w:r w:rsidR="0011079D" w:rsidRPr="007527BF">
        <w:rPr>
          <w:rFonts w:cs="Arial"/>
          <w:szCs w:val="22"/>
        </w:rPr>
        <w:t xml:space="preserve"> high discharge from local rivers (</w:t>
      </w:r>
      <w:r w:rsidR="00B34751" w:rsidRPr="007527BF">
        <w:fldChar w:fldCharType="begin"/>
      </w:r>
      <w:r w:rsidR="00B34751" w:rsidRPr="007527BF">
        <w:rPr>
          <w:rFonts w:cs="Arial"/>
          <w:szCs w:val="22"/>
        </w:rPr>
        <w:instrText xml:space="preserve"> REF _Ref491180328 \h </w:instrText>
      </w:r>
      <w:r w:rsidR="00B34751" w:rsidRPr="007527BF">
        <w:fldChar w:fldCharType="separate"/>
      </w:r>
      <w:r w:rsidR="00A75175" w:rsidRPr="00F352E1">
        <w:t xml:space="preserve">Figure </w:t>
      </w:r>
      <w:r w:rsidR="00A75175">
        <w:rPr>
          <w:noProof/>
        </w:rPr>
        <w:t>14</w:t>
      </w:r>
      <w:r w:rsidR="00B34751" w:rsidRPr="007527BF">
        <w:fldChar w:fldCharType="end"/>
      </w:r>
      <w:r w:rsidR="0075117D" w:rsidRPr="007527BF">
        <w:rPr>
          <w:rFonts w:cs="Arial"/>
          <w:szCs w:val="22"/>
        </w:rPr>
        <w:t>d)</w:t>
      </w:r>
      <w:r w:rsidR="00B34751" w:rsidRPr="007527BF">
        <w:rPr>
          <w:rFonts w:cs="Arial"/>
          <w:szCs w:val="22"/>
        </w:rPr>
        <w:t>. This observation was</w:t>
      </w:r>
      <w:r w:rsidR="0075117D" w:rsidRPr="007527BF">
        <w:rPr>
          <w:rFonts w:cs="Arial"/>
          <w:szCs w:val="22"/>
        </w:rPr>
        <w:t xml:space="preserve"> influential in the </w:t>
      </w:r>
      <w:r w:rsidR="004C26C1" w:rsidRPr="007527BF">
        <w:rPr>
          <w:rFonts w:cs="Arial"/>
          <w:szCs w:val="22"/>
        </w:rPr>
        <w:t>regiona</w:t>
      </w:r>
      <w:r w:rsidR="004C26C1">
        <w:rPr>
          <w:rFonts w:cs="Arial"/>
          <w:szCs w:val="22"/>
        </w:rPr>
        <w:t>l</w:t>
      </w:r>
      <w:r w:rsidR="004C26C1" w:rsidRPr="007527BF">
        <w:rPr>
          <w:rFonts w:cs="Arial"/>
          <w:szCs w:val="22"/>
        </w:rPr>
        <w:t xml:space="preserve"> level</w:t>
      </w:r>
      <w:r w:rsidR="0075117D" w:rsidRPr="007527BF">
        <w:rPr>
          <w:rFonts w:cs="Arial"/>
          <w:szCs w:val="22"/>
        </w:rPr>
        <w:t xml:space="preserve"> association between change in index scores and discharge from local rivers (</w:t>
      </w:r>
      <w:r w:rsidR="00B34751" w:rsidRPr="007527BF">
        <w:rPr>
          <w:rFonts w:cs="Arial"/>
          <w:szCs w:val="22"/>
        </w:rPr>
        <w:fldChar w:fldCharType="begin"/>
      </w:r>
      <w:r w:rsidR="00B34751" w:rsidRPr="007527BF">
        <w:rPr>
          <w:rFonts w:cs="Arial"/>
          <w:szCs w:val="22"/>
        </w:rPr>
        <w:instrText xml:space="preserve"> REF _Ref491164700 \h </w:instrText>
      </w:r>
      <w:r w:rsidR="00B34751" w:rsidRPr="007527BF">
        <w:rPr>
          <w:rFonts w:cs="Arial"/>
          <w:szCs w:val="22"/>
        </w:rPr>
      </w:r>
      <w:r w:rsidR="00B34751" w:rsidRPr="007527BF">
        <w:rPr>
          <w:rFonts w:cs="Arial"/>
          <w:szCs w:val="22"/>
        </w:rPr>
        <w:fldChar w:fldCharType="separate"/>
      </w:r>
      <w:r w:rsidR="00A75175" w:rsidRPr="004252BF">
        <w:t xml:space="preserve">Figure </w:t>
      </w:r>
      <w:r w:rsidR="00A75175">
        <w:rPr>
          <w:noProof/>
        </w:rPr>
        <w:t>11</w:t>
      </w:r>
      <w:r w:rsidR="00B34751" w:rsidRPr="007527BF">
        <w:rPr>
          <w:rFonts w:cs="Arial"/>
          <w:szCs w:val="22"/>
        </w:rPr>
        <w:fldChar w:fldCharType="end"/>
      </w:r>
      <w:r w:rsidR="0075117D" w:rsidRPr="007527BF">
        <w:rPr>
          <w:rFonts w:cs="Arial"/>
          <w:szCs w:val="22"/>
        </w:rPr>
        <w:t>).</w:t>
      </w:r>
    </w:p>
    <w:p w14:paraId="3F3C01F7" w14:textId="77777777" w:rsidR="0011079D" w:rsidRPr="007527BF" w:rsidRDefault="00432E37" w:rsidP="0011079D">
      <w:r w:rsidRPr="007527BF">
        <w:t xml:space="preserve">Since 2012 </w:t>
      </w:r>
      <w:r w:rsidR="00BC1C64" w:rsidRPr="007527BF">
        <w:t>COTS have been active in the area</w:t>
      </w:r>
      <w:r w:rsidR="0049220A" w:rsidRPr="007527BF">
        <w:t>,</w:t>
      </w:r>
      <w:r w:rsidR="00BC1C64" w:rsidRPr="007527BF">
        <w:t xml:space="preserve"> and </w:t>
      </w:r>
      <w:r w:rsidR="0075117D" w:rsidRPr="007527BF">
        <w:t>their feeding</w:t>
      </w:r>
      <w:r w:rsidR="00695B6C" w:rsidRPr="007527BF">
        <w:t xml:space="preserve"> </w:t>
      </w:r>
      <w:r w:rsidR="00BC1C64" w:rsidRPr="007527BF">
        <w:t xml:space="preserve">will have </w:t>
      </w:r>
      <w:r w:rsidR="002A3DAD">
        <w:t>suppressed improvement</w:t>
      </w:r>
      <w:r w:rsidR="007527BF">
        <w:t xml:space="preserve"> in the Coral </w:t>
      </w:r>
      <w:r w:rsidR="00225AA2">
        <w:t>C</w:t>
      </w:r>
      <w:r w:rsidR="00225AA2" w:rsidRPr="007527BF">
        <w:t xml:space="preserve">over </w:t>
      </w:r>
      <w:r w:rsidR="00695B6C" w:rsidRPr="007527BF">
        <w:t>metric</w:t>
      </w:r>
      <w:r w:rsidR="0049220A" w:rsidRPr="007527BF">
        <w:t xml:space="preserve"> </w:t>
      </w:r>
      <w:r w:rsidR="002A3DAD">
        <w:t>over this period</w:t>
      </w:r>
      <w:r w:rsidR="00695B6C" w:rsidRPr="007527BF">
        <w:t>.</w:t>
      </w:r>
      <w:r w:rsidR="00E75F5C" w:rsidRPr="007527BF">
        <w:t xml:space="preserve"> </w:t>
      </w:r>
      <w:r w:rsidR="0011079D" w:rsidRPr="007527BF">
        <w:rPr>
          <w:rFonts w:cs="Arial"/>
          <w:szCs w:val="22"/>
        </w:rPr>
        <w:t>Since monitoring began in 1992 two cycles of COTS outbreaks have impacted the reefs in this sub-region. Between</w:t>
      </w:r>
      <w:r w:rsidR="00225AA2">
        <w:rPr>
          <w:rFonts w:cs="Arial"/>
          <w:szCs w:val="22"/>
        </w:rPr>
        <w:t xml:space="preserve"> </w:t>
      </w:r>
      <w:r w:rsidR="0011079D" w:rsidRPr="007527BF">
        <w:rPr>
          <w:rFonts w:cs="Arial"/>
          <w:szCs w:val="22"/>
        </w:rPr>
        <w:t>1996</w:t>
      </w:r>
      <w:r w:rsidR="005D5A92" w:rsidRPr="007527BF">
        <w:rPr>
          <w:rFonts w:cs="Arial"/>
          <w:szCs w:val="22"/>
        </w:rPr>
        <w:t xml:space="preserve"> and </w:t>
      </w:r>
      <w:r w:rsidR="0011079D" w:rsidRPr="007527BF">
        <w:rPr>
          <w:rFonts w:cs="Arial"/>
          <w:szCs w:val="22"/>
        </w:rPr>
        <w:t xml:space="preserve">2000 substantial loss of cover at Green, Fitzroy West LTMP and the Frankland Group </w:t>
      </w:r>
      <w:r w:rsidR="005D5A92" w:rsidRPr="007527BF">
        <w:rPr>
          <w:rFonts w:cs="Arial"/>
          <w:szCs w:val="22"/>
        </w:rPr>
        <w:t>was attributed to COTS</w:t>
      </w:r>
      <w:r w:rsidR="00C62907">
        <w:rPr>
          <w:rFonts w:cs="Arial"/>
          <w:szCs w:val="22"/>
        </w:rPr>
        <w:t xml:space="preserve"> </w:t>
      </w:r>
      <w:r w:rsidR="00C62907" w:rsidRPr="007527BF">
        <w:rPr>
          <w:rFonts w:cs="Arial"/>
          <w:szCs w:val="22"/>
        </w:rPr>
        <w:t>(</w:t>
      </w:r>
      <w:r w:rsidR="002A3DAD">
        <w:rPr>
          <w:rFonts w:cs="Arial"/>
          <w:szCs w:val="22"/>
        </w:rPr>
        <w:fldChar w:fldCharType="begin"/>
      </w:r>
      <w:r w:rsidR="002A3DAD">
        <w:rPr>
          <w:rFonts w:cs="Arial"/>
          <w:szCs w:val="22"/>
        </w:rPr>
        <w:instrText xml:space="preserve"> REF _Ref500961104 \h </w:instrText>
      </w:r>
      <w:r w:rsidR="002A3DAD">
        <w:rPr>
          <w:rFonts w:cs="Arial"/>
          <w:szCs w:val="22"/>
        </w:rPr>
      </w:r>
      <w:r w:rsidR="002A3DAD">
        <w:rPr>
          <w:rFonts w:cs="Arial"/>
          <w:szCs w:val="22"/>
        </w:rPr>
        <w:fldChar w:fldCharType="separate"/>
      </w:r>
      <w:r w:rsidR="00A75175">
        <w:t xml:space="preserve">Table A1. </w:t>
      </w:r>
      <w:r w:rsidR="00A75175">
        <w:rPr>
          <w:noProof/>
        </w:rPr>
        <w:t>4</w:t>
      </w:r>
      <w:r w:rsidR="002A3DAD">
        <w:rPr>
          <w:rFonts w:cs="Arial"/>
          <w:szCs w:val="22"/>
        </w:rPr>
        <w:fldChar w:fldCharType="end"/>
      </w:r>
      <w:r w:rsidR="00C62907" w:rsidRPr="007527BF">
        <w:rPr>
          <w:rFonts w:cs="Arial"/>
          <w:szCs w:val="22"/>
        </w:rPr>
        <w:t>)</w:t>
      </w:r>
      <w:r w:rsidR="0011079D" w:rsidRPr="007527BF">
        <w:rPr>
          <w:rFonts w:cs="Arial"/>
          <w:szCs w:val="22"/>
        </w:rPr>
        <w:t xml:space="preserve">. In 2012 and 2013 numbers of COTS were again </w:t>
      </w:r>
      <w:r w:rsidR="00BA3C73" w:rsidRPr="007527BF">
        <w:rPr>
          <w:rFonts w:cs="Arial"/>
          <w:szCs w:val="22"/>
        </w:rPr>
        <w:t xml:space="preserve">increasing. </w:t>
      </w:r>
      <w:r w:rsidR="0011079D" w:rsidRPr="007527BF">
        <w:rPr>
          <w:rFonts w:cs="Arial"/>
          <w:szCs w:val="22"/>
        </w:rPr>
        <w:t>In 2013 COTS had caused a 44% reduction of the hard coral cover compared to that observed in 2011 (</w:t>
      </w:r>
      <w:r w:rsidR="002A3DAD">
        <w:rPr>
          <w:rFonts w:cs="Arial"/>
          <w:szCs w:val="22"/>
        </w:rPr>
        <w:fldChar w:fldCharType="begin"/>
      </w:r>
      <w:r w:rsidR="002A3DAD">
        <w:rPr>
          <w:rFonts w:cs="Arial"/>
          <w:szCs w:val="22"/>
        </w:rPr>
        <w:instrText xml:space="preserve"> REF _Ref500961104 \h </w:instrText>
      </w:r>
      <w:r w:rsidR="002A3DAD">
        <w:rPr>
          <w:rFonts w:cs="Arial"/>
          <w:szCs w:val="22"/>
        </w:rPr>
      </w:r>
      <w:r w:rsidR="002A3DAD">
        <w:rPr>
          <w:rFonts w:cs="Arial"/>
          <w:szCs w:val="22"/>
        </w:rPr>
        <w:fldChar w:fldCharType="separate"/>
      </w:r>
      <w:r w:rsidR="00A75175">
        <w:t xml:space="preserve">Table A1. </w:t>
      </w:r>
      <w:r w:rsidR="00A75175">
        <w:rPr>
          <w:noProof/>
        </w:rPr>
        <w:t>4</w:t>
      </w:r>
      <w:r w:rsidR="002A3DAD">
        <w:rPr>
          <w:rFonts w:cs="Arial"/>
          <w:szCs w:val="22"/>
        </w:rPr>
        <w:fldChar w:fldCharType="end"/>
      </w:r>
      <w:r w:rsidR="00B34751" w:rsidRPr="007527BF">
        <w:rPr>
          <w:rFonts w:cs="Arial"/>
          <w:szCs w:val="22"/>
        </w:rPr>
        <w:t>,</w:t>
      </w:r>
      <w:r w:rsidR="00F70E9D">
        <w:rPr>
          <w:rFonts w:cs="Arial"/>
          <w:szCs w:val="22"/>
        </w:rPr>
        <w:t xml:space="preserve"> </w:t>
      </w:r>
      <w:r w:rsidR="00F70E9D">
        <w:rPr>
          <w:rFonts w:cs="Arial"/>
          <w:szCs w:val="22"/>
        </w:rPr>
        <w:fldChar w:fldCharType="begin"/>
      </w:r>
      <w:r w:rsidR="00F70E9D">
        <w:rPr>
          <w:rFonts w:cs="Arial"/>
          <w:szCs w:val="22"/>
        </w:rPr>
        <w:instrText xml:space="preserve"> REF _Ref501104990 \h </w:instrText>
      </w:r>
      <w:r w:rsidR="00F70E9D">
        <w:rPr>
          <w:rFonts w:cs="Arial"/>
          <w:szCs w:val="22"/>
        </w:rPr>
      </w:r>
      <w:r w:rsidR="00F70E9D">
        <w:rPr>
          <w:rFonts w:cs="Arial"/>
          <w:szCs w:val="22"/>
        </w:rPr>
        <w:fldChar w:fldCharType="separate"/>
      </w:r>
      <w:r w:rsidR="00A75175">
        <w:t xml:space="preserve">Figure A1. </w:t>
      </w:r>
      <w:r w:rsidR="00A75175">
        <w:rPr>
          <w:noProof/>
        </w:rPr>
        <w:t>2</w:t>
      </w:r>
      <w:r w:rsidR="00F70E9D">
        <w:rPr>
          <w:rFonts w:cs="Arial"/>
          <w:szCs w:val="22"/>
        </w:rPr>
        <w:fldChar w:fldCharType="end"/>
      </w:r>
      <w:r w:rsidR="0011079D" w:rsidRPr="007527BF">
        <w:rPr>
          <w:rFonts w:cs="Arial"/>
          <w:szCs w:val="22"/>
        </w:rPr>
        <w:t>). At both Fitzroy Island an</w:t>
      </w:r>
      <w:r w:rsidR="0011079D" w:rsidRPr="007527BF">
        <w:t xml:space="preserve">d Green </w:t>
      </w:r>
      <w:r w:rsidR="00B34751" w:rsidRPr="007527BF">
        <w:t xml:space="preserve">Island </w:t>
      </w:r>
      <w:r w:rsidR="0011079D" w:rsidRPr="007527BF">
        <w:t>reductions in hard coral cover</w:t>
      </w:r>
      <w:r w:rsidR="00F70E9D">
        <w:t xml:space="preserve"> through to 2015 was predominantly due to loss of </w:t>
      </w:r>
      <w:r w:rsidR="0011079D" w:rsidRPr="007527BF">
        <w:t>Acroporidae (</w:t>
      </w:r>
      <w:r w:rsidR="00F70E9D">
        <w:fldChar w:fldCharType="begin"/>
      </w:r>
      <w:r w:rsidR="00F70E9D">
        <w:instrText xml:space="preserve"> REF _Ref501104990 \h </w:instrText>
      </w:r>
      <w:r w:rsidR="00F70E9D">
        <w:fldChar w:fldCharType="separate"/>
      </w:r>
      <w:r w:rsidR="00A75175">
        <w:t xml:space="preserve">Figure A1. </w:t>
      </w:r>
      <w:r w:rsidR="00A75175">
        <w:rPr>
          <w:noProof/>
        </w:rPr>
        <w:t>2</w:t>
      </w:r>
      <w:r w:rsidR="00F70E9D">
        <w:fldChar w:fldCharType="end"/>
      </w:r>
      <w:r w:rsidR="0011079D" w:rsidRPr="007527BF">
        <w:t>)</w:t>
      </w:r>
      <w:r w:rsidR="00B34751" w:rsidRPr="007527BF">
        <w:t xml:space="preserve">, </w:t>
      </w:r>
      <w:r w:rsidR="00F70E9D">
        <w:t>attributed to</w:t>
      </w:r>
      <w:r w:rsidR="0011079D" w:rsidRPr="007527BF">
        <w:t xml:space="preserve"> COTS feeding. In contrast, although low numbers of COTS were observed at the Frankland Group and High Island between 2012 and 2015, there was little evidence of an impact to coral cover at these reefs.</w:t>
      </w:r>
      <w:r w:rsidR="00E75F5C" w:rsidRPr="007527BF">
        <w:t xml:space="preserve"> </w:t>
      </w:r>
      <w:r w:rsidR="00BA3C73" w:rsidRPr="007527BF">
        <w:t xml:space="preserve">Helping to limit coral cover losses </w:t>
      </w:r>
      <w:r w:rsidR="00D273A4">
        <w:t>in the sub-region</w:t>
      </w:r>
      <w:r w:rsidR="00BA3C73" w:rsidRPr="007527BF">
        <w:t xml:space="preserve"> has been the removal of </w:t>
      </w:r>
      <w:r w:rsidR="005634A3">
        <w:t>COTS</w:t>
      </w:r>
      <w:r w:rsidR="00225AA2" w:rsidRPr="007527BF">
        <w:t xml:space="preserve"> </w:t>
      </w:r>
      <w:r w:rsidR="00BA3C73" w:rsidRPr="007527BF">
        <w:rPr>
          <w:rFonts w:cs="Arial"/>
          <w:szCs w:val="22"/>
        </w:rPr>
        <w:t>by the Australian Government</w:t>
      </w:r>
      <w:r w:rsidR="003A1283">
        <w:rPr>
          <w:rFonts w:cs="Arial"/>
          <w:szCs w:val="22"/>
        </w:rPr>
        <w:t>’</w:t>
      </w:r>
      <w:r w:rsidR="00F41217" w:rsidRPr="007527BF">
        <w:rPr>
          <w:rFonts w:cs="Arial"/>
          <w:szCs w:val="22"/>
        </w:rPr>
        <w:t>s</w:t>
      </w:r>
      <w:r w:rsidR="00BA3C73" w:rsidRPr="007527BF">
        <w:rPr>
          <w:rFonts w:cs="Arial"/>
          <w:szCs w:val="22"/>
        </w:rPr>
        <w:t xml:space="preserve"> </w:t>
      </w:r>
      <w:r w:rsidR="003A1283">
        <w:rPr>
          <w:rFonts w:cs="Arial"/>
          <w:szCs w:val="22"/>
        </w:rPr>
        <w:t>c</w:t>
      </w:r>
      <w:r w:rsidR="00BA3C73" w:rsidRPr="007527BF">
        <w:rPr>
          <w:rFonts w:cs="Arial"/>
          <w:szCs w:val="22"/>
        </w:rPr>
        <w:t>rown-</w:t>
      </w:r>
      <w:r w:rsidR="003A1283">
        <w:rPr>
          <w:rFonts w:cs="Arial"/>
          <w:szCs w:val="22"/>
        </w:rPr>
        <w:t>o</w:t>
      </w:r>
      <w:r w:rsidR="00BA3C73" w:rsidRPr="007527BF">
        <w:rPr>
          <w:rFonts w:cs="Arial"/>
          <w:szCs w:val="22"/>
        </w:rPr>
        <w:t>f-</w:t>
      </w:r>
      <w:r w:rsidR="003A1283">
        <w:rPr>
          <w:rFonts w:cs="Arial"/>
          <w:szCs w:val="22"/>
        </w:rPr>
        <w:t>t</w:t>
      </w:r>
      <w:r w:rsidR="00BA3C73" w:rsidRPr="007527BF">
        <w:rPr>
          <w:rFonts w:cs="Arial"/>
          <w:szCs w:val="22"/>
        </w:rPr>
        <w:t xml:space="preserve">horns </w:t>
      </w:r>
      <w:r w:rsidR="003A1283">
        <w:rPr>
          <w:rFonts w:cs="Arial"/>
          <w:szCs w:val="22"/>
        </w:rPr>
        <w:t>s</w:t>
      </w:r>
      <w:r w:rsidR="00F41217" w:rsidRPr="007527BF">
        <w:rPr>
          <w:rFonts w:cs="Arial"/>
          <w:szCs w:val="22"/>
        </w:rPr>
        <w:t>tarfish</w:t>
      </w:r>
      <w:r w:rsidR="00BA3C73" w:rsidRPr="007527BF">
        <w:rPr>
          <w:rFonts w:cs="Arial"/>
          <w:szCs w:val="22"/>
        </w:rPr>
        <w:t xml:space="preserve"> </w:t>
      </w:r>
      <w:r w:rsidR="003A1283">
        <w:rPr>
          <w:rFonts w:cs="Arial"/>
          <w:szCs w:val="22"/>
        </w:rPr>
        <w:t>m</w:t>
      </w:r>
      <w:r w:rsidR="00BA3C73" w:rsidRPr="007527BF">
        <w:rPr>
          <w:rFonts w:cs="Arial"/>
          <w:szCs w:val="22"/>
        </w:rPr>
        <w:t xml:space="preserve">anagement </w:t>
      </w:r>
      <w:r w:rsidR="003A1283">
        <w:rPr>
          <w:rFonts w:cs="Arial"/>
          <w:szCs w:val="22"/>
        </w:rPr>
        <w:t>p</w:t>
      </w:r>
      <w:r w:rsidR="00BA3C73" w:rsidRPr="007527BF">
        <w:rPr>
          <w:rFonts w:cs="Arial"/>
          <w:szCs w:val="22"/>
        </w:rPr>
        <w:t>rogram</w:t>
      </w:r>
      <w:r w:rsidR="00F41217" w:rsidRPr="007527BF">
        <w:rPr>
          <w:rFonts w:cs="Arial"/>
          <w:szCs w:val="22"/>
        </w:rPr>
        <w:t>me</w:t>
      </w:r>
      <w:r w:rsidR="003A1283">
        <w:rPr>
          <w:rFonts w:cs="Arial"/>
          <w:szCs w:val="22"/>
        </w:rPr>
        <w:t>,</w:t>
      </w:r>
      <w:r w:rsidR="005D5A92" w:rsidRPr="007527BF">
        <w:rPr>
          <w:rFonts w:cs="Arial"/>
          <w:szCs w:val="22"/>
        </w:rPr>
        <w:t xml:space="preserve"> which </w:t>
      </w:r>
      <w:r w:rsidR="00D273A4">
        <w:rPr>
          <w:rFonts w:cs="Arial"/>
          <w:szCs w:val="22"/>
        </w:rPr>
        <w:t xml:space="preserve">has </w:t>
      </w:r>
      <w:r w:rsidR="005D5A92" w:rsidRPr="007527BF">
        <w:rPr>
          <w:rFonts w:cs="Arial"/>
          <w:szCs w:val="22"/>
        </w:rPr>
        <w:t xml:space="preserve">removed </w:t>
      </w:r>
      <w:r w:rsidR="00D273A4">
        <w:rPr>
          <w:rFonts w:cs="Arial"/>
          <w:szCs w:val="22"/>
        </w:rPr>
        <w:t xml:space="preserve">14,990 </w:t>
      </w:r>
      <w:r w:rsidR="005634A3">
        <w:rPr>
          <w:rFonts w:cs="Arial"/>
          <w:szCs w:val="22"/>
        </w:rPr>
        <w:t>COTS</w:t>
      </w:r>
      <w:r w:rsidR="00225AA2" w:rsidRPr="007527BF">
        <w:rPr>
          <w:rFonts w:cs="Arial"/>
          <w:szCs w:val="22"/>
        </w:rPr>
        <w:t xml:space="preserve"> </w:t>
      </w:r>
      <w:r w:rsidR="00BA3C73" w:rsidRPr="007527BF">
        <w:rPr>
          <w:rFonts w:cs="Arial"/>
          <w:szCs w:val="22"/>
        </w:rPr>
        <w:t xml:space="preserve">from </w:t>
      </w:r>
      <w:r w:rsidR="00D273A4">
        <w:rPr>
          <w:rFonts w:cs="Arial"/>
          <w:szCs w:val="22"/>
        </w:rPr>
        <w:t>the reefs under survey between 2012 and the surveys in 2017</w:t>
      </w:r>
      <w:r w:rsidR="00F41217" w:rsidRPr="007527BF">
        <w:rPr>
          <w:rFonts w:cs="Arial"/>
          <w:szCs w:val="22"/>
        </w:rPr>
        <w:t>.</w:t>
      </w:r>
      <w:r w:rsidR="00E75F5C" w:rsidRPr="007527BF">
        <w:rPr>
          <w:rFonts w:cs="Arial"/>
          <w:szCs w:val="22"/>
        </w:rPr>
        <w:t xml:space="preserve"> </w:t>
      </w:r>
      <w:r w:rsidR="00B34751" w:rsidRPr="007527BF">
        <w:t>In</w:t>
      </w:r>
      <w:r w:rsidR="0011079D" w:rsidRPr="007527BF">
        <w:t xml:space="preserve"> 201</w:t>
      </w:r>
      <w:r w:rsidR="003245EC" w:rsidRPr="007527BF">
        <w:t>7</w:t>
      </w:r>
      <w:r w:rsidR="0011079D" w:rsidRPr="007527BF">
        <w:t xml:space="preserve">, </w:t>
      </w:r>
      <w:r w:rsidR="00030A46">
        <w:t>numbers of COTS observed had greatly reduced compared to 2016. However j</w:t>
      </w:r>
      <w:r w:rsidR="0011079D" w:rsidRPr="007527BF">
        <w:t xml:space="preserve">uvenile and sub-adult COTS were </w:t>
      </w:r>
      <w:r w:rsidR="00030A46">
        <w:t>still present</w:t>
      </w:r>
      <w:r w:rsidR="00030A46" w:rsidRPr="007527BF">
        <w:t xml:space="preserve"> </w:t>
      </w:r>
      <w:r w:rsidR="00030A46">
        <w:t>on</w:t>
      </w:r>
      <w:r w:rsidR="00030A46" w:rsidRPr="007527BF">
        <w:t xml:space="preserve"> </w:t>
      </w:r>
      <w:r w:rsidR="00E460FC">
        <w:t>four</w:t>
      </w:r>
      <w:r w:rsidR="0011079D" w:rsidRPr="007527BF">
        <w:t xml:space="preserve"> reefs in this sub-region</w:t>
      </w:r>
      <w:r w:rsidR="00B34751" w:rsidRPr="007527BF">
        <w:t xml:space="preserve"> indicating their ongoing recruitment. </w:t>
      </w:r>
      <w:r w:rsidR="0011079D" w:rsidRPr="007527BF">
        <w:t xml:space="preserve">The highest density of COTS were observed at </w:t>
      </w:r>
      <w:r w:rsidR="002A4001" w:rsidRPr="007527BF">
        <w:t>Frankland West 2 m (</w:t>
      </w:r>
      <w:r w:rsidR="009E643A">
        <w:t>1</w:t>
      </w:r>
      <w:r w:rsidR="00030A46">
        <w:t>50</w:t>
      </w:r>
      <w:r w:rsidR="002A4001" w:rsidRPr="007527BF">
        <w:t xml:space="preserve"> ha</w:t>
      </w:r>
      <w:r w:rsidR="002A4001" w:rsidRPr="007527BF">
        <w:rPr>
          <w:vertAlign w:val="superscript"/>
        </w:rPr>
        <w:t>-1</w:t>
      </w:r>
      <w:r w:rsidR="002A4001" w:rsidRPr="007527BF">
        <w:t xml:space="preserve">) and </w:t>
      </w:r>
      <w:r w:rsidR="0011079D" w:rsidRPr="007527BF">
        <w:t xml:space="preserve">Frankland East </w:t>
      </w:r>
      <w:r w:rsidR="002A4001" w:rsidRPr="007527BF">
        <w:t xml:space="preserve">2 </w:t>
      </w:r>
      <w:r w:rsidR="00AA72A3" w:rsidRPr="007527BF">
        <w:t>m</w:t>
      </w:r>
      <w:r w:rsidR="0011079D" w:rsidRPr="007527BF">
        <w:t xml:space="preserve"> (</w:t>
      </w:r>
      <w:r w:rsidR="009E643A">
        <w:t>100</w:t>
      </w:r>
      <w:r w:rsidR="002A4001" w:rsidRPr="007527BF">
        <w:t xml:space="preserve"> </w:t>
      </w:r>
      <w:r w:rsidR="0011079D" w:rsidRPr="007527BF">
        <w:t>ha</w:t>
      </w:r>
      <w:r w:rsidR="0011079D" w:rsidRPr="007527BF">
        <w:rPr>
          <w:vertAlign w:val="superscript"/>
        </w:rPr>
        <w:t>-1</w:t>
      </w:r>
      <w:r w:rsidR="0011079D" w:rsidRPr="007527BF">
        <w:t>)</w:t>
      </w:r>
      <w:r w:rsidR="00B34751" w:rsidRPr="007527BF">
        <w:t xml:space="preserve">. </w:t>
      </w:r>
      <w:r w:rsidR="00D273A4">
        <w:t xml:space="preserve">The </w:t>
      </w:r>
      <w:r w:rsidR="002C6C3C" w:rsidRPr="007527BF">
        <w:t>effect</w:t>
      </w:r>
      <w:r w:rsidR="009E643A">
        <w:t>s</w:t>
      </w:r>
      <w:r w:rsidR="002C6C3C" w:rsidRPr="007527BF">
        <w:t xml:space="preserve"> </w:t>
      </w:r>
      <w:r w:rsidR="008C5054" w:rsidRPr="007527BF">
        <w:t xml:space="preserve">of COTS predation </w:t>
      </w:r>
      <w:r w:rsidR="002C6C3C" w:rsidRPr="007527BF">
        <w:t xml:space="preserve">on coral </w:t>
      </w:r>
      <w:r w:rsidR="00B34751" w:rsidRPr="007527BF">
        <w:t xml:space="preserve">cover at the Frankland Group </w:t>
      </w:r>
      <w:r w:rsidR="00D273A4">
        <w:t xml:space="preserve">to 2017 is inseparable from the influences of </w:t>
      </w:r>
      <w:r w:rsidR="00857168">
        <w:t xml:space="preserve">coral </w:t>
      </w:r>
      <w:r w:rsidR="00857168" w:rsidRPr="007527BF">
        <w:t>bleaching</w:t>
      </w:r>
      <w:r w:rsidR="00D273A4">
        <w:t xml:space="preserve">. A concern is that the </w:t>
      </w:r>
      <w:r w:rsidR="0011079D" w:rsidRPr="007527BF">
        <w:t xml:space="preserve">COTS will </w:t>
      </w:r>
      <w:r w:rsidR="008C5054" w:rsidRPr="007527BF">
        <w:t xml:space="preserve">continue to impact </w:t>
      </w:r>
      <w:r w:rsidR="0011079D" w:rsidRPr="007527BF">
        <w:t xml:space="preserve">coral cover </w:t>
      </w:r>
      <w:r w:rsidR="008C5054" w:rsidRPr="007527BF">
        <w:t>and impede the recovery of these reefs</w:t>
      </w:r>
      <w:r w:rsidR="0011079D" w:rsidRPr="007527BF">
        <w:t>.</w:t>
      </w:r>
    </w:p>
    <w:p w14:paraId="7C2423B7" w14:textId="77777777" w:rsidR="00E46159" w:rsidRPr="00303C3B" w:rsidRDefault="008C5054" w:rsidP="00E46159">
      <w:r w:rsidRPr="007527BF">
        <w:t>D</w:t>
      </w:r>
      <w:r w:rsidR="00E24DC2" w:rsidRPr="007527BF">
        <w:t>ischarge</w:t>
      </w:r>
      <w:r w:rsidRPr="007527BF">
        <w:t xml:space="preserve"> from rivers in the sub-region</w:t>
      </w:r>
      <w:r w:rsidR="00D273A4">
        <w:t xml:space="preserve"> </w:t>
      </w:r>
      <w:r w:rsidR="00EE3374">
        <w:t xml:space="preserve">were below </w:t>
      </w:r>
      <w:r w:rsidR="00D273A4">
        <w:t>median levels</w:t>
      </w:r>
      <w:r w:rsidR="00EE3374">
        <w:t xml:space="preserve"> over the 2017 water-year</w:t>
      </w:r>
      <w:r w:rsidR="00D273A4">
        <w:t xml:space="preserve">. </w:t>
      </w:r>
      <w:r w:rsidRPr="007527BF">
        <w:t>(</w:t>
      </w:r>
      <w:r w:rsidR="00E46159" w:rsidRPr="007527BF">
        <w:fldChar w:fldCharType="begin"/>
      </w:r>
      <w:r w:rsidR="00E46159" w:rsidRPr="007527BF">
        <w:instrText xml:space="preserve"> REF _Ref491180328 \h </w:instrText>
      </w:r>
      <w:r w:rsidR="00E46159" w:rsidRPr="007527BF">
        <w:fldChar w:fldCharType="separate"/>
      </w:r>
      <w:r w:rsidR="00A75175" w:rsidRPr="00F352E1">
        <w:t xml:space="preserve">Figure </w:t>
      </w:r>
      <w:r w:rsidR="00A75175">
        <w:rPr>
          <w:noProof/>
        </w:rPr>
        <w:t>14</w:t>
      </w:r>
      <w:r w:rsidR="00E46159" w:rsidRPr="007527BF">
        <w:fldChar w:fldCharType="end"/>
      </w:r>
      <w:r w:rsidR="00E46159" w:rsidRPr="007527BF">
        <w:t>d</w:t>
      </w:r>
      <w:r w:rsidR="00E24DC2" w:rsidRPr="007527BF">
        <w:t>)</w:t>
      </w:r>
      <w:r w:rsidR="00441C03" w:rsidRPr="007527BF">
        <w:t>.</w:t>
      </w:r>
      <w:r w:rsidR="00E24DC2" w:rsidRPr="007527BF">
        <w:t xml:space="preserve"> </w:t>
      </w:r>
      <w:r w:rsidR="00441C03" w:rsidRPr="007527BF">
        <w:t xml:space="preserve">Despite </w:t>
      </w:r>
      <w:r w:rsidR="00857168">
        <w:t xml:space="preserve">the </w:t>
      </w:r>
      <w:r w:rsidR="00857168" w:rsidRPr="007527BF">
        <w:t>relatively</w:t>
      </w:r>
      <w:r w:rsidR="00B370C9">
        <w:t xml:space="preserve"> </w:t>
      </w:r>
      <w:r w:rsidR="00441C03" w:rsidRPr="007527BF">
        <w:t xml:space="preserve">low </w:t>
      </w:r>
      <w:r w:rsidR="00D273A4">
        <w:t xml:space="preserve">flows and </w:t>
      </w:r>
      <w:r w:rsidR="00441C03" w:rsidRPr="007527BF">
        <w:t>associated l</w:t>
      </w:r>
      <w:r w:rsidR="00E24DC2" w:rsidRPr="007527BF">
        <w:t>oads of nutrients and sediments being discharged i</w:t>
      </w:r>
      <w:r w:rsidR="001C433F" w:rsidRPr="007527BF">
        <w:t>nto the marine environment</w:t>
      </w:r>
      <w:r w:rsidR="00EE3374">
        <w:t xml:space="preserve"> over the last two years</w:t>
      </w:r>
      <w:r w:rsidR="00441C03" w:rsidRPr="007527BF">
        <w:t>,</w:t>
      </w:r>
      <w:r w:rsidR="001C433F" w:rsidRPr="007527BF">
        <w:t xml:space="preserve"> there have been no clear reductions in regional concentrations of measured water quality parameters (</w:t>
      </w:r>
      <w:r w:rsidR="00F70E9D">
        <w:fldChar w:fldCharType="begin"/>
      </w:r>
      <w:r w:rsidR="00F70E9D">
        <w:instrText xml:space="preserve"> REF _Ref504642979 \h </w:instrText>
      </w:r>
      <w:r w:rsidR="00F70E9D">
        <w:fldChar w:fldCharType="separate"/>
      </w:r>
      <w:r w:rsidR="00A75175">
        <w:t xml:space="preserve">Figure A1. </w:t>
      </w:r>
      <w:r w:rsidR="00A75175">
        <w:rPr>
          <w:noProof/>
        </w:rPr>
        <w:t>10</w:t>
      </w:r>
      <w:r w:rsidR="00F70E9D">
        <w:fldChar w:fldCharType="end"/>
      </w:r>
      <w:r w:rsidR="00F70E9D">
        <w:t xml:space="preserve">, </w:t>
      </w:r>
      <w:r w:rsidR="00E46159" w:rsidRPr="007527BF">
        <w:t xml:space="preserve">Waterhouse </w:t>
      </w:r>
      <w:r w:rsidR="00E46159" w:rsidRPr="007527BF">
        <w:rPr>
          <w:i/>
        </w:rPr>
        <w:t>et al.</w:t>
      </w:r>
      <w:r w:rsidR="00E46159" w:rsidRPr="007527BF">
        <w:t xml:space="preserve"> 201</w:t>
      </w:r>
      <w:r w:rsidR="00D273A4">
        <w:t>8</w:t>
      </w:r>
      <w:r w:rsidR="00303C3B">
        <w:t>).</w:t>
      </w:r>
    </w:p>
    <w:p w14:paraId="117B0C29" w14:textId="77777777" w:rsidR="008954A3" w:rsidRPr="00F352E1" w:rsidRDefault="008954A3" w:rsidP="0038439B">
      <w:pPr>
        <w:rPr>
          <w:rFonts w:eastAsiaTheme="minorHAnsi" w:cs="Arial"/>
          <w:color w:val="4F81BD" w:themeColor="accent1"/>
          <w:szCs w:val="22"/>
          <w:lang w:val="en-AU"/>
        </w:rPr>
      </w:pPr>
    </w:p>
    <w:p w14:paraId="388E2AEE" w14:textId="77777777" w:rsidR="008954A3" w:rsidRPr="00F352E1" w:rsidRDefault="008954A3" w:rsidP="008954A3">
      <w:pPr>
        <w:rPr>
          <w:color w:val="4F81BD" w:themeColor="accent1"/>
        </w:rPr>
      </w:pPr>
    </w:p>
    <w:p w14:paraId="4111C27B" w14:textId="77777777" w:rsidR="00B36605" w:rsidRPr="00F352E1" w:rsidRDefault="00D15EF9" w:rsidP="00B36605">
      <w:pPr>
        <w:rPr>
          <w:color w:val="4F81BD" w:themeColor="accent1"/>
        </w:rPr>
      </w:pPr>
      <w:r>
        <w:rPr>
          <w:noProof/>
          <w:color w:val="4F81BD" w:themeColor="accent1"/>
          <w:lang w:val="en-AU" w:eastAsia="en-AU"/>
        </w:rPr>
        <w:drawing>
          <wp:inline distT="0" distB="0" distL="0" distR="0" wp14:anchorId="63829307" wp14:editId="0533B6D8">
            <wp:extent cx="6120765" cy="6120765"/>
            <wp:effectExtent l="0" t="0" r="0" b="0"/>
            <wp:docPr id="20" name="Picture 20" descr="A panel of five figures. The first and second show maps of the monitored reefs indicating decreasing concentration of Chlorophyll and Non-algal particulate concentration waters than form High Island through Fitzroy Island the Frankland Group and Green Is. A plot of temperature anomalies from the region indicating highest anomalies occurred in 2017. A plot of regional river discharge with maximum values in 2011. A plot of disturbance severity based on loss of coral cover each year, salient points discussed in the main text.&#10;" title="Environmental conditions experienced by coral communities in th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Env_johnstone.pn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615EB03D" w14:textId="4D5347D2" w:rsidR="00E229DD" w:rsidRPr="001322DD" w:rsidRDefault="006A1DEF" w:rsidP="00606A50">
      <w:pPr>
        <w:pStyle w:val="Caption"/>
        <w:rPr>
          <w:rStyle w:val="IntenseReference"/>
          <w:rFonts w:eastAsia="SimSun"/>
        </w:rPr>
      </w:pPr>
      <w:bookmarkStart w:id="173" w:name="_Ref491180328"/>
      <w:bookmarkStart w:id="174" w:name="_Toc514335659"/>
      <w:r w:rsidRPr="00F352E1">
        <w:t xml:space="preserve">Figure </w:t>
      </w:r>
      <w:r w:rsidR="00626D6B">
        <w:fldChar w:fldCharType="begin"/>
      </w:r>
      <w:r w:rsidR="00626D6B">
        <w:instrText xml:space="preserve"> SEQ Figure \* ARABIC </w:instrText>
      </w:r>
      <w:r w:rsidR="00626D6B">
        <w:fldChar w:fldCharType="separate"/>
      </w:r>
      <w:r w:rsidR="00A75175">
        <w:rPr>
          <w:noProof/>
        </w:rPr>
        <w:t>14</w:t>
      </w:r>
      <w:r w:rsidR="00626D6B">
        <w:rPr>
          <w:noProof/>
        </w:rPr>
        <w:fldChar w:fldCharType="end"/>
      </w:r>
      <w:bookmarkEnd w:id="173"/>
      <w:r w:rsidRPr="00F352E1">
        <w:t xml:space="preserve"> Johnstone Russell-Mulgrave sub-region </w:t>
      </w:r>
      <w:r w:rsidR="00A416E6" w:rsidRPr="00F352E1">
        <w:t>environmental pressures</w:t>
      </w:r>
      <w:r w:rsidRPr="00F352E1">
        <w:t>.</w:t>
      </w:r>
      <w:r w:rsidR="00E229DD" w:rsidRPr="00F352E1">
        <w:rPr>
          <w:rStyle w:val="IntenseReference"/>
          <w:rFonts w:eastAsia="SimSun"/>
          <w:color w:val="4F81BD" w:themeColor="accent1"/>
        </w:rPr>
        <w:t xml:space="preserve"> </w:t>
      </w:r>
      <w:r w:rsidR="00E229DD" w:rsidRPr="001322DD">
        <w:rPr>
          <w:rStyle w:val="IntenseReference"/>
          <w:rFonts w:eastAsia="SimSun"/>
        </w:rPr>
        <w:t xml:space="preserve">Maps show location of monitoring sites, red symbols MMP, yellow symbols LTMP along with </w:t>
      </w:r>
      <w:r w:rsidR="001322DD" w:rsidRPr="001322DD">
        <w:rPr>
          <w:rStyle w:val="IntenseReference"/>
          <w:rFonts w:eastAsia="SimSun"/>
        </w:rPr>
        <w:t xml:space="preserve">a) mean chlorophyll </w:t>
      </w:r>
      <w:r w:rsidR="001322DD" w:rsidRPr="001322DD">
        <w:rPr>
          <w:rStyle w:val="IntenseReference"/>
          <w:rFonts w:eastAsia="SimSun"/>
          <w:i/>
        </w:rPr>
        <w:t>a</w:t>
      </w:r>
      <w:r w:rsidR="001322DD" w:rsidRPr="001322DD">
        <w:rPr>
          <w:rStyle w:val="IntenseReference"/>
          <w:rFonts w:eastAsia="SimSun"/>
        </w:rPr>
        <w:t xml:space="preserve"> exceedance of wet season Guideline (0.63ugL</w:t>
      </w:r>
      <w:r w:rsidR="001322DD" w:rsidRPr="001322DD">
        <w:rPr>
          <w:rStyle w:val="IntenseReference"/>
          <w:rFonts w:eastAsia="SimSun"/>
          <w:vertAlign w:val="superscript"/>
        </w:rPr>
        <w:t>-1</w:t>
      </w:r>
      <w:r w:rsidR="001322DD" w:rsidRPr="001322DD">
        <w:rPr>
          <w:rStyle w:val="IntenseReference"/>
          <w:rFonts w:eastAsia="SimSun"/>
        </w:rPr>
        <w:t xml:space="preserve">) and b) mean Non Algal Particulate concentrations. Water quality data are mean levels over the period 2003-2016 (Chl) and 2003-2017 (NAP). c) Seasonally adjusted temperature deviation, timing of cyclones and storms indicated by black arrows, accumulated degree heating days over the summer period (1st of December - 31st March) as reported by BoM (black symbols) and derived from </w:t>
      </w:r>
      <w:r w:rsidR="00036C05">
        <w:rPr>
          <w:rStyle w:val="IntenseReference"/>
          <w:rFonts w:eastAsia="SimSun"/>
        </w:rPr>
        <w:t>in situ</w:t>
      </w:r>
      <w:r w:rsidR="001322DD" w:rsidRPr="001322DD">
        <w:rPr>
          <w:rStyle w:val="IntenseReference"/>
          <w:rFonts w:eastAsia="SimSun"/>
        </w:rPr>
        <w:t xml:space="preserve"> loggers (grey symbols) </w:t>
      </w:r>
      <w:r w:rsidR="00E229DD" w:rsidRPr="001322DD">
        <w:rPr>
          <w:rStyle w:val="IntenseReference"/>
          <w:rFonts w:eastAsia="SimSun"/>
        </w:rPr>
        <w:t>d) Combined daily (blue) and annual</w:t>
      </w:r>
      <w:r w:rsidR="00240263">
        <w:rPr>
          <w:rStyle w:val="IntenseReference"/>
          <w:rFonts w:eastAsia="SimSun"/>
        </w:rPr>
        <w:t xml:space="preserve"> water year</w:t>
      </w:r>
      <w:r w:rsidR="00240263" w:rsidRPr="001322DD">
        <w:rPr>
          <w:rStyle w:val="IntenseReference"/>
          <w:rFonts w:eastAsia="SimSun"/>
        </w:rPr>
        <w:t xml:space="preserve"> </w:t>
      </w:r>
      <w:r w:rsidR="00240263">
        <w:rPr>
          <w:rStyle w:val="IntenseReference"/>
          <w:rFonts w:eastAsia="SimSun"/>
        </w:rPr>
        <w:t>– October to September</w:t>
      </w:r>
      <w:r w:rsidR="00E229DD" w:rsidRPr="001322DD">
        <w:rPr>
          <w:rStyle w:val="IntenseReference"/>
          <w:rFonts w:eastAsia="SimSun"/>
        </w:rPr>
        <w:t xml:space="preserve"> (red) discharge for the </w:t>
      </w:r>
      <w:r w:rsidR="001E1E73" w:rsidRPr="001322DD">
        <w:rPr>
          <w:rStyle w:val="IntenseReference"/>
          <w:rFonts w:eastAsia="SimSun"/>
        </w:rPr>
        <w:t xml:space="preserve">North </w:t>
      </w:r>
      <w:r w:rsidR="00E229DD" w:rsidRPr="001322DD">
        <w:rPr>
          <w:rStyle w:val="IntenseReference"/>
          <w:rFonts w:eastAsia="SimSun"/>
        </w:rPr>
        <w:t xml:space="preserve">Johnstone, </w:t>
      </w:r>
      <w:r w:rsidR="001E1E73" w:rsidRPr="001322DD">
        <w:rPr>
          <w:rStyle w:val="IntenseReference"/>
          <w:rFonts w:eastAsia="SimSun"/>
        </w:rPr>
        <w:t xml:space="preserve">South Johnstone, </w:t>
      </w:r>
      <w:r w:rsidR="00E229DD" w:rsidRPr="001322DD">
        <w:rPr>
          <w:rStyle w:val="IntenseReference"/>
          <w:rFonts w:eastAsia="SimSun"/>
        </w:rPr>
        <w:t>Russell and Mulgrave rivers, red dashed line represents long-term median discharge (1986-2016). e) break-down of hard coral cover loss by disturbance type; length of bars represent the mean loss of cover across all reefs (see methods section for further detail).</w:t>
      </w:r>
      <w:bookmarkEnd w:id="174"/>
    </w:p>
    <w:p w14:paraId="089BFFE9" w14:textId="77777777" w:rsidR="00B36605" w:rsidRPr="00F352E1" w:rsidRDefault="00B36605">
      <w:pPr>
        <w:jc w:val="left"/>
        <w:rPr>
          <w:color w:val="4F81BD" w:themeColor="accent1"/>
        </w:rPr>
      </w:pPr>
      <w:r w:rsidRPr="00F352E1">
        <w:rPr>
          <w:color w:val="4F81BD" w:themeColor="accent1"/>
        </w:rPr>
        <w:br w:type="page"/>
      </w:r>
    </w:p>
    <w:p w14:paraId="63B548C3" w14:textId="77777777" w:rsidR="001C36F4" w:rsidRPr="00F352E1" w:rsidRDefault="001C36F4" w:rsidP="001C36F4">
      <w:pPr>
        <w:rPr>
          <w:color w:val="4F81BD" w:themeColor="accent1"/>
        </w:rPr>
      </w:pPr>
    </w:p>
    <w:p w14:paraId="3CB546BE" w14:textId="77777777" w:rsidR="004320ED" w:rsidRDefault="006D2B24" w:rsidP="00857168">
      <w:pPr>
        <w:spacing w:before="5" w:after="5"/>
        <w:ind w:left="5" w:right="5"/>
        <w:rPr>
          <w:color w:val="4F81BD" w:themeColor="accent1"/>
        </w:rPr>
      </w:pPr>
      <w:r>
        <w:rPr>
          <w:noProof/>
          <w:color w:val="4F81BD" w:themeColor="accent1"/>
          <w:lang w:val="en-AU" w:eastAsia="en-AU"/>
        </w:rPr>
        <w:drawing>
          <wp:inline distT="0" distB="0" distL="0" distR="0" wp14:anchorId="39C7BBAE" wp14:editId="1D04D9BF">
            <wp:extent cx="6118860" cy="5351452"/>
            <wp:effectExtent l="0" t="0" r="0" b="1905"/>
            <wp:docPr id="241" name="Picture 241" descr="Plots of the trend in scores through time, salient points are discussed in the main text.&#10;" title="Trends in index and metric scores within the region and at individual reef and depth combin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EXTERNAL PROJECTS\GBRMPA_RWQPP_Monitoring\Reports\Visit 13 2017\R\data\Output\Johnstone_plots_noWQ.png"/>
                    <pic:cNvPicPr>
                      <a:picLocks noChangeAspect="1" noChangeArrowheads="1"/>
                    </pic:cNvPicPr>
                  </pic:nvPicPr>
                  <pic:blipFill>
                    <a:blip r:embed="rId49" cstate="print">
                      <a:extLst>
                        <a:ext uri="{28A0092B-C50C-407E-A947-70E740481C1C}">
                          <a14:useLocalDpi xmlns:a14="http://schemas.microsoft.com/office/drawing/2010/main" val="0"/>
                        </a:ext>
                      </a:extLst>
                    </a:blip>
                    <a:stretch>
                      <a:fillRect/>
                    </a:stretch>
                  </pic:blipFill>
                  <pic:spPr bwMode="auto">
                    <a:xfrm>
                      <a:off x="0" y="0"/>
                      <a:ext cx="6118860" cy="5351452"/>
                    </a:xfrm>
                    <a:prstGeom prst="rect">
                      <a:avLst/>
                    </a:prstGeom>
                    <a:noFill/>
                    <a:ln>
                      <a:noFill/>
                    </a:ln>
                  </pic:spPr>
                </pic:pic>
              </a:graphicData>
            </a:graphic>
          </wp:inline>
        </w:drawing>
      </w:r>
    </w:p>
    <w:p w14:paraId="1167C211" w14:textId="77777777" w:rsidR="006D2B24" w:rsidRPr="00F352E1" w:rsidRDefault="006D2B24" w:rsidP="00857168">
      <w:pPr>
        <w:spacing w:before="5" w:after="5"/>
        <w:ind w:left="5" w:right="5"/>
        <w:rPr>
          <w:color w:val="4F81BD" w:themeColor="accent1"/>
        </w:rPr>
      </w:pPr>
    </w:p>
    <w:p w14:paraId="548CADE3" w14:textId="77777777" w:rsidR="006A1DEF" w:rsidRPr="009808B7" w:rsidRDefault="006A1DEF" w:rsidP="00606A50">
      <w:pPr>
        <w:pStyle w:val="Caption"/>
        <w:rPr>
          <w:rStyle w:val="IntenseReference"/>
          <w:rFonts w:eastAsia="SimSun"/>
        </w:rPr>
      </w:pPr>
      <w:bookmarkStart w:id="175" w:name="_Ref491181369"/>
      <w:bookmarkStart w:id="176" w:name="_Ref438119880"/>
      <w:bookmarkStart w:id="177" w:name="_Toc514335660"/>
      <w:bookmarkStart w:id="178" w:name="_Toc437423852"/>
      <w:bookmarkStart w:id="179" w:name="_Toc437424031"/>
      <w:bookmarkStart w:id="180" w:name="_Toc437424299"/>
      <w:bookmarkStart w:id="181" w:name="_Toc437597632"/>
      <w:r w:rsidRPr="004252BF">
        <w:t xml:space="preserve">Figure </w:t>
      </w:r>
      <w:r w:rsidR="00FE19A9" w:rsidRPr="00857168">
        <w:fldChar w:fldCharType="begin"/>
      </w:r>
      <w:r w:rsidR="00FE19A9" w:rsidRPr="004252BF">
        <w:instrText xml:space="preserve"> SEQ Figure \* ARABIC </w:instrText>
      </w:r>
      <w:r w:rsidR="00FE19A9" w:rsidRPr="00857168">
        <w:fldChar w:fldCharType="separate"/>
      </w:r>
      <w:r w:rsidR="00A75175">
        <w:rPr>
          <w:noProof/>
        </w:rPr>
        <w:t>15</w:t>
      </w:r>
      <w:r w:rsidR="00FE19A9" w:rsidRPr="00857168">
        <w:fldChar w:fldCharType="end"/>
      </w:r>
      <w:bookmarkEnd w:id="175"/>
      <w:r w:rsidRPr="004252BF">
        <w:t xml:space="preserve"> Johnstone Russell-Mulgrave sub-region</w:t>
      </w:r>
      <w:r w:rsidR="00A416E6" w:rsidRPr="004252BF">
        <w:t xml:space="preserve"> index and indicator trends</w:t>
      </w:r>
      <w:r w:rsidRPr="004252BF">
        <w:t>.</w:t>
      </w:r>
      <w:bookmarkEnd w:id="176"/>
      <w:r w:rsidRPr="00857168">
        <w:rPr>
          <w:rStyle w:val="IntenseReference"/>
          <w:rFonts w:eastAsia="SimSun"/>
        </w:rPr>
        <w:t xml:space="preserve"> a) </w:t>
      </w:r>
      <w:r w:rsidRPr="00626D6B">
        <w:rPr>
          <w:rStyle w:val="IntenseReference"/>
          <w:rFonts w:eastAsia="SimSun"/>
        </w:rPr>
        <w:t>Coral index, colour coding: dark green- ‘very good’; light green-‘good’; yellow – ‘moderate; orange – ‘poor’; red – ‘very poor’. b – f) trends in individual indicators, (blue lines) bou</w:t>
      </w:r>
      <w:r w:rsidRPr="009808B7">
        <w:rPr>
          <w:rStyle w:val="IntenseReference"/>
          <w:rFonts w:eastAsia="SimSun"/>
        </w:rPr>
        <w:t>nd by 95% confidence intervals of those trends (shading), grey lines represent observed profiles at 5 m (dashed) and 2 m (solid) depths for individual reefs</w:t>
      </w:r>
      <w:r w:rsidR="00CD0D47" w:rsidRPr="009808B7">
        <w:rPr>
          <w:rStyle w:val="IntenseReference"/>
          <w:rFonts w:eastAsia="SimSun"/>
        </w:rPr>
        <w:t>.</w:t>
      </w:r>
      <w:bookmarkEnd w:id="177"/>
      <w:r w:rsidRPr="009808B7">
        <w:rPr>
          <w:rStyle w:val="IntenseReference"/>
          <w:rFonts w:eastAsia="SimSun"/>
        </w:rPr>
        <w:t xml:space="preserve"> </w:t>
      </w:r>
    </w:p>
    <w:bookmarkEnd w:id="178"/>
    <w:bookmarkEnd w:id="179"/>
    <w:bookmarkEnd w:id="180"/>
    <w:bookmarkEnd w:id="181"/>
    <w:p w14:paraId="33F7C1A5" w14:textId="77777777" w:rsidR="003C0562" w:rsidRPr="00F352E1" w:rsidRDefault="003C0562" w:rsidP="00260BBC">
      <w:pPr>
        <w:rPr>
          <w:rFonts w:cs="Arial"/>
          <w:color w:val="4F81BD" w:themeColor="accent1"/>
        </w:rPr>
      </w:pPr>
    </w:p>
    <w:p w14:paraId="42CCAB29" w14:textId="77777777" w:rsidR="000C6FCB" w:rsidRPr="00F352E1" w:rsidRDefault="000C6FCB" w:rsidP="00260BBC">
      <w:pPr>
        <w:rPr>
          <w:color w:val="4F81BD" w:themeColor="accent1"/>
        </w:rPr>
      </w:pPr>
      <w:r w:rsidRPr="00F352E1">
        <w:rPr>
          <w:color w:val="4F81BD" w:themeColor="accent1"/>
        </w:rPr>
        <w:br w:type="page"/>
      </w:r>
    </w:p>
    <w:p w14:paraId="40CF2407" w14:textId="77777777" w:rsidR="00E95C71" w:rsidRPr="00F352E1" w:rsidRDefault="00F352CD" w:rsidP="00607BCA">
      <w:pPr>
        <w:pStyle w:val="Heading3"/>
      </w:pPr>
      <w:bookmarkStart w:id="182" w:name="_Toc437424408"/>
      <w:bookmarkStart w:id="183" w:name="_Toc437424532"/>
      <w:bookmarkStart w:id="184" w:name="_Toc437432463"/>
      <w:bookmarkStart w:id="185" w:name="_Toc437432536"/>
      <w:bookmarkStart w:id="186" w:name="_Toc514408413"/>
      <w:r w:rsidRPr="00F352E1">
        <w:t>5</w:t>
      </w:r>
      <w:r w:rsidR="002A28EE" w:rsidRPr="00F352E1">
        <w:t>.</w:t>
      </w:r>
      <w:r w:rsidR="00BD49B5" w:rsidRPr="00F352E1">
        <w:t>2.3</w:t>
      </w:r>
      <w:r w:rsidR="00A803D4" w:rsidRPr="00F352E1">
        <w:t xml:space="preserve"> </w:t>
      </w:r>
      <w:r w:rsidR="00EA753F" w:rsidRPr="00F352E1">
        <w:t>Wet Tropics Region: Herbert Tully sub-region</w:t>
      </w:r>
      <w:bookmarkEnd w:id="182"/>
      <w:bookmarkEnd w:id="183"/>
      <w:bookmarkEnd w:id="184"/>
      <w:bookmarkEnd w:id="185"/>
      <w:bookmarkEnd w:id="186"/>
    </w:p>
    <w:p w14:paraId="65A5FC1A" w14:textId="73298A04" w:rsidR="005A50DC" w:rsidRPr="007527BF" w:rsidRDefault="00026B0E" w:rsidP="005A50DC">
      <w:r>
        <w:t xml:space="preserve">Coral communities </w:t>
      </w:r>
      <w:r w:rsidR="00AF6321" w:rsidRPr="007527BF">
        <w:t>continue</w:t>
      </w:r>
      <w:r w:rsidR="004A0F8F">
        <w:t>d</w:t>
      </w:r>
      <w:r w:rsidR="00AF6321" w:rsidRPr="007527BF">
        <w:t xml:space="preserve"> to </w:t>
      </w:r>
      <w:r>
        <w:t xml:space="preserve">recover from the impacts of Tropical Cyclone Yasi with the coral index in the sub-region </w:t>
      </w:r>
      <w:r w:rsidR="00212214" w:rsidRPr="007527BF">
        <w:t>categorised as ‘moderate’</w:t>
      </w:r>
      <w:r>
        <w:t>,</w:t>
      </w:r>
      <w:r w:rsidR="00611D00" w:rsidRPr="007527BF">
        <w:t xml:space="preserve"> </w:t>
      </w:r>
      <w:r w:rsidR="00AF6321" w:rsidRPr="007527BF">
        <w:t xml:space="preserve">the highest </w:t>
      </w:r>
      <w:r>
        <w:t xml:space="preserve">it has been </w:t>
      </w:r>
      <w:r w:rsidR="00AF6321" w:rsidRPr="007527BF">
        <w:t>since monitoring began in 2005</w:t>
      </w:r>
      <w:r w:rsidR="00611D00" w:rsidRPr="007527BF">
        <w:t xml:space="preserve"> (</w:t>
      </w:r>
      <w:r w:rsidR="0024084A">
        <w:fldChar w:fldCharType="begin"/>
      </w:r>
      <w:r w:rsidR="0024084A">
        <w:instrText xml:space="preserve"> REF _Ref491267284 \h </w:instrText>
      </w:r>
      <w:r w:rsidR="0024084A">
        <w:fldChar w:fldCharType="separate"/>
      </w:r>
      <w:r w:rsidR="00A75175" w:rsidRPr="004049C6">
        <w:t xml:space="preserve">Table </w:t>
      </w:r>
      <w:r w:rsidR="00A75175">
        <w:rPr>
          <w:noProof/>
        </w:rPr>
        <w:t>12</w:t>
      </w:r>
      <w:r w:rsidR="0024084A">
        <w:fldChar w:fldCharType="end"/>
      </w:r>
      <w:r w:rsidR="00611D00" w:rsidRPr="007527BF">
        <w:t xml:space="preserve">, </w:t>
      </w:r>
      <w:r w:rsidR="00611D00" w:rsidRPr="007527BF">
        <w:fldChar w:fldCharType="begin"/>
      </w:r>
      <w:r w:rsidR="00611D00" w:rsidRPr="007527BF">
        <w:instrText xml:space="preserve"> REF _Ref491267311 \h </w:instrText>
      </w:r>
      <w:r w:rsidR="00611D00" w:rsidRPr="007527BF">
        <w:fldChar w:fldCharType="separate"/>
      </w:r>
      <w:r w:rsidR="00A75175" w:rsidRPr="004252BF">
        <w:t xml:space="preserve">Figure </w:t>
      </w:r>
      <w:r w:rsidR="00A75175">
        <w:rPr>
          <w:noProof/>
        </w:rPr>
        <w:t>17</w:t>
      </w:r>
      <w:r w:rsidR="00611D00" w:rsidRPr="007527BF">
        <w:fldChar w:fldCharType="end"/>
      </w:r>
      <w:r w:rsidR="00611D00" w:rsidRPr="007527BF">
        <w:t>a)</w:t>
      </w:r>
      <w:r w:rsidR="00AF6321" w:rsidRPr="007527BF">
        <w:t xml:space="preserve">. </w:t>
      </w:r>
      <w:r w:rsidR="00E45CE9" w:rsidRPr="007527BF">
        <w:t>Between 2</w:t>
      </w:r>
      <w:r w:rsidR="000F7248" w:rsidRPr="007527BF">
        <w:t>013 and 201</w:t>
      </w:r>
      <w:r w:rsidR="00112B73" w:rsidRPr="007527BF">
        <w:t>7</w:t>
      </w:r>
      <w:r w:rsidR="000F7248" w:rsidRPr="007527BF">
        <w:t xml:space="preserve"> all</w:t>
      </w:r>
      <w:r w:rsidR="00E45CE9" w:rsidRPr="007527BF">
        <w:t xml:space="preserve"> indicator metric scores</w:t>
      </w:r>
      <w:r w:rsidR="000F7248" w:rsidRPr="007527BF">
        <w:t xml:space="preserve"> improved</w:t>
      </w:r>
      <w:r w:rsidR="006C1688" w:rsidRPr="007527BF">
        <w:t>,</w:t>
      </w:r>
      <w:r w:rsidR="00E45CE9" w:rsidRPr="007527BF">
        <w:t xml:space="preserve"> the most consistent improvements </w:t>
      </w:r>
      <w:r>
        <w:t xml:space="preserve">occurring in </w:t>
      </w:r>
      <w:r w:rsidR="00323B32">
        <w:t>the</w:t>
      </w:r>
      <w:r w:rsidR="00B370C9">
        <w:t xml:space="preserve"> </w:t>
      </w:r>
      <w:r w:rsidR="00E45CE9" w:rsidRPr="007527BF">
        <w:t xml:space="preserve">Coral </w:t>
      </w:r>
      <w:r w:rsidR="00225AA2">
        <w:t>C</w:t>
      </w:r>
      <w:r w:rsidR="00225AA2" w:rsidRPr="007527BF">
        <w:t>over</w:t>
      </w:r>
      <w:r w:rsidR="00EE3374">
        <w:t>,</w:t>
      </w:r>
      <w:r w:rsidR="00A20085">
        <w:t xml:space="preserve"> </w:t>
      </w:r>
      <w:r w:rsidR="000F7248" w:rsidRPr="007527BF">
        <w:t>Coral</w:t>
      </w:r>
      <w:r w:rsidR="00E45CE9" w:rsidRPr="007527BF">
        <w:t xml:space="preserve"> </w:t>
      </w:r>
      <w:r w:rsidR="00225AA2">
        <w:t>C</w:t>
      </w:r>
      <w:r w:rsidR="00225AA2" w:rsidRPr="007527BF">
        <w:t>hange</w:t>
      </w:r>
      <w:r w:rsidR="00225AA2">
        <w:t xml:space="preserve"> </w:t>
      </w:r>
      <w:r w:rsidR="00323B32">
        <w:t>and Composition</w:t>
      </w:r>
      <w:r w:rsidR="00B370C9">
        <w:t xml:space="preserve"> metrics</w:t>
      </w:r>
      <w:r w:rsidR="000F7248" w:rsidRPr="007527BF">
        <w:t xml:space="preserve"> (</w:t>
      </w:r>
      <w:r w:rsidR="0024084A">
        <w:fldChar w:fldCharType="begin"/>
      </w:r>
      <w:r w:rsidR="0024084A">
        <w:instrText xml:space="preserve"> REF _Ref491267284 \h </w:instrText>
      </w:r>
      <w:r w:rsidR="0024084A">
        <w:fldChar w:fldCharType="separate"/>
      </w:r>
      <w:r w:rsidR="00A75175" w:rsidRPr="004049C6">
        <w:t xml:space="preserve">Table </w:t>
      </w:r>
      <w:r w:rsidR="00A75175">
        <w:rPr>
          <w:noProof/>
        </w:rPr>
        <w:t>12</w:t>
      </w:r>
      <w:r w:rsidR="0024084A">
        <w:fldChar w:fldCharType="end"/>
      </w:r>
      <w:r w:rsidR="000F7248" w:rsidRPr="007527BF">
        <w:t>). Improvement in the Composition metric indicate</w:t>
      </w:r>
      <w:r w:rsidR="006C1688" w:rsidRPr="007527BF">
        <w:t>s</w:t>
      </w:r>
      <w:r w:rsidR="000F7248" w:rsidRPr="007527BF">
        <w:t xml:space="preserve"> that </w:t>
      </w:r>
      <w:r w:rsidR="00611D00" w:rsidRPr="007527BF">
        <w:t xml:space="preserve">recovering coral cover </w:t>
      </w:r>
      <w:r w:rsidR="006C1688" w:rsidRPr="007527BF">
        <w:t xml:space="preserve">included increased cover </w:t>
      </w:r>
      <w:r w:rsidR="000F7248" w:rsidRPr="007527BF">
        <w:t>of spec</w:t>
      </w:r>
      <w:r w:rsidR="00611D00" w:rsidRPr="007527BF">
        <w:t>ies s</w:t>
      </w:r>
      <w:r w:rsidR="002C6C3C" w:rsidRPr="007527BF">
        <w:t xml:space="preserve">ensitive to water quality, these </w:t>
      </w:r>
      <w:r w:rsidR="000F7248" w:rsidRPr="007527BF">
        <w:t xml:space="preserve">taxa, largely </w:t>
      </w:r>
      <w:r w:rsidR="000F7248" w:rsidRPr="007527BF">
        <w:rPr>
          <w:i/>
        </w:rPr>
        <w:t>Acropora</w:t>
      </w:r>
      <w:r w:rsidR="000F7248" w:rsidRPr="007527BF">
        <w:t xml:space="preserve"> were severely impacted by Cyclone Yasi (</w:t>
      </w:r>
      <w:r w:rsidR="007B0264">
        <w:fldChar w:fldCharType="begin"/>
      </w:r>
      <w:r w:rsidR="007B0264">
        <w:instrText xml:space="preserve"> REF _Ref504643042 \h </w:instrText>
      </w:r>
      <w:r w:rsidR="007B0264">
        <w:fldChar w:fldCharType="separate"/>
      </w:r>
      <w:r w:rsidR="00A75175">
        <w:t xml:space="preserve">Figure A1. </w:t>
      </w:r>
      <w:r w:rsidR="00A75175">
        <w:rPr>
          <w:noProof/>
        </w:rPr>
        <w:t>3</w:t>
      </w:r>
      <w:r w:rsidR="007B0264">
        <w:fldChar w:fldCharType="end"/>
      </w:r>
      <w:r w:rsidR="000F7248" w:rsidRPr="007527BF">
        <w:t xml:space="preserve">). Conversely, </w:t>
      </w:r>
      <w:r w:rsidR="00323B32">
        <w:t xml:space="preserve">the small </w:t>
      </w:r>
      <w:r w:rsidR="000F7248" w:rsidRPr="007527BF">
        <w:t xml:space="preserve">improvements in the Juvenile metric largely reflect </w:t>
      </w:r>
      <w:r w:rsidR="00611D00" w:rsidRPr="007527BF">
        <w:t xml:space="preserve">increased </w:t>
      </w:r>
      <w:r w:rsidR="000F7248" w:rsidRPr="007527BF">
        <w:t xml:space="preserve">abundance of </w:t>
      </w:r>
      <w:r w:rsidR="000F7248" w:rsidRPr="007527BF">
        <w:rPr>
          <w:i/>
        </w:rPr>
        <w:t>Turbinaria</w:t>
      </w:r>
      <w:r w:rsidR="000F7248" w:rsidRPr="007527BF">
        <w:t xml:space="preserve"> (Family Dendrophylliidae</w:t>
      </w:r>
      <w:r w:rsidR="00611D00" w:rsidRPr="007527BF">
        <w:t>,</w:t>
      </w:r>
      <w:r w:rsidR="007B0264">
        <w:t xml:space="preserve"> </w:t>
      </w:r>
      <w:r w:rsidR="007B0264">
        <w:fldChar w:fldCharType="begin"/>
      </w:r>
      <w:r w:rsidR="007B0264">
        <w:instrText xml:space="preserve"> REF _Ref504643042 \h </w:instrText>
      </w:r>
      <w:r w:rsidR="007B0264">
        <w:fldChar w:fldCharType="separate"/>
      </w:r>
      <w:r w:rsidR="00A75175">
        <w:t xml:space="preserve">Figure A1. </w:t>
      </w:r>
      <w:r w:rsidR="00A75175">
        <w:rPr>
          <w:noProof/>
        </w:rPr>
        <w:t>3</w:t>
      </w:r>
      <w:r w:rsidR="007B0264">
        <w:fldChar w:fldCharType="end"/>
      </w:r>
      <w:r w:rsidR="000F7248" w:rsidRPr="007527BF">
        <w:t xml:space="preserve">) a genus not considered </w:t>
      </w:r>
      <w:r w:rsidR="00CE6032" w:rsidRPr="007527BF">
        <w:t>sensitive to poor water quality</w:t>
      </w:r>
      <w:r w:rsidR="00A20085">
        <w:t>.</w:t>
      </w:r>
      <w:r w:rsidR="00CE6032" w:rsidRPr="007527BF">
        <w:t xml:space="preserve"> The Macroalgae </w:t>
      </w:r>
      <w:r w:rsidR="00030B54" w:rsidRPr="007527BF">
        <w:t xml:space="preserve">metric showed strong improvements </w:t>
      </w:r>
      <w:r w:rsidR="00CE6032" w:rsidRPr="007527BF">
        <w:t xml:space="preserve">at </w:t>
      </w:r>
      <w:r w:rsidR="00030B54" w:rsidRPr="007527BF">
        <w:t xml:space="preserve">2 </w:t>
      </w:r>
      <w:r w:rsidR="00CE6032" w:rsidRPr="007527BF">
        <w:t xml:space="preserve">m depths, </w:t>
      </w:r>
      <w:r w:rsidR="00030B54" w:rsidRPr="007527BF">
        <w:t xml:space="preserve">whilst </w:t>
      </w:r>
      <w:r w:rsidR="00CE6032" w:rsidRPr="007527BF">
        <w:t>the generally low proportion of macroalgae in the algal communities at the deeper sites (</w:t>
      </w:r>
      <w:r w:rsidR="00611D00" w:rsidRPr="007527BF">
        <w:fldChar w:fldCharType="begin"/>
      </w:r>
      <w:r w:rsidR="00611D00" w:rsidRPr="007527BF">
        <w:instrText xml:space="preserve"> REF _Ref491267311 \h </w:instrText>
      </w:r>
      <w:r w:rsidR="00611D00" w:rsidRPr="007527BF">
        <w:fldChar w:fldCharType="separate"/>
      </w:r>
      <w:r w:rsidR="00A75175" w:rsidRPr="004252BF">
        <w:t xml:space="preserve">Figure </w:t>
      </w:r>
      <w:r w:rsidR="00A75175">
        <w:rPr>
          <w:noProof/>
        </w:rPr>
        <w:t>17</w:t>
      </w:r>
      <w:r w:rsidR="00611D00" w:rsidRPr="007527BF">
        <w:fldChar w:fldCharType="end"/>
      </w:r>
      <w:r w:rsidR="00CE6032" w:rsidRPr="007527BF">
        <w:t>e)</w:t>
      </w:r>
      <w:r w:rsidR="006C1688" w:rsidRPr="007527BF">
        <w:t xml:space="preserve"> limit</w:t>
      </w:r>
      <w:r w:rsidR="002C6C3C" w:rsidRPr="007527BF">
        <w:t>s</w:t>
      </w:r>
      <w:r w:rsidR="006C1688" w:rsidRPr="007527BF">
        <w:t xml:space="preserve"> room for improvement in this metric</w:t>
      </w:r>
      <w:r w:rsidR="00030B54" w:rsidRPr="007527BF">
        <w:t xml:space="preserve"> at 5 m depths</w:t>
      </w:r>
      <w:r w:rsidR="00CE6032" w:rsidRPr="007527BF">
        <w:t>.</w:t>
      </w:r>
      <w:r w:rsidR="00E75F5C" w:rsidRPr="007527BF">
        <w:t xml:space="preserve"> </w:t>
      </w:r>
    </w:p>
    <w:p w14:paraId="2BC5704D" w14:textId="2668BB93" w:rsidR="00AF6321" w:rsidRPr="007527BF" w:rsidRDefault="00030B54" w:rsidP="005A50DC">
      <w:r w:rsidRPr="007527BF">
        <w:t xml:space="preserve">As with other sub-regions in the Wet </w:t>
      </w:r>
      <w:r w:rsidR="00225AA2">
        <w:t>T</w:t>
      </w:r>
      <w:r w:rsidR="00225AA2" w:rsidRPr="007527BF">
        <w:t>ropics</w:t>
      </w:r>
      <w:r w:rsidR="00F37DBD">
        <w:t>,</w:t>
      </w:r>
      <w:r w:rsidRPr="007527BF">
        <w:t xml:space="preserve"> reefs </w:t>
      </w:r>
      <w:r w:rsidR="005A50DC" w:rsidRPr="007527BF">
        <w:t xml:space="preserve">in this area </w:t>
      </w:r>
      <w:r w:rsidRPr="007527BF">
        <w:t xml:space="preserve">were impacted by </w:t>
      </w:r>
      <w:r w:rsidR="005A50DC" w:rsidRPr="007527BF">
        <w:t>coral bleaching over the 201</w:t>
      </w:r>
      <w:r w:rsidRPr="007527BF">
        <w:t>6</w:t>
      </w:r>
      <w:r w:rsidR="005A50DC" w:rsidRPr="007527BF">
        <w:t>/1</w:t>
      </w:r>
      <w:r w:rsidRPr="007527BF">
        <w:t>7</w:t>
      </w:r>
      <w:r w:rsidR="005A50DC" w:rsidRPr="007527BF">
        <w:t xml:space="preserve"> summer</w:t>
      </w:r>
      <w:r w:rsidR="00DB4462" w:rsidRPr="007527BF">
        <w:t>, contributing to 9.2</w:t>
      </w:r>
      <w:r w:rsidR="00DD6C5A">
        <w:t xml:space="preserve"> per cent</w:t>
      </w:r>
      <w:r w:rsidR="00DB4462" w:rsidRPr="007527BF">
        <w:t xml:space="preserve"> of the total coral cover loss </w:t>
      </w:r>
      <w:r w:rsidR="002D1203" w:rsidRPr="007527BF">
        <w:t>since 2005 (</w:t>
      </w:r>
      <w:r w:rsidR="002D1203" w:rsidRPr="007527BF">
        <w:fldChar w:fldCharType="begin"/>
      </w:r>
      <w:r w:rsidR="002D1203" w:rsidRPr="007527BF">
        <w:instrText xml:space="preserve"> REF _Ref491267352 \h </w:instrText>
      </w:r>
      <w:r w:rsidR="002D1203" w:rsidRPr="007527BF">
        <w:fldChar w:fldCharType="separate"/>
      </w:r>
      <w:r w:rsidR="00A75175" w:rsidRPr="00F352E1">
        <w:t xml:space="preserve">Figure </w:t>
      </w:r>
      <w:r w:rsidR="00A75175">
        <w:rPr>
          <w:noProof/>
        </w:rPr>
        <w:t>16</w:t>
      </w:r>
      <w:r w:rsidR="002D1203" w:rsidRPr="007527BF">
        <w:fldChar w:fldCharType="end"/>
      </w:r>
      <w:r w:rsidR="002D1203" w:rsidRPr="007527BF">
        <w:t>e)</w:t>
      </w:r>
      <w:r w:rsidR="005A50DC" w:rsidRPr="007527BF">
        <w:t xml:space="preserve">. </w:t>
      </w:r>
      <w:r w:rsidR="002D1203" w:rsidRPr="007527BF">
        <w:t>Impact</w:t>
      </w:r>
      <w:r w:rsidR="00E842FD">
        <w:t>s from the bleaching were most evident at 2 m depths. Th</w:t>
      </w:r>
      <w:r w:rsidR="002D1203" w:rsidRPr="007527BF">
        <w:t xml:space="preserve">e </w:t>
      </w:r>
      <w:r w:rsidR="00E842FD">
        <w:t xml:space="preserve">severe impact of bleaching occurred </w:t>
      </w:r>
      <w:r w:rsidR="002D1203" w:rsidRPr="007527BF">
        <w:t xml:space="preserve">at Dunk South where </w:t>
      </w:r>
      <w:r w:rsidR="006430DC">
        <w:t xml:space="preserve">cover in 2017 was </w:t>
      </w:r>
      <w:r w:rsidR="002D1203" w:rsidRPr="007527BF">
        <w:t>45</w:t>
      </w:r>
      <w:r w:rsidR="00DD6C5A">
        <w:t xml:space="preserve"> per cent</w:t>
      </w:r>
      <w:r w:rsidR="002D1203" w:rsidRPr="007527BF">
        <w:t xml:space="preserve"> </w:t>
      </w:r>
      <w:r w:rsidR="006430DC">
        <w:t xml:space="preserve">lower than </w:t>
      </w:r>
      <w:r w:rsidR="00A349DF">
        <w:t>predicted,</w:t>
      </w:r>
      <w:r w:rsidR="006430DC">
        <w:t xml:space="preserve"> this contrast</w:t>
      </w:r>
      <w:r w:rsidR="00E842FD">
        <w:t>ed</w:t>
      </w:r>
      <w:r w:rsidR="006430DC">
        <w:t xml:space="preserve"> with </w:t>
      </w:r>
      <w:r w:rsidR="00E842FD">
        <w:t xml:space="preserve">a slight </w:t>
      </w:r>
      <w:r w:rsidR="00A349DF">
        <w:t>increas</w:t>
      </w:r>
      <w:r w:rsidR="00E842FD">
        <w:t>e in</w:t>
      </w:r>
      <w:r w:rsidR="00A349DF">
        <w:t xml:space="preserve"> </w:t>
      </w:r>
      <w:r w:rsidR="00E842FD">
        <w:t>cover at 5m depth</w:t>
      </w:r>
      <w:r w:rsidR="00B30979">
        <w:t>, although</w:t>
      </w:r>
      <w:r w:rsidR="006430DC">
        <w:t xml:space="preserve"> </w:t>
      </w:r>
      <w:r w:rsidR="00E842FD">
        <w:t xml:space="preserve">that increase was </w:t>
      </w:r>
      <w:r w:rsidR="006430DC">
        <w:t>still 6</w:t>
      </w:r>
      <w:r w:rsidR="00DD6C5A">
        <w:t xml:space="preserve"> per cent</w:t>
      </w:r>
      <w:r w:rsidR="006430DC">
        <w:t xml:space="preserve"> lower than </w:t>
      </w:r>
      <w:r w:rsidR="00B30979">
        <w:t>predicted (</w:t>
      </w:r>
      <w:r w:rsidR="00A928FD">
        <w:fldChar w:fldCharType="begin"/>
      </w:r>
      <w:r w:rsidR="00A928FD">
        <w:instrText xml:space="preserve"> REF _Ref500961104 \h </w:instrText>
      </w:r>
      <w:r w:rsidR="00A928FD">
        <w:fldChar w:fldCharType="separate"/>
      </w:r>
      <w:r w:rsidR="00A75175">
        <w:t xml:space="preserve">Table A1. </w:t>
      </w:r>
      <w:r w:rsidR="00A75175">
        <w:rPr>
          <w:noProof/>
        </w:rPr>
        <w:t>4</w:t>
      </w:r>
      <w:r w:rsidR="00A928FD">
        <w:fldChar w:fldCharType="end"/>
      </w:r>
      <w:r w:rsidR="002D1203" w:rsidRPr="00D55FAA">
        <w:rPr>
          <w:rFonts w:cs="Arial"/>
          <w:szCs w:val="22"/>
        </w:rPr>
        <w:t>)</w:t>
      </w:r>
      <w:r w:rsidR="002D1203" w:rsidRPr="007527BF">
        <w:t xml:space="preserve">. </w:t>
      </w:r>
      <w:r w:rsidR="005A50DC" w:rsidRPr="007527BF">
        <w:t xml:space="preserve">Despite </w:t>
      </w:r>
      <w:r w:rsidR="002D1203" w:rsidRPr="007527BF">
        <w:t>the observed</w:t>
      </w:r>
      <w:r w:rsidR="005A50DC" w:rsidRPr="007527BF">
        <w:t xml:space="preserve"> impact</w:t>
      </w:r>
      <w:r w:rsidR="002D1203" w:rsidRPr="007527BF">
        <w:t>s</w:t>
      </w:r>
      <w:r w:rsidR="005A50DC" w:rsidRPr="007527BF">
        <w:t xml:space="preserve"> of bleaching</w:t>
      </w:r>
      <w:r w:rsidR="00CD0D47">
        <w:t>,</w:t>
      </w:r>
      <w:r w:rsidR="005A50DC" w:rsidRPr="007527BF">
        <w:t xml:space="preserve"> the clear improvement in the index observed since 2013 demonstrates the propensity for recovery among the coral communities in this sub-region. </w:t>
      </w:r>
    </w:p>
    <w:p w14:paraId="5072014E" w14:textId="77777777" w:rsidR="0000691A" w:rsidRPr="00857168" w:rsidRDefault="007A50AB" w:rsidP="00606A50">
      <w:pPr>
        <w:pStyle w:val="Caption"/>
        <w:rPr>
          <w:rStyle w:val="IntenseReference"/>
          <w:rFonts w:eastAsia="SimSun"/>
        </w:rPr>
      </w:pPr>
      <w:bookmarkStart w:id="187" w:name="_Ref491267284"/>
      <w:bookmarkStart w:id="188" w:name="_Toc514407860"/>
      <w:r w:rsidRPr="004049C6">
        <w:t xml:space="preserve">Table </w:t>
      </w:r>
      <w:r w:rsidR="00FE19A9" w:rsidRPr="00857168">
        <w:fldChar w:fldCharType="begin"/>
      </w:r>
      <w:r w:rsidR="00FE19A9" w:rsidRPr="004049C6">
        <w:instrText xml:space="preserve"> SEQ Table \* ARABIC </w:instrText>
      </w:r>
      <w:r w:rsidR="00FE19A9" w:rsidRPr="00857168">
        <w:fldChar w:fldCharType="separate"/>
      </w:r>
      <w:r w:rsidR="00A75175">
        <w:rPr>
          <w:noProof/>
        </w:rPr>
        <w:t>12</w:t>
      </w:r>
      <w:r w:rsidR="00FE19A9" w:rsidRPr="00857168">
        <w:fldChar w:fldCharType="end"/>
      </w:r>
      <w:bookmarkEnd w:id="187"/>
      <w:r w:rsidRPr="004049C6">
        <w:t xml:space="preserve"> </w:t>
      </w:r>
      <w:r w:rsidR="00BB098E">
        <w:t>I</w:t>
      </w:r>
      <w:r w:rsidR="00BB098E" w:rsidRPr="00F352E1">
        <w:t>ndex and metric score</w:t>
      </w:r>
      <w:r w:rsidR="00BB098E">
        <w:t xml:space="preserve"> comparisons</w:t>
      </w:r>
      <w:r w:rsidR="00BB098E" w:rsidRPr="00F352E1">
        <w:t xml:space="preserve"> in the</w:t>
      </w:r>
      <w:r w:rsidR="00BB098E">
        <w:t xml:space="preserve"> </w:t>
      </w:r>
      <w:r w:rsidRPr="004049C6">
        <w:t>Herbert Tully sub-region.</w:t>
      </w:r>
      <w:r w:rsidR="0000691A" w:rsidRPr="00F352E1">
        <w:t xml:space="preserve"> </w:t>
      </w:r>
      <w:r w:rsidR="0000691A" w:rsidRPr="00857168">
        <w:rPr>
          <w:rStyle w:val="IntenseReference"/>
          <w:rFonts w:eastAsia="SimSun"/>
        </w:rPr>
        <w:t>Data compare the changes in scores between local maxima and minima in the index time-series. For the index, and each metric,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188"/>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atistical comparison between index and metric scores between local maxima and minima in the time-series of scores in the region"/>
        <w:tblDescription w:val="A table listing the maxima in minima index scores and significance of changes in the index and each metric. The salient results are discussed in the main text. &#10;"/>
      </w:tblPr>
      <w:tblGrid>
        <w:gridCol w:w="1074"/>
        <w:gridCol w:w="350"/>
        <w:gridCol w:w="625"/>
        <w:gridCol w:w="625"/>
        <w:gridCol w:w="625"/>
        <w:gridCol w:w="625"/>
        <w:gridCol w:w="625"/>
        <w:gridCol w:w="626"/>
        <w:gridCol w:w="625"/>
        <w:gridCol w:w="625"/>
        <w:gridCol w:w="625"/>
        <w:gridCol w:w="625"/>
        <w:gridCol w:w="625"/>
        <w:gridCol w:w="626"/>
      </w:tblGrid>
      <w:tr w:rsidR="00606628" w:rsidRPr="00852372" w14:paraId="1E73435A" w14:textId="77777777" w:rsidTr="00112B73">
        <w:trPr>
          <w:trHeight w:val="300"/>
        </w:trPr>
        <w:tc>
          <w:tcPr>
            <w:tcW w:w="1074" w:type="dxa"/>
            <w:vMerge w:val="restart"/>
            <w:shd w:val="clear" w:color="auto" w:fill="auto"/>
            <w:noWrap/>
            <w:tcMar>
              <w:left w:w="57" w:type="dxa"/>
              <w:right w:w="57" w:type="dxa"/>
            </w:tcMar>
            <w:vAlign w:val="bottom"/>
          </w:tcPr>
          <w:p w14:paraId="40A8E42E" w14:textId="77777777" w:rsidR="00606628" w:rsidRPr="00852372" w:rsidRDefault="00606628" w:rsidP="00112B73">
            <w:pPr>
              <w:spacing w:after="0"/>
              <w:rPr>
                <w:rFonts w:ascii="Arial Narrow" w:hAnsi="Arial Narrow"/>
                <w:sz w:val="20"/>
                <w:lang w:eastAsia="en-AU"/>
              </w:rPr>
            </w:pPr>
            <w:r w:rsidRPr="00852372">
              <w:rPr>
                <w:rFonts w:ascii="Arial Narrow" w:hAnsi="Arial Narrow"/>
                <w:color w:val="000000"/>
                <w:sz w:val="20"/>
                <w:lang w:eastAsia="en-AU"/>
              </w:rPr>
              <w:t>Period</w:t>
            </w:r>
          </w:p>
        </w:tc>
        <w:tc>
          <w:tcPr>
            <w:tcW w:w="350" w:type="dxa"/>
            <w:vMerge w:val="restart"/>
            <w:shd w:val="clear" w:color="auto" w:fill="auto"/>
            <w:noWrap/>
            <w:tcMar>
              <w:left w:w="57" w:type="dxa"/>
              <w:right w:w="57" w:type="dxa"/>
            </w:tcMar>
            <w:textDirection w:val="btLr"/>
            <w:vAlign w:val="bottom"/>
          </w:tcPr>
          <w:p w14:paraId="2A468032" w14:textId="77777777" w:rsidR="00606628" w:rsidRPr="00852372" w:rsidRDefault="00606628" w:rsidP="00112B73">
            <w:pPr>
              <w:spacing w:after="0"/>
              <w:ind w:left="113" w:right="113"/>
              <w:jc w:val="center"/>
              <w:rPr>
                <w:rFonts w:ascii="Arial Narrow" w:hAnsi="Arial Narrow"/>
                <w:sz w:val="20"/>
                <w:lang w:eastAsia="en-AU"/>
              </w:rPr>
            </w:pPr>
            <w:r w:rsidRPr="00852372">
              <w:rPr>
                <w:rFonts w:ascii="Arial Narrow" w:hAnsi="Arial Narrow"/>
                <w:color w:val="000000"/>
                <w:sz w:val="20"/>
                <w:lang w:eastAsia="en-AU"/>
              </w:rPr>
              <w:t>Depth</w:t>
            </w:r>
          </w:p>
        </w:tc>
        <w:tc>
          <w:tcPr>
            <w:tcW w:w="1250" w:type="dxa"/>
            <w:gridSpan w:val="2"/>
            <w:shd w:val="clear" w:color="auto" w:fill="auto"/>
            <w:noWrap/>
            <w:tcMar>
              <w:left w:w="57" w:type="dxa"/>
              <w:right w:w="57" w:type="dxa"/>
            </w:tcMar>
            <w:vAlign w:val="bottom"/>
          </w:tcPr>
          <w:p w14:paraId="6DB0BC94"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Index</w:t>
            </w:r>
          </w:p>
        </w:tc>
        <w:tc>
          <w:tcPr>
            <w:tcW w:w="1250" w:type="dxa"/>
            <w:gridSpan w:val="2"/>
            <w:shd w:val="clear" w:color="auto" w:fill="auto"/>
            <w:noWrap/>
            <w:tcMar>
              <w:left w:w="57" w:type="dxa"/>
              <w:right w:w="57" w:type="dxa"/>
            </w:tcMar>
            <w:vAlign w:val="bottom"/>
          </w:tcPr>
          <w:p w14:paraId="303F5F5F"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Coral Cover</w:t>
            </w:r>
          </w:p>
        </w:tc>
        <w:tc>
          <w:tcPr>
            <w:tcW w:w="1251" w:type="dxa"/>
            <w:gridSpan w:val="2"/>
            <w:shd w:val="clear" w:color="auto" w:fill="auto"/>
            <w:noWrap/>
            <w:tcMar>
              <w:left w:w="57" w:type="dxa"/>
              <w:right w:w="57" w:type="dxa"/>
            </w:tcMar>
            <w:vAlign w:val="bottom"/>
          </w:tcPr>
          <w:p w14:paraId="0A3A7EAE"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Macroalgae</w:t>
            </w:r>
          </w:p>
        </w:tc>
        <w:tc>
          <w:tcPr>
            <w:tcW w:w="1250" w:type="dxa"/>
            <w:gridSpan w:val="2"/>
            <w:shd w:val="clear" w:color="auto" w:fill="auto"/>
            <w:noWrap/>
            <w:tcMar>
              <w:left w:w="57" w:type="dxa"/>
              <w:right w:w="57" w:type="dxa"/>
            </w:tcMar>
            <w:vAlign w:val="bottom"/>
          </w:tcPr>
          <w:p w14:paraId="011A9169"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Juvenile</w:t>
            </w:r>
          </w:p>
        </w:tc>
        <w:tc>
          <w:tcPr>
            <w:tcW w:w="1250" w:type="dxa"/>
            <w:gridSpan w:val="2"/>
            <w:shd w:val="clear" w:color="auto" w:fill="auto"/>
            <w:noWrap/>
            <w:tcMar>
              <w:left w:w="57" w:type="dxa"/>
              <w:right w:w="57" w:type="dxa"/>
            </w:tcMar>
            <w:vAlign w:val="bottom"/>
          </w:tcPr>
          <w:p w14:paraId="73492576"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Cover Change</w:t>
            </w:r>
          </w:p>
        </w:tc>
        <w:tc>
          <w:tcPr>
            <w:tcW w:w="1251" w:type="dxa"/>
            <w:gridSpan w:val="2"/>
            <w:shd w:val="clear" w:color="auto" w:fill="auto"/>
            <w:noWrap/>
            <w:tcMar>
              <w:left w:w="57" w:type="dxa"/>
              <w:right w:w="57" w:type="dxa"/>
            </w:tcMar>
            <w:vAlign w:val="bottom"/>
          </w:tcPr>
          <w:p w14:paraId="582F022C"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Composition</w:t>
            </w:r>
          </w:p>
        </w:tc>
      </w:tr>
      <w:tr w:rsidR="00606628" w:rsidRPr="00852372" w14:paraId="4F127134" w14:textId="77777777" w:rsidTr="00112B73">
        <w:trPr>
          <w:trHeight w:val="520"/>
        </w:trPr>
        <w:tc>
          <w:tcPr>
            <w:tcW w:w="1074" w:type="dxa"/>
            <w:vMerge/>
            <w:shd w:val="clear" w:color="auto" w:fill="auto"/>
            <w:noWrap/>
            <w:tcMar>
              <w:left w:w="57" w:type="dxa"/>
              <w:right w:w="57" w:type="dxa"/>
            </w:tcMar>
            <w:vAlign w:val="bottom"/>
          </w:tcPr>
          <w:p w14:paraId="46EBA6B7" w14:textId="77777777" w:rsidR="00606628" w:rsidRPr="00852372" w:rsidRDefault="00606628" w:rsidP="00112B73">
            <w:pPr>
              <w:spacing w:after="0"/>
              <w:rPr>
                <w:rFonts w:ascii="Arial Narrow" w:hAnsi="Arial Narrow"/>
                <w:color w:val="000000"/>
                <w:sz w:val="20"/>
                <w:lang w:eastAsia="en-AU"/>
              </w:rPr>
            </w:pPr>
          </w:p>
        </w:tc>
        <w:tc>
          <w:tcPr>
            <w:tcW w:w="350" w:type="dxa"/>
            <w:vMerge/>
            <w:shd w:val="clear" w:color="auto" w:fill="auto"/>
            <w:noWrap/>
            <w:tcMar>
              <w:left w:w="57" w:type="dxa"/>
              <w:right w:w="57" w:type="dxa"/>
            </w:tcMar>
            <w:vAlign w:val="bottom"/>
          </w:tcPr>
          <w:p w14:paraId="59679E35" w14:textId="77777777" w:rsidR="00606628" w:rsidRPr="00852372" w:rsidRDefault="00606628" w:rsidP="00112B73">
            <w:pPr>
              <w:spacing w:after="0"/>
              <w:jc w:val="center"/>
              <w:rPr>
                <w:rFonts w:ascii="Arial Narrow" w:hAnsi="Arial Narrow"/>
                <w:color w:val="000000"/>
                <w:sz w:val="20"/>
                <w:lang w:eastAsia="en-AU"/>
              </w:rPr>
            </w:pPr>
          </w:p>
        </w:tc>
        <w:tc>
          <w:tcPr>
            <w:tcW w:w="625" w:type="dxa"/>
            <w:shd w:val="clear" w:color="auto" w:fill="auto"/>
            <w:noWrap/>
            <w:tcMar>
              <w:left w:w="57" w:type="dxa"/>
              <w:right w:w="57" w:type="dxa"/>
            </w:tcMar>
            <w:vAlign w:val="bottom"/>
          </w:tcPr>
          <w:p w14:paraId="772D4E63"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5" w:type="dxa"/>
            <w:shd w:val="clear" w:color="auto" w:fill="auto"/>
            <w:noWrap/>
            <w:tcMar>
              <w:left w:w="57" w:type="dxa"/>
              <w:right w:w="57" w:type="dxa"/>
            </w:tcMar>
            <w:vAlign w:val="bottom"/>
          </w:tcPr>
          <w:p w14:paraId="202524D4"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4C028C0B"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5" w:type="dxa"/>
            <w:shd w:val="clear" w:color="auto" w:fill="auto"/>
            <w:noWrap/>
            <w:tcMar>
              <w:left w:w="57" w:type="dxa"/>
              <w:right w:w="57" w:type="dxa"/>
            </w:tcMar>
            <w:vAlign w:val="bottom"/>
          </w:tcPr>
          <w:p w14:paraId="18C35039"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17E96676"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6" w:type="dxa"/>
            <w:shd w:val="clear" w:color="auto" w:fill="auto"/>
            <w:noWrap/>
            <w:tcMar>
              <w:left w:w="57" w:type="dxa"/>
              <w:right w:w="57" w:type="dxa"/>
            </w:tcMar>
            <w:vAlign w:val="bottom"/>
          </w:tcPr>
          <w:p w14:paraId="700C88D8"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2BEAA75A"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5" w:type="dxa"/>
            <w:shd w:val="clear" w:color="auto" w:fill="auto"/>
            <w:noWrap/>
            <w:tcMar>
              <w:left w:w="57" w:type="dxa"/>
              <w:right w:w="57" w:type="dxa"/>
            </w:tcMar>
            <w:vAlign w:val="bottom"/>
          </w:tcPr>
          <w:p w14:paraId="6422FC4A"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2D357F7F"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5" w:type="dxa"/>
            <w:shd w:val="clear" w:color="auto" w:fill="auto"/>
            <w:noWrap/>
            <w:tcMar>
              <w:left w:w="57" w:type="dxa"/>
              <w:right w:w="57" w:type="dxa"/>
            </w:tcMar>
            <w:vAlign w:val="bottom"/>
          </w:tcPr>
          <w:p w14:paraId="7868F217"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6D1C5D14"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6" w:type="dxa"/>
            <w:shd w:val="clear" w:color="auto" w:fill="auto"/>
            <w:noWrap/>
            <w:tcMar>
              <w:left w:w="57" w:type="dxa"/>
              <w:right w:w="57" w:type="dxa"/>
            </w:tcMar>
            <w:vAlign w:val="bottom"/>
          </w:tcPr>
          <w:p w14:paraId="742BCADD"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r>
      <w:tr w:rsidR="00606628" w:rsidRPr="00852372" w14:paraId="5C399C4C" w14:textId="77777777" w:rsidTr="00857168">
        <w:trPr>
          <w:cantSplit/>
          <w:trHeight w:hRule="exact" w:val="301"/>
        </w:trPr>
        <w:tc>
          <w:tcPr>
            <w:tcW w:w="1074" w:type="dxa"/>
            <w:vMerge w:val="restart"/>
            <w:shd w:val="clear" w:color="auto" w:fill="auto"/>
            <w:noWrap/>
            <w:tcMar>
              <w:left w:w="57" w:type="dxa"/>
              <w:right w:w="57" w:type="dxa"/>
            </w:tcMar>
            <w:vAlign w:val="center"/>
          </w:tcPr>
          <w:p w14:paraId="118DA78B" w14:textId="77777777" w:rsidR="00606628" w:rsidRPr="00852372" w:rsidRDefault="00606628" w:rsidP="00112B73">
            <w:pPr>
              <w:spacing w:after="0"/>
              <w:rPr>
                <w:rFonts w:ascii="Arial Narrow" w:hAnsi="Arial Narrow"/>
                <w:bCs/>
                <w:color w:val="000000"/>
                <w:sz w:val="20"/>
              </w:rPr>
            </w:pPr>
            <w:r w:rsidRPr="00852372">
              <w:rPr>
                <w:rFonts w:ascii="Arial Narrow" w:hAnsi="Arial Narrow"/>
                <w:bCs/>
                <w:color w:val="000000"/>
                <w:sz w:val="20"/>
              </w:rPr>
              <w:t>200</w:t>
            </w:r>
            <w:r>
              <w:rPr>
                <w:rFonts w:ascii="Arial Narrow" w:hAnsi="Arial Narrow"/>
                <w:bCs/>
                <w:color w:val="000000"/>
                <w:sz w:val="20"/>
              </w:rPr>
              <w:t>8</w:t>
            </w:r>
            <w:r w:rsidRPr="00852372">
              <w:rPr>
                <w:rFonts w:ascii="Arial Narrow" w:hAnsi="Arial Narrow"/>
                <w:bCs/>
                <w:color w:val="000000"/>
                <w:sz w:val="20"/>
              </w:rPr>
              <w:t xml:space="preserve"> to 201</w:t>
            </w:r>
            <w:r>
              <w:rPr>
                <w:rFonts w:ascii="Arial Narrow" w:hAnsi="Arial Narrow"/>
                <w:bCs/>
                <w:color w:val="000000"/>
                <w:sz w:val="20"/>
              </w:rPr>
              <w:t>1</w:t>
            </w:r>
          </w:p>
        </w:tc>
        <w:tc>
          <w:tcPr>
            <w:tcW w:w="350" w:type="dxa"/>
            <w:shd w:val="clear" w:color="auto" w:fill="auto"/>
            <w:noWrap/>
            <w:tcMar>
              <w:left w:w="57" w:type="dxa"/>
              <w:right w:w="57" w:type="dxa"/>
            </w:tcMar>
            <w:vAlign w:val="center"/>
          </w:tcPr>
          <w:p w14:paraId="02613633" w14:textId="77777777" w:rsidR="00606628" w:rsidRPr="00852372" w:rsidRDefault="00606628" w:rsidP="00112B73">
            <w:pPr>
              <w:spacing w:after="0"/>
              <w:jc w:val="center"/>
              <w:rPr>
                <w:rFonts w:ascii="Arial Narrow" w:hAnsi="Arial Narrow"/>
                <w:bCs/>
                <w:color w:val="000000"/>
                <w:sz w:val="20"/>
              </w:rPr>
            </w:pPr>
            <w:r w:rsidRPr="00852372">
              <w:rPr>
                <w:rFonts w:ascii="Arial Narrow" w:hAnsi="Arial Narrow"/>
                <w:bCs/>
                <w:color w:val="000000"/>
                <w:sz w:val="20"/>
              </w:rPr>
              <w:t>2</w:t>
            </w:r>
          </w:p>
        </w:tc>
        <w:tc>
          <w:tcPr>
            <w:tcW w:w="625" w:type="dxa"/>
            <w:shd w:val="clear" w:color="auto" w:fill="auto"/>
            <w:noWrap/>
            <w:tcMar>
              <w:left w:w="57" w:type="dxa"/>
              <w:right w:w="57" w:type="dxa"/>
            </w:tcMar>
            <w:vAlign w:val="center"/>
          </w:tcPr>
          <w:p w14:paraId="6668E691" w14:textId="77777777" w:rsidR="00606628" w:rsidRPr="0076501B" w:rsidRDefault="00606628" w:rsidP="00112B73">
            <w:pPr>
              <w:spacing w:after="0"/>
              <w:jc w:val="right"/>
              <w:rPr>
                <w:rFonts w:ascii="Arial Narrow" w:hAnsi="Arial Narrow"/>
                <w:bCs/>
                <w:color w:val="000000"/>
                <w:sz w:val="20"/>
              </w:rPr>
            </w:pPr>
            <w:r w:rsidRPr="0076501B">
              <w:rPr>
                <w:rFonts w:ascii="Arial Narrow" w:hAnsi="Arial Narrow"/>
                <w:bCs/>
                <w:color w:val="000000"/>
                <w:sz w:val="20"/>
              </w:rPr>
              <w:t>0.</w:t>
            </w:r>
            <w:r>
              <w:rPr>
                <w:rFonts w:ascii="Arial Narrow" w:hAnsi="Arial Narrow"/>
                <w:bCs/>
                <w:color w:val="000000"/>
                <w:sz w:val="20"/>
              </w:rPr>
              <w:t>10</w:t>
            </w:r>
          </w:p>
        </w:tc>
        <w:tc>
          <w:tcPr>
            <w:tcW w:w="625" w:type="dxa"/>
            <w:shd w:val="clear" w:color="auto" w:fill="FFFFFF"/>
            <w:noWrap/>
            <w:tcMar>
              <w:left w:w="57" w:type="dxa"/>
              <w:right w:w="57" w:type="dxa"/>
            </w:tcMar>
            <w:vAlign w:val="center"/>
          </w:tcPr>
          <w:p w14:paraId="616230AD" w14:textId="77777777" w:rsidR="00606628" w:rsidRPr="0076501B" w:rsidRDefault="00606628" w:rsidP="00112B73">
            <w:pPr>
              <w:spacing w:after="0"/>
              <w:jc w:val="right"/>
              <w:rPr>
                <w:rFonts w:ascii="Arial Narrow" w:hAnsi="Arial Narrow"/>
                <w:bCs/>
                <w:color w:val="000000"/>
                <w:sz w:val="20"/>
              </w:rPr>
            </w:pPr>
            <w:r w:rsidRPr="0076501B">
              <w:rPr>
                <w:rFonts w:ascii="Arial Narrow" w:hAnsi="Arial Narrow"/>
                <w:bCs/>
                <w:color w:val="000000"/>
                <w:sz w:val="20"/>
              </w:rPr>
              <w:t>0.</w:t>
            </w:r>
            <w:r>
              <w:rPr>
                <w:rFonts w:ascii="Arial Narrow" w:hAnsi="Arial Narrow"/>
                <w:bCs/>
                <w:color w:val="000000"/>
                <w:sz w:val="20"/>
              </w:rPr>
              <w:t>78</w:t>
            </w:r>
          </w:p>
        </w:tc>
        <w:tc>
          <w:tcPr>
            <w:tcW w:w="625" w:type="dxa"/>
            <w:shd w:val="clear" w:color="auto" w:fill="F2DBDB" w:themeFill="accent2" w:themeFillTint="33"/>
            <w:noWrap/>
            <w:tcMar>
              <w:left w:w="57" w:type="dxa"/>
              <w:right w:w="57" w:type="dxa"/>
            </w:tcMar>
            <w:vAlign w:val="center"/>
          </w:tcPr>
          <w:p w14:paraId="0EF25230"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-0.08</w:t>
            </w:r>
          </w:p>
        </w:tc>
        <w:tc>
          <w:tcPr>
            <w:tcW w:w="625" w:type="dxa"/>
            <w:shd w:val="clear" w:color="auto" w:fill="F2DBDB" w:themeFill="accent2" w:themeFillTint="33"/>
            <w:noWrap/>
            <w:tcMar>
              <w:left w:w="57" w:type="dxa"/>
              <w:right w:w="57" w:type="dxa"/>
            </w:tcMar>
            <w:vAlign w:val="center"/>
          </w:tcPr>
          <w:p w14:paraId="0147C027"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0.75</w:t>
            </w:r>
          </w:p>
        </w:tc>
        <w:tc>
          <w:tcPr>
            <w:tcW w:w="625" w:type="dxa"/>
            <w:shd w:val="clear" w:color="auto" w:fill="548DD4"/>
            <w:noWrap/>
            <w:tcMar>
              <w:left w:w="57" w:type="dxa"/>
              <w:right w:w="57" w:type="dxa"/>
            </w:tcMar>
            <w:vAlign w:val="center"/>
          </w:tcPr>
          <w:p w14:paraId="38A33AEF" w14:textId="77777777" w:rsidR="00606628" w:rsidRPr="0076501B" w:rsidRDefault="00606628" w:rsidP="00112B73">
            <w:pPr>
              <w:spacing w:after="0"/>
              <w:jc w:val="right"/>
              <w:rPr>
                <w:rFonts w:ascii="Arial Narrow" w:hAnsi="Arial Narrow"/>
                <w:bCs/>
                <w:color w:val="000000"/>
                <w:sz w:val="20"/>
              </w:rPr>
            </w:pPr>
            <w:r w:rsidRPr="0076501B">
              <w:rPr>
                <w:rFonts w:ascii="Arial Narrow" w:hAnsi="Arial Narrow"/>
                <w:bCs/>
                <w:color w:val="000000"/>
                <w:sz w:val="20"/>
              </w:rPr>
              <w:t>0.67</w:t>
            </w:r>
          </w:p>
        </w:tc>
        <w:tc>
          <w:tcPr>
            <w:tcW w:w="626" w:type="dxa"/>
            <w:shd w:val="clear" w:color="auto" w:fill="548DD4"/>
            <w:noWrap/>
            <w:tcMar>
              <w:left w:w="57" w:type="dxa"/>
              <w:right w:w="57" w:type="dxa"/>
            </w:tcMar>
            <w:vAlign w:val="center"/>
          </w:tcPr>
          <w:p w14:paraId="6918C774" w14:textId="77777777" w:rsidR="00606628" w:rsidRPr="0076501B" w:rsidRDefault="00606628" w:rsidP="00112B73">
            <w:pPr>
              <w:spacing w:after="0"/>
              <w:jc w:val="right"/>
              <w:rPr>
                <w:rFonts w:ascii="Arial Narrow" w:hAnsi="Arial Narrow"/>
                <w:bCs/>
                <w:color w:val="000000"/>
                <w:sz w:val="20"/>
              </w:rPr>
            </w:pPr>
            <w:r w:rsidRPr="0076501B">
              <w:rPr>
                <w:rFonts w:ascii="Arial Narrow" w:hAnsi="Arial Narrow"/>
                <w:bCs/>
                <w:color w:val="000000"/>
                <w:sz w:val="20"/>
              </w:rPr>
              <w:t>0.92</w:t>
            </w:r>
          </w:p>
        </w:tc>
        <w:tc>
          <w:tcPr>
            <w:tcW w:w="625" w:type="dxa"/>
            <w:shd w:val="clear" w:color="auto" w:fill="8DB3E2"/>
            <w:noWrap/>
            <w:tcMar>
              <w:left w:w="57" w:type="dxa"/>
              <w:right w:w="57" w:type="dxa"/>
            </w:tcMar>
            <w:vAlign w:val="center"/>
          </w:tcPr>
          <w:p w14:paraId="76A89045"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-0.05</w:t>
            </w:r>
          </w:p>
        </w:tc>
        <w:tc>
          <w:tcPr>
            <w:tcW w:w="625" w:type="dxa"/>
            <w:shd w:val="clear" w:color="auto" w:fill="8DB3E2"/>
            <w:noWrap/>
            <w:tcMar>
              <w:left w:w="57" w:type="dxa"/>
              <w:right w:w="57" w:type="dxa"/>
            </w:tcMar>
            <w:vAlign w:val="center"/>
          </w:tcPr>
          <w:p w14:paraId="3BB38CD2" w14:textId="77777777" w:rsidR="00606628" w:rsidRPr="0076501B" w:rsidRDefault="00606628" w:rsidP="00112B73">
            <w:pPr>
              <w:spacing w:after="0"/>
              <w:jc w:val="right"/>
              <w:rPr>
                <w:rFonts w:ascii="Arial Narrow" w:hAnsi="Arial Narrow"/>
                <w:bCs/>
                <w:color w:val="000000"/>
                <w:sz w:val="20"/>
              </w:rPr>
            </w:pPr>
            <w:r w:rsidRPr="0076501B">
              <w:rPr>
                <w:rFonts w:ascii="Arial Narrow" w:hAnsi="Arial Narrow"/>
                <w:bCs/>
                <w:color w:val="000000"/>
                <w:sz w:val="20"/>
              </w:rPr>
              <w:t>0.84</w:t>
            </w:r>
          </w:p>
        </w:tc>
        <w:tc>
          <w:tcPr>
            <w:tcW w:w="625" w:type="dxa"/>
            <w:shd w:val="clear" w:color="auto" w:fill="548DD4"/>
            <w:noWrap/>
            <w:tcMar>
              <w:left w:w="57" w:type="dxa"/>
              <w:right w:w="57" w:type="dxa"/>
            </w:tcMar>
            <w:vAlign w:val="center"/>
          </w:tcPr>
          <w:p w14:paraId="722E218A"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0.33</w:t>
            </w:r>
          </w:p>
        </w:tc>
        <w:tc>
          <w:tcPr>
            <w:tcW w:w="625" w:type="dxa"/>
            <w:shd w:val="clear" w:color="auto" w:fill="548DD4"/>
            <w:noWrap/>
            <w:tcMar>
              <w:left w:w="57" w:type="dxa"/>
              <w:right w:w="57" w:type="dxa"/>
            </w:tcMar>
            <w:vAlign w:val="center"/>
          </w:tcPr>
          <w:p w14:paraId="6EC98F62"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0.92</w:t>
            </w:r>
          </w:p>
        </w:tc>
        <w:tc>
          <w:tcPr>
            <w:tcW w:w="625" w:type="dxa"/>
            <w:shd w:val="clear" w:color="auto" w:fill="DA9694"/>
            <w:noWrap/>
            <w:tcMar>
              <w:left w:w="57" w:type="dxa"/>
              <w:right w:w="57" w:type="dxa"/>
            </w:tcMar>
            <w:vAlign w:val="center"/>
          </w:tcPr>
          <w:p w14:paraId="458EA44D"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-0.37</w:t>
            </w:r>
          </w:p>
        </w:tc>
        <w:tc>
          <w:tcPr>
            <w:tcW w:w="626" w:type="dxa"/>
            <w:shd w:val="clear" w:color="auto" w:fill="DA9694"/>
            <w:noWrap/>
            <w:tcMar>
              <w:left w:w="57" w:type="dxa"/>
              <w:right w:w="57" w:type="dxa"/>
            </w:tcMar>
            <w:vAlign w:val="center"/>
          </w:tcPr>
          <w:p w14:paraId="0C420800"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0.93</w:t>
            </w:r>
          </w:p>
        </w:tc>
      </w:tr>
      <w:tr w:rsidR="00606628" w:rsidRPr="00852372" w14:paraId="7CB2C742" w14:textId="77777777" w:rsidTr="00857168">
        <w:trPr>
          <w:cantSplit/>
          <w:trHeight w:hRule="exact" w:val="301"/>
        </w:trPr>
        <w:tc>
          <w:tcPr>
            <w:tcW w:w="1074" w:type="dxa"/>
            <w:vMerge/>
            <w:shd w:val="clear" w:color="auto" w:fill="auto"/>
            <w:noWrap/>
            <w:tcMar>
              <w:left w:w="57" w:type="dxa"/>
              <w:right w:w="57" w:type="dxa"/>
            </w:tcMar>
            <w:vAlign w:val="center"/>
          </w:tcPr>
          <w:p w14:paraId="292E0792" w14:textId="77777777" w:rsidR="00606628" w:rsidRPr="00852372" w:rsidRDefault="00606628" w:rsidP="00112B73">
            <w:pPr>
              <w:spacing w:after="0"/>
              <w:jc w:val="right"/>
              <w:rPr>
                <w:rFonts w:ascii="Arial Narrow" w:hAnsi="Arial Narrow"/>
                <w:bCs/>
                <w:color w:val="000000"/>
                <w:sz w:val="20"/>
              </w:rPr>
            </w:pPr>
          </w:p>
        </w:tc>
        <w:tc>
          <w:tcPr>
            <w:tcW w:w="350" w:type="dxa"/>
            <w:shd w:val="clear" w:color="auto" w:fill="auto"/>
            <w:noWrap/>
            <w:tcMar>
              <w:left w:w="57" w:type="dxa"/>
              <w:right w:w="57" w:type="dxa"/>
            </w:tcMar>
            <w:vAlign w:val="center"/>
          </w:tcPr>
          <w:p w14:paraId="65E53E75" w14:textId="77777777" w:rsidR="00606628" w:rsidRPr="00852372" w:rsidRDefault="00606628" w:rsidP="00112B73">
            <w:pPr>
              <w:spacing w:after="0"/>
              <w:jc w:val="center"/>
              <w:rPr>
                <w:rFonts w:ascii="Arial Narrow" w:hAnsi="Arial Narrow"/>
                <w:bCs/>
                <w:color w:val="000000"/>
                <w:sz w:val="20"/>
              </w:rPr>
            </w:pPr>
            <w:r w:rsidRPr="00852372">
              <w:rPr>
                <w:rFonts w:ascii="Arial Narrow" w:hAnsi="Arial Narrow"/>
                <w:bCs/>
                <w:color w:val="000000"/>
                <w:sz w:val="20"/>
              </w:rPr>
              <w:t>5</w:t>
            </w:r>
          </w:p>
        </w:tc>
        <w:tc>
          <w:tcPr>
            <w:tcW w:w="625" w:type="dxa"/>
            <w:shd w:val="clear" w:color="auto" w:fill="8DB3E2"/>
            <w:noWrap/>
            <w:tcMar>
              <w:left w:w="57" w:type="dxa"/>
              <w:right w:w="57" w:type="dxa"/>
            </w:tcMar>
            <w:vAlign w:val="center"/>
          </w:tcPr>
          <w:p w14:paraId="269A0737"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0.13</w:t>
            </w:r>
          </w:p>
        </w:tc>
        <w:tc>
          <w:tcPr>
            <w:tcW w:w="625" w:type="dxa"/>
            <w:shd w:val="clear" w:color="auto" w:fill="8DB3E2"/>
            <w:noWrap/>
            <w:tcMar>
              <w:left w:w="57" w:type="dxa"/>
              <w:right w:w="57" w:type="dxa"/>
            </w:tcMar>
            <w:vAlign w:val="center"/>
          </w:tcPr>
          <w:p w14:paraId="7E13945B"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0.80</w:t>
            </w:r>
          </w:p>
        </w:tc>
        <w:tc>
          <w:tcPr>
            <w:tcW w:w="625" w:type="dxa"/>
            <w:shd w:val="clear" w:color="auto" w:fill="FFFFFF"/>
            <w:noWrap/>
            <w:tcMar>
              <w:left w:w="57" w:type="dxa"/>
              <w:right w:w="57" w:type="dxa"/>
            </w:tcMar>
            <w:vAlign w:val="center"/>
          </w:tcPr>
          <w:p w14:paraId="502F5CEC"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-0.73</w:t>
            </w:r>
          </w:p>
        </w:tc>
        <w:tc>
          <w:tcPr>
            <w:tcW w:w="625" w:type="dxa"/>
            <w:shd w:val="clear" w:color="auto" w:fill="FFFFFF"/>
            <w:noWrap/>
            <w:tcMar>
              <w:left w:w="57" w:type="dxa"/>
              <w:right w:w="57" w:type="dxa"/>
            </w:tcMar>
            <w:vAlign w:val="center"/>
          </w:tcPr>
          <w:p w14:paraId="440C98EF"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0.63</w:t>
            </w:r>
          </w:p>
        </w:tc>
        <w:tc>
          <w:tcPr>
            <w:tcW w:w="625" w:type="dxa"/>
            <w:shd w:val="clear" w:color="auto" w:fill="8DB3E2"/>
            <w:noWrap/>
            <w:tcMar>
              <w:left w:w="57" w:type="dxa"/>
              <w:right w:w="57" w:type="dxa"/>
            </w:tcMar>
            <w:vAlign w:val="center"/>
          </w:tcPr>
          <w:p w14:paraId="3253E271"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0.60</w:t>
            </w:r>
          </w:p>
        </w:tc>
        <w:tc>
          <w:tcPr>
            <w:tcW w:w="626" w:type="dxa"/>
            <w:shd w:val="clear" w:color="auto" w:fill="8DB3E2"/>
            <w:noWrap/>
            <w:tcMar>
              <w:left w:w="57" w:type="dxa"/>
              <w:right w:w="57" w:type="dxa"/>
            </w:tcMar>
            <w:vAlign w:val="center"/>
          </w:tcPr>
          <w:p w14:paraId="5722C5D1" w14:textId="77777777" w:rsidR="00606628" w:rsidRPr="0076501B" w:rsidRDefault="00606628" w:rsidP="00112B73">
            <w:pPr>
              <w:spacing w:after="0"/>
              <w:jc w:val="right"/>
              <w:rPr>
                <w:rFonts w:ascii="Arial Narrow" w:hAnsi="Arial Narrow"/>
                <w:bCs/>
                <w:color w:val="000000"/>
                <w:sz w:val="20"/>
              </w:rPr>
            </w:pPr>
            <w:r w:rsidRPr="0076501B">
              <w:rPr>
                <w:rFonts w:ascii="Arial Narrow" w:hAnsi="Arial Narrow"/>
                <w:bCs/>
                <w:color w:val="000000"/>
                <w:sz w:val="20"/>
              </w:rPr>
              <w:t>0.89</w:t>
            </w:r>
          </w:p>
        </w:tc>
        <w:tc>
          <w:tcPr>
            <w:tcW w:w="625" w:type="dxa"/>
            <w:shd w:val="clear" w:color="auto" w:fill="auto"/>
            <w:noWrap/>
            <w:tcMar>
              <w:left w:w="57" w:type="dxa"/>
              <w:right w:w="57" w:type="dxa"/>
            </w:tcMar>
            <w:vAlign w:val="center"/>
          </w:tcPr>
          <w:p w14:paraId="6C0BC8AD"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-0.06</w:t>
            </w:r>
          </w:p>
        </w:tc>
        <w:tc>
          <w:tcPr>
            <w:tcW w:w="625" w:type="dxa"/>
            <w:shd w:val="clear" w:color="auto" w:fill="auto"/>
            <w:noWrap/>
            <w:tcMar>
              <w:left w:w="57" w:type="dxa"/>
              <w:right w:w="57" w:type="dxa"/>
            </w:tcMar>
            <w:vAlign w:val="center"/>
          </w:tcPr>
          <w:p w14:paraId="1B1E8851"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0.56</w:t>
            </w:r>
          </w:p>
        </w:tc>
        <w:tc>
          <w:tcPr>
            <w:tcW w:w="625" w:type="dxa"/>
            <w:shd w:val="clear" w:color="auto" w:fill="C6D9F1" w:themeFill="text2" w:themeFillTint="33"/>
            <w:noWrap/>
            <w:tcMar>
              <w:left w:w="57" w:type="dxa"/>
              <w:right w:w="57" w:type="dxa"/>
            </w:tcMar>
            <w:vAlign w:val="center"/>
          </w:tcPr>
          <w:p w14:paraId="7D603B74"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0.30</w:t>
            </w:r>
          </w:p>
        </w:tc>
        <w:tc>
          <w:tcPr>
            <w:tcW w:w="625" w:type="dxa"/>
            <w:shd w:val="clear" w:color="auto" w:fill="C6D9F1" w:themeFill="text2" w:themeFillTint="33"/>
            <w:noWrap/>
            <w:tcMar>
              <w:left w:w="57" w:type="dxa"/>
              <w:right w:w="57" w:type="dxa"/>
            </w:tcMar>
            <w:vAlign w:val="center"/>
          </w:tcPr>
          <w:p w14:paraId="6FD5BB89"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0.74</w:t>
            </w:r>
          </w:p>
        </w:tc>
        <w:tc>
          <w:tcPr>
            <w:tcW w:w="625" w:type="dxa"/>
            <w:shd w:val="clear" w:color="auto" w:fill="auto"/>
            <w:noWrap/>
            <w:tcMar>
              <w:left w:w="57" w:type="dxa"/>
              <w:right w:w="57" w:type="dxa"/>
            </w:tcMar>
            <w:vAlign w:val="center"/>
          </w:tcPr>
          <w:p w14:paraId="75887445" w14:textId="77777777" w:rsidR="00606628" w:rsidRPr="0076501B" w:rsidRDefault="00606628" w:rsidP="00112B73">
            <w:pPr>
              <w:spacing w:after="0"/>
              <w:jc w:val="right"/>
              <w:rPr>
                <w:rFonts w:ascii="Arial Narrow" w:hAnsi="Arial Narrow"/>
                <w:bCs/>
                <w:color w:val="000000"/>
                <w:sz w:val="20"/>
              </w:rPr>
            </w:pPr>
            <w:r w:rsidRPr="0076501B">
              <w:rPr>
                <w:rFonts w:ascii="Arial Narrow" w:hAnsi="Arial Narrow"/>
                <w:bCs/>
                <w:color w:val="000000"/>
                <w:sz w:val="20"/>
              </w:rPr>
              <w:t>-0.13</w:t>
            </w:r>
          </w:p>
        </w:tc>
        <w:tc>
          <w:tcPr>
            <w:tcW w:w="626" w:type="dxa"/>
            <w:shd w:val="clear" w:color="auto" w:fill="auto"/>
            <w:noWrap/>
            <w:tcMar>
              <w:left w:w="57" w:type="dxa"/>
              <w:right w:w="57" w:type="dxa"/>
            </w:tcMar>
            <w:vAlign w:val="center"/>
          </w:tcPr>
          <w:p w14:paraId="0EE184DD"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0.67</w:t>
            </w:r>
          </w:p>
        </w:tc>
      </w:tr>
      <w:tr w:rsidR="00606628" w:rsidRPr="00852372" w14:paraId="2370BC8C" w14:textId="77777777" w:rsidTr="00112B73">
        <w:trPr>
          <w:cantSplit/>
          <w:trHeight w:hRule="exact" w:val="301"/>
        </w:trPr>
        <w:tc>
          <w:tcPr>
            <w:tcW w:w="1074" w:type="dxa"/>
            <w:vMerge w:val="restart"/>
            <w:shd w:val="clear" w:color="auto" w:fill="auto"/>
            <w:noWrap/>
            <w:tcMar>
              <w:left w:w="57" w:type="dxa"/>
              <w:right w:w="57" w:type="dxa"/>
            </w:tcMar>
            <w:vAlign w:val="center"/>
          </w:tcPr>
          <w:p w14:paraId="719318EC" w14:textId="77777777" w:rsidR="00606628" w:rsidRPr="00852372" w:rsidRDefault="00606628" w:rsidP="00112B73">
            <w:pPr>
              <w:spacing w:after="0"/>
              <w:jc w:val="right"/>
              <w:rPr>
                <w:rFonts w:ascii="Arial Narrow" w:hAnsi="Arial Narrow"/>
                <w:bCs/>
                <w:color w:val="000000"/>
                <w:sz w:val="20"/>
              </w:rPr>
            </w:pPr>
            <w:r>
              <w:rPr>
                <w:rFonts w:ascii="Arial Narrow" w:hAnsi="Arial Narrow"/>
                <w:bCs/>
                <w:color w:val="000000"/>
                <w:sz w:val="20"/>
              </w:rPr>
              <w:t>2011 to 2013</w:t>
            </w:r>
          </w:p>
        </w:tc>
        <w:tc>
          <w:tcPr>
            <w:tcW w:w="350" w:type="dxa"/>
            <w:shd w:val="clear" w:color="auto" w:fill="auto"/>
            <w:noWrap/>
            <w:tcMar>
              <w:left w:w="57" w:type="dxa"/>
              <w:right w:w="57" w:type="dxa"/>
            </w:tcMar>
            <w:vAlign w:val="center"/>
          </w:tcPr>
          <w:p w14:paraId="33300FF2" w14:textId="77777777" w:rsidR="00606628" w:rsidRPr="00852372" w:rsidRDefault="00606628" w:rsidP="00112B73">
            <w:pPr>
              <w:spacing w:after="0"/>
              <w:jc w:val="center"/>
              <w:rPr>
                <w:rFonts w:ascii="Arial Narrow" w:hAnsi="Arial Narrow"/>
                <w:bCs/>
                <w:color w:val="000000"/>
                <w:sz w:val="20"/>
              </w:rPr>
            </w:pPr>
            <w:r w:rsidRPr="00852372">
              <w:rPr>
                <w:rFonts w:ascii="Arial Narrow" w:hAnsi="Arial Narrow"/>
                <w:bCs/>
                <w:color w:val="000000"/>
                <w:sz w:val="20"/>
              </w:rPr>
              <w:t>2</w:t>
            </w:r>
          </w:p>
        </w:tc>
        <w:tc>
          <w:tcPr>
            <w:tcW w:w="625" w:type="dxa"/>
            <w:shd w:val="clear" w:color="auto" w:fill="auto"/>
            <w:noWrap/>
            <w:tcMar>
              <w:left w:w="57" w:type="dxa"/>
              <w:right w:w="57" w:type="dxa"/>
            </w:tcMar>
            <w:vAlign w:val="center"/>
          </w:tcPr>
          <w:p w14:paraId="55E07448"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-0.04</w:t>
            </w:r>
          </w:p>
        </w:tc>
        <w:tc>
          <w:tcPr>
            <w:tcW w:w="625" w:type="dxa"/>
            <w:shd w:val="clear" w:color="auto" w:fill="auto"/>
            <w:noWrap/>
            <w:tcMar>
              <w:left w:w="57" w:type="dxa"/>
              <w:right w:w="57" w:type="dxa"/>
            </w:tcMar>
            <w:vAlign w:val="center"/>
          </w:tcPr>
          <w:p w14:paraId="1ED9BEEE"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0.63</w:t>
            </w:r>
          </w:p>
        </w:tc>
        <w:tc>
          <w:tcPr>
            <w:tcW w:w="625" w:type="dxa"/>
            <w:shd w:val="clear" w:color="auto" w:fill="FFFFFF"/>
            <w:noWrap/>
            <w:tcMar>
              <w:left w:w="57" w:type="dxa"/>
              <w:right w:w="57" w:type="dxa"/>
            </w:tcMar>
            <w:vAlign w:val="center"/>
          </w:tcPr>
          <w:p w14:paraId="227E82F6"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0.02</w:t>
            </w:r>
          </w:p>
        </w:tc>
        <w:tc>
          <w:tcPr>
            <w:tcW w:w="625" w:type="dxa"/>
            <w:shd w:val="clear" w:color="auto" w:fill="FFFFFF"/>
            <w:noWrap/>
            <w:tcMar>
              <w:left w:w="57" w:type="dxa"/>
              <w:right w:w="57" w:type="dxa"/>
            </w:tcMar>
            <w:vAlign w:val="center"/>
          </w:tcPr>
          <w:p w14:paraId="6A72CA51"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0.61</w:t>
            </w:r>
          </w:p>
        </w:tc>
        <w:tc>
          <w:tcPr>
            <w:tcW w:w="625" w:type="dxa"/>
            <w:shd w:val="clear" w:color="auto" w:fill="DA9694"/>
            <w:noWrap/>
            <w:tcMar>
              <w:left w:w="57" w:type="dxa"/>
              <w:right w:w="57" w:type="dxa"/>
            </w:tcMar>
            <w:vAlign w:val="center"/>
          </w:tcPr>
          <w:p w14:paraId="50C8730C"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-0.67</w:t>
            </w:r>
          </w:p>
        </w:tc>
        <w:tc>
          <w:tcPr>
            <w:tcW w:w="626" w:type="dxa"/>
            <w:shd w:val="clear" w:color="auto" w:fill="DA9694"/>
            <w:noWrap/>
            <w:tcMar>
              <w:left w:w="57" w:type="dxa"/>
              <w:right w:w="57" w:type="dxa"/>
            </w:tcMar>
            <w:vAlign w:val="center"/>
          </w:tcPr>
          <w:p w14:paraId="34F2633C"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0.91</w:t>
            </w:r>
          </w:p>
        </w:tc>
        <w:tc>
          <w:tcPr>
            <w:tcW w:w="625" w:type="dxa"/>
            <w:shd w:val="clear" w:color="auto" w:fill="8DB3E2"/>
            <w:noWrap/>
            <w:tcMar>
              <w:left w:w="57" w:type="dxa"/>
              <w:right w:w="57" w:type="dxa"/>
            </w:tcMar>
            <w:vAlign w:val="center"/>
          </w:tcPr>
          <w:p w14:paraId="51D5C066"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0.38</w:t>
            </w:r>
          </w:p>
        </w:tc>
        <w:tc>
          <w:tcPr>
            <w:tcW w:w="625" w:type="dxa"/>
            <w:shd w:val="clear" w:color="auto" w:fill="8DB3E2"/>
            <w:noWrap/>
            <w:tcMar>
              <w:left w:w="57" w:type="dxa"/>
              <w:right w:w="57" w:type="dxa"/>
            </w:tcMar>
            <w:vAlign w:val="center"/>
          </w:tcPr>
          <w:p w14:paraId="1042ED76"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0.84</w:t>
            </w:r>
          </w:p>
        </w:tc>
        <w:tc>
          <w:tcPr>
            <w:tcW w:w="625" w:type="dxa"/>
            <w:shd w:val="clear" w:color="auto" w:fill="FFFFFF"/>
            <w:noWrap/>
            <w:tcMar>
              <w:left w:w="57" w:type="dxa"/>
              <w:right w:w="57" w:type="dxa"/>
            </w:tcMar>
            <w:vAlign w:val="center"/>
          </w:tcPr>
          <w:p w14:paraId="729C8AA0"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0.05</w:t>
            </w:r>
          </w:p>
        </w:tc>
        <w:tc>
          <w:tcPr>
            <w:tcW w:w="625" w:type="dxa"/>
            <w:shd w:val="clear" w:color="auto" w:fill="FFFFFF"/>
            <w:noWrap/>
            <w:tcMar>
              <w:left w:w="57" w:type="dxa"/>
              <w:right w:w="57" w:type="dxa"/>
            </w:tcMar>
            <w:vAlign w:val="center"/>
          </w:tcPr>
          <w:p w14:paraId="7A7F1641"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0.57</w:t>
            </w:r>
          </w:p>
        </w:tc>
        <w:tc>
          <w:tcPr>
            <w:tcW w:w="625" w:type="dxa"/>
            <w:shd w:val="clear" w:color="auto" w:fill="auto"/>
            <w:noWrap/>
            <w:tcMar>
              <w:left w:w="57" w:type="dxa"/>
              <w:right w:w="57" w:type="dxa"/>
            </w:tcMar>
            <w:vAlign w:val="center"/>
          </w:tcPr>
          <w:p w14:paraId="7885BECF"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w:t>
            </w:r>
          </w:p>
        </w:tc>
        <w:tc>
          <w:tcPr>
            <w:tcW w:w="626" w:type="dxa"/>
            <w:shd w:val="clear" w:color="auto" w:fill="auto"/>
            <w:noWrap/>
            <w:tcMar>
              <w:left w:w="57" w:type="dxa"/>
              <w:right w:w="57" w:type="dxa"/>
            </w:tcMar>
            <w:vAlign w:val="center"/>
          </w:tcPr>
          <w:p w14:paraId="3DF60D80"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NA</w:t>
            </w:r>
          </w:p>
        </w:tc>
      </w:tr>
      <w:tr w:rsidR="00606628" w:rsidRPr="00852372" w14:paraId="5CA1101C" w14:textId="77777777" w:rsidTr="00857168">
        <w:trPr>
          <w:cantSplit/>
          <w:trHeight w:hRule="exact" w:val="301"/>
        </w:trPr>
        <w:tc>
          <w:tcPr>
            <w:tcW w:w="1074" w:type="dxa"/>
            <w:vMerge/>
            <w:shd w:val="clear" w:color="auto" w:fill="auto"/>
            <w:noWrap/>
            <w:tcMar>
              <w:left w:w="57" w:type="dxa"/>
              <w:right w:w="57" w:type="dxa"/>
            </w:tcMar>
            <w:vAlign w:val="center"/>
          </w:tcPr>
          <w:p w14:paraId="36FE008E" w14:textId="77777777" w:rsidR="00606628" w:rsidRPr="00852372" w:rsidRDefault="00606628" w:rsidP="00112B73">
            <w:pPr>
              <w:spacing w:after="0"/>
              <w:jc w:val="right"/>
              <w:rPr>
                <w:rFonts w:ascii="Arial Narrow" w:hAnsi="Arial Narrow"/>
                <w:bCs/>
                <w:color w:val="000000"/>
                <w:sz w:val="20"/>
              </w:rPr>
            </w:pPr>
          </w:p>
        </w:tc>
        <w:tc>
          <w:tcPr>
            <w:tcW w:w="350" w:type="dxa"/>
            <w:shd w:val="clear" w:color="auto" w:fill="auto"/>
            <w:noWrap/>
            <w:tcMar>
              <w:left w:w="57" w:type="dxa"/>
              <w:right w:w="57" w:type="dxa"/>
            </w:tcMar>
            <w:vAlign w:val="center"/>
          </w:tcPr>
          <w:p w14:paraId="49681C2E" w14:textId="77777777" w:rsidR="00606628" w:rsidRPr="00852372" w:rsidRDefault="00606628" w:rsidP="00112B73">
            <w:pPr>
              <w:spacing w:after="0"/>
              <w:jc w:val="center"/>
              <w:rPr>
                <w:rFonts w:ascii="Arial Narrow" w:hAnsi="Arial Narrow"/>
                <w:bCs/>
                <w:color w:val="000000"/>
                <w:sz w:val="20"/>
              </w:rPr>
            </w:pPr>
            <w:r w:rsidRPr="00852372">
              <w:rPr>
                <w:rFonts w:ascii="Arial Narrow" w:hAnsi="Arial Narrow"/>
                <w:bCs/>
                <w:color w:val="000000"/>
                <w:sz w:val="20"/>
              </w:rPr>
              <w:t>5</w:t>
            </w:r>
          </w:p>
        </w:tc>
        <w:tc>
          <w:tcPr>
            <w:tcW w:w="625" w:type="dxa"/>
            <w:shd w:val="clear" w:color="auto" w:fill="D99594"/>
            <w:noWrap/>
            <w:tcMar>
              <w:left w:w="57" w:type="dxa"/>
              <w:right w:w="57" w:type="dxa"/>
            </w:tcMar>
            <w:vAlign w:val="center"/>
          </w:tcPr>
          <w:p w14:paraId="3A0DED53"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-0.12</w:t>
            </w:r>
          </w:p>
        </w:tc>
        <w:tc>
          <w:tcPr>
            <w:tcW w:w="625" w:type="dxa"/>
            <w:shd w:val="clear" w:color="auto" w:fill="D99594"/>
            <w:noWrap/>
            <w:tcMar>
              <w:left w:w="57" w:type="dxa"/>
              <w:right w:w="57" w:type="dxa"/>
            </w:tcMar>
            <w:vAlign w:val="center"/>
          </w:tcPr>
          <w:p w14:paraId="4356501C"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0.88</w:t>
            </w:r>
          </w:p>
        </w:tc>
        <w:tc>
          <w:tcPr>
            <w:tcW w:w="625" w:type="dxa"/>
            <w:shd w:val="clear" w:color="auto" w:fill="FFFFFF"/>
            <w:noWrap/>
            <w:tcMar>
              <w:left w:w="57" w:type="dxa"/>
              <w:right w:w="57" w:type="dxa"/>
            </w:tcMar>
            <w:vAlign w:val="center"/>
          </w:tcPr>
          <w:p w14:paraId="614C1C89"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0.01</w:t>
            </w:r>
          </w:p>
        </w:tc>
        <w:tc>
          <w:tcPr>
            <w:tcW w:w="625" w:type="dxa"/>
            <w:shd w:val="clear" w:color="auto" w:fill="FFFFFF"/>
            <w:noWrap/>
            <w:tcMar>
              <w:left w:w="57" w:type="dxa"/>
              <w:right w:w="57" w:type="dxa"/>
            </w:tcMar>
            <w:vAlign w:val="center"/>
          </w:tcPr>
          <w:p w14:paraId="3FEF8FDB"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0.55</w:t>
            </w:r>
          </w:p>
        </w:tc>
        <w:tc>
          <w:tcPr>
            <w:tcW w:w="625" w:type="dxa"/>
            <w:shd w:val="clear" w:color="auto" w:fill="DA9694"/>
            <w:noWrap/>
            <w:tcMar>
              <w:left w:w="57" w:type="dxa"/>
              <w:right w:w="57" w:type="dxa"/>
            </w:tcMar>
            <w:vAlign w:val="center"/>
          </w:tcPr>
          <w:p w14:paraId="646EA776"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-0.59</w:t>
            </w:r>
          </w:p>
        </w:tc>
        <w:tc>
          <w:tcPr>
            <w:tcW w:w="626" w:type="dxa"/>
            <w:shd w:val="clear" w:color="auto" w:fill="DA9694"/>
            <w:noWrap/>
            <w:tcMar>
              <w:left w:w="57" w:type="dxa"/>
              <w:right w:w="57" w:type="dxa"/>
            </w:tcMar>
            <w:vAlign w:val="center"/>
          </w:tcPr>
          <w:p w14:paraId="041B5115"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0.90</w:t>
            </w:r>
          </w:p>
        </w:tc>
        <w:tc>
          <w:tcPr>
            <w:tcW w:w="625" w:type="dxa"/>
            <w:shd w:val="clear" w:color="auto" w:fill="C6D9F1" w:themeFill="text2" w:themeFillTint="33"/>
            <w:noWrap/>
            <w:tcMar>
              <w:left w:w="57" w:type="dxa"/>
              <w:right w:w="57" w:type="dxa"/>
            </w:tcMar>
            <w:vAlign w:val="center"/>
          </w:tcPr>
          <w:p w14:paraId="270245BB"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0.19</w:t>
            </w:r>
          </w:p>
        </w:tc>
        <w:tc>
          <w:tcPr>
            <w:tcW w:w="625" w:type="dxa"/>
            <w:shd w:val="clear" w:color="auto" w:fill="C6D9F1" w:themeFill="text2" w:themeFillTint="33"/>
            <w:noWrap/>
            <w:tcMar>
              <w:left w:w="57" w:type="dxa"/>
              <w:right w:w="57" w:type="dxa"/>
            </w:tcMar>
            <w:vAlign w:val="center"/>
          </w:tcPr>
          <w:p w14:paraId="1D39EC21"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0.75</w:t>
            </w:r>
          </w:p>
        </w:tc>
        <w:tc>
          <w:tcPr>
            <w:tcW w:w="625" w:type="dxa"/>
            <w:shd w:val="clear" w:color="auto" w:fill="FFFFFF"/>
            <w:noWrap/>
            <w:tcMar>
              <w:left w:w="57" w:type="dxa"/>
              <w:right w:w="57" w:type="dxa"/>
            </w:tcMar>
            <w:vAlign w:val="center"/>
          </w:tcPr>
          <w:p w14:paraId="5224759E"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-0.08</w:t>
            </w:r>
          </w:p>
        </w:tc>
        <w:tc>
          <w:tcPr>
            <w:tcW w:w="625" w:type="dxa"/>
            <w:shd w:val="clear" w:color="auto" w:fill="FFFFFF"/>
            <w:noWrap/>
            <w:tcMar>
              <w:left w:w="57" w:type="dxa"/>
              <w:right w:w="57" w:type="dxa"/>
            </w:tcMar>
            <w:vAlign w:val="center"/>
          </w:tcPr>
          <w:p w14:paraId="5BC1211D"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0.59</w:t>
            </w:r>
          </w:p>
        </w:tc>
        <w:tc>
          <w:tcPr>
            <w:tcW w:w="625" w:type="dxa"/>
            <w:shd w:val="clear" w:color="auto" w:fill="auto"/>
            <w:noWrap/>
            <w:tcMar>
              <w:left w:w="57" w:type="dxa"/>
              <w:right w:w="57" w:type="dxa"/>
            </w:tcMar>
            <w:vAlign w:val="center"/>
          </w:tcPr>
          <w:p w14:paraId="1B2032E6"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-0.13</w:t>
            </w:r>
          </w:p>
        </w:tc>
        <w:tc>
          <w:tcPr>
            <w:tcW w:w="626" w:type="dxa"/>
            <w:shd w:val="clear" w:color="auto" w:fill="auto"/>
            <w:noWrap/>
            <w:tcMar>
              <w:left w:w="57" w:type="dxa"/>
              <w:right w:w="57" w:type="dxa"/>
            </w:tcMar>
            <w:vAlign w:val="center"/>
          </w:tcPr>
          <w:p w14:paraId="3D4D6178" w14:textId="77777777" w:rsidR="00606628" w:rsidRPr="0076501B" w:rsidRDefault="00606628" w:rsidP="00112B73">
            <w:pPr>
              <w:spacing w:after="0"/>
              <w:jc w:val="right"/>
              <w:rPr>
                <w:rFonts w:ascii="Arial Narrow" w:hAnsi="Arial Narrow"/>
                <w:bCs/>
                <w:color w:val="000000"/>
                <w:sz w:val="20"/>
              </w:rPr>
            </w:pPr>
            <w:r>
              <w:rPr>
                <w:rFonts w:ascii="Arial Narrow" w:hAnsi="Arial Narrow"/>
                <w:bCs/>
                <w:color w:val="000000"/>
                <w:sz w:val="20"/>
              </w:rPr>
              <w:t>0.67</w:t>
            </w:r>
          </w:p>
        </w:tc>
      </w:tr>
      <w:tr w:rsidR="00606628" w:rsidRPr="00852372" w14:paraId="2D05BF6E" w14:textId="77777777" w:rsidTr="00112B73">
        <w:trPr>
          <w:cantSplit/>
          <w:trHeight w:hRule="exact" w:val="301"/>
        </w:trPr>
        <w:tc>
          <w:tcPr>
            <w:tcW w:w="1074" w:type="dxa"/>
            <w:vMerge w:val="restart"/>
            <w:shd w:val="clear" w:color="auto" w:fill="auto"/>
            <w:noWrap/>
            <w:tcMar>
              <w:left w:w="57" w:type="dxa"/>
              <w:right w:w="57" w:type="dxa"/>
            </w:tcMar>
            <w:vAlign w:val="center"/>
          </w:tcPr>
          <w:p w14:paraId="29F3E202" w14:textId="77777777" w:rsidR="00606628" w:rsidRPr="00852372" w:rsidRDefault="00606628" w:rsidP="00112B73">
            <w:pPr>
              <w:spacing w:after="0"/>
              <w:rPr>
                <w:rFonts w:ascii="Arial Narrow" w:hAnsi="Arial Narrow"/>
                <w:bCs/>
                <w:color w:val="000000"/>
                <w:sz w:val="20"/>
              </w:rPr>
            </w:pPr>
            <w:r w:rsidRPr="00852372">
              <w:rPr>
                <w:rFonts w:ascii="Arial Narrow" w:hAnsi="Arial Narrow"/>
                <w:bCs/>
                <w:color w:val="000000"/>
                <w:sz w:val="20"/>
              </w:rPr>
              <w:t>2013 to 201</w:t>
            </w:r>
            <w:r>
              <w:rPr>
                <w:rFonts w:ascii="Arial Narrow" w:hAnsi="Arial Narrow"/>
                <w:bCs/>
                <w:color w:val="000000"/>
                <w:sz w:val="20"/>
              </w:rPr>
              <w:t>7</w:t>
            </w:r>
          </w:p>
        </w:tc>
        <w:tc>
          <w:tcPr>
            <w:tcW w:w="350" w:type="dxa"/>
            <w:shd w:val="clear" w:color="auto" w:fill="auto"/>
            <w:noWrap/>
            <w:tcMar>
              <w:left w:w="57" w:type="dxa"/>
              <w:right w:w="57" w:type="dxa"/>
            </w:tcMar>
            <w:vAlign w:val="center"/>
          </w:tcPr>
          <w:p w14:paraId="0C32266B" w14:textId="77777777" w:rsidR="00606628" w:rsidRPr="00852372" w:rsidRDefault="00606628" w:rsidP="00112B73">
            <w:pPr>
              <w:spacing w:after="0"/>
              <w:jc w:val="center"/>
              <w:rPr>
                <w:rFonts w:ascii="Arial Narrow" w:hAnsi="Arial Narrow"/>
                <w:bCs/>
                <w:color w:val="000000"/>
                <w:sz w:val="20"/>
              </w:rPr>
            </w:pPr>
            <w:r>
              <w:rPr>
                <w:rFonts w:ascii="Arial Narrow" w:hAnsi="Arial Narrow"/>
                <w:bCs/>
                <w:color w:val="000000"/>
                <w:sz w:val="20"/>
              </w:rPr>
              <w:t>2</w:t>
            </w:r>
          </w:p>
        </w:tc>
        <w:tc>
          <w:tcPr>
            <w:tcW w:w="625" w:type="dxa"/>
            <w:shd w:val="clear" w:color="auto" w:fill="548DD4"/>
            <w:noWrap/>
            <w:tcMar>
              <w:left w:w="57" w:type="dxa"/>
              <w:right w:w="57" w:type="dxa"/>
            </w:tcMar>
            <w:vAlign w:val="center"/>
          </w:tcPr>
          <w:p w14:paraId="7AF8997B" w14:textId="77777777" w:rsidR="00606628" w:rsidRPr="0076501B" w:rsidRDefault="00606628" w:rsidP="00112B73">
            <w:pPr>
              <w:spacing w:after="0"/>
              <w:jc w:val="right"/>
              <w:rPr>
                <w:rFonts w:ascii="Arial Narrow" w:hAnsi="Arial Narrow"/>
                <w:bCs/>
                <w:color w:val="000000"/>
                <w:sz w:val="20"/>
              </w:rPr>
            </w:pPr>
            <w:r w:rsidRPr="0076501B">
              <w:rPr>
                <w:rFonts w:ascii="Arial Narrow" w:hAnsi="Arial Narrow"/>
                <w:bCs/>
                <w:color w:val="000000"/>
                <w:sz w:val="20"/>
              </w:rPr>
              <w:t>0.36</w:t>
            </w:r>
          </w:p>
        </w:tc>
        <w:tc>
          <w:tcPr>
            <w:tcW w:w="625" w:type="dxa"/>
            <w:shd w:val="clear" w:color="auto" w:fill="548DD4"/>
            <w:noWrap/>
            <w:tcMar>
              <w:left w:w="57" w:type="dxa"/>
              <w:right w:w="57" w:type="dxa"/>
            </w:tcMar>
            <w:vAlign w:val="center"/>
          </w:tcPr>
          <w:p w14:paraId="2E24EFE2" w14:textId="77777777" w:rsidR="00606628" w:rsidRPr="0076501B" w:rsidRDefault="00606628" w:rsidP="00112B73">
            <w:pPr>
              <w:spacing w:after="0"/>
              <w:jc w:val="right"/>
              <w:rPr>
                <w:rFonts w:ascii="Arial Narrow" w:hAnsi="Arial Narrow"/>
                <w:bCs/>
                <w:color w:val="000000"/>
                <w:sz w:val="20"/>
              </w:rPr>
            </w:pPr>
            <w:r w:rsidRPr="0076501B">
              <w:rPr>
                <w:rFonts w:ascii="Arial Narrow" w:hAnsi="Arial Narrow"/>
                <w:bCs/>
                <w:color w:val="000000"/>
                <w:sz w:val="20"/>
              </w:rPr>
              <w:t>1.00</w:t>
            </w:r>
          </w:p>
        </w:tc>
        <w:tc>
          <w:tcPr>
            <w:tcW w:w="625" w:type="dxa"/>
            <w:shd w:val="clear" w:color="auto" w:fill="548DD4"/>
            <w:noWrap/>
            <w:tcMar>
              <w:left w:w="57" w:type="dxa"/>
              <w:right w:w="57" w:type="dxa"/>
            </w:tcMar>
            <w:vAlign w:val="center"/>
          </w:tcPr>
          <w:p w14:paraId="5A136FAA" w14:textId="77777777" w:rsidR="00606628" w:rsidRPr="0076501B" w:rsidRDefault="00606628" w:rsidP="00112B73">
            <w:pPr>
              <w:jc w:val="right"/>
              <w:rPr>
                <w:rFonts w:ascii="Arial Narrow" w:hAnsi="Arial Narrow"/>
                <w:color w:val="000000"/>
                <w:sz w:val="20"/>
              </w:rPr>
            </w:pPr>
            <w:r w:rsidRPr="0076501B">
              <w:rPr>
                <w:rFonts w:ascii="Arial Narrow" w:hAnsi="Arial Narrow"/>
                <w:color w:val="000000"/>
                <w:sz w:val="20"/>
              </w:rPr>
              <w:t>0.21</w:t>
            </w:r>
          </w:p>
        </w:tc>
        <w:tc>
          <w:tcPr>
            <w:tcW w:w="625" w:type="dxa"/>
            <w:shd w:val="clear" w:color="auto" w:fill="548DD4"/>
            <w:noWrap/>
            <w:tcMar>
              <w:left w:w="57" w:type="dxa"/>
              <w:right w:w="57" w:type="dxa"/>
            </w:tcMar>
            <w:vAlign w:val="center"/>
          </w:tcPr>
          <w:p w14:paraId="36AFC04C" w14:textId="77777777" w:rsidR="00606628" w:rsidRPr="0076501B" w:rsidRDefault="00606628" w:rsidP="00112B73">
            <w:pPr>
              <w:jc w:val="right"/>
              <w:rPr>
                <w:rFonts w:ascii="Arial Narrow" w:hAnsi="Arial Narrow"/>
                <w:color w:val="000000"/>
                <w:sz w:val="20"/>
              </w:rPr>
            </w:pPr>
            <w:r w:rsidRPr="0076501B">
              <w:rPr>
                <w:rFonts w:ascii="Arial Narrow" w:hAnsi="Arial Narrow"/>
                <w:color w:val="000000"/>
                <w:sz w:val="20"/>
              </w:rPr>
              <w:t>1.00</w:t>
            </w:r>
          </w:p>
        </w:tc>
        <w:tc>
          <w:tcPr>
            <w:tcW w:w="625" w:type="dxa"/>
            <w:shd w:val="clear" w:color="auto" w:fill="8DB3E2"/>
            <w:noWrap/>
            <w:tcMar>
              <w:left w:w="57" w:type="dxa"/>
              <w:right w:w="57" w:type="dxa"/>
            </w:tcMar>
            <w:vAlign w:val="center"/>
          </w:tcPr>
          <w:p w14:paraId="0F7100E6" w14:textId="77777777" w:rsidR="00606628" w:rsidRPr="0076501B" w:rsidRDefault="00606628" w:rsidP="00112B73">
            <w:pPr>
              <w:jc w:val="right"/>
              <w:rPr>
                <w:rFonts w:ascii="Arial Narrow" w:hAnsi="Arial Narrow"/>
                <w:color w:val="000000"/>
                <w:sz w:val="20"/>
              </w:rPr>
            </w:pPr>
            <w:r w:rsidRPr="0076501B">
              <w:rPr>
                <w:rFonts w:ascii="Arial Narrow" w:hAnsi="Arial Narrow"/>
                <w:color w:val="000000"/>
                <w:sz w:val="20"/>
              </w:rPr>
              <w:t>0.49</w:t>
            </w:r>
          </w:p>
        </w:tc>
        <w:tc>
          <w:tcPr>
            <w:tcW w:w="626" w:type="dxa"/>
            <w:shd w:val="clear" w:color="auto" w:fill="8DB3E2"/>
            <w:noWrap/>
            <w:tcMar>
              <w:left w:w="57" w:type="dxa"/>
              <w:right w:w="57" w:type="dxa"/>
            </w:tcMar>
            <w:vAlign w:val="center"/>
          </w:tcPr>
          <w:p w14:paraId="7D3C307F" w14:textId="77777777" w:rsidR="00606628" w:rsidRPr="0076501B" w:rsidRDefault="00606628" w:rsidP="00112B73">
            <w:pPr>
              <w:jc w:val="right"/>
              <w:rPr>
                <w:rFonts w:ascii="Arial Narrow" w:hAnsi="Arial Narrow"/>
                <w:color w:val="000000"/>
                <w:sz w:val="20"/>
              </w:rPr>
            </w:pPr>
            <w:r>
              <w:rPr>
                <w:rFonts w:ascii="Arial Narrow" w:hAnsi="Arial Narrow"/>
                <w:color w:val="000000"/>
                <w:sz w:val="20"/>
              </w:rPr>
              <w:t>0.84</w:t>
            </w:r>
          </w:p>
        </w:tc>
        <w:tc>
          <w:tcPr>
            <w:tcW w:w="625" w:type="dxa"/>
            <w:shd w:val="clear" w:color="auto" w:fill="auto"/>
            <w:noWrap/>
            <w:tcMar>
              <w:left w:w="57" w:type="dxa"/>
              <w:right w:w="57" w:type="dxa"/>
            </w:tcMar>
            <w:vAlign w:val="center"/>
          </w:tcPr>
          <w:p w14:paraId="091D7A24" w14:textId="77777777" w:rsidR="00606628" w:rsidRPr="0076501B" w:rsidRDefault="00606628" w:rsidP="00112B73">
            <w:pPr>
              <w:jc w:val="right"/>
              <w:rPr>
                <w:rFonts w:ascii="Arial Narrow" w:hAnsi="Arial Narrow"/>
                <w:color w:val="000000"/>
                <w:sz w:val="20"/>
              </w:rPr>
            </w:pPr>
            <w:r>
              <w:rPr>
                <w:rFonts w:ascii="Arial Narrow" w:hAnsi="Arial Narrow"/>
                <w:color w:val="000000"/>
                <w:sz w:val="20"/>
              </w:rPr>
              <w:t>0.08</w:t>
            </w:r>
          </w:p>
        </w:tc>
        <w:tc>
          <w:tcPr>
            <w:tcW w:w="625" w:type="dxa"/>
            <w:shd w:val="clear" w:color="auto" w:fill="auto"/>
            <w:noWrap/>
            <w:tcMar>
              <w:left w:w="57" w:type="dxa"/>
              <w:right w:w="57" w:type="dxa"/>
            </w:tcMar>
            <w:vAlign w:val="center"/>
          </w:tcPr>
          <w:p w14:paraId="4AE37040" w14:textId="77777777" w:rsidR="00606628" w:rsidRPr="0076501B" w:rsidRDefault="00606628" w:rsidP="00112B73">
            <w:pPr>
              <w:jc w:val="right"/>
              <w:rPr>
                <w:rFonts w:ascii="Arial Narrow" w:hAnsi="Arial Narrow"/>
                <w:color w:val="000000"/>
                <w:sz w:val="20"/>
              </w:rPr>
            </w:pPr>
            <w:r w:rsidRPr="0076501B">
              <w:rPr>
                <w:rFonts w:ascii="Arial Narrow" w:hAnsi="Arial Narrow"/>
                <w:color w:val="000000"/>
                <w:sz w:val="20"/>
              </w:rPr>
              <w:t>0.65</w:t>
            </w:r>
          </w:p>
        </w:tc>
        <w:tc>
          <w:tcPr>
            <w:tcW w:w="625" w:type="dxa"/>
            <w:shd w:val="clear" w:color="auto" w:fill="548DD4"/>
            <w:noWrap/>
            <w:tcMar>
              <w:left w:w="57" w:type="dxa"/>
              <w:right w:w="57" w:type="dxa"/>
            </w:tcMar>
            <w:vAlign w:val="center"/>
          </w:tcPr>
          <w:p w14:paraId="1256116F" w14:textId="77777777" w:rsidR="00606628" w:rsidRPr="0076501B" w:rsidRDefault="00606628" w:rsidP="00112B73">
            <w:pPr>
              <w:jc w:val="right"/>
              <w:rPr>
                <w:rFonts w:ascii="Arial Narrow" w:hAnsi="Arial Narrow"/>
                <w:color w:val="000000"/>
                <w:sz w:val="20"/>
              </w:rPr>
            </w:pPr>
            <w:r w:rsidRPr="0076501B">
              <w:rPr>
                <w:rFonts w:ascii="Arial Narrow" w:hAnsi="Arial Narrow"/>
                <w:color w:val="000000"/>
                <w:sz w:val="20"/>
              </w:rPr>
              <w:t>0.55</w:t>
            </w:r>
          </w:p>
        </w:tc>
        <w:tc>
          <w:tcPr>
            <w:tcW w:w="625" w:type="dxa"/>
            <w:shd w:val="clear" w:color="auto" w:fill="548DD4"/>
            <w:noWrap/>
            <w:tcMar>
              <w:left w:w="57" w:type="dxa"/>
              <w:right w:w="57" w:type="dxa"/>
            </w:tcMar>
            <w:vAlign w:val="center"/>
          </w:tcPr>
          <w:p w14:paraId="0AE77C0F" w14:textId="77777777" w:rsidR="00606628" w:rsidRPr="0076501B" w:rsidRDefault="00606628" w:rsidP="00112B73">
            <w:pPr>
              <w:jc w:val="right"/>
              <w:rPr>
                <w:rFonts w:ascii="Arial Narrow" w:hAnsi="Arial Narrow"/>
                <w:color w:val="000000"/>
                <w:sz w:val="20"/>
              </w:rPr>
            </w:pPr>
            <w:r w:rsidRPr="0076501B">
              <w:rPr>
                <w:rFonts w:ascii="Arial Narrow" w:hAnsi="Arial Narrow"/>
                <w:color w:val="000000"/>
                <w:sz w:val="20"/>
              </w:rPr>
              <w:t>1.00</w:t>
            </w:r>
          </w:p>
        </w:tc>
        <w:tc>
          <w:tcPr>
            <w:tcW w:w="625" w:type="dxa"/>
            <w:shd w:val="clear" w:color="auto" w:fill="538DD5"/>
            <w:noWrap/>
            <w:tcMar>
              <w:left w:w="57" w:type="dxa"/>
              <w:right w:w="57" w:type="dxa"/>
            </w:tcMar>
            <w:vAlign w:val="center"/>
          </w:tcPr>
          <w:p w14:paraId="6D8F0FC8" w14:textId="77777777" w:rsidR="00606628" w:rsidRPr="0076501B" w:rsidRDefault="00606628" w:rsidP="00112B73">
            <w:pPr>
              <w:jc w:val="right"/>
              <w:rPr>
                <w:rFonts w:ascii="Arial Narrow" w:hAnsi="Arial Narrow"/>
                <w:color w:val="000000"/>
                <w:sz w:val="20"/>
              </w:rPr>
            </w:pPr>
            <w:r w:rsidRPr="0076501B">
              <w:rPr>
                <w:rFonts w:ascii="Arial Narrow" w:hAnsi="Arial Narrow"/>
                <w:color w:val="000000"/>
                <w:sz w:val="20"/>
              </w:rPr>
              <w:t>0.50</w:t>
            </w:r>
          </w:p>
        </w:tc>
        <w:tc>
          <w:tcPr>
            <w:tcW w:w="626" w:type="dxa"/>
            <w:shd w:val="clear" w:color="auto" w:fill="538DD5"/>
            <w:noWrap/>
            <w:tcMar>
              <w:left w:w="57" w:type="dxa"/>
              <w:right w:w="57" w:type="dxa"/>
            </w:tcMar>
            <w:vAlign w:val="center"/>
          </w:tcPr>
          <w:p w14:paraId="245D5EAC" w14:textId="77777777" w:rsidR="00606628" w:rsidRPr="0076501B" w:rsidRDefault="00606628" w:rsidP="00112B73">
            <w:pPr>
              <w:jc w:val="right"/>
              <w:rPr>
                <w:rFonts w:ascii="Arial Narrow" w:hAnsi="Arial Narrow"/>
                <w:color w:val="000000"/>
                <w:sz w:val="20"/>
              </w:rPr>
            </w:pPr>
            <w:r w:rsidRPr="0076501B">
              <w:rPr>
                <w:rFonts w:ascii="Arial Narrow" w:hAnsi="Arial Narrow"/>
                <w:color w:val="000000"/>
                <w:sz w:val="20"/>
              </w:rPr>
              <w:t>1.00</w:t>
            </w:r>
          </w:p>
        </w:tc>
      </w:tr>
      <w:tr w:rsidR="00606628" w:rsidRPr="00852372" w14:paraId="07D482A4" w14:textId="77777777" w:rsidTr="00857168">
        <w:trPr>
          <w:cantSplit/>
          <w:trHeight w:hRule="exact" w:val="301"/>
        </w:trPr>
        <w:tc>
          <w:tcPr>
            <w:tcW w:w="1074" w:type="dxa"/>
            <w:vMerge/>
            <w:shd w:val="clear" w:color="auto" w:fill="auto"/>
            <w:noWrap/>
            <w:tcMar>
              <w:left w:w="57" w:type="dxa"/>
              <w:right w:w="57" w:type="dxa"/>
            </w:tcMar>
            <w:vAlign w:val="center"/>
          </w:tcPr>
          <w:p w14:paraId="508DBBB9" w14:textId="77777777" w:rsidR="00606628" w:rsidRPr="00852372" w:rsidRDefault="00606628" w:rsidP="00112B73">
            <w:pPr>
              <w:spacing w:after="0"/>
              <w:jc w:val="right"/>
              <w:rPr>
                <w:rFonts w:ascii="Arial Narrow" w:hAnsi="Arial Narrow"/>
                <w:bCs/>
                <w:color w:val="000000"/>
                <w:sz w:val="20"/>
              </w:rPr>
            </w:pPr>
          </w:p>
        </w:tc>
        <w:tc>
          <w:tcPr>
            <w:tcW w:w="350" w:type="dxa"/>
            <w:shd w:val="clear" w:color="auto" w:fill="auto"/>
            <w:noWrap/>
            <w:tcMar>
              <w:left w:w="57" w:type="dxa"/>
              <w:right w:w="57" w:type="dxa"/>
            </w:tcMar>
            <w:vAlign w:val="center"/>
          </w:tcPr>
          <w:p w14:paraId="68677D19" w14:textId="77777777" w:rsidR="00606628" w:rsidRPr="00852372" w:rsidRDefault="00606628" w:rsidP="00112B73">
            <w:pPr>
              <w:spacing w:after="0"/>
              <w:jc w:val="center"/>
              <w:rPr>
                <w:rFonts w:ascii="Arial Narrow" w:hAnsi="Arial Narrow"/>
                <w:bCs/>
                <w:color w:val="000000"/>
                <w:sz w:val="20"/>
              </w:rPr>
            </w:pPr>
            <w:r>
              <w:rPr>
                <w:rFonts w:ascii="Arial Narrow" w:hAnsi="Arial Narrow"/>
                <w:bCs/>
                <w:color w:val="000000"/>
                <w:sz w:val="20"/>
              </w:rPr>
              <w:t>5</w:t>
            </w:r>
          </w:p>
        </w:tc>
        <w:tc>
          <w:tcPr>
            <w:tcW w:w="625" w:type="dxa"/>
            <w:shd w:val="clear" w:color="auto" w:fill="548DD4"/>
            <w:noWrap/>
            <w:tcMar>
              <w:left w:w="57" w:type="dxa"/>
              <w:right w:w="57" w:type="dxa"/>
            </w:tcMar>
            <w:vAlign w:val="center"/>
          </w:tcPr>
          <w:p w14:paraId="65372091" w14:textId="77777777" w:rsidR="00606628" w:rsidRPr="0076501B" w:rsidRDefault="00606628" w:rsidP="00112B73">
            <w:pPr>
              <w:spacing w:after="0"/>
              <w:jc w:val="right"/>
              <w:rPr>
                <w:rFonts w:ascii="Arial Narrow" w:hAnsi="Arial Narrow"/>
                <w:bCs/>
                <w:color w:val="000000"/>
                <w:sz w:val="20"/>
              </w:rPr>
            </w:pPr>
            <w:r w:rsidRPr="0076501B">
              <w:rPr>
                <w:rFonts w:ascii="Arial Narrow" w:hAnsi="Arial Narrow"/>
                <w:bCs/>
                <w:color w:val="000000"/>
                <w:sz w:val="20"/>
              </w:rPr>
              <w:t>0.25</w:t>
            </w:r>
          </w:p>
        </w:tc>
        <w:tc>
          <w:tcPr>
            <w:tcW w:w="625" w:type="dxa"/>
            <w:shd w:val="clear" w:color="auto" w:fill="548DD4"/>
            <w:noWrap/>
            <w:tcMar>
              <w:left w:w="57" w:type="dxa"/>
              <w:right w:w="57" w:type="dxa"/>
            </w:tcMar>
            <w:vAlign w:val="center"/>
          </w:tcPr>
          <w:p w14:paraId="0EE93784" w14:textId="77777777" w:rsidR="00606628" w:rsidRPr="0076501B" w:rsidRDefault="00606628" w:rsidP="00112B73">
            <w:pPr>
              <w:spacing w:after="0"/>
              <w:jc w:val="right"/>
              <w:rPr>
                <w:rFonts w:ascii="Arial Narrow" w:hAnsi="Arial Narrow"/>
                <w:bCs/>
                <w:color w:val="000000"/>
                <w:sz w:val="20"/>
              </w:rPr>
            </w:pPr>
            <w:r w:rsidRPr="0076501B">
              <w:rPr>
                <w:rFonts w:ascii="Arial Narrow" w:hAnsi="Arial Narrow"/>
                <w:bCs/>
                <w:color w:val="000000"/>
                <w:sz w:val="20"/>
              </w:rPr>
              <w:t>1.00</w:t>
            </w:r>
          </w:p>
        </w:tc>
        <w:tc>
          <w:tcPr>
            <w:tcW w:w="625" w:type="dxa"/>
            <w:shd w:val="clear" w:color="auto" w:fill="548DD4"/>
            <w:noWrap/>
            <w:tcMar>
              <w:left w:w="57" w:type="dxa"/>
              <w:right w:w="57" w:type="dxa"/>
            </w:tcMar>
            <w:vAlign w:val="center"/>
          </w:tcPr>
          <w:p w14:paraId="24037874" w14:textId="77777777" w:rsidR="00606628" w:rsidRPr="0076501B" w:rsidRDefault="00606628" w:rsidP="00112B73">
            <w:pPr>
              <w:jc w:val="right"/>
              <w:rPr>
                <w:rFonts w:ascii="Arial Narrow" w:hAnsi="Arial Narrow"/>
                <w:color w:val="000000"/>
                <w:sz w:val="20"/>
              </w:rPr>
            </w:pPr>
            <w:r w:rsidRPr="0076501B">
              <w:rPr>
                <w:rFonts w:ascii="Arial Narrow" w:hAnsi="Arial Narrow"/>
                <w:color w:val="000000"/>
                <w:sz w:val="20"/>
              </w:rPr>
              <w:t>0.23</w:t>
            </w:r>
          </w:p>
        </w:tc>
        <w:tc>
          <w:tcPr>
            <w:tcW w:w="625" w:type="dxa"/>
            <w:shd w:val="clear" w:color="auto" w:fill="548DD4"/>
            <w:noWrap/>
            <w:tcMar>
              <w:left w:w="57" w:type="dxa"/>
              <w:right w:w="57" w:type="dxa"/>
            </w:tcMar>
            <w:vAlign w:val="center"/>
          </w:tcPr>
          <w:p w14:paraId="3430C824" w14:textId="77777777" w:rsidR="00606628" w:rsidRPr="0076501B" w:rsidRDefault="00606628" w:rsidP="00112B73">
            <w:pPr>
              <w:jc w:val="right"/>
              <w:rPr>
                <w:rFonts w:ascii="Arial Narrow" w:hAnsi="Arial Narrow"/>
                <w:color w:val="000000"/>
                <w:sz w:val="20"/>
              </w:rPr>
            </w:pPr>
            <w:r w:rsidRPr="0076501B">
              <w:rPr>
                <w:rFonts w:ascii="Arial Narrow" w:hAnsi="Arial Narrow"/>
                <w:color w:val="000000"/>
                <w:sz w:val="20"/>
              </w:rPr>
              <w:t>1.00</w:t>
            </w:r>
          </w:p>
        </w:tc>
        <w:tc>
          <w:tcPr>
            <w:tcW w:w="625" w:type="dxa"/>
            <w:shd w:val="clear" w:color="auto" w:fill="auto"/>
            <w:noWrap/>
            <w:tcMar>
              <w:left w:w="57" w:type="dxa"/>
              <w:right w:w="57" w:type="dxa"/>
            </w:tcMar>
            <w:vAlign w:val="center"/>
          </w:tcPr>
          <w:p w14:paraId="4E7AEA4A" w14:textId="77777777" w:rsidR="00606628" w:rsidRPr="0076501B" w:rsidRDefault="00606628" w:rsidP="00112B73">
            <w:pPr>
              <w:jc w:val="right"/>
              <w:rPr>
                <w:rFonts w:ascii="Arial Narrow" w:hAnsi="Arial Narrow"/>
                <w:color w:val="000000"/>
                <w:sz w:val="20"/>
              </w:rPr>
            </w:pPr>
            <w:r w:rsidRPr="0076501B">
              <w:rPr>
                <w:rFonts w:ascii="Arial Narrow" w:hAnsi="Arial Narrow"/>
                <w:color w:val="000000"/>
                <w:sz w:val="20"/>
              </w:rPr>
              <w:t>0.21</w:t>
            </w:r>
          </w:p>
        </w:tc>
        <w:tc>
          <w:tcPr>
            <w:tcW w:w="626" w:type="dxa"/>
            <w:shd w:val="clear" w:color="auto" w:fill="FFFFFF"/>
            <w:noWrap/>
            <w:tcMar>
              <w:left w:w="57" w:type="dxa"/>
              <w:right w:w="57" w:type="dxa"/>
            </w:tcMar>
            <w:vAlign w:val="center"/>
          </w:tcPr>
          <w:p w14:paraId="5C7AF139" w14:textId="77777777" w:rsidR="00606628" w:rsidRPr="0076501B" w:rsidRDefault="00606628" w:rsidP="00112B73">
            <w:pPr>
              <w:jc w:val="right"/>
              <w:rPr>
                <w:rFonts w:ascii="Arial Narrow" w:hAnsi="Arial Narrow"/>
                <w:color w:val="000000"/>
                <w:sz w:val="20"/>
              </w:rPr>
            </w:pPr>
            <w:r w:rsidRPr="0076501B">
              <w:rPr>
                <w:rFonts w:ascii="Arial Narrow" w:hAnsi="Arial Narrow"/>
                <w:color w:val="000000"/>
                <w:sz w:val="20"/>
              </w:rPr>
              <w:t>0.6</w:t>
            </w:r>
            <w:r>
              <w:rPr>
                <w:rFonts w:ascii="Arial Narrow" w:hAnsi="Arial Narrow"/>
                <w:color w:val="000000"/>
                <w:sz w:val="20"/>
              </w:rPr>
              <w:t>3</w:t>
            </w:r>
          </w:p>
        </w:tc>
        <w:tc>
          <w:tcPr>
            <w:tcW w:w="625" w:type="dxa"/>
            <w:shd w:val="clear" w:color="auto" w:fill="C6D9F1" w:themeFill="text2" w:themeFillTint="33"/>
            <w:noWrap/>
            <w:tcMar>
              <w:left w:w="57" w:type="dxa"/>
              <w:right w:w="57" w:type="dxa"/>
            </w:tcMar>
            <w:vAlign w:val="center"/>
          </w:tcPr>
          <w:p w14:paraId="7384F776" w14:textId="77777777" w:rsidR="00606628" w:rsidRPr="0076501B" w:rsidRDefault="00606628" w:rsidP="00112B73">
            <w:pPr>
              <w:jc w:val="right"/>
              <w:rPr>
                <w:rFonts w:ascii="Arial Narrow" w:hAnsi="Arial Narrow"/>
                <w:color w:val="000000"/>
                <w:sz w:val="20"/>
              </w:rPr>
            </w:pPr>
            <w:r w:rsidRPr="0076501B">
              <w:rPr>
                <w:rFonts w:ascii="Arial Narrow" w:hAnsi="Arial Narrow"/>
                <w:color w:val="000000"/>
                <w:sz w:val="20"/>
              </w:rPr>
              <w:t>0.17</w:t>
            </w:r>
          </w:p>
        </w:tc>
        <w:tc>
          <w:tcPr>
            <w:tcW w:w="625" w:type="dxa"/>
            <w:shd w:val="clear" w:color="auto" w:fill="C6D9F1" w:themeFill="text2" w:themeFillTint="33"/>
            <w:noWrap/>
            <w:tcMar>
              <w:left w:w="57" w:type="dxa"/>
              <w:right w:w="57" w:type="dxa"/>
            </w:tcMar>
            <w:vAlign w:val="center"/>
          </w:tcPr>
          <w:p w14:paraId="4F166F50" w14:textId="77777777" w:rsidR="00606628" w:rsidRPr="0076501B" w:rsidRDefault="00606628" w:rsidP="00112B73">
            <w:pPr>
              <w:jc w:val="right"/>
              <w:rPr>
                <w:rFonts w:ascii="Arial Narrow" w:hAnsi="Arial Narrow"/>
                <w:color w:val="000000"/>
                <w:sz w:val="20"/>
              </w:rPr>
            </w:pPr>
            <w:r w:rsidRPr="0076501B">
              <w:rPr>
                <w:rFonts w:ascii="Arial Narrow" w:hAnsi="Arial Narrow"/>
                <w:color w:val="000000"/>
                <w:sz w:val="20"/>
              </w:rPr>
              <w:t>0.7</w:t>
            </w:r>
            <w:r>
              <w:rPr>
                <w:rFonts w:ascii="Arial Narrow" w:hAnsi="Arial Narrow"/>
                <w:color w:val="000000"/>
                <w:sz w:val="20"/>
              </w:rPr>
              <w:t>2</w:t>
            </w:r>
          </w:p>
        </w:tc>
        <w:tc>
          <w:tcPr>
            <w:tcW w:w="625" w:type="dxa"/>
            <w:shd w:val="clear" w:color="auto" w:fill="8DB3E2"/>
            <w:noWrap/>
            <w:tcMar>
              <w:left w:w="57" w:type="dxa"/>
              <w:right w:w="57" w:type="dxa"/>
            </w:tcMar>
            <w:vAlign w:val="center"/>
          </w:tcPr>
          <w:p w14:paraId="2AB93D3C" w14:textId="77777777" w:rsidR="00606628" w:rsidRPr="0076501B" w:rsidRDefault="00606628" w:rsidP="00112B73">
            <w:pPr>
              <w:jc w:val="right"/>
              <w:rPr>
                <w:rFonts w:ascii="Arial Narrow" w:hAnsi="Arial Narrow"/>
                <w:color w:val="000000"/>
                <w:sz w:val="20"/>
              </w:rPr>
            </w:pPr>
            <w:r w:rsidRPr="0076501B">
              <w:rPr>
                <w:rFonts w:ascii="Arial Narrow" w:hAnsi="Arial Narrow"/>
                <w:color w:val="000000"/>
                <w:sz w:val="20"/>
              </w:rPr>
              <w:t>0.29</w:t>
            </w:r>
          </w:p>
        </w:tc>
        <w:tc>
          <w:tcPr>
            <w:tcW w:w="625" w:type="dxa"/>
            <w:shd w:val="clear" w:color="auto" w:fill="8DB3E2"/>
            <w:noWrap/>
            <w:tcMar>
              <w:left w:w="57" w:type="dxa"/>
              <w:right w:w="57" w:type="dxa"/>
            </w:tcMar>
            <w:vAlign w:val="center"/>
          </w:tcPr>
          <w:p w14:paraId="1F6EF33A" w14:textId="77777777" w:rsidR="00606628" w:rsidRPr="0076501B" w:rsidRDefault="00606628" w:rsidP="00112B73">
            <w:pPr>
              <w:jc w:val="right"/>
              <w:rPr>
                <w:rFonts w:ascii="Arial Narrow" w:hAnsi="Arial Narrow"/>
                <w:color w:val="000000"/>
                <w:sz w:val="20"/>
              </w:rPr>
            </w:pPr>
            <w:r>
              <w:rPr>
                <w:rFonts w:ascii="Arial Narrow" w:hAnsi="Arial Narrow"/>
                <w:color w:val="000000"/>
                <w:sz w:val="20"/>
              </w:rPr>
              <w:t>0.87</w:t>
            </w:r>
          </w:p>
        </w:tc>
        <w:tc>
          <w:tcPr>
            <w:tcW w:w="625" w:type="dxa"/>
            <w:shd w:val="clear" w:color="auto" w:fill="8DB3E2"/>
            <w:noWrap/>
            <w:tcMar>
              <w:left w:w="57" w:type="dxa"/>
              <w:right w:w="57" w:type="dxa"/>
            </w:tcMar>
            <w:vAlign w:val="center"/>
          </w:tcPr>
          <w:p w14:paraId="7E75B608" w14:textId="77777777" w:rsidR="00606628" w:rsidRPr="0076501B" w:rsidRDefault="00606628" w:rsidP="00112B73">
            <w:pPr>
              <w:jc w:val="right"/>
              <w:rPr>
                <w:rFonts w:ascii="Arial Narrow" w:hAnsi="Arial Narrow"/>
                <w:color w:val="000000"/>
                <w:sz w:val="20"/>
              </w:rPr>
            </w:pPr>
            <w:r w:rsidRPr="0076501B">
              <w:rPr>
                <w:rFonts w:ascii="Arial Narrow" w:hAnsi="Arial Narrow"/>
                <w:color w:val="000000"/>
                <w:sz w:val="20"/>
              </w:rPr>
              <w:t>0.33</w:t>
            </w:r>
          </w:p>
        </w:tc>
        <w:tc>
          <w:tcPr>
            <w:tcW w:w="626" w:type="dxa"/>
            <w:shd w:val="clear" w:color="auto" w:fill="8DB3E2"/>
            <w:noWrap/>
            <w:tcMar>
              <w:left w:w="57" w:type="dxa"/>
              <w:right w:w="57" w:type="dxa"/>
            </w:tcMar>
            <w:vAlign w:val="center"/>
          </w:tcPr>
          <w:p w14:paraId="04D5596E" w14:textId="77777777" w:rsidR="00606628" w:rsidRPr="0076501B" w:rsidRDefault="00606628" w:rsidP="00112B73">
            <w:pPr>
              <w:jc w:val="right"/>
              <w:rPr>
                <w:rFonts w:ascii="Arial Narrow" w:hAnsi="Arial Narrow"/>
                <w:color w:val="000000"/>
                <w:sz w:val="20"/>
              </w:rPr>
            </w:pPr>
            <w:r w:rsidRPr="0076501B">
              <w:rPr>
                <w:rFonts w:ascii="Arial Narrow" w:hAnsi="Arial Narrow"/>
                <w:color w:val="000000"/>
                <w:sz w:val="20"/>
              </w:rPr>
              <w:t>0.8</w:t>
            </w:r>
            <w:r>
              <w:rPr>
                <w:rFonts w:ascii="Arial Narrow" w:hAnsi="Arial Narrow"/>
                <w:color w:val="000000"/>
                <w:sz w:val="20"/>
              </w:rPr>
              <w:t>5</w:t>
            </w:r>
          </w:p>
        </w:tc>
      </w:tr>
    </w:tbl>
    <w:p w14:paraId="7EA49176" w14:textId="77777777" w:rsidR="007E151E" w:rsidRPr="00F352E1" w:rsidRDefault="007E151E" w:rsidP="00B36605">
      <w:pPr>
        <w:rPr>
          <w:color w:val="4F81BD" w:themeColor="accent1"/>
        </w:rPr>
      </w:pPr>
    </w:p>
    <w:p w14:paraId="0A6D4B70" w14:textId="77777777" w:rsidR="00B36605" w:rsidRPr="007527BF" w:rsidRDefault="00B36605" w:rsidP="00B36605">
      <w:r w:rsidRPr="007527BF">
        <w:t>The trend in the coral index identifies distinct declines caused by damage attributed to Cyclone Larry in 2006 and Cyclone Yasi in 2011 followed by</w:t>
      </w:r>
      <w:r w:rsidR="006C1688" w:rsidRPr="007527BF">
        <w:t xml:space="preserve"> recovery</w:t>
      </w:r>
      <w:r w:rsidRPr="007527BF">
        <w:t xml:space="preserve"> in subsequent years (</w:t>
      </w:r>
      <w:r w:rsidR="00611D00" w:rsidRPr="007527BF">
        <w:fldChar w:fldCharType="begin"/>
      </w:r>
      <w:r w:rsidR="00611D00" w:rsidRPr="007527BF">
        <w:instrText xml:space="preserve"> REF _Ref491267311 \h </w:instrText>
      </w:r>
      <w:r w:rsidR="00611D00" w:rsidRPr="007527BF">
        <w:fldChar w:fldCharType="separate"/>
      </w:r>
      <w:r w:rsidR="00A75175" w:rsidRPr="004252BF">
        <w:t xml:space="preserve">Figure </w:t>
      </w:r>
      <w:r w:rsidR="00A75175">
        <w:rPr>
          <w:noProof/>
        </w:rPr>
        <w:t>17</w:t>
      </w:r>
      <w:r w:rsidR="00611D00" w:rsidRPr="007527BF">
        <w:fldChar w:fldCharType="end"/>
      </w:r>
      <w:r w:rsidRPr="007527BF">
        <w:t xml:space="preserve">a). </w:t>
      </w:r>
      <w:r w:rsidR="00B95356" w:rsidRPr="007527BF">
        <w:t xml:space="preserve">The combined impacts of these cyclones account for </w:t>
      </w:r>
      <w:r w:rsidR="002D1203" w:rsidRPr="007527BF">
        <w:t>82.6</w:t>
      </w:r>
      <w:r w:rsidR="00B95356" w:rsidRPr="007527BF">
        <w:t>% of the hard coral cover lost since 2005 (</w:t>
      </w:r>
      <w:r w:rsidR="00611D00" w:rsidRPr="007527BF">
        <w:fldChar w:fldCharType="begin"/>
      </w:r>
      <w:r w:rsidR="00611D00" w:rsidRPr="007527BF">
        <w:instrText xml:space="preserve"> REF _Ref491267352 \h </w:instrText>
      </w:r>
      <w:r w:rsidR="00611D00" w:rsidRPr="007527BF">
        <w:fldChar w:fldCharType="separate"/>
      </w:r>
      <w:r w:rsidR="00A75175" w:rsidRPr="00F352E1">
        <w:t xml:space="preserve">Figure </w:t>
      </w:r>
      <w:r w:rsidR="00A75175">
        <w:rPr>
          <w:noProof/>
        </w:rPr>
        <w:t>16</w:t>
      </w:r>
      <w:r w:rsidR="00611D00" w:rsidRPr="007527BF">
        <w:fldChar w:fldCharType="end"/>
      </w:r>
      <w:r w:rsidR="00B95356" w:rsidRPr="007527BF">
        <w:t xml:space="preserve">e). </w:t>
      </w:r>
      <w:r w:rsidRPr="007527BF">
        <w:t>Of note is that following each cyclone</w:t>
      </w:r>
      <w:r w:rsidR="00323B32">
        <w:t>,</w:t>
      </w:r>
      <w:r w:rsidRPr="007527BF">
        <w:t xml:space="preserve"> in </w:t>
      </w:r>
      <w:r w:rsidR="00B95356" w:rsidRPr="007527BF">
        <w:t>addition</w:t>
      </w:r>
      <w:r w:rsidR="00D55FAA" w:rsidRPr="007527BF">
        <w:t xml:space="preserve"> to</w:t>
      </w:r>
      <w:r w:rsidR="00B95356" w:rsidRPr="007527BF">
        <w:t xml:space="preserve"> an</w:t>
      </w:r>
      <w:r w:rsidRPr="007527BF">
        <w:t xml:space="preserve"> immediate reduction, </w:t>
      </w:r>
      <w:r w:rsidR="00B95356" w:rsidRPr="007527BF">
        <w:t>wa</w:t>
      </w:r>
      <w:r w:rsidRPr="007527BF">
        <w:t xml:space="preserve">s a </w:t>
      </w:r>
      <w:r w:rsidR="00417AF5" w:rsidRPr="007527BF">
        <w:t xml:space="preserve">lagged </w:t>
      </w:r>
      <w:r w:rsidRPr="007527BF">
        <w:t>decline in the index</w:t>
      </w:r>
      <w:r w:rsidR="00CE6032" w:rsidRPr="007527BF">
        <w:t xml:space="preserve"> scores</w:t>
      </w:r>
      <w:r w:rsidR="006B0864" w:rsidRPr="007527BF">
        <w:t xml:space="preserve"> (</w:t>
      </w:r>
      <w:r w:rsidR="00611D00" w:rsidRPr="007527BF">
        <w:fldChar w:fldCharType="begin"/>
      </w:r>
      <w:r w:rsidR="00611D00" w:rsidRPr="007527BF">
        <w:instrText xml:space="preserve"> REF _Ref491267352 \h </w:instrText>
      </w:r>
      <w:r w:rsidR="00611D00" w:rsidRPr="007527BF">
        <w:fldChar w:fldCharType="separate"/>
      </w:r>
      <w:r w:rsidR="00A75175" w:rsidRPr="00F352E1">
        <w:t xml:space="preserve">Figure </w:t>
      </w:r>
      <w:r w:rsidR="00A75175">
        <w:rPr>
          <w:noProof/>
        </w:rPr>
        <w:t>16</w:t>
      </w:r>
      <w:r w:rsidR="00611D00" w:rsidRPr="007527BF">
        <w:fldChar w:fldCharType="end"/>
      </w:r>
      <w:r w:rsidR="006B0864" w:rsidRPr="007527BF">
        <w:t>a)</w:t>
      </w:r>
      <w:r w:rsidRPr="007527BF">
        <w:t xml:space="preserve">. This lagged response </w:t>
      </w:r>
      <w:r w:rsidR="00B95356" w:rsidRPr="007527BF">
        <w:t>reflects temporary improvement in the Macroalgae metric</w:t>
      </w:r>
      <w:r w:rsidR="006B0864" w:rsidRPr="007527BF">
        <w:t xml:space="preserve"> </w:t>
      </w:r>
      <w:r w:rsidR="00B95356" w:rsidRPr="007527BF">
        <w:t>in the first post cyclone survey</w:t>
      </w:r>
      <w:r w:rsidR="00611D00" w:rsidRPr="007527BF">
        <w:t xml:space="preserve"> (</w:t>
      </w:r>
      <w:r w:rsidR="00611D00" w:rsidRPr="007527BF">
        <w:fldChar w:fldCharType="begin"/>
      </w:r>
      <w:r w:rsidR="00611D00" w:rsidRPr="007527BF">
        <w:instrText xml:space="preserve"> REF _Ref491267311 \h </w:instrText>
      </w:r>
      <w:r w:rsidR="00611D00" w:rsidRPr="007527BF">
        <w:fldChar w:fldCharType="separate"/>
      </w:r>
      <w:r w:rsidR="00A75175" w:rsidRPr="004252BF">
        <w:t xml:space="preserve">Figure </w:t>
      </w:r>
      <w:r w:rsidR="00A75175">
        <w:rPr>
          <w:noProof/>
        </w:rPr>
        <w:t>17</w:t>
      </w:r>
      <w:r w:rsidR="00611D00" w:rsidRPr="007527BF">
        <w:fldChar w:fldCharType="end"/>
      </w:r>
      <w:r w:rsidR="00611D00" w:rsidRPr="007527BF">
        <w:t xml:space="preserve">e). During cyclones, </w:t>
      </w:r>
      <w:r w:rsidR="006B0864" w:rsidRPr="007527BF">
        <w:t xml:space="preserve">macroalgae </w:t>
      </w:r>
      <w:r w:rsidR="009F5517" w:rsidRPr="007527BF">
        <w:t xml:space="preserve">are </w:t>
      </w:r>
      <w:r w:rsidR="006B0864" w:rsidRPr="007527BF">
        <w:t>striped from the substrate</w:t>
      </w:r>
      <w:r w:rsidR="00611D00" w:rsidRPr="007527BF">
        <w:t xml:space="preserve">, temporarily reducing their abundance. Subsequent rapid </w:t>
      </w:r>
      <w:r w:rsidR="006B0864" w:rsidRPr="007527BF">
        <w:t>colonis</w:t>
      </w:r>
      <w:r w:rsidR="00611D00" w:rsidRPr="007527BF">
        <w:t xml:space="preserve">ation of space as a result of reduced coral cover ensures reduced scores of Macroalgae compounding the impact on index scores resulting from immediate losses of coral </w:t>
      </w:r>
      <w:r w:rsidR="006B0864" w:rsidRPr="007527BF">
        <w:t>(</w:t>
      </w:r>
      <w:r w:rsidR="00611D00" w:rsidRPr="007527BF">
        <w:fldChar w:fldCharType="begin"/>
      </w:r>
      <w:r w:rsidR="00611D00" w:rsidRPr="007527BF">
        <w:instrText xml:space="preserve"> REF _Ref491267311 \h </w:instrText>
      </w:r>
      <w:r w:rsidR="00611D00" w:rsidRPr="007527BF">
        <w:fldChar w:fldCharType="separate"/>
      </w:r>
      <w:r w:rsidR="00A75175" w:rsidRPr="004252BF">
        <w:t xml:space="preserve">Figure </w:t>
      </w:r>
      <w:r w:rsidR="00A75175">
        <w:rPr>
          <w:noProof/>
        </w:rPr>
        <w:t>17</w:t>
      </w:r>
      <w:r w:rsidR="00611D00" w:rsidRPr="007527BF">
        <w:fldChar w:fldCharType="end"/>
      </w:r>
      <w:r w:rsidR="006B0864" w:rsidRPr="007527BF">
        <w:t xml:space="preserve">e). </w:t>
      </w:r>
    </w:p>
    <w:p w14:paraId="1DF3CD00" w14:textId="77777777" w:rsidR="003B3B81" w:rsidRDefault="003B3B81" w:rsidP="003B3B81">
      <w:r w:rsidRPr="007527BF">
        <w:t xml:space="preserve">The </w:t>
      </w:r>
      <w:r w:rsidR="00F94921" w:rsidRPr="007527BF">
        <w:t xml:space="preserve">coral </w:t>
      </w:r>
      <w:r w:rsidRPr="007527BF">
        <w:t xml:space="preserve">sampling sites in this sub-region are primarily influenced by discharge from the Tully and Herbert rivers. As of 2015, monitoring of King was ceased in favour of a new location at Bedarra that was selected to coincide more closely with a revised sampling design for water quality monitoring. All </w:t>
      </w:r>
      <w:r w:rsidR="002C6C3C" w:rsidRPr="007527BF">
        <w:t>the</w:t>
      </w:r>
      <w:r w:rsidRPr="007527BF">
        <w:t xml:space="preserve"> coral monitoring sites in this sub-region are situated in relatively clear</w:t>
      </w:r>
      <w:r w:rsidR="00323B32">
        <w:t xml:space="preserve"> (t</w:t>
      </w:r>
      <w:r w:rsidRPr="007527BF">
        <w:t xml:space="preserve">urbidity below the </w:t>
      </w:r>
      <w:r w:rsidR="00323B32">
        <w:t>g</w:t>
      </w:r>
      <w:r w:rsidRPr="007527BF">
        <w:t>uideline</w:t>
      </w:r>
      <w:r w:rsidR="00323B32">
        <w:t>)</w:t>
      </w:r>
      <w:r w:rsidR="00463FB2" w:rsidRPr="007527BF">
        <w:t>,</w:t>
      </w:r>
      <w:r w:rsidRPr="007527BF">
        <w:t xml:space="preserve"> </w:t>
      </w:r>
      <w:r w:rsidR="00B30979">
        <w:t>and</w:t>
      </w:r>
      <w:r w:rsidR="00463FB2" w:rsidRPr="007527BF">
        <w:t xml:space="preserve"> nutrient rich</w:t>
      </w:r>
      <w:r w:rsidR="00DC6700" w:rsidRPr="007527BF">
        <w:t xml:space="preserve"> </w:t>
      </w:r>
      <w:r w:rsidR="00323B32">
        <w:t>(</w:t>
      </w:r>
      <w:r w:rsidR="00DC6700" w:rsidRPr="007527BF">
        <w:t>Chl</w:t>
      </w:r>
      <w:r w:rsidR="00463FB2" w:rsidRPr="007527BF">
        <w:t xml:space="preserve"> </w:t>
      </w:r>
      <w:r w:rsidR="00463FB2" w:rsidRPr="007527BF">
        <w:rPr>
          <w:i/>
        </w:rPr>
        <w:t>a</w:t>
      </w:r>
      <w:r w:rsidR="00463FB2" w:rsidRPr="007527BF">
        <w:t xml:space="preserve"> concentration </w:t>
      </w:r>
      <w:r w:rsidR="006430DC">
        <w:t xml:space="preserve">in the wet season generally exceeding </w:t>
      </w:r>
      <w:r w:rsidR="00463FB2" w:rsidRPr="007527BF">
        <w:t xml:space="preserve">the </w:t>
      </w:r>
      <w:r w:rsidR="00323B32">
        <w:t>g</w:t>
      </w:r>
      <w:r w:rsidR="00463FB2" w:rsidRPr="007527BF">
        <w:t>uideline</w:t>
      </w:r>
      <w:r w:rsidR="00323B32">
        <w:t>)</w:t>
      </w:r>
      <w:r w:rsidR="00463FB2" w:rsidRPr="007527BF">
        <w:t xml:space="preserve">, waters </w:t>
      </w:r>
      <w:r w:rsidRPr="007527BF">
        <w:t>(</w:t>
      </w:r>
      <w:r w:rsidR="00463FB2" w:rsidRPr="007527BF">
        <w:fldChar w:fldCharType="begin"/>
      </w:r>
      <w:r w:rsidR="00463FB2" w:rsidRPr="007527BF">
        <w:instrText xml:space="preserve"> REF _Ref491178261 \h </w:instrText>
      </w:r>
      <w:r w:rsidR="00463FB2" w:rsidRPr="007527BF">
        <w:fldChar w:fldCharType="separate"/>
      </w:r>
      <w:r w:rsidR="00A75175" w:rsidRPr="00F352E1">
        <w:t xml:space="preserve">Figure </w:t>
      </w:r>
      <w:r w:rsidR="00A75175">
        <w:rPr>
          <w:noProof/>
        </w:rPr>
        <w:t>12</w:t>
      </w:r>
      <w:r w:rsidR="00463FB2" w:rsidRPr="007527BF">
        <w:fldChar w:fldCharType="end"/>
      </w:r>
      <w:r w:rsidRPr="007527BF">
        <w:t>b,</w:t>
      </w:r>
      <w:r w:rsidR="0091564F">
        <w:t xml:space="preserve"> </w:t>
      </w:r>
      <w:r w:rsidR="006430DC">
        <w:t>Figure A1. 11</w:t>
      </w:r>
      <w:r w:rsidR="00463FB2" w:rsidRPr="007527BF">
        <w:t>)</w:t>
      </w:r>
      <w:r w:rsidR="001322DD">
        <w:t>. The</w:t>
      </w:r>
      <w:r w:rsidRPr="007527BF">
        <w:t xml:space="preserve"> combination of low turbidity and high nutrient availability is consistent with the prevalence of macroalgae observed in the shallow depths at most reefs</w:t>
      </w:r>
      <w:r w:rsidR="00F94921" w:rsidRPr="007527BF">
        <w:t xml:space="preserve"> (</w:t>
      </w:r>
      <w:r w:rsidR="00463FB2" w:rsidRPr="007527BF">
        <w:fldChar w:fldCharType="begin"/>
      </w:r>
      <w:r w:rsidR="00463FB2" w:rsidRPr="007527BF">
        <w:instrText xml:space="preserve"> REF _Ref491267311 \h </w:instrText>
      </w:r>
      <w:r w:rsidR="00463FB2" w:rsidRPr="007527BF">
        <w:fldChar w:fldCharType="separate"/>
      </w:r>
      <w:r w:rsidR="00A75175" w:rsidRPr="004252BF">
        <w:t xml:space="preserve">Figure </w:t>
      </w:r>
      <w:r w:rsidR="00A75175">
        <w:rPr>
          <w:noProof/>
        </w:rPr>
        <w:t>17</w:t>
      </w:r>
      <w:r w:rsidR="00463FB2" w:rsidRPr="007527BF">
        <w:fldChar w:fldCharType="end"/>
      </w:r>
      <w:r w:rsidR="00F94921" w:rsidRPr="007527BF">
        <w:t>c)</w:t>
      </w:r>
      <w:r w:rsidR="00382A2B">
        <w:t>.</w:t>
      </w:r>
    </w:p>
    <w:p w14:paraId="2D0C2D27" w14:textId="77777777" w:rsidR="00382A2B" w:rsidRDefault="00382A2B" w:rsidP="003B3B81">
      <w:r w:rsidRPr="007527BF">
        <w:t>The result of relatively low discharge in recent years may explain concentrations of TSS, and nitrogen oxides dipping below guideline values since 2015 (</w:t>
      </w:r>
      <w:r w:rsidR="003B2AE3">
        <w:fldChar w:fldCharType="begin"/>
      </w:r>
      <w:r w:rsidR="003B2AE3">
        <w:instrText xml:space="preserve"> REF _Ref491267352 \h </w:instrText>
      </w:r>
      <w:r w:rsidR="003B2AE3">
        <w:fldChar w:fldCharType="separate"/>
      </w:r>
      <w:r w:rsidR="00A75175" w:rsidRPr="00F352E1">
        <w:t xml:space="preserve">Figure </w:t>
      </w:r>
      <w:r w:rsidR="00A75175">
        <w:rPr>
          <w:noProof/>
        </w:rPr>
        <w:t>16</w:t>
      </w:r>
      <w:r w:rsidR="003B2AE3">
        <w:fldChar w:fldCharType="end"/>
      </w:r>
      <w:r w:rsidR="003B2AE3">
        <w:t xml:space="preserve">d, </w:t>
      </w:r>
      <w:r w:rsidR="007B0264">
        <w:fldChar w:fldCharType="begin"/>
      </w:r>
      <w:r w:rsidR="007B0264">
        <w:instrText xml:space="preserve"> REF _Ref504643099 \h </w:instrText>
      </w:r>
      <w:r w:rsidR="007B0264">
        <w:fldChar w:fldCharType="separate"/>
      </w:r>
      <w:r w:rsidR="00A75175">
        <w:t xml:space="preserve">Figure A1. </w:t>
      </w:r>
      <w:r w:rsidR="00A75175">
        <w:rPr>
          <w:noProof/>
        </w:rPr>
        <w:t>11</w:t>
      </w:r>
      <w:r w:rsidR="007B0264">
        <w:fldChar w:fldCharType="end"/>
      </w:r>
      <w:r w:rsidR="003B2AE3">
        <w:t>c, f</w:t>
      </w:r>
      <w:r w:rsidRPr="007527BF">
        <w:t xml:space="preserve">). The </w:t>
      </w:r>
      <w:r w:rsidRPr="00392304">
        <w:t>in</w:t>
      </w:r>
      <w:r w:rsidR="00225AA2" w:rsidRPr="00392304">
        <w:t xml:space="preserve"> </w:t>
      </w:r>
      <w:r w:rsidRPr="00392304">
        <w:t>situ</w:t>
      </w:r>
      <w:r w:rsidRPr="007527BF">
        <w:t xml:space="preserve"> monitoring of both </w:t>
      </w:r>
      <w:r w:rsidRPr="008E0B5F">
        <w:t xml:space="preserve">Turbidity </w:t>
      </w:r>
      <w:r w:rsidRPr="008366BE">
        <w:t>and</w:t>
      </w:r>
      <w:r w:rsidRPr="00CD0D47">
        <w:t xml:space="preserve"> </w:t>
      </w:r>
      <w:r w:rsidRPr="007527BF">
        <w:t xml:space="preserve">Chl </w:t>
      </w:r>
      <w:r w:rsidRPr="007527BF">
        <w:rPr>
          <w:i/>
        </w:rPr>
        <w:t>a</w:t>
      </w:r>
      <w:r w:rsidRPr="007527BF">
        <w:t xml:space="preserve"> do not show similar declines</w:t>
      </w:r>
      <w:r w:rsidR="00F37DBD">
        <w:t xml:space="preserve"> (</w:t>
      </w:r>
      <w:r w:rsidR="007B0264">
        <w:fldChar w:fldCharType="begin"/>
      </w:r>
      <w:r w:rsidR="007B0264">
        <w:instrText xml:space="preserve"> REF _Ref504643099 \h </w:instrText>
      </w:r>
      <w:r w:rsidR="007B0264">
        <w:fldChar w:fldCharType="separate"/>
      </w:r>
      <w:r w:rsidR="00A75175">
        <w:t xml:space="preserve">Figure A1. </w:t>
      </w:r>
      <w:r w:rsidR="00A75175">
        <w:rPr>
          <w:noProof/>
        </w:rPr>
        <w:t>11</w:t>
      </w:r>
      <w:r w:rsidR="007B0264">
        <w:fldChar w:fldCharType="end"/>
      </w:r>
      <w:r w:rsidR="003B2AE3">
        <w:t>b, e</w:t>
      </w:r>
      <w:r w:rsidR="00F37DBD">
        <w:t>)</w:t>
      </w:r>
      <w:r w:rsidRPr="007527BF">
        <w:t xml:space="preserve">. </w:t>
      </w:r>
    </w:p>
    <w:p w14:paraId="472CF4D4" w14:textId="77777777" w:rsidR="00382A2B" w:rsidRDefault="00382A2B" w:rsidP="003B3B81"/>
    <w:p w14:paraId="22B943AE" w14:textId="77777777" w:rsidR="00382A2B" w:rsidRDefault="00382A2B" w:rsidP="003B3B81"/>
    <w:p w14:paraId="38663BCF" w14:textId="77777777" w:rsidR="00382A2B" w:rsidRDefault="00382A2B" w:rsidP="003B3B81"/>
    <w:p w14:paraId="4511469F" w14:textId="77777777" w:rsidR="00382A2B" w:rsidRDefault="00382A2B" w:rsidP="003B3B81"/>
    <w:p w14:paraId="42CF141C" w14:textId="77777777" w:rsidR="00382A2B" w:rsidRPr="007527BF" w:rsidRDefault="00382A2B" w:rsidP="003B3B81"/>
    <w:p w14:paraId="1D43418D" w14:textId="77777777" w:rsidR="00D64814" w:rsidRPr="00F352E1" w:rsidRDefault="00D15EF9" w:rsidP="00FB7FD7">
      <w:pPr>
        <w:keepNext/>
        <w:spacing w:before="5" w:after="0"/>
        <w:ind w:left="5" w:right="5"/>
        <w:jc w:val="center"/>
        <w:rPr>
          <w:color w:val="4F81BD" w:themeColor="accent1"/>
        </w:rPr>
      </w:pPr>
      <w:r>
        <w:rPr>
          <w:noProof/>
          <w:color w:val="4F81BD" w:themeColor="accent1"/>
          <w:lang w:val="en-AU" w:eastAsia="en-AU"/>
        </w:rPr>
        <w:drawing>
          <wp:inline distT="0" distB="0" distL="0" distR="0" wp14:anchorId="173BF0A8" wp14:editId="3C57FECE">
            <wp:extent cx="6120765" cy="6591300"/>
            <wp:effectExtent l="0" t="0" r="0" b="0"/>
            <wp:docPr id="22" name="Picture 22" descr="A panel of five figures. The first and second show maps of the monitored reefs indicating all are exposed to high Chlorophyll but not Non-algal particulate concentration waters. A plot of temperature anomalies indicating highest anomalies occurred in 2017. A plot of regional river discharge with maximum values in 2009 and 2011. A plot of disturbance severity based on loss of coral cover each year, salient points discussed in the main text.&#10;" title="Environmental conditions experienced by coral communities in th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Env_Tully.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6120765" cy="6591300"/>
                    </a:xfrm>
                    <a:prstGeom prst="rect">
                      <a:avLst/>
                    </a:prstGeom>
                  </pic:spPr>
                </pic:pic>
              </a:graphicData>
            </a:graphic>
          </wp:inline>
        </w:drawing>
      </w:r>
    </w:p>
    <w:p w14:paraId="38368DB9" w14:textId="77777777" w:rsidR="00D64814" w:rsidRPr="001322DD" w:rsidRDefault="007A50AB" w:rsidP="00606A50">
      <w:pPr>
        <w:pStyle w:val="Caption"/>
        <w:rPr>
          <w:rStyle w:val="IntenseReference"/>
          <w:rFonts w:eastAsia="SimSun"/>
          <w:vanish/>
        </w:rPr>
      </w:pPr>
      <w:bookmarkStart w:id="189" w:name="_Ref491267352"/>
      <w:bookmarkStart w:id="190" w:name="_Ref438120434"/>
      <w:bookmarkStart w:id="191" w:name="_Toc437423853"/>
      <w:bookmarkStart w:id="192" w:name="_Toc437424032"/>
      <w:bookmarkStart w:id="193" w:name="_Toc437424300"/>
      <w:bookmarkStart w:id="194" w:name="_Toc437597633"/>
      <w:bookmarkStart w:id="195" w:name="_Toc514335661"/>
      <w:r w:rsidRPr="00F352E1">
        <w:t xml:space="preserve">Figure </w:t>
      </w:r>
      <w:r w:rsidR="00626D6B">
        <w:fldChar w:fldCharType="begin"/>
      </w:r>
      <w:r w:rsidR="00626D6B">
        <w:instrText xml:space="preserve"> SEQ Figure \* ARABIC </w:instrText>
      </w:r>
      <w:r w:rsidR="00626D6B">
        <w:fldChar w:fldCharType="separate"/>
      </w:r>
      <w:r w:rsidR="00A75175">
        <w:rPr>
          <w:noProof/>
        </w:rPr>
        <w:t>16</w:t>
      </w:r>
      <w:r w:rsidR="00626D6B">
        <w:rPr>
          <w:noProof/>
        </w:rPr>
        <w:fldChar w:fldCharType="end"/>
      </w:r>
      <w:bookmarkEnd w:id="189"/>
      <w:r w:rsidRPr="00F352E1">
        <w:t xml:space="preserve"> Herbert Tully sub-region environmental </w:t>
      </w:r>
      <w:r w:rsidR="009D02B0" w:rsidRPr="00F352E1">
        <w:t>pressures</w:t>
      </w:r>
      <w:r w:rsidRPr="00F352E1">
        <w:t>.</w:t>
      </w:r>
      <w:bookmarkEnd w:id="190"/>
      <w:bookmarkEnd w:id="191"/>
      <w:bookmarkEnd w:id="192"/>
      <w:bookmarkEnd w:id="193"/>
      <w:bookmarkEnd w:id="194"/>
      <w:bookmarkEnd w:id="195"/>
      <w:r w:rsidR="00EA753F" w:rsidRPr="00F352E1">
        <w:rPr>
          <w:rStyle w:val="IntenseReference"/>
          <w:rFonts w:eastAsia="SimSun"/>
          <w:color w:val="4F81BD" w:themeColor="accent1"/>
        </w:rPr>
        <w:t xml:space="preserve"> </w:t>
      </w:r>
    </w:p>
    <w:p w14:paraId="1FE7C155" w14:textId="77777777" w:rsidR="001C36F4" w:rsidRPr="001322DD" w:rsidRDefault="001C36F4" w:rsidP="00606A50">
      <w:pPr>
        <w:pStyle w:val="Caption"/>
        <w:rPr>
          <w:rStyle w:val="IntenseReference"/>
          <w:rFonts w:eastAsia="SimSun"/>
        </w:rPr>
      </w:pPr>
      <w:r w:rsidRPr="001322DD">
        <w:rPr>
          <w:rStyle w:val="IntenseReference"/>
          <w:rFonts w:eastAsia="SimSun"/>
        </w:rPr>
        <w:t>Maps show location of monitoring sites, red symbols MMP, yellow s</w:t>
      </w:r>
      <w:r w:rsidR="00663F7B" w:rsidRPr="001322DD">
        <w:rPr>
          <w:rStyle w:val="IntenseReference"/>
          <w:rFonts w:eastAsia="SimSun"/>
        </w:rPr>
        <w:t>ymbols LTMP along with</w:t>
      </w:r>
      <w:r w:rsidR="002571F0" w:rsidRPr="001322DD">
        <w:rPr>
          <w:rStyle w:val="IntenseReference"/>
          <w:rFonts w:eastAsia="SimSun"/>
        </w:rPr>
        <w:t>,</w:t>
      </w:r>
      <w:r w:rsidR="00663F7B" w:rsidRPr="001322DD">
        <w:rPr>
          <w:rStyle w:val="IntenseReference"/>
          <w:rFonts w:eastAsia="SimSun"/>
        </w:rPr>
        <w:t xml:space="preserve"> </w:t>
      </w:r>
      <w:r w:rsidR="001322DD" w:rsidRPr="001322DD">
        <w:rPr>
          <w:rStyle w:val="IntenseReference"/>
          <w:rFonts w:eastAsia="SimSun"/>
        </w:rPr>
        <w:t xml:space="preserve">a) mean chlorophyll </w:t>
      </w:r>
      <w:r w:rsidR="001322DD" w:rsidRPr="001322DD">
        <w:rPr>
          <w:rStyle w:val="IntenseReference"/>
          <w:rFonts w:eastAsia="SimSun"/>
          <w:i/>
        </w:rPr>
        <w:t>a</w:t>
      </w:r>
      <w:r w:rsidR="001322DD" w:rsidRPr="001322DD">
        <w:rPr>
          <w:rStyle w:val="IntenseReference"/>
          <w:rFonts w:eastAsia="SimSun"/>
        </w:rPr>
        <w:t xml:space="preserve"> exceedance of wet season Guideline (0.63ugL</w:t>
      </w:r>
      <w:r w:rsidR="001322DD" w:rsidRPr="001322DD">
        <w:rPr>
          <w:rStyle w:val="IntenseReference"/>
          <w:rFonts w:eastAsia="SimSun"/>
          <w:vertAlign w:val="superscript"/>
        </w:rPr>
        <w:t>-1</w:t>
      </w:r>
      <w:r w:rsidR="001322DD" w:rsidRPr="001322DD">
        <w:rPr>
          <w:rStyle w:val="IntenseReference"/>
          <w:rFonts w:eastAsia="SimSun"/>
        </w:rPr>
        <w:t xml:space="preserve">) and b) mean Non Algal Particulate concentrations. Water quality data are mean levels over the period 2003-2016 (Chl) and 2003-2017 (NAP). c) Seasonally adjusted temperature deviation, timing of cyclones and storms indicated by black arrows, accumulated degree heating days over the summer period (1st of December - 31st March) as reported by BoM (black symbols) and derived from </w:t>
      </w:r>
      <w:r w:rsidR="00036C05">
        <w:rPr>
          <w:rStyle w:val="IntenseReference"/>
          <w:rFonts w:eastAsia="SimSun"/>
        </w:rPr>
        <w:t>in situ</w:t>
      </w:r>
      <w:r w:rsidR="001322DD" w:rsidRPr="001322DD">
        <w:rPr>
          <w:rStyle w:val="IntenseReference"/>
          <w:rFonts w:eastAsia="SimSun"/>
        </w:rPr>
        <w:t xml:space="preserve"> loggers (grey symbols) </w:t>
      </w:r>
      <w:r w:rsidRPr="001322DD">
        <w:rPr>
          <w:rStyle w:val="IntenseReference"/>
          <w:rFonts w:eastAsia="SimSun"/>
        </w:rPr>
        <w:t xml:space="preserve">d) Combined daily (blue) and annual (red) discharge for the </w:t>
      </w:r>
      <w:r w:rsidR="001E1E73" w:rsidRPr="001322DD">
        <w:rPr>
          <w:rStyle w:val="IntenseReference"/>
          <w:rFonts w:eastAsia="SimSun"/>
        </w:rPr>
        <w:t>Herbert, Murray and T</w:t>
      </w:r>
      <w:r w:rsidR="00E229DD" w:rsidRPr="001322DD">
        <w:rPr>
          <w:rStyle w:val="IntenseReference"/>
          <w:rFonts w:eastAsia="SimSun"/>
        </w:rPr>
        <w:t xml:space="preserve">ully </w:t>
      </w:r>
      <w:r w:rsidRPr="001322DD">
        <w:rPr>
          <w:rStyle w:val="IntenseReference"/>
          <w:rFonts w:eastAsia="SimSun"/>
        </w:rPr>
        <w:t>rivers, red dashed line represents long-term median discharge (1986-2016). e) break-down of hard coral cover loss by disturbance type; length of bars represent the mean loss of cover across all reefs (see methods section for further detail).</w:t>
      </w:r>
    </w:p>
    <w:p w14:paraId="18F0AC87" w14:textId="77777777" w:rsidR="00BE20D6" w:rsidRPr="007527BF" w:rsidRDefault="00BE20D6" w:rsidP="00BE20D6"/>
    <w:p w14:paraId="641777EE" w14:textId="77777777" w:rsidR="00D64814" w:rsidRDefault="006D2B24" w:rsidP="000C6FCB">
      <w:pPr>
        <w:rPr>
          <w:color w:val="4F81BD" w:themeColor="accent1"/>
        </w:rPr>
      </w:pPr>
      <w:r>
        <w:rPr>
          <w:noProof/>
          <w:color w:val="4F81BD" w:themeColor="accent1"/>
          <w:lang w:val="en-AU" w:eastAsia="en-AU"/>
        </w:rPr>
        <w:drawing>
          <wp:inline distT="0" distB="0" distL="0" distR="0" wp14:anchorId="268D0F73" wp14:editId="2DD43B22">
            <wp:extent cx="6118860" cy="5351452"/>
            <wp:effectExtent l="0" t="0" r="0" b="1905"/>
            <wp:docPr id="245" name="Picture 245" descr="Plots of the trend in scores through time, salient points are discussed in the main text.&#10;" title="Trends in index and metric scores within the region and at individual reef and depth combin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EXTERNAL PROJECTS\GBRMPA_RWQPP_Monitoring\Reports\Visit 13 2017\R\data\Output\Tully_plots_noWQ.png"/>
                    <pic:cNvPicPr>
                      <a:picLocks noChangeAspect="1" noChangeArrowheads="1"/>
                    </pic:cNvPicPr>
                  </pic:nvPicPr>
                  <pic:blipFill>
                    <a:blip r:embed="rId51" cstate="print">
                      <a:extLst>
                        <a:ext uri="{28A0092B-C50C-407E-A947-70E740481C1C}">
                          <a14:useLocalDpi xmlns:a14="http://schemas.microsoft.com/office/drawing/2010/main" val="0"/>
                        </a:ext>
                      </a:extLst>
                    </a:blip>
                    <a:stretch>
                      <a:fillRect/>
                    </a:stretch>
                  </pic:blipFill>
                  <pic:spPr bwMode="auto">
                    <a:xfrm>
                      <a:off x="0" y="0"/>
                      <a:ext cx="6118860" cy="5351452"/>
                    </a:xfrm>
                    <a:prstGeom prst="rect">
                      <a:avLst/>
                    </a:prstGeom>
                    <a:noFill/>
                    <a:ln>
                      <a:noFill/>
                    </a:ln>
                  </pic:spPr>
                </pic:pic>
              </a:graphicData>
            </a:graphic>
          </wp:inline>
        </w:drawing>
      </w:r>
    </w:p>
    <w:p w14:paraId="7360CAD6" w14:textId="77777777" w:rsidR="006D2B24" w:rsidRPr="00F352E1" w:rsidRDefault="006D2B24" w:rsidP="000C6FCB">
      <w:pPr>
        <w:rPr>
          <w:color w:val="4F81BD" w:themeColor="accent1"/>
        </w:rPr>
      </w:pPr>
    </w:p>
    <w:p w14:paraId="63526ABA" w14:textId="77777777" w:rsidR="007A50AB" w:rsidRPr="009808B7" w:rsidRDefault="007A50AB" w:rsidP="00606A50">
      <w:pPr>
        <w:pStyle w:val="Caption"/>
        <w:rPr>
          <w:rStyle w:val="IntenseReference"/>
          <w:rFonts w:eastAsia="SimSun"/>
        </w:rPr>
      </w:pPr>
      <w:bookmarkStart w:id="196" w:name="_Ref491267311"/>
      <w:bookmarkStart w:id="197" w:name="_Ref438120452"/>
      <w:bookmarkStart w:id="198" w:name="_Toc437423854"/>
      <w:bookmarkStart w:id="199" w:name="_Toc437424033"/>
      <w:bookmarkStart w:id="200" w:name="_Toc437424302"/>
      <w:bookmarkStart w:id="201" w:name="_Toc437597635"/>
      <w:bookmarkStart w:id="202" w:name="_Toc514335662"/>
      <w:r w:rsidRPr="004252BF">
        <w:t xml:space="preserve">Figure </w:t>
      </w:r>
      <w:r w:rsidR="00FE19A9" w:rsidRPr="00857168">
        <w:fldChar w:fldCharType="begin"/>
      </w:r>
      <w:r w:rsidR="00FE19A9" w:rsidRPr="004252BF">
        <w:instrText xml:space="preserve"> SEQ Figure \* ARABIC </w:instrText>
      </w:r>
      <w:r w:rsidR="00FE19A9" w:rsidRPr="00857168">
        <w:fldChar w:fldCharType="separate"/>
      </w:r>
      <w:r w:rsidR="00A75175">
        <w:rPr>
          <w:noProof/>
        </w:rPr>
        <w:t>17</w:t>
      </w:r>
      <w:r w:rsidR="00FE19A9" w:rsidRPr="00857168">
        <w:fldChar w:fldCharType="end"/>
      </w:r>
      <w:bookmarkEnd w:id="196"/>
      <w:r w:rsidRPr="004252BF">
        <w:t xml:space="preserve"> Herbert Tully sub-region</w:t>
      </w:r>
      <w:r w:rsidR="00A416E6" w:rsidRPr="004252BF">
        <w:t xml:space="preserve"> index and indicator trends</w:t>
      </w:r>
      <w:r w:rsidRPr="004252BF">
        <w:t>.</w:t>
      </w:r>
      <w:bookmarkEnd w:id="197"/>
      <w:bookmarkEnd w:id="198"/>
      <w:bookmarkEnd w:id="199"/>
      <w:bookmarkEnd w:id="200"/>
      <w:bookmarkEnd w:id="201"/>
      <w:r w:rsidRPr="00857168">
        <w:rPr>
          <w:rStyle w:val="IntenseReference"/>
          <w:rFonts w:eastAsia="SimSun"/>
        </w:rPr>
        <w:t xml:space="preserve"> a) </w:t>
      </w:r>
      <w:r w:rsidRPr="00626D6B">
        <w:rPr>
          <w:rStyle w:val="IntenseReference"/>
          <w:rFonts w:eastAsia="SimSun"/>
        </w:rPr>
        <w:t xml:space="preserve">Coral index, colour coding: dark green- ‘very good’; light green-‘good’; yellow – ‘moderate; orange – ‘poor’; red – ‘very poor’. b – f) trends in individual indicators, (blue lines) </w:t>
      </w:r>
      <w:r w:rsidRPr="009808B7">
        <w:rPr>
          <w:rStyle w:val="IntenseReference"/>
          <w:rFonts w:eastAsia="SimSun"/>
        </w:rPr>
        <w:t>bound by 95% confidence intervals of those trends (shading), grey lines represent observed profiles at 5 m (dashed) and 2 m (solid) depths for individual reefs</w:t>
      </w:r>
      <w:r w:rsidR="00CD0D47" w:rsidRPr="009808B7">
        <w:rPr>
          <w:rStyle w:val="IntenseReference"/>
          <w:rFonts w:eastAsia="SimSun"/>
        </w:rPr>
        <w:t>.</w:t>
      </w:r>
      <w:bookmarkEnd w:id="202"/>
      <w:r w:rsidRPr="009808B7">
        <w:rPr>
          <w:rStyle w:val="IntenseReference"/>
          <w:rFonts w:eastAsia="SimSun"/>
        </w:rPr>
        <w:t xml:space="preserve"> </w:t>
      </w:r>
    </w:p>
    <w:p w14:paraId="6BD54C7E" w14:textId="77777777" w:rsidR="007A50AB" w:rsidRPr="00F352E1" w:rsidRDefault="007A50AB" w:rsidP="00606A50">
      <w:pPr>
        <w:pStyle w:val="Caption"/>
        <w:rPr>
          <w:rStyle w:val="IntenseReference"/>
          <w:rFonts w:eastAsia="SimSun"/>
          <w:color w:val="4F81BD" w:themeColor="accent1"/>
        </w:rPr>
      </w:pPr>
      <w:r w:rsidRPr="00F352E1">
        <w:rPr>
          <w:rStyle w:val="IntenseReference"/>
          <w:rFonts w:eastAsia="SimSun"/>
          <w:color w:val="4F81BD" w:themeColor="accent1"/>
        </w:rPr>
        <w:t>.</w:t>
      </w:r>
    </w:p>
    <w:p w14:paraId="70E45F54" w14:textId="77777777" w:rsidR="00B36605" w:rsidRPr="00F352E1" w:rsidRDefault="00260BBC" w:rsidP="00606A50">
      <w:pPr>
        <w:pStyle w:val="Caption"/>
      </w:pPr>
      <w:r w:rsidRPr="00F352E1">
        <w:br w:type="page"/>
      </w:r>
    </w:p>
    <w:p w14:paraId="042A068A" w14:textId="1AF0B160" w:rsidR="002A5249" w:rsidRPr="00F352E1" w:rsidRDefault="00F352CD" w:rsidP="00607BCA">
      <w:pPr>
        <w:pStyle w:val="Heading3"/>
      </w:pPr>
      <w:bookmarkStart w:id="203" w:name="_Toc437424409"/>
      <w:bookmarkStart w:id="204" w:name="_Toc437424533"/>
      <w:bookmarkStart w:id="205" w:name="_Toc437432464"/>
      <w:bookmarkStart w:id="206" w:name="_Toc437432537"/>
      <w:bookmarkStart w:id="207" w:name="_Toc514408414"/>
      <w:r w:rsidRPr="00F352E1">
        <w:t>5</w:t>
      </w:r>
      <w:r w:rsidR="002A28EE" w:rsidRPr="00F352E1">
        <w:t>.</w:t>
      </w:r>
      <w:r w:rsidR="00BD49B5" w:rsidRPr="00F352E1">
        <w:t>2.4</w:t>
      </w:r>
      <w:r w:rsidR="00A803D4" w:rsidRPr="00F352E1">
        <w:t xml:space="preserve"> </w:t>
      </w:r>
      <w:r w:rsidR="002A5249" w:rsidRPr="00F352E1">
        <w:t xml:space="preserve">Burdekin </w:t>
      </w:r>
      <w:r w:rsidR="00DD6C5A">
        <w:t>r</w:t>
      </w:r>
      <w:r w:rsidR="002A5249" w:rsidRPr="00F352E1">
        <w:t>egion</w:t>
      </w:r>
      <w:bookmarkEnd w:id="203"/>
      <w:bookmarkEnd w:id="204"/>
      <w:bookmarkEnd w:id="205"/>
      <w:bookmarkEnd w:id="206"/>
      <w:bookmarkEnd w:id="207"/>
    </w:p>
    <w:p w14:paraId="5B499AB2" w14:textId="4388F44E" w:rsidR="00D534C4" w:rsidRPr="007527BF" w:rsidRDefault="00BA7D32" w:rsidP="00406BD7">
      <w:r w:rsidRPr="007527BF">
        <w:t>T</w:t>
      </w:r>
      <w:r w:rsidR="007C2A1D" w:rsidRPr="007527BF">
        <w:t xml:space="preserve">he coral index </w:t>
      </w:r>
      <w:r w:rsidRPr="007527BF">
        <w:t>in 2017 remains ‘moderate’ for the Burdekin region, maintain</w:t>
      </w:r>
      <w:r w:rsidR="00E460FC" w:rsidRPr="001D047C">
        <w:t>ing</w:t>
      </w:r>
      <w:r w:rsidRPr="007527BF">
        <w:t xml:space="preserve"> </w:t>
      </w:r>
      <w:r w:rsidR="00243FE1" w:rsidRPr="001D047C">
        <w:t>the</w:t>
      </w:r>
      <w:r w:rsidR="00E460FC" w:rsidRPr="000D7B04">
        <w:t xml:space="preserve"> </w:t>
      </w:r>
      <w:r w:rsidR="00905194">
        <w:t xml:space="preserve">consistent </w:t>
      </w:r>
      <w:r w:rsidRPr="007527BF">
        <w:t>improvement</w:t>
      </w:r>
      <w:r w:rsidR="00905194">
        <w:t xml:space="preserve">s since 2013 </w:t>
      </w:r>
      <w:r w:rsidR="00F94921" w:rsidRPr="007527BF">
        <w:t>(</w:t>
      </w:r>
      <w:r w:rsidR="0024084A">
        <w:fldChar w:fldCharType="begin"/>
      </w:r>
      <w:r w:rsidR="0024084A">
        <w:instrText xml:space="preserve"> REF _Ref491336568 \h </w:instrText>
      </w:r>
      <w:r w:rsidR="0024084A">
        <w:fldChar w:fldCharType="separate"/>
      </w:r>
      <w:r w:rsidR="00A75175" w:rsidRPr="00F352E1">
        <w:t xml:space="preserve">Table </w:t>
      </w:r>
      <w:r w:rsidR="00A75175">
        <w:rPr>
          <w:noProof/>
        </w:rPr>
        <w:t>13</w:t>
      </w:r>
      <w:r w:rsidR="0024084A">
        <w:fldChar w:fldCharType="end"/>
      </w:r>
      <w:r w:rsidR="002E5E8F" w:rsidRPr="007527BF">
        <w:t xml:space="preserve">, </w:t>
      </w:r>
      <w:r w:rsidR="002E5E8F" w:rsidRPr="007527BF">
        <w:fldChar w:fldCharType="begin"/>
      </w:r>
      <w:r w:rsidR="002E5E8F" w:rsidRPr="007527BF">
        <w:instrText xml:space="preserve"> REF _Ref491336593 \h </w:instrText>
      </w:r>
      <w:r w:rsidR="002E5E8F" w:rsidRPr="007527BF">
        <w:fldChar w:fldCharType="separate"/>
      </w:r>
      <w:r w:rsidR="00A75175" w:rsidRPr="004252BF">
        <w:t xml:space="preserve">Figure </w:t>
      </w:r>
      <w:r w:rsidR="00A75175">
        <w:rPr>
          <w:noProof/>
        </w:rPr>
        <w:t>19</w:t>
      </w:r>
      <w:r w:rsidR="002E5E8F" w:rsidRPr="007527BF">
        <w:fldChar w:fldCharType="end"/>
      </w:r>
      <w:r w:rsidR="002E5E8F" w:rsidRPr="007527BF">
        <w:t>a</w:t>
      </w:r>
      <w:r w:rsidR="00F94921" w:rsidRPr="007527BF">
        <w:t>)</w:t>
      </w:r>
      <w:r w:rsidR="007C2A1D" w:rsidRPr="007527BF">
        <w:t>.</w:t>
      </w:r>
      <w:r w:rsidR="00772538" w:rsidRPr="007527BF">
        <w:t xml:space="preserve"> </w:t>
      </w:r>
      <w:r w:rsidR="00532117">
        <w:t>T</w:t>
      </w:r>
      <w:r w:rsidR="00F72ED4" w:rsidRPr="007527BF">
        <w:t xml:space="preserve">he </w:t>
      </w:r>
      <w:r w:rsidR="000A0CE6" w:rsidRPr="007527BF">
        <w:t xml:space="preserve">Coral </w:t>
      </w:r>
      <w:r w:rsidR="00F72ED4" w:rsidRPr="007527BF">
        <w:t>Cover metric</w:t>
      </w:r>
      <w:r w:rsidR="00905194">
        <w:t xml:space="preserve"> and, at 5 m depths,</w:t>
      </w:r>
      <w:r w:rsidR="00772538" w:rsidRPr="007527BF">
        <w:t xml:space="preserve"> the Cover Change</w:t>
      </w:r>
      <w:r w:rsidR="008D1EA7">
        <w:t xml:space="preserve"> </w:t>
      </w:r>
      <w:r w:rsidR="003B2AE3">
        <w:t>and Juvenile metric</w:t>
      </w:r>
      <w:r w:rsidR="0048298F">
        <w:t>s</w:t>
      </w:r>
      <w:r w:rsidR="008D1EA7">
        <w:t xml:space="preserve"> </w:t>
      </w:r>
      <w:r w:rsidR="00905194">
        <w:t>in 2017 were higher than observed in 2013</w:t>
      </w:r>
      <w:r w:rsidR="00532117">
        <w:t xml:space="preserve"> </w:t>
      </w:r>
      <w:r w:rsidR="00905194" w:rsidRPr="007527BF">
        <w:t>(</w:t>
      </w:r>
      <w:r w:rsidR="0024084A">
        <w:fldChar w:fldCharType="begin"/>
      </w:r>
      <w:r w:rsidR="0024084A">
        <w:instrText xml:space="preserve"> REF _Ref491336568 \h </w:instrText>
      </w:r>
      <w:r w:rsidR="0024084A">
        <w:fldChar w:fldCharType="separate"/>
      </w:r>
      <w:r w:rsidR="00A75175" w:rsidRPr="00F352E1">
        <w:t xml:space="preserve">Table </w:t>
      </w:r>
      <w:r w:rsidR="00A75175">
        <w:rPr>
          <w:noProof/>
        </w:rPr>
        <w:t>13</w:t>
      </w:r>
      <w:r w:rsidR="0024084A">
        <w:fldChar w:fldCharType="end"/>
      </w:r>
      <w:r w:rsidR="00905194" w:rsidRPr="007527BF">
        <w:t xml:space="preserve">, </w:t>
      </w:r>
      <w:r w:rsidR="00905194" w:rsidRPr="007527BF">
        <w:fldChar w:fldCharType="begin"/>
      </w:r>
      <w:r w:rsidR="00905194" w:rsidRPr="007527BF">
        <w:instrText xml:space="preserve"> REF _Ref491336593 \h </w:instrText>
      </w:r>
      <w:r w:rsidR="00905194" w:rsidRPr="007527BF">
        <w:fldChar w:fldCharType="separate"/>
      </w:r>
      <w:r w:rsidR="00A75175" w:rsidRPr="004252BF">
        <w:t xml:space="preserve">Figure </w:t>
      </w:r>
      <w:r w:rsidR="00A75175">
        <w:rPr>
          <w:noProof/>
        </w:rPr>
        <w:t>19</w:t>
      </w:r>
      <w:r w:rsidR="00905194" w:rsidRPr="007527BF">
        <w:fldChar w:fldCharType="end"/>
      </w:r>
      <w:r w:rsidR="00905194" w:rsidRPr="007527BF">
        <w:t>d,</w:t>
      </w:r>
      <w:r w:rsidR="00905194">
        <w:t xml:space="preserve"> </w:t>
      </w:r>
      <w:r w:rsidR="00905194" w:rsidRPr="007527BF">
        <w:t>e)</w:t>
      </w:r>
      <w:r w:rsidR="00532117">
        <w:t xml:space="preserve">. </w:t>
      </w:r>
      <w:r w:rsidR="003B2AE3">
        <w:t>Whilst inconsistent between reefs in the region, a</w:t>
      </w:r>
      <w:r w:rsidR="00772538" w:rsidRPr="007527BF">
        <w:t xml:space="preserve"> general improvement in the </w:t>
      </w:r>
      <w:r w:rsidR="006E3443" w:rsidRPr="007527BF">
        <w:t xml:space="preserve">Composition </w:t>
      </w:r>
      <w:r w:rsidR="00857168">
        <w:t>metric</w:t>
      </w:r>
      <w:r w:rsidR="0048298F">
        <w:t xml:space="preserve"> </w:t>
      </w:r>
      <w:r w:rsidR="006E3443" w:rsidRPr="007527BF">
        <w:t>(</w:t>
      </w:r>
      <w:r w:rsidR="0024084A">
        <w:fldChar w:fldCharType="begin"/>
      </w:r>
      <w:r w:rsidR="0024084A">
        <w:instrText xml:space="preserve"> REF _Ref491336568 \h </w:instrText>
      </w:r>
      <w:r w:rsidR="0024084A">
        <w:fldChar w:fldCharType="separate"/>
      </w:r>
      <w:r w:rsidR="00A75175" w:rsidRPr="00F352E1">
        <w:t xml:space="preserve">Table </w:t>
      </w:r>
      <w:r w:rsidR="00A75175">
        <w:rPr>
          <w:noProof/>
        </w:rPr>
        <w:t>13</w:t>
      </w:r>
      <w:r w:rsidR="0024084A">
        <w:fldChar w:fldCharType="end"/>
      </w:r>
      <w:r w:rsidR="006E3443" w:rsidRPr="007527BF">
        <w:t>) indicates</w:t>
      </w:r>
      <w:r w:rsidR="004C5D62">
        <w:t xml:space="preserve"> that</w:t>
      </w:r>
      <w:r w:rsidR="006E3443" w:rsidRPr="007527BF">
        <w:t xml:space="preserve"> cover increase includes recovery of taxa sensitive to poor water quality, in particular Acroporidae (</w:t>
      </w:r>
      <w:r w:rsidR="007B0264">
        <w:fldChar w:fldCharType="begin"/>
      </w:r>
      <w:r w:rsidR="007B0264">
        <w:instrText xml:space="preserve"> REF _Ref501109656 \h </w:instrText>
      </w:r>
      <w:r w:rsidR="007B0264">
        <w:fldChar w:fldCharType="separate"/>
      </w:r>
      <w:r w:rsidR="00A75175">
        <w:t xml:space="preserve">Figure A1. </w:t>
      </w:r>
      <w:r w:rsidR="00A75175">
        <w:rPr>
          <w:noProof/>
        </w:rPr>
        <w:t>4</w:t>
      </w:r>
      <w:r w:rsidR="007B0264">
        <w:fldChar w:fldCharType="end"/>
      </w:r>
      <w:r w:rsidR="006E3443" w:rsidRPr="007527BF">
        <w:t xml:space="preserve">). The observed improvement in the coral index </w:t>
      </w:r>
      <w:r w:rsidR="00F72ED4" w:rsidRPr="007527BF">
        <w:t xml:space="preserve">prior to 2017 </w:t>
      </w:r>
      <w:r w:rsidR="006E3443" w:rsidRPr="007527BF">
        <w:t>coincide</w:t>
      </w:r>
      <w:r w:rsidR="000A0CE6" w:rsidRPr="007527BF">
        <w:t>s</w:t>
      </w:r>
      <w:r w:rsidR="006E3443" w:rsidRPr="007527BF">
        <w:t xml:space="preserve"> with a period free from acute disturba</w:t>
      </w:r>
      <w:r w:rsidR="002E5E8F" w:rsidRPr="007527BF">
        <w:t>nces (</w:t>
      </w:r>
      <w:r w:rsidR="002E5E8F" w:rsidRPr="007527BF">
        <w:fldChar w:fldCharType="begin"/>
      </w:r>
      <w:r w:rsidR="002E5E8F" w:rsidRPr="007527BF">
        <w:instrText xml:space="preserve"> REF _Ref491336872 \h </w:instrText>
      </w:r>
      <w:r w:rsidR="002E5E8F" w:rsidRPr="007527BF">
        <w:fldChar w:fldCharType="separate"/>
      </w:r>
      <w:r w:rsidR="00A75175" w:rsidRPr="00F352E1">
        <w:t xml:space="preserve">Figure </w:t>
      </w:r>
      <w:r w:rsidR="00A75175">
        <w:rPr>
          <w:noProof/>
        </w:rPr>
        <w:t>18</w:t>
      </w:r>
      <w:r w:rsidR="002E5E8F" w:rsidRPr="007527BF">
        <w:fldChar w:fldCharType="end"/>
      </w:r>
      <w:r w:rsidR="006E3443" w:rsidRPr="007527BF">
        <w:t xml:space="preserve">c, e) and below median discharge </w:t>
      </w:r>
      <w:r w:rsidR="002E5E8F" w:rsidRPr="007527BF">
        <w:t>from the regions rivers (</w:t>
      </w:r>
      <w:r w:rsidR="002E5E8F" w:rsidRPr="007527BF">
        <w:fldChar w:fldCharType="begin"/>
      </w:r>
      <w:r w:rsidR="002E5E8F" w:rsidRPr="007527BF">
        <w:instrText xml:space="preserve"> REF _Ref491336872 \h </w:instrText>
      </w:r>
      <w:r w:rsidR="002E5E8F" w:rsidRPr="007527BF">
        <w:fldChar w:fldCharType="separate"/>
      </w:r>
      <w:r w:rsidR="00A75175" w:rsidRPr="00F352E1">
        <w:t xml:space="preserve">Figure </w:t>
      </w:r>
      <w:r w:rsidR="00A75175">
        <w:rPr>
          <w:noProof/>
        </w:rPr>
        <w:t>18</w:t>
      </w:r>
      <w:r w:rsidR="002E5E8F" w:rsidRPr="007527BF">
        <w:fldChar w:fldCharType="end"/>
      </w:r>
      <w:r w:rsidR="006E3443" w:rsidRPr="007527BF">
        <w:t xml:space="preserve">d). </w:t>
      </w:r>
      <w:r w:rsidR="00F72ED4" w:rsidRPr="007527BF">
        <w:t>The Macroalgae metric continues to perform poorly in this region</w:t>
      </w:r>
      <w:r w:rsidR="00D534C4" w:rsidRPr="007527BF">
        <w:t xml:space="preserve">. </w:t>
      </w:r>
      <w:r w:rsidR="002E5E8F" w:rsidRPr="007527BF">
        <w:t>T</w:t>
      </w:r>
      <w:r w:rsidR="00D534C4" w:rsidRPr="007527BF">
        <w:t xml:space="preserve">he proportional cover of macroalgae </w:t>
      </w:r>
      <w:r w:rsidR="002E5E8F" w:rsidRPr="007527BF">
        <w:t>has been variable</w:t>
      </w:r>
      <w:r w:rsidR="00B30979">
        <w:t xml:space="preserve"> with</w:t>
      </w:r>
      <w:r w:rsidR="002E5E8F" w:rsidRPr="007527BF">
        <w:t xml:space="preserve"> </w:t>
      </w:r>
      <w:r w:rsidR="00B30979">
        <w:t xml:space="preserve">a </w:t>
      </w:r>
      <w:r w:rsidR="002E5E8F" w:rsidRPr="007527BF">
        <w:t xml:space="preserve">low point recorded in </w:t>
      </w:r>
      <w:r w:rsidR="00D534C4" w:rsidRPr="007527BF">
        <w:t xml:space="preserve">2009, </w:t>
      </w:r>
      <w:r w:rsidR="002E5E8F" w:rsidRPr="007527BF">
        <w:t xml:space="preserve">the reason for this decline </w:t>
      </w:r>
      <w:r w:rsidR="00D534C4" w:rsidRPr="007527BF">
        <w:t>remain</w:t>
      </w:r>
      <w:r w:rsidR="002E5E8F" w:rsidRPr="007527BF">
        <w:t>s</w:t>
      </w:r>
      <w:r w:rsidR="00D534C4" w:rsidRPr="007527BF">
        <w:t xml:space="preserve"> unexplained, and </w:t>
      </w:r>
      <w:r w:rsidR="002E5E8F" w:rsidRPr="007527BF">
        <w:t xml:space="preserve">then again in 2011 following </w:t>
      </w:r>
      <w:r w:rsidR="00D534C4" w:rsidRPr="007527BF">
        <w:t>stripping of cover th</w:t>
      </w:r>
      <w:r w:rsidR="002E5E8F" w:rsidRPr="007527BF">
        <w:t>at occurred during Cyclone Yasi</w:t>
      </w:r>
      <w:r w:rsidR="000A0CE6" w:rsidRPr="007527BF">
        <w:t xml:space="preserve"> </w:t>
      </w:r>
      <w:r w:rsidR="00D534C4" w:rsidRPr="007527BF">
        <w:t>(</w:t>
      </w:r>
      <w:r w:rsidR="002E5E8F" w:rsidRPr="007527BF">
        <w:fldChar w:fldCharType="begin"/>
      </w:r>
      <w:r w:rsidR="002E5E8F" w:rsidRPr="007527BF">
        <w:instrText xml:space="preserve"> REF _Ref491336593 \h </w:instrText>
      </w:r>
      <w:r w:rsidR="002E5E8F" w:rsidRPr="007527BF">
        <w:fldChar w:fldCharType="separate"/>
      </w:r>
      <w:r w:rsidR="00A75175" w:rsidRPr="004252BF">
        <w:t xml:space="preserve">Figure </w:t>
      </w:r>
      <w:r w:rsidR="00A75175">
        <w:rPr>
          <w:noProof/>
        </w:rPr>
        <w:t>19</w:t>
      </w:r>
      <w:r w:rsidR="002E5E8F" w:rsidRPr="007527BF">
        <w:fldChar w:fldCharType="end"/>
      </w:r>
      <w:r w:rsidR="002E5E8F" w:rsidRPr="007527BF">
        <w:t>c</w:t>
      </w:r>
      <w:r w:rsidR="00D534C4" w:rsidRPr="007527BF">
        <w:t xml:space="preserve">). By 2012 macroalgae had re-established and, </w:t>
      </w:r>
      <w:r w:rsidR="00B30979">
        <w:t>al</w:t>
      </w:r>
      <w:r w:rsidR="00D534C4" w:rsidRPr="007527BF">
        <w:t xml:space="preserve">though variable among reefs, the proportional cover of macroalgae </w:t>
      </w:r>
      <w:r w:rsidR="002E5E8F" w:rsidRPr="007527BF">
        <w:t xml:space="preserve">regionally </w:t>
      </w:r>
      <w:r w:rsidR="00D534C4" w:rsidRPr="007527BF">
        <w:t xml:space="preserve">has remained consistent through to </w:t>
      </w:r>
      <w:r w:rsidR="000D7B04" w:rsidRPr="007527BF">
        <w:t>2017</w:t>
      </w:r>
      <w:r w:rsidR="008D1EA7">
        <w:t xml:space="preserve"> </w:t>
      </w:r>
      <w:r w:rsidR="00D534C4" w:rsidRPr="007527BF">
        <w:t>(</w:t>
      </w:r>
      <w:r w:rsidR="002E5E8F" w:rsidRPr="007527BF">
        <w:fldChar w:fldCharType="begin"/>
      </w:r>
      <w:r w:rsidR="002E5E8F" w:rsidRPr="007527BF">
        <w:instrText xml:space="preserve"> REF _Ref491336593 \h </w:instrText>
      </w:r>
      <w:r w:rsidR="002E5E8F" w:rsidRPr="007527BF">
        <w:fldChar w:fldCharType="separate"/>
      </w:r>
      <w:r w:rsidR="00A75175" w:rsidRPr="004252BF">
        <w:t xml:space="preserve">Figure </w:t>
      </w:r>
      <w:r w:rsidR="00A75175">
        <w:rPr>
          <w:noProof/>
        </w:rPr>
        <w:t>19</w:t>
      </w:r>
      <w:r w:rsidR="002E5E8F" w:rsidRPr="007527BF">
        <w:fldChar w:fldCharType="end"/>
      </w:r>
      <w:r w:rsidR="00F64714" w:rsidRPr="007527BF">
        <w:t>c</w:t>
      </w:r>
      <w:r w:rsidR="00D534C4" w:rsidRPr="007527BF">
        <w:t xml:space="preserve">). </w:t>
      </w:r>
    </w:p>
    <w:p w14:paraId="31C09234" w14:textId="1FBA1840" w:rsidR="0000691A" w:rsidRPr="00F352E1" w:rsidRDefault="007A50AB" w:rsidP="00606A50">
      <w:pPr>
        <w:pStyle w:val="Caption"/>
      </w:pPr>
      <w:bookmarkStart w:id="208" w:name="_Ref491336568"/>
      <w:bookmarkStart w:id="209" w:name="_Toc514407861"/>
      <w:r w:rsidRPr="00F352E1">
        <w:t xml:space="preserve">Table </w:t>
      </w:r>
      <w:r w:rsidR="00626D6B">
        <w:fldChar w:fldCharType="begin"/>
      </w:r>
      <w:r w:rsidR="00626D6B">
        <w:instrText xml:space="preserve"> SEQ Table \* ARABIC </w:instrText>
      </w:r>
      <w:r w:rsidR="00626D6B">
        <w:fldChar w:fldCharType="separate"/>
      </w:r>
      <w:r w:rsidR="00A75175">
        <w:rPr>
          <w:noProof/>
        </w:rPr>
        <w:t>13</w:t>
      </w:r>
      <w:r w:rsidR="00626D6B">
        <w:rPr>
          <w:noProof/>
        </w:rPr>
        <w:fldChar w:fldCharType="end"/>
      </w:r>
      <w:bookmarkEnd w:id="208"/>
      <w:r w:rsidRPr="00F352E1">
        <w:t xml:space="preserve"> </w:t>
      </w:r>
      <w:r w:rsidR="00BB098E">
        <w:t>I</w:t>
      </w:r>
      <w:r w:rsidR="00BB098E" w:rsidRPr="00F352E1">
        <w:t>ndex and metric score</w:t>
      </w:r>
      <w:r w:rsidR="00BB098E">
        <w:t xml:space="preserve"> comparisons</w:t>
      </w:r>
      <w:r w:rsidR="00BB098E" w:rsidRPr="00F352E1">
        <w:t xml:space="preserve"> in the</w:t>
      </w:r>
      <w:r w:rsidRPr="00F352E1">
        <w:t xml:space="preserve"> Burdekin </w:t>
      </w:r>
      <w:r w:rsidR="00DD6C5A">
        <w:t>r</w:t>
      </w:r>
      <w:r w:rsidRPr="00F352E1">
        <w:t>egion.</w:t>
      </w:r>
      <w:r w:rsidR="0000691A" w:rsidRPr="00F352E1">
        <w:t xml:space="preserve"> Data compare the changes in scores between local maxima and minima in the index time-series. For the index, and each metric,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209"/>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atistical comparison between index and metric scores between local maxima and minima in the time-series of scores in the region"/>
        <w:tblDescription w:val="A table listing the maxima in minima index scores and significance of changes in the index and each metric. The salient results are discussed in the main text. &#10;"/>
      </w:tblPr>
      <w:tblGrid>
        <w:gridCol w:w="1074"/>
        <w:gridCol w:w="350"/>
        <w:gridCol w:w="625"/>
        <w:gridCol w:w="625"/>
        <w:gridCol w:w="625"/>
        <w:gridCol w:w="625"/>
        <w:gridCol w:w="625"/>
        <w:gridCol w:w="626"/>
        <w:gridCol w:w="625"/>
        <w:gridCol w:w="625"/>
        <w:gridCol w:w="625"/>
        <w:gridCol w:w="625"/>
        <w:gridCol w:w="625"/>
        <w:gridCol w:w="626"/>
      </w:tblGrid>
      <w:tr w:rsidR="00606628" w:rsidRPr="00852372" w14:paraId="12442390" w14:textId="77777777" w:rsidTr="00112B73">
        <w:trPr>
          <w:trHeight w:val="300"/>
        </w:trPr>
        <w:tc>
          <w:tcPr>
            <w:tcW w:w="1074" w:type="dxa"/>
            <w:vMerge w:val="restart"/>
            <w:shd w:val="clear" w:color="auto" w:fill="auto"/>
            <w:noWrap/>
            <w:tcMar>
              <w:left w:w="57" w:type="dxa"/>
              <w:right w:w="57" w:type="dxa"/>
            </w:tcMar>
            <w:vAlign w:val="bottom"/>
          </w:tcPr>
          <w:p w14:paraId="43B5B22D" w14:textId="77777777" w:rsidR="00606628" w:rsidRPr="00852372" w:rsidRDefault="00606628" w:rsidP="00112B73">
            <w:pPr>
              <w:spacing w:after="0"/>
              <w:rPr>
                <w:rFonts w:ascii="Arial Narrow" w:hAnsi="Arial Narrow"/>
                <w:sz w:val="20"/>
                <w:lang w:eastAsia="en-AU"/>
              </w:rPr>
            </w:pPr>
            <w:r w:rsidRPr="00852372">
              <w:rPr>
                <w:rFonts w:ascii="Arial Narrow" w:hAnsi="Arial Narrow"/>
                <w:color w:val="000000"/>
                <w:sz w:val="20"/>
                <w:lang w:eastAsia="en-AU"/>
              </w:rPr>
              <w:t>Period</w:t>
            </w:r>
          </w:p>
        </w:tc>
        <w:tc>
          <w:tcPr>
            <w:tcW w:w="350" w:type="dxa"/>
            <w:vMerge w:val="restart"/>
            <w:shd w:val="clear" w:color="auto" w:fill="auto"/>
            <w:noWrap/>
            <w:tcMar>
              <w:left w:w="57" w:type="dxa"/>
              <w:right w:w="57" w:type="dxa"/>
            </w:tcMar>
            <w:textDirection w:val="btLr"/>
            <w:vAlign w:val="bottom"/>
          </w:tcPr>
          <w:p w14:paraId="2C8147A8" w14:textId="77777777" w:rsidR="00606628" w:rsidRPr="00852372" w:rsidRDefault="00606628" w:rsidP="00112B73">
            <w:pPr>
              <w:spacing w:after="0"/>
              <w:ind w:left="113" w:right="113"/>
              <w:jc w:val="center"/>
              <w:rPr>
                <w:rFonts w:ascii="Arial Narrow" w:hAnsi="Arial Narrow"/>
                <w:sz w:val="20"/>
                <w:lang w:eastAsia="en-AU"/>
              </w:rPr>
            </w:pPr>
            <w:r w:rsidRPr="00852372">
              <w:rPr>
                <w:rFonts w:ascii="Arial Narrow" w:hAnsi="Arial Narrow"/>
                <w:color w:val="000000"/>
                <w:sz w:val="20"/>
                <w:lang w:eastAsia="en-AU"/>
              </w:rPr>
              <w:t>Depth</w:t>
            </w:r>
          </w:p>
        </w:tc>
        <w:tc>
          <w:tcPr>
            <w:tcW w:w="1250" w:type="dxa"/>
            <w:gridSpan w:val="2"/>
            <w:shd w:val="clear" w:color="auto" w:fill="auto"/>
            <w:noWrap/>
            <w:tcMar>
              <w:left w:w="57" w:type="dxa"/>
              <w:right w:w="57" w:type="dxa"/>
            </w:tcMar>
            <w:vAlign w:val="bottom"/>
          </w:tcPr>
          <w:p w14:paraId="76A6D3AA"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Index</w:t>
            </w:r>
          </w:p>
        </w:tc>
        <w:tc>
          <w:tcPr>
            <w:tcW w:w="1250" w:type="dxa"/>
            <w:gridSpan w:val="2"/>
            <w:shd w:val="clear" w:color="auto" w:fill="auto"/>
            <w:noWrap/>
            <w:tcMar>
              <w:left w:w="57" w:type="dxa"/>
              <w:right w:w="57" w:type="dxa"/>
            </w:tcMar>
            <w:vAlign w:val="bottom"/>
          </w:tcPr>
          <w:p w14:paraId="79132694"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Coral Cover</w:t>
            </w:r>
          </w:p>
        </w:tc>
        <w:tc>
          <w:tcPr>
            <w:tcW w:w="1251" w:type="dxa"/>
            <w:gridSpan w:val="2"/>
            <w:shd w:val="clear" w:color="auto" w:fill="auto"/>
            <w:noWrap/>
            <w:tcMar>
              <w:left w:w="57" w:type="dxa"/>
              <w:right w:w="57" w:type="dxa"/>
            </w:tcMar>
            <w:vAlign w:val="bottom"/>
          </w:tcPr>
          <w:p w14:paraId="6EBBE57D"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Macroalgae</w:t>
            </w:r>
          </w:p>
        </w:tc>
        <w:tc>
          <w:tcPr>
            <w:tcW w:w="1250" w:type="dxa"/>
            <w:gridSpan w:val="2"/>
            <w:shd w:val="clear" w:color="auto" w:fill="auto"/>
            <w:noWrap/>
            <w:tcMar>
              <w:left w:w="57" w:type="dxa"/>
              <w:right w:w="57" w:type="dxa"/>
            </w:tcMar>
            <w:vAlign w:val="bottom"/>
          </w:tcPr>
          <w:p w14:paraId="395FD1A4"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Juvenile</w:t>
            </w:r>
          </w:p>
        </w:tc>
        <w:tc>
          <w:tcPr>
            <w:tcW w:w="1250" w:type="dxa"/>
            <w:gridSpan w:val="2"/>
            <w:shd w:val="clear" w:color="auto" w:fill="auto"/>
            <w:noWrap/>
            <w:tcMar>
              <w:left w:w="57" w:type="dxa"/>
              <w:right w:w="57" w:type="dxa"/>
            </w:tcMar>
            <w:vAlign w:val="bottom"/>
          </w:tcPr>
          <w:p w14:paraId="2BFA4357"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Cover Change</w:t>
            </w:r>
          </w:p>
        </w:tc>
        <w:tc>
          <w:tcPr>
            <w:tcW w:w="1251" w:type="dxa"/>
            <w:gridSpan w:val="2"/>
            <w:shd w:val="clear" w:color="auto" w:fill="auto"/>
            <w:noWrap/>
            <w:tcMar>
              <w:left w:w="57" w:type="dxa"/>
              <w:right w:w="57" w:type="dxa"/>
            </w:tcMar>
            <w:vAlign w:val="bottom"/>
          </w:tcPr>
          <w:p w14:paraId="3AF63460"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Composition</w:t>
            </w:r>
          </w:p>
        </w:tc>
      </w:tr>
      <w:tr w:rsidR="00606628" w:rsidRPr="00852372" w14:paraId="4BCAD23A" w14:textId="77777777" w:rsidTr="00112B73">
        <w:trPr>
          <w:trHeight w:val="520"/>
        </w:trPr>
        <w:tc>
          <w:tcPr>
            <w:tcW w:w="1074" w:type="dxa"/>
            <w:vMerge/>
            <w:shd w:val="clear" w:color="auto" w:fill="auto"/>
            <w:noWrap/>
            <w:tcMar>
              <w:left w:w="57" w:type="dxa"/>
              <w:right w:w="57" w:type="dxa"/>
            </w:tcMar>
            <w:vAlign w:val="bottom"/>
          </w:tcPr>
          <w:p w14:paraId="5B15193D" w14:textId="77777777" w:rsidR="00606628" w:rsidRPr="00852372" w:rsidRDefault="00606628" w:rsidP="00112B73">
            <w:pPr>
              <w:spacing w:after="0"/>
              <w:rPr>
                <w:rFonts w:ascii="Arial Narrow" w:hAnsi="Arial Narrow"/>
                <w:color w:val="000000"/>
                <w:sz w:val="20"/>
                <w:lang w:eastAsia="en-AU"/>
              </w:rPr>
            </w:pPr>
          </w:p>
        </w:tc>
        <w:tc>
          <w:tcPr>
            <w:tcW w:w="350" w:type="dxa"/>
            <w:vMerge/>
            <w:shd w:val="clear" w:color="auto" w:fill="auto"/>
            <w:noWrap/>
            <w:tcMar>
              <w:left w:w="57" w:type="dxa"/>
              <w:right w:w="57" w:type="dxa"/>
            </w:tcMar>
            <w:vAlign w:val="bottom"/>
          </w:tcPr>
          <w:p w14:paraId="53760F67" w14:textId="77777777" w:rsidR="00606628" w:rsidRPr="00852372" w:rsidRDefault="00606628" w:rsidP="00112B73">
            <w:pPr>
              <w:spacing w:after="0"/>
              <w:jc w:val="center"/>
              <w:rPr>
                <w:rFonts w:ascii="Arial Narrow" w:hAnsi="Arial Narrow"/>
                <w:color w:val="000000"/>
                <w:sz w:val="20"/>
                <w:lang w:eastAsia="en-AU"/>
              </w:rPr>
            </w:pPr>
          </w:p>
        </w:tc>
        <w:tc>
          <w:tcPr>
            <w:tcW w:w="625" w:type="dxa"/>
            <w:shd w:val="clear" w:color="auto" w:fill="auto"/>
            <w:noWrap/>
            <w:tcMar>
              <w:left w:w="57" w:type="dxa"/>
              <w:right w:w="57" w:type="dxa"/>
            </w:tcMar>
            <w:vAlign w:val="bottom"/>
          </w:tcPr>
          <w:p w14:paraId="7339BEE0"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5" w:type="dxa"/>
            <w:shd w:val="clear" w:color="auto" w:fill="auto"/>
            <w:noWrap/>
            <w:tcMar>
              <w:left w:w="57" w:type="dxa"/>
              <w:right w:w="57" w:type="dxa"/>
            </w:tcMar>
            <w:vAlign w:val="bottom"/>
          </w:tcPr>
          <w:p w14:paraId="095C9D20"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410490F1"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5" w:type="dxa"/>
            <w:shd w:val="clear" w:color="auto" w:fill="auto"/>
            <w:noWrap/>
            <w:tcMar>
              <w:left w:w="57" w:type="dxa"/>
              <w:right w:w="57" w:type="dxa"/>
            </w:tcMar>
            <w:vAlign w:val="bottom"/>
          </w:tcPr>
          <w:p w14:paraId="67394FDB"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1CB96A63"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6" w:type="dxa"/>
            <w:shd w:val="clear" w:color="auto" w:fill="auto"/>
            <w:noWrap/>
            <w:tcMar>
              <w:left w:w="57" w:type="dxa"/>
              <w:right w:w="57" w:type="dxa"/>
            </w:tcMar>
            <w:vAlign w:val="bottom"/>
          </w:tcPr>
          <w:p w14:paraId="10332C0A"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162D2778"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5" w:type="dxa"/>
            <w:shd w:val="clear" w:color="auto" w:fill="auto"/>
            <w:noWrap/>
            <w:tcMar>
              <w:left w:w="57" w:type="dxa"/>
              <w:right w:w="57" w:type="dxa"/>
            </w:tcMar>
            <w:vAlign w:val="bottom"/>
          </w:tcPr>
          <w:p w14:paraId="5D4FE409"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5CEC0502"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5" w:type="dxa"/>
            <w:shd w:val="clear" w:color="auto" w:fill="auto"/>
            <w:noWrap/>
            <w:tcMar>
              <w:left w:w="57" w:type="dxa"/>
              <w:right w:w="57" w:type="dxa"/>
            </w:tcMar>
            <w:vAlign w:val="bottom"/>
          </w:tcPr>
          <w:p w14:paraId="65891276"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569638EB"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6" w:type="dxa"/>
            <w:shd w:val="clear" w:color="auto" w:fill="auto"/>
            <w:noWrap/>
            <w:tcMar>
              <w:left w:w="57" w:type="dxa"/>
              <w:right w:w="57" w:type="dxa"/>
            </w:tcMar>
            <w:vAlign w:val="bottom"/>
          </w:tcPr>
          <w:p w14:paraId="5C127978"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r>
      <w:tr w:rsidR="00606628" w:rsidRPr="00852372" w14:paraId="3CA340CC" w14:textId="77777777" w:rsidTr="00857168">
        <w:trPr>
          <w:cantSplit/>
          <w:trHeight w:hRule="exact" w:val="301"/>
        </w:trPr>
        <w:tc>
          <w:tcPr>
            <w:tcW w:w="1074" w:type="dxa"/>
            <w:vMerge w:val="restart"/>
            <w:shd w:val="clear" w:color="auto" w:fill="auto"/>
            <w:noWrap/>
            <w:tcMar>
              <w:left w:w="57" w:type="dxa"/>
              <w:right w:w="57" w:type="dxa"/>
            </w:tcMar>
            <w:vAlign w:val="center"/>
          </w:tcPr>
          <w:p w14:paraId="3EEFC88C" w14:textId="77777777" w:rsidR="00606628" w:rsidRPr="00852372" w:rsidRDefault="00606628" w:rsidP="00112B73">
            <w:pPr>
              <w:spacing w:after="0"/>
              <w:rPr>
                <w:rFonts w:ascii="Arial Narrow" w:hAnsi="Arial Narrow"/>
                <w:bCs/>
                <w:color w:val="000000"/>
                <w:sz w:val="20"/>
              </w:rPr>
            </w:pPr>
            <w:r w:rsidRPr="00852372">
              <w:rPr>
                <w:rFonts w:ascii="Arial Narrow" w:hAnsi="Arial Narrow"/>
                <w:bCs/>
                <w:color w:val="000000"/>
                <w:sz w:val="20"/>
              </w:rPr>
              <w:t>20</w:t>
            </w:r>
            <w:r>
              <w:rPr>
                <w:rFonts w:ascii="Arial Narrow" w:hAnsi="Arial Narrow"/>
                <w:bCs/>
                <w:color w:val="000000"/>
                <w:sz w:val="20"/>
              </w:rPr>
              <w:t>10</w:t>
            </w:r>
            <w:r w:rsidRPr="00852372">
              <w:rPr>
                <w:rFonts w:ascii="Arial Narrow" w:hAnsi="Arial Narrow"/>
                <w:bCs/>
                <w:color w:val="000000"/>
                <w:sz w:val="20"/>
              </w:rPr>
              <w:t xml:space="preserve"> to 201</w:t>
            </w:r>
            <w:r>
              <w:rPr>
                <w:rFonts w:ascii="Arial Narrow" w:hAnsi="Arial Narrow"/>
                <w:bCs/>
                <w:color w:val="000000"/>
                <w:sz w:val="20"/>
              </w:rPr>
              <w:t>3</w:t>
            </w:r>
          </w:p>
        </w:tc>
        <w:tc>
          <w:tcPr>
            <w:tcW w:w="350" w:type="dxa"/>
            <w:shd w:val="clear" w:color="auto" w:fill="auto"/>
            <w:noWrap/>
            <w:tcMar>
              <w:left w:w="57" w:type="dxa"/>
              <w:right w:w="57" w:type="dxa"/>
            </w:tcMar>
            <w:vAlign w:val="center"/>
          </w:tcPr>
          <w:p w14:paraId="0FED75A9" w14:textId="77777777" w:rsidR="00606628" w:rsidRPr="00852372" w:rsidRDefault="00606628" w:rsidP="00112B73">
            <w:pPr>
              <w:spacing w:after="0"/>
              <w:jc w:val="center"/>
              <w:rPr>
                <w:rFonts w:ascii="Arial Narrow" w:hAnsi="Arial Narrow"/>
                <w:bCs/>
                <w:color w:val="000000"/>
                <w:sz w:val="20"/>
              </w:rPr>
            </w:pPr>
            <w:r w:rsidRPr="00852372">
              <w:rPr>
                <w:rFonts w:ascii="Arial Narrow" w:hAnsi="Arial Narrow"/>
                <w:bCs/>
                <w:color w:val="000000"/>
                <w:sz w:val="20"/>
              </w:rPr>
              <w:t>2</w:t>
            </w:r>
          </w:p>
        </w:tc>
        <w:tc>
          <w:tcPr>
            <w:tcW w:w="625" w:type="dxa"/>
            <w:shd w:val="clear" w:color="auto" w:fill="auto"/>
            <w:noWrap/>
            <w:tcMar>
              <w:left w:w="57" w:type="dxa"/>
              <w:right w:w="57" w:type="dxa"/>
            </w:tcMar>
            <w:vAlign w:val="center"/>
          </w:tcPr>
          <w:p w14:paraId="23C77CDC" w14:textId="77777777" w:rsidR="00606628" w:rsidRPr="0076501B" w:rsidRDefault="00606628" w:rsidP="00112B73">
            <w:pPr>
              <w:spacing w:after="0"/>
              <w:jc w:val="center"/>
              <w:rPr>
                <w:rFonts w:ascii="Arial Narrow" w:hAnsi="Arial Narrow"/>
                <w:bCs/>
                <w:color w:val="000000"/>
                <w:sz w:val="20"/>
              </w:rPr>
            </w:pPr>
            <w:r w:rsidRPr="0076501B">
              <w:rPr>
                <w:rFonts w:ascii="Arial Narrow" w:hAnsi="Arial Narrow"/>
                <w:bCs/>
                <w:color w:val="000000"/>
                <w:sz w:val="20"/>
              </w:rPr>
              <w:t>-0.0</w:t>
            </w:r>
            <w:r>
              <w:rPr>
                <w:rFonts w:ascii="Arial Narrow" w:hAnsi="Arial Narrow"/>
                <w:bCs/>
                <w:color w:val="000000"/>
                <w:sz w:val="20"/>
              </w:rPr>
              <w:t>8</w:t>
            </w:r>
          </w:p>
        </w:tc>
        <w:tc>
          <w:tcPr>
            <w:tcW w:w="625" w:type="dxa"/>
            <w:shd w:val="clear" w:color="auto" w:fill="auto"/>
            <w:noWrap/>
            <w:tcMar>
              <w:left w:w="57" w:type="dxa"/>
              <w:right w:w="57" w:type="dxa"/>
            </w:tcMar>
            <w:vAlign w:val="center"/>
          </w:tcPr>
          <w:p w14:paraId="370DBAB2" w14:textId="77777777" w:rsidR="00606628" w:rsidRPr="0076501B" w:rsidRDefault="00606628" w:rsidP="00112B73">
            <w:pPr>
              <w:spacing w:after="0"/>
              <w:jc w:val="center"/>
              <w:rPr>
                <w:rFonts w:ascii="Arial Narrow" w:hAnsi="Arial Narrow"/>
                <w:bCs/>
                <w:color w:val="000000"/>
                <w:sz w:val="20"/>
              </w:rPr>
            </w:pPr>
            <w:r w:rsidRPr="0076501B">
              <w:rPr>
                <w:rFonts w:ascii="Arial Narrow" w:hAnsi="Arial Narrow"/>
                <w:bCs/>
                <w:color w:val="000000"/>
                <w:sz w:val="20"/>
              </w:rPr>
              <w:t>0.6</w:t>
            </w:r>
            <w:r>
              <w:rPr>
                <w:rFonts w:ascii="Arial Narrow" w:hAnsi="Arial Narrow"/>
                <w:bCs/>
                <w:color w:val="000000"/>
                <w:sz w:val="20"/>
              </w:rPr>
              <w:t>8</w:t>
            </w:r>
          </w:p>
        </w:tc>
        <w:tc>
          <w:tcPr>
            <w:tcW w:w="625" w:type="dxa"/>
            <w:shd w:val="clear" w:color="auto" w:fill="F2DBDB" w:themeFill="accent2" w:themeFillTint="33"/>
            <w:noWrap/>
            <w:tcMar>
              <w:left w:w="57" w:type="dxa"/>
              <w:right w:w="57" w:type="dxa"/>
            </w:tcMar>
            <w:vAlign w:val="center"/>
          </w:tcPr>
          <w:p w14:paraId="24C0100A" w14:textId="77777777" w:rsidR="00606628" w:rsidRPr="0076501B" w:rsidRDefault="00606628" w:rsidP="00112B73">
            <w:pPr>
              <w:spacing w:after="0"/>
              <w:jc w:val="center"/>
              <w:rPr>
                <w:rFonts w:ascii="Arial Narrow" w:hAnsi="Arial Narrow"/>
                <w:bCs/>
                <w:color w:val="000000"/>
                <w:sz w:val="20"/>
              </w:rPr>
            </w:pPr>
            <w:r w:rsidRPr="0076501B">
              <w:rPr>
                <w:rFonts w:ascii="Arial Narrow" w:hAnsi="Arial Narrow"/>
                <w:bCs/>
                <w:color w:val="000000"/>
                <w:sz w:val="20"/>
              </w:rPr>
              <w:t>-0.16</w:t>
            </w:r>
          </w:p>
        </w:tc>
        <w:tc>
          <w:tcPr>
            <w:tcW w:w="625" w:type="dxa"/>
            <w:shd w:val="clear" w:color="auto" w:fill="F2DBDB" w:themeFill="accent2" w:themeFillTint="33"/>
            <w:noWrap/>
            <w:tcMar>
              <w:left w:w="57" w:type="dxa"/>
              <w:right w:w="57" w:type="dxa"/>
            </w:tcMar>
            <w:vAlign w:val="center"/>
          </w:tcPr>
          <w:p w14:paraId="77340D25" w14:textId="77777777" w:rsidR="00606628" w:rsidRPr="0076501B" w:rsidRDefault="00606628" w:rsidP="00112B73">
            <w:pPr>
              <w:spacing w:after="0"/>
              <w:jc w:val="center"/>
              <w:rPr>
                <w:rFonts w:ascii="Arial Narrow" w:hAnsi="Arial Narrow"/>
                <w:bCs/>
                <w:color w:val="000000"/>
                <w:sz w:val="20"/>
              </w:rPr>
            </w:pPr>
            <w:r w:rsidRPr="0076501B">
              <w:rPr>
                <w:rFonts w:ascii="Arial Narrow" w:hAnsi="Arial Narrow"/>
                <w:bCs/>
                <w:color w:val="000000"/>
                <w:sz w:val="20"/>
              </w:rPr>
              <w:t>0.74</w:t>
            </w:r>
          </w:p>
        </w:tc>
        <w:tc>
          <w:tcPr>
            <w:tcW w:w="625" w:type="dxa"/>
            <w:shd w:val="clear" w:color="auto" w:fill="auto"/>
            <w:noWrap/>
            <w:tcMar>
              <w:left w:w="57" w:type="dxa"/>
              <w:right w:w="57" w:type="dxa"/>
            </w:tcMar>
            <w:vAlign w:val="center"/>
          </w:tcPr>
          <w:p w14:paraId="22E94984" w14:textId="77777777" w:rsidR="00606628" w:rsidRPr="0076501B" w:rsidRDefault="00606628" w:rsidP="00112B73">
            <w:pPr>
              <w:spacing w:after="0"/>
              <w:jc w:val="center"/>
              <w:rPr>
                <w:rFonts w:ascii="Arial Narrow" w:hAnsi="Arial Narrow"/>
                <w:bCs/>
                <w:color w:val="000000"/>
                <w:sz w:val="20"/>
              </w:rPr>
            </w:pPr>
            <w:r>
              <w:rPr>
                <w:rFonts w:ascii="Arial Narrow" w:hAnsi="Arial Narrow"/>
                <w:bCs/>
                <w:color w:val="000000"/>
                <w:sz w:val="20"/>
              </w:rPr>
              <w:t>-0.17</w:t>
            </w:r>
          </w:p>
        </w:tc>
        <w:tc>
          <w:tcPr>
            <w:tcW w:w="626" w:type="dxa"/>
            <w:shd w:val="clear" w:color="auto" w:fill="auto"/>
            <w:noWrap/>
            <w:tcMar>
              <w:left w:w="57" w:type="dxa"/>
              <w:right w:w="57" w:type="dxa"/>
            </w:tcMar>
            <w:vAlign w:val="center"/>
          </w:tcPr>
          <w:p w14:paraId="6AB61734" w14:textId="77777777" w:rsidR="00606628" w:rsidRPr="0076501B" w:rsidRDefault="00606628" w:rsidP="00112B73">
            <w:pPr>
              <w:spacing w:after="0"/>
              <w:jc w:val="center"/>
              <w:rPr>
                <w:rFonts w:ascii="Arial Narrow" w:hAnsi="Arial Narrow"/>
                <w:bCs/>
                <w:color w:val="000000"/>
                <w:sz w:val="20"/>
              </w:rPr>
            </w:pPr>
            <w:r>
              <w:rPr>
                <w:rFonts w:ascii="Arial Narrow" w:hAnsi="Arial Narrow"/>
                <w:bCs/>
                <w:color w:val="000000"/>
                <w:sz w:val="20"/>
              </w:rPr>
              <w:t>0.69</w:t>
            </w:r>
          </w:p>
        </w:tc>
        <w:tc>
          <w:tcPr>
            <w:tcW w:w="625" w:type="dxa"/>
            <w:shd w:val="clear" w:color="auto" w:fill="auto"/>
            <w:noWrap/>
            <w:tcMar>
              <w:left w:w="57" w:type="dxa"/>
              <w:right w:w="57" w:type="dxa"/>
            </w:tcMar>
            <w:vAlign w:val="center"/>
          </w:tcPr>
          <w:p w14:paraId="66A52651" w14:textId="77777777" w:rsidR="00606628" w:rsidRPr="0076501B" w:rsidRDefault="00606628" w:rsidP="00112B73">
            <w:pPr>
              <w:spacing w:after="0"/>
              <w:jc w:val="center"/>
              <w:rPr>
                <w:rFonts w:ascii="Arial Narrow" w:hAnsi="Arial Narrow"/>
                <w:bCs/>
                <w:color w:val="000000"/>
                <w:sz w:val="20"/>
              </w:rPr>
            </w:pPr>
            <w:r>
              <w:rPr>
                <w:rFonts w:ascii="Arial Narrow" w:hAnsi="Arial Narrow"/>
                <w:bCs/>
                <w:color w:val="000000"/>
                <w:sz w:val="20"/>
              </w:rPr>
              <w:t>-0.04</w:t>
            </w:r>
          </w:p>
        </w:tc>
        <w:tc>
          <w:tcPr>
            <w:tcW w:w="625" w:type="dxa"/>
            <w:shd w:val="clear" w:color="auto" w:fill="auto"/>
            <w:noWrap/>
            <w:tcMar>
              <w:left w:w="57" w:type="dxa"/>
              <w:right w:w="57" w:type="dxa"/>
            </w:tcMar>
            <w:vAlign w:val="center"/>
          </w:tcPr>
          <w:p w14:paraId="68BBD800" w14:textId="77777777" w:rsidR="00606628" w:rsidRPr="0076501B" w:rsidRDefault="00606628" w:rsidP="00112B73">
            <w:pPr>
              <w:spacing w:after="0"/>
              <w:jc w:val="center"/>
              <w:rPr>
                <w:rFonts w:ascii="Arial Narrow" w:hAnsi="Arial Narrow"/>
                <w:bCs/>
                <w:color w:val="000000"/>
                <w:sz w:val="20"/>
              </w:rPr>
            </w:pPr>
            <w:r>
              <w:rPr>
                <w:rFonts w:ascii="Arial Narrow" w:hAnsi="Arial Narrow"/>
                <w:bCs/>
                <w:color w:val="000000"/>
                <w:sz w:val="20"/>
              </w:rPr>
              <w:t>0.55</w:t>
            </w:r>
          </w:p>
        </w:tc>
        <w:tc>
          <w:tcPr>
            <w:tcW w:w="625" w:type="dxa"/>
            <w:shd w:val="clear" w:color="auto" w:fill="auto"/>
            <w:noWrap/>
            <w:tcMar>
              <w:left w:w="57" w:type="dxa"/>
              <w:right w:w="57" w:type="dxa"/>
            </w:tcMar>
            <w:vAlign w:val="center"/>
          </w:tcPr>
          <w:p w14:paraId="095A6B65" w14:textId="77777777" w:rsidR="00606628" w:rsidRPr="0076501B" w:rsidRDefault="00606628" w:rsidP="00112B73">
            <w:pPr>
              <w:spacing w:after="0"/>
              <w:jc w:val="center"/>
              <w:rPr>
                <w:rFonts w:ascii="Arial Narrow" w:hAnsi="Arial Narrow"/>
                <w:bCs/>
                <w:color w:val="000000"/>
                <w:sz w:val="20"/>
              </w:rPr>
            </w:pPr>
            <w:r>
              <w:rPr>
                <w:rFonts w:ascii="Arial Narrow" w:hAnsi="Arial Narrow"/>
                <w:bCs/>
                <w:color w:val="000000"/>
                <w:sz w:val="20"/>
              </w:rPr>
              <w:t>-0.05</w:t>
            </w:r>
          </w:p>
        </w:tc>
        <w:tc>
          <w:tcPr>
            <w:tcW w:w="625" w:type="dxa"/>
            <w:shd w:val="clear" w:color="auto" w:fill="auto"/>
            <w:noWrap/>
            <w:tcMar>
              <w:left w:w="57" w:type="dxa"/>
              <w:right w:w="57" w:type="dxa"/>
            </w:tcMar>
            <w:vAlign w:val="center"/>
          </w:tcPr>
          <w:p w14:paraId="6CD6AAAD" w14:textId="77777777" w:rsidR="00606628" w:rsidRPr="0076501B" w:rsidRDefault="00606628" w:rsidP="00112B73">
            <w:pPr>
              <w:spacing w:after="0"/>
              <w:jc w:val="center"/>
              <w:rPr>
                <w:rFonts w:ascii="Arial Narrow" w:hAnsi="Arial Narrow"/>
                <w:bCs/>
                <w:color w:val="000000"/>
                <w:sz w:val="20"/>
              </w:rPr>
            </w:pPr>
            <w:r w:rsidRPr="0076501B">
              <w:rPr>
                <w:rFonts w:ascii="Arial Narrow" w:hAnsi="Arial Narrow"/>
                <w:bCs/>
                <w:color w:val="000000"/>
                <w:sz w:val="20"/>
              </w:rPr>
              <w:t>0</w:t>
            </w:r>
            <w:r>
              <w:rPr>
                <w:rFonts w:ascii="Arial Narrow" w:hAnsi="Arial Narrow"/>
                <w:bCs/>
                <w:color w:val="000000"/>
                <w:sz w:val="20"/>
              </w:rPr>
              <w:t>.54</w:t>
            </w:r>
          </w:p>
        </w:tc>
        <w:tc>
          <w:tcPr>
            <w:tcW w:w="625" w:type="dxa"/>
            <w:shd w:val="clear" w:color="auto" w:fill="auto"/>
            <w:noWrap/>
            <w:tcMar>
              <w:left w:w="57" w:type="dxa"/>
              <w:right w:w="57" w:type="dxa"/>
            </w:tcMar>
            <w:vAlign w:val="center"/>
          </w:tcPr>
          <w:p w14:paraId="025E9667" w14:textId="77777777" w:rsidR="00606628" w:rsidRPr="0076501B" w:rsidRDefault="00606628" w:rsidP="00112B73">
            <w:pPr>
              <w:spacing w:after="0"/>
              <w:jc w:val="center"/>
              <w:rPr>
                <w:rFonts w:ascii="Arial Narrow" w:hAnsi="Arial Narrow"/>
                <w:bCs/>
                <w:color w:val="000000"/>
                <w:sz w:val="20"/>
              </w:rPr>
            </w:pPr>
            <w:r>
              <w:rPr>
                <w:rFonts w:ascii="Arial Narrow" w:hAnsi="Arial Narrow"/>
                <w:bCs/>
                <w:color w:val="000000"/>
                <w:sz w:val="20"/>
              </w:rPr>
              <w:t>-0.07</w:t>
            </w:r>
          </w:p>
        </w:tc>
        <w:tc>
          <w:tcPr>
            <w:tcW w:w="626" w:type="dxa"/>
            <w:shd w:val="clear" w:color="auto" w:fill="auto"/>
            <w:noWrap/>
            <w:tcMar>
              <w:left w:w="57" w:type="dxa"/>
              <w:right w:w="57" w:type="dxa"/>
            </w:tcMar>
            <w:vAlign w:val="center"/>
          </w:tcPr>
          <w:p w14:paraId="01BCA219" w14:textId="77777777" w:rsidR="00606628" w:rsidRPr="0076501B" w:rsidRDefault="00606628" w:rsidP="00112B73">
            <w:pPr>
              <w:spacing w:after="0"/>
              <w:jc w:val="center"/>
              <w:rPr>
                <w:rFonts w:ascii="Arial Narrow" w:hAnsi="Arial Narrow"/>
                <w:bCs/>
                <w:color w:val="000000"/>
                <w:sz w:val="20"/>
              </w:rPr>
            </w:pPr>
            <w:r>
              <w:rPr>
                <w:rFonts w:ascii="Arial Narrow" w:hAnsi="Arial Narrow"/>
                <w:bCs/>
                <w:color w:val="000000"/>
                <w:sz w:val="20"/>
              </w:rPr>
              <w:t>0.56</w:t>
            </w:r>
          </w:p>
        </w:tc>
      </w:tr>
      <w:tr w:rsidR="00606628" w:rsidRPr="00852372" w14:paraId="4E3CEE52" w14:textId="77777777" w:rsidTr="00112B73">
        <w:trPr>
          <w:cantSplit/>
          <w:trHeight w:hRule="exact" w:val="301"/>
        </w:trPr>
        <w:tc>
          <w:tcPr>
            <w:tcW w:w="1074" w:type="dxa"/>
            <w:vMerge/>
            <w:shd w:val="clear" w:color="auto" w:fill="auto"/>
            <w:noWrap/>
            <w:tcMar>
              <w:left w:w="57" w:type="dxa"/>
              <w:right w:w="57" w:type="dxa"/>
            </w:tcMar>
            <w:vAlign w:val="center"/>
          </w:tcPr>
          <w:p w14:paraId="5DF9A6EC" w14:textId="77777777" w:rsidR="00606628" w:rsidRPr="00852372" w:rsidRDefault="00606628" w:rsidP="00112B73">
            <w:pPr>
              <w:spacing w:after="0"/>
              <w:jc w:val="right"/>
              <w:rPr>
                <w:rFonts w:ascii="Arial Narrow" w:hAnsi="Arial Narrow"/>
                <w:bCs/>
                <w:color w:val="000000"/>
                <w:sz w:val="20"/>
              </w:rPr>
            </w:pPr>
          </w:p>
        </w:tc>
        <w:tc>
          <w:tcPr>
            <w:tcW w:w="350" w:type="dxa"/>
            <w:shd w:val="clear" w:color="auto" w:fill="auto"/>
            <w:noWrap/>
            <w:tcMar>
              <w:left w:w="57" w:type="dxa"/>
              <w:right w:w="57" w:type="dxa"/>
            </w:tcMar>
            <w:vAlign w:val="center"/>
          </w:tcPr>
          <w:p w14:paraId="4D85959C" w14:textId="77777777" w:rsidR="00606628" w:rsidRPr="00852372" w:rsidRDefault="00606628" w:rsidP="00112B73">
            <w:pPr>
              <w:spacing w:after="0"/>
              <w:jc w:val="center"/>
              <w:rPr>
                <w:rFonts w:ascii="Arial Narrow" w:hAnsi="Arial Narrow"/>
                <w:bCs/>
                <w:color w:val="000000"/>
                <w:sz w:val="20"/>
              </w:rPr>
            </w:pPr>
            <w:r w:rsidRPr="00852372">
              <w:rPr>
                <w:rFonts w:ascii="Arial Narrow" w:hAnsi="Arial Narrow"/>
                <w:bCs/>
                <w:color w:val="000000"/>
                <w:sz w:val="20"/>
              </w:rPr>
              <w:t>5</w:t>
            </w:r>
          </w:p>
        </w:tc>
        <w:tc>
          <w:tcPr>
            <w:tcW w:w="625" w:type="dxa"/>
            <w:shd w:val="clear" w:color="auto" w:fill="E6B8B7"/>
            <w:noWrap/>
            <w:tcMar>
              <w:left w:w="57" w:type="dxa"/>
              <w:right w:w="57" w:type="dxa"/>
            </w:tcMar>
            <w:vAlign w:val="center"/>
          </w:tcPr>
          <w:p w14:paraId="18C94E67" w14:textId="77777777" w:rsidR="00606628" w:rsidRPr="0076501B" w:rsidRDefault="00606628" w:rsidP="00112B73">
            <w:pPr>
              <w:spacing w:after="0"/>
              <w:jc w:val="center"/>
              <w:rPr>
                <w:rFonts w:ascii="Arial Narrow" w:hAnsi="Arial Narrow"/>
                <w:bCs/>
                <w:color w:val="000000"/>
                <w:sz w:val="20"/>
              </w:rPr>
            </w:pPr>
            <w:r>
              <w:rPr>
                <w:rFonts w:ascii="Arial Narrow" w:hAnsi="Arial Narrow"/>
                <w:bCs/>
                <w:color w:val="000000"/>
                <w:sz w:val="20"/>
              </w:rPr>
              <w:t>-0.15</w:t>
            </w:r>
          </w:p>
        </w:tc>
        <w:tc>
          <w:tcPr>
            <w:tcW w:w="625" w:type="dxa"/>
            <w:shd w:val="clear" w:color="auto" w:fill="E6B8B7"/>
            <w:noWrap/>
            <w:tcMar>
              <w:left w:w="57" w:type="dxa"/>
              <w:right w:w="57" w:type="dxa"/>
            </w:tcMar>
            <w:vAlign w:val="center"/>
          </w:tcPr>
          <w:p w14:paraId="7DD178E4" w14:textId="77777777" w:rsidR="00606628" w:rsidRPr="0076501B" w:rsidRDefault="00606628" w:rsidP="00112B73">
            <w:pPr>
              <w:spacing w:after="0"/>
              <w:jc w:val="center"/>
              <w:rPr>
                <w:rFonts w:ascii="Arial Narrow" w:hAnsi="Arial Narrow"/>
                <w:bCs/>
                <w:color w:val="000000"/>
                <w:sz w:val="20"/>
              </w:rPr>
            </w:pPr>
            <w:r w:rsidRPr="0076501B">
              <w:rPr>
                <w:rFonts w:ascii="Arial Narrow" w:hAnsi="Arial Narrow"/>
                <w:bCs/>
                <w:color w:val="000000"/>
                <w:sz w:val="20"/>
              </w:rPr>
              <w:t>0.</w:t>
            </w:r>
            <w:r>
              <w:rPr>
                <w:rFonts w:ascii="Arial Narrow" w:hAnsi="Arial Narrow"/>
                <w:bCs/>
                <w:color w:val="000000"/>
                <w:sz w:val="20"/>
              </w:rPr>
              <w:t>86</w:t>
            </w:r>
          </w:p>
        </w:tc>
        <w:tc>
          <w:tcPr>
            <w:tcW w:w="625" w:type="dxa"/>
            <w:shd w:val="clear" w:color="auto" w:fill="E5B8B7"/>
            <w:noWrap/>
            <w:tcMar>
              <w:left w:w="57" w:type="dxa"/>
              <w:right w:w="57" w:type="dxa"/>
            </w:tcMar>
            <w:vAlign w:val="center"/>
          </w:tcPr>
          <w:p w14:paraId="6817BADC" w14:textId="77777777" w:rsidR="00606628" w:rsidRPr="0076501B" w:rsidRDefault="00606628" w:rsidP="00112B73">
            <w:pPr>
              <w:spacing w:after="0"/>
              <w:jc w:val="center"/>
              <w:rPr>
                <w:rFonts w:ascii="Arial Narrow" w:hAnsi="Arial Narrow"/>
                <w:bCs/>
                <w:color w:val="000000"/>
                <w:sz w:val="20"/>
              </w:rPr>
            </w:pPr>
            <w:r w:rsidRPr="0076501B">
              <w:rPr>
                <w:rFonts w:ascii="Arial Narrow" w:hAnsi="Arial Narrow"/>
                <w:bCs/>
                <w:color w:val="000000"/>
                <w:sz w:val="20"/>
              </w:rPr>
              <w:t>-0.17</w:t>
            </w:r>
          </w:p>
        </w:tc>
        <w:tc>
          <w:tcPr>
            <w:tcW w:w="625" w:type="dxa"/>
            <w:shd w:val="clear" w:color="auto" w:fill="E5B8B7"/>
            <w:noWrap/>
            <w:tcMar>
              <w:left w:w="57" w:type="dxa"/>
              <w:right w:w="57" w:type="dxa"/>
            </w:tcMar>
            <w:vAlign w:val="center"/>
          </w:tcPr>
          <w:p w14:paraId="716889D2" w14:textId="77777777" w:rsidR="00606628" w:rsidRPr="0076501B" w:rsidRDefault="00606628" w:rsidP="00112B73">
            <w:pPr>
              <w:spacing w:after="0"/>
              <w:jc w:val="center"/>
              <w:rPr>
                <w:rFonts w:ascii="Arial Narrow" w:hAnsi="Arial Narrow"/>
                <w:bCs/>
                <w:color w:val="000000"/>
                <w:sz w:val="20"/>
              </w:rPr>
            </w:pPr>
            <w:r w:rsidRPr="0076501B">
              <w:rPr>
                <w:rFonts w:ascii="Arial Narrow" w:hAnsi="Arial Narrow"/>
                <w:bCs/>
                <w:color w:val="000000"/>
                <w:sz w:val="20"/>
              </w:rPr>
              <w:t>0.89</w:t>
            </w:r>
          </w:p>
        </w:tc>
        <w:tc>
          <w:tcPr>
            <w:tcW w:w="625" w:type="dxa"/>
            <w:shd w:val="clear" w:color="auto" w:fill="E6B8B7"/>
            <w:noWrap/>
            <w:tcMar>
              <w:left w:w="57" w:type="dxa"/>
              <w:right w:w="57" w:type="dxa"/>
            </w:tcMar>
            <w:vAlign w:val="center"/>
          </w:tcPr>
          <w:p w14:paraId="527C3FD0" w14:textId="77777777" w:rsidR="00606628" w:rsidRPr="0076501B" w:rsidRDefault="00606628" w:rsidP="00112B73">
            <w:pPr>
              <w:spacing w:after="0"/>
              <w:jc w:val="center"/>
              <w:rPr>
                <w:rFonts w:ascii="Arial Narrow" w:hAnsi="Arial Narrow"/>
                <w:bCs/>
                <w:color w:val="000000"/>
                <w:sz w:val="20"/>
              </w:rPr>
            </w:pPr>
            <w:r>
              <w:rPr>
                <w:rFonts w:ascii="Arial Narrow" w:hAnsi="Arial Narrow"/>
                <w:bCs/>
                <w:color w:val="000000"/>
                <w:sz w:val="20"/>
              </w:rPr>
              <w:t>-0.26</w:t>
            </w:r>
          </w:p>
        </w:tc>
        <w:tc>
          <w:tcPr>
            <w:tcW w:w="626" w:type="dxa"/>
            <w:shd w:val="clear" w:color="auto" w:fill="E6B8B7"/>
            <w:noWrap/>
            <w:tcMar>
              <w:left w:w="57" w:type="dxa"/>
              <w:right w:w="57" w:type="dxa"/>
            </w:tcMar>
            <w:vAlign w:val="center"/>
          </w:tcPr>
          <w:p w14:paraId="03A8F897" w14:textId="77777777" w:rsidR="00606628" w:rsidRPr="0076501B" w:rsidRDefault="00606628" w:rsidP="00112B73">
            <w:pPr>
              <w:spacing w:after="0"/>
              <w:jc w:val="center"/>
              <w:rPr>
                <w:rFonts w:ascii="Arial Narrow" w:hAnsi="Arial Narrow"/>
                <w:bCs/>
                <w:color w:val="000000"/>
                <w:sz w:val="20"/>
              </w:rPr>
            </w:pPr>
            <w:r>
              <w:rPr>
                <w:rFonts w:ascii="Arial Narrow" w:hAnsi="Arial Narrow"/>
                <w:bCs/>
                <w:color w:val="000000"/>
                <w:sz w:val="20"/>
              </w:rPr>
              <w:t>0.81</w:t>
            </w:r>
          </w:p>
        </w:tc>
        <w:tc>
          <w:tcPr>
            <w:tcW w:w="625" w:type="dxa"/>
            <w:shd w:val="clear" w:color="auto" w:fill="auto"/>
            <w:noWrap/>
            <w:tcMar>
              <w:left w:w="57" w:type="dxa"/>
              <w:right w:w="57" w:type="dxa"/>
            </w:tcMar>
            <w:vAlign w:val="center"/>
          </w:tcPr>
          <w:p w14:paraId="04556D29" w14:textId="77777777" w:rsidR="00606628" w:rsidRPr="0076501B" w:rsidRDefault="00606628" w:rsidP="00112B73">
            <w:pPr>
              <w:spacing w:after="0"/>
              <w:jc w:val="center"/>
              <w:rPr>
                <w:rFonts w:ascii="Arial Narrow" w:hAnsi="Arial Narrow"/>
                <w:bCs/>
                <w:color w:val="000000"/>
                <w:sz w:val="20"/>
              </w:rPr>
            </w:pPr>
            <w:r w:rsidRPr="0076501B">
              <w:rPr>
                <w:rFonts w:ascii="Arial Narrow" w:hAnsi="Arial Narrow"/>
                <w:bCs/>
                <w:color w:val="000000"/>
                <w:sz w:val="20"/>
              </w:rPr>
              <w:t>0</w:t>
            </w:r>
            <w:r>
              <w:rPr>
                <w:rFonts w:ascii="Arial Narrow" w:hAnsi="Arial Narrow"/>
                <w:bCs/>
                <w:color w:val="000000"/>
                <w:sz w:val="20"/>
              </w:rPr>
              <w:t>.04</w:t>
            </w:r>
          </w:p>
        </w:tc>
        <w:tc>
          <w:tcPr>
            <w:tcW w:w="625" w:type="dxa"/>
            <w:shd w:val="clear" w:color="auto" w:fill="auto"/>
            <w:noWrap/>
            <w:tcMar>
              <w:left w:w="57" w:type="dxa"/>
              <w:right w:w="57" w:type="dxa"/>
            </w:tcMar>
            <w:vAlign w:val="center"/>
          </w:tcPr>
          <w:p w14:paraId="5C496920" w14:textId="77777777" w:rsidR="00606628" w:rsidRPr="0076501B" w:rsidRDefault="00606628" w:rsidP="00112B73">
            <w:pPr>
              <w:spacing w:after="0"/>
              <w:jc w:val="center"/>
              <w:rPr>
                <w:rFonts w:ascii="Arial Narrow" w:hAnsi="Arial Narrow"/>
                <w:bCs/>
                <w:color w:val="000000"/>
                <w:sz w:val="20"/>
              </w:rPr>
            </w:pPr>
            <w:r>
              <w:rPr>
                <w:rFonts w:ascii="Arial Narrow" w:hAnsi="Arial Narrow"/>
                <w:bCs/>
                <w:color w:val="000000"/>
                <w:sz w:val="20"/>
              </w:rPr>
              <w:t>0.60</w:t>
            </w:r>
          </w:p>
        </w:tc>
        <w:tc>
          <w:tcPr>
            <w:tcW w:w="625" w:type="dxa"/>
            <w:shd w:val="clear" w:color="auto" w:fill="auto"/>
            <w:noWrap/>
            <w:tcMar>
              <w:left w:w="57" w:type="dxa"/>
              <w:right w:w="57" w:type="dxa"/>
            </w:tcMar>
            <w:vAlign w:val="center"/>
          </w:tcPr>
          <w:p w14:paraId="0752E96A" w14:textId="77777777" w:rsidR="00606628" w:rsidRPr="0076501B" w:rsidRDefault="00606628" w:rsidP="00112B73">
            <w:pPr>
              <w:spacing w:after="0"/>
              <w:jc w:val="center"/>
              <w:rPr>
                <w:rFonts w:ascii="Arial Narrow" w:hAnsi="Arial Narrow"/>
                <w:bCs/>
                <w:color w:val="000000"/>
                <w:sz w:val="20"/>
              </w:rPr>
            </w:pPr>
            <w:r w:rsidRPr="0076501B">
              <w:rPr>
                <w:rFonts w:ascii="Arial Narrow" w:hAnsi="Arial Narrow"/>
                <w:bCs/>
                <w:color w:val="000000"/>
                <w:sz w:val="20"/>
              </w:rPr>
              <w:t>-</w:t>
            </w:r>
            <w:r>
              <w:rPr>
                <w:rFonts w:ascii="Arial Narrow" w:hAnsi="Arial Narrow"/>
                <w:bCs/>
                <w:color w:val="000000"/>
                <w:sz w:val="20"/>
              </w:rPr>
              <w:t>0.15</w:t>
            </w:r>
          </w:p>
        </w:tc>
        <w:tc>
          <w:tcPr>
            <w:tcW w:w="625" w:type="dxa"/>
            <w:shd w:val="clear" w:color="auto" w:fill="auto"/>
            <w:noWrap/>
            <w:tcMar>
              <w:left w:w="57" w:type="dxa"/>
              <w:right w:w="57" w:type="dxa"/>
            </w:tcMar>
            <w:vAlign w:val="center"/>
          </w:tcPr>
          <w:p w14:paraId="12D1337E" w14:textId="77777777" w:rsidR="00606628" w:rsidRPr="0076501B" w:rsidRDefault="00606628" w:rsidP="00112B73">
            <w:pPr>
              <w:spacing w:after="0"/>
              <w:jc w:val="center"/>
              <w:rPr>
                <w:rFonts w:ascii="Arial Narrow" w:hAnsi="Arial Narrow"/>
                <w:bCs/>
                <w:color w:val="000000"/>
                <w:sz w:val="20"/>
              </w:rPr>
            </w:pPr>
            <w:r>
              <w:rPr>
                <w:rFonts w:ascii="Arial Narrow" w:hAnsi="Arial Narrow"/>
                <w:bCs/>
                <w:color w:val="000000"/>
                <w:sz w:val="20"/>
              </w:rPr>
              <w:t>0.79</w:t>
            </w:r>
          </w:p>
        </w:tc>
        <w:tc>
          <w:tcPr>
            <w:tcW w:w="625" w:type="dxa"/>
            <w:shd w:val="clear" w:color="auto" w:fill="auto"/>
            <w:noWrap/>
            <w:tcMar>
              <w:left w:w="57" w:type="dxa"/>
              <w:right w:w="57" w:type="dxa"/>
            </w:tcMar>
            <w:vAlign w:val="center"/>
          </w:tcPr>
          <w:p w14:paraId="7EB13426" w14:textId="77777777" w:rsidR="00606628" w:rsidRPr="0076501B" w:rsidRDefault="00606628" w:rsidP="00112B73">
            <w:pPr>
              <w:spacing w:after="0"/>
              <w:jc w:val="center"/>
              <w:rPr>
                <w:rFonts w:ascii="Arial Narrow" w:hAnsi="Arial Narrow"/>
                <w:bCs/>
                <w:color w:val="000000"/>
                <w:sz w:val="20"/>
              </w:rPr>
            </w:pPr>
            <w:r w:rsidRPr="0076501B">
              <w:rPr>
                <w:rFonts w:ascii="Arial Narrow" w:hAnsi="Arial Narrow"/>
                <w:bCs/>
                <w:color w:val="000000"/>
                <w:sz w:val="20"/>
              </w:rPr>
              <w:t>-0.25</w:t>
            </w:r>
          </w:p>
        </w:tc>
        <w:tc>
          <w:tcPr>
            <w:tcW w:w="626" w:type="dxa"/>
            <w:shd w:val="clear" w:color="auto" w:fill="auto"/>
            <w:noWrap/>
            <w:tcMar>
              <w:left w:w="57" w:type="dxa"/>
              <w:right w:w="57" w:type="dxa"/>
            </w:tcMar>
            <w:vAlign w:val="center"/>
          </w:tcPr>
          <w:p w14:paraId="6F2A8BAA" w14:textId="77777777" w:rsidR="00606628" w:rsidRPr="0076501B" w:rsidRDefault="00606628" w:rsidP="00112B73">
            <w:pPr>
              <w:spacing w:after="0"/>
              <w:jc w:val="center"/>
              <w:rPr>
                <w:rFonts w:ascii="Arial Narrow" w:hAnsi="Arial Narrow"/>
                <w:bCs/>
                <w:color w:val="000000"/>
                <w:sz w:val="20"/>
              </w:rPr>
            </w:pPr>
            <w:r w:rsidRPr="0076501B">
              <w:rPr>
                <w:rFonts w:ascii="Arial Narrow" w:hAnsi="Arial Narrow"/>
                <w:bCs/>
                <w:color w:val="000000"/>
                <w:sz w:val="20"/>
              </w:rPr>
              <w:t>0.</w:t>
            </w:r>
            <w:r>
              <w:rPr>
                <w:rFonts w:ascii="Arial Narrow" w:hAnsi="Arial Narrow"/>
                <w:bCs/>
                <w:color w:val="000000"/>
                <w:sz w:val="20"/>
              </w:rPr>
              <w:t>69</w:t>
            </w:r>
          </w:p>
        </w:tc>
      </w:tr>
      <w:tr w:rsidR="00606628" w:rsidRPr="00852372" w14:paraId="061A6B05" w14:textId="77777777" w:rsidTr="00112B73">
        <w:trPr>
          <w:cantSplit/>
          <w:trHeight w:hRule="exact" w:val="301"/>
        </w:trPr>
        <w:tc>
          <w:tcPr>
            <w:tcW w:w="1074" w:type="dxa"/>
            <w:vMerge w:val="restart"/>
            <w:shd w:val="clear" w:color="auto" w:fill="auto"/>
            <w:noWrap/>
            <w:tcMar>
              <w:left w:w="57" w:type="dxa"/>
              <w:right w:w="57" w:type="dxa"/>
            </w:tcMar>
            <w:vAlign w:val="center"/>
          </w:tcPr>
          <w:p w14:paraId="128F997B" w14:textId="77777777" w:rsidR="00606628" w:rsidRPr="00852372" w:rsidRDefault="00606628" w:rsidP="00112B73">
            <w:pPr>
              <w:spacing w:after="0"/>
              <w:rPr>
                <w:rFonts w:ascii="Arial Narrow" w:hAnsi="Arial Narrow"/>
                <w:bCs/>
                <w:color w:val="000000"/>
                <w:sz w:val="20"/>
              </w:rPr>
            </w:pPr>
            <w:r w:rsidRPr="00852372">
              <w:rPr>
                <w:rFonts w:ascii="Arial Narrow" w:hAnsi="Arial Narrow"/>
                <w:bCs/>
                <w:color w:val="000000"/>
                <w:sz w:val="20"/>
              </w:rPr>
              <w:t>201</w:t>
            </w:r>
            <w:r>
              <w:rPr>
                <w:rFonts w:ascii="Arial Narrow" w:hAnsi="Arial Narrow"/>
                <w:bCs/>
                <w:color w:val="000000"/>
                <w:sz w:val="20"/>
              </w:rPr>
              <w:t>3</w:t>
            </w:r>
            <w:r w:rsidRPr="00852372">
              <w:rPr>
                <w:rFonts w:ascii="Arial Narrow" w:hAnsi="Arial Narrow"/>
                <w:bCs/>
                <w:color w:val="000000"/>
                <w:sz w:val="20"/>
              </w:rPr>
              <w:t xml:space="preserve"> to 201</w:t>
            </w:r>
            <w:r>
              <w:rPr>
                <w:rFonts w:ascii="Arial Narrow" w:hAnsi="Arial Narrow"/>
                <w:bCs/>
                <w:color w:val="000000"/>
                <w:sz w:val="20"/>
              </w:rPr>
              <w:t>7</w:t>
            </w:r>
          </w:p>
        </w:tc>
        <w:tc>
          <w:tcPr>
            <w:tcW w:w="350" w:type="dxa"/>
            <w:shd w:val="clear" w:color="auto" w:fill="auto"/>
            <w:noWrap/>
            <w:tcMar>
              <w:left w:w="57" w:type="dxa"/>
              <w:right w:w="57" w:type="dxa"/>
            </w:tcMar>
            <w:vAlign w:val="center"/>
          </w:tcPr>
          <w:p w14:paraId="29FFC76C" w14:textId="77777777" w:rsidR="00606628" w:rsidRPr="00852372" w:rsidRDefault="00606628" w:rsidP="00112B73">
            <w:pPr>
              <w:spacing w:after="0"/>
              <w:jc w:val="center"/>
              <w:rPr>
                <w:rFonts w:ascii="Arial Narrow" w:hAnsi="Arial Narrow"/>
                <w:bCs/>
                <w:color w:val="000000"/>
                <w:sz w:val="20"/>
              </w:rPr>
            </w:pPr>
            <w:r w:rsidRPr="00852372">
              <w:rPr>
                <w:rFonts w:ascii="Arial Narrow" w:hAnsi="Arial Narrow"/>
                <w:bCs/>
                <w:color w:val="000000"/>
                <w:sz w:val="20"/>
              </w:rPr>
              <w:t>2</w:t>
            </w:r>
          </w:p>
        </w:tc>
        <w:tc>
          <w:tcPr>
            <w:tcW w:w="625" w:type="dxa"/>
            <w:shd w:val="clear" w:color="auto" w:fill="8DB3E2"/>
            <w:noWrap/>
            <w:tcMar>
              <w:left w:w="57" w:type="dxa"/>
              <w:right w:w="57" w:type="dxa"/>
            </w:tcMar>
            <w:vAlign w:val="center"/>
          </w:tcPr>
          <w:p w14:paraId="54923580" w14:textId="77777777" w:rsidR="00606628" w:rsidRPr="0076501B" w:rsidRDefault="00606628" w:rsidP="00112B73">
            <w:pPr>
              <w:spacing w:after="0"/>
              <w:jc w:val="center"/>
              <w:rPr>
                <w:rFonts w:ascii="Arial Narrow" w:hAnsi="Arial Narrow"/>
                <w:bCs/>
                <w:color w:val="000000"/>
                <w:sz w:val="20"/>
              </w:rPr>
            </w:pPr>
            <w:r w:rsidRPr="0076501B">
              <w:rPr>
                <w:rFonts w:ascii="Arial Narrow" w:hAnsi="Arial Narrow"/>
                <w:bCs/>
                <w:color w:val="000000"/>
                <w:sz w:val="20"/>
              </w:rPr>
              <w:t>0.09</w:t>
            </w:r>
          </w:p>
        </w:tc>
        <w:tc>
          <w:tcPr>
            <w:tcW w:w="625" w:type="dxa"/>
            <w:shd w:val="clear" w:color="auto" w:fill="8DB3E2"/>
            <w:noWrap/>
            <w:tcMar>
              <w:left w:w="57" w:type="dxa"/>
              <w:right w:w="57" w:type="dxa"/>
            </w:tcMar>
            <w:vAlign w:val="center"/>
          </w:tcPr>
          <w:p w14:paraId="081B6358" w14:textId="77777777" w:rsidR="00606628" w:rsidRPr="0076501B" w:rsidRDefault="00606628" w:rsidP="00112B73">
            <w:pPr>
              <w:spacing w:after="0"/>
              <w:jc w:val="center"/>
              <w:rPr>
                <w:rFonts w:ascii="Arial Narrow" w:hAnsi="Arial Narrow"/>
                <w:bCs/>
                <w:color w:val="000000"/>
                <w:sz w:val="20"/>
              </w:rPr>
            </w:pPr>
            <w:r w:rsidRPr="0076501B">
              <w:rPr>
                <w:rFonts w:ascii="Arial Narrow" w:hAnsi="Arial Narrow"/>
                <w:bCs/>
                <w:color w:val="000000"/>
                <w:sz w:val="20"/>
              </w:rPr>
              <w:t>0.</w:t>
            </w:r>
            <w:r>
              <w:rPr>
                <w:rFonts w:ascii="Arial Narrow" w:hAnsi="Arial Narrow"/>
                <w:bCs/>
                <w:color w:val="000000"/>
                <w:sz w:val="20"/>
              </w:rPr>
              <w:t>80</w:t>
            </w:r>
          </w:p>
        </w:tc>
        <w:tc>
          <w:tcPr>
            <w:tcW w:w="625" w:type="dxa"/>
            <w:shd w:val="clear" w:color="auto" w:fill="548DD4"/>
            <w:noWrap/>
            <w:tcMar>
              <w:left w:w="57" w:type="dxa"/>
              <w:right w:w="57" w:type="dxa"/>
            </w:tcMar>
            <w:vAlign w:val="center"/>
          </w:tcPr>
          <w:p w14:paraId="1DBED367" w14:textId="77777777" w:rsidR="00606628" w:rsidRPr="0076501B" w:rsidRDefault="00606628" w:rsidP="00112B73">
            <w:pPr>
              <w:jc w:val="center"/>
              <w:rPr>
                <w:rFonts w:ascii="Arial Narrow" w:hAnsi="Arial Narrow"/>
                <w:color w:val="000000"/>
                <w:sz w:val="20"/>
              </w:rPr>
            </w:pPr>
            <w:r w:rsidRPr="0076501B">
              <w:rPr>
                <w:rFonts w:ascii="Arial Narrow" w:hAnsi="Arial Narrow"/>
                <w:color w:val="000000"/>
                <w:sz w:val="20"/>
              </w:rPr>
              <w:t>0.10</w:t>
            </w:r>
          </w:p>
        </w:tc>
        <w:tc>
          <w:tcPr>
            <w:tcW w:w="625" w:type="dxa"/>
            <w:shd w:val="clear" w:color="auto" w:fill="548DD4"/>
            <w:noWrap/>
            <w:tcMar>
              <w:left w:w="57" w:type="dxa"/>
              <w:right w:w="57" w:type="dxa"/>
            </w:tcMar>
            <w:vAlign w:val="center"/>
          </w:tcPr>
          <w:p w14:paraId="3CC0E53E" w14:textId="77777777" w:rsidR="00606628" w:rsidRPr="0076501B" w:rsidRDefault="00606628" w:rsidP="00112B73">
            <w:pPr>
              <w:jc w:val="center"/>
              <w:rPr>
                <w:rFonts w:ascii="Arial Narrow" w:hAnsi="Arial Narrow"/>
                <w:color w:val="000000"/>
                <w:sz w:val="20"/>
              </w:rPr>
            </w:pPr>
            <w:r w:rsidRPr="0076501B">
              <w:rPr>
                <w:rFonts w:ascii="Arial Narrow" w:hAnsi="Arial Narrow"/>
                <w:color w:val="000000"/>
                <w:sz w:val="20"/>
              </w:rPr>
              <w:t>0.93</w:t>
            </w:r>
          </w:p>
        </w:tc>
        <w:tc>
          <w:tcPr>
            <w:tcW w:w="625" w:type="dxa"/>
            <w:shd w:val="clear" w:color="auto" w:fill="auto"/>
            <w:noWrap/>
            <w:tcMar>
              <w:left w:w="57" w:type="dxa"/>
              <w:right w:w="57" w:type="dxa"/>
            </w:tcMar>
            <w:vAlign w:val="center"/>
          </w:tcPr>
          <w:p w14:paraId="4F2758A9" w14:textId="77777777" w:rsidR="00606628" w:rsidRPr="0076501B" w:rsidRDefault="00606628" w:rsidP="00112B73">
            <w:pPr>
              <w:jc w:val="center"/>
              <w:rPr>
                <w:rFonts w:ascii="Arial Narrow" w:hAnsi="Arial Narrow"/>
                <w:color w:val="000000"/>
                <w:sz w:val="20"/>
              </w:rPr>
            </w:pPr>
            <w:r w:rsidRPr="0076501B">
              <w:rPr>
                <w:rFonts w:ascii="Arial Narrow" w:hAnsi="Arial Narrow"/>
                <w:color w:val="000000"/>
                <w:sz w:val="20"/>
              </w:rPr>
              <w:t>-0.07</w:t>
            </w:r>
          </w:p>
        </w:tc>
        <w:tc>
          <w:tcPr>
            <w:tcW w:w="626" w:type="dxa"/>
            <w:shd w:val="clear" w:color="auto" w:fill="auto"/>
            <w:noWrap/>
            <w:tcMar>
              <w:left w:w="57" w:type="dxa"/>
              <w:right w:w="57" w:type="dxa"/>
            </w:tcMar>
            <w:vAlign w:val="center"/>
          </w:tcPr>
          <w:p w14:paraId="33811CC5" w14:textId="77777777" w:rsidR="00606628" w:rsidRPr="0076501B" w:rsidRDefault="00606628" w:rsidP="00112B73">
            <w:pPr>
              <w:jc w:val="center"/>
              <w:rPr>
                <w:rFonts w:ascii="Arial Narrow" w:hAnsi="Arial Narrow"/>
                <w:color w:val="000000"/>
                <w:sz w:val="20"/>
              </w:rPr>
            </w:pPr>
            <w:r w:rsidRPr="0076501B">
              <w:rPr>
                <w:rFonts w:ascii="Arial Narrow" w:hAnsi="Arial Narrow"/>
                <w:color w:val="000000"/>
                <w:sz w:val="20"/>
              </w:rPr>
              <w:t>0.</w:t>
            </w:r>
            <w:r>
              <w:rPr>
                <w:rFonts w:ascii="Arial Narrow" w:hAnsi="Arial Narrow"/>
                <w:color w:val="000000"/>
                <w:sz w:val="20"/>
              </w:rPr>
              <w:t>55</w:t>
            </w:r>
          </w:p>
        </w:tc>
        <w:tc>
          <w:tcPr>
            <w:tcW w:w="625" w:type="dxa"/>
            <w:shd w:val="clear" w:color="auto" w:fill="auto"/>
            <w:noWrap/>
            <w:tcMar>
              <w:left w:w="57" w:type="dxa"/>
              <w:right w:w="57" w:type="dxa"/>
            </w:tcMar>
            <w:vAlign w:val="center"/>
          </w:tcPr>
          <w:p w14:paraId="7B396F14" w14:textId="77777777" w:rsidR="00606628" w:rsidRPr="0076501B" w:rsidRDefault="00606628" w:rsidP="00112B73">
            <w:pPr>
              <w:jc w:val="center"/>
              <w:rPr>
                <w:rFonts w:ascii="Arial Narrow" w:hAnsi="Arial Narrow"/>
                <w:color w:val="000000"/>
                <w:sz w:val="20"/>
              </w:rPr>
            </w:pPr>
            <w:r w:rsidRPr="0076501B">
              <w:rPr>
                <w:rFonts w:ascii="Arial Narrow" w:hAnsi="Arial Narrow"/>
                <w:color w:val="000000"/>
                <w:sz w:val="20"/>
              </w:rPr>
              <w:t>0.02</w:t>
            </w:r>
          </w:p>
        </w:tc>
        <w:tc>
          <w:tcPr>
            <w:tcW w:w="625" w:type="dxa"/>
            <w:shd w:val="clear" w:color="auto" w:fill="auto"/>
            <w:noWrap/>
            <w:tcMar>
              <w:left w:w="57" w:type="dxa"/>
              <w:right w:w="57" w:type="dxa"/>
            </w:tcMar>
            <w:vAlign w:val="center"/>
          </w:tcPr>
          <w:p w14:paraId="65675756" w14:textId="77777777" w:rsidR="00606628" w:rsidRPr="0076501B" w:rsidRDefault="00606628" w:rsidP="00112B73">
            <w:pPr>
              <w:jc w:val="center"/>
              <w:rPr>
                <w:rFonts w:ascii="Arial Narrow" w:hAnsi="Arial Narrow"/>
                <w:color w:val="000000"/>
                <w:sz w:val="20"/>
              </w:rPr>
            </w:pPr>
            <w:r>
              <w:rPr>
                <w:rFonts w:ascii="Arial Narrow" w:hAnsi="Arial Narrow"/>
                <w:color w:val="000000"/>
                <w:sz w:val="20"/>
              </w:rPr>
              <w:t>0.53</w:t>
            </w:r>
          </w:p>
        </w:tc>
        <w:tc>
          <w:tcPr>
            <w:tcW w:w="625" w:type="dxa"/>
            <w:shd w:val="clear" w:color="auto" w:fill="auto"/>
            <w:noWrap/>
            <w:tcMar>
              <w:left w:w="57" w:type="dxa"/>
              <w:right w:w="57" w:type="dxa"/>
            </w:tcMar>
            <w:vAlign w:val="center"/>
          </w:tcPr>
          <w:p w14:paraId="488E6EDC" w14:textId="77777777" w:rsidR="00606628" w:rsidRPr="0076501B" w:rsidRDefault="00606628" w:rsidP="00112B73">
            <w:pPr>
              <w:jc w:val="center"/>
              <w:rPr>
                <w:rFonts w:ascii="Arial Narrow" w:hAnsi="Arial Narrow"/>
                <w:color w:val="000000"/>
                <w:sz w:val="20"/>
              </w:rPr>
            </w:pPr>
            <w:r w:rsidRPr="0076501B">
              <w:rPr>
                <w:rFonts w:ascii="Arial Narrow" w:hAnsi="Arial Narrow"/>
                <w:color w:val="000000"/>
                <w:sz w:val="20"/>
              </w:rPr>
              <w:t>0.14</w:t>
            </w:r>
          </w:p>
        </w:tc>
        <w:tc>
          <w:tcPr>
            <w:tcW w:w="625" w:type="dxa"/>
            <w:shd w:val="clear" w:color="auto" w:fill="auto"/>
            <w:noWrap/>
            <w:tcMar>
              <w:left w:w="57" w:type="dxa"/>
              <w:right w:w="57" w:type="dxa"/>
            </w:tcMar>
            <w:vAlign w:val="center"/>
          </w:tcPr>
          <w:p w14:paraId="1B3FC7FD" w14:textId="77777777" w:rsidR="00606628" w:rsidRPr="0076501B" w:rsidRDefault="00606628" w:rsidP="00112B73">
            <w:pPr>
              <w:jc w:val="center"/>
              <w:rPr>
                <w:rFonts w:ascii="Arial Narrow" w:hAnsi="Arial Narrow"/>
                <w:color w:val="000000"/>
                <w:sz w:val="20"/>
              </w:rPr>
            </w:pPr>
            <w:r>
              <w:rPr>
                <w:rFonts w:ascii="Arial Narrow" w:hAnsi="Arial Narrow"/>
                <w:color w:val="000000"/>
                <w:sz w:val="20"/>
              </w:rPr>
              <w:t>0.63</w:t>
            </w:r>
          </w:p>
        </w:tc>
        <w:tc>
          <w:tcPr>
            <w:tcW w:w="625" w:type="dxa"/>
            <w:shd w:val="clear" w:color="auto" w:fill="auto"/>
            <w:noWrap/>
            <w:tcMar>
              <w:left w:w="57" w:type="dxa"/>
              <w:right w:w="57" w:type="dxa"/>
            </w:tcMar>
            <w:vAlign w:val="center"/>
          </w:tcPr>
          <w:p w14:paraId="78E7F51F" w14:textId="77777777" w:rsidR="00606628" w:rsidRPr="0076501B" w:rsidRDefault="00606628" w:rsidP="00112B73">
            <w:pPr>
              <w:jc w:val="center"/>
              <w:rPr>
                <w:rFonts w:ascii="Arial Narrow" w:hAnsi="Arial Narrow"/>
                <w:color w:val="000000"/>
                <w:sz w:val="20"/>
              </w:rPr>
            </w:pPr>
            <w:r w:rsidRPr="0076501B">
              <w:rPr>
                <w:rFonts w:ascii="Arial Narrow" w:hAnsi="Arial Narrow"/>
                <w:color w:val="000000"/>
                <w:sz w:val="20"/>
              </w:rPr>
              <w:t>0.25</w:t>
            </w:r>
          </w:p>
        </w:tc>
        <w:tc>
          <w:tcPr>
            <w:tcW w:w="626" w:type="dxa"/>
            <w:shd w:val="clear" w:color="auto" w:fill="auto"/>
            <w:noWrap/>
            <w:tcMar>
              <w:left w:w="57" w:type="dxa"/>
              <w:right w:w="57" w:type="dxa"/>
            </w:tcMar>
            <w:vAlign w:val="center"/>
          </w:tcPr>
          <w:p w14:paraId="75B399A6" w14:textId="77777777" w:rsidR="00606628" w:rsidRPr="0076501B" w:rsidRDefault="00606628" w:rsidP="00112B73">
            <w:pPr>
              <w:jc w:val="center"/>
              <w:rPr>
                <w:rFonts w:ascii="Arial Narrow" w:hAnsi="Arial Narrow"/>
                <w:color w:val="000000"/>
                <w:sz w:val="20"/>
              </w:rPr>
            </w:pPr>
            <w:r w:rsidRPr="0076501B">
              <w:rPr>
                <w:rFonts w:ascii="Arial Narrow" w:hAnsi="Arial Narrow"/>
                <w:color w:val="000000"/>
                <w:sz w:val="20"/>
              </w:rPr>
              <w:t>0.6</w:t>
            </w:r>
            <w:r>
              <w:rPr>
                <w:rFonts w:ascii="Arial Narrow" w:hAnsi="Arial Narrow"/>
                <w:color w:val="000000"/>
                <w:sz w:val="20"/>
              </w:rPr>
              <w:t>9</w:t>
            </w:r>
          </w:p>
        </w:tc>
      </w:tr>
      <w:tr w:rsidR="00606628" w:rsidRPr="00852372" w14:paraId="6C9E74B1" w14:textId="77777777" w:rsidTr="00857168">
        <w:trPr>
          <w:cantSplit/>
          <w:trHeight w:hRule="exact" w:val="301"/>
        </w:trPr>
        <w:tc>
          <w:tcPr>
            <w:tcW w:w="1074" w:type="dxa"/>
            <w:vMerge/>
            <w:shd w:val="clear" w:color="auto" w:fill="auto"/>
            <w:noWrap/>
            <w:tcMar>
              <w:left w:w="57" w:type="dxa"/>
              <w:right w:w="57" w:type="dxa"/>
            </w:tcMar>
            <w:vAlign w:val="center"/>
          </w:tcPr>
          <w:p w14:paraId="3E886014" w14:textId="77777777" w:rsidR="00606628" w:rsidRPr="00852372" w:rsidRDefault="00606628" w:rsidP="00112B73">
            <w:pPr>
              <w:spacing w:after="0"/>
              <w:jc w:val="right"/>
              <w:rPr>
                <w:rFonts w:ascii="Arial Narrow" w:hAnsi="Arial Narrow"/>
                <w:bCs/>
                <w:color w:val="000000"/>
                <w:sz w:val="20"/>
              </w:rPr>
            </w:pPr>
          </w:p>
        </w:tc>
        <w:tc>
          <w:tcPr>
            <w:tcW w:w="350" w:type="dxa"/>
            <w:shd w:val="clear" w:color="auto" w:fill="auto"/>
            <w:noWrap/>
            <w:tcMar>
              <w:left w:w="57" w:type="dxa"/>
              <w:right w:w="57" w:type="dxa"/>
            </w:tcMar>
            <w:vAlign w:val="center"/>
          </w:tcPr>
          <w:p w14:paraId="10DAC120" w14:textId="77777777" w:rsidR="00606628" w:rsidRPr="00852372" w:rsidRDefault="00606628" w:rsidP="00112B73">
            <w:pPr>
              <w:spacing w:after="0"/>
              <w:jc w:val="center"/>
              <w:rPr>
                <w:rFonts w:ascii="Arial Narrow" w:hAnsi="Arial Narrow"/>
                <w:bCs/>
                <w:color w:val="000000"/>
                <w:sz w:val="20"/>
              </w:rPr>
            </w:pPr>
            <w:r w:rsidRPr="00852372">
              <w:rPr>
                <w:rFonts w:ascii="Arial Narrow" w:hAnsi="Arial Narrow"/>
                <w:bCs/>
                <w:color w:val="000000"/>
                <w:sz w:val="20"/>
              </w:rPr>
              <w:t>5</w:t>
            </w:r>
          </w:p>
        </w:tc>
        <w:tc>
          <w:tcPr>
            <w:tcW w:w="625" w:type="dxa"/>
            <w:shd w:val="clear" w:color="auto" w:fill="8DB3E2"/>
            <w:noWrap/>
            <w:tcMar>
              <w:left w:w="57" w:type="dxa"/>
              <w:right w:w="57" w:type="dxa"/>
            </w:tcMar>
            <w:vAlign w:val="center"/>
          </w:tcPr>
          <w:p w14:paraId="332FA4A5" w14:textId="77777777" w:rsidR="00606628" w:rsidRPr="0076501B" w:rsidRDefault="00606628" w:rsidP="00112B73">
            <w:pPr>
              <w:spacing w:after="0"/>
              <w:jc w:val="center"/>
              <w:rPr>
                <w:rFonts w:ascii="Arial Narrow" w:hAnsi="Arial Narrow"/>
                <w:bCs/>
                <w:color w:val="000000"/>
                <w:sz w:val="20"/>
              </w:rPr>
            </w:pPr>
            <w:r w:rsidRPr="0076501B">
              <w:rPr>
                <w:rFonts w:ascii="Arial Narrow" w:hAnsi="Arial Narrow"/>
                <w:bCs/>
                <w:color w:val="000000"/>
                <w:sz w:val="20"/>
              </w:rPr>
              <w:t>0.20</w:t>
            </w:r>
          </w:p>
        </w:tc>
        <w:tc>
          <w:tcPr>
            <w:tcW w:w="625" w:type="dxa"/>
            <w:shd w:val="clear" w:color="auto" w:fill="8DB3E2"/>
            <w:noWrap/>
            <w:tcMar>
              <w:left w:w="57" w:type="dxa"/>
              <w:right w:w="57" w:type="dxa"/>
            </w:tcMar>
            <w:vAlign w:val="center"/>
          </w:tcPr>
          <w:p w14:paraId="45CC1460" w14:textId="77777777" w:rsidR="00606628" w:rsidRPr="0076501B" w:rsidRDefault="00606628" w:rsidP="00112B73">
            <w:pPr>
              <w:spacing w:after="0"/>
              <w:jc w:val="center"/>
              <w:rPr>
                <w:rFonts w:ascii="Arial Narrow" w:hAnsi="Arial Narrow"/>
                <w:bCs/>
                <w:color w:val="000000"/>
                <w:sz w:val="20"/>
              </w:rPr>
            </w:pPr>
            <w:r>
              <w:rPr>
                <w:rFonts w:ascii="Arial Narrow" w:hAnsi="Arial Narrow"/>
                <w:bCs/>
                <w:color w:val="000000"/>
                <w:sz w:val="20"/>
              </w:rPr>
              <w:t>0.87</w:t>
            </w:r>
          </w:p>
        </w:tc>
        <w:tc>
          <w:tcPr>
            <w:tcW w:w="625" w:type="dxa"/>
            <w:shd w:val="clear" w:color="auto" w:fill="548DD4"/>
            <w:noWrap/>
            <w:tcMar>
              <w:left w:w="57" w:type="dxa"/>
              <w:right w:w="57" w:type="dxa"/>
            </w:tcMar>
            <w:vAlign w:val="center"/>
          </w:tcPr>
          <w:p w14:paraId="413676D3" w14:textId="77777777" w:rsidR="00606628" w:rsidRPr="0076501B" w:rsidRDefault="00606628" w:rsidP="00112B73">
            <w:pPr>
              <w:jc w:val="center"/>
              <w:rPr>
                <w:rFonts w:ascii="Arial Narrow" w:hAnsi="Arial Narrow"/>
                <w:color w:val="000000"/>
                <w:sz w:val="20"/>
              </w:rPr>
            </w:pPr>
            <w:r w:rsidRPr="0076501B">
              <w:rPr>
                <w:rFonts w:ascii="Arial Narrow" w:hAnsi="Arial Narrow"/>
                <w:color w:val="000000"/>
                <w:sz w:val="20"/>
              </w:rPr>
              <w:t>0.11</w:t>
            </w:r>
          </w:p>
        </w:tc>
        <w:tc>
          <w:tcPr>
            <w:tcW w:w="625" w:type="dxa"/>
            <w:shd w:val="clear" w:color="auto" w:fill="548DD4"/>
            <w:noWrap/>
            <w:tcMar>
              <w:left w:w="57" w:type="dxa"/>
              <w:right w:w="57" w:type="dxa"/>
            </w:tcMar>
            <w:vAlign w:val="center"/>
          </w:tcPr>
          <w:p w14:paraId="61794F39" w14:textId="77777777" w:rsidR="00606628" w:rsidRPr="0076501B" w:rsidRDefault="00606628" w:rsidP="00112B73">
            <w:pPr>
              <w:jc w:val="center"/>
              <w:rPr>
                <w:rFonts w:ascii="Arial Narrow" w:hAnsi="Arial Narrow"/>
                <w:color w:val="000000"/>
                <w:sz w:val="20"/>
              </w:rPr>
            </w:pPr>
            <w:r w:rsidRPr="0076501B">
              <w:rPr>
                <w:rFonts w:ascii="Arial Narrow" w:hAnsi="Arial Narrow"/>
                <w:color w:val="000000"/>
                <w:sz w:val="20"/>
              </w:rPr>
              <w:t>0.97</w:t>
            </w:r>
          </w:p>
        </w:tc>
        <w:tc>
          <w:tcPr>
            <w:tcW w:w="625" w:type="dxa"/>
            <w:shd w:val="clear" w:color="auto" w:fill="auto"/>
            <w:noWrap/>
            <w:tcMar>
              <w:left w:w="57" w:type="dxa"/>
              <w:right w:w="57" w:type="dxa"/>
            </w:tcMar>
            <w:vAlign w:val="center"/>
          </w:tcPr>
          <w:p w14:paraId="05E11DFE" w14:textId="77777777" w:rsidR="00606628" w:rsidRPr="0076501B" w:rsidRDefault="00606628" w:rsidP="00112B73">
            <w:pPr>
              <w:jc w:val="center"/>
              <w:rPr>
                <w:rFonts w:ascii="Arial Narrow" w:hAnsi="Arial Narrow"/>
                <w:color w:val="000000"/>
                <w:sz w:val="20"/>
              </w:rPr>
            </w:pPr>
            <w:r w:rsidRPr="0076501B">
              <w:rPr>
                <w:rFonts w:ascii="Arial Narrow" w:hAnsi="Arial Narrow"/>
                <w:color w:val="000000"/>
                <w:sz w:val="20"/>
              </w:rPr>
              <w:t>0.01</w:t>
            </w:r>
          </w:p>
        </w:tc>
        <w:tc>
          <w:tcPr>
            <w:tcW w:w="626" w:type="dxa"/>
            <w:shd w:val="clear" w:color="auto" w:fill="auto"/>
            <w:noWrap/>
            <w:tcMar>
              <w:left w:w="57" w:type="dxa"/>
              <w:right w:w="57" w:type="dxa"/>
            </w:tcMar>
            <w:vAlign w:val="center"/>
          </w:tcPr>
          <w:p w14:paraId="28485C69" w14:textId="77777777" w:rsidR="00606628" w:rsidRPr="0076501B" w:rsidRDefault="00606628" w:rsidP="00112B73">
            <w:pPr>
              <w:jc w:val="center"/>
              <w:rPr>
                <w:rFonts w:ascii="Arial Narrow" w:hAnsi="Arial Narrow"/>
                <w:color w:val="000000"/>
                <w:sz w:val="20"/>
              </w:rPr>
            </w:pPr>
            <w:r w:rsidRPr="0076501B">
              <w:rPr>
                <w:rFonts w:ascii="Arial Narrow" w:hAnsi="Arial Narrow"/>
                <w:color w:val="000000"/>
                <w:sz w:val="20"/>
              </w:rPr>
              <w:t>0.50</w:t>
            </w:r>
          </w:p>
        </w:tc>
        <w:tc>
          <w:tcPr>
            <w:tcW w:w="625" w:type="dxa"/>
            <w:shd w:val="clear" w:color="auto" w:fill="C6D9F1" w:themeFill="text2" w:themeFillTint="33"/>
            <w:noWrap/>
            <w:tcMar>
              <w:left w:w="57" w:type="dxa"/>
              <w:right w:w="57" w:type="dxa"/>
            </w:tcMar>
            <w:vAlign w:val="center"/>
          </w:tcPr>
          <w:p w14:paraId="7B0DF864" w14:textId="77777777" w:rsidR="00606628" w:rsidRPr="0076501B" w:rsidRDefault="00606628" w:rsidP="00112B73">
            <w:pPr>
              <w:jc w:val="center"/>
              <w:rPr>
                <w:rFonts w:ascii="Arial Narrow" w:hAnsi="Arial Narrow"/>
                <w:color w:val="000000"/>
                <w:sz w:val="20"/>
              </w:rPr>
            </w:pPr>
            <w:r w:rsidRPr="0076501B">
              <w:rPr>
                <w:rFonts w:ascii="Arial Narrow" w:hAnsi="Arial Narrow"/>
                <w:color w:val="000000"/>
                <w:sz w:val="20"/>
              </w:rPr>
              <w:t>0.24</w:t>
            </w:r>
          </w:p>
        </w:tc>
        <w:tc>
          <w:tcPr>
            <w:tcW w:w="625" w:type="dxa"/>
            <w:shd w:val="clear" w:color="auto" w:fill="C6D9F1" w:themeFill="text2" w:themeFillTint="33"/>
            <w:noWrap/>
            <w:tcMar>
              <w:left w:w="57" w:type="dxa"/>
              <w:right w:w="57" w:type="dxa"/>
            </w:tcMar>
            <w:vAlign w:val="center"/>
          </w:tcPr>
          <w:p w14:paraId="61FF02C5" w14:textId="77777777" w:rsidR="00606628" w:rsidRPr="0076501B" w:rsidRDefault="00606628" w:rsidP="00112B73">
            <w:pPr>
              <w:jc w:val="center"/>
              <w:rPr>
                <w:rFonts w:ascii="Arial Narrow" w:hAnsi="Arial Narrow"/>
                <w:color w:val="000000"/>
                <w:sz w:val="20"/>
              </w:rPr>
            </w:pPr>
            <w:r w:rsidRPr="0076501B">
              <w:rPr>
                <w:rFonts w:ascii="Arial Narrow" w:hAnsi="Arial Narrow"/>
                <w:color w:val="000000"/>
                <w:sz w:val="20"/>
              </w:rPr>
              <w:t>0.7</w:t>
            </w:r>
            <w:r>
              <w:rPr>
                <w:rFonts w:ascii="Arial Narrow" w:hAnsi="Arial Narrow"/>
                <w:color w:val="000000"/>
                <w:sz w:val="20"/>
              </w:rPr>
              <w:t>3</w:t>
            </w:r>
          </w:p>
        </w:tc>
        <w:tc>
          <w:tcPr>
            <w:tcW w:w="625" w:type="dxa"/>
            <w:shd w:val="clear" w:color="auto" w:fill="538DD5"/>
            <w:noWrap/>
            <w:tcMar>
              <w:left w:w="57" w:type="dxa"/>
              <w:right w:w="57" w:type="dxa"/>
            </w:tcMar>
            <w:vAlign w:val="center"/>
          </w:tcPr>
          <w:p w14:paraId="0F1A35E2" w14:textId="77777777" w:rsidR="00606628" w:rsidRPr="0076501B" w:rsidRDefault="00606628" w:rsidP="00112B73">
            <w:pPr>
              <w:jc w:val="center"/>
              <w:rPr>
                <w:rFonts w:ascii="Arial Narrow" w:hAnsi="Arial Narrow"/>
                <w:color w:val="000000"/>
                <w:sz w:val="20"/>
              </w:rPr>
            </w:pPr>
            <w:r w:rsidRPr="0076501B">
              <w:rPr>
                <w:rFonts w:ascii="Arial Narrow" w:hAnsi="Arial Narrow"/>
                <w:color w:val="000000"/>
                <w:sz w:val="20"/>
              </w:rPr>
              <w:t>0.32</w:t>
            </w:r>
          </w:p>
        </w:tc>
        <w:tc>
          <w:tcPr>
            <w:tcW w:w="625" w:type="dxa"/>
            <w:shd w:val="clear" w:color="auto" w:fill="538DD5"/>
            <w:noWrap/>
            <w:tcMar>
              <w:left w:w="57" w:type="dxa"/>
              <w:right w:w="57" w:type="dxa"/>
            </w:tcMar>
            <w:vAlign w:val="center"/>
          </w:tcPr>
          <w:p w14:paraId="7B91CB4E" w14:textId="77777777" w:rsidR="00606628" w:rsidRPr="0076501B" w:rsidRDefault="00606628" w:rsidP="00112B73">
            <w:pPr>
              <w:jc w:val="center"/>
              <w:rPr>
                <w:rFonts w:ascii="Arial Narrow" w:hAnsi="Arial Narrow"/>
                <w:color w:val="000000"/>
                <w:sz w:val="20"/>
              </w:rPr>
            </w:pPr>
            <w:r w:rsidRPr="0076501B">
              <w:rPr>
                <w:rFonts w:ascii="Arial Narrow" w:hAnsi="Arial Narrow"/>
                <w:color w:val="000000"/>
                <w:sz w:val="20"/>
              </w:rPr>
              <w:t>0.91</w:t>
            </w:r>
          </w:p>
        </w:tc>
        <w:tc>
          <w:tcPr>
            <w:tcW w:w="625" w:type="dxa"/>
            <w:shd w:val="clear" w:color="auto" w:fill="auto"/>
            <w:noWrap/>
            <w:tcMar>
              <w:left w:w="57" w:type="dxa"/>
              <w:right w:w="57" w:type="dxa"/>
            </w:tcMar>
            <w:vAlign w:val="center"/>
          </w:tcPr>
          <w:p w14:paraId="233175FC" w14:textId="77777777" w:rsidR="00606628" w:rsidRPr="0076501B" w:rsidRDefault="00606628" w:rsidP="00112B73">
            <w:pPr>
              <w:jc w:val="center"/>
              <w:rPr>
                <w:rFonts w:ascii="Arial Narrow" w:hAnsi="Arial Narrow"/>
                <w:color w:val="000000"/>
                <w:sz w:val="20"/>
              </w:rPr>
            </w:pPr>
            <w:r w:rsidRPr="0076501B">
              <w:rPr>
                <w:rFonts w:ascii="Arial Narrow" w:hAnsi="Arial Narrow"/>
                <w:color w:val="000000"/>
                <w:sz w:val="20"/>
              </w:rPr>
              <w:t>0.31</w:t>
            </w:r>
          </w:p>
        </w:tc>
        <w:tc>
          <w:tcPr>
            <w:tcW w:w="626" w:type="dxa"/>
            <w:shd w:val="clear" w:color="auto" w:fill="auto"/>
            <w:noWrap/>
            <w:tcMar>
              <w:left w:w="57" w:type="dxa"/>
              <w:right w:w="57" w:type="dxa"/>
            </w:tcMar>
            <w:vAlign w:val="center"/>
          </w:tcPr>
          <w:p w14:paraId="3B8807C2" w14:textId="77777777" w:rsidR="00606628" w:rsidRPr="0076501B" w:rsidRDefault="00606628" w:rsidP="00112B73">
            <w:pPr>
              <w:jc w:val="center"/>
              <w:rPr>
                <w:rFonts w:ascii="Arial Narrow" w:hAnsi="Arial Narrow"/>
                <w:color w:val="000000"/>
                <w:sz w:val="20"/>
              </w:rPr>
            </w:pPr>
            <w:r>
              <w:rPr>
                <w:rFonts w:ascii="Arial Narrow" w:hAnsi="Arial Narrow"/>
                <w:color w:val="000000"/>
                <w:sz w:val="20"/>
              </w:rPr>
              <w:t>0.69</w:t>
            </w:r>
          </w:p>
        </w:tc>
      </w:tr>
    </w:tbl>
    <w:p w14:paraId="15EF94A0" w14:textId="77777777" w:rsidR="00B36605" w:rsidRPr="00F352E1" w:rsidRDefault="00B36605" w:rsidP="00B36605">
      <w:pPr>
        <w:rPr>
          <w:rFonts w:cs="Arial"/>
          <w:color w:val="4F81BD" w:themeColor="accent1"/>
          <w:szCs w:val="22"/>
        </w:rPr>
      </w:pPr>
    </w:p>
    <w:p w14:paraId="23258E60" w14:textId="2EA24120" w:rsidR="00BF273D" w:rsidRPr="00382A2B" w:rsidRDefault="00532117" w:rsidP="00BF273D">
      <w:r>
        <w:t>The continued improvement in the coral index through to 2017 does, however, mask the impacts resulting from high water temperatures over the 2016/2017 summer (</w:t>
      </w:r>
      <w:r w:rsidR="0024084A" w:rsidRPr="0024084A">
        <w:rPr>
          <w:rFonts w:cs="Arial"/>
          <w:szCs w:val="22"/>
        </w:rPr>
        <w:fldChar w:fldCharType="begin"/>
      </w:r>
      <w:r w:rsidR="0024084A" w:rsidRPr="0024084A">
        <w:rPr>
          <w:rFonts w:cs="Arial"/>
          <w:szCs w:val="22"/>
        </w:rPr>
        <w:instrText xml:space="preserve"> REF _Ref500764021 \h  \* MERGEFORMAT </w:instrText>
      </w:r>
      <w:r w:rsidR="0024084A" w:rsidRPr="0024084A">
        <w:rPr>
          <w:rFonts w:cs="Arial"/>
          <w:szCs w:val="22"/>
        </w:rPr>
      </w:r>
      <w:r w:rsidR="0024084A" w:rsidRPr="0024084A">
        <w:rPr>
          <w:rFonts w:cs="Arial"/>
          <w:szCs w:val="22"/>
        </w:rPr>
        <w:fldChar w:fldCharType="separate"/>
      </w:r>
      <w:r w:rsidR="00A75175" w:rsidRPr="00A75175">
        <w:rPr>
          <w:rFonts w:eastAsia="SimSun" w:cs="Arial"/>
          <w:szCs w:val="22"/>
        </w:rPr>
        <w:t xml:space="preserve">Table </w:t>
      </w:r>
      <w:r w:rsidR="00A75175" w:rsidRPr="00A75175">
        <w:rPr>
          <w:rFonts w:eastAsia="SimSun" w:cs="Arial"/>
          <w:noProof/>
          <w:szCs w:val="22"/>
        </w:rPr>
        <w:t>17</w:t>
      </w:r>
      <w:r w:rsidR="0024084A" w:rsidRPr="0024084A">
        <w:rPr>
          <w:rFonts w:cs="Arial"/>
          <w:szCs w:val="22"/>
        </w:rPr>
        <w:fldChar w:fldCharType="end"/>
      </w:r>
      <w:r>
        <w:t xml:space="preserve">). </w:t>
      </w:r>
      <w:r w:rsidR="00BF273D" w:rsidRPr="007430DC">
        <w:t>Anomalously high temperatures over the 201</w:t>
      </w:r>
      <w:r w:rsidR="007334BD">
        <w:t xml:space="preserve">6/17 summer </w:t>
      </w:r>
      <w:r w:rsidR="00BF273D" w:rsidRPr="007430DC">
        <w:t>led to widespread bleaching in the region for the first time since 200</w:t>
      </w:r>
      <w:r w:rsidR="007334BD">
        <w:t>2</w:t>
      </w:r>
      <w:r w:rsidR="00BF273D" w:rsidRPr="007430DC">
        <w:t xml:space="preserve"> (</w:t>
      </w:r>
      <w:r w:rsidR="007334BD">
        <w:fldChar w:fldCharType="begin"/>
      </w:r>
      <w:r w:rsidR="007334BD">
        <w:instrText xml:space="preserve"> REF _Ref500961104 \h </w:instrText>
      </w:r>
      <w:r w:rsidR="007334BD">
        <w:fldChar w:fldCharType="separate"/>
      </w:r>
      <w:r w:rsidR="00A75175">
        <w:t xml:space="preserve">Table A1. </w:t>
      </w:r>
      <w:r w:rsidR="00A75175">
        <w:rPr>
          <w:noProof/>
        </w:rPr>
        <w:t>4</w:t>
      </w:r>
      <w:r w:rsidR="007334BD">
        <w:fldChar w:fldCharType="end"/>
      </w:r>
      <w:r w:rsidR="00BF273D" w:rsidRPr="009665C3">
        <w:t>)</w:t>
      </w:r>
      <w:r w:rsidR="00BF273D" w:rsidRPr="007430DC">
        <w:t xml:space="preserve">. Impacts from this event were most evident at 2 m depths, </w:t>
      </w:r>
      <w:r w:rsidR="007334BD">
        <w:t>where coral cover declined at all reefs surveyed in 2017 with the exception of Pandora 5 m depth where coral cover increased marginally (</w:t>
      </w:r>
      <w:r w:rsidR="007334BD">
        <w:fldChar w:fldCharType="begin"/>
      </w:r>
      <w:r w:rsidR="007334BD">
        <w:instrText xml:space="preserve"> REF _Ref491336593 \h </w:instrText>
      </w:r>
      <w:r w:rsidR="007334BD">
        <w:fldChar w:fldCharType="separate"/>
      </w:r>
      <w:r w:rsidR="00A75175" w:rsidRPr="004252BF">
        <w:t xml:space="preserve">Figure </w:t>
      </w:r>
      <w:r w:rsidR="00A75175">
        <w:rPr>
          <w:noProof/>
        </w:rPr>
        <w:t>19</w:t>
      </w:r>
      <w:r w:rsidR="007334BD">
        <w:fldChar w:fldCharType="end"/>
      </w:r>
      <w:r w:rsidR="007334BD">
        <w:t xml:space="preserve">b, </w:t>
      </w:r>
      <w:r w:rsidR="007334BD">
        <w:fldChar w:fldCharType="begin"/>
      </w:r>
      <w:r w:rsidR="007334BD">
        <w:instrText xml:space="preserve"> REF _Ref501109656 \h </w:instrText>
      </w:r>
      <w:r w:rsidR="007334BD">
        <w:fldChar w:fldCharType="separate"/>
      </w:r>
      <w:r w:rsidR="00A75175">
        <w:t xml:space="preserve">Figure A1. </w:t>
      </w:r>
      <w:r w:rsidR="00A75175">
        <w:rPr>
          <w:noProof/>
        </w:rPr>
        <w:t>4</w:t>
      </w:r>
      <w:r w:rsidR="007334BD">
        <w:fldChar w:fldCharType="end"/>
      </w:r>
      <w:r w:rsidR="007334BD">
        <w:t xml:space="preserve">). </w:t>
      </w:r>
      <w:r w:rsidR="007334BD" w:rsidRPr="001D047C">
        <w:rPr>
          <w:rFonts w:cs="Arial"/>
          <w:szCs w:val="22"/>
        </w:rPr>
        <w:t>M</w:t>
      </w:r>
      <w:r w:rsidR="007334BD" w:rsidRPr="009665C3">
        <w:rPr>
          <w:rFonts w:cs="Arial"/>
          <w:szCs w:val="22"/>
        </w:rPr>
        <w:t>ost affected was Havannah with proportional coral cover losses of 37% and 11% at 2 m and 5 m depths respectively</w:t>
      </w:r>
      <w:r w:rsidR="007334BD">
        <w:rPr>
          <w:rFonts w:cs="Arial"/>
          <w:szCs w:val="22"/>
        </w:rPr>
        <w:t xml:space="preserve"> (</w:t>
      </w:r>
      <w:r w:rsidR="007334BD">
        <w:rPr>
          <w:rFonts w:cs="Arial"/>
          <w:szCs w:val="22"/>
        </w:rPr>
        <w:fldChar w:fldCharType="begin"/>
      </w:r>
      <w:r w:rsidR="007334BD">
        <w:rPr>
          <w:rFonts w:cs="Arial"/>
          <w:szCs w:val="22"/>
        </w:rPr>
        <w:instrText xml:space="preserve"> REF _Ref501109656 \h </w:instrText>
      </w:r>
      <w:r w:rsidR="007334BD">
        <w:rPr>
          <w:rFonts w:cs="Arial"/>
          <w:szCs w:val="22"/>
        </w:rPr>
      </w:r>
      <w:r w:rsidR="007334BD">
        <w:rPr>
          <w:rFonts w:cs="Arial"/>
          <w:szCs w:val="22"/>
        </w:rPr>
        <w:fldChar w:fldCharType="separate"/>
      </w:r>
      <w:r w:rsidR="00A75175">
        <w:t xml:space="preserve">Figure A1. </w:t>
      </w:r>
      <w:r w:rsidR="00A75175">
        <w:rPr>
          <w:noProof/>
        </w:rPr>
        <w:t>4</w:t>
      </w:r>
      <w:r w:rsidR="007334BD">
        <w:rPr>
          <w:rFonts w:cs="Arial"/>
          <w:szCs w:val="22"/>
        </w:rPr>
        <w:fldChar w:fldCharType="end"/>
      </w:r>
      <w:r w:rsidR="007334BD">
        <w:rPr>
          <w:rFonts w:cs="Arial"/>
          <w:szCs w:val="22"/>
        </w:rPr>
        <w:t xml:space="preserve">, </w:t>
      </w:r>
      <w:r w:rsidR="007334BD">
        <w:rPr>
          <w:rFonts w:cs="Arial"/>
          <w:szCs w:val="22"/>
        </w:rPr>
        <w:fldChar w:fldCharType="begin"/>
      </w:r>
      <w:r w:rsidR="007334BD">
        <w:rPr>
          <w:rFonts w:cs="Arial"/>
          <w:szCs w:val="22"/>
        </w:rPr>
        <w:instrText xml:space="preserve"> REF _Ref500961104 \h </w:instrText>
      </w:r>
      <w:r w:rsidR="007334BD">
        <w:rPr>
          <w:rFonts w:cs="Arial"/>
          <w:szCs w:val="22"/>
        </w:rPr>
      </w:r>
      <w:r w:rsidR="007334BD">
        <w:rPr>
          <w:rFonts w:cs="Arial"/>
          <w:szCs w:val="22"/>
        </w:rPr>
        <w:fldChar w:fldCharType="separate"/>
      </w:r>
      <w:r w:rsidR="00A75175">
        <w:t xml:space="preserve">Table A1. </w:t>
      </w:r>
      <w:r w:rsidR="00A75175">
        <w:rPr>
          <w:noProof/>
        </w:rPr>
        <w:t>4</w:t>
      </w:r>
      <w:r w:rsidR="007334BD">
        <w:rPr>
          <w:rFonts w:cs="Arial"/>
          <w:szCs w:val="22"/>
        </w:rPr>
        <w:fldChar w:fldCharType="end"/>
      </w:r>
      <w:r w:rsidR="007334BD">
        <w:rPr>
          <w:rFonts w:cs="Arial"/>
          <w:szCs w:val="22"/>
        </w:rPr>
        <w:t xml:space="preserve">). </w:t>
      </w:r>
      <w:r w:rsidR="007334BD" w:rsidRPr="009665C3">
        <w:rPr>
          <w:rFonts w:cs="Arial"/>
          <w:szCs w:val="22"/>
        </w:rPr>
        <w:t xml:space="preserve"> </w:t>
      </w:r>
      <w:r w:rsidR="00A55CCD">
        <w:t>The density of juvenile corals also declined slightly at most reefs surveyed in 2017 (</w:t>
      </w:r>
      <w:r w:rsidR="00A55CCD">
        <w:fldChar w:fldCharType="begin"/>
      </w:r>
      <w:r w:rsidR="00A55CCD">
        <w:instrText xml:space="preserve"> REF _Ref491336593 \h </w:instrText>
      </w:r>
      <w:r w:rsidR="00A55CCD">
        <w:fldChar w:fldCharType="separate"/>
      </w:r>
      <w:r w:rsidR="00A75175" w:rsidRPr="004252BF">
        <w:t xml:space="preserve">Figure </w:t>
      </w:r>
      <w:r w:rsidR="00A75175">
        <w:rPr>
          <w:noProof/>
        </w:rPr>
        <w:t>19</w:t>
      </w:r>
      <w:r w:rsidR="00A55CCD">
        <w:fldChar w:fldCharType="end"/>
      </w:r>
      <w:r w:rsidR="00A55CCD">
        <w:t xml:space="preserve">, </w:t>
      </w:r>
      <w:r w:rsidR="00A55CCD">
        <w:fldChar w:fldCharType="begin"/>
      </w:r>
      <w:r w:rsidR="00A55CCD">
        <w:instrText xml:space="preserve"> REF _Ref501109656 \h </w:instrText>
      </w:r>
      <w:r w:rsidR="00A55CCD">
        <w:fldChar w:fldCharType="separate"/>
      </w:r>
      <w:r w:rsidR="00A75175">
        <w:t xml:space="preserve">Figure A1. </w:t>
      </w:r>
      <w:r w:rsidR="00A75175">
        <w:rPr>
          <w:noProof/>
        </w:rPr>
        <w:t>4</w:t>
      </w:r>
      <w:r w:rsidR="00A55CCD">
        <w:fldChar w:fldCharType="end"/>
      </w:r>
      <w:r w:rsidR="00A55CCD">
        <w:t>)</w:t>
      </w:r>
      <w:r w:rsidR="00BF273D">
        <w:t>.</w:t>
      </w:r>
      <w:r w:rsidR="00BF273D" w:rsidRPr="007430DC">
        <w:rPr>
          <w:i/>
        </w:rPr>
        <w:t xml:space="preserve"> </w:t>
      </w:r>
      <w:r w:rsidR="00A55CCD">
        <w:t xml:space="preserve">Both Havannah North and Pandora North were surveyed by the LTMP prior to the </w:t>
      </w:r>
      <w:r w:rsidR="00743795">
        <w:t>b</w:t>
      </w:r>
      <w:r w:rsidR="00A55CCD">
        <w:t xml:space="preserve">leaching event with both coral cover and juvenile densities increasing at each reef, adding weight to bleaching as the primary cause of reductions seen elsewhere. Further limiting the influence of the bleaching event on the index was the rapid increase in coral cover that had occurred in the years preceding the bleaching event </w:t>
      </w:r>
      <w:r w:rsidR="00743795">
        <w:t xml:space="preserve">realised as </w:t>
      </w:r>
      <w:r w:rsidR="00A55CCD">
        <w:t xml:space="preserve">in improved scores for the Coral Change metric in 2017. With only eight of the fifteen reefs in the region </w:t>
      </w:r>
      <w:r w:rsidR="00743795">
        <w:t xml:space="preserve">surveyed post the bleaching event </w:t>
      </w:r>
      <w:r w:rsidR="00BF273D">
        <w:t xml:space="preserve">it is likely the Coral Cover </w:t>
      </w:r>
      <w:r w:rsidR="00743795">
        <w:t xml:space="preserve">and Juvenile </w:t>
      </w:r>
      <w:r w:rsidR="00BF273D">
        <w:t>metric</w:t>
      </w:r>
      <w:r w:rsidR="00743795">
        <w:t>s</w:t>
      </w:r>
      <w:r w:rsidR="00BF273D">
        <w:t xml:space="preserve"> </w:t>
      </w:r>
      <w:r w:rsidR="00743795">
        <w:t>do not capture the full impact of this event.</w:t>
      </w:r>
    </w:p>
    <w:p w14:paraId="72D3C0F4" w14:textId="77777777" w:rsidR="00B36605" w:rsidRPr="00382A2B" w:rsidRDefault="002C318B" w:rsidP="00671DC7">
      <w:r w:rsidRPr="00382A2B">
        <w:t>Declines in the index through to 201</w:t>
      </w:r>
      <w:r w:rsidR="002E5E8F" w:rsidRPr="00382A2B">
        <w:t>2</w:t>
      </w:r>
      <w:r w:rsidRPr="00382A2B">
        <w:t xml:space="preserve"> coincided with the combined influence of Cyclone Yasi and a period of very high discharge from the region</w:t>
      </w:r>
      <w:r w:rsidR="002E5E8F" w:rsidRPr="00382A2B">
        <w:t>’</w:t>
      </w:r>
      <w:r w:rsidRPr="00382A2B">
        <w:t>s rivers (</w:t>
      </w:r>
      <w:r w:rsidR="002E5E8F" w:rsidRPr="00382A2B">
        <w:fldChar w:fldCharType="begin"/>
      </w:r>
      <w:r w:rsidR="002E5E8F" w:rsidRPr="00382A2B">
        <w:instrText xml:space="preserve"> REF _Ref491336872 \h </w:instrText>
      </w:r>
      <w:r w:rsidR="002E5E8F" w:rsidRPr="00382A2B">
        <w:fldChar w:fldCharType="separate"/>
      </w:r>
      <w:r w:rsidR="00A75175" w:rsidRPr="00F352E1">
        <w:t xml:space="preserve">Figure </w:t>
      </w:r>
      <w:r w:rsidR="00A75175">
        <w:rPr>
          <w:noProof/>
        </w:rPr>
        <w:t>18</w:t>
      </w:r>
      <w:r w:rsidR="002E5E8F" w:rsidRPr="00382A2B">
        <w:fldChar w:fldCharType="end"/>
      </w:r>
      <w:r w:rsidR="002E5E8F" w:rsidRPr="00382A2B">
        <w:t>d, e</w:t>
      </w:r>
      <w:r w:rsidRPr="00382A2B">
        <w:t>).</w:t>
      </w:r>
      <w:r w:rsidR="002E5E8F" w:rsidRPr="00382A2B">
        <w:t xml:space="preserve"> </w:t>
      </w:r>
      <w:r w:rsidR="00B36605" w:rsidRPr="00382A2B">
        <w:rPr>
          <w:rFonts w:cs="Arial"/>
          <w:szCs w:val="22"/>
        </w:rPr>
        <w:t xml:space="preserve">Since </w:t>
      </w:r>
      <w:r w:rsidR="00C10AB2" w:rsidRPr="00382A2B">
        <w:rPr>
          <w:rFonts w:cs="Arial"/>
          <w:szCs w:val="22"/>
        </w:rPr>
        <w:t xml:space="preserve">2005, </w:t>
      </w:r>
      <w:r w:rsidR="00B36605" w:rsidRPr="00382A2B">
        <w:rPr>
          <w:rFonts w:cs="Arial"/>
          <w:szCs w:val="22"/>
        </w:rPr>
        <w:t xml:space="preserve">cyclones </w:t>
      </w:r>
      <w:r w:rsidR="00C10AB2" w:rsidRPr="00382A2B">
        <w:rPr>
          <w:rFonts w:cs="Arial"/>
          <w:szCs w:val="22"/>
        </w:rPr>
        <w:t>and st</w:t>
      </w:r>
      <w:r w:rsidR="00F20E7A" w:rsidRPr="00382A2B">
        <w:rPr>
          <w:rFonts w:cs="Arial"/>
          <w:szCs w:val="22"/>
        </w:rPr>
        <w:t>orms have accounted for 5</w:t>
      </w:r>
      <w:r w:rsidR="00321ED9" w:rsidRPr="00382A2B">
        <w:rPr>
          <w:rFonts w:cs="Arial"/>
          <w:szCs w:val="22"/>
        </w:rPr>
        <w:t>0</w:t>
      </w:r>
      <w:r w:rsidR="00F20E7A" w:rsidRPr="00382A2B">
        <w:rPr>
          <w:rFonts w:cs="Arial"/>
          <w:szCs w:val="22"/>
        </w:rPr>
        <w:t>% of h</w:t>
      </w:r>
      <w:r w:rsidR="00C10AB2" w:rsidRPr="00382A2B">
        <w:rPr>
          <w:rFonts w:cs="Arial"/>
          <w:szCs w:val="22"/>
        </w:rPr>
        <w:t>ard coral losses (</w:t>
      </w:r>
      <w:r w:rsidR="002E5E8F" w:rsidRPr="00382A2B">
        <w:rPr>
          <w:rFonts w:cs="Arial"/>
          <w:szCs w:val="22"/>
        </w:rPr>
        <w:fldChar w:fldCharType="begin"/>
      </w:r>
      <w:r w:rsidR="002E5E8F" w:rsidRPr="00382A2B">
        <w:rPr>
          <w:rFonts w:cs="Arial"/>
          <w:szCs w:val="22"/>
        </w:rPr>
        <w:instrText xml:space="preserve"> REF _Ref491336872 \h </w:instrText>
      </w:r>
      <w:r w:rsidR="002E5E8F" w:rsidRPr="00382A2B">
        <w:rPr>
          <w:rFonts w:cs="Arial"/>
          <w:szCs w:val="22"/>
        </w:rPr>
      </w:r>
      <w:r w:rsidR="002E5E8F" w:rsidRPr="00382A2B">
        <w:rPr>
          <w:rFonts w:cs="Arial"/>
          <w:szCs w:val="22"/>
        </w:rPr>
        <w:fldChar w:fldCharType="separate"/>
      </w:r>
      <w:r w:rsidR="00A75175" w:rsidRPr="00F352E1">
        <w:t xml:space="preserve">Figure </w:t>
      </w:r>
      <w:r w:rsidR="00A75175">
        <w:rPr>
          <w:noProof/>
        </w:rPr>
        <w:t>18</w:t>
      </w:r>
      <w:r w:rsidR="002E5E8F" w:rsidRPr="00382A2B">
        <w:rPr>
          <w:rFonts w:cs="Arial"/>
          <w:szCs w:val="22"/>
        </w:rPr>
        <w:fldChar w:fldCharType="end"/>
      </w:r>
      <w:r w:rsidR="00C10AB2" w:rsidRPr="00382A2B">
        <w:rPr>
          <w:rFonts w:cs="Arial"/>
          <w:szCs w:val="22"/>
        </w:rPr>
        <w:t>e).</w:t>
      </w:r>
      <w:r w:rsidR="00E75F5C" w:rsidRPr="00382A2B">
        <w:rPr>
          <w:rFonts w:cs="Arial"/>
          <w:szCs w:val="22"/>
        </w:rPr>
        <w:t xml:space="preserve"> </w:t>
      </w:r>
      <w:r w:rsidR="00B36605" w:rsidRPr="00382A2B">
        <w:rPr>
          <w:rFonts w:cs="Arial"/>
          <w:szCs w:val="22"/>
        </w:rPr>
        <w:t>East-facing locations, such as Palms East and Lady Elliot</w:t>
      </w:r>
      <w:r w:rsidR="00C10AB2" w:rsidRPr="00382A2B">
        <w:rPr>
          <w:rFonts w:cs="Arial"/>
          <w:szCs w:val="22"/>
        </w:rPr>
        <w:t xml:space="preserve"> (2 m)</w:t>
      </w:r>
      <w:r w:rsidR="00B36605" w:rsidRPr="00382A2B">
        <w:rPr>
          <w:rFonts w:cs="Arial"/>
          <w:szCs w:val="22"/>
        </w:rPr>
        <w:t xml:space="preserve">, </w:t>
      </w:r>
      <w:r w:rsidR="00C10AB2" w:rsidRPr="00382A2B">
        <w:rPr>
          <w:rFonts w:cs="Arial"/>
          <w:szCs w:val="22"/>
        </w:rPr>
        <w:t>we</w:t>
      </w:r>
      <w:r w:rsidR="00B36605" w:rsidRPr="00382A2B">
        <w:rPr>
          <w:rFonts w:cs="Arial"/>
          <w:szCs w:val="22"/>
        </w:rPr>
        <w:t>re particularly exposed to storm driven seas, and show the impacts of Cyclone Larry (2006) and Cyclone Yasi (2011) (</w:t>
      </w:r>
      <w:r w:rsidR="007B0264">
        <w:rPr>
          <w:rFonts w:cs="Arial"/>
          <w:szCs w:val="22"/>
        </w:rPr>
        <w:fldChar w:fldCharType="begin"/>
      </w:r>
      <w:r w:rsidR="007B0264">
        <w:rPr>
          <w:rFonts w:cs="Arial"/>
          <w:szCs w:val="22"/>
        </w:rPr>
        <w:instrText xml:space="preserve"> REF _Ref501109656 \h </w:instrText>
      </w:r>
      <w:r w:rsidR="007B0264">
        <w:rPr>
          <w:rFonts w:cs="Arial"/>
          <w:szCs w:val="22"/>
        </w:rPr>
      </w:r>
      <w:r w:rsidR="007B0264">
        <w:rPr>
          <w:rFonts w:cs="Arial"/>
          <w:szCs w:val="22"/>
        </w:rPr>
        <w:fldChar w:fldCharType="separate"/>
      </w:r>
      <w:r w:rsidR="00A75175">
        <w:t xml:space="preserve">Figure A1. </w:t>
      </w:r>
      <w:r w:rsidR="00A75175">
        <w:rPr>
          <w:noProof/>
        </w:rPr>
        <w:t>4</w:t>
      </w:r>
      <w:r w:rsidR="007B0264">
        <w:rPr>
          <w:rFonts w:cs="Arial"/>
          <w:szCs w:val="22"/>
        </w:rPr>
        <w:fldChar w:fldCharType="end"/>
      </w:r>
      <w:r w:rsidR="007B0264">
        <w:rPr>
          <w:rFonts w:cs="Arial"/>
          <w:szCs w:val="22"/>
        </w:rPr>
        <w:t xml:space="preserve">, </w:t>
      </w:r>
      <w:r w:rsidR="00743795">
        <w:rPr>
          <w:rFonts w:cs="Arial"/>
          <w:szCs w:val="22"/>
        </w:rPr>
        <w:fldChar w:fldCharType="begin"/>
      </w:r>
      <w:r w:rsidR="00743795">
        <w:rPr>
          <w:rFonts w:cs="Arial"/>
          <w:szCs w:val="22"/>
        </w:rPr>
        <w:instrText xml:space="preserve"> REF _Ref500961104 \h </w:instrText>
      </w:r>
      <w:r w:rsidR="00743795">
        <w:rPr>
          <w:rFonts w:cs="Arial"/>
          <w:szCs w:val="22"/>
        </w:rPr>
      </w:r>
      <w:r w:rsidR="00743795">
        <w:rPr>
          <w:rFonts w:cs="Arial"/>
          <w:szCs w:val="22"/>
        </w:rPr>
        <w:fldChar w:fldCharType="separate"/>
      </w:r>
      <w:r w:rsidR="00A75175">
        <w:t xml:space="preserve">Table A1. </w:t>
      </w:r>
      <w:r w:rsidR="00A75175">
        <w:rPr>
          <w:noProof/>
        </w:rPr>
        <w:t>4</w:t>
      </w:r>
      <w:r w:rsidR="00743795">
        <w:rPr>
          <w:rFonts w:cs="Arial"/>
          <w:szCs w:val="22"/>
        </w:rPr>
        <w:fldChar w:fldCharType="end"/>
      </w:r>
      <w:r w:rsidR="00B36605" w:rsidRPr="00382A2B">
        <w:rPr>
          <w:rFonts w:cs="Arial"/>
          <w:szCs w:val="22"/>
        </w:rPr>
        <w:t xml:space="preserve">). </w:t>
      </w:r>
      <w:r w:rsidR="00C10AB2" w:rsidRPr="00382A2B">
        <w:rPr>
          <w:rFonts w:cs="Arial"/>
          <w:szCs w:val="22"/>
        </w:rPr>
        <w:t>The lag</w:t>
      </w:r>
      <w:r w:rsidR="007B0264">
        <w:rPr>
          <w:rFonts w:cs="Arial"/>
          <w:szCs w:val="22"/>
        </w:rPr>
        <w:t>ged</w:t>
      </w:r>
      <w:r w:rsidR="00C10AB2" w:rsidRPr="00382A2B">
        <w:rPr>
          <w:rFonts w:cs="Arial"/>
          <w:szCs w:val="22"/>
        </w:rPr>
        <w:t xml:space="preserve"> influence from </w:t>
      </w:r>
      <w:r w:rsidR="003E2ED1" w:rsidRPr="00382A2B">
        <w:rPr>
          <w:rFonts w:cs="Arial"/>
          <w:szCs w:val="22"/>
        </w:rPr>
        <w:t>Cyclone Yasi noted in 2012</w:t>
      </w:r>
      <w:r w:rsidR="000A0CE6" w:rsidRPr="00382A2B">
        <w:rPr>
          <w:rFonts w:cs="Arial"/>
          <w:szCs w:val="22"/>
        </w:rPr>
        <w:t xml:space="preserve"> (</w:t>
      </w:r>
      <w:r w:rsidR="003E2ED1" w:rsidRPr="00382A2B">
        <w:rPr>
          <w:rFonts w:cs="Arial"/>
          <w:szCs w:val="22"/>
        </w:rPr>
        <w:fldChar w:fldCharType="begin"/>
      </w:r>
      <w:r w:rsidR="003E2ED1" w:rsidRPr="00382A2B">
        <w:rPr>
          <w:rFonts w:cs="Arial"/>
          <w:szCs w:val="22"/>
        </w:rPr>
        <w:instrText xml:space="preserve"> REF _Ref491336872 \h </w:instrText>
      </w:r>
      <w:r w:rsidR="003E2ED1" w:rsidRPr="00382A2B">
        <w:rPr>
          <w:rFonts w:cs="Arial"/>
          <w:szCs w:val="22"/>
        </w:rPr>
      </w:r>
      <w:r w:rsidR="003E2ED1" w:rsidRPr="00382A2B">
        <w:rPr>
          <w:rFonts w:cs="Arial"/>
          <w:szCs w:val="22"/>
        </w:rPr>
        <w:fldChar w:fldCharType="separate"/>
      </w:r>
      <w:r w:rsidR="00A75175" w:rsidRPr="00F352E1">
        <w:t xml:space="preserve">Figure </w:t>
      </w:r>
      <w:r w:rsidR="00A75175">
        <w:rPr>
          <w:noProof/>
        </w:rPr>
        <w:t>18</w:t>
      </w:r>
      <w:r w:rsidR="003E2ED1" w:rsidRPr="00382A2B">
        <w:rPr>
          <w:rFonts w:cs="Arial"/>
          <w:szCs w:val="22"/>
        </w:rPr>
        <w:fldChar w:fldCharType="end"/>
      </w:r>
      <w:r w:rsidR="003E2ED1" w:rsidRPr="00382A2B">
        <w:rPr>
          <w:rFonts w:cs="Arial"/>
          <w:szCs w:val="22"/>
        </w:rPr>
        <w:t>e</w:t>
      </w:r>
      <w:r w:rsidR="00C10AB2" w:rsidRPr="00382A2B">
        <w:rPr>
          <w:rFonts w:cs="Arial"/>
          <w:szCs w:val="22"/>
        </w:rPr>
        <w:t>)</w:t>
      </w:r>
      <w:r w:rsidR="008456E8" w:rsidRPr="00382A2B">
        <w:rPr>
          <w:rFonts w:cs="Arial"/>
          <w:szCs w:val="22"/>
        </w:rPr>
        <w:t>,</w:t>
      </w:r>
      <w:r w:rsidR="00C10AB2" w:rsidRPr="00382A2B">
        <w:rPr>
          <w:rFonts w:cs="Arial"/>
          <w:szCs w:val="22"/>
        </w:rPr>
        <w:t xml:space="preserve"> is due to LTMP surveys post Yasi not occurring until </w:t>
      </w:r>
      <w:r w:rsidR="008456E8" w:rsidRPr="00382A2B">
        <w:rPr>
          <w:rFonts w:cs="Arial"/>
          <w:szCs w:val="22"/>
        </w:rPr>
        <w:t>that year</w:t>
      </w:r>
      <w:r w:rsidR="00C10AB2" w:rsidRPr="00382A2B">
        <w:rPr>
          <w:rFonts w:cs="Arial"/>
          <w:szCs w:val="22"/>
        </w:rPr>
        <w:t xml:space="preserve">. </w:t>
      </w:r>
      <w:r w:rsidR="00B36605" w:rsidRPr="00382A2B">
        <w:rPr>
          <w:rFonts w:cs="Arial"/>
          <w:szCs w:val="22"/>
        </w:rPr>
        <w:t>The last ou</w:t>
      </w:r>
      <w:r w:rsidR="00B36605" w:rsidRPr="00382A2B">
        <w:t xml:space="preserve">tbreak </w:t>
      </w:r>
      <w:r w:rsidR="008456E8" w:rsidRPr="00382A2B">
        <w:t xml:space="preserve">of </w:t>
      </w:r>
      <w:r w:rsidR="003E2ED1" w:rsidRPr="00382A2B">
        <w:t xml:space="preserve">COTS on the inshore reefs in this region </w:t>
      </w:r>
      <w:r w:rsidR="00B36605" w:rsidRPr="00382A2B">
        <w:t xml:space="preserve">occurred at Havannah in 2001. </w:t>
      </w:r>
      <w:r w:rsidR="00321ED9" w:rsidRPr="00382A2B">
        <w:t xml:space="preserve">No COTS were observed during surveys in 2017 however </w:t>
      </w:r>
      <w:r w:rsidR="00382A2B" w:rsidRPr="00382A2B">
        <w:t>on the</w:t>
      </w:r>
      <w:r w:rsidR="003E2ED1" w:rsidRPr="00382A2B">
        <w:t xml:space="preserve"> mid shelf reefs in this region COTS numbers are in outbreak densities at some reefs (</w:t>
      </w:r>
      <w:hyperlink r:id="rId52" w:history="1">
        <w:r w:rsidR="003E2ED1" w:rsidRPr="00382A2B">
          <w:rPr>
            <w:rStyle w:val="Hyperlink"/>
            <w:color w:val="auto"/>
          </w:rPr>
          <w:t>AIMS LTMP</w:t>
        </w:r>
      </w:hyperlink>
      <w:r w:rsidR="003E2ED1" w:rsidRPr="00382A2B">
        <w:t>).</w:t>
      </w:r>
      <w:r w:rsidR="00E75F5C" w:rsidRPr="00382A2B">
        <w:t xml:space="preserve"> </w:t>
      </w:r>
    </w:p>
    <w:p w14:paraId="409E46CE" w14:textId="4724D3F5" w:rsidR="0039205B" w:rsidRPr="00382A2B" w:rsidRDefault="00236880" w:rsidP="00B36605">
      <w:r w:rsidRPr="00382A2B">
        <w:t xml:space="preserve">In addition to losses in coral cover attributed to </w:t>
      </w:r>
      <w:r w:rsidR="00B36605" w:rsidRPr="00382A2B">
        <w:t>Cyclone Yasi</w:t>
      </w:r>
      <w:r w:rsidRPr="00382A2B">
        <w:t>,</w:t>
      </w:r>
      <w:r w:rsidR="00B36605" w:rsidRPr="00382A2B">
        <w:t xml:space="preserve"> </w:t>
      </w:r>
      <w:r w:rsidRPr="00382A2B">
        <w:t>the period 2009</w:t>
      </w:r>
      <w:r w:rsidR="008456E8" w:rsidRPr="00382A2B">
        <w:t xml:space="preserve"> to </w:t>
      </w:r>
      <w:r w:rsidRPr="00382A2B">
        <w:t>2012 saw a reduction in the Coral Change metric (</w:t>
      </w:r>
      <w:r w:rsidR="0024084A">
        <w:fldChar w:fldCharType="begin"/>
      </w:r>
      <w:r w:rsidR="0024084A">
        <w:instrText xml:space="preserve"> REF _Ref491336568 \h </w:instrText>
      </w:r>
      <w:r w:rsidR="0024084A">
        <w:fldChar w:fldCharType="separate"/>
      </w:r>
      <w:r w:rsidR="00A75175" w:rsidRPr="00F352E1">
        <w:t xml:space="preserve">Table </w:t>
      </w:r>
      <w:r w:rsidR="00A75175">
        <w:rPr>
          <w:noProof/>
        </w:rPr>
        <w:t>13</w:t>
      </w:r>
      <w:r w:rsidR="0024084A">
        <w:fldChar w:fldCharType="end"/>
      </w:r>
      <w:r w:rsidRPr="00382A2B">
        <w:t>)</w:t>
      </w:r>
      <w:r w:rsidR="008D1EA7">
        <w:t>.</w:t>
      </w:r>
      <w:r w:rsidR="008456E8" w:rsidRPr="00382A2B">
        <w:t xml:space="preserve"> </w:t>
      </w:r>
      <w:r w:rsidR="008D1EA7">
        <w:t>O</w:t>
      </w:r>
      <w:r w:rsidR="008456E8" w:rsidRPr="00382A2B">
        <w:t>ver</w:t>
      </w:r>
      <w:r w:rsidR="003E2ED1" w:rsidRPr="00382A2B">
        <w:t>all</w:t>
      </w:r>
      <w:r w:rsidR="008456E8" w:rsidRPr="00382A2B">
        <w:t>,</w:t>
      </w:r>
      <w:r w:rsidR="003E2ED1" w:rsidRPr="00382A2B">
        <w:t xml:space="preserve"> low rates of increase in coral cover </w:t>
      </w:r>
      <w:r w:rsidRPr="00382A2B">
        <w:t>contributed to</w:t>
      </w:r>
      <w:r w:rsidR="00E75F5C" w:rsidRPr="00382A2B">
        <w:t xml:space="preserve"> </w:t>
      </w:r>
      <w:r w:rsidR="00321ED9" w:rsidRPr="00382A2B">
        <w:t>31</w:t>
      </w:r>
      <w:r w:rsidRPr="00382A2B">
        <w:t xml:space="preserve">% of cover lost since 2005 </w:t>
      </w:r>
      <w:r w:rsidR="003E2ED1" w:rsidRPr="00382A2B">
        <w:t>(</w:t>
      </w:r>
      <w:r w:rsidRPr="00382A2B">
        <w:t>chronic pressures</w:t>
      </w:r>
      <w:r w:rsidR="003E2ED1" w:rsidRPr="00382A2B">
        <w:t xml:space="preserve">, </w:t>
      </w:r>
      <w:r w:rsidR="003E2ED1" w:rsidRPr="00382A2B">
        <w:fldChar w:fldCharType="begin"/>
      </w:r>
      <w:r w:rsidR="003E2ED1" w:rsidRPr="00382A2B">
        <w:instrText xml:space="preserve"> REF _Ref491336872 \h </w:instrText>
      </w:r>
      <w:r w:rsidR="003E2ED1" w:rsidRPr="00382A2B">
        <w:fldChar w:fldCharType="separate"/>
      </w:r>
      <w:r w:rsidR="00A75175" w:rsidRPr="00F352E1">
        <w:t xml:space="preserve">Figure </w:t>
      </w:r>
      <w:r w:rsidR="00A75175">
        <w:rPr>
          <w:noProof/>
        </w:rPr>
        <w:t>18</w:t>
      </w:r>
      <w:r w:rsidR="003E2ED1" w:rsidRPr="00382A2B">
        <w:fldChar w:fldCharType="end"/>
      </w:r>
      <w:r w:rsidR="003E2ED1" w:rsidRPr="00382A2B">
        <w:t>e</w:t>
      </w:r>
      <w:r w:rsidRPr="00382A2B">
        <w:t xml:space="preserve">). </w:t>
      </w:r>
      <w:r w:rsidR="00B36605" w:rsidRPr="00382A2B">
        <w:t>Although not categorised as a disease outbreak for the purpose of disturbance estimatio</w:t>
      </w:r>
      <w:r w:rsidR="003E2ED1" w:rsidRPr="00382A2B">
        <w:t>n</w:t>
      </w:r>
      <w:r w:rsidR="00B36605" w:rsidRPr="00382A2B">
        <w:t>, elevated levels of disease were observed from 2007 to 2009 (</w:t>
      </w:r>
      <w:r w:rsidR="007B0264">
        <w:fldChar w:fldCharType="begin"/>
      </w:r>
      <w:r w:rsidR="007B0264">
        <w:instrText xml:space="preserve"> REF _Ref501096335 \h </w:instrText>
      </w:r>
      <w:r w:rsidR="007B0264">
        <w:fldChar w:fldCharType="separate"/>
      </w:r>
      <w:r w:rsidR="00A75175">
        <w:t xml:space="preserve">Figure A1. </w:t>
      </w:r>
      <w:r w:rsidR="00A75175">
        <w:rPr>
          <w:noProof/>
        </w:rPr>
        <w:t>7</w:t>
      </w:r>
      <w:r w:rsidR="007B0264">
        <w:fldChar w:fldCharType="end"/>
      </w:r>
      <w:r w:rsidR="00B36605" w:rsidRPr="00382A2B">
        <w:t xml:space="preserve">) </w:t>
      </w:r>
      <w:r w:rsidR="008456E8" w:rsidRPr="00382A2B">
        <w:t xml:space="preserve">and </w:t>
      </w:r>
      <w:r w:rsidR="00B36605" w:rsidRPr="00382A2B">
        <w:t xml:space="preserve">will have contributed to the chronic disturbances recorded </w:t>
      </w:r>
      <w:r w:rsidR="00321ED9" w:rsidRPr="00382A2B">
        <w:t xml:space="preserve">over the period </w:t>
      </w:r>
      <w:r w:rsidR="00B36605" w:rsidRPr="00382A2B">
        <w:t>2008</w:t>
      </w:r>
      <w:r w:rsidR="00321ED9" w:rsidRPr="00382A2B">
        <w:t xml:space="preserve"> to</w:t>
      </w:r>
      <w:r w:rsidR="00B36605" w:rsidRPr="00382A2B">
        <w:t xml:space="preserve"> 2010 (</w:t>
      </w:r>
      <w:r w:rsidR="0039205B" w:rsidRPr="00382A2B">
        <w:fldChar w:fldCharType="begin"/>
      </w:r>
      <w:r w:rsidR="0039205B" w:rsidRPr="00382A2B">
        <w:instrText xml:space="preserve"> REF _Ref491336872 \h </w:instrText>
      </w:r>
      <w:r w:rsidR="0039205B" w:rsidRPr="00382A2B">
        <w:fldChar w:fldCharType="separate"/>
      </w:r>
      <w:r w:rsidR="00A75175" w:rsidRPr="00F352E1">
        <w:t xml:space="preserve">Figure </w:t>
      </w:r>
      <w:r w:rsidR="00A75175">
        <w:rPr>
          <w:noProof/>
        </w:rPr>
        <w:t>18</w:t>
      </w:r>
      <w:r w:rsidR="0039205B" w:rsidRPr="00382A2B">
        <w:fldChar w:fldCharType="end"/>
      </w:r>
      <w:r w:rsidR="00B36605" w:rsidRPr="00382A2B">
        <w:t xml:space="preserve">e). Chronic </w:t>
      </w:r>
      <w:r w:rsidR="00AF2237" w:rsidRPr="00382A2B">
        <w:t xml:space="preserve">pressures are assumed when there is no evidence for impacts </w:t>
      </w:r>
      <w:r w:rsidR="0039205B" w:rsidRPr="00382A2B">
        <w:t xml:space="preserve">associated with </w:t>
      </w:r>
      <w:r w:rsidR="00AF2237" w:rsidRPr="00382A2B">
        <w:t xml:space="preserve">acute </w:t>
      </w:r>
      <w:r w:rsidR="00B36605" w:rsidRPr="00382A2B">
        <w:t xml:space="preserve">disturbances, and represent the cumulative impacts of environmental pressures that suppress the </w:t>
      </w:r>
      <w:r w:rsidR="008456E8" w:rsidRPr="00382A2B">
        <w:t xml:space="preserve">annual increments in cover increase that are the basis of the </w:t>
      </w:r>
      <w:r w:rsidR="00AF2237" w:rsidRPr="00382A2B">
        <w:t>C</w:t>
      </w:r>
      <w:r w:rsidR="00B36605" w:rsidRPr="00382A2B">
        <w:t xml:space="preserve">oral </w:t>
      </w:r>
      <w:r w:rsidR="00AF2237" w:rsidRPr="00382A2B">
        <w:t>C</w:t>
      </w:r>
      <w:r w:rsidR="008456E8" w:rsidRPr="00382A2B">
        <w:t>hange</w:t>
      </w:r>
      <w:r w:rsidR="00AF2237" w:rsidRPr="00382A2B">
        <w:t xml:space="preserve"> scores</w:t>
      </w:r>
      <w:r w:rsidR="00B36605" w:rsidRPr="00382A2B">
        <w:t xml:space="preserve">. As </w:t>
      </w:r>
      <w:r w:rsidR="00B36605" w:rsidRPr="00382A2B">
        <w:rPr>
          <w:i/>
        </w:rPr>
        <w:t>Acropora</w:t>
      </w:r>
      <w:r w:rsidR="00B36605" w:rsidRPr="00382A2B">
        <w:t xml:space="preserve"> and </w:t>
      </w:r>
      <w:r w:rsidR="00B36605" w:rsidRPr="00382A2B">
        <w:rPr>
          <w:i/>
        </w:rPr>
        <w:t>Montipora</w:t>
      </w:r>
      <w:r w:rsidR="00B36605" w:rsidRPr="00382A2B">
        <w:t xml:space="preserve"> were the genera </w:t>
      </w:r>
      <w:r w:rsidR="00AF2237" w:rsidRPr="00382A2B">
        <w:t xml:space="preserve">most infected by </w:t>
      </w:r>
      <w:r w:rsidR="00B36605" w:rsidRPr="00382A2B">
        <w:t>disease</w:t>
      </w:r>
      <w:r w:rsidR="0039205B" w:rsidRPr="00382A2B">
        <w:t xml:space="preserve">, the disproportional loss of these groups </w:t>
      </w:r>
      <w:r w:rsidR="00B36605" w:rsidRPr="00382A2B">
        <w:t xml:space="preserve">will have contributed to the decline in the </w:t>
      </w:r>
      <w:r w:rsidR="00AF2237" w:rsidRPr="00382A2B">
        <w:t>C</w:t>
      </w:r>
      <w:r w:rsidR="00B36605" w:rsidRPr="00382A2B">
        <w:t xml:space="preserve">omposition </w:t>
      </w:r>
      <w:r w:rsidR="0039205B" w:rsidRPr="00382A2B">
        <w:t>metric.</w:t>
      </w:r>
      <w:r w:rsidR="00321ED9" w:rsidRPr="00382A2B">
        <w:t xml:space="preserve"> The absence of chronic pressures recorded since 2014 coincides with the reduced runoff and nutrient loads from the adjacent catchment (</w:t>
      </w:r>
      <w:r w:rsidR="00321ED9" w:rsidRPr="00382A2B">
        <w:fldChar w:fldCharType="begin"/>
      </w:r>
      <w:r w:rsidR="00321ED9" w:rsidRPr="00382A2B">
        <w:instrText xml:space="preserve"> REF _Ref491336872 \h </w:instrText>
      </w:r>
      <w:r w:rsidR="00321ED9" w:rsidRPr="00382A2B">
        <w:fldChar w:fldCharType="separate"/>
      </w:r>
      <w:r w:rsidR="00A75175" w:rsidRPr="00F352E1">
        <w:t xml:space="preserve">Figure </w:t>
      </w:r>
      <w:r w:rsidR="00A75175">
        <w:rPr>
          <w:noProof/>
        </w:rPr>
        <w:t>18</w:t>
      </w:r>
      <w:r w:rsidR="00321ED9" w:rsidRPr="00382A2B">
        <w:fldChar w:fldCharType="end"/>
      </w:r>
      <w:r w:rsidR="00136638" w:rsidRPr="001D047C">
        <w:t>d, e</w:t>
      </w:r>
      <w:r w:rsidR="005D4560" w:rsidRPr="00382A2B">
        <w:t>)</w:t>
      </w:r>
    </w:p>
    <w:p w14:paraId="130F118C" w14:textId="77777777" w:rsidR="00B36605" w:rsidRPr="00382A2B" w:rsidRDefault="002C318B" w:rsidP="00B36605">
      <w:r w:rsidRPr="00382A2B">
        <w:t>The t</w:t>
      </w:r>
      <w:r w:rsidR="00D534C4" w:rsidRPr="00382A2B">
        <w:t xml:space="preserve">en reefs </w:t>
      </w:r>
      <w:r w:rsidRPr="00382A2B">
        <w:t>monitored span a distinct gradient in water quality</w:t>
      </w:r>
      <w:r w:rsidR="00D534C4" w:rsidRPr="00382A2B">
        <w:t xml:space="preserve">. The reefs </w:t>
      </w:r>
      <w:r w:rsidR="00970FE1" w:rsidRPr="00382A2B">
        <w:t>closer to the coast</w:t>
      </w:r>
      <w:r w:rsidR="0039205B" w:rsidRPr="00382A2B">
        <w:t xml:space="preserve">: </w:t>
      </w:r>
      <w:r w:rsidR="00D534C4" w:rsidRPr="00382A2B">
        <w:t>Middle, Magneti</w:t>
      </w:r>
      <w:r w:rsidR="00743795">
        <w:t xml:space="preserve">c, Lady Elliot and Pandora are more frequently exposed to </w:t>
      </w:r>
      <w:r w:rsidR="00B30979">
        <w:t xml:space="preserve">high </w:t>
      </w:r>
      <w:r w:rsidR="00743795">
        <w:t xml:space="preserve">wet season </w:t>
      </w:r>
      <w:r w:rsidR="00D534C4" w:rsidRPr="00382A2B">
        <w:rPr>
          <w:rFonts w:cs="Arial"/>
          <w:szCs w:val="22"/>
        </w:rPr>
        <w:t xml:space="preserve">Chl </w:t>
      </w:r>
      <w:r w:rsidR="00D534C4" w:rsidRPr="00382A2B">
        <w:rPr>
          <w:rFonts w:cs="Arial"/>
          <w:i/>
          <w:szCs w:val="22"/>
        </w:rPr>
        <w:t>a</w:t>
      </w:r>
      <w:r w:rsidR="00743795">
        <w:rPr>
          <w:rFonts w:cs="Arial"/>
          <w:szCs w:val="22"/>
        </w:rPr>
        <w:t xml:space="preserve"> concentrations than those further offshore </w:t>
      </w:r>
      <w:r w:rsidR="00D534C4" w:rsidRPr="00382A2B">
        <w:rPr>
          <w:rFonts w:cs="Arial"/>
          <w:szCs w:val="22"/>
        </w:rPr>
        <w:t>(</w:t>
      </w:r>
      <w:r w:rsidR="0039205B" w:rsidRPr="00382A2B">
        <w:rPr>
          <w:rFonts w:cs="Arial"/>
          <w:szCs w:val="22"/>
        </w:rPr>
        <w:fldChar w:fldCharType="begin"/>
      </w:r>
      <w:r w:rsidR="0039205B" w:rsidRPr="00382A2B">
        <w:rPr>
          <w:rFonts w:cs="Arial"/>
          <w:szCs w:val="22"/>
        </w:rPr>
        <w:instrText xml:space="preserve"> REF _Ref491336872 \h </w:instrText>
      </w:r>
      <w:r w:rsidR="0039205B" w:rsidRPr="00382A2B">
        <w:rPr>
          <w:rFonts w:cs="Arial"/>
          <w:szCs w:val="22"/>
        </w:rPr>
      </w:r>
      <w:r w:rsidR="0039205B" w:rsidRPr="00382A2B">
        <w:rPr>
          <w:rFonts w:cs="Arial"/>
          <w:szCs w:val="22"/>
        </w:rPr>
        <w:fldChar w:fldCharType="separate"/>
      </w:r>
      <w:r w:rsidR="00A75175" w:rsidRPr="00F352E1">
        <w:t xml:space="preserve">Figure </w:t>
      </w:r>
      <w:r w:rsidR="00A75175">
        <w:rPr>
          <w:noProof/>
        </w:rPr>
        <w:t>18</w:t>
      </w:r>
      <w:r w:rsidR="0039205B" w:rsidRPr="00382A2B">
        <w:rPr>
          <w:rFonts w:cs="Arial"/>
          <w:szCs w:val="22"/>
        </w:rPr>
        <w:fldChar w:fldCharType="end"/>
      </w:r>
      <w:r w:rsidR="0039205B" w:rsidRPr="00382A2B">
        <w:rPr>
          <w:rFonts w:cs="Arial"/>
          <w:szCs w:val="22"/>
        </w:rPr>
        <w:t>a</w:t>
      </w:r>
      <w:r w:rsidR="00D534C4" w:rsidRPr="00382A2B">
        <w:rPr>
          <w:rFonts w:cs="Arial"/>
          <w:szCs w:val="22"/>
        </w:rPr>
        <w:t>,</w:t>
      </w:r>
      <w:r w:rsidR="00743795">
        <w:rPr>
          <w:rFonts w:cs="Arial"/>
          <w:szCs w:val="22"/>
        </w:rPr>
        <w:t xml:space="preserve"> </w:t>
      </w:r>
      <w:r w:rsidR="00743795">
        <w:rPr>
          <w:rFonts w:cs="Arial"/>
          <w:szCs w:val="22"/>
        </w:rPr>
        <w:fldChar w:fldCharType="begin"/>
      </w:r>
      <w:r w:rsidR="00743795">
        <w:rPr>
          <w:rFonts w:cs="Arial"/>
          <w:szCs w:val="22"/>
        </w:rPr>
        <w:instrText xml:space="preserve"> REF _Ref501113071 \h </w:instrText>
      </w:r>
      <w:r w:rsidR="00743795">
        <w:rPr>
          <w:rFonts w:cs="Arial"/>
          <w:szCs w:val="22"/>
        </w:rPr>
      </w:r>
      <w:r w:rsidR="00743795">
        <w:rPr>
          <w:rFonts w:cs="Arial"/>
          <w:szCs w:val="22"/>
        </w:rPr>
        <w:fldChar w:fldCharType="separate"/>
      </w:r>
      <w:r w:rsidR="00A75175">
        <w:t xml:space="preserve">Table A1. </w:t>
      </w:r>
      <w:r w:rsidR="00A75175">
        <w:rPr>
          <w:noProof/>
        </w:rPr>
        <w:t>6</w:t>
      </w:r>
      <w:r w:rsidR="00743795">
        <w:rPr>
          <w:rFonts w:cs="Arial"/>
          <w:szCs w:val="22"/>
        </w:rPr>
        <w:fldChar w:fldCharType="end"/>
      </w:r>
      <w:r w:rsidR="00743795">
        <w:rPr>
          <w:rFonts w:cs="Arial"/>
          <w:szCs w:val="22"/>
        </w:rPr>
        <w:t>)</w:t>
      </w:r>
      <w:r w:rsidR="00D534C4" w:rsidRPr="00382A2B">
        <w:rPr>
          <w:rFonts w:cs="Arial"/>
          <w:szCs w:val="22"/>
        </w:rPr>
        <w:t>.</w:t>
      </w:r>
      <w:r w:rsidR="00970FE1" w:rsidRPr="00382A2B">
        <w:rPr>
          <w:rFonts w:cs="Arial"/>
          <w:szCs w:val="22"/>
        </w:rPr>
        <w:t xml:space="preserve"> </w:t>
      </w:r>
      <w:r w:rsidR="00D534C4" w:rsidRPr="00382A2B">
        <w:rPr>
          <w:rFonts w:cs="Arial"/>
          <w:szCs w:val="22"/>
        </w:rPr>
        <w:t xml:space="preserve">The composition of coral </w:t>
      </w:r>
      <w:r w:rsidR="00970FE1" w:rsidRPr="00382A2B">
        <w:rPr>
          <w:rFonts w:cs="Arial"/>
          <w:szCs w:val="22"/>
        </w:rPr>
        <w:t>communities vary in response the</w:t>
      </w:r>
      <w:r w:rsidR="00B30979">
        <w:rPr>
          <w:rFonts w:cs="Arial"/>
          <w:szCs w:val="22"/>
        </w:rPr>
        <w:t xml:space="preserve">ir location along these </w:t>
      </w:r>
      <w:r w:rsidR="00D534C4" w:rsidRPr="00382A2B">
        <w:rPr>
          <w:rFonts w:cs="Arial"/>
          <w:szCs w:val="22"/>
        </w:rPr>
        <w:t xml:space="preserve">environmental </w:t>
      </w:r>
      <w:r w:rsidR="00B30979">
        <w:rPr>
          <w:rFonts w:cs="Arial"/>
          <w:szCs w:val="22"/>
        </w:rPr>
        <w:t>gradients</w:t>
      </w:r>
      <w:r w:rsidR="00970FE1" w:rsidRPr="00382A2B">
        <w:rPr>
          <w:rFonts w:cs="Arial"/>
          <w:szCs w:val="22"/>
        </w:rPr>
        <w:t xml:space="preserve"> (</w:t>
      </w:r>
      <w:r w:rsidR="0039205B" w:rsidRPr="00382A2B">
        <w:rPr>
          <w:rFonts w:cs="Arial"/>
          <w:szCs w:val="22"/>
        </w:rPr>
        <w:fldChar w:fldCharType="begin"/>
      </w:r>
      <w:r w:rsidR="0039205B" w:rsidRPr="00382A2B">
        <w:rPr>
          <w:rFonts w:cs="Arial"/>
          <w:szCs w:val="22"/>
        </w:rPr>
        <w:instrText xml:space="preserve"> REF _Ref491336593 \h </w:instrText>
      </w:r>
      <w:r w:rsidR="0039205B" w:rsidRPr="00382A2B">
        <w:rPr>
          <w:rFonts w:cs="Arial"/>
          <w:szCs w:val="22"/>
        </w:rPr>
      </w:r>
      <w:r w:rsidR="0039205B" w:rsidRPr="00382A2B">
        <w:rPr>
          <w:rFonts w:cs="Arial"/>
          <w:szCs w:val="22"/>
        </w:rPr>
        <w:fldChar w:fldCharType="separate"/>
      </w:r>
      <w:r w:rsidR="00A75175" w:rsidRPr="004252BF">
        <w:t xml:space="preserve">Figure </w:t>
      </w:r>
      <w:r w:rsidR="00A75175">
        <w:rPr>
          <w:noProof/>
        </w:rPr>
        <w:t>19</w:t>
      </w:r>
      <w:r w:rsidR="0039205B" w:rsidRPr="00382A2B">
        <w:rPr>
          <w:rFonts w:cs="Arial"/>
          <w:szCs w:val="22"/>
        </w:rPr>
        <w:fldChar w:fldCharType="end"/>
      </w:r>
      <w:r w:rsidR="0039205B" w:rsidRPr="00382A2B">
        <w:rPr>
          <w:rFonts w:cs="Arial"/>
          <w:szCs w:val="22"/>
        </w:rPr>
        <w:t>f</w:t>
      </w:r>
      <w:r w:rsidR="00B30979">
        <w:rPr>
          <w:rFonts w:cs="Arial"/>
          <w:szCs w:val="22"/>
        </w:rPr>
        <w:t xml:space="preserve">). </w:t>
      </w:r>
      <w:r w:rsidR="00D534C4" w:rsidRPr="00382A2B">
        <w:rPr>
          <w:rFonts w:cs="Arial"/>
          <w:szCs w:val="22"/>
        </w:rPr>
        <w:t xml:space="preserve"> </w:t>
      </w:r>
      <w:r w:rsidR="00B30979">
        <w:rPr>
          <w:rFonts w:cs="Arial"/>
          <w:szCs w:val="22"/>
        </w:rPr>
        <w:t xml:space="preserve">Proportional cover </w:t>
      </w:r>
      <w:r w:rsidR="00D534C4" w:rsidRPr="00382A2B">
        <w:rPr>
          <w:rFonts w:cs="Arial"/>
          <w:szCs w:val="22"/>
        </w:rPr>
        <w:t xml:space="preserve">of the families Acroporidae, Pocilloporidae and Poritidae (genus </w:t>
      </w:r>
      <w:r w:rsidR="00D534C4" w:rsidRPr="00382A2B">
        <w:rPr>
          <w:rFonts w:cs="Arial"/>
          <w:i/>
          <w:szCs w:val="22"/>
        </w:rPr>
        <w:t>Porites</w:t>
      </w:r>
      <w:r w:rsidR="00D534C4" w:rsidRPr="00382A2B">
        <w:rPr>
          <w:rFonts w:cs="Arial"/>
          <w:szCs w:val="22"/>
        </w:rPr>
        <w:t xml:space="preserve">) </w:t>
      </w:r>
      <w:r w:rsidR="00B30979">
        <w:rPr>
          <w:rFonts w:cs="Arial"/>
          <w:szCs w:val="22"/>
        </w:rPr>
        <w:t xml:space="preserve">are high </w:t>
      </w:r>
      <w:r w:rsidR="00970FE1" w:rsidRPr="00382A2B">
        <w:rPr>
          <w:rFonts w:cs="Arial"/>
          <w:szCs w:val="22"/>
        </w:rPr>
        <w:t>in clear waters</w:t>
      </w:r>
      <w:r w:rsidR="00F20E7A" w:rsidRPr="00382A2B">
        <w:rPr>
          <w:rFonts w:cs="Arial"/>
          <w:szCs w:val="22"/>
        </w:rPr>
        <w:t>,</w:t>
      </w:r>
      <w:r w:rsidR="00970FE1" w:rsidRPr="00382A2B">
        <w:rPr>
          <w:rFonts w:cs="Arial"/>
          <w:szCs w:val="22"/>
        </w:rPr>
        <w:t xml:space="preserve"> or at 2</w:t>
      </w:r>
      <w:r w:rsidR="0039205B" w:rsidRPr="00382A2B">
        <w:rPr>
          <w:rFonts w:cs="Arial"/>
          <w:szCs w:val="22"/>
        </w:rPr>
        <w:t xml:space="preserve"> </w:t>
      </w:r>
      <w:r w:rsidR="00970FE1" w:rsidRPr="00382A2B">
        <w:rPr>
          <w:rFonts w:cs="Arial"/>
          <w:szCs w:val="22"/>
        </w:rPr>
        <w:t>m depths in more turbid settings</w:t>
      </w:r>
      <w:r w:rsidR="00F20E7A" w:rsidRPr="00382A2B">
        <w:rPr>
          <w:rFonts w:cs="Arial"/>
          <w:szCs w:val="22"/>
        </w:rPr>
        <w:t>,</w:t>
      </w:r>
      <w:r w:rsidR="00D534C4" w:rsidRPr="00382A2B">
        <w:rPr>
          <w:rFonts w:cs="Arial"/>
          <w:szCs w:val="22"/>
        </w:rPr>
        <w:t xml:space="preserve"> </w:t>
      </w:r>
      <w:r w:rsidR="00B30979">
        <w:rPr>
          <w:rFonts w:cs="Arial"/>
          <w:szCs w:val="22"/>
        </w:rPr>
        <w:t xml:space="preserve">with other </w:t>
      </w:r>
      <w:r w:rsidR="00D534C4" w:rsidRPr="00382A2B">
        <w:rPr>
          <w:rFonts w:cs="Arial"/>
          <w:szCs w:val="22"/>
        </w:rPr>
        <w:t xml:space="preserve">families including Agariciidae, Oculinidae, Pectiniidae and Poritidae (Genus </w:t>
      </w:r>
      <w:r w:rsidR="00D534C4" w:rsidRPr="00382A2B">
        <w:rPr>
          <w:rFonts w:cs="Arial"/>
          <w:i/>
          <w:szCs w:val="22"/>
        </w:rPr>
        <w:t>Goniopora</w:t>
      </w:r>
      <w:r w:rsidR="00D534C4" w:rsidRPr="00382A2B">
        <w:rPr>
          <w:rFonts w:cs="Arial"/>
          <w:szCs w:val="22"/>
        </w:rPr>
        <w:t xml:space="preserve">) </w:t>
      </w:r>
      <w:r w:rsidR="00B30979">
        <w:rPr>
          <w:rFonts w:cs="Arial"/>
          <w:szCs w:val="22"/>
        </w:rPr>
        <w:t xml:space="preserve">becoming more prevalent </w:t>
      </w:r>
      <w:r w:rsidR="00D534C4" w:rsidRPr="00382A2B">
        <w:rPr>
          <w:rFonts w:cs="Arial"/>
          <w:szCs w:val="22"/>
        </w:rPr>
        <w:t xml:space="preserve">as </w:t>
      </w:r>
      <w:r w:rsidR="00B30979">
        <w:rPr>
          <w:rFonts w:cs="Arial"/>
          <w:szCs w:val="22"/>
        </w:rPr>
        <w:t>turbidity increases</w:t>
      </w:r>
      <w:r w:rsidR="00D534C4" w:rsidRPr="00382A2B">
        <w:rPr>
          <w:rFonts w:cs="Arial"/>
          <w:szCs w:val="22"/>
        </w:rPr>
        <w:t xml:space="preserve"> (</w:t>
      </w:r>
      <w:r w:rsidR="007B0264">
        <w:rPr>
          <w:rFonts w:cs="Arial"/>
          <w:szCs w:val="22"/>
        </w:rPr>
        <w:fldChar w:fldCharType="begin"/>
      </w:r>
      <w:r w:rsidR="007B0264">
        <w:rPr>
          <w:rFonts w:cs="Arial"/>
          <w:szCs w:val="22"/>
        </w:rPr>
        <w:instrText xml:space="preserve"> REF _Ref501109656 \h </w:instrText>
      </w:r>
      <w:r w:rsidR="007B0264">
        <w:rPr>
          <w:rFonts w:cs="Arial"/>
          <w:szCs w:val="22"/>
        </w:rPr>
      </w:r>
      <w:r w:rsidR="007B0264">
        <w:rPr>
          <w:rFonts w:cs="Arial"/>
          <w:szCs w:val="22"/>
        </w:rPr>
        <w:fldChar w:fldCharType="separate"/>
      </w:r>
      <w:r w:rsidR="00A75175">
        <w:t xml:space="preserve">Figure A1. </w:t>
      </w:r>
      <w:r w:rsidR="00A75175">
        <w:rPr>
          <w:noProof/>
        </w:rPr>
        <w:t>4</w:t>
      </w:r>
      <w:r w:rsidR="007B0264">
        <w:rPr>
          <w:rFonts w:cs="Arial"/>
          <w:szCs w:val="22"/>
        </w:rPr>
        <w:fldChar w:fldCharType="end"/>
      </w:r>
      <w:r w:rsidR="00D534C4" w:rsidRPr="00382A2B">
        <w:rPr>
          <w:rFonts w:cs="Arial"/>
          <w:szCs w:val="22"/>
        </w:rPr>
        <w:t xml:space="preserve">). </w:t>
      </w:r>
      <w:r w:rsidR="00F325D9">
        <w:rPr>
          <w:rFonts w:cs="Arial"/>
          <w:szCs w:val="22"/>
        </w:rPr>
        <w:t xml:space="preserve">Higher exposure to </w:t>
      </w:r>
      <w:r w:rsidR="00230FDD" w:rsidRPr="00382A2B">
        <w:rPr>
          <w:rFonts w:cs="Arial"/>
          <w:szCs w:val="22"/>
        </w:rPr>
        <w:t xml:space="preserve">Chl </w:t>
      </w:r>
      <w:r w:rsidR="00230FDD" w:rsidRPr="00382A2B">
        <w:rPr>
          <w:rFonts w:cs="Arial"/>
          <w:i/>
          <w:szCs w:val="22"/>
        </w:rPr>
        <w:t>a</w:t>
      </w:r>
      <w:r w:rsidR="00230FDD" w:rsidRPr="00382A2B">
        <w:rPr>
          <w:rFonts w:cs="Arial"/>
          <w:szCs w:val="22"/>
        </w:rPr>
        <w:t xml:space="preserve"> also correspond</w:t>
      </w:r>
      <w:r w:rsidR="007144DB" w:rsidRPr="00382A2B">
        <w:rPr>
          <w:rFonts w:cs="Arial"/>
          <w:szCs w:val="22"/>
        </w:rPr>
        <w:t>s</w:t>
      </w:r>
      <w:r w:rsidR="00230FDD" w:rsidRPr="00382A2B">
        <w:rPr>
          <w:rFonts w:cs="Arial"/>
          <w:szCs w:val="22"/>
        </w:rPr>
        <w:t xml:space="preserve"> to a high proportion of macroalgae in the algal communities at Magnetic, Pandora, and La</w:t>
      </w:r>
      <w:r w:rsidR="007144DB" w:rsidRPr="00382A2B">
        <w:rPr>
          <w:rFonts w:cs="Arial"/>
          <w:szCs w:val="22"/>
        </w:rPr>
        <w:t xml:space="preserve">dy Elliot. The reefs at Havannah appear at the crossroad for conditions </w:t>
      </w:r>
      <w:r w:rsidR="00B30979">
        <w:rPr>
          <w:rFonts w:cs="Arial"/>
          <w:szCs w:val="22"/>
        </w:rPr>
        <w:t xml:space="preserve">that </w:t>
      </w:r>
      <w:r w:rsidR="007144DB" w:rsidRPr="00382A2B">
        <w:rPr>
          <w:rFonts w:cs="Arial"/>
          <w:szCs w:val="22"/>
        </w:rPr>
        <w:t>support</w:t>
      </w:r>
      <w:r w:rsidR="00B30979">
        <w:rPr>
          <w:rFonts w:cs="Arial"/>
          <w:szCs w:val="22"/>
        </w:rPr>
        <w:t xml:space="preserve"> a high cover of b</w:t>
      </w:r>
      <w:r w:rsidR="007144DB" w:rsidRPr="00382A2B">
        <w:rPr>
          <w:rFonts w:cs="Arial"/>
          <w:szCs w:val="22"/>
        </w:rPr>
        <w:t>rown macroalgae, in 201</w:t>
      </w:r>
      <w:r w:rsidR="005D4560" w:rsidRPr="00382A2B">
        <w:rPr>
          <w:rFonts w:cs="Arial"/>
          <w:szCs w:val="22"/>
        </w:rPr>
        <w:t>7</w:t>
      </w:r>
      <w:r w:rsidR="007144DB" w:rsidRPr="00382A2B">
        <w:rPr>
          <w:rFonts w:cs="Arial"/>
          <w:szCs w:val="22"/>
        </w:rPr>
        <w:t xml:space="preserve"> cover of the brown algae </w:t>
      </w:r>
      <w:r w:rsidR="007144DB" w:rsidRPr="00382A2B">
        <w:rPr>
          <w:rFonts w:cs="Arial"/>
          <w:i/>
          <w:szCs w:val="22"/>
        </w:rPr>
        <w:t>Lobophora</w:t>
      </w:r>
      <w:r w:rsidR="00B30979">
        <w:rPr>
          <w:rFonts w:cs="Arial"/>
          <w:szCs w:val="22"/>
        </w:rPr>
        <w:t xml:space="preserve"> </w:t>
      </w:r>
      <w:r w:rsidR="007144DB" w:rsidRPr="00382A2B">
        <w:rPr>
          <w:rFonts w:cs="Arial"/>
          <w:szCs w:val="22"/>
        </w:rPr>
        <w:t>persiste</w:t>
      </w:r>
      <w:r w:rsidR="00B30979">
        <w:rPr>
          <w:rFonts w:cs="Arial"/>
          <w:szCs w:val="22"/>
        </w:rPr>
        <w:t>d</w:t>
      </w:r>
      <w:r w:rsidR="007144DB" w:rsidRPr="00382A2B">
        <w:rPr>
          <w:rFonts w:cs="Arial"/>
          <w:szCs w:val="22"/>
        </w:rPr>
        <w:t xml:space="preserve"> </w:t>
      </w:r>
      <w:r w:rsidR="008456E8" w:rsidRPr="00382A2B">
        <w:rPr>
          <w:rFonts w:cs="Arial"/>
          <w:szCs w:val="22"/>
        </w:rPr>
        <w:t xml:space="preserve">at </w:t>
      </w:r>
      <w:r w:rsidR="007144DB" w:rsidRPr="00382A2B">
        <w:rPr>
          <w:rFonts w:cs="Arial"/>
          <w:szCs w:val="22"/>
        </w:rPr>
        <w:t>5</w:t>
      </w:r>
      <w:r w:rsidR="0039205B" w:rsidRPr="00382A2B">
        <w:rPr>
          <w:rFonts w:cs="Arial"/>
          <w:szCs w:val="22"/>
        </w:rPr>
        <w:t xml:space="preserve"> </w:t>
      </w:r>
      <w:r w:rsidR="007144DB" w:rsidRPr="00382A2B">
        <w:rPr>
          <w:rFonts w:cs="Arial"/>
          <w:szCs w:val="22"/>
        </w:rPr>
        <w:t>m depths</w:t>
      </w:r>
      <w:r w:rsidR="006F600C">
        <w:rPr>
          <w:rFonts w:cs="Arial"/>
          <w:szCs w:val="22"/>
        </w:rPr>
        <w:t>,</w:t>
      </w:r>
      <w:r w:rsidR="005D4560" w:rsidRPr="00382A2B">
        <w:rPr>
          <w:rFonts w:cs="Arial"/>
          <w:szCs w:val="22"/>
        </w:rPr>
        <w:t xml:space="preserve"> although there was a slight reduction in the cover of macroalgae </w:t>
      </w:r>
      <w:r w:rsidR="006F600C">
        <w:rPr>
          <w:rFonts w:cs="Arial"/>
          <w:szCs w:val="22"/>
        </w:rPr>
        <w:t xml:space="preserve">compared to previous years </w:t>
      </w:r>
      <w:r w:rsidR="005D4560" w:rsidRPr="00382A2B">
        <w:rPr>
          <w:rFonts w:cs="Arial"/>
          <w:szCs w:val="22"/>
        </w:rPr>
        <w:t>(</w:t>
      </w:r>
      <w:r w:rsidR="007B0264">
        <w:rPr>
          <w:rFonts w:cs="Arial"/>
          <w:szCs w:val="22"/>
        </w:rPr>
        <w:fldChar w:fldCharType="begin"/>
      </w:r>
      <w:r w:rsidR="007B0264">
        <w:rPr>
          <w:rFonts w:cs="Arial"/>
          <w:szCs w:val="22"/>
        </w:rPr>
        <w:instrText xml:space="preserve"> REF _Ref501109656 \h </w:instrText>
      </w:r>
      <w:r w:rsidR="007B0264">
        <w:rPr>
          <w:rFonts w:cs="Arial"/>
          <w:szCs w:val="22"/>
        </w:rPr>
      </w:r>
      <w:r w:rsidR="007B0264">
        <w:rPr>
          <w:rFonts w:cs="Arial"/>
          <w:szCs w:val="22"/>
        </w:rPr>
        <w:fldChar w:fldCharType="separate"/>
      </w:r>
      <w:r w:rsidR="00A75175">
        <w:t xml:space="preserve">Figure A1. </w:t>
      </w:r>
      <w:r w:rsidR="00A75175">
        <w:rPr>
          <w:noProof/>
        </w:rPr>
        <w:t>4</w:t>
      </w:r>
      <w:r w:rsidR="007B0264">
        <w:rPr>
          <w:rFonts w:cs="Arial"/>
          <w:szCs w:val="22"/>
        </w:rPr>
        <w:fldChar w:fldCharType="end"/>
      </w:r>
      <w:r w:rsidR="005D4560" w:rsidRPr="001D047C">
        <w:rPr>
          <w:rFonts w:cs="Arial"/>
          <w:szCs w:val="22"/>
        </w:rPr>
        <w:t>)</w:t>
      </w:r>
      <w:r w:rsidR="007144DB" w:rsidRPr="00382A2B">
        <w:rPr>
          <w:rFonts w:cs="Arial"/>
          <w:szCs w:val="22"/>
        </w:rPr>
        <w:t xml:space="preserve">. </w:t>
      </w:r>
    </w:p>
    <w:p w14:paraId="4420F0FD" w14:textId="6AE433A5" w:rsidR="00B36605" w:rsidRPr="00382A2B" w:rsidRDefault="00575CE4" w:rsidP="002C27E4">
      <w:r w:rsidRPr="00382A2B">
        <w:t>I</w:t>
      </w:r>
      <w:r w:rsidR="005A0581" w:rsidRPr="00382A2B">
        <w:t>mpr</w:t>
      </w:r>
      <w:r w:rsidRPr="00382A2B">
        <w:t>ovement in the coral index</w:t>
      </w:r>
      <w:r w:rsidR="005A0581" w:rsidRPr="00382A2B">
        <w:t xml:space="preserve"> </w:t>
      </w:r>
      <w:r w:rsidR="006F600C">
        <w:t>between 2013 and 2016</w:t>
      </w:r>
      <w:r w:rsidR="005A0581" w:rsidRPr="00382A2B">
        <w:t xml:space="preserve"> coincided with low discharge</w:t>
      </w:r>
      <w:r w:rsidRPr="00382A2B">
        <w:t>,</w:t>
      </w:r>
      <w:r w:rsidR="005A0581" w:rsidRPr="00382A2B">
        <w:t xml:space="preserve"> </w:t>
      </w:r>
      <w:r w:rsidR="004C5D62">
        <w:t>and</w:t>
      </w:r>
      <w:r w:rsidR="004C5D62" w:rsidRPr="00382A2B">
        <w:t xml:space="preserve"> </w:t>
      </w:r>
      <w:r w:rsidR="005A0581" w:rsidRPr="00382A2B">
        <w:t>corresponding</w:t>
      </w:r>
      <w:r w:rsidR="004C5D62">
        <w:t xml:space="preserve"> relatively</w:t>
      </w:r>
      <w:r w:rsidR="005A0581" w:rsidRPr="00382A2B">
        <w:t xml:space="preserve"> low loads </w:t>
      </w:r>
      <w:r w:rsidRPr="00382A2B">
        <w:t xml:space="preserve">of </w:t>
      </w:r>
      <w:r w:rsidR="005A0581" w:rsidRPr="00382A2B">
        <w:t xml:space="preserve">nutrients and sediments </w:t>
      </w:r>
      <w:r w:rsidRPr="00382A2B">
        <w:t>being</w:t>
      </w:r>
      <w:r w:rsidR="005A0581" w:rsidRPr="00382A2B">
        <w:t xml:space="preserve"> delivered to the Reef (</w:t>
      </w:r>
      <w:r w:rsidR="006F600C">
        <w:fldChar w:fldCharType="begin"/>
      </w:r>
      <w:r w:rsidR="006F600C">
        <w:instrText xml:space="preserve"> REF _Ref491164700 \h </w:instrText>
      </w:r>
      <w:r w:rsidR="006F600C">
        <w:fldChar w:fldCharType="separate"/>
      </w:r>
      <w:r w:rsidR="00A75175" w:rsidRPr="004252BF">
        <w:t xml:space="preserve">Figure </w:t>
      </w:r>
      <w:r w:rsidR="00A75175">
        <w:rPr>
          <w:noProof/>
        </w:rPr>
        <w:t>11</w:t>
      </w:r>
      <w:r w:rsidR="006F600C">
        <w:fldChar w:fldCharType="end"/>
      </w:r>
      <w:r w:rsidR="006F600C">
        <w:t xml:space="preserve">, </w:t>
      </w:r>
      <w:r w:rsidRPr="00382A2B">
        <w:fldChar w:fldCharType="begin"/>
      </w:r>
      <w:r w:rsidRPr="00382A2B">
        <w:instrText xml:space="preserve"> REF _Ref491336872 \h </w:instrText>
      </w:r>
      <w:r w:rsidRPr="00382A2B">
        <w:fldChar w:fldCharType="separate"/>
      </w:r>
      <w:r w:rsidR="00A75175" w:rsidRPr="00F352E1">
        <w:t xml:space="preserve">Figure </w:t>
      </w:r>
      <w:r w:rsidR="00A75175">
        <w:rPr>
          <w:noProof/>
        </w:rPr>
        <w:t>18</w:t>
      </w:r>
      <w:r w:rsidRPr="00382A2B">
        <w:fldChar w:fldCharType="end"/>
      </w:r>
      <w:r w:rsidR="009665C3" w:rsidRPr="00382A2B">
        <w:t>d</w:t>
      </w:r>
      <w:r w:rsidRPr="00382A2B">
        <w:t xml:space="preserve">, </w:t>
      </w:r>
      <w:r w:rsidR="005A0581" w:rsidRPr="00382A2B">
        <w:t xml:space="preserve">Waterhouse </w:t>
      </w:r>
      <w:r w:rsidR="005A0581" w:rsidRPr="00382A2B">
        <w:rPr>
          <w:i/>
        </w:rPr>
        <w:t>et</w:t>
      </w:r>
      <w:r w:rsidRPr="00382A2B">
        <w:rPr>
          <w:i/>
        </w:rPr>
        <w:t xml:space="preserve"> al.</w:t>
      </w:r>
      <w:r w:rsidRPr="00382A2B">
        <w:t xml:space="preserve"> 201</w:t>
      </w:r>
      <w:r w:rsidR="00C62907">
        <w:t>8</w:t>
      </w:r>
      <w:r w:rsidR="00857168">
        <w:t>)</w:t>
      </w:r>
      <w:r w:rsidRPr="00382A2B">
        <w:t xml:space="preserve">. </w:t>
      </w:r>
      <w:r w:rsidR="006F600C">
        <w:t xml:space="preserve">Although the coral community has demonstrated </w:t>
      </w:r>
      <w:r w:rsidR="006F600C" w:rsidRPr="00382A2B">
        <w:t>a capacity to recover under the conditions observed in recent years</w:t>
      </w:r>
      <w:r w:rsidR="006F600C">
        <w:t>, there</w:t>
      </w:r>
      <w:r w:rsidR="00336583">
        <w:t xml:space="preserve"> has been </w:t>
      </w:r>
      <w:r w:rsidRPr="00382A2B">
        <w:t xml:space="preserve">no clear improvement in measured attributes of water </w:t>
      </w:r>
      <w:r w:rsidR="008031B5" w:rsidRPr="00382A2B">
        <w:t xml:space="preserve">quality (Waterhouse </w:t>
      </w:r>
      <w:r w:rsidR="008031B5" w:rsidRPr="00382A2B">
        <w:rPr>
          <w:i/>
        </w:rPr>
        <w:t>et al.</w:t>
      </w:r>
      <w:r w:rsidR="008031B5" w:rsidRPr="00382A2B">
        <w:t xml:space="preserve"> 201</w:t>
      </w:r>
      <w:r w:rsidR="00C62907">
        <w:t>8</w:t>
      </w:r>
      <w:r w:rsidR="008D1EA7">
        <w:t>,</w:t>
      </w:r>
      <w:r w:rsidR="007B0264">
        <w:t xml:space="preserve"> </w:t>
      </w:r>
      <w:r w:rsidR="007B0264">
        <w:fldChar w:fldCharType="begin"/>
      </w:r>
      <w:r w:rsidR="007B0264">
        <w:instrText xml:space="preserve"> REF _Ref504643377 \h </w:instrText>
      </w:r>
      <w:r w:rsidR="007B0264">
        <w:fldChar w:fldCharType="separate"/>
      </w:r>
      <w:r w:rsidR="00A75175">
        <w:t xml:space="preserve">Figure A1. </w:t>
      </w:r>
      <w:r w:rsidR="00A75175">
        <w:rPr>
          <w:noProof/>
        </w:rPr>
        <w:t>12</w:t>
      </w:r>
      <w:r w:rsidR="007B0264">
        <w:fldChar w:fldCharType="end"/>
      </w:r>
      <w:r w:rsidR="008031B5" w:rsidRPr="00382A2B">
        <w:t>)</w:t>
      </w:r>
      <w:r w:rsidRPr="00382A2B">
        <w:t xml:space="preserve"> limit</w:t>
      </w:r>
      <w:r w:rsidR="00336583">
        <w:t>ing</w:t>
      </w:r>
      <w:r w:rsidR="00F17C55" w:rsidRPr="00382A2B">
        <w:t xml:space="preserve"> the ability to </w:t>
      </w:r>
      <w:r w:rsidR="00336583">
        <w:t xml:space="preserve">explicitly </w:t>
      </w:r>
      <w:r w:rsidR="00F17C55" w:rsidRPr="00382A2B">
        <w:t>link improvement in the index scores to water quality drivers.</w:t>
      </w:r>
      <w:r w:rsidR="00DD4B3E">
        <w:t xml:space="preserve"> It should be noted</w:t>
      </w:r>
      <w:r w:rsidR="00336583">
        <w:t xml:space="preserve"> however</w:t>
      </w:r>
      <w:r w:rsidR="00DD4B3E">
        <w:t>,</w:t>
      </w:r>
      <w:r w:rsidR="00336583">
        <w:t xml:space="preserve"> that changes to the sampling design of the water quality component of the MMP </w:t>
      </w:r>
      <w:r w:rsidR="005D22D4">
        <w:t xml:space="preserve">has </w:t>
      </w:r>
      <w:r w:rsidR="00336583">
        <w:t xml:space="preserve">generally increased sampling during the wet season and also </w:t>
      </w:r>
      <w:r w:rsidR="005D22D4">
        <w:t xml:space="preserve">incorporated monitoring </w:t>
      </w:r>
      <w:r w:rsidR="00336583">
        <w:t xml:space="preserve">sites closer to the rivers in recent years. </w:t>
      </w:r>
      <w:r w:rsidR="00F17C55" w:rsidRPr="00382A2B">
        <w:t xml:space="preserve"> </w:t>
      </w:r>
    </w:p>
    <w:p w14:paraId="3EC9FE8A" w14:textId="77777777" w:rsidR="00B36605" w:rsidRPr="00F352E1" w:rsidRDefault="00B36605" w:rsidP="00B36605">
      <w:pPr>
        <w:rPr>
          <w:color w:val="4F81BD" w:themeColor="accent1"/>
        </w:rPr>
      </w:pPr>
    </w:p>
    <w:p w14:paraId="6636CBCC" w14:textId="77777777" w:rsidR="00B36605" w:rsidRPr="00F352E1" w:rsidRDefault="00B36605" w:rsidP="00406BD7">
      <w:pPr>
        <w:rPr>
          <w:color w:val="4F81BD" w:themeColor="accent1"/>
        </w:rPr>
      </w:pPr>
    </w:p>
    <w:p w14:paraId="5F353EE1" w14:textId="77777777" w:rsidR="000260D6" w:rsidRPr="00F352E1" w:rsidRDefault="00D15EF9" w:rsidP="000C6FCB">
      <w:pPr>
        <w:rPr>
          <w:color w:val="4F81BD" w:themeColor="accent1"/>
        </w:rPr>
      </w:pPr>
      <w:r>
        <w:rPr>
          <w:noProof/>
          <w:color w:val="4F81BD" w:themeColor="accent1"/>
          <w:lang w:val="en-AU" w:eastAsia="en-AU"/>
        </w:rPr>
        <w:drawing>
          <wp:inline distT="0" distB="0" distL="0" distR="0" wp14:anchorId="04FB72F9" wp14:editId="130BD578">
            <wp:extent cx="6120765" cy="6591300"/>
            <wp:effectExtent l="0" t="0" r="0" b="0"/>
            <wp:docPr id="23" name="Picture 23" descr="A panel of five figures. The first and second show maps of the monitored reefs indicating high exposure to Chlorophyll concentrations at Midlle Reef, Magnetic Island, Laddy Elliot Reef and Pandora Reef then declining levels from Pandora, though Havannah and the Palms Group,  Non-algal particulate concentration is highest at Midlle Reef, Magnetic Island and Lady Elliot Reef. A plot of temperature anomalies indicating highest anomalies occurred in 2017. A plot of regional river discharge with maximum values in 2008, 2009 and 2011. A plot of disturbance severity based on loss of coral cover each year, salient points discussed in the main text.&#10;" title="Environmental conditions experienced by coral communities in th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Env_Burdekin.pn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6120765" cy="6591300"/>
                    </a:xfrm>
                    <a:prstGeom prst="rect">
                      <a:avLst/>
                    </a:prstGeom>
                  </pic:spPr>
                </pic:pic>
              </a:graphicData>
            </a:graphic>
          </wp:inline>
        </w:drawing>
      </w:r>
    </w:p>
    <w:p w14:paraId="18BA1B8D" w14:textId="374DE1DF" w:rsidR="008550DE" w:rsidRPr="001322DD" w:rsidRDefault="007A50AB" w:rsidP="00606A50">
      <w:pPr>
        <w:pStyle w:val="Caption"/>
        <w:rPr>
          <w:rStyle w:val="IntenseReference"/>
          <w:rFonts w:eastAsia="SimSun"/>
        </w:rPr>
      </w:pPr>
      <w:bookmarkStart w:id="210" w:name="_Ref491336872"/>
      <w:bookmarkStart w:id="211" w:name="_Ref438120590"/>
      <w:bookmarkStart w:id="212" w:name="_Toc437597636"/>
      <w:bookmarkStart w:id="213" w:name="_Toc437423855"/>
      <w:bookmarkStart w:id="214" w:name="_Toc437424034"/>
      <w:bookmarkStart w:id="215" w:name="_Toc437424303"/>
      <w:bookmarkStart w:id="216" w:name="_Toc514335663"/>
      <w:r w:rsidRPr="00F352E1">
        <w:t xml:space="preserve">Figure </w:t>
      </w:r>
      <w:r w:rsidR="00626D6B">
        <w:fldChar w:fldCharType="begin"/>
      </w:r>
      <w:r w:rsidR="00626D6B">
        <w:instrText xml:space="preserve"> SEQ Figure \* ARABIC </w:instrText>
      </w:r>
      <w:r w:rsidR="00626D6B">
        <w:fldChar w:fldCharType="separate"/>
      </w:r>
      <w:r w:rsidR="00A75175">
        <w:rPr>
          <w:noProof/>
        </w:rPr>
        <w:t>18</w:t>
      </w:r>
      <w:r w:rsidR="00626D6B">
        <w:rPr>
          <w:noProof/>
        </w:rPr>
        <w:fldChar w:fldCharType="end"/>
      </w:r>
      <w:bookmarkEnd w:id="210"/>
      <w:r w:rsidRPr="00F352E1">
        <w:t xml:space="preserve"> </w:t>
      </w:r>
      <w:r w:rsidR="009D02B0" w:rsidRPr="00F352E1">
        <w:t>Burdekin R</w:t>
      </w:r>
      <w:r w:rsidRPr="00F352E1">
        <w:t xml:space="preserve">egion environmental </w:t>
      </w:r>
      <w:r w:rsidR="009D02B0" w:rsidRPr="00F352E1">
        <w:t>pressures</w:t>
      </w:r>
      <w:r w:rsidRPr="00F352E1">
        <w:t>.</w:t>
      </w:r>
      <w:bookmarkStart w:id="217" w:name="_Toc437597637"/>
      <w:bookmarkEnd w:id="211"/>
      <w:bookmarkEnd w:id="212"/>
      <w:bookmarkEnd w:id="213"/>
      <w:bookmarkEnd w:id="214"/>
      <w:bookmarkEnd w:id="215"/>
      <w:r w:rsidR="00667AB6" w:rsidRPr="00F352E1">
        <w:rPr>
          <w:rStyle w:val="IntenseReference"/>
          <w:rFonts w:eastAsia="SimSun"/>
          <w:color w:val="4F81BD" w:themeColor="accent1"/>
        </w:rPr>
        <w:t xml:space="preserve"> </w:t>
      </w:r>
      <w:bookmarkEnd w:id="217"/>
      <w:r w:rsidR="008550DE" w:rsidRPr="001322DD">
        <w:rPr>
          <w:rStyle w:val="IntenseReference"/>
          <w:rFonts w:eastAsia="SimSun"/>
        </w:rPr>
        <w:t>Maps show location of monitoring sites, red symbols MMP, yellow s</w:t>
      </w:r>
      <w:r w:rsidR="00663F7B" w:rsidRPr="001322DD">
        <w:rPr>
          <w:rStyle w:val="IntenseReference"/>
          <w:rFonts w:eastAsia="SimSun"/>
        </w:rPr>
        <w:t xml:space="preserve">ymbols LTMP along with </w:t>
      </w:r>
      <w:r w:rsidR="001322DD" w:rsidRPr="001322DD">
        <w:rPr>
          <w:rStyle w:val="IntenseReference"/>
          <w:rFonts w:eastAsia="SimSun"/>
        </w:rPr>
        <w:t xml:space="preserve">a) mean chlorophyll </w:t>
      </w:r>
      <w:r w:rsidR="001322DD" w:rsidRPr="001322DD">
        <w:rPr>
          <w:rStyle w:val="IntenseReference"/>
          <w:rFonts w:eastAsia="SimSun"/>
          <w:i/>
        </w:rPr>
        <w:t>a</w:t>
      </w:r>
      <w:r w:rsidR="001322DD" w:rsidRPr="001322DD">
        <w:rPr>
          <w:rStyle w:val="IntenseReference"/>
          <w:rFonts w:eastAsia="SimSun"/>
        </w:rPr>
        <w:t xml:space="preserve"> exceedance of wet season Guideline (0.63ugL</w:t>
      </w:r>
      <w:r w:rsidR="001322DD" w:rsidRPr="001322DD">
        <w:rPr>
          <w:rStyle w:val="IntenseReference"/>
          <w:rFonts w:eastAsia="SimSun"/>
          <w:vertAlign w:val="superscript"/>
        </w:rPr>
        <w:t>-1</w:t>
      </w:r>
      <w:r w:rsidR="001322DD" w:rsidRPr="001322DD">
        <w:rPr>
          <w:rStyle w:val="IntenseReference"/>
          <w:rFonts w:eastAsia="SimSun"/>
        </w:rPr>
        <w:t xml:space="preserve">) and b) mean Non Algal Particulate concentrations. Water quality data are mean levels over the period 2003-2016 (Chl) and 2003-2017 (NAP). c) Seasonally adjusted temperature deviation, timing of cyclones and storms indicated by black arrows, accumulated degree heating days over the summer period (1st of December - 31st March) as reported by BoM (black symbols) and derived from </w:t>
      </w:r>
      <w:r w:rsidR="00036C05">
        <w:rPr>
          <w:rStyle w:val="IntenseReference"/>
          <w:rFonts w:eastAsia="SimSun"/>
        </w:rPr>
        <w:t>in situ</w:t>
      </w:r>
      <w:r w:rsidR="001322DD" w:rsidRPr="001322DD">
        <w:rPr>
          <w:rStyle w:val="IntenseReference"/>
          <w:rFonts w:eastAsia="SimSun"/>
        </w:rPr>
        <w:t xml:space="preserve"> loggers (grey symbols) </w:t>
      </w:r>
      <w:r w:rsidR="008550DE" w:rsidRPr="001322DD">
        <w:rPr>
          <w:rStyle w:val="IntenseReference"/>
          <w:rFonts w:eastAsia="SimSun"/>
        </w:rPr>
        <w:t xml:space="preserve">d) Combined daily (blue) and annual </w:t>
      </w:r>
      <w:r w:rsidR="00240263">
        <w:rPr>
          <w:rStyle w:val="IntenseReference"/>
          <w:rFonts w:eastAsia="SimSun"/>
        </w:rPr>
        <w:t>water year</w:t>
      </w:r>
      <w:r w:rsidR="00240263" w:rsidRPr="001322DD">
        <w:rPr>
          <w:rStyle w:val="IntenseReference"/>
          <w:rFonts w:eastAsia="SimSun"/>
        </w:rPr>
        <w:t xml:space="preserve"> </w:t>
      </w:r>
      <w:r w:rsidR="00240263">
        <w:rPr>
          <w:rStyle w:val="IntenseReference"/>
          <w:rFonts w:eastAsia="SimSun"/>
        </w:rPr>
        <w:t xml:space="preserve">– October to September  </w:t>
      </w:r>
      <w:r w:rsidR="008550DE" w:rsidRPr="001322DD">
        <w:rPr>
          <w:rStyle w:val="IntenseReference"/>
          <w:rFonts w:eastAsia="SimSun"/>
        </w:rPr>
        <w:t xml:space="preserve">(red) discharge for the </w:t>
      </w:r>
      <w:r w:rsidR="001E1E73" w:rsidRPr="001322DD">
        <w:rPr>
          <w:rStyle w:val="IntenseReference"/>
          <w:rFonts w:eastAsia="SimSun"/>
        </w:rPr>
        <w:t>Black,</w:t>
      </w:r>
      <w:r w:rsidR="001322DD">
        <w:rPr>
          <w:rStyle w:val="IntenseReference"/>
          <w:rFonts w:eastAsia="SimSun"/>
        </w:rPr>
        <w:t xml:space="preserve"> </w:t>
      </w:r>
      <w:r w:rsidR="00E229DD" w:rsidRPr="001322DD">
        <w:rPr>
          <w:rStyle w:val="IntenseReference"/>
          <w:rFonts w:eastAsia="SimSun"/>
        </w:rPr>
        <w:t>Burdekin,</w:t>
      </w:r>
      <w:r w:rsidRPr="001322DD">
        <w:rPr>
          <w:rStyle w:val="IntenseReference"/>
          <w:rFonts w:eastAsia="SimSun"/>
        </w:rPr>
        <w:t xml:space="preserve"> </w:t>
      </w:r>
      <w:r w:rsidR="001E1E73" w:rsidRPr="001322DD">
        <w:rPr>
          <w:rStyle w:val="IntenseReference"/>
          <w:rFonts w:eastAsia="SimSun"/>
        </w:rPr>
        <w:t xml:space="preserve">Don and </w:t>
      </w:r>
      <w:r w:rsidR="00E229DD" w:rsidRPr="001322DD">
        <w:rPr>
          <w:rStyle w:val="IntenseReference"/>
          <w:rFonts w:eastAsia="SimSun"/>
        </w:rPr>
        <w:t>Haughton</w:t>
      </w:r>
      <w:r w:rsidR="008550DE" w:rsidRPr="001322DD">
        <w:rPr>
          <w:rStyle w:val="IntenseReference"/>
          <w:rFonts w:eastAsia="SimSun"/>
        </w:rPr>
        <w:t xml:space="preserve"> rivers, red dashed line represents long-term median discharge (1986-2016). e) break-down of hard coral cover loss by disturbance type; length of bars represent the mean loss of cover across all reefs (see methods section for further detail).</w:t>
      </w:r>
      <w:bookmarkEnd w:id="216"/>
    </w:p>
    <w:p w14:paraId="36BFB396" w14:textId="77777777" w:rsidR="002A5249" w:rsidRPr="00F352E1" w:rsidRDefault="002A5249" w:rsidP="00606A50">
      <w:pPr>
        <w:pStyle w:val="Caption"/>
        <w:rPr>
          <w:rStyle w:val="IntenseReference"/>
          <w:rFonts w:eastAsia="SimSun"/>
          <w:color w:val="4F81BD" w:themeColor="accent1"/>
        </w:rPr>
      </w:pPr>
    </w:p>
    <w:p w14:paraId="73594047" w14:textId="77777777" w:rsidR="00B36605" w:rsidRPr="00F352E1" w:rsidRDefault="00B36605">
      <w:pPr>
        <w:jc w:val="left"/>
        <w:rPr>
          <w:color w:val="4F81BD" w:themeColor="accent1"/>
        </w:rPr>
      </w:pPr>
      <w:r w:rsidRPr="00F352E1">
        <w:rPr>
          <w:color w:val="4F81BD" w:themeColor="accent1"/>
        </w:rPr>
        <w:br w:type="page"/>
      </w:r>
    </w:p>
    <w:p w14:paraId="4203EC3D" w14:textId="77777777" w:rsidR="006D2B24" w:rsidRPr="00F352E1" w:rsidRDefault="0057726F">
      <w:pPr>
        <w:jc w:val="left"/>
        <w:rPr>
          <w:color w:val="4F81BD" w:themeColor="accent1"/>
        </w:rPr>
      </w:pPr>
      <w:r>
        <w:rPr>
          <w:noProof/>
          <w:color w:val="4F81BD" w:themeColor="accent1"/>
          <w:lang w:val="en-AU" w:eastAsia="en-AU"/>
        </w:rPr>
        <w:drawing>
          <wp:inline distT="0" distB="0" distL="0" distR="0" wp14:anchorId="02A68409" wp14:editId="2ABCA32B">
            <wp:extent cx="6118860" cy="5351452"/>
            <wp:effectExtent l="0" t="0" r="0" b="1905"/>
            <wp:docPr id="255" name="Picture 255" descr="Plots of the trend in scores through time, salient points are discussed in the main text.&#10;" title="Trends in index and metric scores within the region and at individual reef and depth combin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XTERNAL PROJECTS\GBRMPA_RWQPP_Monitoring\Reports\Visit 13 2017\R\data\Output\Burdekin_plots_noWQ.png"/>
                    <pic:cNvPicPr>
                      <a:picLocks noChangeAspect="1" noChangeArrowheads="1"/>
                    </pic:cNvPicPr>
                  </pic:nvPicPr>
                  <pic:blipFill>
                    <a:blip r:embed="rId54" cstate="print">
                      <a:extLst>
                        <a:ext uri="{28A0092B-C50C-407E-A947-70E740481C1C}">
                          <a14:useLocalDpi xmlns:a14="http://schemas.microsoft.com/office/drawing/2010/main" val="0"/>
                        </a:ext>
                      </a:extLst>
                    </a:blip>
                    <a:stretch>
                      <a:fillRect/>
                    </a:stretch>
                  </pic:blipFill>
                  <pic:spPr bwMode="auto">
                    <a:xfrm>
                      <a:off x="0" y="0"/>
                      <a:ext cx="6118860" cy="5351452"/>
                    </a:xfrm>
                    <a:prstGeom prst="rect">
                      <a:avLst/>
                    </a:prstGeom>
                    <a:noFill/>
                    <a:ln>
                      <a:noFill/>
                    </a:ln>
                  </pic:spPr>
                </pic:pic>
              </a:graphicData>
            </a:graphic>
          </wp:inline>
        </w:drawing>
      </w:r>
    </w:p>
    <w:p w14:paraId="2B8AB129" w14:textId="77777777" w:rsidR="007A50AB" w:rsidRPr="009808B7" w:rsidRDefault="007A50AB" w:rsidP="00606A50">
      <w:pPr>
        <w:pStyle w:val="Caption"/>
        <w:rPr>
          <w:rStyle w:val="IntenseReference"/>
          <w:rFonts w:eastAsia="SimSun"/>
        </w:rPr>
      </w:pPr>
      <w:bookmarkStart w:id="218" w:name="_Ref491336593"/>
      <w:bookmarkStart w:id="219" w:name="_Ref469945841"/>
      <w:bookmarkStart w:id="220" w:name="_Toc514335664"/>
      <w:r w:rsidRPr="004252BF">
        <w:t xml:space="preserve">Figure </w:t>
      </w:r>
      <w:r w:rsidR="00FE19A9" w:rsidRPr="00857168">
        <w:fldChar w:fldCharType="begin"/>
      </w:r>
      <w:r w:rsidR="00FE19A9" w:rsidRPr="004252BF">
        <w:instrText xml:space="preserve"> SEQ Figure \* ARABIC </w:instrText>
      </w:r>
      <w:r w:rsidR="00FE19A9" w:rsidRPr="00857168">
        <w:fldChar w:fldCharType="separate"/>
      </w:r>
      <w:r w:rsidR="00A75175">
        <w:rPr>
          <w:noProof/>
        </w:rPr>
        <w:t>19</w:t>
      </w:r>
      <w:r w:rsidR="00FE19A9" w:rsidRPr="00857168">
        <w:fldChar w:fldCharType="end"/>
      </w:r>
      <w:bookmarkEnd w:id="218"/>
      <w:r w:rsidRPr="004252BF">
        <w:t xml:space="preserve"> </w:t>
      </w:r>
      <w:r w:rsidR="009D02B0" w:rsidRPr="004252BF">
        <w:t>Burdekin R</w:t>
      </w:r>
      <w:r w:rsidRPr="004252BF">
        <w:t>egion</w:t>
      </w:r>
      <w:r w:rsidR="00A416E6" w:rsidRPr="004252BF">
        <w:t xml:space="preserve"> index and indicator trends</w:t>
      </w:r>
      <w:r w:rsidRPr="004252BF">
        <w:t>.</w:t>
      </w:r>
      <w:bookmarkEnd w:id="219"/>
      <w:r w:rsidR="00D318B6" w:rsidRPr="00857168">
        <w:rPr>
          <w:rStyle w:val="IntenseReference"/>
          <w:rFonts w:eastAsia="SimSun"/>
        </w:rPr>
        <w:t xml:space="preserve"> </w:t>
      </w:r>
      <w:r w:rsidRPr="00857168">
        <w:rPr>
          <w:rStyle w:val="IntenseReference"/>
          <w:rFonts w:eastAsia="SimSun"/>
        </w:rPr>
        <w:t xml:space="preserve">a) </w:t>
      </w:r>
      <w:r w:rsidRPr="00626D6B">
        <w:rPr>
          <w:rStyle w:val="IntenseReference"/>
          <w:rFonts w:eastAsia="SimSun"/>
        </w:rPr>
        <w:t>Coral index, colour coding: dark green- ‘very good’; light green-‘good’; yellow – ‘moderate; orange – ‘poor’; red –</w:t>
      </w:r>
      <w:r w:rsidRPr="009808B7">
        <w:rPr>
          <w:rStyle w:val="IntenseReference"/>
          <w:rFonts w:eastAsia="SimSun"/>
        </w:rPr>
        <w:t xml:space="preserve"> ‘very poor’. b – f) trends in individual indicators, (blue lines) bound by 95% confidence intervals of those trends (shading), grey lines represent observed profiles at 5 m (dashed) and 2 m (solid) depths for individual reefs</w:t>
      </w:r>
      <w:r w:rsidR="00CD0D47" w:rsidRPr="009808B7">
        <w:rPr>
          <w:rStyle w:val="IntenseReference"/>
          <w:rFonts w:eastAsia="SimSun"/>
        </w:rPr>
        <w:t>.</w:t>
      </w:r>
      <w:bookmarkEnd w:id="220"/>
      <w:r w:rsidR="00CD0D47" w:rsidRPr="009808B7">
        <w:rPr>
          <w:rStyle w:val="IntenseReference"/>
          <w:rFonts w:eastAsia="SimSun"/>
        </w:rPr>
        <w:t xml:space="preserve"> </w:t>
      </w:r>
    </w:p>
    <w:p w14:paraId="02BB32F0" w14:textId="77777777" w:rsidR="00B36605" w:rsidRPr="00F352E1" w:rsidRDefault="00B36605" w:rsidP="00606A50">
      <w:pPr>
        <w:pStyle w:val="Caption"/>
        <w:rPr>
          <w:rStyle w:val="IntenseReference"/>
          <w:rFonts w:eastAsiaTheme="minorHAnsi"/>
          <w:color w:val="4F81BD" w:themeColor="accent1"/>
        </w:rPr>
      </w:pPr>
    </w:p>
    <w:p w14:paraId="629DC7C6" w14:textId="77777777" w:rsidR="003C0562" w:rsidRPr="00F352E1" w:rsidRDefault="003C0562">
      <w:pPr>
        <w:jc w:val="left"/>
        <w:rPr>
          <w:rFonts w:eastAsiaTheme="majorEastAsia" w:cstheme="majorBidi"/>
          <w:b/>
          <w:bCs/>
          <w:color w:val="4F81BD" w:themeColor="accent1"/>
          <w:sz w:val="26"/>
          <w:szCs w:val="26"/>
        </w:rPr>
      </w:pPr>
      <w:bookmarkStart w:id="221" w:name="_Toc437424410"/>
      <w:bookmarkStart w:id="222" w:name="_Toc437424534"/>
      <w:bookmarkStart w:id="223" w:name="_Toc437432465"/>
      <w:bookmarkStart w:id="224" w:name="_Toc437432538"/>
      <w:bookmarkStart w:id="225" w:name="_Toc167192445"/>
      <w:bookmarkStart w:id="226" w:name="_Toc167192447"/>
      <w:r w:rsidRPr="00F352E1">
        <w:rPr>
          <w:color w:val="4F81BD" w:themeColor="accent1"/>
        </w:rPr>
        <w:br w:type="page"/>
      </w:r>
    </w:p>
    <w:p w14:paraId="5A05E5AD" w14:textId="15E30693" w:rsidR="00F01E19" w:rsidRPr="00382A2B" w:rsidRDefault="00F352CD" w:rsidP="00607BCA">
      <w:pPr>
        <w:pStyle w:val="Heading3"/>
      </w:pPr>
      <w:bookmarkStart w:id="227" w:name="_Toc514408415"/>
      <w:r w:rsidRPr="00382A2B">
        <w:t>5</w:t>
      </w:r>
      <w:r w:rsidR="00A803D4" w:rsidRPr="00382A2B">
        <w:t>.</w:t>
      </w:r>
      <w:r w:rsidR="00BD49B5" w:rsidRPr="00382A2B">
        <w:t>2.5</w:t>
      </w:r>
      <w:r w:rsidR="00A803D4" w:rsidRPr="00382A2B">
        <w:t xml:space="preserve"> </w:t>
      </w:r>
      <w:r w:rsidR="00F01E19" w:rsidRPr="00382A2B">
        <w:t xml:space="preserve">Mackay Whitsunday </w:t>
      </w:r>
      <w:r w:rsidR="00DD6C5A">
        <w:t>r</w:t>
      </w:r>
      <w:r w:rsidR="00F01E19" w:rsidRPr="00382A2B">
        <w:t>egion</w:t>
      </w:r>
      <w:bookmarkEnd w:id="221"/>
      <w:bookmarkEnd w:id="222"/>
      <w:bookmarkEnd w:id="223"/>
      <w:bookmarkEnd w:id="224"/>
      <w:bookmarkEnd w:id="227"/>
      <w:r w:rsidR="00F01E19" w:rsidRPr="00382A2B">
        <w:t xml:space="preserve"> </w:t>
      </w:r>
    </w:p>
    <w:bookmarkEnd w:id="225"/>
    <w:p w14:paraId="2F48FA29" w14:textId="70C3DF6C" w:rsidR="00E936F5" w:rsidRDefault="00467821" w:rsidP="00F27621">
      <w:r w:rsidRPr="00382A2B">
        <w:t xml:space="preserve">The coral index </w:t>
      </w:r>
      <w:r w:rsidR="002C5D7E">
        <w:t>declined from a ‘go</w:t>
      </w:r>
      <w:r w:rsidR="00377F51" w:rsidRPr="00382A2B">
        <w:t>od’ categorisation in 2016</w:t>
      </w:r>
      <w:r w:rsidR="002C5D7E">
        <w:t xml:space="preserve"> to ‘moderate’ in 2017</w:t>
      </w:r>
      <w:r w:rsidR="00377F51" w:rsidRPr="00382A2B">
        <w:t xml:space="preserve"> </w:t>
      </w:r>
      <w:r w:rsidR="00F17C55" w:rsidRPr="00382A2B">
        <w:t>(</w:t>
      </w:r>
      <w:r w:rsidR="00F17C55" w:rsidRPr="00382A2B">
        <w:fldChar w:fldCharType="begin"/>
      </w:r>
      <w:r w:rsidR="00F17C55" w:rsidRPr="00382A2B">
        <w:instrText xml:space="preserve"> REF _Ref491341033 \h </w:instrText>
      </w:r>
      <w:r w:rsidR="00F17C55" w:rsidRPr="00382A2B">
        <w:fldChar w:fldCharType="separate"/>
      </w:r>
      <w:r w:rsidR="00A75175" w:rsidRPr="004252BF">
        <w:t xml:space="preserve">Figure </w:t>
      </w:r>
      <w:r w:rsidR="00A75175">
        <w:rPr>
          <w:noProof/>
        </w:rPr>
        <w:t>21</w:t>
      </w:r>
      <w:r w:rsidR="00F17C55" w:rsidRPr="00382A2B">
        <w:fldChar w:fldCharType="end"/>
      </w:r>
      <w:r w:rsidR="00F17C55" w:rsidRPr="00382A2B">
        <w:t>a)</w:t>
      </w:r>
      <w:r w:rsidR="001942C4" w:rsidRPr="00382A2B">
        <w:t>.</w:t>
      </w:r>
      <w:r w:rsidRPr="00382A2B">
        <w:t xml:space="preserve"> </w:t>
      </w:r>
      <w:r w:rsidR="00D30C98" w:rsidRPr="00382A2B">
        <w:t>T</w:t>
      </w:r>
      <w:r w:rsidR="00377F51" w:rsidRPr="00382A2B">
        <w:t xml:space="preserve">his decline was driven by a substantial reduction in </w:t>
      </w:r>
      <w:r w:rsidR="00EA390C">
        <w:t>c</w:t>
      </w:r>
      <w:r w:rsidR="00377F51" w:rsidRPr="00382A2B">
        <w:t xml:space="preserve">oral </w:t>
      </w:r>
      <w:r w:rsidR="00EA390C">
        <w:t>c</w:t>
      </w:r>
      <w:r w:rsidR="00377F51" w:rsidRPr="00382A2B">
        <w:t xml:space="preserve">over and </w:t>
      </w:r>
      <w:r w:rsidR="00EA390C">
        <w:t>j</w:t>
      </w:r>
      <w:r w:rsidR="00377F51" w:rsidRPr="00382A2B">
        <w:t>uve</w:t>
      </w:r>
      <w:r w:rsidR="00D30C98" w:rsidRPr="00382A2B">
        <w:t xml:space="preserve">nile densities </w:t>
      </w:r>
      <w:r w:rsidR="002C5D7E">
        <w:t xml:space="preserve">as a result of </w:t>
      </w:r>
      <w:r w:rsidR="00CE02D3">
        <w:t>t</w:t>
      </w:r>
      <w:r w:rsidR="00CE02D3" w:rsidRPr="00382A2B">
        <w:t xml:space="preserve">ropical </w:t>
      </w:r>
      <w:r w:rsidR="00CE02D3">
        <w:t>c</w:t>
      </w:r>
      <w:r w:rsidR="00CE02D3" w:rsidRPr="00382A2B">
        <w:t xml:space="preserve">yclone </w:t>
      </w:r>
      <w:r w:rsidR="00377F51" w:rsidRPr="00382A2B">
        <w:t>Debbie</w:t>
      </w:r>
      <w:r w:rsidR="00D30C98" w:rsidRPr="00382A2B">
        <w:t xml:space="preserve"> </w:t>
      </w:r>
      <w:r w:rsidR="002C5D7E">
        <w:t xml:space="preserve">that impacted the area </w:t>
      </w:r>
      <w:r w:rsidR="00D30C98" w:rsidRPr="00382A2B">
        <w:t>in late March 2017</w:t>
      </w:r>
      <w:r w:rsidR="0091132F">
        <w:t xml:space="preserve"> (</w:t>
      </w:r>
      <w:r w:rsidR="002B2FF2" w:rsidRPr="00D725B2">
        <w:fldChar w:fldCharType="begin"/>
      </w:r>
      <w:r w:rsidR="002B2FF2" w:rsidRPr="00D725B2">
        <w:instrText xml:space="preserve"> REF _Ref491341033 \h </w:instrText>
      </w:r>
      <w:r w:rsidR="002B2FF2" w:rsidRPr="00D725B2">
        <w:fldChar w:fldCharType="separate"/>
      </w:r>
      <w:r w:rsidR="00A75175" w:rsidRPr="004252BF">
        <w:t xml:space="preserve">Figure </w:t>
      </w:r>
      <w:r w:rsidR="00A75175">
        <w:rPr>
          <w:noProof/>
        </w:rPr>
        <w:t>21</w:t>
      </w:r>
      <w:r w:rsidR="002B2FF2" w:rsidRPr="00D725B2">
        <w:fldChar w:fldCharType="end"/>
      </w:r>
      <w:r w:rsidR="002B2FF2">
        <w:t>b, d,</w:t>
      </w:r>
      <w:r w:rsidR="007B0264">
        <w:t xml:space="preserve"> </w:t>
      </w:r>
      <w:r w:rsidR="007B0264">
        <w:fldChar w:fldCharType="begin"/>
      </w:r>
      <w:r w:rsidR="007B0264">
        <w:instrText xml:space="preserve"> REF _Ref504643531 \h </w:instrText>
      </w:r>
      <w:r w:rsidR="007B0264">
        <w:fldChar w:fldCharType="separate"/>
      </w:r>
      <w:r w:rsidR="00A75175">
        <w:t xml:space="preserve">Figure A1. </w:t>
      </w:r>
      <w:r w:rsidR="00A75175">
        <w:rPr>
          <w:noProof/>
        </w:rPr>
        <w:t>8</w:t>
      </w:r>
      <w:r w:rsidR="007B0264">
        <w:fldChar w:fldCharType="end"/>
      </w:r>
      <w:r w:rsidR="0091132F">
        <w:t>)</w:t>
      </w:r>
      <w:r w:rsidR="00D30C98" w:rsidRPr="00382A2B">
        <w:t xml:space="preserve">. </w:t>
      </w:r>
      <w:r w:rsidR="002C5D7E">
        <w:t xml:space="preserve">The full impact of the Cyclone on the coral communities, and so index score, is buffered by an increase in the </w:t>
      </w:r>
      <w:r w:rsidR="0025720F" w:rsidRPr="00382A2B">
        <w:t>Cover Change metric</w:t>
      </w:r>
      <w:r w:rsidR="00C25CC3">
        <w:t xml:space="preserve"> representing rapid increase in coral cover </w:t>
      </w:r>
      <w:r w:rsidR="0025720F" w:rsidRPr="00382A2B">
        <w:t>(predominantly branch</w:t>
      </w:r>
      <w:r w:rsidR="00EA390C">
        <w:t>ing</w:t>
      </w:r>
      <w:r w:rsidR="0025720F" w:rsidRPr="00382A2B">
        <w:t xml:space="preserve"> </w:t>
      </w:r>
      <w:r w:rsidR="0025720F" w:rsidRPr="00382A2B">
        <w:rPr>
          <w:i/>
        </w:rPr>
        <w:t>Acropora</w:t>
      </w:r>
      <w:r w:rsidR="0025720F" w:rsidRPr="00382A2B">
        <w:t>) at Double Cone, Daydream and Shute Harbour</w:t>
      </w:r>
      <w:r w:rsidR="00C25CC3">
        <w:t xml:space="preserve"> in the years preceding the Cyclone</w:t>
      </w:r>
      <w:r w:rsidR="0025720F" w:rsidRPr="00382A2B">
        <w:t xml:space="preserve"> (</w:t>
      </w:r>
      <w:r w:rsidR="007B0264">
        <w:fldChar w:fldCharType="begin"/>
      </w:r>
      <w:r w:rsidR="007B0264">
        <w:instrText xml:space="preserve"> REF _Ref501546141 \h </w:instrText>
      </w:r>
      <w:r w:rsidR="007B0264">
        <w:fldChar w:fldCharType="separate"/>
      </w:r>
      <w:r w:rsidR="00A75175">
        <w:t xml:space="preserve">Figure A1. </w:t>
      </w:r>
      <w:r w:rsidR="00A75175">
        <w:rPr>
          <w:noProof/>
        </w:rPr>
        <w:t>5</w:t>
      </w:r>
      <w:r w:rsidR="007B0264">
        <w:fldChar w:fldCharType="end"/>
      </w:r>
      <w:r w:rsidR="0025720F" w:rsidRPr="00382A2B">
        <w:t>)</w:t>
      </w:r>
      <w:r w:rsidR="00C25CC3">
        <w:t>. Limiting a more severe response in index scores were the Coral Cover and Juvenile score</w:t>
      </w:r>
      <w:r w:rsidR="005D22D4">
        <w:t>s</w:t>
      </w:r>
      <w:r w:rsidR="00C25CC3">
        <w:t xml:space="preserve"> for reefs at which the most recent </w:t>
      </w:r>
      <w:r w:rsidR="005D22D4">
        <w:t xml:space="preserve">surveys </w:t>
      </w:r>
      <w:r w:rsidR="00C25CC3">
        <w:t xml:space="preserve">predated the passage of </w:t>
      </w:r>
      <w:r w:rsidR="00CE02D3">
        <w:t xml:space="preserve">cyclone </w:t>
      </w:r>
      <w:r w:rsidR="00C25CC3">
        <w:t xml:space="preserve">Debbie. </w:t>
      </w:r>
      <w:r w:rsidR="005D22D4">
        <w:t>T</w:t>
      </w:r>
      <w:r w:rsidR="00C25CC3">
        <w:t>he Macroalgae score showed no consistent change between 2016 and 2017</w:t>
      </w:r>
      <w:r w:rsidR="004E5EB5">
        <w:t>,</w:t>
      </w:r>
      <w:r w:rsidR="00C25CC3">
        <w:t xml:space="preserve"> </w:t>
      </w:r>
      <w:r w:rsidR="005D22D4">
        <w:t>largely</w:t>
      </w:r>
      <w:r w:rsidR="00C25CC3">
        <w:t xml:space="preserve"> due to most reefs having consistently high scores for this metric. Substantial reduction in the cover of macroalgae at Pine and Seaforth (5 m)</w:t>
      </w:r>
      <w:r w:rsidR="004E5EB5">
        <w:t xml:space="preserve"> did occur in 2017, likely as a result of stripping during the cyclone or as a response to high turbidity in the aftermath, with these reductions resulting in a shift from ‘good’ to ‘very good’ categorisation of this metric in 2017 (</w:t>
      </w:r>
      <w:r w:rsidR="004E5EB5">
        <w:fldChar w:fldCharType="begin"/>
      </w:r>
      <w:r w:rsidR="004E5EB5">
        <w:instrText xml:space="preserve"> REF _Ref501105016 \h </w:instrText>
      </w:r>
      <w:r w:rsidR="004E5EB5">
        <w:fldChar w:fldCharType="separate"/>
      </w:r>
      <w:r w:rsidR="00A75175">
        <w:t xml:space="preserve">Table A1. </w:t>
      </w:r>
      <w:r w:rsidR="00A75175">
        <w:rPr>
          <w:noProof/>
        </w:rPr>
        <w:t>5</w:t>
      </w:r>
      <w:r w:rsidR="004E5EB5">
        <w:fldChar w:fldCharType="end"/>
      </w:r>
      <w:r w:rsidR="004E5EB5">
        <w:t>).</w:t>
      </w:r>
    </w:p>
    <w:p w14:paraId="1DB1C858" w14:textId="255F1E5C" w:rsidR="00E936F5" w:rsidRPr="007430DC" w:rsidRDefault="001D047C" w:rsidP="00E936F5">
      <w:r w:rsidRPr="00382A2B">
        <w:t xml:space="preserve">The </w:t>
      </w:r>
      <w:r w:rsidR="00E936F5">
        <w:t xml:space="preserve">observed </w:t>
      </w:r>
      <w:r w:rsidRPr="00382A2B">
        <w:t xml:space="preserve">decline in </w:t>
      </w:r>
      <w:r w:rsidR="002B2FF2">
        <w:t>C</w:t>
      </w:r>
      <w:r w:rsidRPr="00382A2B">
        <w:t>omposition scores</w:t>
      </w:r>
      <w:r w:rsidR="002B2FF2">
        <w:t xml:space="preserve"> at 2 m depths</w:t>
      </w:r>
      <w:r w:rsidRPr="00382A2B">
        <w:t xml:space="preserve"> reflect</w:t>
      </w:r>
      <w:r w:rsidR="004E5EB5">
        <w:t>s</w:t>
      </w:r>
      <w:r w:rsidRPr="00382A2B">
        <w:t xml:space="preserve"> the s</w:t>
      </w:r>
      <w:r w:rsidR="004E5EB5">
        <w:t xml:space="preserve">ubstantial </w:t>
      </w:r>
      <w:r w:rsidRPr="00382A2B">
        <w:t xml:space="preserve">loss of </w:t>
      </w:r>
      <w:r w:rsidRPr="004E5EB5">
        <w:rPr>
          <w:i/>
        </w:rPr>
        <w:t>Acropor</w:t>
      </w:r>
      <w:r w:rsidR="004E5EB5" w:rsidRPr="004E5EB5">
        <w:rPr>
          <w:i/>
        </w:rPr>
        <w:t>a</w:t>
      </w:r>
      <w:r w:rsidR="004E5EB5">
        <w:t xml:space="preserve"> </w:t>
      </w:r>
      <w:r w:rsidRPr="00382A2B">
        <w:t>across the region (</w:t>
      </w:r>
      <w:r w:rsidR="004E5EB5">
        <w:t>Family Acroporidae</w:t>
      </w:r>
      <w:r w:rsidR="007B0264">
        <w:t xml:space="preserve">, </w:t>
      </w:r>
      <w:r w:rsidR="007B0264">
        <w:fldChar w:fldCharType="begin"/>
      </w:r>
      <w:r w:rsidR="007B0264">
        <w:instrText xml:space="preserve"> REF _Ref501546141 \h </w:instrText>
      </w:r>
      <w:r w:rsidR="007B0264">
        <w:fldChar w:fldCharType="separate"/>
      </w:r>
      <w:r w:rsidR="00A75175">
        <w:t xml:space="preserve">Figure A1. </w:t>
      </w:r>
      <w:r w:rsidR="00A75175">
        <w:rPr>
          <w:noProof/>
        </w:rPr>
        <w:t>5</w:t>
      </w:r>
      <w:r w:rsidR="007B0264">
        <w:fldChar w:fldCharType="end"/>
      </w:r>
      <w:r w:rsidRPr="00382A2B">
        <w:rPr>
          <w:rFonts w:cs="Arial"/>
          <w:szCs w:val="22"/>
        </w:rPr>
        <w:t>)</w:t>
      </w:r>
      <w:r w:rsidR="00773EA2">
        <w:rPr>
          <w:rFonts w:cs="Arial"/>
          <w:szCs w:val="22"/>
        </w:rPr>
        <w:t xml:space="preserve"> as a result of </w:t>
      </w:r>
      <w:r w:rsidR="00CE02D3">
        <w:rPr>
          <w:rFonts w:cs="Arial"/>
          <w:szCs w:val="22"/>
        </w:rPr>
        <w:t xml:space="preserve">cyclone </w:t>
      </w:r>
      <w:r w:rsidR="00773EA2">
        <w:rPr>
          <w:rFonts w:cs="Arial"/>
          <w:szCs w:val="22"/>
        </w:rPr>
        <w:t>Debbie. In general, m</w:t>
      </w:r>
      <w:r w:rsidR="00773EA2" w:rsidRPr="007430DC">
        <w:rPr>
          <w:rFonts w:cs="Arial"/>
          <w:szCs w:val="22"/>
        </w:rPr>
        <w:t xml:space="preserve">arked differences in </w:t>
      </w:r>
      <w:r w:rsidR="00773EA2">
        <w:rPr>
          <w:rFonts w:cs="Arial"/>
          <w:szCs w:val="22"/>
        </w:rPr>
        <w:t xml:space="preserve">the </w:t>
      </w:r>
      <w:r w:rsidR="00773EA2" w:rsidRPr="007430DC">
        <w:rPr>
          <w:rFonts w:cs="Arial"/>
          <w:szCs w:val="22"/>
        </w:rPr>
        <w:t xml:space="preserve">composition of coral communities between 2 m and 5 m depths </w:t>
      </w:r>
      <w:r w:rsidR="00773EA2">
        <w:rPr>
          <w:rFonts w:cs="Arial"/>
          <w:szCs w:val="22"/>
        </w:rPr>
        <w:t>(</w:t>
      </w:r>
      <w:r w:rsidR="00773EA2">
        <w:rPr>
          <w:rFonts w:cs="Arial"/>
          <w:szCs w:val="22"/>
        </w:rPr>
        <w:fldChar w:fldCharType="begin"/>
      </w:r>
      <w:r w:rsidR="00773EA2">
        <w:rPr>
          <w:rFonts w:cs="Arial"/>
          <w:szCs w:val="22"/>
        </w:rPr>
        <w:instrText xml:space="preserve"> REF _Ref491341033 \h </w:instrText>
      </w:r>
      <w:r w:rsidR="00773EA2">
        <w:rPr>
          <w:rFonts w:cs="Arial"/>
          <w:szCs w:val="22"/>
        </w:rPr>
      </w:r>
      <w:r w:rsidR="00773EA2">
        <w:rPr>
          <w:rFonts w:cs="Arial"/>
          <w:szCs w:val="22"/>
        </w:rPr>
        <w:fldChar w:fldCharType="separate"/>
      </w:r>
      <w:r w:rsidR="00A75175" w:rsidRPr="004252BF">
        <w:t xml:space="preserve">Figure </w:t>
      </w:r>
      <w:r w:rsidR="00A75175">
        <w:rPr>
          <w:noProof/>
        </w:rPr>
        <w:t>21</w:t>
      </w:r>
      <w:r w:rsidR="00773EA2">
        <w:rPr>
          <w:rFonts w:cs="Arial"/>
          <w:szCs w:val="22"/>
        </w:rPr>
        <w:fldChar w:fldCharType="end"/>
      </w:r>
      <w:r w:rsidR="00773EA2">
        <w:rPr>
          <w:rFonts w:cs="Arial"/>
          <w:szCs w:val="22"/>
        </w:rPr>
        <w:t xml:space="preserve">f, </w:t>
      </w:r>
      <w:r w:rsidR="00773EA2">
        <w:rPr>
          <w:rFonts w:cs="Arial"/>
          <w:szCs w:val="22"/>
        </w:rPr>
        <w:fldChar w:fldCharType="begin"/>
      </w:r>
      <w:r w:rsidR="00773EA2">
        <w:rPr>
          <w:rFonts w:cs="Arial"/>
          <w:szCs w:val="22"/>
        </w:rPr>
        <w:instrText xml:space="preserve"> REF _Ref501546141 \h </w:instrText>
      </w:r>
      <w:r w:rsidR="00773EA2">
        <w:rPr>
          <w:rFonts w:cs="Arial"/>
          <w:szCs w:val="22"/>
        </w:rPr>
      </w:r>
      <w:r w:rsidR="00773EA2">
        <w:rPr>
          <w:rFonts w:cs="Arial"/>
          <w:szCs w:val="22"/>
        </w:rPr>
        <w:fldChar w:fldCharType="separate"/>
      </w:r>
      <w:r w:rsidR="00A75175">
        <w:t xml:space="preserve">Figure A1. </w:t>
      </w:r>
      <w:r w:rsidR="00A75175">
        <w:rPr>
          <w:noProof/>
        </w:rPr>
        <w:t>5</w:t>
      </w:r>
      <w:r w:rsidR="00773EA2">
        <w:rPr>
          <w:rFonts w:cs="Arial"/>
          <w:szCs w:val="22"/>
        </w:rPr>
        <w:fldChar w:fldCharType="end"/>
      </w:r>
      <w:r w:rsidR="00773EA2">
        <w:rPr>
          <w:rFonts w:cs="Arial"/>
          <w:szCs w:val="22"/>
        </w:rPr>
        <w:t xml:space="preserve">) are indicative of the </w:t>
      </w:r>
      <w:r w:rsidR="00773EA2" w:rsidRPr="007430DC">
        <w:rPr>
          <w:rFonts w:cs="Arial"/>
          <w:szCs w:val="22"/>
        </w:rPr>
        <w:t>steep gradient in environmental conditions</w:t>
      </w:r>
      <w:r w:rsidR="00773EA2">
        <w:rPr>
          <w:rFonts w:cs="Arial"/>
          <w:szCs w:val="22"/>
        </w:rPr>
        <w:t xml:space="preserve"> that impose </w:t>
      </w:r>
      <w:r w:rsidR="00F74DBD">
        <w:rPr>
          <w:rFonts w:cs="Arial"/>
          <w:szCs w:val="22"/>
        </w:rPr>
        <w:t xml:space="preserve">differing </w:t>
      </w:r>
      <w:r w:rsidR="00773EA2">
        <w:rPr>
          <w:rFonts w:cs="Arial"/>
          <w:szCs w:val="22"/>
        </w:rPr>
        <w:t xml:space="preserve">selective pressures on these communities. </w:t>
      </w:r>
      <w:r w:rsidR="00F74DBD">
        <w:t xml:space="preserve">High turbidity </w:t>
      </w:r>
      <w:r w:rsidR="00F74DBD" w:rsidRPr="007430DC">
        <w:t>at most of the MMP reef sites (</w:t>
      </w:r>
      <w:r w:rsidR="00F74DBD">
        <w:fldChar w:fldCharType="begin"/>
      </w:r>
      <w:r w:rsidR="00F74DBD">
        <w:instrText xml:space="preserve"> REF _Ref501113071 \h </w:instrText>
      </w:r>
      <w:r w:rsidR="00F74DBD">
        <w:fldChar w:fldCharType="separate"/>
      </w:r>
      <w:r w:rsidR="00A75175">
        <w:t xml:space="preserve">Table A1. </w:t>
      </w:r>
      <w:r w:rsidR="00A75175">
        <w:rPr>
          <w:noProof/>
        </w:rPr>
        <w:t>6</w:t>
      </w:r>
      <w:r w:rsidR="00F74DBD">
        <w:fldChar w:fldCharType="end"/>
      </w:r>
      <w:r w:rsidR="00F74DBD" w:rsidRPr="007430DC">
        <w:t xml:space="preserve">) in combination with the limited exposure to wave energy among the Whitsunday Islands, which results in accumulation of fine sediments, have combined to select for coral communities tolerant of these conditions. </w:t>
      </w:r>
      <w:r w:rsidR="00773EA2">
        <w:rPr>
          <w:rFonts w:cs="Arial"/>
          <w:szCs w:val="22"/>
        </w:rPr>
        <w:t xml:space="preserve">At 5 m depths there </w:t>
      </w:r>
      <w:r w:rsidR="00773EA2" w:rsidRPr="007430DC">
        <w:rPr>
          <w:rFonts w:cs="Arial"/>
          <w:szCs w:val="22"/>
        </w:rPr>
        <w:t xml:space="preserve">is a clear predominance of corals tolerant to low light and high rates of sedimentation </w:t>
      </w:r>
      <w:r w:rsidR="00773EA2">
        <w:rPr>
          <w:rFonts w:cs="Arial"/>
          <w:szCs w:val="22"/>
        </w:rPr>
        <w:t>(</w:t>
      </w:r>
      <w:r w:rsidR="00773EA2" w:rsidRPr="007430DC">
        <w:rPr>
          <w:rFonts w:cs="Arial"/>
          <w:szCs w:val="22"/>
        </w:rPr>
        <w:t xml:space="preserve">Oculinidae, </w:t>
      </w:r>
      <w:r w:rsidR="00773EA2">
        <w:rPr>
          <w:rFonts w:cs="Arial"/>
          <w:szCs w:val="22"/>
        </w:rPr>
        <w:t xml:space="preserve">Pectiniidae, Agariciidae, Poritidae (genus </w:t>
      </w:r>
      <w:r w:rsidR="00773EA2" w:rsidRPr="00773EA2">
        <w:rPr>
          <w:rFonts w:cs="Arial"/>
          <w:i/>
          <w:szCs w:val="22"/>
        </w:rPr>
        <w:t>Goniopora</w:t>
      </w:r>
      <w:r w:rsidR="00773EA2">
        <w:rPr>
          <w:rFonts w:cs="Arial"/>
          <w:szCs w:val="22"/>
        </w:rPr>
        <w:t>)</w:t>
      </w:r>
      <w:r w:rsidR="00773EA2" w:rsidRPr="007430DC">
        <w:rPr>
          <w:rFonts w:cs="Arial"/>
          <w:szCs w:val="22"/>
        </w:rPr>
        <w:t xml:space="preserve">) compared to </w:t>
      </w:r>
      <w:r w:rsidR="00773EA2">
        <w:rPr>
          <w:rFonts w:cs="Arial"/>
          <w:szCs w:val="22"/>
        </w:rPr>
        <w:t xml:space="preserve">those </w:t>
      </w:r>
      <w:r w:rsidR="00773EA2" w:rsidRPr="007430DC">
        <w:rPr>
          <w:rFonts w:cs="Arial"/>
          <w:szCs w:val="22"/>
        </w:rPr>
        <w:t xml:space="preserve">at 2 m depths where Acroporidae and </w:t>
      </w:r>
      <w:r w:rsidR="00773EA2">
        <w:rPr>
          <w:rFonts w:cs="Arial"/>
          <w:szCs w:val="22"/>
        </w:rPr>
        <w:t xml:space="preserve">Poritidae (genus </w:t>
      </w:r>
      <w:r w:rsidR="00773EA2" w:rsidRPr="007430DC">
        <w:rPr>
          <w:rFonts w:cs="Arial"/>
          <w:i/>
          <w:szCs w:val="22"/>
        </w:rPr>
        <w:t>Porites</w:t>
      </w:r>
      <w:r w:rsidR="007D3289">
        <w:rPr>
          <w:rFonts w:cs="Arial"/>
          <w:szCs w:val="22"/>
        </w:rPr>
        <w:t>)</w:t>
      </w:r>
      <w:r w:rsidR="00773EA2" w:rsidRPr="007430DC">
        <w:rPr>
          <w:rFonts w:cs="Arial"/>
          <w:szCs w:val="22"/>
        </w:rPr>
        <w:t xml:space="preserve"> are most </w:t>
      </w:r>
      <w:r w:rsidR="00773EA2">
        <w:rPr>
          <w:rFonts w:cs="Arial"/>
          <w:szCs w:val="22"/>
        </w:rPr>
        <w:t>com</w:t>
      </w:r>
      <w:r w:rsidR="00A928FD">
        <w:rPr>
          <w:rFonts w:cs="Arial"/>
          <w:szCs w:val="22"/>
        </w:rPr>
        <w:t>m</w:t>
      </w:r>
      <w:r w:rsidR="00773EA2">
        <w:rPr>
          <w:rFonts w:cs="Arial"/>
          <w:szCs w:val="22"/>
        </w:rPr>
        <w:t>on</w:t>
      </w:r>
      <w:r w:rsidR="00773EA2" w:rsidRPr="007430DC">
        <w:rPr>
          <w:rFonts w:cs="Arial"/>
          <w:szCs w:val="22"/>
        </w:rPr>
        <w:t xml:space="preserve"> (</w:t>
      </w:r>
      <w:r w:rsidR="007B0264">
        <w:rPr>
          <w:rFonts w:cs="Arial"/>
          <w:szCs w:val="22"/>
        </w:rPr>
        <w:fldChar w:fldCharType="begin"/>
      </w:r>
      <w:r w:rsidR="007B0264">
        <w:rPr>
          <w:rFonts w:cs="Arial"/>
          <w:szCs w:val="22"/>
        </w:rPr>
        <w:instrText xml:space="preserve"> REF _Ref501546141 \h </w:instrText>
      </w:r>
      <w:r w:rsidR="007B0264">
        <w:rPr>
          <w:rFonts w:cs="Arial"/>
          <w:szCs w:val="22"/>
        </w:rPr>
      </w:r>
      <w:r w:rsidR="007B0264">
        <w:rPr>
          <w:rFonts w:cs="Arial"/>
          <w:szCs w:val="22"/>
        </w:rPr>
        <w:fldChar w:fldCharType="separate"/>
      </w:r>
      <w:r w:rsidR="00A75175">
        <w:t xml:space="preserve">Figure A1. </w:t>
      </w:r>
      <w:r w:rsidR="00A75175">
        <w:rPr>
          <w:noProof/>
        </w:rPr>
        <w:t>5</w:t>
      </w:r>
      <w:r w:rsidR="007B0264">
        <w:rPr>
          <w:rFonts w:cs="Arial"/>
          <w:szCs w:val="22"/>
        </w:rPr>
        <w:fldChar w:fldCharType="end"/>
      </w:r>
      <w:r w:rsidR="00773EA2" w:rsidRPr="007430DC">
        <w:rPr>
          <w:rFonts w:cs="Arial"/>
          <w:szCs w:val="22"/>
        </w:rPr>
        <w:t>).</w:t>
      </w:r>
    </w:p>
    <w:p w14:paraId="485F9C74" w14:textId="3D232B56" w:rsidR="00F27621" w:rsidRPr="00382A2B" w:rsidRDefault="00253045" w:rsidP="00F27621">
      <w:pPr>
        <w:rPr>
          <w:rFonts w:cs="Arial"/>
          <w:szCs w:val="22"/>
        </w:rPr>
      </w:pPr>
      <w:r w:rsidRPr="00382A2B">
        <w:t xml:space="preserve">A high proportion of macroalgae is only recorded at Pine and Seaforth </w:t>
      </w:r>
      <w:r w:rsidRPr="00382A2B">
        <w:rPr>
          <w:rFonts w:cs="Arial"/>
          <w:szCs w:val="22"/>
        </w:rPr>
        <w:t xml:space="preserve">the two reefs with the highest long-term mean </w:t>
      </w:r>
      <w:r w:rsidR="00F74DBD">
        <w:rPr>
          <w:rFonts w:cs="Arial"/>
          <w:szCs w:val="22"/>
        </w:rPr>
        <w:t xml:space="preserve">exposure to </w:t>
      </w:r>
      <w:r w:rsidRPr="00382A2B">
        <w:rPr>
          <w:rFonts w:cs="Arial"/>
          <w:szCs w:val="22"/>
        </w:rPr>
        <w:t xml:space="preserve">Chl </w:t>
      </w:r>
      <w:r w:rsidRPr="00382A2B">
        <w:rPr>
          <w:rFonts w:cs="Arial"/>
          <w:i/>
          <w:szCs w:val="22"/>
        </w:rPr>
        <w:t>a</w:t>
      </w:r>
      <w:r w:rsidRPr="00382A2B">
        <w:rPr>
          <w:rFonts w:cs="Arial"/>
          <w:szCs w:val="22"/>
        </w:rPr>
        <w:t xml:space="preserve"> </w:t>
      </w:r>
      <w:r w:rsidR="00F74DBD">
        <w:rPr>
          <w:rFonts w:cs="Arial"/>
          <w:szCs w:val="22"/>
        </w:rPr>
        <w:t xml:space="preserve">concentrations that exceed guideline values </w:t>
      </w:r>
      <w:r w:rsidRPr="00382A2B">
        <w:rPr>
          <w:rFonts w:cs="Arial"/>
          <w:szCs w:val="22"/>
        </w:rPr>
        <w:t>(</w:t>
      </w:r>
      <w:r w:rsidR="00F74DBD">
        <w:rPr>
          <w:rFonts w:cs="Arial"/>
          <w:szCs w:val="22"/>
        </w:rPr>
        <w:fldChar w:fldCharType="begin"/>
      </w:r>
      <w:r w:rsidR="00F74DBD">
        <w:rPr>
          <w:rFonts w:cs="Arial"/>
          <w:szCs w:val="22"/>
        </w:rPr>
        <w:instrText xml:space="preserve"> REF _Ref491342894 \h </w:instrText>
      </w:r>
      <w:r w:rsidR="00F74DBD">
        <w:rPr>
          <w:rFonts w:cs="Arial"/>
          <w:szCs w:val="22"/>
        </w:rPr>
      </w:r>
      <w:r w:rsidR="00F74DBD">
        <w:rPr>
          <w:rFonts w:cs="Arial"/>
          <w:szCs w:val="22"/>
        </w:rPr>
        <w:fldChar w:fldCharType="separate"/>
      </w:r>
      <w:r w:rsidR="00A75175" w:rsidRPr="00F352E1">
        <w:t xml:space="preserve">Figure </w:t>
      </w:r>
      <w:r w:rsidR="00A75175">
        <w:rPr>
          <w:noProof/>
        </w:rPr>
        <w:t>20</w:t>
      </w:r>
      <w:r w:rsidR="00F74DBD">
        <w:rPr>
          <w:rFonts w:cs="Arial"/>
          <w:szCs w:val="22"/>
        </w:rPr>
        <w:fldChar w:fldCharType="end"/>
      </w:r>
      <w:r w:rsidR="00F74DBD">
        <w:rPr>
          <w:rFonts w:cs="Arial"/>
          <w:szCs w:val="22"/>
        </w:rPr>
        <w:t xml:space="preserve">a, </w:t>
      </w:r>
      <w:r w:rsidR="007B0264">
        <w:rPr>
          <w:rFonts w:cs="Arial"/>
          <w:szCs w:val="22"/>
        </w:rPr>
        <w:fldChar w:fldCharType="begin"/>
      </w:r>
      <w:r w:rsidR="007B0264">
        <w:rPr>
          <w:rFonts w:cs="Arial"/>
          <w:szCs w:val="22"/>
        </w:rPr>
        <w:instrText xml:space="preserve"> REF _Ref501546141 \h </w:instrText>
      </w:r>
      <w:r w:rsidR="007B0264">
        <w:rPr>
          <w:rFonts w:cs="Arial"/>
          <w:szCs w:val="22"/>
        </w:rPr>
      </w:r>
      <w:r w:rsidR="007B0264">
        <w:rPr>
          <w:rFonts w:cs="Arial"/>
          <w:szCs w:val="22"/>
        </w:rPr>
        <w:fldChar w:fldCharType="separate"/>
      </w:r>
      <w:r w:rsidR="00A75175">
        <w:t xml:space="preserve">Figure A1. </w:t>
      </w:r>
      <w:r w:rsidR="00A75175">
        <w:rPr>
          <w:noProof/>
        </w:rPr>
        <w:t>5</w:t>
      </w:r>
      <w:r w:rsidR="007B0264">
        <w:rPr>
          <w:rFonts w:cs="Arial"/>
          <w:szCs w:val="22"/>
        </w:rPr>
        <w:fldChar w:fldCharType="end"/>
      </w:r>
      <w:r w:rsidR="00BE20D6" w:rsidRPr="00382A2B">
        <w:rPr>
          <w:rFonts w:cs="Arial"/>
          <w:szCs w:val="22"/>
        </w:rPr>
        <w:t>,</w:t>
      </w:r>
      <w:r w:rsidR="00F74DBD">
        <w:rPr>
          <w:rFonts w:cs="Arial"/>
          <w:szCs w:val="22"/>
        </w:rPr>
        <w:t xml:space="preserve"> </w:t>
      </w:r>
      <w:r w:rsidR="00F74DBD">
        <w:rPr>
          <w:rFonts w:cs="Arial"/>
          <w:szCs w:val="22"/>
        </w:rPr>
        <w:fldChar w:fldCharType="begin"/>
      </w:r>
      <w:r w:rsidR="00F74DBD">
        <w:rPr>
          <w:rFonts w:cs="Arial"/>
          <w:szCs w:val="22"/>
        </w:rPr>
        <w:instrText xml:space="preserve"> REF _Ref501113071 \h </w:instrText>
      </w:r>
      <w:r w:rsidR="00F74DBD">
        <w:rPr>
          <w:rFonts w:cs="Arial"/>
          <w:szCs w:val="22"/>
        </w:rPr>
      </w:r>
      <w:r w:rsidR="00F74DBD">
        <w:rPr>
          <w:rFonts w:cs="Arial"/>
          <w:szCs w:val="22"/>
        </w:rPr>
        <w:fldChar w:fldCharType="separate"/>
      </w:r>
      <w:r w:rsidR="00A75175">
        <w:t xml:space="preserve">Table A1. </w:t>
      </w:r>
      <w:r w:rsidR="00A75175">
        <w:rPr>
          <w:noProof/>
        </w:rPr>
        <w:t>6</w:t>
      </w:r>
      <w:r w:rsidR="00F74DBD">
        <w:rPr>
          <w:rFonts w:cs="Arial"/>
          <w:szCs w:val="22"/>
        </w:rPr>
        <w:fldChar w:fldCharType="end"/>
      </w:r>
      <w:r w:rsidRPr="00382A2B">
        <w:rPr>
          <w:rFonts w:cs="Arial"/>
          <w:szCs w:val="22"/>
        </w:rPr>
        <w:t>)</w:t>
      </w:r>
      <w:r w:rsidR="003E7AA9" w:rsidRPr="00382A2B">
        <w:rPr>
          <w:rFonts w:cs="Arial"/>
          <w:szCs w:val="22"/>
        </w:rPr>
        <w:t>,</w:t>
      </w:r>
      <w:r w:rsidRPr="00382A2B">
        <w:rPr>
          <w:rFonts w:cs="Arial"/>
          <w:szCs w:val="22"/>
        </w:rPr>
        <w:t xml:space="preserve"> suggesting nutrient availability plays a role in the prevalence of macroalgae at these reefs. </w:t>
      </w:r>
      <w:r w:rsidR="001D047C" w:rsidRPr="00382A2B">
        <w:rPr>
          <w:rFonts w:cs="Arial"/>
          <w:szCs w:val="22"/>
        </w:rPr>
        <w:t xml:space="preserve">Macroalgae cover declined </w:t>
      </w:r>
      <w:r w:rsidR="00F74DBD">
        <w:rPr>
          <w:rFonts w:cs="Arial"/>
          <w:szCs w:val="22"/>
        </w:rPr>
        <w:t xml:space="preserve">sharply </w:t>
      </w:r>
      <w:r w:rsidR="001D047C" w:rsidRPr="00382A2B">
        <w:rPr>
          <w:rFonts w:cs="Arial"/>
          <w:szCs w:val="22"/>
        </w:rPr>
        <w:t>at both of these reefs i</w:t>
      </w:r>
      <w:r w:rsidR="00F74DBD">
        <w:rPr>
          <w:rFonts w:cs="Arial"/>
          <w:szCs w:val="22"/>
        </w:rPr>
        <w:t>n 2017 (</w:t>
      </w:r>
      <w:r w:rsidR="00F74DBD">
        <w:rPr>
          <w:rFonts w:cs="Arial"/>
          <w:szCs w:val="22"/>
        </w:rPr>
        <w:fldChar w:fldCharType="begin"/>
      </w:r>
      <w:r w:rsidR="00F74DBD">
        <w:rPr>
          <w:rFonts w:cs="Arial"/>
          <w:szCs w:val="22"/>
        </w:rPr>
        <w:instrText xml:space="preserve"> REF _Ref501546141 \h </w:instrText>
      </w:r>
      <w:r w:rsidR="00F74DBD">
        <w:rPr>
          <w:rFonts w:cs="Arial"/>
          <w:szCs w:val="22"/>
        </w:rPr>
      </w:r>
      <w:r w:rsidR="00F74DBD">
        <w:rPr>
          <w:rFonts w:cs="Arial"/>
          <w:szCs w:val="22"/>
        </w:rPr>
        <w:fldChar w:fldCharType="separate"/>
      </w:r>
      <w:r w:rsidR="00A75175">
        <w:t xml:space="preserve">Figure A1. </w:t>
      </w:r>
      <w:r w:rsidR="00A75175">
        <w:rPr>
          <w:noProof/>
        </w:rPr>
        <w:t>5</w:t>
      </w:r>
      <w:r w:rsidR="00F74DBD">
        <w:rPr>
          <w:rFonts w:cs="Arial"/>
          <w:szCs w:val="22"/>
        </w:rPr>
        <w:fldChar w:fldCharType="end"/>
      </w:r>
      <w:r w:rsidR="00F74DBD">
        <w:rPr>
          <w:rFonts w:cs="Arial"/>
          <w:szCs w:val="22"/>
        </w:rPr>
        <w:t xml:space="preserve">). It is likely that these declines were a response to stripping of algae during the passage of </w:t>
      </w:r>
      <w:r w:rsidR="00CE02D3">
        <w:rPr>
          <w:rFonts w:cs="Arial"/>
          <w:szCs w:val="22"/>
        </w:rPr>
        <w:t xml:space="preserve">cyclone </w:t>
      </w:r>
      <w:r w:rsidR="00F74DBD">
        <w:rPr>
          <w:rFonts w:cs="Arial"/>
          <w:szCs w:val="22"/>
        </w:rPr>
        <w:t xml:space="preserve">Debbie, or additionally, low light conditions in the aftermath of the cyclone. </w:t>
      </w:r>
    </w:p>
    <w:p w14:paraId="1701E8BB" w14:textId="77777777" w:rsidR="0000691A" w:rsidRPr="00F352E1" w:rsidRDefault="007A50AB" w:rsidP="00606A50">
      <w:pPr>
        <w:pStyle w:val="Caption"/>
      </w:pPr>
      <w:bookmarkStart w:id="228" w:name="_Ref491341013"/>
      <w:bookmarkStart w:id="229" w:name="_Toc514407862"/>
      <w:r w:rsidRPr="00F352E1">
        <w:t xml:space="preserve">Table </w:t>
      </w:r>
      <w:r w:rsidR="00626D6B">
        <w:fldChar w:fldCharType="begin"/>
      </w:r>
      <w:r w:rsidR="00626D6B">
        <w:instrText xml:space="preserve"> SEQ Table \* ARABIC </w:instrText>
      </w:r>
      <w:r w:rsidR="00626D6B">
        <w:fldChar w:fldCharType="separate"/>
      </w:r>
      <w:r w:rsidR="00A75175">
        <w:rPr>
          <w:noProof/>
        </w:rPr>
        <w:t>14</w:t>
      </w:r>
      <w:r w:rsidR="00626D6B">
        <w:rPr>
          <w:noProof/>
        </w:rPr>
        <w:fldChar w:fldCharType="end"/>
      </w:r>
      <w:bookmarkEnd w:id="228"/>
      <w:r w:rsidRPr="00F352E1">
        <w:t xml:space="preserve"> </w:t>
      </w:r>
      <w:r w:rsidR="00BB098E">
        <w:t>I</w:t>
      </w:r>
      <w:r w:rsidR="00BB098E" w:rsidRPr="00F352E1">
        <w:t>ndex and metric score</w:t>
      </w:r>
      <w:r w:rsidR="00BB098E">
        <w:t xml:space="preserve"> comparisons</w:t>
      </w:r>
      <w:r w:rsidR="00BB098E" w:rsidRPr="00F352E1">
        <w:t xml:space="preserve"> in the</w:t>
      </w:r>
      <w:r w:rsidRPr="00F352E1">
        <w:t xml:space="preserve"> Mackay Whitsunday Region.</w:t>
      </w:r>
      <w:r w:rsidR="0000691A" w:rsidRPr="00F352E1">
        <w:t xml:space="preserve"> Data compare the changes in scores between local maxima and minima in the index time-series. For the index, and each metric,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229"/>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atistical comparison between index and metric scores between local maxima and minima in the time-series of scores in the region"/>
        <w:tblDescription w:val="A table listing the maxima in minima index scores and significance of changes in the index and each metric. The salient results are discussed in the main text. &#10;"/>
      </w:tblPr>
      <w:tblGrid>
        <w:gridCol w:w="1074"/>
        <w:gridCol w:w="350"/>
        <w:gridCol w:w="625"/>
        <w:gridCol w:w="625"/>
        <w:gridCol w:w="625"/>
        <w:gridCol w:w="625"/>
        <w:gridCol w:w="625"/>
        <w:gridCol w:w="626"/>
        <w:gridCol w:w="625"/>
        <w:gridCol w:w="625"/>
        <w:gridCol w:w="625"/>
        <w:gridCol w:w="625"/>
        <w:gridCol w:w="625"/>
        <w:gridCol w:w="626"/>
      </w:tblGrid>
      <w:tr w:rsidR="00606628" w:rsidRPr="00852372" w14:paraId="49689F10" w14:textId="77777777" w:rsidTr="00112B73">
        <w:trPr>
          <w:trHeight w:val="300"/>
        </w:trPr>
        <w:tc>
          <w:tcPr>
            <w:tcW w:w="1074" w:type="dxa"/>
            <w:vMerge w:val="restart"/>
            <w:shd w:val="clear" w:color="auto" w:fill="auto"/>
            <w:noWrap/>
            <w:tcMar>
              <w:left w:w="57" w:type="dxa"/>
              <w:right w:w="57" w:type="dxa"/>
            </w:tcMar>
            <w:vAlign w:val="bottom"/>
          </w:tcPr>
          <w:p w14:paraId="3F4A1890" w14:textId="77777777" w:rsidR="00606628" w:rsidRPr="00852372" w:rsidRDefault="00606628" w:rsidP="00112B73">
            <w:pPr>
              <w:spacing w:after="0"/>
              <w:rPr>
                <w:rFonts w:ascii="Arial Narrow" w:hAnsi="Arial Narrow"/>
                <w:sz w:val="20"/>
                <w:lang w:eastAsia="en-AU"/>
              </w:rPr>
            </w:pPr>
            <w:r w:rsidRPr="00852372">
              <w:rPr>
                <w:rFonts w:ascii="Arial Narrow" w:hAnsi="Arial Narrow"/>
                <w:color w:val="000000"/>
                <w:sz w:val="20"/>
                <w:lang w:eastAsia="en-AU"/>
              </w:rPr>
              <w:t>Period</w:t>
            </w:r>
          </w:p>
        </w:tc>
        <w:tc>
          <w:tcPr>
            <w:tcW w:w="350" w:type="dxa"/>
            <w:vMerge w:val="restart"/>
            <w:shd w:val="clear" w:color="auto" w:fill="auto"/>
            <w:noWrap/>
            <w:tcMar>
              <w:left w:w="57" w:type="dxa"/>
              <w:right w:w="57" w:type="dxa"/>
            </w:tcMar>
            <w:textDirection w:val="btLr"/>
            <w:vAlign w:val="bottom"/>
          </w:tcPr>
          <w:p w14:paraId="189D22DB" w14:textId="77777777" w:rsidR="00606628" w:rsidRPr="00852372" w:rsidRDefault="00606628" w:rsidP="00112B73">
            <w:pPr>
              <w:spacing w:after="0"/>
              <w:ind w:left="113" w:right="113"/>
              <w:jc w:val="center"/>
              <w:rPr>
                <w:rFonts w:ascii="Arial Narrow" w:hAnsi="Arial Narrow"/>
                <w:sz w:val="20"/>
                <w:lang w:eastAsia="en-AU"/>
              </w:rPr>
            </w:pPr>
            <w:r w:rsidRPr="00852372">
              <w:rPr>
                <w:rFonts w:ascii="Arial Narrow" w:hAnsi="Arial Narrow"/>
                <w:color w:val="000000"/>
                <w:sz w:val="20"/>
                <w:lang w:eastAsia="en-AU"/>
              </w:rPr>
              <w:t>Depth</w:t>
            </w:r>
          </w:p>
        </w:tc>
        <w:tc>
          <w:tcPr>
            <w:tcW w:w="1250" w:type="dxa"/>
            <w:gridSpan w:val="2"/>
            <w:shd w:val="clear" w:color="auto" w:fill="auto"/>
            <w:noWrap/>
            <w:tcMar>
              <w:left w:w="57" w:type="dxa"/>
              <w:right w:w="57" w:type="dxa"/>
            </w:tcMar>
            <w:vAlign w:val="bottom"/>
          </w:tcPr>
          <w:p w14:paraId="5F4EFD87"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Index</w:t>
            </w:r>
          </w:p>
        </w:tc>
        <w:tc>
          <w:tcPr>
            <w:tcW w:w="1250" w:type="dxa"/>
            <w:gridSpan w:val="2"/>
            <w:shd w:val="clear" w:color="auto" w:fill="auto"/>
            <w:noWrap/>
            <w:tcMar>
              <w:left w:w="57" w:type="dxa"/>
              <w:right w:w="57" w:type="dxa"/>
            </w:tcMar>
            <w:vAlign w:val="bottom"/>
          </w:tcPr>
          <w:p w14:paraId="7461194E"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Coral Cover</w:t>
            </w:r>
          </w:p>
        </w:tc>
        <w:tc>
          <w:tcPr>
            <w:tcW w:w="1251" w:type="dxa"/>
            <w:gridSpan w:val="2"/>
            <w:shd w:val="clear" w:color="auto" w:fill="auto"/>
            <w:noWrap/>
            <w:tcMar>
              <w:left w:w="57" w:type="dxa"/>
              <w:right w:w="57" w:type="dxa"/>
            </w:tcMar>
            <w:vAlign w:val="bottom"/>
          </w:tcPr>
          <w:p w14:paraId="4C14A971"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Macroalgae</w:t>
            </w:r>
          </w:p>
        </w:tc>
        <w:tc>
          <w:tcPr>
            <w:tcW w:w="1250" w:type="dxa"/>
            <w:gridSpan w:val="2"/>
            <w:shd w:val="clear" w:color="auto" w:fill="auto"/>
            <w:noWrap/>
            <w:tcMar>
              <w:left w:w="57" w:type="dxa"/>
              <w:right w:w="57" w:type="dxa"/>
            </w:tcMar>
            <w:vAlign w:val="bottom"/>
          </w:tcPr>
          <w:p w14:paraId="4FB5214D"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Juvenile</w:t>
            </w:r>
          </w:p>
        </w:tc>
        <w:tc>
          <w:tcPr>
            <w:tcW w:w="1250" w:type="dxa"/>
            <w:gridSpan w:val="2"/>
            <w:shd w:val="clear" w:color="auto" w:fill="auto"/>
            <w:noWrap/>
            <w:tcMar>
              <w:left w:w="57" w:type="dxa"/>
              <w:right w:w="57" w:type="dxa"/>
            </w:tcMar>
            <w:vAlign w:val="bottom"/>
          </w:tcPr>
          <w:p w14:paraId="72CB6B39"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Cover Change</w:t>
            </w:r>
          </w:p>
        </w:tc>
        <w:tc>
          <w:tcPr>
            <w:tcW w:w="1251" w:type="dxa"/>
            <w:gridSpan w:val="2"/>
            <w:shd w:val="clear" w:color="auto" w:fill="auto"/>
            <w:noWrap/>
            <w:tcMar>
              <w:left w:w="57" w:type="dxa"/>
              <w:right w:w="57" w:type="dxa"/>
            </w:tcMar>
            <w:vAlign w:val="bottom"/>
          </w:tcPr>
          <w:p w14:paraId="00DD6B43" w14:textId="77777777" w:rsidR="00606628" w:rsidRPr="00852372" w:rsidRDefault="00606628"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Composition</w:t>
            </w:r>
          </w:p>
        </w:tc>
      </w:tr>
      <w:tr w:rsidR="00606628" w:rsidRPr="00852372" w14:paraId="44BB9C71" w14:textId="77777777" w:rsidTr="00112B73">
        <w:trPr>
          <w:trHeight w:val="520"/>
        </w:trPr>
        <w:tc>
          <w:tcPr>
            <w:tcW w:w="1074" w:type="dxa"/>
            <w:vMerge/>
            <w:shd w:val="clear" w:color="auto" w:fill="auto"/>
            <w:noWrap/>
            <w:tcMar>
              <w:left w:w="57" w:type="dxa"/>
              <w:right w:w="57" w:type="dxa"/>
            </w:tcMar>
            <w:vAlign w:val="bottom"/>
          </w:tcPr>
          <w:p w14:paraId="4DAB0BB8" w14:textId="77777777" w:rsidR="00606628" w:rsidRPr="00852372" w:rsidRDefault="00606628" w:rsidP="00112B73">
            <w:pPr>
              <w:spacing w:after="0"/>
              <w:rPr>
                <w:rFonts w:ascii="Arial Narrow" w:hAnsi="Arial Narrow"/>
                <w:color w:val="000000"/>
                <w:sz w:val="20"/>
                <w:lang w:eastAsia="en-AU"/>
              </w:rPr>
            </w:pPr>
          </w:p>
        </w:tc>
        <w:tc>
          <w:tcPr>
            <w:tcW w:w="350" w:type="dxa"/>
            <w:vMerge/>
            <w:shd w:val="clear" w:color="auto" w:fill="auto"/>
            <w:noWrap/>
            <w:tcMar>
              <w:left w:w="57" w:type="dxa"/>
              <w:right w:w="57" w:type="dxa"/>
            </w:tcMar>
            <w:vAlign w:val="bottom"/>
          </w:tcPr>
          <w:p w14:paraId="35ED6E28" w14:textId="77777777" w:rsidR="00606628" w:rsidRPr="00852372" w:rsidRDefault="00606628" w:rsidP="00112B73">
            <w:pPr>
              <w:spacing w:after="0"/>
              <w:jc w:val="center"/>
              <w:rPr>
                <w:rFonts w:ascii="Arial Narrow" w:hAnsi="Arial Narrow"/>
                <w:color w:val="000000"/>
                <w:sz w:val="20"/>
                <w:lang w:eastAsia="en-AU"/>
              </w:rPr>
            </w:pPr>
          </w:p>
        </w:tc>
        <w:tc>
          <w:tcPr>
            <w:tcW w:w="625" w:type="dxa"/>
            <w:shd w:val="clear" w:color="auto" w:fill="auto"/>
            <w:noWrap/>
            <w:tcMar>
              <w:left w:w="57" w:type="dxa"/>
              <w:right w:w="57" w:type="dxa"/>
            </w:tcMar>
            <w:vAlign w:val="bottom"/>
          </w:tcPr>
          <w:p w14:paraId="70A7C5FA"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5" w:type="dxa"/>
            <w:shd w:val="clear" w:color="auto" w:fill="auto"/>
            <w:noWrap/>
            <w:tcMar>
              <w:left w:w="57" w:type="dxa"/>
              <w:right w:w="57" w:type="dxa"/>
            </w:tcMar>
            <w:vAlign w:val="bottom"/>
          </w:tcPr>
          <w:p w14:paraId="6F62F2AA"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420464DC"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5" w:type="dxa"/>
            <w:shd w:val="clear" w:color="auto" w:fill="auto"/>
            <w:noWrap/>
            <w:tcMar>
              <w:left w:w="57" w:type="dxa"/>
              <w:right w:w="57" w:type="dxa"/>
            </w:tcMar>
            <w:vAlign w:val="bottom"/>
          </w:tcPr>
          <w:p w14:paraId="3D9E2490"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76ED7D94"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6" w:type="dxa"/>
            <w:shd w:val="clear" w:color="auto" w:fill="auto"/>
            <w:noWrap/>
            <w:tcMar>
              <w:left w:w="57" w:type="dxa"/>
              <w:right w:w="57" w:type="dxa"/>
            </w:tcMar>
            <w:vAlign w:val="bottom"/>
          </w:tcPr>
          <w:p w14:paraId="0FF78BBB"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26B84D3E"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5" w:type="dxa"/>
            <w:shd w:val="clear" w:color="auto" w:fill="auto"/>
            <w:noWrap/>
            <w:tcMar>
              <w:left w:w="57" w:type="dxa"/>
              <w:right w:w="57" w:type="dxa"/>
            </w:tcMar>
            <w:vAlign w:val="bottom"/>
          </w:tcPr>
          <w:p w14:paraId="077801DE"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21EC59EC"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5" w:type="dxa"/>
            <w:shd w:val="clear" w:color="auto" w:fill="auto"/>
            <w:noWrap/>
            <w:tcMar>
              <w:left w:w="57" w:type="dxa"/>
              <w:right w:w="57" w:type="dxa"/>
            </w:tcMar>
            <w:vAlign w:val="bottom"/>
          </w:tcPr>
          <w:p w14:paraId="03427606"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27B67C01"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6" w:type="dxa"/>
            <w:shd w:val="clear" w:color="auto" w:fill="auto"/>
            <w:noWrap/>
            <w:tcMar>
              <w:left w:w="57" w:type="dxa"/>
              <w:right w:w="57" w:type="dxa"/>
            </w:tcMar>
            <w:vAlign w:val="bottom"/>
          </w:tcPr>
          <w:p w14:paraId="1EBFF235" w14:textId="77777777" w:rsidR="00606628" w:rsidRPr="00852372" w:rsidRDefault="00606628"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r>
      <w:tr w:rsidR="00606628" w:rsidRPr="00852372" w14:paraId="3281491E" w14:textId="77777777" w:rsidTr="00857168">
        <w:trPr>
          <w:cantSplit/>
          <w:trHeight w:hRule="exact" w:val="301"/>
        </w:trPr>
        <w:tc>
          <w:tcPr>
            <w:tcW w:w="1074" w:type="dxa"/>
            <w:vMerge w:val="restart"/>
            <w:shd w:val="clear" w:color="auto" w:fill="auto"/>
            <w:noWrap/>
            <w:tcMar>
              <w:left w:w="57" w:type="dxa"/>
              <w:right w:w="57" w:type="dxa"/>
            </w:tcMar>
            <w:vAlign w:val="center"/>
          </w:tcPr>
          <w:p w14:paraId="6C6D75F0" w14:textId="77777777" w:rsidR="00606628" w:rsidRPr="00852372" w:rsidRDefault="00606628" w:rsidP="00112B73">
            <w:pPr>
              <w:spacing w:after="0"/>
              <w:rPr>
                <w:rFonts w:ascii="Arial Narrow" w:hAnsi="Arial Narrow"/>
                <w:bCs/>
                <w:color w:val="000000"/>
                <w:sz w:val="20"/>
              </w:rPr>
            </w:pPr>
            <w:r w:rsidRPr="00852372">
              <w:rPr>
                <w:rFonts w:ascii="Arial Narrow" w:hAnsi="Arial Narrow"/>
                <w:bCs/>
                <w:color w:val="000000"/>
                <w:sz w:val="20"/>
              </w:rPr>
              <w:t>2008 to 2012</w:t>
            </w:r>
          </w:p>
        </w:tc>
        <w:tc>
          <w:tcPr>
            <w:tcW w:w="350" w:type="dxa"/>
            <w:shd w:val="clear" w:color="auto" w:fill="auto"/>
            <w:noWrap/>
            <w:tcMar>
              <w:left w:w="57" w:type="dxa"/>
              <w:right w:w="57" w:type="dxa"/>
            </w:tcMar>
            <w:vAlign w:val="center"/>
          </w:tcPr>
          <w:p w14:paraId="3E525EB1" w14:textId="77777777" w:rsidR="00606628" w:rsidRPr="00852372" w:rsidRDefault="00606628" w:rsidP="00112B73">
            <w:pPr>
              <w:spacing w:after="0"/>
              <w:jc w:val="center"/>
              <w:rPr>
                <w:rFonts w:ascii="Arial Narrow" w:hAnsi="Arial Narrow"/>
                <w:bCs/>
                <w:color w:val="000000"/>
                <w:sz w:val="20"/>
              </w:rPr>
            </w:pPr>
            <w:r w:rsidRPr="00852372">
              <w:rPr>
                <w:rFonts w:ascii="Arial Narrow" w:hAnsi="Arial Narrow"/>
                <w:bCs/>
                <w:color w:val="000000"/>
                <w:sz w:val="20"/>
              </w:rPr>
              <w:t>2</w:t>
            </w:r>
          </w:p>
        </w:tc>
        <w:tc>
          <w:tcPr>
            <w:tcW w:w="625" w:type="dxa"/>
            <w:shd w:val="clear" w:color="auto" w:fill="F2DBDB" w:themeFill="accent2" w:themeFillTint="33"/>
            <w:noWrap/>
            <w:tcMar>
              <w:left w:w="57" w:type="dxa"/>
              <w:right w:w="57" w:type="dxa"/>
            </w:tcMar>
            <w:vAlign w:val="center"/>
          </w:tcPr>
          <w:p w14:paraId="7907725B"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-0.07</w:t>
            </w:r>
          </w:p>
        </w:tc>
        <w:tc>
          <w:tcPr>
            <w:tcW w:w="625" w:type="dxa"/>
            <w:shd w:val="clear" w:color="auto" w:fill="F2DBDB" w:themeFill="accent2" w:themeFillTint="33"/>
            <w:noWrap/>
            <w:tcMar>
              <w:left w:w="57" w:type="dxa"/>
              <w:right w:w="57" w:type="dxa"/>
            </w:tcMar>
            <w:vAlign w:val="center"/>
          </w:tcPr>
          <w:p w14:paraId="2DBB06E5"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0.78</w:t>
            </w:r>
          </w:p>
        </w:tc>
        <w:tc>
          <w:tcPr>
            <w:tcW w:w="625" w:type="dxa"/>
            <w:shd w:val="clear" w:color="auto" w:fill="D99594"/>
            <w:noWrap/>
            <w:tcMar>
              <w:left w:w="57" w:type="dxa"/>
              <w:right w:w="57" w:type="dxa"/>
            </w:tcMar>
            <w:vAlign w:val="center"/>
          </w:tcPr>
          <w:p w14:paraId="7B044027"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-0.07</w:t>
            </w:r>
          </w:p>
        </w:tc>
        <w:tc>
          <w:tcPr>
            <w:tcW w:w="625" w:type="dxa"/>
            <w:shd w:val="clear" w:color="auto" w:fill="D99594"/>
            <w:noWrap/>
            <w:tcMar>
              <w:left w:w="57" w:type="dxa"/>
              <w:right w:w="57" w:type="dxa"/>
            </w:tcMar>
            <w:vAlign w:val="center"/>
          </w:tcPr>
          <w:p w14:paraId="6D1E0483"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w:t>
            </w:r>
            <w:r>
              <w:rPr>
                <w:rFonts w:ascii="Arial Narrow" w:hAnsi="Arial Narrow"/>
                <w:bCs/>
                <w:color w:val="000000"/>
                <w:sz w:val="20"/>
              </w:rPr>
              <w:t>91</w:t>
            </w:r>
          </w:p>
        </w:tc>
        <w:tc>
          <w:tcPr>
            <w:tcW w:w="625" w:type="dxa"/>
            <w:shd w:val="clear" w:color="auto" w:fill="auto"/>
            <w:noWrap/>
            <w:tcMar>
              <w:left w:w="57" w:type="dxa"/>
              <w:right w:w="57" w:type="dxa"/>
            </w:tcMar>
            <w:vAlign w:val="center"/>
          </w:tcPr>
          <w:p w14:paraId="33A0089B"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0.00</w:t>
            </w:r>
          </w:p>
        </w:tc>
        <w:tc>
          <w:tcPr>
            <w:tcW w:w="626" w:type="dxa"/>
            <w:shd w:val="clear" w:color="auto" w:fill="auto"/>
            <w:noWrap/>
            <w:tcMar>
              <w:left w:w="57" w:type="dxa"/>
              <w:right w:w="57" w:type="dxa"/>
            </w:tcMar>
            <w:vAlign w:val="center"/>
          </w:tcPr>
          <w:p w14:paraId="1D76F542"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0.00</w:t>
            </w:r>
          </w:p>
        </w:tc>
        <w:tc>
          <w:tcPr>
            <w:tcW w:w="625" w:type="dxa"/>
            <w:shd w:val="clear" w:color="auto" w:fill="E5B8B7"/>
            <w:noWrap/>
            <w:tcMar>
              <w:left w:w="57" w:type="dxa"/>
              <w:right w:w="57" w:type="dxa"/>
            </w:tcMar>
            <w:vAlign w:val="center"/>
          </w:tcPr>
          <w:p w14:paraId="77AB9B5F"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-0.08</w:t>
            </w:r>
          </w:p>
        </w:tc>
        <w:tc>
          <w:tcPr>
            <w:tcW w:w="625" w:type="dxa"/>
            <w:shd w:val="clear" w:color="auto" w:fill="E5B8B7"/>
            <w:noWrap/>
            <w:tcMar>
              <w:left w:w="57" w:type="dxa"/>
              <w:right w:w="57" w:type="dxa"/>
            </w:tcMar>
            <w:vAlign w:val="center"/>
          </w:tcPr>
          <w:p w14:paraId="0D7486C6"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0.80</w:t>
            </w:r>
          </w:p>
        </w:tc>
        <w:tc>
          <w:tcPr>
            <w:tcW w:w="625" w:type="dxa"/>
            <w:shd w:val="clear" w:color="auto" w:fill="auto"/>
            <w:noWrap/>
            <w:tcMar>
              <w:left w:w="57" w:type="dxa"/>
              <w:right w:w="57" w:type="dxa"/>
            </w:tcMar>
            <w:vAlign w:val="center"/>
          </w:tcPr>
          <w:p w14:paraId="4A6305C3"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-0.05</w:t>
            </w:r>
          </w:p>
        </w:tc>
        <w:tc>
          <w:tcPr>
            <w:tcW w:w="625" w:type="dxa"/>
            <w:shd w:val="clear" w:color="auto" w:fill="auto"/>
            <w:noWrap/>
            <w:tcMar>
              <w:left w:w="57" w:type="dxa"/>
              <w:right w:w="57" w:type="dxa"/>
            </w:tcMar>
            <w:vAlign w:val="center"/>
          </w:tcPr>
          <w:p w14:paraId="53E0EDA5" w14:textId="77777777" w:rsidR="00606628" w:rsidRPr="00796BC2" w:rsidRDefault="00606628" w:rsidP="00112B73">
            <w:pPr>
              <w:spacing w:after="0"/>
              <w:jc w:val="center"/>
              <w:rPr>
                <w:rFonts w:ascii="Arial Narrow" w:hAnsi="Arial Narrow"/>
                <w:bCs/>
                <w:color w:val="000000"/>
                <w:sz w:val="20"/>
              </w:rPr>
            </w:pPr>
            <w:r>
              <w:rPr>
                <w:rFonts w:ascii="Arial Narrow" w:hAnsi="Arial Narrow"/>
                <w:bCs/>
                <w:color w:val="000000"/>
                <w:sz w:val="20"/>
              </w:rPr>
              <w:t>0.62</w:t>
            </w:r>
          </w:p>
        </w:tc>
        <w:tc>
          <w:tcPr>
            <w:tcW w:w="625" w:type="dxa"/>
            <w:shd w:val="clear" w:color="auto" w:fill="F2DBDB" w:themeFill="accent2" w:themeFillTint="33"/>
            <w:noWrap/>
            <w:tcMar>
              <w:left w:w="57" w:type="dxa"/>
              <w:right w:w="57" w:type="dxa"/>
            </w:tcMar>
            <w:vAlign w:val="center"/>
          </w:tcPr>
          <w:p w14:paraId="7709AAAE"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-0.14</w:t>
            </w:r>
          </w:p>
        </w:tc>
        <w:tc>
          <w:tcPr>
            <w:tcW w:w="626" w:type="dxa"/>
            <w:shd w:val="clear" w:color="auto" w:fill="F2DBDB" w:themeFill="accent2" w:themeFillTint="33"/>
            <w:noWrap/>
            <w:tcMar>
              <w:left w:w="57" w:type="dxa"/>
              <w:right w:w="57" w:type="dxa"/>
            </w:tcMar>
            <w:vAlign w:val="center"/>
          </w:tcPr>
          <w:p w14:paraId="48E5C9F3" w14:textId="77777777" w:rsidR="00606628" w:rsidRPr="00796BC2" w:rsidRDefault="00606628" w:rsidP="00112B73">
            <w:pPr>
              <w:spacing w:after="0"/>
              <w:jc w:val="center"/>
              <w:rPr>
                <w:rFonts w:ascii="Arial Narrow" w:hAnsi="Arial Narrow"/>
                <w:bCs/>
                <w:color w:val="000000"/>
                <w:sz w:val="20"/>
              </w:rPr>
            </w:pPr>
            <w:r>
              <w:rPr>
                <w:rFonts w:ascii="Arial Narrow" w:hAnsi="Arial Narrow"/>
                <w:bCs/>
                <w:color w:val="000000"/>
                <w:sz w:val="20"/>
              </w:rPr>
              <w:t>0.70</w:t>
            </w:r>
          </w:p>
        </w:tc>
      </w:tr>
      <w:tr w:rsidR="00606628" w:rsidRPr="00852372" w14:paraId="27C3442D" w14:textId="77777777" w:rsidTr="00857168">
        <w:trPr>
          <w:cantSplit/>
          <w:trHeight w:hRule="exact" w:val="301"/>
        </w:trPr>
        <w:tc>
          <w:tcPr>
            <w:tcW w:w="1074" w:type="dxa"/>
            <w:vMerge/>
            <w:shd w:val="clear" w:color="auto" w:fill="auto"/>
            <w:noWrap/>
            <w:tcMar>
              <w:left w:w="57" w:type="dxa"/>
              <w:right w:w="57" w:type="dxa"/>
            </w:tcMar>
            <w:vAlign w:val="center"/>
          </w:tcPr>
          <w:p w14:paraId="24DED592" w14:textId="77777777" w:rsidR="00606628" w:rsidRPr="00852372" w:rsidRDefault="00606628" w:rsidP="00112B73">
            <w:pPr>
              <w:spacing w:after="0"/>
              <w:jc w:val="right"/>
              <w:rPr>
                <w:rFonts w:ascii="Arial Narrow" w:hAnsi="Arial Narrow"/>
                <w:bCs/>
                <w:color w:val="000000"/>
                <w:sz w:val="20"/>
              </w:rPr>
            </w:pPr>
          </w:p>
        </w:tc>
        <w:tc>
          <w:tcPr>
            <w:tcW w:w="350" w:type="dxa"/>
            <w:shd w:val="clear" w:color="auto" w:fill="auto"/>
            <w:noWrap/>
            <w:tcMar>
              <w:left w:w="57" w:type="dxa"/>
              <w:right w:w="57" w:type="dxa"/>
            </w:tcMar>
            <w:vAlign w:val="center"/>
          </w:tcPr>
          <w:p w14:paraId="13B41B6E" w14:textId="77777777" w:rsidR="00606628" w:rsidRPr="00852372" w:rsidRDefault="00606628" w:rsidP="00112B73">
            <w:pPr>
              <w:spacing w:after="0"/>
              <w:jc w:val="center"/>
              <w:rPr>
                <w:rFonts w:ascii="Arial Narrow" w:hAnsi="Arial Narrow"/>
                <w:bCs/>
                <w:color w:val="000000"/>
                <w:sz w:val="20"/>
              </w:rPr>
            </w:pPr>
            <w:r w:rsidRPr="00852372">
              <w:rPr>
                <w:rFonts w:ascii="Arial Narrow" w:hAnsi="Arial Narrow"/>
                <w:bCs/>
                <w:color w:val="000000"/>
                <w:sz w:val="20"/>
              </w:rPr>
              <w:t>5</w:t>
            </w:r>
          </w:p>
        </w:tc>
        <w:tc>
          <w:tcPr>
            <w:tcW w:w="625" w:type="dxa"/>
            <w:shd w:val="clear" w:color="auto" w:fill="F2DBDB" w:themeFill="accent2" w:themeFillTint="33"/>
            <w:noWrap/>
            <w:tcMar>
              <w:left w:w="57" w:type="dxa"/>
              <w:right w:w="57" w:type="dxa"/>
            </w:tcMar>
            <w:vAlign w:val="center"/>
          </w:tcPr>
          <w:p w14:paraId="7F8D192F"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-0.08</w:t>
            </w:r>
          </w:p>
        </w:tc>
        <w:tc>
          <w:tcPr>
            <w:tcW w:w="625" w:type="dxa"/>
            <w:shd w:val="clear" w:color="auto" w:fill="F2DBDB" w:themeFill="accent2" w:themeFillTint="33"/>
            <w:noWrap/>
            <w:tcMar>
              <w:left w:w="57" w:type="dxa"/>
              <w:right w:w="57" w:type="dxa"/>
            </w:tcMar>
            <w:vAlign w:val="center"/>
          </w:tcPr>
          <w:p w14:paraId="630C1230"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0.7</w:t>
            </w:r>
            <w:r>
              <w:rPr>
                <w:rFonts w:ascii="Arial Narrow" w:hAnsi="Arial Narrow"/>
                <w:bCs/>
                <w:color w:val="000000"/>
                <w:sz w:val="20"/>
              </w:rPr>
              <w:t>9</w:t>
            </w:r>
          </w:p>
        </w:tc>
        <w:tc>
          <w:tcPr>
            <w:tcW w:w="625" w:type="dxa"/>
            <w:shd w:val="clear" w:color="auto" w:fill="E5B8B7"/>
            <w:noWrap/>
            <w:tcMar>
              <w:left w:w="57" w:type="dxa"/>
              <w:right w:w="57" w:type="dxa"/>
            </w:tcMar>
            <w:vAlign w:val="center"/>
          </w:tcPr>
          <w:p w14:paraId="6122ADDA"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-0.10</w:t>
            </w:r>
          </w:p>
        </w:tc>
        <w:tc>
          <w:tcPr>
            <w:tcW w:w="625" w:type="dxa"/>
            <w:shd w:val="clear" w:color="auto" w:fill="E5B8B7"/>
            <w:noWrap/>
            <w:tcMar>
              <w:left w:w="57" w:type="dxa"/>
              <w:right w:w="57" w:type="dxa"/>
            </w:tcMar>
            <w:vAlign w:val="center"/>
          </w:tcPr>
          <w:p w14:paraId="0A746C0D"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0.86</w:t>
            </w:r>
          </w:p>
        </w:tc>
        <w:tc>
          <w:tcPr>
            <w:tcW w:w="625" w:type="dxa"/>
            <w:shd w:val="clear" w:color="auto" w:fill="auto"/>
            <w:noWrap/>
            <w:tcMar>
              <w:left w:w="57" w:type="dxa"/>
              <w:right w:w="57" w:type="dxa"/>
            </w:tcMar>
            <w:vAlign w:val="center"/>
          </w:tcPr>
          <w:p w14:paraId="2F61D8C2"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0.00</w:t>
            </w:r>
          </w:p>
        </w:tc>
        <w:tc>
          <w:tcPr>
            <w:tcW w:w="626" w:type="dxa"/>
            <w:shd w:val="clear" w:color="auto" w:fill="auto"/>
            <w:noWrap/>
            <w:tcMar>
              <w:left w:w="57" w:type="dxa"/>
              <w:right w:w="57" w:type="dxa"/>
            </w:tcMar>
            <w:vAlign w:val="center"/>
          </w:tcPr>
          <w:p w14:paraId="57C5607E"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0.64</w:t>
            </w:r>
          </w:p>
        </w:tc>
        <w:tc>
          <w:tcPr>
            <w:tcW w:w="625" w:type="dxa"/>
            <w:shd w:val="clear" w:color="auto" w:fill="auto"/>
            <w:noWrap/>
            <w:tcMar>
              <w:left w:w="57" w:type="dxa"/>
              <w:right w:w="57" w:type="dxa"/>
            </w:tcMar>
            <w:vAlign w:val="center"/>
          </w:tcPr>
          <w:p w14:paraId="4A13AFB1"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-0.03</w:t>
            </w:r>
          </w:p>
        </w:tc>
        <w:tc>
          <w:tcPr>
            <w:tcW w:w="625" w:type="dxa"/>
            <w:shd w:val="clear" w:color="auto" w:fill="auto"/>
            <w:noWrap/>
            <w:tcMar>
              <w:left w:w="57" w:type="dxa"/>
              <w:right w:w="57" w:type="dxa"/>
            </w:tcMar>
            <w:vAlign w:val="center"/>
          </w:tcPr>
          <w:p w14:paraId="7048050C" w14:textId="77777777" w:rsidR="00606628" w:rsidRPr="00796BC2" w:rsidRDefault="00606628" w:rsidP="00112B73">
            <w:pPr>
              <w:spacing w:after="0"/>
              <w:jc w:val="center"/>
              <w:rPr>
                <w:rFonts w:ascii="Arial Narrow" w:hAnsi="Arial Narrow"/>
                <w:bCs/>
                <w:color w:val="000000"/>
                <w:sz w:val="20"/>
              </w:rPr>
            </w:pPr>
            <w:r>
              <w:rPr>
                <w:rFonts w:ascii="Arial Narrow" w:hAnsi="Arial Narrow"/>
                <w:bCs/>
                <w:color w:val="000000"/>
                <w:sz w:val="20"/>
              </w:rPr>
              <w:t>0.58</w:t>
            </w:r>
          </w:p>
        </w:tc>
        <w:tc>
          <w:tcPr>
            <w:tcW w:w="625" w:type="dxa"/>
            <w:shd w:val="clear" w:color="auto" w:fill="auto"/>
            <w:noWrap/>
            <w:tcMar>
              <w:left w:w="57" w:type="dxa"/>
              <w:right w:w="57" w:type="dxa"/>
            </w:tcMar>
            <w:vAlign w:val="center"/>
          </w:tcPr>
          <w:p w14:paraId="15F67ED8"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-0.03</w:t>
            </w:r>
          </w:p>
        </w:tc>
        <w:tc>
          <w:tcPr>
            <w:tcW w:w="625" w:type="dxa"/>
            <w:shd w:val="clear" w:color="auto" w:fill="auto"/>
            <w:noWrap/>
            <w:tcMar>
              <w:left w:w="57" w:type="dxa"/>
              <w:right w:w="57" w:type="dxa"/>
            </w:tcMar>
            <w:vAlign w:val="center"/>
          </w:tcPr>
          <w:p w14:paraId="2C6CE416" w14:textId="77777777" w:rsidR="00606628" w:rsidRPr="00796BC2" w:rsidRDefault="00606628" w:rsidP="00112B73">
            <w:pPr>
              <w:spacing w:after="0"/>
              <w:jc w:val="center"/>
              <w:rPr>
                <w:rFonts w:ascii="Arial Narrow" w:hAnsi="Arial Narrow"/>
                <w:bCs/>
                <w:color w:val="000000"/>
                <w:sz w:val="20"/>
              </w:rPr>
            </w:pPr>
            <w:r>
              <w:rPr>
                <w:rFonts w:ascii="Arial Narrow" w:hAnsi="Arial Narrow"/>
                <w:bCs/>
                <w:color w:val="000000"/>
                <w:sz w:val="20"/>
              </w:rPr>
              <w:t>0.52</w:t>
            </w:r>
          </w:p>
        </w:tc>
        <w:tc>
          <w:tcPr>
            <w:tcW w:w="625" w:type="dxa"/>
            <w:shd w:val="clear" w:color="auto" w:fill="E5B8B7"/>
            <w:noWrap/>
            <w:tcMar>
              <w:left w:w="57" w:type="dxa"/>
              <w:right w:w="57" w:type="dxa"/>
            </w:tcMar>
            <w:vAlign w:val="center"/>
          </w:tcPr>
          <w:p w14:paraId="6876DBA2"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-0.25</w:t>
            </w:r>
          </w:p>
        </w:tc>
        <w:tc>
          <w:tcPr>
            <w:tcW w:w="626" w:type="dxa"/>
            <w:shd w:val="clear" w:color="auto" w:fill="E5B8B7"/>
            <w:noWrap/>
            <w:tcMar>
              <w:left w:w="57" w:type="dxa"/>
              <w:right w:w="57" w:type="dxa"/>
            </w:tcMar>
            <w:vAlign w:val="center"/>
          </w:tcPr>
          <w:p w14:paraId="32D4C62C"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0.83</w:t>
            </w:r>
          </w:p>
        </w:tc>
      </w:tr>
      <w:tr w:rsidR="00606628" w:rsidRPr="00852372" w14:paraId="2F9E1CAD" w14:textId="77777777" w:rsidTr="00112B73">
        <w:trPr>
          <w:cantSplit/>
          <w:trHeight w:hRule="exact" w:val="301"/>
        </w:trPr>
        <w:tc>
          <w:tcPr>
            <w:tcW w:w="1074" w:type="dxa"/>
            <w:vMerge w:val="restart"/>
            <w:shd w:val="clear" w:color="auto" w:fill="auto"/>
            <w:noWrap/>
            <w:tcMar>
              <w:left w:w="57" w:type="dxa"/>
              <w:right w:w="57" w:type="dxa"/>
            </w:tcMar>
            <w:vAlign w:val="center"/>
          </w:tcPr>
          <w:p w14:paraId="091B430D" w14:textId="77777777" w:rsidR="00606628" w:rsidRPr="00852372" w:rsidRDefault="00606628" w:rsidP="00112B73">
            <w:pPr>
              <w:spacing w:after="0"/>
              <w:rPr>
                <w:rFonts w:ascii="Arial Narrow" w:hAnsi="Arial Narrow"/>
                <w:bCs/>
                <w:color w:val="000000"/>
                <w:sz w:val="20"/>
              </w:rPr>
            </w:pPr>
            <w:r w:rsidRPr="00852372">
              <w:rPr>
                <w:rFonts w:ascii="Arial Narrow" w:hAnsi="Arial Narrow"/>
                <w:bCs/>
                <w:color w:val="000000"/>
                <w:sz w:val="20"/>
              </w:rPr>
              <w:t>2012 to 2016</w:t>
            </w:r>
          </w:p>
        </w:tc>
        <w:tc>
          <w:tcPr>
            <w:tcW w:w="350" w:type="dxa"/>
            <w:shd w:val="clear" w:color="auto" w:fill="auto"/>
            <w:noWrap/>
            <w:tcMar>
              <w:left w:w="57" w:type="dxa"/>
              <w:right w:w="57" w:type="dxa"/>
            </w:tcMar>
            <w:vAlign w:val="center"/>
          </w:tcPr>
          <w:p w14:paraId="75E7EEE2" w14:textId="77777777" w:rsidR="00606628" w:rsidRPr="00852372" w:rsidRDefault="00606628" w:rsidP="00112B73">
            <w:pPr>
              <w:spacing w:after="0"/>
              <w:jc w:val="center"/>
              <w:rPr>
                <w:rFonts w:ascii="Arial Narrow" w:hAnsi="Arial Narrow"/>
                <w:bCs/>
                <w:color w:val="000000"/>
                <w:sz w:val="20"/>
              </w:rPr>
            </w:pPr>
            <w:r w:rsidRPr="00852372">
              <w:rPr>
                <w:rFonts w:ascii="Arial Narrow" w:hAnsi="Arial Narrow"/>
                <w:bCs/>
                <w:color w:val="000000"/>
                <w:sz w:val="20"/>
              </w:rPr>
              <w:t>2</w:t>
            </w:r>
          </w:p>
        </w:tc>
        <w:tc>
          <w:tcPr>
            <w:tcW w:w="625" w:type="dxa"/>
            <w:shd w:val="clear" w:color="auto" w:fill="548DD4"/>
            <w:noWrap/>
            <w:tcMar>
              <w:left w:w="57" w:type="dxa"/>
              <w:right w:w="57" w:type="dxa"/>
            </w:tcMar>
            <w:vAlign w:val="center"/>
          </w:tcPr>
          <w:p w14:paraId="5DC457E6"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0.16</w:t>
            </w:r>
          </w:p>
        </w:tc>
        <w:tc>
          <w:tcPr>
            <w:tcW w:w="625" w:type="dxa"/>
            <w:shd w:val="clear" w:color="auto" w:fill="548DD4"/>
            <w:noWrap/>
            <w:tcMar>
              <w:left w:w="57" w:type="dxa"/>
              <w:right w:w="57" w:type="dxa"/>
            </w:tcMar>
            <w:vAlign w:val="center"/>
          </w:tcPr>
          <w:p w14:paraId="506CFFE0"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0.99</w:t>
            </w:r>
          </w:p>
        </w:tc>
        <w:tc>
          <w:tcPr>
            <w:tcW w:w="625" w:type="dxa"/>
            <w:shd w:val="clear" w:color="auto" w:fill="548DD4"/>
            <w:noWrap/>
            <w:tcMar>
              <w:left w:w="57" w:type="dxa"/>
              <w:right w:w="57" w:type="dxa"/>
            </w:tcMar>
            <w:vAlign w:val="center"/>
          </w:tcPr>
          <w:p w14:paraId="00A10EBE"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0.15</w:t>
            </w:r>
          </w:p>
        </w:tc>
        <w:tc>
          <w:tcPr>
            <w:tcW w:w="625" w:type="dxa"/>
            <w:shd w:val="clear" w:color="auto" w:fill="548DD4"/>
            <w:noWrap/>
            <w:tcMar>
              <w:left w:w="57" w:type="dxa"/>
              <w:right w:w="57" w:type="dxa"/>
            </w:tcMar>
            <w:vAlign w:val="center"/>
          </w:tcPr>
          <w:p w14:paraId="3DBF44BF"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0.9</w:t>
            </w:r>
            <w:r>
              <w:rPr>
                <w:rFonts w:ascii="Arial Narrow" w:hAnsi="Arial Narrow"/>
                <w:bCs/>
                <w:color w:val="000000"/>
                <w:sz w:val="20"/>
              </w:rPr>
              <w:t>5</w:t>
            </w:r>
          </w:p>
        </w:tc>
        <w:tc>
          <w:tcPr>
            <w:tcW w:w="625" w:type="dxa"/>
            <w:shd w:val="clear" w:color="auto" w:fill="auto"/>
            <w:noWrap/>
            <w:tcMar>
              <w:left w:w="57" w:type="dxa"/>
              <w:right w:w="57" w:type="dxa"/>
            </w:tcMar>
            <w:vAlign w:val="center"/>
          </w:tcPr>
          <w:p w14:paraId="6DBD364A"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0.00</w:t>
            </w:r>
          </w:p>
        </w:tc>
        <w:tc>
          <w:tcPr>
            <w:tcW w:w="626" w:type="dxa"/>
            <w:shd w:val="clear" w:color="auto" w:fill="auto"/>
            <w:noWrap/>
            <w:tcMar>
              <w:left w:w="57" w:type="dxa"/>
              <w:right w:w="57" w:type="dxa"/>
            </w:tcMar>
            <w:vAlign w:val="center"/>
          </w:tcPr>
          <w:p w14:paraId="0ED8B790" w14:textId="77777777" w:rsidR="00606628" w:rsidRPr="00796BC2" w:rsidRDefault="00606628" w:rsidP="00112B73">
            <w:pPr>
              <w:spacing w:after="0"/>
              <w:jc w:val="center"/>
              <w:rPr>
                <w:rFonts w:ascii="Arial Narrow" w:hAnsi="Arial Narrow"/>
                <w:bCs/>
                <w:color w:val="000000"/>
                <w:sz w:val="20"/>
              </w:rPr>
            </w:pPr>
            <w:r>
              <w:rPr>
                <w:rFonts w:ascii="Arial Narrow" w:hAnsi="Arial Narrow"/>
                <w:bCs/>
                <w:color w:val="000000"/>
                <w:sz w:val="20"/>
              </w:rPr>
              <w:t>NA</w:t>
            </w:r>
          </w:p>
        </w:tc>
        <w:tc>
          <w:tcPr>
            <w:tcW w:w="625" w:type="dxa"/>
            <w:shd w:val="clear" w:color="auto" w:fill="8DB3E2"/>
            <w:noWrap/>
            <w:tcMar>
              <w:left w:w="57" w:type="dxa"/>
              <w:right w:w="57" w:type="dxa"/>
            </w:tcMar>
            <w:vAlign w:val="center"/>
          </w:tcPr>
          <w:p w14:paraId="2B06BA66"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0.18</w:t>
            </w:r>
          </w:p>
        </w:tc>
        <w:tc>
          <w:tcPr>
            <w:tcW w:w="625" w:type="dxa"/>
            <w:shd w:val="clear" w:color="auto" w:fill="8DB3E2"/>
            <w:noWrap/>
            <w:tcMar>
              <w:left w:w="57" w:type="dxa"/>
              <w:right w:w="57" w:type="dxa"/>
            </w:tcMar>
            <w:vAlign w:val="center"/>
          </w:tcPr>
          <w:p w14:paraId="3C299F8A" w14:textId="77777777" w:rsidR="00606628" w:rsidRPr="00796BC2" w:rsidRDefault="00606628" w:rsidP="00112B73">
            <w:pPr>
              <w:spacing w:after="0"/>
              <w:jc w:val="center"/>
              <w:rPr>
                <w:rFonts w:ascii="Arial Narrow" w:hAnsi="Arial Narrow"/>
                <w:bCs/>
                <w:color w:val="000000"/>
                <w:sz w:val="20"/>
              </w:rPr>
            </w:pPr>
            <w:r>
              <w:rPr>
                <w:rFonts w:ascii="Arial Narrow" w:hAnsi="Arial Narrow"/>
                <w:bCs/>
                <w:color w:val="000000"/>
                <w:sz w:val="20"/>
              </w:rPr>
              <w:t>0.86</w:t>
            </w:r>
          </w:p>
        </w:tc>
        <w:tc>
          <w:tcPr>
            <w:tcW w:w="625" w:type="dxa"/>
            <w:shd w:val="clear" w:color="auto" w:fill="auto"/>
            <w:noWrap/>
            <w:tcMar>
              <w:left w:w="57" w:type="dxa"/>
              <w:right w:w="57" w:type="dxa"/>
            </w:tcMar>
            <w:vAlign w:val="center"/>
          </w:tcPr>
          <w:p w14:paraId="23DA4BB9"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0.20</w:t>
            </w:r>
          </w:p>
        </w:tc>
        <w:tc>
          <w:tcPr>
            <w:tcW w:w="625" w:type="dxa"/>
            <w:shd w:val="clear" w:color="auto" w:fill="auto"/>
            <w:noWrap/>
            <w:tcMar>
              <w:left w:w="57" w:type="dxa"/>
              <w:right w:w="57" w:type="dxa"/>
            </w:tcMar>
            <w:vAlign w:val="center"/>
          </w:tcPr>
          <w:p w14:paraId="0897C2D7" w14:textId="77777777" w:rsidR="00606628" w:rsidRPr="00796BC2" w:rsidRDefault="00606628" w:rsidP="00112B73">
            <w:pPr>
              <w:spacing w:after="0"/>
              <w:jc w:val="center"/>
              <w:rPr>
                <w:rFonts w:ascii="Arial Narrow" w:hAnsi="Arial Narrow"/>
                <w:bCs/>
                <w:color w:val="000000"/>
                <w:sz w:val="20"/>
              </w:rPr>
            </w:pPr>
            <w:r>
              <w:rPr>
                <w:rFonts w:ascii="Arial Narrow" w:hAnsi="Arial Narrow"/>
                <w:bCs/>
                <w:color w:val="000000"/>
                <w:sz w:val="20"/>
              </w:rPr>
              <w:t>0.74</w:t>
            </w:r>
          </w:p>
        </w:tc>
        <w:tc>
          <w:tcPr>
            <w:tcW w:w="625" w:type="dxa"/>
            <w:shd w:val="clear" w:color="auto" w:fill="8DB3E2"/>
            <w:noWrap/>
            <w:tcMar>
              <w:left w:w="57" w:type="dxa"/>
              <w:right w:w="57" w:type="dxa"/>
            </w:tcMar>
            <w:vAlign w:val="center"/>
          </w:tcPr>
          <w:p w14:paraId="411A6249"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0.29</w:t>
            </w:r>
          </w:p>
        </w:tc>
        <w:tc>
          <w:tcPr>
            <w:tcW w:w="626" w:type="dxa"/>
            <w:shd w:val="clear" w:color="auto" w:fill="8DB3E2"/>
            <w:noWrap/>
            <w:tcMar>
              <w:left w:w="57" w:type="dxa"/>
              <w:right w:w="57" w:type="dxa"/>
            </w:tcMar>
            <w:vAlign w:val="center"/>
          </w:tcPr>
          <w:p w14:paraId="2C395C7E"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0.8</w:t>
            </w:r>
            <w:r>
              <w:rPr>
                <w:rFonts w:ascii="Arial Narrow" w:hAnsi="Arial Narrow"/>
                <w:bCs/>
                <w:color w:val="000000"/>
                <w:sz w:val="20"/>
              </w:rPr>
              <w:t>5</w:t>
            </w:r>
          </w:p>
        </w:tc>
      </w:tr>
      <w:tr w:rsidR="00606628" w:rsidRPr="00852372" w14:paraId="4B3AB834" w14:textId="77777777" w:rsidTr="00857168">
        <w:trPr>
          <w:cantSplit/>
          <w:trHeight w:hRule="exact" w:val="301"/>
        </w:trPr>
        <w:tc>
          <w:tcPr>
            <w:tcW w:w="1074" w:type="dxa"/>
            <w:vMerge/>
            <w:shd w:val="clear" w:color="auto" w:fill="auto"/>
            <w:noWrap/>
            <w:tcMar>
              <w:left w:w="57" w:type="dxa"/>
              <w:right w:w="57" w:type="dxa"/>
            </w:tcMar>
            <w:vAlign w:val="center"/>
          </w:tcPr>
          <w:p w14:paraId="5FBED696" w14:textId="77777777" w:rsidR="00606628" w:rsidRPr="00852372" w:rsidRDefault="00606628" w:rsidP="00112B73">
            <w:pPr>
              <w:spacing w:after="0"/>
              <w:jc w:val="right"/>
              <w:rPr>
                <w:rFonts w:ascii="Arial Narrow" w:hAnsi="Arial Narrow"/>
                <w:bCs/>
                <w:color w:val="000000"/>
                <w:sz w:val="20"/>
              </w:rPr>
            </w:pPr>
          </w:p>
        </w:tc>
        <w:tc>
          <w:tcPr>
            <w:tcW w:w="350" w:type="dxa"/>
            <w:shd w:val="clear" w:color="auto" w:fill="auto"/>
            <w:noWrap/>
            <w:tcMar>
              <w:left w:w="57" w:type="dxa"/>
              <w:right w:w="57" w:type="dxa"/>
            </w:tcMar>
            <w:vAlign w:val="center"/>
          </w:tcPr>
          <w:p w14:paraId="373B2C1B" w14:textId="77777777" w:rsidR="00606628" w:rsidRPr="00852372" w:rsidRDefault="00606628" w:rsidP="00112B73">
            <w:pPr>
              <w:spacing w:after="0"/>
              <w:jc w:val="center"/>
              <w:rPr>
                <w:rFonts w:ascii="Arial Narrow" w:hAnsi="Arial Narrow"/>
                <w:bCs/>
                <w:color w:val="000000"/>
                <w:sz w:val="20"/>
              </w:rPr>
            </w:pPr>
            <w:r w:rsidRPr="00852372">
              <w:rPr>
                <w:rFonts w:ascii="Arial Narrow" w:hAnsi="Arial Narrow"/>
                <w:bCs/>
                <w:color w:val="000000"/>
                <w:sz w:val="20"/>
              </w:rPr>
              <w:t>5</w:t>
            </w:r>
          </w:p>
        </w:tc>
        <w:tc>
          <w:tcPr>
            <w:tcW w:w="625" w:type="dxa"/>
            <w:shd w:val="clear" w:color="auto" w:fill="C6D9F1" w:themeFill="text2" w:themeFillTint="33"/>
            <w:noWrap/>
            <w:tcMar>
              <w:left w:w="57" w:type="dxa"/>
              <w:right w:w="57" w:type="dxa"/>
            </w:tcMar>
            <w:vAlign w:val="center"/>
          </w:tcPr>
          <w:p w14:paraId="7417EC0F"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0.09</w:t>
            </w:r>
          </w:p>
        </w:tc>
        <w:tc>
          <w:tcPr>
            <w:tcW w:w="625" w:type="dxa"/>
            <w:shd w:val="clear" w:color="auto" w:fill="C6D9F1" w:themeFill="text2" w:themeFillTint="33"/>
            <w:noWrap/>
            <w:tcMar>
              <w:left w:w="57" w:type="dxa"/>
              <w:right w:w="57" w:type="dxa"/>
            </w:tcMar>
            <w:vAlign w:val="center"/>
          </w:tcPr>
          <w:p w14:paraId="54C7FD00"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0.7</w:t>
            </w:r>
            <w:r>
              <w:rPr>
                <w:rFonts w:ascii="Arial Narrow" w:hAnsi="Arial Narrow"/>
                <w:bCs/>
                <w:color w:val="000000"/>
                <w:sz w:val="20"/>
              </w:rPr>
              <w:t>6</w:t>
            </w:r>
          </w:p>
        </w:tc>
        <w:tc>
          <w:tcPr>
            <w:tcW w:w="625" w:type="dxa"/>
            <w:shd w:val="clear" w:color="auto" w:fill="auto"/>
            <w:noWrap/>
            <w:tcMar>
              <w:left w:w="57" w:type="dxa"/>
              <w:right w:w="57" w:type="dxa"/>
            </w:tcMar>
            <w:vAlign w:val="center"/>
          </w:tcPr>
          <w:p w14:paraId="1741C517"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0.06</w:t>
            </w:r>
          </w:p>
        </w:tc>
        <w:tc>
          <w:tcPr>
            <w:tcW w:w="625" w:type="dxa"/>
            <w:shd w:val="clear" w:color="auto" w:fill="auto"/>
            <w:noWrap/>
            <w:tcMar>
              <w:left w:w="57" w:type="dxa"/>
              <w:right w:w="57" w:type="dxa"/>
            </w:tcMar>
            <w:vAlign w:val="center"/>
          </w:tcPr>
          <w:p w14:paraId="5132BFE6"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0.69</w:t>
            </w:r>
          </w:p>
        </w:tc>
        <w:tc>
          <w:tcPr>
            <w:tcW w:w="625" w:type="dxa"/>
            <w:shd w:val="clear" w:color="auto" w:fill="auto"/>
            <w:noWrap/>
            <w:tcMar>
              <w:left w:w="57" w:type="dxa"/>
              <w:right w:w="57" w:type="dxa"/>
            </w:tcMar>
            <w:vAlign w:val="center"/>
          </w:tcPr>
          <w:p w14:paraId="22F8AB68"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-0.01</w:t>
            </w:r>
          </w:p>
        </w:tc>
        <w:tc>
          <w:tcPr>
            <w:tcW w:w="626" w:type="dxa"/>
            <w:shd w:val="clear" w:color="auto" w:fill="auto"/>
            <w:noWrap/>
            <w:tcMar>
              <w:left w:w="57" w:type="dxa"/>
              <w:right w:w="57" w:type="dxa"/>
            </w:tcMar>
            <w:vAlign w:val="center"/>
          </w:tcPr>
          <w:p w14:paraId="38D467E2" w14:textId="77777777" w:rsidR="00606628" w:rsidRPr="00796BC2" w:rsidRDefault="00606628" w:rsidP="00112B73">
            <w:pPr>
              <w:spacing w:after="0"/>
              <w:jc w:val="center"/>
              <w:rPr>
                <w:rFonts w:ascii="Arial Narrow" w:hAnsi="Arial Narrow"/>
                <w:bCs/>
                <w:color w:val="000000"/>
                <w:sz w:val="20"/>
              </w:rPr>
            </w:pPr>
            <w:r>
              <w:rPr>
                <w:rFonts w:ascii="Arial Narrow" w:hAnsi="Arial Narrow"/>
                <w:bCs/>
                <w:color w:val="000000"/>
                <w:sz w:val="20"/>
              </w:rPr>
              <w:t>0.62</w:t>
            </w:r>
          </w:p>
        </w:tc>
        <w:tc>
          <w:tcPr>
            <w:tcW w:w="625" w:type="dxa"/>
            <w:shd w:val="clear" w:color="auto" w:fill="C6D9F1" w:themeFill="text2" w:themeFillTint="33"/>
            <w:noWrap/>
            <w:tcMar>
              <w:left w:w="57" w:type="dxa"/>
              <w:right w:w="57" w:type="dxa"/>
            </w:tcMar>
            <w:vAlign w:val="center"/>
          </w:tcPr>
          <w:p w14:paraId="47A21E4B"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0.17</w:t>
            </w:r>
          </w:p>
        </w:tc>
        <w:tc>
          <w:tcPr>
            <w:tcW w:w="625" w:type="dxa"/>
            <w:shd w:val="clear" w:color="auto" w:fill="C6D9F1" w:themeFill="text2" w:themeFillTint="33"/>
            <w:noWrap/>
            <w:tcMar>
              <w:left w:w="57" w:type="dxa"/>
              <w:right w:w="57" w:type="dxa"/>
            </w:tcMar>
            <w:vAlign w:val="center"/>
          </w:tcPr>
          <w:p w14:paraId="3171113E" w14:textId="77777777" w:rsidR="00606628" w:rsidRPr="00796BC2" w:rsidRDefault="00606628" w:rsidP="00112B73">
            <w:pPr>
              <w:spacing w:after="0"/>
              <w:jc w:val="center"/>
              <w:rPr>
                <w:rFonts w:ascii="Arial Narrow" w:hAnsi="Arial Narrow"/>
                <w:bCs/>
                <w:color w:val="000000"/>
                <w:sz w:val="20"/>
              </w:rPr>
            </w:pPr>
            <w:r>
              <w:rPr>
                <w:rFonts w:ascii="Arial Narrow" w:hAnsi="Arial Narrow"/>
                <w:bCs/>
                <w:color w:val="000000"/>
                <w:sz w:val="20"/>
              </w:rPr>
              <w:t>0.73</w:t>
            </w:r>
          </w:p>
        </w:tc>
        <w:tc>
          <w:tcPr>
            <w:tcW w:w="625" w:type="dxa"/>
            <w:shd w:val="clear" w:color="auto" w:fill="auto"/>
            <w:noWrap/>
            <w:tcMar>
              <w:left w:w="57" w:type="dxa"/>
              <w:right w:w="57" w:type="dxa"/>
            </w:tcMar>
            <w:vAlign w:val="center"/>
          </w:tcPr>
          <w:p w14:paraId="59AF43E0"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0.05</w:t>
            </w:r>
          </w:p>
        </w:tc>
        <w:tc>
          <w:tcPr>
            <w:tcW w:w="625" w:type="dxa"/>
            <w:shd w:val="clear" w:color="auto" w:fill="auto"/>
            <w:noWrap/>
            <w:tcMar>
              <w:left w:w="57" w:type="dxa"/>
              <w:right w:w="57" w:type="dxa"/>
            </w:tcMar>
            <w:vAlign w:val="center"/>
          </w:tcPr>
          <w:p w14:paraId="33CBC5BD" w14:textId="77777777" w:rsidR="00606628" w:rsidRPr="00796BC2" w:rsidRDefault="00606628" w:rsidP="00112B73">
            <w:pPr>
              <w:spacing w:after="0"/>
              <w:jc w:val="center"/>
              <w:rPr>
                <w:rFonts w:ascii="Arial Narrow" w:hAnsi="Arial Narrow"/>
                <w:bCs/>
                <w:color w:val="000000"/>
                <w:sz w:val="20"/>
              </w:rPr>
            </w:pPr>
            <w:r>
              <w:rPr>
                <w:rFonts w:ascii="Arial Narrow" w:hAnsi="Arial Narrow"/>
                <w:bCs/>
                <w:color w:val="000000"/>
                <w:sz w:val="20"/>
              </w:rPr>
              <w:t>0.54</w:t>
            </w:r>
          </w:p>
        </w:tc>
        <w:tc>
          <w:tcPr>
            <w:tcW w:w="625" w:type="dxa"/>
            <w:shd w:val="clear" w:color="auto" w:fill="auto"/>
            <w:noWrap/>
            <w:tcMar>
              <w:left w:w="57" w:type="dxa"/>
              <w:right w:w="57" w:type="dxa"/>
            </w:tcMar>
            <w:vAlign w:val="center"/>
          </w:tcPr>
          <w:p w14:paraId="2B6DA393"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0.15</w:t>
            </w:r>
          </w:p>
        </w:tc>
        <w:tc>
          <w:tcPr>
            <w:tcW w:w="626" w:type="dxa"/>
            <w:shd w:val="clear" w:color="auto" w:fill="auto"/>
            <w:noWrap/>
            <w:tcMar>
              <w:left w:w="57" w:type="dxa"/>
              <w:right w:w="57" w:type="dxa"/>
            </w:tcMar>
            <w:vAlign w:val="center"/>
          </w:tcPr>
          <w:p w14:paraId="282915EC"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w:t>
            </w:r>
            <w:r>
              <w:rPr>
                <w:rFonts w:ascii="Arial Narrow" w:hAnsi="Arial Narrow"/>
                <w:bCs/>
                <w:color w:val="000000"/>
                <w:sz w:val="20"/>
              </w:rPr>
              <w:t>69</w:t>
            </w:r>
          </w:p>
        </w:tc>
      </w:tr>
      <w:tr w:rsidR="00606628" w:rsidRPr="00852372" w14:paraId="694A088D" w14:textId="77777777" w:rsidTr="00857168">
        <w:trPr>
          <w:cantSplit/>
          <w:trHeight w:hRule="exact" w:val="301"/>
        </w:trPr>
        <w:tc>
          <w:tcPr>
            <w:tcW w:w="1074" w:type="dxa"/>
            <w:vMerge w:val="restart"/>
            <w:shd w:val="clear" w:color="auto" w:fill="auto"/>
            <w:noWrap/>
            <w:tcMar>
              <w:left w:w="57" w:type="dxa"/>
              <w:right w:w="57" w:type="dxa"/>
            </w:tcMar>
            <w:vAlign w:val="center"/>
          </w:tcPr>
          <w:p w14:paraId="26B988F2" w14:textId="77777777" w:rsidR="00606628" w:rsidRPr="00852372" w:rsidRDefault="00606628" w:rsidP="00112B73">
            <w:pPr>
              <w:spacing w:after="0"/>
              <w:jc w:val="right"/>
              <w:rPr>
                <w:rFonts w:ascii="Arial Narrow" w:hAnsi="Arial Narrow"/>
                <w:bCs/>
                <w:color w:val="000000"/>
                <w:sz w:val="20"/>
              </w:rPr>
            </w:pPr>
            <w:r>
              <w:rPr>
                <w:rFonts w:ascii="Arial Narrow" w:hAnsi="Arial Narrow"/>
                <w:bCs/>
                <w:color w:val="000000"/>
                <w:sz w:val="20"/>
              </w:rPr>
              <w:t>2016 to 2017</w:t>
            </w:r>
          </w:p>
        </w:tc>
        <w:tc>
          <w:tcPr>
            <w:tcW w:w="350" w:type="dxa"/>
            <w:shd w:val="clear" w:color="auto" w:fill="auto"/>
            <w:noWrap/>
            <w:tcMar>
              <w:left w:w="57" w:type="dxa"/>
              <w:right w:w="57" w:type="dxa"/>
            </w:tcMar>
            <w:vAlign w:val="center"/>
          </w:tcPr>
          <w:p w14:paraId="36C76E87" w14:textId="77777777" w:rsidR="00606628" w:rsidRPr="00852372" w:rsidRDefault="00606628" w:rsidP="00112B73">
            <w:pPr>
              <w:spacing w:after="0"/>
              <w:jc w:val="center"/>
              <w:rPr>
                <w:rFonts w:ascii="Arial Narrow" w:hAnsi="Arial Narrow"/>
                <w:bCs/>
                <w:color w:val="000000"/>
                <w:sz w:val="20"/>
              </w:rPr>
            </w:pPr>
            <w:r>
              <w:rPr>
                <w:rFonts w:ascii="Arial Narrow" w:hAnsi="Arial Narrow"/>
                <w:bCs/>
                <w:color w:val="000000"/>
                <w:sz w:val="20"/>
              </w:rPr>
              <w:t>2</w:t>
            </w:r>
          </w:p>
        </w:tc>
        <w:tc>
          <w:tcPr>
            <w:tcW w:w="625" w:type="dxa"/>
            <w:shd w:val="clear" w:color="auto" w:fill="F2DBDB" w:themeFill="accent2" w:themeFillTint="33"/>
            <w:noWrap/>
            <w:tcMar>
              <w:left w:w="57" w:type="dxa"/>
              <w:right w:w="57" w:type="dxa"/>
            </w:tcMar>
            <w:vAlign w:val="center"/>
          </w:tcPr>
          <w:p w14:paraId="1BE7F6E1"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-0.19</w:t>
            </w:r>
          </w:p>
        </w:tc>
        <w:tc>
          <w:tcPr>
            <w:tcW w:w="625" w:type="dxa"/>
            <w:shd w:val="clear" w:color="auto" w:fill="F2DBDB" w:themeFill="accent2" w:themeFillTint="33"/>
            <w:noWrap/>
            <w:tcMar>
              <w:left w:w="57" w:type="dxa"/>
              <w:right w:w="57" w:type="dxa"/>
            </w:tcMar>
            <w:vAlign w:val="center"/>
          </w:tcPr>
          <w:p w14:paraId="2CF6D44E"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w:t>
            </w:r>
            <w:r>
              <w:rPr>
                <w:rFonts w:ascii="Arial Narrow" w:hAnsi="Arial Narrow"/>
                <w:bCs/>
                <w:color w:val="000000"/>
                <w:sz w:val="20"/>
              </w:rPr>
              <w:t>78</w:t>
            </w:r>
          </w:p>
        </w:tc>
        <w:tc>
          <w:tcPr>
            <w:tcW w:w="625" w:type="dxa"/>
            <w:shd w:val="clear" w:color="auto" w:fill="DA9694"/>
            <w:noWrap/>
            <w:tcMar>
              <w:left w:w="57" w:type="dxa"/>
              <w:right w:w="57" w:type="dxa"/>
            </w:tcMar>
            <w:vAlign w:val="center"/>
          </w:tcPr>
          <w:p w14:paraId="143B8184" w14:textId="77777777" w:rsidR="00606628" w:rsidRPr="00796BC2" w:rsidRDefault="00606628" w:rsidP="00112B73">
            <w:pPr>
              <w:jc w:val="center"/>
              <w:rPr>
                <w:rFonts w:ascii="Arial Narrow" w:hAnsi="Arial Narrow"/>
                <w:color w:val="000000"/>
                <w:sz w:val="20"/>
              </w:rPr>
            </w:pPr>
            <w:r w:rsidRPr="00796BC2">
              <w:rPr>
                <w:rFonts w:ascii="Arial Narrow" w:hAnsi="Arial Narrow"/>
                <w:color w:val="000000"/>
                <w:sz w:val="20"/>
              </w:rPr>
              <w:t>-0.45</w:t>
            </w:r>
          </w:p>
        </w:tc>
        <w:tc>
          <w:tcPr>
            <w:tcW w:w="625" w:type="dxa"/>
            <w:shd w:val="clear" w:color="auto" w:fill="DA9694"/>
            <w:noWrap/>
            <w:tcMar>
              <w:left w:w="57" w:type="dxa"/>
              <w:right w:w="57" w:type="dxa"/>
            </w:tcMar>
            <w:vAlign w:val="center"/>
          </w:tcPr>
          <w:p w14:paraId="49E45BE0" w14:textId="77777777" w:rsidR="00606628" w:rsidRPr="00796BC2" w:rsidRDefault="00606628" w:rsidP="00112B73">
            <w:pPr>
              <w:jc w:val="center"/>
              <w:rPr>
                <w:rFonts w:ascii="Arial Narrow" w:hAnsi="Arial Narrow"/>
                <w:color w:val="000000"/>
                <w:sz w:val="20"/>
              </w:rPr>
            </w:pPr>
            <w:r w:rsidRPr="00796BC2">
              <w:rPr>
                <w:rFonts w:ascii="Arial Narrow" w:hAnsi="Arial Narrow"/>
                <w:color w:val="000000"/>
                <w:sz w:val="20"/>
              </w:rPr>
              <w:t>0.9</w:t>
            </w:r>
            <w:r>
              <w:rPr>
                <w:rFonts w:ascii="Arial Narrow" w:hAnsi="Arial Narrow"/>
                <w:color w:val="000000"/>
                <w:sz w:val="20"/>
              </w:rPr>
              <w:t>2</w:t>
            </w:r>
          </w:p>
        </w:tc>
        <w:tc>
          <w:tcPr>
            <w:tcW w:w="625" w:type="dxa"/>
            <w:shd w:val="clear" w:color="auto" w:fill="auto"/>
            <w:noWrap/>
            <w:tcMar>
              <w:left w:w="57" w:type="dxa"/>
              <w:right w:w="57" w:type="dxa"/>
            </w:tcMar>
            <w:vAlign w:val="center"/>
          </w:tcPr>
          <w:p w14:paraId="58A57FAF" w14:textId="77777777" w:rsidR="00606628" w:rsidRPr="00796BC2" w:rsidRDefault="00606628" w:rsidP="00112B73">
            <w:pPr>
              <w:jc w:val="center"/>
              <w:rPr>
                <w:rFonts w:ascii="Arial Narrow" w:hAnsi="Arial Narrow"/>
                <w:color w:val="000000"/>
                <w:sz w:val="20"/>
              </w:rPr>
            </w:pPr>
            <w:r w:rsidRPr="00796BC2">
              <w:rPr>
                <w:rFonts w:ascii="Arial Narrow" w:hAnsi="Arial Narrow"/>
                <w:color w:val="000000"/>
                <w:sz w:val="20"/>
              </w:rPr>
              <w:t>0.14</w:t>
            </w:r>
          </w:p>
        </w:tc>
        <w:tc>
          <w:tcPr>
            <w:tcW w:w="626" w:type="dxa"/>
            <w:shd w:val="clear" w:color="auto" w:fill="auto"/>
            <w:noWrap/>
            <w:tcMar>
              <w:left w:w="57" w:type="dxa"/>
              <w:right w:w="57" w:type="dxa"/>
            </w:tcMar>
            <w:vAlign w:val="center"/>
          </w:tcPr>
          <w:p w14:paraId="60203836" w14:textId="77777777" w:rsidR="00606628" w:rsidRPr="00796BC2" w:rsidRDefault="00606628" w:rsidP="00112B73">
            <w:pPr>
              <w:jc w:val="center"/>
              <w:rPr>
                <w:rFonts w:ascii="Arial Narrow" w:hAnsi="Arial Narrow"/>
                <w:color w:val="000000"/>
                <w:sz w:val="20"/>
              </w:rPr>
            </w:pPr>
            <w:r>
              <w:rPr>
                <w:rFonts w:ascii="Arial Narrow" w:hAnsi="Arial Narrow"/>
                <w:color w:val="000000"/>
                <w:sz w:val="20"/>
              </w:rPr>
              <w:t>0.64</w:t>
            </w:r>
          </w:p>
        </w:tc>
        <w:tc>
          <w:tcPr>
            <w:tcW w:w="625" w:type="dxa"/>
            <w:shd w:val="clear" w:color="auto" w:fill="E6B8B7"/>
            <w:noWrap/>
            <w:tcMar>
              <w:left w:w="57" w:type="dxa"/>
              <w:right w:w="57" w:type="dxa"/>
            </w:tcMar>
            <w:vAlign w:val="center"/>
          </w:tcPr>
          <w:p w14:paraId="4F194F13" w14:textId="77777777" w:rsidR="00606628" w:rsidRPr="00796BC2" w:rsidRDefault="00606628" w:rsidP="00112B73">
            <w:pPr>
              <w:jc w:val="center"/>
              <w:rPr>
                <w:rFonts w:ascii="Arial Narrow" w:hAnsi="Arial Narrow"/>
                <w:color w:val="000000"/>
                <w:sz w:val="20"/>
              </w:rPr>
            </w:pPr>
            <w:r w:rsidRPr="00796BC2">
              <w:rPr>
                <w:rFonts w:ascii="Arial Narrow" w:hAnsi="Arial Narrow"/>
                <w:color w:val="000000"/>
                <w:sz w:val="20"/>
              </w:rPr>
              <w:t>-0.36</w:t>
            </w:r>
          </w:p>
        </w:tc>
        <w:tc>
          <w:tcPr>
            <w:tcW w:w="625" w:type="dxa"/>
            <w:shd w:val="clear" w:color="auto" w:fill="E6B8B7"/>
            <w:noWrap/>
            <w:tcMar>
              <w:left w:w="57" w:type="dxa"/>
              <w:right w:w="57" w:type="dxa"/>
            </w:tcMar>
            <w:vAlign w:val="center"/>
          </w:tcPr>
          <w:p w14:paraId="18FB757B" w14:textId="77777777" w:rsidR="00606628" w:rsidRPr="00796BC2" w:rsidRDefault="00606628" w:rsidP="00112B73">
            <w:pPr>
              <w:jc w:val="center"/>
              <w:rPr>
                <w:rFonts w:ascii="Arial Narrow" w:hAnsi="Arial Narrow"/>
                <w:color w:val="000000"/>
                <w:sz w:val="20"/>
              </w:rPr>
            </w:pPr>
            <w:r>
              <w:rPr>
                <w:rFonts w:ascii="Arial Narrow" w:hAnsi="Arial Narrow"/>
                <w:color w:val="000000"/>
                <w:sz w:val="20"/>
              </w:rPr>
              <w:t>0.88</w:t>
            </w:r>
          </w:p>
        </w:tc>
        <w:tc>
          <w:tcPr>
            <w:tcW w:w="625" w:type="dxa"/>
            <w:shd w:val="clear" w:color="auto" w:fill="auto"/>
            <w:noWrap/>
            <w:tcMar>
              <w:left w:w="57" w:type="dxa"/>
              <w:right w:w="57" w:type="dxa"/>
            </w:tcMar>
            <w:vAlign w:val="center"/>
          </w:tcPr>
          <w:p w14:paraId="01D6A08A" w14:textId="77777777" w:rsidR="00606628" w:rsidRPr="00796BC2" w:rsidRDefault="00606628" w:rsidP="00112B73">
            <w:pPr>
              <w:jc w:val="center"/>
              <w:rPr>
                <w:rFonts w:ascii="Arial Narrow" w:hAnsi="Arial Narrow"/>
                <w:color w:val="000000"/>
                <w:sz w:val="20"/>
              </w:rPr>
            </w:pPr>
            <w:r w:rsidRPr="00796BC2">
              <w:rPr>
                <w:rFonts w:ascii="Arial Narrow" w:hAnsi="Arial Narrow"/>
                <w:color w:val="000000"/>
                <w:sz w:val="20"/>
              </w:rPr>
              <w:t>0.00</w:t>
            </w:r>
          </w:p>
        </w:tc>
        <w:tc>
          <w:tcPr>
            <w:tcW w:w="625" w:type="dxa"/>
            <w:shd w:val="clear" w:color="auto" w:fill="auto"/>
            <w:noWrap/>
            <w:tcMar>
              <w:left w:w="57" w:type="dxa"/>
              <w:right w:w="57" w:type="dxa"/>
            </w:tcMar>
            <w:vAlign w:val="center"/>
          </w:tcPr>
          <w:p w14:paraId="21D99218" w14:textId="77777777" w:rsidR="00606628" w:rsidRPr="00796BC2" w:rsidRDefault="00606628" w:rsidP="00112B73">
            <w:pPr>
              <w:jc w:val="center"/>
              <w:rPr>
                <w:rFonts w:ascii="Arial Narrow" w:hAnsi="Arial Narrow"/>
                <w:color w:val="000000"/>
                <w:sz w:val="20"/>
              </w:rPr>
            </w:pPr>
            <w:r w:rsidRPr="00796BC2">
              <w:rPr>
                <w:rFonts w:ascii="Arial Narrow" w:hAnsi="Arial Narrow"/>
                <w:color w:val="000000"/>
                <w:sz w:val="20"/>
              </w:rPr>
              <w:t>0.50</w:t>
            </w:r>
          </w:p>
        </w:tc>
        <w:tc>
          <w:tcPr>
            <w:tcW w:w="625" w:type="dxa"/>
            <w:shd w:val="clear" w:color="auto" w:fill="F2DBDB" w:themeFill="accent2" w:themeFillTint="33"/>
            <w:noWrap/>
            <w:tcMar>
              <w:left w:w="57" w:type="dxa"/>
              <w:right w:w="57" w:type="dxa"/>
            </w:tcMar>
            <w:vAlign w:val="center"/>
          </w:tcPr>
          <w:p w14:paraId="32C672E5" w14:textId="77777777" w:rsidR="00606628" w:rsidRPr="00796BC2" w:rsidRDefault="00606628" w:rsidP="00112B73">
            <w:pPr>
              <w:jc w:val="center"/>
              <w:rPr>
                <w:rFonts w:ascii="Arial Narrow" w:hAnsi="Arial Narrow"/>
                <w:color w:val="000000"/>
                <w:sz w:val="20"/>
              </w:rPr>
            </w:pPr>
            <w:r w:rsidRPr="00796BC2">
              <w:rPr>
                <w:rFonts w:ascii="Arial Narrow" w:hAnsi="Arial Narrow"/>
                <w:color w:val="000000"/>
                <w:sz w:val="20"/>
              </w:rPr>
              <w:t>-0.29</w:t>
            </w:r>
          </w:p>
        </w:tc>
        <w:tc>
          <w:tcPr>
            <w:tcW w:w="626" w:type="dxa"/>
            <w:shd w:val="clear" w:color="auto" w:fill="F2DBDB" w:themeFill="accent2" w:themeFillTint="33"/>
            <w:noWrap/>
            <w:tcMar>
              <w:left w:w="57" w:type="dxa"/>
              <w:right w:w="57" w:type="dxa"/>
            </w:tcMar>
            <w:vAlign w:val="center"/>
          </w:tcPr>
          <w:p w14:paraId="02329350"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0.70</w:t>
            </w:r>
          </w:p>
        </w:tc>
      </w:tr>
      <w:tr w:rsidR="00606628" w:rsidRPr="00852372" w14:paraId="4FF5E70F" w14:textId="77777777" w:rsidTr="00857168">
        <w:trPr>
          <w:cantSplit/>
          <w:trHeight w:hRule="exact" w:val="301"/>
        </w:trPr>
        <w:tc>
          <w:tcPr>
            <w:tcW w:w="1074" w:type="dxa"/>
            <w:vMerge/>
            <w:shd w:val="clear" w:color="auto" w:fill="auto"/>
            <w:noWrap/>
            <w:tcMar>
              <w:left w:w="57" w:type="dxa"/>
              <w:right w:w="57" w:type="dxa"/>
            </w:tcMar>
            <w:vAlign w:val="center"/>
          </w:tcPr>
          <w:p w14:paraId="5836F4AC" w14:textId="77777777" w:rsidR="00606628" w:rsidRPr="00852372" w:rsidRDefault="00606628" w:rsidP="00112B73">
            <w:pPr>
              <w:spacing w:after="0"/>
              <w:jc w:val="right"/>
              <w:rPr>
                <w:rFonts w:ascii="Arial Narrow" w:hAnsi="Arial Narrow"/>
                <w:bCs/>
                <w:color w:val="000000"/>
                <w:sz w:val="20"/>
              </w:rPr>
            </w:pPr>
          </w:p>
        </w:tc>
        <w:tc>
          <w:tcPr>
            <w:tcW w:w="350" w:type="dxa"/>
            <w:shd w:val="clear" w:color="auto" w:fill="auto"/>
            <w:noWrap/>
            <w:tcMar>
              <w:left w:w="57" w:type="dxa"/>
              <w:right w:w="57" w:type="dxa"/>
            </w:tcMar>
            <w:vAlign w:val="center"/>
          </w:tcPr>
          <w:p w14:paraId="4F554718" w14:textId="77777777" w:rsidR="00606628" w:rsidRPr="00852372" w:rsidRDefault="00606628" w:rsidP="00112B73">
            <w:pPr>
              <w:spacing w:after="0"/>
              <w:jc w:val="center"/>
              <w:rPr>
                <w:rFonts w:ascii="Arial Narrow" w:hAnsi="Arial Narrow"/>
                <w:bCs/>
                <w:color w:val="000000"/>
                <w:sz w:val="20"/>
              </w:rPr>
            </w:pPr>
            <w:r>
              <w:rPr>
                <w:rFonts w:ascii="Arial Narrow" w:hAnsi="Arial Narrow"/>
                <w:bCs/>
                <w:color w:val="000000"/>
                <w:sz w:val="20"/>
              </w:rPr>
              <w:t>5</w:t>
            </w:r>
          </w:p>
        </w:tc>
        <w:tc>
          <w:tcPr>
            <w:tcW w:w="625" w:type="dxa"/>
            <w:shd w:val="clear" w:color="auto" w:fill="auto"/>
            <w:noWrap/>
            <w:tcMar>
              <w:left w:w="57" w:type="dxa"/>
              <w:right w:w="57" w:type="dxa"/>
            </w:tcMar>
            <w:vAlign w:val="center"/>
          </w:tcPr>
          <w:p w14:paraId="1595510B"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-0.02</w:t>
            </w:r>
          </w:p>
        </w:tc>
        <w:tc>
          <w:tcPr>
            <w:tcW w:w="625" w:type="dxa"/>
            <w:shd w:val="clear" w:color="auto" w:fill="auto"/>
            <w:noWrap/>
            <w:tcMar>
              <w:left w:w="57" w:type="dxa"/>
              <w:right w:w="57" w:type="dxa"/>
            </w:tcMar>
            <w:vAlign w:val="center"/>
          </w:tcPr>
          <w:p w14:paraId="1C52C700"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0.55</w:t>
            </w:r>
          </w:p>
        </w:tc>
        <w:tc>
          <w:tcPr>
            <w:tcW w:w="625" w:type="dxa"/>
            <w:shd w:val="clear" w:color="auto" w:fill="F2DBDB" w:themeFill="accent2" w:themeFillTint="33"/>
            <w:noWrap/>
            <w:tcMar>
              <w:left w:w="57" w:type="dxa"/>
              <w:right w:w="57" w:type="dxa"/>
            </w:tcMar>
            <w:vAlign w:val="center"/>
          </w:tcPr>
          <w:p w14:paraId="2EA900BA" w14:textId="77777777" w:rsidR="00606628" w:rsidRPr="00796BC2" w:rsidRDefault="00606628" w:rsidP="00112B73">
            <w:pPr>
              <w:jc w:val="center"/>
              <w:rPr>
                <w:rFonts w:ascii="Arial Narrow" w:hAnsi="Arial Narrow"/>
                <w:color w:val="000000"/>
                <w:sz w:val="20"/>
              </w:rPr>
            </w:pPr>
            <w:r w:rsidRPr="00796BC2">
              <w:rPr>
                <w:rFonts w:ascii="Arial Narrow" w:hAnsi="Arial Narrow"/>
                <w:color w:val="000000"/>
                <w:sz w:val="20"/>
              </w:rPr>
              <w:t>-0.20</w:t>
            </w:r>
          </w:p>
        </w:tc>
        <w:tc>
          <w:tcPr>
            <w:tcW w:w="625" w:type="dxa"/>
            <w:shd w:val="clear" w:color="auto" w:fill="F2DBDB" w:themeFill="accent2" w:themeFillTint="33"/>
            <w:noWrap/>
            <w:tcMar>
              <w:left w:w="57" w:type="dxa"/>
              <w:right w:w="57" w:type="dxa"/>
            </w:tcMar>
            <w:vAlign w:val="center"/>
          </w:tcPr>
          <w:p w14:paraId="248D9C1D" w14:textId="77777777" w:rsidR="00606628" w:rsidRPr="00796BC2" w:rsidRDefault="00606628" w:rsidP="00112B73">
            <w:pPr>
              <w:jc w:val="center"/>
              <w:rPr>
                <w:rFonts w:ascii="Arial Narrow" w:hAnsi="Arial Narrow"/>
                <w:color w:val="000000"/>
                <w:sz w:val="20"/>
              </w:rPr>
            </w:pPr>
            <w:r w:rsidRPr="00796BC2">
              <w:rPr>
                <w:rFonts w:ascii="Arial Narrow" w:hAnsi="Arial Narrow"/>
                <w:color w:val="000000"/>
                <w:sz w:val="20"/>
              </w:rPr>
              <w:t>0.7</w:t>
            </w:r>
            <w:r>
              <w:rPr>
                <w:rFonts w:ascii="Arial Narrow" w:hAnsi="Arial Narrow"/>
                <w:color w:val="000000"/>
                <w:sz w:val="20"/>
              </w:rPr>
              <w:t>7</w:t>
            </w:r>
          </w:p>
        </w:tc>
        <w:tc>
          <w:tcPr>
            <w:tcW w:w="625" w:type="dxa"/>
            <w:shd w:val="clear" w:color="auto" w:fill="auto"/>
            <w:noWrap/>
            <w:tcMar>
              <w:left w:w="57" w:type="dxa"/>
              <w:right w:w="57" w:type="dxa"/>
            </w:tcMar>
            <w:vAlign w:val="center"/>
          </w:tcPr>
          <w:p w14:paraId="67AAD561" w14:textId="77777777" w:rsidR="00606628" w:rsidRPr="00796BC2" w:rsidRDefault="00606628" w:rsidP="00112B73">
            <w:pPr>
              <w:jc w:val="center"/>
              <w:rPr>
                <w:rFonts w:ascii="Arial Narrow" w:hAnsi="Arial Narrow"/>
                <w:color w:val="000000"/>
                <w:sz w:val="20"/>
              </w:rPr>
            </w:pPr>
            <w:r w:rsidRPr="00796BC2">
              <w:rPr>
                <w:rFonts w:ascii="Arial Narrow" w:hAnsi="Arial Narrow"/>
                <w:color w:val="000000"/>
                <w:sz w:val="20"/>
              </w:rPr>
              <w:t>0.19</w:t>
            </w:r>
          </w:p>
        </w:tc>
        <w:tc>
          <w:tcPr>
            <w:tcW w:w="626" w:type="dxa"/>
            <w:shd w:val="clear" w:color="auto" w:fill="auto"/>
            <w:noWrap/>
            <w:tcMar>
              <w:left w:w="57" w:type="dxa"/>
              <w:right w:w="57" w:type="dxa"/>
            </w:tcMar>
            <w:vAlign w:val="center"/>
          </w:tcPr>
          <w:p w14:paraId="1FC8EA11" w14:textId="77777777" w:rsidR="00606628" w:rsidRPr="00796BC2" w:rsidRDefault="00606628" w:rsidP="00112B73">
            <w:pPr>
              <w:jc w:val="center"/>
              <w:rPr>
                <w:rFonts w:ascii="Arial Narrow" w:hAnsi="Arial Narrow"/>
                <w:color w:val="000000"/>
                <w:sz w:val="20"/>
              </w:rPr>
            </w:pPr>
            <w:r w:rsidRPr="00796BC2">
              <w:rPr>
                <w:rFonts w:ascii="Arial Narrow" w:hAnsi="Arial Narrow"/>
                <w:color w:val="000000"/>
                <w:sz w:val="20"/>
              </w:rPr>
              <w:t>0.</w:t>
            </w:r>
            <w:r>
              <w:rPr>
                <w:rFonts w:ascii="Arial Narrow" w:hAnsi="Arial Narrow"/>
                <w:color w:val="000000"/>
                <w:sz w:val="20"/>
              </w:rPr>
              <w:t>68</w:t>
            </w:r>
          </w:p>
        </w:tc>
        <w:tc>
          <w:tcPr>
            <w:tcW w:w="625" w:type="dxa"/>
            <w:shd w:val="clear" w:color="auto" w:fill="F2DBDB" w:themeFill="accent2" w:themeFillTint="33"/>
            <w:noWrap/>
            <w:tcMar>
              <w:left w:w="57" w:type="dxa"/>
              <w:right w:w="57" w:type="dxa"/>
            </w:tcMar>
            <w:vAlign w:val="center"/>
          </w:tcPr>
          <w:p w14:paraId="79C8635E" w14:textId="77777777" w:rsidR="00606628" w:rsidRPr="00796BC2" w:rsidRDefault="00606628" w:rsidP="00112B73">
            <w:pPr>
              <w:jc w:val="center"/>
              <w:rPr>
                <w:rFonts w:ascii="Arial Narrow" w:hAnsi="Arial Narrow"/>
                <w:color w:val="000000"/>
                <w:sz w:val="20"/>
              </w:rPr>
            </w:pPr>
            <w:r w:rsidRPr="00796BC2">
              <w:rPr>
                <w:rFonts w:ascii="Arial Narrow" w:hAnsi="Arial Narrow"/>
                <w:color w:val="000000"/>
                <w:sz w:val="20"/>
              </w:rPr>
              <w:t>-0.22</w:t>
            </w:r>
          </w:p>
        </w:tc>
        <w:tc>
          <w:tcPr>
            <w:tcW w:w="625" w:type="dxa"/>
            <w:shd w:val="clear" w:color="auto" w:fill="F2DBDB" w:themeFill="accent2" w:themeFillTint="33"/>
            <w:noWrap/>
            <w:tcMar>
              <w:left w:w="57" w:type="dxa"/>
              <w:right w:w="57" w:type="dxa"/>
            </w:tcMar>
            <w:vAlign w:val="center"/>
          </w:tcPr>
          <w:p w14:paraId="1798FB25" w14:textId="77777777" w:rsidR="00606628" w:rsidRPr="00796BC2" w:rsidRDefault="00606628" w:rsidP="00112B73">
            <w:pPr>
              <w:jc w:val="center"/>
              <w:rPr>
                <w:rFonts w:ascii="Arial Narrow" w:hAnsi="Arial Narrow"/>
                <w:color w:val="000000"/>
                <w:sz w:val="20"/>
              </w:rPr>
            </w:pPr>
            <w:r w:rsidRPr="00796BC2">
              <w:rPr>
                <w:rFonts w:ascii="Arial Narrow" w:hAnsi="Arial Narrow"/>
                <w:color w:val="000000"/>
                <w:sz w:val="20"/>
              </w:rPr>
              <w:t>0.7</w:t>
            </w:r>
            <w:r>
              <w:rPr>
                <w:rFonts w:ascii="Arial Narrow" w:hAnsi="Arial Narrow"/>
                <w:color w:val="000000"/>
                <w:sz w:val="20"/>
              </w:rPr>
              <w:t>7</w:t>
            </w:r>
          </w:p>
        </w:tc>
        <w:tc>
          <w:tcPr>
            <w:tcW w:w="625" w:type="dxa"/>
            <w:shd w:val="clear" w:color="auto" w:fill="auto"/>
            <w:noWrap/>
            <w:tcMar>
              <w:left w:w="57" w:type="dxa"/>
              <w:right w:w="57" w:type="dxa"/>
            </w:tcMar>
            <w:vAlign w:val="center"/>
          </w:tcPr>
          <w:p w14:paraId="62E786CB" w14:textId="77777777" w:rsidR="00606628" w:rsidRPr="00796BC2" w:rsidRDefault="00606628" w:rsidP="00112B73">
            <w:pPr>
              <w:jc w:val="center"/>
              <w:rPr>
                <w:rFonts w:ascii="Arial Narrow" w:hAnsi="Arial Narrow"/>
                <w:color w:val="000000"/>
                <w:sz w:val="20"/>
              </w:rPr>
            </w:pPr>
            <w:r w:rsidRPr="00796BC2">
              <w:rPr>
                <w:rFonts w:ascii="Arial Narrow" w:hAnsi="Arial Narrow"/>
                <w:color w:val="000000"/>
                <w:sz w:val="20"/>
              </w:rPr>
              <w:t>0.04</w:t>
            </w:r>
          </w:p>
        </w:tc>
        <w:tc>
          <w:tcPr>
            <w:tcW w:w="625" w:type="dxa"/>
            <w:shd w:val="clear" w:color="auto" w:fill="auto"/>
            <w:noWrap/>
            <w:tcMar>
              <w:left w:w="57" w:type="dxa"/>
              <w:right w:w="57" w:type="dxa"/>
            </w:tcMar>
            <w:vAlign w:val="center"/>
          </w:tcPr>
          <w:p w14:paraId="672AF71B" w14:textId="77777777" w:rsidR="00606628" w:rsidRPr="00796BC2" w:rsidRDefault="00606628" w:rsidP="00112B73">
            <w:pPr>
              <w:jc w:val="center"/>
              <w:rPr>
                <w:rFonts w:ascii="Arial Narrow" w:hAnsi="Arial Narrow"/>
                <w:color w:val="000000"/>
                <w:sz w:val="20"/>
              </w:rPr>
            </w:pPr>
            <w:r>
              <w:rPr>
                <w:rFonts w:ascii="Arial Narrow" w:hAnsi="Arial Narrow"/>
                <w:color w:val="000000"/>
                <w:sz w:val="20"/>
              </w:rPr>
              <w:t>0.58</w:t>
            </w:r>
          </w:p>
        </w:tc>
        <w:tc>
          <w:tcPr>
            <w:tcW w:w="625" w:type="dxa"/>
            <w:shd w:val="clear" w:color="auto" w:fill="auto"/>
            <w:noWrap/>
            <w:tcMar>
              <w:left w:w="57" w:type="dxa"/>
              <w:right w:w="57" w:type="dxa"/>
            </w:tcMar>
            <w:vAlign w:val="center"/>
          </w:tcPr>
          <w:p w14:paraId="7656AD15" w14:textId="77777777" w:rsidR="00606628" w:rsidRPr="00796BC2" w:rsidRDefault="00606628" w:rsidP="00112B73">
            <w:pPr>
              <w:jc w:val="center"/>
              <w:rPr>
                <w:rFonts w:ascii="Arial Narrow" w:hAnsi="Arial Narrow"/>
                <w:color w:val="000000"/>
                <w:sz w:val="20"/>
              </w:rPr>
            </w:pPr>
            <w:r w:rsidRPr="00796BC2">
              <w:rPr>
                <w:rFonts w:ascii="Arial Narrow" w:hAnsi="Arial Narrow"/>
                <w:color w:val="000000"/>
                <w:sz w:val="20"/>
              </w:rPr>
              <w:t>0.10</w:t>
            </w:r>
          </w:p>
        </w:tc>
        <w:tc>
          <w:tcPr>
            <w:tcW w:w="626" w:type="dxa"/>
            <w:shd w:val="clear" w:color="auto" w:fill="auto"/>
            <w:noWrap/>
            <w:tcMar>
              <w:left w:w="57" w:type="dxa"/>
              <w:right w:w="57" w:type="dxa"/>
            </w:tcMar>
            <w:vAlign w:val="center"/>
          </w:tcPr>
          <w:p w14:paraId="763AFC81" w14:textId="77777777" w:rsidR="00606628" w:rsidRPr="00796BC2" w:rsidRDefault="00606628" w:rsidP="00112B73">
            <w:pPr>
              <w:spacing w:after="0"/>
              <w:jc w:val="center"/>
              <w:rPr>
                <w:rFonts w:ascii="Arial Narrow" w:hAnsi="Arial Narrow"/>
                <w:bCs/>
                <w:color w:val="000000"/>
                <w:sz w:val="20"/>
              </w:rPr>
            </w:pPr>
            <w:r w:rsidRPr="00796BC2">
              <w:rPr>
                <w:rFonts w:ascii="Arial Narrow" w:hAnsi="Arial Narrow"/>
                <w:bCs/>
                <w:color w:val="000000"/>
                <w:sz w:val="20"/>
              </w:rPr>
              <w:t>0.6</w:t>
            </w:r>
            <w:r>
              <w:rPr>
                <w:rFonts w:ascii="Arial Narrow" w:hAnsi="Arial Narrow"/>
                <w:bCs/>
                <w:color w:val="000000"/>
                <w:sz w:val="20"/>
              </w:rPr>
              <w:t>2</w:t>
            </w:r>
          </w:p>
        </w:tc>
      </w:tr>
    </w:tbl>
    <w:p w14:paraId="27AE1094" w14:textId="77777777" w:rsidR="00B36605" w:rsidRDefault="00B36605" w:rsidP="00B36605">
      <w:pPr>
        <w:rPr>
          <w:color w:val="4F81BD" w:themeColor="accent1"/>
        </w:rPr>
      </w:pPr>
    </w:p>
    <w:p w14:paraId="5BBEC758" w14:textId="0DF70EB3" w:rsidR="005D22D4" w:rsidRPr="00F352E1" w:rsidRDefault="005D22D4" w:rsidP="00B36605">
      <w:pPr>
        <w:rPr>
          <w:color w:val="4F81BD" w:themeColor="accent1"/>
        </w:rPr>
      </w:pPr>
      <w:r w:rsidRPr="00382A2B">
        <w:t>Prior to 2017, flooding in 2009 and Cyclone Ului in 2010 were the only acute disturbance events recorded since 2005 (</w:t>
      </w:r>
      <w:r w:rsidRPr="00382A2B">
        <w:fldChar w:fldCharType="begin"/>
      </w:r>
      <w:r w:rsidRPr="00382A2B">
        <w:instrText xml:space="preserve"> REF _Ref491342894 \h </w:instrText>
      </w:r>
      <w:r w:rsidRPr="00382A2B">
        <w:fldChar w:fldCharType="separate"/>
      </w:r>
      <w:r w:rsidR="00A75175" w:rsidRPr="00F352E1">
        <w:t xml:space="preserve">Figure </w:t>
      </w:r>
      <w:r w:rsidR="00A75175">
        <w:rPr>
          <w:noProof/>
        </w:rPr>
        <w:t>20</w:t>
      </w:r>
      <w:r w:rsidRPr="00382A2B">
        <w:fldChar w:fldCharType="end"/>
      </w:r>
      <w:r w:rsidRPr="00382A2B">
        <w:t xml:space="preserve">e) and will have contributed to the slight declines in the index through to 2012. While the impacts of Cyclone Ului were widespread, </w:t>
      </w:r>
      <w:r>
        <w:t xml:space="preserve">with the exception of </w:t>
      </w:r>
      <w:r w:rsidRPr="00382A2B">
        <w:t>Daydream</w:t>
      </w:r>
      <w:r>
        <w:t xml:space="preserve"> (</w:t>
      </w:r>
      <w:r>
        <w:fldChar w:fldCharType="begin"/>
      </w:r>
      <w:r>
        <w:instrText xml:space="preserve"> REF _Ref500961104 \h </w:instrText>
      </w:r>
      <w:r>
        <w:fldChar w:fldCharType="separate"/>
      </w:r>
      <w:r w:rsidR="00A75175">
        <w:t xml:space="preserve">Table A1. </w:t>
      </w:r>
      <w:r w:rsidR="00A75175">
        <w:rPr>
          <w:noProof/>
        </w:rPr>
        <w:t>4</w:t>
      </w:r>
      <w:r>
        <w:fldChar w:fldCharType="end"/>
      </w:r>
      <w:r>
        <w:t xml:space="preserve">), impacts to coral communities were relatively minor compared to those associated with </w:t>
      </w:r>
      <w:r w:rsidR="00CE02D3">
        <w:t xml:space="preserve">cyclone </w:t>
      </w:r>
      <w:r>
        <w:t>Debbie</w:t>
      </w:r>
      <w:r w:rsidRPr="00382A2B">
        <w:t xml:space="preserve"> (</w:t>
      </w:r>
      <w:r>
        <w:fldChar w:fldCharType="begin"/>
      </w:r>
      <w:r>
        <w:instrText xml:space="preserve"> REF _Ref491342894 \h </w:instrText>
      </w:r>
      <w:r>
        <w:fldChar w:fldCharType="separate"/>
      </w:r>
      <w:r w:rsidR="00A75175" w:rsidRPr="00F352E1">
        <w:t xml:space="preserve">Figure </w:t>
      </w:r>
      <w:r w:rsidR="00A75175">
        <w:rPr>
          <w:noProof/>
        </w:rPr>
        <w:t>20</w:t>
      </w:r>
      <w:r>
        <w:fldChar w:fldCharType="end"/>
      </w:r>
      <w:r>
        <w:t xml:space="preserve">e, </w:t>
      </w:r>
      <w:r>
        <w:fldChar w:fldCharType="begin"/>
      </w:r>
      <w:r>
        <w:instrText xml:space="preserve"> REF _Ref491341033 \h </w:instrText>
      </w:r>
      <w:r>
        <w:fldChar w:fldCharType="separate"/>
      </w:r>
      <w:r w:rsidR="00A75175" w:rsidRPr="004252BF">
        <w:t xml:space="preserve">Figure </w:t>
      </w:r>
      <w:r w:rsidR="00A75175">
        <w:rPr>
          <w:noProof/>
        </w:rPr>
        <w:t>21</w:t>
      </w:r>
      <w:r>
        <w:fldChar w:fldCharType="end"/>
      </w:r>
      <w:r>
        <w:t xml:space="preserve">a). Considering the proportional loss of coral cover, the most severely </w:t>
      </w:r>
      <w:r w:rsidRPr="00382A2B">
        <w:rPr>
          <w:rFonts w:cs="Arial"/>
          <w:szCs w:val="22"/>
        </w:rPr>
        <w:t xml:space="preserve">impacted </w:t>
      </w:r>
      <w:r>
        <w:rPr>
          <w:rFonts w:cs="Arial"/>
          <w:szCs w:val="22"/>
        </w:rPr>
        <w:t xml:space="preserve">of the monitored reefs </w:t>
      </w:r>
      <w:r w:rsidRPr="00382A2B">
        <w:rPr>
          <w:rFonts w:cs="Arial"/>
          <w:szCs w:val="22"/>
        </w:rPr>
        <w:t>were</w:t>
      </w:r>
      <w:r>
        <w:rPr>
          <w:rFonts w:cs="Arial"/>
          <w:szCs w:val="22"/>
        </w:rPr>
        <w:t>:</w:t>
      </w:r>
      <w:r w:rsidRPr="00382A2B">
        <w:rPr>
          <w:rFonts w:cs="Arial"/>
          <w:szCs w:val="22"/>
        </w:rPr>
        <w:t xml:space="preserve"> Daydream</w:t>
      </w:r>
      <w:r>
        <w:rPr>
          <w:rFonts w:cs="Arial"/>
          <w:szCs w:val="22"/>
        </w:rPr>
        <w:t>,</w:t>
      </w:r>
      <w:r w:rsidRPr="00382A2B">
        <w:rPr>
          <w:rFonts w:cs="Arial"/>
          <w:szCs w:val="22"/>
        </w:rPr>
        <w:t xml:space="preserve"> where</w:t>
      </w:r>
      <w:r>
        <w:rPr>
          <w:rFonts w:cs="Arial"/>
          <w:szCs w:val="22"/>
        </w:rPr>
        <w:t xml:space="preserve"> </w:t>
      </w:r>
      <w:r w:rsidRPr="00382A2B">
        <w:rPr>
          <w:rFonts w:cs="Arial"/>
          <w:szCs w:val="22"/>
        </w:rPr>
        <w:t>coral cover was reduced by 98% (2</w:t>
      </w:r>
      <w:r>
        <w:rPr>
          <w:rFonts w:cs="Arial"/>
          <w:szCs w:val="22"/>
        </w:rPr>
        <w:t xml:space="preserve"> </w:t>
      </w:r>
      <w:r w:rsidRPr="00382A2B">
        <w:rPr>
          <w:rFonts w:cs="Arial"/>
          <w:szCs w:val="22"/>
        </w:rPr>
        <w:t>m) and 90% (5</w:t>
      </w:r>
      <w:r>
        <w:rPr>
          <w:rFonts w:cs="Arial"/>
          <w:szCs w:val="22"/>
        </w:rPr>
        <w:t xml:space="preserve"> </w:t>
      </w:r>
      <w:r w:rsidRPr="00382A2B">
        <w:rPr>
          <w:rFonts w:cs="Arial"/>
          <w:szCs w:val="22"/>
        </w:rPr>
        <w:t>m), and Double Cone</w:t>
      </w:r>
      <w:r>
        <w:rPr>
          <w:rFonts w:cs="Arial"/>
          <w:szCs w:val="22"/>
        </w:rPr>
        <w:t xml:space="preserve">, where coral cover was reduced by </w:t>
      </w:r>
      <w:r w:rsidRPr="00382A2B">
        <w:rPr>
          <w:rFonts w:cs="Arial"/>
          <w:szCs w:val="22"/>
        </w:rPr>
        <w:t xml:space="preserve">97 % </w:t>
      </w:r>
      <w:r>
        <w:rPr>
          <w:rFonts w:cs="Arial"/>
          <w:szCs w:val="22"/>
        </w:rPr>
        <w:t>(</w:t>
      </w:r>
      <w:r w:rsidRPr="00382A2B">
        <w:rPr>
          <w:rFonts w:cs="Arial"/>
          <w:szCs w:val="22"/>
        </w:rPr>
        <w:t>2 m</w:t>
      </w:r>
      <w:r>
        <w:rPr>
          <w:rFonts w:cs="Arial"/>
          <w:szCs w:val="22"/>
        </w:rPr>
        <w:t>) and</w:t>
      </w:r>
      <w:r w:rsidRPr="00382A2B">
        <w:rPr>
          <w:rFonts w:cs="Arial"/>
          <w:szCs w:val="22"/>
        </w:rPr>
        <w:t xml:space="preserve"> 74% </w:t>
      </w:r>
      <w:r>
        <w:rPr>
          <w:rFonts w:cs="Arial"/>
          <w:szCs w:val="22"/>
        </w:rPr>
        <w:t>(5 m)</w:t>
      </w:r>
      <w:r w:rsidRPr="00382A2B">
        <w:rPr>
          <w:rFonts w:cs="Arial"/>
          <w:szCs w:val="22"/>
        </w:rPr>
        <w:t xml:space="preserve"> (</w:t>
      </w:r>
      <w:r w:rsidR="007B0264">
        <w:rPr>
          <w:rFonts w:cs="Arial"/>
          <w:szCs w:val="22"/>
        </w:rPr>
        <w:fldChar w:fldCharType="begin"/>
      </w:r>
      <w:r w:rsidR="007B0264">
        <w:rPr>
          <w:rFonts w:cs="Arial"/>
          <w:szCs w:val="22"/>
        </w:rPr>
        <w:instrText xml:space="preserve"> REF _Ref501546141 \h </w:instrText>
      </w:r>
      <w:r w:rsidR="007B0264">
        <w:rPr>
          <w:rFonts w:cs="Arial"/>
          <w:szCs w:val="22"/>
        </w:rPr>
      </w:r>
      <w:r w:rsidR="007B0264">
        <w:rPr>
          <w:rFonts w:cs="Arial"/>
          <w:szCs w:val="22"/>
        </w:rPr>
        <w:fldChar w:fldCharType="separate"/>
      </w:r>
      <w:r w:rsidR="00A75175">
        <w:t xml:space="preserve">Figure A1. </w:t>
      </w:r>
      <w:r w:rsidR="00A75175">
        <w:rPr>
          <w:noProof/>
        </w:rPr>
        <w:t>5</w:t>
      </w:r>
      <w:r w:rsidR="007B0264">
        <w:rPr>
          <w:rFonts w:cs="Arial"/>
          <w:szCs w:val="22"/>
        </w:rPr>
        <w:fldChar w:fldCharType="end"/>
      </w:r>
      <w:r w:rsidRPr="00907B43">
        <w:rPr>
          <w:rFonts w:cs="Arial"/>
          <w:szCs w:val="22"/>
        </w:rPr>
        <w:t>,</w:t>
      </w:r>
      <w:r>
        <w:rPr>
          <w:rFonts w:cs="Arial"/>
          <w:szCs w:val="22"/>
        </w:rPr>
        <w:t xml:space="preserve"> </w:t>
      </w:r>
      <w:r>
        <w:rPr>
          <w:rFonts w:cs="Arial"/>
          <w:szCs w:val="22"/>
        </w:rPr>
        <w:fldChar w:fldCharType="begin"/>
      </w:r>
      <w:r>
        <w:rPr>
          <w:rFonts w:cs="Arial"/>
          <w:szCs w:val="22"/>
        </w:rPr>
        <w:instrText xml:space="preserve"> REF _Ref500961104 \h </w:instrText>
      </w:r>
      <w:r>
        <w:rPr>
          <w:rFonts w:cs="Arial"/>
          <w:szCs w:val="22"/>
        </w:rPr>
      </w:r>
      <w:r>
        <w:rPr>
          <w:rFonts w:cs="Arial"/>
          <w:szCs w:val="22"/>
        </w:rPr>
        <w:fldChar w:fldCharType="separate"/>
      </w:r>
      <w:r w:rsidR="00A75175">
        <w:t xml:space="preserve">Table A1. </w:t>
      </w:r>
      <w:r w:rsidR="00A75175">
        <w:rPr>
          <w:noProof/>
        </w:rPr>
        <w:t>4</w:t>
      </w:r>
      <w:r>
        <w:rPr>
          <w:rFonts w:cs="Arial"/>
          <w:szCs w:val="22"/>
        </w:rPr>
        <w:fldChar w:fldCharType="end"/>
      </w:r>
      <w:r w:rsidRPr="00382A2B">
        <w:rPr>
          <w:rFonts w:cs="Arial"/>
          <w:szCs w:val="22"/>
        </w:rPr>
        <w:t xml:space="preserve">). </w:t>
      </w:r>
    </w:p>
    <w:p w14:paraId="40F2630B" w14:textId="24F3A5AB" w:rsidR="004F531C" w:rsidRPr="00382A2B" w:rsidRDefault="004F531C" w:rsidP="004F531C">
      <w:r>
        <w:t xml:space="preserve">The water quality index for the Whitsundays region </w:t>
      </w:r>
      <w:r w:rsidR="00C62756">
        <w:t xml:space="preserve">has shown a general decline from </w:t>
      </w:r>
      <w:r>
        <w:t>‘moderate’ to ‘poor’</w:t>
      </w:r>
      <w:r w:rsidR="00AD2B12">
        <w:t xml:space="preserve"> in 2017</w:t>
      </w:r>
      <w:r>
        <w:t xml:space="preserve">, influenced by increases in several variables, most notably, nitrogen oxides, suspended solids and Chl </w:t>
      </w:r>
      <w:r w:rsidRPr="004F531C">
        <w:rPr>
          <w:i/>
        </w:rPr>
        <w:t>a</w:t>
      </w:r>
      <w:r>
        <w:t xml:space="preserve"> </w:t>
      </w:r>
      <w:r w:rsidRPr="007430DC">
        <w:t>(</w:t>
      </w:r>
      <w:r w:rsidR="007B0264">
        <w:fldChar w:fldCharType="begin"/>
      </w:r>
      <w:r w:rsidR="007B0264">
        <w:instrText xml:space="preserve"> REF _Ref501374386 \h </w:instrText>
      </w:r>
      <w:r w:rsidR="007B0264">
        <w:fldChar w:fldCharType="separate"/>
      </w:r>
      <w:r w:rsidR="00A75175">
        <w:t xml:space="preserve">Figure A1. </w:t>
      </w:r>
      <w:r w:rsidR="00A75175">
        <w:rPr>
          <w:noProof/>
        </w:rPr>
        <w:t>13</w:t>
      </w:r>
      <w:r w:rsidR="007B0264">
        <w:fldChar w:fldCharType="end"/>
      </w:r>
      <w:r>
        <w:t xml:space="preserve">). Given the impacts of </w:t>
      </w:r>
      <w:r w:rsidR="00CE02D3">
        <w:t>c</w:t>
      </w:r>
      <w:r>
        <w:t xml:space="preserve">yclone Debbie however it is not possible to link the current changes in the </w:t>
      </w:r>
      <w:r w:rsidR="007D3289">
        <w:t xml:space="preserve">coral </w:t>
      </w:r>
      <w:r>
        <w:t>index to the changes in water quality within the region.</w:t>
      </w:r>
    </w:p>
    <w:p w14:paraId="2DCE824D" w14:textId="2AB86E24" w:rsidR="00C93E38" w:rsidRDefault="00907B43" w:rsidP="00C93E38">
      <w:r w:rsidRPr="00382A2B">
        <w:t xml:space="preserve">Following a period of below median discharge since 2014, rainfall associated with </w:t>
      </w:r>
      <w:r w:rsidR="00CE02D3">
        <w:t>c</w:t>
      </w:r>
      <w:r w:rsidR="00CE02D3" w:rsidRPr="00382A2B">
        <w:t xml:space="preserve">yclone </w:t>
      </w:r>
      <w:r w:rsidRPr="00382A2B">
        <w:t xml:space="preserve">Debbie led to discharge from the adjacent catchments </w:t>
      </w:r>
      <w:r w:rsidR="00B43034">
        <w:t>which exceeded</w:t>
      </w:r>
      <w:r w:rsidRPr="00382A2B">
        <w:t xml:space="preserve"> median levels (</w:t>
      </w:r>
      <w:r w:rsidRPr="00382A2B">
        <w:fldChar w:fldCharType="begin"/>
      </w:r>
      <w:r w:rsidRPr="00382A2B">
        <w:instrText xml:space="preserve"> REF _Ref491342894 \h </w:instrText>
      </w:r>
      <w:r w:rsidRPr="00382A2B">
        <w:fldChar w:fldCharType="separate"/>
      </w:r>
      <w:r w:rsidR="00A75175" w:rsidRPr="00F352E1">
        <w:t xml:space="preserve">Figure </w:t>
      </w:r>
      <w:r w:rsidR="00A75175">
        <w:rPr>
          <w:noProof/>
        </w:rPr>
        <w:t>20</w:t>
      </w:r>
      <w:r w:rsidRPr="00382A2B">
        <w:fldChar w:fldCharType="end"/>
      </w:r>
      <w:r w:rsidRPr="00382A2B">
        <w:t xml:space="preserve">d). Whilst no direct impacts of flooding were evident during surveys in 2017, previous above median flows have been identified as influencing the coral index in this region. </w:t>
      </w:r>
      <w:r w:rsidR="00B36605" w:rsidRPr="00382A2B">
        <w:t>Over the period 2007 to 2013, annual discharge from the adjacent catchments was above median levels (</w:t>
      </w:r>
      <w:r w:rsidR="00134DDC" w:rsidRPr="00382A2B">
        <w:fldChar w:fldCharType="begin"/>
      </w:r>
      <w:r w:rsidR="00134DDC" w:rsidRPr="00382A2B">
        <w:instrText xml:space="preserve"> REF _Ref491342894 \h </w:instrText>
      </w:r>
      <w:r w:rsidR="00134DDC" w:rsidRPr="00382A2B">
        <w:fldChar w:fldCharType="separate"/>
      </w:r>
      <w:r w:rsidR="00A75175" w:rsidRPr="00F352E1">
        <w:t xml:space="preserve">Figure </w:t>
      </w:r>
      <w:r w:rsidR="00A75175">
        <w:rPr>
          <w:noProof/>
        </w:rPr>
        <w:t>20</w:t>
      </w:r>
      <w:r w:rsidR="00134DDC" w:rsidRPr="00382A2B">
        <w:fldChar w:fldCharType="end"/>
      </w:r>
      <w:r w:rsidR="00134DDC" w:rsidRPr="00382A2B">
        <w:t>d</w:t>
      </w:r>
      <w:r w:rsidR="00B36605" w:rsidRPr="00382A2B">
        <w:t>)</w:t>
      </w:r>
      <w:r w:rsidR="00134DDC" w:rsidRPr="00382A2B">
        <w:t>, supplying</w:t>
      </w:r>
      <w:r w:rsidR="00B36605" w:rsidRPr="00382A2B">
        <w:t xml:space="preserve"> elevated loads of nutrients and sediments (Turner </w:t>
      </w:r>
      <w:r w:rsidR="00B36605" w:rsidRPr="00382A2B">
        <w:rPr>
          <w:i/>
        </w:rPr>
        <w:t>et al.</w:t>
      </w:r>
      <w:r w:rsidR="00B36605" w:rsidRPr="00382A2B">
        <w:t xml:space="preserve"> 2012, 2013, Wallace </w:t>
      </w:r>
      <w:r w:rsidR="00B36605" w:rsidRPr="00382A2B">
        <w:rPr>
          <w:i/>
        </w:rPr>
        <w:t>et al</w:t>
      </w:r>
      <w:r w:rsidR="00B36605" w:rsidRPr="00382A2B">
        <w:t>. 2014, 2015</w:t>
      </w:r>
      <w:r w:rsidR="00F24294" w:rsidRPr="00382A2B">
        <w:t xml:space="preserve">, Waterhouse </w:t>
      </w:r>
      <w:r w:rsidR="00F24294" w:rsidRPr="00382A2B">
        <w:rPr>
          <w:i/>
        </w:rPr>
        <w:t>et al</w:t>
      </w:r>
      <w:r w:rsidR="00F24294" w:rsidRPr="00382A2B">
        <w:t>. 201</w:t>
      </w:r>
      <w:r w:rsidR="00C62907">
        <w:t>8</w:t>
      </w:r>
      <w:r w:rsidR="00B36605" w:rsidRPr="00382A2B">
        <w:t>)</w:t>
      </w:r>
      <w:r w:rsidR="00134DDC" w:rsidRPr="00382A2B">
        <w:t xml:space="preserve">. </w:t>
      </w:r>
      <w:r w:rsidR="00851C91" w:rsidRPr="00382A2B">
        <w:t>Although, there is no strong evidence for changes in measured marine water quality</w:t>
      </w:r>
      <w:r w:rsidR="00E936F5">
        <w:t xml:space="preserve"> at that time</w:t>
      </w:r>
      <w:r w:rsidR="00851C91" w:rsidRPr="00382A2B">
        <w:t xml:space="preserve"> (</w:t>
      </w:r>
      <w:r w:rsidR="007B0264">
        <w:fldChar w:fldCharType="begin"/>
      </w:r>
      <w:r w:rsidR="007B0264">
        <w:instrText xml:space="preserve"> REF _Ref501374386 \h </w:instrText>
      </w:r>
      <w:r w:rsidR="007B0264">
        <w:fldChar w:fldCharType="separate"/>
      </w:r>
      <w:r w:rsidR="00A75175">
        <w:t xml:space="preserve">Figure A1. </w:t>
      </w:r>
      <w:r w:rsidR="00A75175">
        <w:rPr>
          <w:noProof/>
        </w:rPr>
        <w:t>13</w:t>
      </w:r>
      <w:r w:rsidR="007B0264">
        <w:fldChar w:fldCharType="end"/>
      </w:r>
      <w:r w:rsidR="00FC0E84" w:rsidRPr="00382A2B">
        <w:t>,</w:t>
      </w:r>
      <w:r w:rsidR="00851C91" w:rsidRPr="00382A2B">
        <w:t xml:space="preserve"> Waterhouse </w:t>
      </w:r>
      <w:r w:rsidR="00851C91" w:rsidRPr="00382A2B">
        <w:rPr>
          <w:i/>
        </w:rPr>
        <w:t>et al</w:t>
      </w:r>
      <w:r w:rsidR="00851C91" w:rsidRPr="00382A2B">
        <w:t>. 201</w:t>
      </w:r>
      <w:r w:rsidR="00C62907">
        <w:t>8</w:t>
      </w:r>
      <w:r w:rsidR="00851C91" w:rsidRPr="00382A2B">
        <w:t xml:space="preserve">), the </w:t>
      </w:r>
      <w:r w:rsidR="00134DDC" w:rsidRPr="00382A2B">
        <w:t xml:space="preserve">onset of this increased runoff coincided with </w:t>
      </w:r>
      <w:r w:rsidR="00B36605" w:rsidRPr="00382A2B">
        <w:t>elevated incidence of coral disease (</w:t>
      </w:r>
      <w:r w:rsidR="007B0264">
        <w:fldChar w:fldCharType="begin"/>
      </w:r>
      <w:r w:rsidR="007B0264">
        <w:instrText xml:space="preserve"> REF _Ref501096335 \h </w:instrText>
      </w:r>
      <w:r w:rsidR="007B0264">
        <w:fldChar w:fldCharType="separate"/>
      </w:r>
      <w:r w:rsidR="00A75175">
        <w:t xml:space="preserve">Figure A1. </w:t>
      </w:r>
      <w:r w:rsidR="00A75175">
        <w:rPr>
          <w:noProof/>
        </w:rPr>
        <w:t>7</w:t>
      </w:r>
      <w:r w:rsidR="007B0264">
        <w:fldChar w:fldCharType="end"/>
      </w:r>
      <w:r w:rsidR="00134DDC" w:rsidRPr="00382A2B">
        <w:t>)</w:t>
      </w:r>
      <w:r w:rsidR="00B36605" w:rsidRPr="00382A2B">
        <w:t xml:space="preserve">. Direct impacts due to flooding were recorded only in 2009 </w:t>
      </w:r>
      <w:r w:rsidR="00851C91" w:rsidRPr="00382A2B">
        <w:t>(</w:t>
      </w:r>
      <w:r w:rsidR="00851C91" w:rsidRPr="00382A2B">
        <w:fldChar w:fldCharType="begin"/>
      </w:r>
      <w:r w:rsidR="00851C91" w:rsidRPr="00382A2B">
        <w:instrText xml:space="preserve"> REF _Ref491342894 \h </w:instrText>
      </w:r>
      <w:r w:rsidR="00851C91" w:rsidRPr="00382A2B">
        <w:fldChar w:fldCharType="separate"/>
      </w:r>
      <w:r w:rsidR="00A75175" w:rsidRPr="00F352E1">
        <w:t xml:space="preserve">Figure </w:t>
      </w:r>
      <w:r w:rsidR="00A75175">
        <w:rPr>
          <w:noProof/>
        </w:rPr>
        <w:t>20</w:t>
      </w:r>
      <w:r w:rsidR="00851C91" w:rsidRPr="00382A2B">
        <w:fldChar w:fldCharType="end"/>
      </w:r>
      <w:r w:rsidR="00851C91" w:rsidRPr="00382A2B">
        <w:t>e</w:t>
      </w:r>
      <w:r w:rsidR="00B36605" w:rsidRPr="00382A2B">
        <w:t>)</w:t>
      </w:r>
      <w:r w:rsidR="00851C91" w:rsidRPr="00382A2B">
        <w:t>,</w:t>
      </w:r>
      <w:r w:rsidR="00B36605" w:rsidRPr="00382A2B">
        <w:t xml:space="preserve"> attributed primarily to the high loads of sediments observed on corals during surveys. The source of these sediments is not clear as the local rivers did not experience extreme flooding over the preceding summer (</w:t>
      </w:r>
      <w:r w:rsidR="00851C91" w:rsidRPr="00382A2B">
        <w:fldChar w:fldCharType="begin"/>
      </w:r>
      <w:r w:rsidR="00851C91" w:rsidRPr="00382A2B">
        <w:instrText xml:space="preserve"> REF _Ref491342894 \h </w:instrText>
      </w:r>
      <w:r w:rsidR="00851C91" w:rsidRPr="00382A2B">
        <w:fldChar w:fldCharType="separate"/>
      </w:r>
      <w:r w:rsidR="00A75175" w:rsidRPr="00F352E1">
        <w:t xml:space="preserve">Figure </w:t>
      </w:r>
      <w:r w:rsidR="00A75175">
        <w:rPr>
          <w:noProof/>
        </w:rPr>
        <w:t>20</w:t>
      </w:r>
      <w:r w:rsidR="00851C91" w:rsidRPr="00382A2B">
        <w:fldChar w:fldCharType="end"/>
      </w:r>
      <w:r w:rsidR="00B36605" w:rsidRPr="00382A2B">
        <w:t>d)</w:t>
      </w:r>
      <w:r w:rsidR="00851C91" w:rsidRPr="00382A2B">
        <w:t xml:space="preserve"> although local heavy rainfall di</w:t>
      </w:r>
      <w:r w:rsidR="003E7AA9" w:rsidRPr="00382A2B">
        <w:t>d</w:t>
      </w:r>
      <w:r w:rsidR="00851C91" w:rsidRPr="00382A2B">
        <w:t xml:space="preserve"> result in a number of land-slides along the adjacent ranges</w:t>
      </w:r>
      <w:r w:rsidR="00FC0E84" w:rsidRPr="00382A2B">
        <w:t>.</w:t>
      </w:r>
    </w:p>
    <w:p w14:paraId="66698DA0" w14:textId="77777777" w:rsidR="00FC0E84" w:rsidRPr="00F352E1" w:rsidRDefault="00FC0E84">
      <w:pPr>
        <w:jc w:val="left"/>
        <w:rPr>
          <w:color w:val="4F81BD" w:themeColor="accent1"/>
        </w:rPr>
      </w:pPr>
      <w:r w:rsidRPr="00F352E1">
        <w:rPr>
          <w:color w:val="4F81BD" w:themeColor="accent1"/>
        </w:rPr>
        <w:br w:type="page"/>
      </w:r>
    </w:p>
    <w:p w14:paraId="7A6B222A" w14:textId="77777777" w:rsidR="005E7FC8" w:rsidRPr="00F352E1" w:rsidRDefault="00D15EF9" w:rsidP="009155F8">
      <w:pPr>
        <w:spacing w:before="5"/>
        <w:ind w:left="5" w:right="5"/>
        <w:jc w:val="center"/>
        <w:rPr>
          <w:color w:val="4F81BD" w:themeColor="accent1"/>
        </w:rPr>
      </w:pPr>
      <w:r>
        <w:rPr>
          <w:noProof/>
          <w:color w:val="4F81BD" w:themeColor="accent1"/>
          <w:lang w:val="en-AU" w:eastAsia="en-AU"/>
        </w:rPr>
        <w:drawing>
          <wp:inline distT="0" distB="0" distL="0" distR="0" wp14:anchorId="05B06BE4" wp14:editId="28A2C335">
            <wp:extent cx="6120765" cy="6591300"/>
            <wp:effectExtent l="0" t="0" r="0" b="0"/>
            <wp:docPr id="24" name="Picture 24" descr="A panel of five figures. The first and second show maps of the monitored reefs indicating declining concentrations of  Chlorophyll and Non-algal particulate concentration from Shute Harbour, Pine Island, Daydream Island and Seaforth, thought Dent, Double Cone and Hook to the cleaner waters of Lanfford and Bird, Hayman and Border. A plot of temperature anomalies indicating highest anomalies occurred in 2017. A plot of regional river discharge with maximum values in 2011. A plot of disturbance severity based on loss of coral cover each year, salient points discussed in the main text.&#10;" title="Environmental conditions experienced by coral communities in th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Env_Whitsunday.pn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6120765" cy="6591300"/>
                    </a:xfrm>
                    <a:prstGeom prst="rect">
                      <a:avLst/>
                    </a:prstGeom>
                  </pic:spPr>
                </pic:pic>
              </a:graphicData>
            </a:graphic>
          </wp:inline>
        </w:drawing>
      </w:r>
    </w:p>
    <w:p w14:paraId="7B0AACCD" w14:textId="074D5EB0" w:rsidR="008550DE" w:rsidRPr="001322DD" w:rsidRDefault="007A50AB" w:rsidP="00606A50">
      <w:pPr>
        <w:pStyle w:val="Caption"/>
        <w:rPr>
          <w:rStyle w:val="IntenseReference"/>
          <w:rFonts w:eastAsia="SimSun"/>
        </w:rPr>
      </w:pPr>
      <w:bookmarkStart w:id="230" w:name="_Ref491342894"/>
      <w:bookmarkStart w:id="231" w:name="_Ref438121092"/>
      <w:bookmarkStart w:id="232" w:name="_Toc437597639"/>
      <w:bookmarkStart w:id="233" w:name="_Toc437423857"/>
      <w:bookmarkStart w:id="234" w:name="_Toc437424036"/>
      <w:bookmarkStart w:id="235" w:name="_Toc437424305"/>
      <w:bookmarkStart w:id="236" w:name="_Toc514335665"/>
      <w:r w:rsidRPr="00F352E1">
        <w:t xml:space="preserve">Figure </w:t>
      </w:r>
      <w:r w:rsidR="00626D6B">
        <w:fldChar w:fldCharType="begin"/>
      </w:r>
      <w:r w:rsidR="00626D6B">
        <w:instrText xml:space="preserve"> SEQ Figure \* ARABIC </w:instrText>
      </w:r>
      <w:r w:rsidR="00626D6B">
        <w:fldChar w:fldCharType="separate"/>
      </w:r>
      <w:r w:rsidR="00A75175">
        <w:rPr>
          <w:noProof/>
        </w:rPr>
        <w:t>20</w:t>
      </w:r>
      <w:r w:rsidR="00626D6B">
        <w:rPr>
          <w:noProof/>
        </w:rPr>
        <w:fldChar w:fldCharType="end"/>
      </w:r>
      <w:bookmarkEnd w:id="230"/>
      <w:r w:rsidRPr="00F352E1">
        <w:t xml:space="preserve"> </w:t>
      </w:r>
      <w:r w:rsidR="009D02B0" w:rsidRPr="00F352E1">
        <w:t xml:space="preserve">Mackay </w:t>
      </w:r>
      <w:r w:rsidR="004E5EB5">
        <w:t xml:space="preserve">Whitsunday </w:t>
      </w:r>
      <w:r w:rsidR="00DD6C5A">
        <w:t>r</w:t>
      </w:r>
      <w:r w:rsidR="009D02B0" w:rsidRPr="00F352E1">
        <w:t xml:space="preserve">egion </w:t>
      </w:r>
      <w:r w:rsidRPr="00F352E1">
        <w:t xml:space="preserve">environmental </w:t>
      </w:r>
      <w:r w:rsidR="009D02B0" w:rsidRPr="00F352E1">
        <w:t>pressures</w:t>
      </w:r>
      <w:r w:rsidRPr="001322DD">
        <w:t>.</w:t>
      </w:r>
      <w:bookmarkStart w:id="237" w:name="_Toc437597640"/>
      <w:bookmarkEnd w:id="231"/>
      <w:bookmarkEnd w:id="232"/>
      <w:bookmarkEnd w:id="233"/>
      <w:bookmarkEnd w:id="234"/>
      <w:bookmarkEnd w:id="235"/>
      <w:r w:rsidR="005E7FC8" w:rsidRPr="001322DD">
        <w:t xml:space="preserve"> </w:t>
      </w:r>
      <w:bookmarkEnd w:id="237"/>
      <w:r w:rsidR="008550DE" w:rsidRPr="001322DD">
        <w:rPr>
          <w:rStyle w:val="IntenseReference"/>
          <w:rFonts w:eastAsia="SimSun"/>
        </w:rPr>
        <w:t xml:space="preserve">Maps show location of monitoring sites, red symbols MMP, yellow symbols LTMP along with </w:t>
      </w:r>
      <w:r w:rsidR="001322DD" w:rsidRPr="001322DD">
        <w:rPr>
          <w:rStyle w:val="IntenseReference"/>
          <w:rFonts w:eastAsia="SimSun"/>
        </w:rPr>
        <w:t xml:space="preserve">a) mean chlorophyll </w:t>
      </w:r>
      <w:r w:rsidR="001322DD" w:rsidRPr="001322DD">
        <w:rPr>
          <w:rStyle w:val="IntenseReference"/>
          <w:rFonts w:eastAsia="SimSun"/>
          <w:i/>
        </w:rPr>
        <w:t>a</w:t>
      </w:r>
      <w:r w:rsidR="001322DD" w:rsidRPr="001322DD">
        <w:rPr>
          <w:rStyle w:val="IntenseReference"/>
          <w:rFonts w:eastAsia="SimSun"/>
        </w:rPr>
        <w:t xml:space="preserve"> exceedance of wet season Guideline (0.63ugL</w:t>
      </w:r>
      <w:r w:rsidR="001322DD" w:rsidRPr="001322DD">
        <w:rPr>
          <w:rStyle w:val="IntenseReference"/>
          <w:rFonts w:eastAsia="SimSun"/>
          <w:vertAlign w:val="superscript"/>
        </w:rPr>
        <w:t>-1</w:t>
      </w:r>
      <w:r w:rsidR="001322DD" w:rsidRPr="001322DD">
        <w:rPr>
          <w:rStyle w:val="IntenseReference"/>
          <w:rFonts w:eastAsia="SimSun"/>
        </w:rPr>
        <w:t xml:space="preserve">) and b) mean Non Algal Particulate concentrations. Water quality data are mean levels over the period 2003-2016 (Chl) and 2003-2017 (NAP). c) Seasonally adjusted temperature deviation, timing of cyclones and storms indicated by black arrows, accumulated degree heating days over the summer period (1st of December - 31st March) as reported by BoM (black symbols) and derived from </w:t>
      </w:r>
      <w:r w:rsidR="00036C05">
        <w:rPr>
          <w:rStyle w:val="IntenseReference"/>
          <w:rFonts w:eastAsia="SimSun"/>
        </w:rPr>
        <w:t>in situ</w:t>
      </w:r>
      <w:r w:rsidR="001322DD" w:rsidRPr="001322DD">
        <w:rPr>
          <w:rStyle w:val="IntenseReference"/>
          <w:rFonts w:eastAsia="SimSun"/>
        </w:rPr>
        <w:t xml:space="preserve"> loggers (grey symbols) </w:t>
      </w:r>
      <w:r w:rsidR="008550DE" w:rsidRPr="001322DD">
        <w:rPr>
          <w:rStyle w:val="IntenseReference"/>
          <w:rFonts w:eastAsia="SimSun"/>
        </w:rPr>
        <w:t xml:space="preserve">d) Combined daily (blue) and annual </w:t>
      </w:r>
      <w:r w:rsidR="00240263">
        <w:rPr>
          <w:rStyle w:val="IntenseReference"/>
          <w:rFonts w:eastAsia="SimSun"/>
        </w:rPr>
        <w:t>water year</w:t>
      </w:r>
      <w:r w:rsidR="00240263" w:rsidRPr="001322DD">
        <w:rPr>
          <w:rStyle w:val="IntenseReference"/>
          <w:rFonts w:eastAsia="SimSun"/>
        </w:rPr>
        <w:t xml:space="preserve"> </w:t>
      </w:r>
      <w:r w:rsidR="00240263">
        <w:rPr>
          <w:rStyle w:val="IntenseReference"/>
          <w:rFonts w:eastAsia="SimSun"/>
        </w:rPr>
        <w:t xml:space="preserve">– October to September  </w:t>
      </w:r>
      <w:r w:rsidR="008550DE" w:rsidRPr="001322DD">
        <w:rPr>
          <w:rStyle w:val="IntenseReference"/>
          <w:rFonts w:eastAsia="SimSun"/>
        </w:rPr>
        <w:t xml:space="preserve">(red) discharge for the </w:t>
      </w:r>
      <w:r w:rsidR="001E1E73" w:rsidRPr="001322DD">
        <w:rPr>
          <w:rStyle w:val="IntenseReference"/>
          <w:rFonts w:eastAsia="SimSun"/>
        </w:rPr>
        <w:t xml:space="preserve">Carmila and Sandy creeks, Gregory, </w:t>
      </w:r>
      <w:r w:rsidR="001C3EFB" w:rsidRPr="001322DD">
        <w:rPr>
          <w:rStyle w:val="IntenseReference"/>
          <w:rFonts w:eastAsia="SimSun"/>
        </w:rPr>
        <w:t>O</w:t>
      </w:r>
      <w:r w:rsidR="00C27DA5" w:rsidRPr="001322DD">
        <w:rPr>
          <w:rStyle w:val="IntenseReference"/>
          <w:rFonts w:eastAsia="SimSun"/>
        </w:rPr>
        <w:t>’</w:t>
      </w:r>
      <w:r w:rsidR="001C3EFB" w:rsidRPr="001322DD">
        <w:rPr>
          <w:rStyle w:val="IntenseReference"/>
          <w:rFonts w:eastAsia="SimSun"/>
        </w:rPr>
        <w:t>Connell</w:t>
      </w:r>
      <w:r w:rsidR="00C27DA5" w:rsidRPr="001322DD">
        <w:rPr>
          <w:rStyle w:val="IntenseReference"/>
          <w:rFonts w:eastAsia="SimSun"/>
        </w:rPr>
        <w:t xml:space="preserve"> and Pioneer</w:t>
      </w:r>
      <w:r w:rsidR="00E75F5C" w:rsidRPr="001322DD">
        <w:rPr>
          <w:rStyle w:val="IntenseReference"/>
          <w:rFonts w:eastAsia="SimSun"/>
        </w:rPr>
        <w:t xml:space="preserve"> </w:t>
      </w:r>
      <w:r w:rsidR="008550DE" w:rsidRPr="001322DD">
        <w:rPr>
          <w:rStyle w:val="IntenseReference"/>
          <w:rFonts w:eastAsia="SimSun"/>
        </w:rPr>
        <w:t>rivers, red dashed line represents long-term median discharge (1986-2016). e) break-down of hard coral cover loss by disturbance type; length of bars represent the mean loss of cover across all reefs (see methods section for further detail).</w:t>
      </w:r>
      <w:bookmarkEnd w:id="236"/>
    </w:p>
    <w:p w14:paraId="639424F0" w14:textId="77777777" w:rsidR="00B36605" w:rsidRPr="00F352E1" w:rsidRDefault="00B36605">
      <w:pPr>
        <w:jc w:val="left"/>
        <w:rPr>
          <w:rFonts w:ascii="Arial Narrow" w:eastAsia="SimSun" w:hAnsi="Arial Narrow"/>
          <w:color w:val="4F81BD" w:themeColor="accent1"/>
          <w:sz w:val="20"/>
          <w:szCs w:val="24"/>
        </w:rPr>
      </w:pPr>
      <w:r w:rsidRPr="00F352E1">
        <w:rPr>
          <w:color w:val="4F81BD" w:themeColor="accent1"/>
        </w:rPr>
        <w:br w:type="page"/>
      </w:r>
    </w:p>
    <w:p w14:paraId="4559FDC1" w14:textId="77777777" w:rsidR="006D2B24" w:rsidRPr="00F352E1" w:rsidRDefault="006D2B24" w:rsidP="00AD5099">
      <w:pPr>
        <w:rPr>
          <w:rFonts w:asciiTheme="minorHAnsi" w:eastAsiaTheme="minorHAnsi" w:hAnsiTheme="minorHAnsi" w:cstheme="minorBidi"/>
          <w:color w:val="4F81BD" w:themeColor="accent1"/>
          <w:szCs w:val="22"/>
          <w:lang w:val="en-AU"/>
        </w:rPr>
      </w:pPr>
      <w:r>
        <w:rPr>
          <w:rFonts w:asciiTheme="minorHAnsi" w:eastAsiaTheme="minorHAnsi" w:hAnsiTheme="minorHAnsi" w:cstheme="minorBidi"/>
          <w:noProof/>
          <w:color w:val="4F81BD" w:themeColor="accent1"/>
          <w:szCs w:val="22"/>
          <w:lang w:val="en-AU" w:eastAsia="en-AU"/>
        </w:rPr>
        <w:drawing>
          <wp:inline distT="0" distB="0" distL="0" distR="0" wp14:anchorId="7D4277BC" wp14:editId="1878AB77">
            <wp:extent cx="6118860" cy="5351452"/>
            <wp:effectExtent l="0" t="0" r="0" b="1905"/>
            <wp:docPr id="252" name="Picture 252" descr="Plots of the trend in scores through time, salient points are discussed in the main text.&#10;" title="Trends in index and metric scores within the region and at individual reef and depth combin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EXTERNAL PROJECTS\GBRMPA_RWQPP_Monitoring\Reports\Visit 13 2017\R\data\Output\Mackay_plots_noWQ.png"/>
                    <pic:cNvPicPr>
                      <a:picLocks noChangeAspect="1" noChangeArrowheads="1"/>
                    </pic:cNvPicPr>
                  </pic:nvPicPr>
                  <pic:blipFill>
                    <a:blip r:embed="rId56" cstate="print">
                      <a:extLst>
                        <a:ext uri="{28A0092B-C50C-407E-A947-70E740481C1C}">
                          <a14:useLocalDpi xmlns:a14="http://schemas.microsoft.com/office/drawing/2010/main" val="0"/>
                        </a:ext>
                      </a:extLst>
                    </a:blip>
                    <a:stretch>
                      <a:fillRect/>
                    </a:stretch>
                  </pic:blipFill>
                  <pic:spPr bwMode="auto">
                    <a:xfrm>
                      <a:off x="0" y="0"/>
                      <a:ext cx="6118860" cy="5351452"/>
                    </a:xfrm>
                    <a:prstGeom prst="rect">
                      <a:avLst/>
                    </a:prstGeom>
                    <a:noFill/>
                    <a:ln>
                      <a:noFill/>
                    </a:ln>
                  </pic:spPr>
                </pic:pic>
              </a:graphicData>
            </a:graphic>
          </wp:inline>
        </w:drawing>
      </w:r>
    </w:p>
    <w:p w14:paraId="2868A48A" w14:textId="77777777" w:rsidR="007A50AB" w:rsidRPr="00C10D02" w:rsidRDefault="007A50AB" w:rsidP="00606A50">
      <w:pPr>
        <w:pStyle w:val="Caption"/>
        <w:rPr>
          <w:rStyle w:val="IntenseReference"/>
          <w:rFonts w:eastAsia="SimSun"/>
          <w:color w:val="auto"/>
        </w:rPr>
      </w:pPr>
      <w:bookmarkStart w:id="238" w:name="_Ref491341033"/>
      <w:bookmarkStart w:id="239" w:name="_Toc392930507"/>
      <w:bookmarkStart w:id="240" w:name="_Toc514335666"/>
      <w:r w:rsidRPr="004252BF">
        <w:t xml:space="preserve">Figure </w:t>
      </w:r>
      <w:r w:rsidR="00FE19A9" w:rsidRPr="00857168">
        <w:fldChar w:fldCharType="begin"/>
      </w:r>
      <w:r w:rsidR="00FE19A9" w:rsidRPr="004252BF">
        <w:instrText xml:space="preserve"> SEQ Figure \* ARABIC </w:instrText>
      </w:r>
      <w:r w:rsidR="00FE19A9" w:rsidRPr="00857168">
        <w:fldChar w:fldCharType="separate"/>
      </w:r>
      <w:r w:rsidR="00A75175">
        <w:rPr>
          <w:noProof/>
        </w:rPr>
        <w:t>21</w:t>
      </w:r>
      <w:r w:rsidR="00FE19A9" w:rsidRPr="00857168">
        <w:fldChar w:fldCharType="end"/>
      </w:r>
      <w:bookmarkEnd w:id="238"/>
      <w:r w:rsidRPr="004252BF">
        <w:t xml:space="preserve"> </w:t>
      </w:r>
      <w:r w:rsidR="009D02B0" w:rsidRPr="004252BF">
        <w:t>Mackay Whitsunday R</w:t>
      </w:r>
      <w:r w:rsidRPr="004252BF">
        <w:t>egion</w:t>
      </w:r>
      <w:r w:rsidR="00A416E6" w:rsidRPr="004252BF">
        <w:t xml:space="preserve"> index and indicator trends</w:t>
      </w:r>
      <w:r w:rsidRPr="004252BF">
        <w:t>.</w:t>
      </w:r>
      <w:bookmarkEnd w:id="239"/>
      <w:r w:rsidRPr="00857168">
        <w:rPr>
          <w:rStyle w:val="IntenseReference"/>
          <w:rFonts w:eastAsia="SimSun"/>
        </w:rPr>
        <w:t xml:space="preserve"> </w:t>
      </w:r>
      <w:r w:rsidR="00FD06A7" w:rsidRPr="00626D6B">
        <w:rPr>
          <w:rStyle w:val="IntenseReference"/>
          <w:rFonts w:eastAsia="SimSun"/>
          <w:bCs w:val="0"/>
        </w:rPr>
        <w:t xml:space="preserve"> a</w:t>
      </w:r>
      <w:r w:rsidR="00FD06A7">
        <w:rPr>
          <w:rStyle w:val="IntenseReference"/>
          <w:rFonts w:eastAsia="SimSun"/>
        </w:rPr>
        <w:t xml:space="preserve">) </w:t>
      </w:r>
      <w:r w:rsidRPr="00626D6B">
        <w:rPr>
          <w:rStyle w:val="IntenseReference"/>
          <w:rFonts w:eastAsia="SimSun"/>
        </w:rPr>
        <w:t xml:space="preserve">Coral index, colour coding: dark green- ‘very good’; light green-‘good’; yellow – ‘moderate; orange – ‘poor’; red – ‘very poor’. b – f) trends in individual indicators, (blue lines) bound by 95% confidence intervals </w:t>
      </w:r>
      <w:r w:rsidRPr="009808B7">
        <w:rPr>
          <w:rStyle w:val="IntenseReference"/>
          <w:rFonts w:eastAsia="SimSun"/>
        </w:rPr>
        <w:t>of those trends (shading), grey lines represent observed profiles at 5 m (dashed) and 2 m (solid) depths for individual reefs</w:t>
      </w:r>
      <w:r w:rsidR="00CD0D47" w:rsidRPr="009808B7">
        <w:rPr>
          <w:rStyle w:val="IntenseReference"/>
          <w:rFonts w:eastAsia="SimSun"/>
        </w:rPr>
        <w:t>.</w:t>
      </w:r>
      <w:bookmarkEnd w:id="240"/>
      <w:r w:rsidR="00CD0D47" w:rsidRPr="009808B7">
        <w:rPr>
          <w:rStyle w:val="IntenseReference"/>
          <w:rFonts w:eastAsia="SimSun"/>
        </w:rPr>
        <w:t xml:space="preserve"> </w:t>
      </w:r>
      <w:r w:rsidRPr="00C10D02">
        <w:rPr>
          <w:rStyle w:val="IntenseReference"/>
          <w:rFonts w:eastAsia="SimSun"/>
          <w:color w:val="auto"/>
        </w:rPr>
        <w:t xml:space="preserve"> </w:t>
      </w:r>
    </w:p>
    <w:p w14:paraId="517D0A4A" w14:textId="77777777" w:rsidR="000C6FCB" w:rsidRPr="00F352E1" w:rsidRDefault="000C6FCB" w:rsidP="00606A50">
      <w:pPr>
        <w:pStyle w:val="Caption"/>
      </w:pPr>
      <w:r w:rsidRPr="00F352E1">
        <w:br w:type="page"/>
      </w:r>
    </w:p>
    <w:p w14:paraId="45008FA6" w14:textId="1E646EAD" w:rsidR="00315285" w:rsidRPr="00CD0D47" w:rsidRDefault="00F352CD" w:rsidP="00607BCA">
      <w:pPr>
        <w:pStyle w:val="Heading3"/>
      </w:pPr>
      <w:bookmarkStart w:id="241" w:name="_Toc437424411"/>
      <w:bookmarkStart w:id="242" w:name="_Toc437424535"/>
      <w:bookmarkStart w:id="243" w:name="_Toc437432466"/>
      <w:bookmarkStart w:id="244" w:name="_Toc437432539"/>
      <w:bookmarkStart w:id="245" w:name="_Toc514408416"/>
      <w:r w:rsidRPr="00CD0D47">
        <w:t>5</w:t>
      </w:r>
      <w:r w:rsidR="002A28EE" w:rsidRPr="00CD0D47">
        <w:t>.</w:t>
      </w:r>
      <w:r w:rsidR="00BD49B5" w:rsidRPr="00CD0D47">
        <w:t>2.6</w:t>
      </w:r>
      <w:r w:rsidR="00A803D4" w:rsidRPr="00CD0D47">
        <w:t xml:space="preserve"> </w:t>
      </w:r>
      <w:r w:rsidR="00DB0747" w:rsidRPr="00CD0D47">
        <w:t xml:space="preserve">Fitzroy </w:t>
      </w:r>
      <w:r w:rsidR="00DD6C5A">
        <w:t>r</w:t>
      </w:r>
      <w:r w:rsidR="00DB0747" w:rsidRPr="00CD0D47">
        <w:t>egion</w:t>
      </w:r>
      <w:bookmarkEnd w:id="241"/>
      <w:bookmarkEnd w:id="242"/>
      <w:bookmarkEnd w:id="243"/>
      <w:bookmarkEnd w:id="244"/>
      <w:bookmarkEnd w:id="245"/>
      <w:r w:rsidR="00DB0747" w:rsidRPr="00CD0D47">
        <w:t xml:space="preserve"> </w:t>
      </w:r>
    </w:p>
    <w:p w14:paraId="4193BA2E" w14:textId="143C9B02" w:rsidR="00437C5A" w:rsidRDefault="00437C5A" w:rsidP="00D93815">
      <w:pPr>
        <w:rPr>
          <w:rFonts w:cs="Arial"/>
        </w:rPr>
      </w:pPr>
      <w:r w:rsidRPr="00CD0D47">
        <w:rPr>
          <w:rFonts w:cs="Arial"/>
        </w:rPr>
        <w:t>In 201</w:t>
      </w:r>
      <w:r w:rsidR="006106DB">
        <w:rPr>
          <w:rFonts w:cs="Arial"/>
        </w:rPr>
        <w:t>7</w:t>
      </w:r>
      <w:r w:rsidRPr="00CD0D47">
        <w:rPr>
          <w:rFonts w:cs="Arial"/>
        </w:rPr>
        <w:t xml:space="preserve"> the coral index </w:t>
      </w:r>
      <w:r w:rsidR="005E3632" w:rsidRPr="00CD0D47">
        <w:rPr>
          <w:rFonts w:cs="Arial"/>
        </w:rPr>
        <w:t>remained</w:t>
      </w:r>
      <w:r w:rsidRPr="00CD0D47">
        <w:rPr>
          <w:rFonts w:cs="Arial"/>
        </w:rPr>
        <w:t xml:space="preserve"> ‘poor’ </w:t>
      </w:r>
      <w:r w:rsidR="00B149AD" w:rsidRPr="00CD0D47">
        <w:rPr>
          <w:rFonts w:cs="Arial"/>
        </w:rPr>
        <w:t xml:space="preserve">for the third consecutive year, </w:t>
      </w:r>
      <w:r w:rsidRPr="00CD0D47">
        <w:rPr>
          <w:rFonts w:cs="Arial"/>
        </w:rPr>
        <w:t>having improved from ‘very poor’</w:t>
      </w:r>
      <w:r w:rsidR="007C55EA" w:rsidRPr="00CD0D47">
        <w:rPr>
          <w:rFonts w:cs="Arial"/>
        </w:rPr>
        <w:t xml:space="preserve"> in 201</w:t>
      </w:r>
      <w:r w:rsidR="00423595" w:rsidRPr="00CD0D47">
        <w:rPr>
          <w:rFonts w:cs="Arial"/>
        </w:rPr>
        <w:t>4</w:t>
      </w:r>
      <w:r w:rsidR="005E3632" w:rsidRPr="00CD0D47">
        <w:rPr>
          <w:rFonts w:cs="Arial"/>
        </w:rPr>
        <w:t xml:space="preserve"> (</w:t>
      </w:r>
      <w:r w:rsidR="0024084A">
        <w:rPr>
          <w:rFonts w:cs="Arial"/>
        </w:rPr>
        <w:fldChar w:fldCharType="begin"/>
      </w:r>
      <w:r w:rsidR="0024084A">
        <w:rPr>
          <w:rFonts w:cs="Arial"/>
        </w:rPr>
        <w:instrText xml:space="preserve"> REF _Ref491345107 \h </w:instrText>
      </w:r>
      <w:r w:rsidR="0024084A">
        <w:rPr>
          <w:rFonts w:cs="Arial"/>
        </w:rPr>
      </w:r>
      <w:r w:rsidR="0024084A">
        <w:rPr>
          <w:rFonts w:cs="Arial"/>
        </w:rPr>
        <w:fldChar w:fldCharType="separate"/>
      </w:r>
      <w:r w:rsidR="00A75175" w:rsidRPr="00F352E1">
        <w:t xml:space="preserve">Table </w:t>
      </w:r>
      <w:r w:rsidR="00A75175">
        <w:rPr>
          <w:noProof/>
        </w:rPr>
        <w:t>15</w:t>
      </w:r>
      <w:r w:rsidR="0024084A">
        <w:rPr>
          <w:rFonts w:cs="Arial"/>
        </w:rPr>
        <w:fldChar w:fldCharType="end"/>
      </w:r>
      <w:r w:rsidR="00FC0E84" w:rsidRPr="00CD0D47">
        <w:rPr>
          <w:rFonts w:cs="Arial"/>
        </w:rPr>
        <w:t xml:space="preserve">, </w:t>
      </w:r>
      <w:r w:rsidR="00FC0E84" w:rsidRPr="00CD0D47">
        <w:rPr>
          <w:rFonts w:cs="Arial"/>
        </w:rPr>
        <w:fldChar w:fldCharType="begin"/>
      </w:r>
      <w:r w:rsidR="00FC0E84" w:rsidRPr="00CD0D47">
        <w:rPr>
          <w:rFonts w:cs="Arial"/>
        </w:rPr>
        <w:instrText xml:space="preserve"> REF _Ref491345128 \h </w:instrText>
      </w:r>
      <w:r w:rsidR="00FC0E84" w:rsidRPr="00CD0D47">
        <w:rPr>
          <w:rFonts w:cs="Arial"/>
        </w:rPr>
      </w:r>
      <w:r w:rsidR="00FC0E84" w:rsidRPr="00CD0D47">
        <w:rPr>
          <w:rFonts w:cs="Arial"/>
        </w:rPr>
        <w:fldChar w:fldCharType="separate"/>
      </w:r>
      <w:r w:rsidR="00A75175" w:rsidRPr="00F352E1">
        <w:t xml:space="preserve">Figure </w:t>
      </w:r>
      <w:r w:rsidR="00A75175">
        <w:rPr>
          <w:noProof/>
        </w:rPr>
        <w:t>23</w:t>
      </w:r>
      <w:r w:rsidR="00FC0E84" w:rsidRPr="00CD0D47">
        <w:rPr>
          <w:rFonts w:cs="Arial"/>
        </w:rPr>
        <w:fldChar w:fldCharType="end"/>
      </w:r>
      <w:r w:rsidR="00FC0E84" w:rsidRPr="00CD0D47">
        <w:rPr>
          <w:rFonts w:cs="Arial"/>
        </w:rPr>
        <w:t>a</w:t>
      </w:r>
      <w:r w:rsidR="005E3632" w:rsidRPr="00CD0D47">
        <w:rPr>
          <w:rFonts w:cs="Arial"/>
        </w:rPr>
        <w:t>)</w:t>
      </w:r>
      <w:r w:rsidR="00423595" w:rsidRPr="00CD0D47">
        <w:rPr>
          <w:rFonts w:cs="Arial"/>
        </w:rPr>
        <w:t xml:space="preserve">. </w:t>
      </w:r>
      <w:r w:rsidR="005E3632" w:rsidRPr="00CD0D47">
        <w:rPr>
          <w:rFonts w:cs="Arial"/>
        </w:rPr>
        <w:t xml:space="preserve">Improvement in the index score </w:t>
      </w:r>
      <w:r w:rsidR="00CD0DA9">
        <w:rPr>
          <w:rFonts w:cs="Arial"/>
        </w:rPr>
        <w:t>since 201</w:t>
      </w:r>
      <w:r w:rsidR="00AD2B12">
        <w:rPr>
          <w:rFonts w:cs="Arial"/>
        </w:rPr>
        <w:t>4</w:t>
      </w:r>
      <w:r w:rsidR="00CD0DA9">
        <w:rPr>
          <w:rFonts w:cs="Arial"/>
        </w:rPr>
        <w:t xml:space="preserve"> </w:t>
      </w:r>
      <w:r w:rsidR="005E3632" w:rsidRPr="00CD0D47">
        <w:rPr>
          <w:rFonts w:cs="Arial"/>
        </w:rPr>
        <w:t>was most evident at 2</w:t>
      </w:r>
      <w:r w:rsidR="00FC0E84" w:rsidRPr="00CD0D47">
        <w:rPr>
          <w:rFonts w:cs="Arial"/>
        </w:rPr>
        <w:t xml:space="preserve"> </w:t>
      </w:r>
      <w:r w:rsidR="005E3632" w:rsidRPr="00CD0D47">
        <w:rPr>
          <w:rFonts w:cs="Arial"/>
        </w:rPr>
        <w:t>m depth</w:t>
      </w:r>
      <w:r w:rsidR="001278DC">
        <w:rPr>
          <w:rFonts w:cs="Arial"/>
        </w:rPr>
        <w:t>,</w:t>
      </w:r>
      <w:r w:rsidR="004A2B88">
        <w:rPr>
          <w:rFonts w:cs="Arial"/>
        </w:rPr>
        <w:t xml:space="preserve"> </w:t>
      </w:r>
      <w:r w:rsidR="00CD0DA9">
        <w:rPr>
          <w:rFonts w:cs="Arial"/>
        </w:rPr>
        <w:t xml:space="preserve">where increases in the Juvenile and Coral Cover </w:t>
      </w:r>
      <w:r w:rsidR="00B149AD" w:rsidRPr="00CD0D47">
        <w:rPr>
          <w:rFonts w:cs="Arial"/>
        </w:rPr>
        <w:t>metric</w:t>
      </w:r>
      <w:r w:rsidR="00CD0DA9">
        <w:rPr>
          <w:rFonts w:cs="Arial"/>
        </w:rPr>
        <w:t xml:space="preserve">s were most consistent, </w:t>
      </w:r>
      <w:r w:rsidR="000543B8">
        <w:rPr>
          <w:rFonts w:cs="Arial"/>
        </w:rPr>
        <w:t>and</w:t>
      </w:r>
      <w:r w:rsidR="00CD0DA9">
        <w:rPr>
          <w:rFonts w:cs="Arial"/>
        </w:rPr>
        <w:t xml:space="preserve"> improvement in the Composition score at s</w:t>
      </w:r>
      <w:r w:rsidR="000543B8">
        <w:rPr>
          <w:rFonts w:cs="Arial"/>
        </w:rPr>
        <w:t>ome</w:t>
      </w:r>
      <w:r w:rsidR="00CD0DA9">
        <w:rPr>
          <w:rFonts w:cs="Arial"/>
        </w:rPr>
        <w:t xml:space="preserve"> reefs also contributed</w:t>
      </w:r>
      <w:r w:rsidR="00B149AD" w:rsidRPr="00CD0D47">
        <w:rPr>
          <w:rFonts w:cs="Arial"/>
        </w:rPr>
        <w:t xml:space="preserve"> </w:t>
      </w:r>
      <w:r w:rsidR="00821872">
        <w:rPr>
          <w:rFonts w:cs="Arial"/>
        </w:rPr>
        <w:t xml:space="preserve">to the increase </w:t>
      </w:r>
      <w:r w:rsidR="00B149AD" w:rsidRPr="00CD0D47">
        <w:rPr>
          <w:rFonts w:cs="Arial"/>
        </w:rPr>
        <w:t>(</w:t>
      </w:r>
      <w:r w:rsidR="0024084A">
        <w:rPr>
          <w:rFonts w:cs="Arial"/>
        </w:rPr>
        <w:fldChar w:fldCharType="begin"/>
      </w:r>
      <w:r w:rsidR="0024084A">
        <w:rPr>
          <w:rFonts w:cs="Arial"/>
        </w:rPr>
        <w:instrText xml:space="preserve"> REF _Ref491345107 \h </w:instrText>
      </w:r>
      <w:r w:rsidR="0024084A">
        <w:rPr>
          <w:rFonts w:cs="Arial"/>
        </w:rPr>
      </w:r>
      <w:r w:rsidR="0024084A">
        <w:rPr>
          <w:rFonts w:cs="Arial"/>
        </w:rPr>
        <w:fldChar w:fldCharType="separate"/>
      </w:r>
      <w:r w:rsidR="00A75175" w:rsidRPr="00F352E1">
        <w:t xml:space="preserve">Table </w:t>
      </w:r>
      <w:r w:rsidR="00A75175">
        <w:rPr>
          <w:noProof/>
        </w:rPr>
        <w:t>15</w:t>
      </w:r>
      <w:r w:rsidR="0024084A">
        <w:rPr>
          <w:rFonts w:cs="Arial"/>
        </w:rPr>
        <w:fldChar w:fldCharType="end"/>
      </w:r>
      <w:r w:rsidR="00B149AD" w:rsidRPr="00CD0D47">
        <w:rPr>
          <w:rFonts w:cs="Arial"/>
        </w:rPr>
        <w:t xml:space="preserve">). </w:t>
      </w:r>
      <w:r w:rsidR="00CD0DA9">
        <w:rPr>
          <w:rFonts w:cs="Arial"/>
        </w:rPr>
        <w:t>At 5 m depths Coral Cover and Juvenile metrics also increased</w:t>
      </w:r>
      <w:r w:rsidR="0086527A">
        <w:rPr>
          <w:rFonts w:cs="Arial"/>
        </w:rPr>
        <w:t xml:space="preserve"> </w:t>
      </w:r>
      <w:r w:rsidR="00CD0DA9">
        <w:rPr>
          <w:rFonts w:cs="Arial"/>
        </w:rPr>
        <w:t>and while Cov</w:t>
      </w:r>
      <w:r w:rsidR="0086527A">
        <w:rPr>
          <w:rFonts w:cs="Arial"/>
        </w:rPr>
        <w:t xml:space="preserve">er Change </w:t>
      </w:r>
      <w:r w:rsidR="00821872">
        <w:rPr>
          <w:rFonts w:cs="Arial"/>
        </w:rPr>
        <w:t xml:space="preserve">has </w:t>
      </w:r>
      <w:r w:rsidR="0086527A">
        <w:rPr>
          <w:rFonts w:cs="Arial"/>
        </w:rPr>
        <w:t>improved since 2014</w:t>
      </w:r>
      <w:r w:rsidR="00AD2B12">
        <w:rPr>
          <w:rFonts w:cs="Arial"/>
        </w:rPr>
        <w:t>,</w:t>
      </w:r>
      <w:r w:rsidR="0086527A">
        <w:rPr>
          <w:rFonts w:cs="Arial"/>
        </w:rPr>
        <w:t xml:space="preserve"> there was a downturn in the trend of this indicator in 2017</w:t>
      </w:r>
      <w:r w:rsidR="00101DEF">
        <w:rPr>
          <w:rFonts w:cs="Arial"/>
        </w:rPr>
        <w:t xml:space="preserve"> </w:t>
      </w:r>
      <w:r w:rsidR="00B149AD" w:rsidRPr="00CD0D47">
        <w:rPr>
          <w:rFonts w:cs="Arial"/>
        </w:rPr>
        <w:t>(</w:t>
      </w:r>
      <w:r w:rsidR="00101DEF" w:rsidRPr="00A53F80">
        <w:rPr>
          <w:rFonts w:cs="Arial"/>
        </w:rPr>
        <w:fldChar w:fldCharType="begin"/>
      </w:r>
      <w:r w:rsidR="00101DEF" w:rsidRPr="00A53F80">
        <w:rPr>
          <w:rFonts w:cs="Arial"/>
        </w:rPr>
        <w:instrText xml:space="preserve"> REF _Ref491345128 \h </w:instrText>
      </w:r>
      <w:r w:rsidR="00101DEF" w:rsidRPr="00A53F80">
        <w:rPr>
          <w:rFonts w:cs="Arial"/>
        </w:rPr>
      </w:r>
      <w:r w:rsidR="00101DEF" w:rsidRPr="00A53F80">
        <w:rPr>
          <w:rFonts w:cs="Arial"/>
        </w:rPr>
        <w:fldChar w:fldCharType="separate"/>
      </w:r>
      <w:r w:rsidR="00A75175" w:rsidRPr="00F352E1">
        <w:t xml:space="preserve">Figure </w:t>
      </w:r>
      <w:r w:rsidR="00A75175">
        <w:rPr>
          <w:noProof/>
        </w:rPr>
        <w:t>23</w:t>
      </w:r>
      <w:r w:rsidR="00101DEF" w:rsidRPr="00A53F80">
        <w:rPr>
          <w:rFonts w:cs="Arial"/>
        </w:rPr>
        <w:fldChar w:fldCharType="end"/>
      </w:r>
      <w:r w:rsidR="00101DEF">
        <w:rPr>
          <w:rFonts w:cs="Arial"/>
        </w:rPr>
        <w:t>e,</w:t>
      </w:r>
      <w:r w:rsidR="0024084A">
        <w:rPr>
          <w:rFonts w:cs="Arial"/>
        </w:rPr>
        <w:t xml:space="preserve"> </w:t>
      </w:r>
      <w:r w:rsidR="0024084A">
        <w:rPr>
          <w:rFonts w:cs="Arial"/>
        </w:rPr>
        <w:fldChar w:fldCharType="begin"/>
      </w:r>
      <w:r w:rsidR="0024084A">
        <w:rPr>
          <w:rFonts w:cs="Arial"/>
        </w:rPr>
        <w:instrText xml:space="preserve"> REF _Ref491345107 \h </w:instrText>
      </w:r>
      <w:r w:rsidR="0024084A">
        <w:rPr>
          <w:rFonts w:cs="Arial"/>
        </w:rPr>
      </w:r>
      <w:r w:rsidR="0024084A">
        <w:rPr>
          <w:rFonts w:cs="Arial"/>
        </w:rPr>
        <w:fldChar w:fldCharType="separate"/>
      </w:r>
      <w:r w:rsidR="00A75175" w:rsidRPr="00F352E1">
        <w:t xml:space="preserve">Table </w:t>
      </w:r>
      <w:r w:rsidR="00A75175">
        <w:rPr>
          <w:noProof/>
        </w:rPr>
        <w:t>15</w:t>
      </w:r>
      <w:r w:rsidR="0024084A">
        <w:rPr>
          <w:rFonts w:cs="Arial"/>
        </w:rPr>
        <w:fldChar w:fldCharType="end"/>
      </w:r>
      <w:r w:rsidR="00B149AD" w:rsidRPr="00CD0D47">
        <w:rPr>
          <w:rFonts w:cs="Arial"/>
        </w:rPr>
        <w:t>)</w:t>
      </w:r>
      <w:r w:rsidR="00377445" w:rsidRPr="00CD0D47">
        <w:rPr>
          <w:rFonts w:cs="Arial"/>
        </w:rPr>
        <w:t xml:space="preserve">. </w:t>
      </w:r>
      <w:r w:rsidR="000543B8">
        <w:rPr>
          <w:rFonts w:cs="Arial"/>
        </w:rPr>
        <w:t>T</w:t>
      </w:r>
      <w:r w:rsidR="00821872">
        <w:rPr>
          <w:rFonts w:cs="Arial"/>
        </w:rPr>
        <w:t xml:space="preserve">he slight </w:t>
      </w:r>
      <w:r w:rsidR="00377445" w:rsidRPr="00CD0D47">
        <w:rPr>
          <w:rFonts w:cs="Arial"/>
        </w:rPr>
        <w:t>improvement in the coral index</w:t>
      </w:r>
      <w:r w:rsidR="00613FCC" w:rsidRPr="00CD0D47">
        <w:rPr>
          <w:rFonts w:cs="Arial"/>
        </w:rPr>
        <w:t xml:space="preserve"> </w:t>
      </w:r>
      <w:r w:rsidR="00821872">
        <w:rPr>
          <w:rFonts w:cs="Arial"/>
        </w:rPr>
        <w:t xml:space="preserve">demonstrates reefs are </w:t>
      </w:r>
      <w:r w:rsidRPr="00CD0D47">
        <w:rPr>
          <w:rFonts w:cs="Arial"/>
        </w:rPr>
        <w:t>recover</w:t>
      </w:r>
      <w:r w:rsidR="00613FCC" w:rsidRPr="00CD0D47">
        <w:rPr>
          <w:rFonts w:cs="Arial"/>
        </w:rPr>
        <w:t xml:space="preserve">ing </w:t>
      </w:r>
      <w:r w:rsidRPr="00CD0D47">
        <w:rPr>
          <w:rFonts w:cs="Arial"/>
        </w:rPr>
        <w:t xml:space="preserve">following an extended period of </w:t>
      </w:r>
      <w:r w:rsidR="00FC0E84" w:rsidRPr="00CD0D47">
        <w:rPr>
          <w:rFonts w:cs="Arial"/>
        </w:rPr>
        <w:t xml:space="preserve">cumulative pressures associated with acute </w:t>
      </w:r>
      <w:r w:rsidRPr="00CD0D47">
        <w:rPr>
          <w:rFonts w:cs="Arial"/>
        </w:rPr>
        <w:t xml:space="preserve">disturbances and high discharge from the adjacent catchment </w:t>
      </w:r>
      <w:r w:rsidR="00FC0E84" w:rsidRPr="00CD0D47">
        <w:rPr>
          <w:rFonts w:cs="Arial"/>
        </w:rPr>
        <w:t>(</w:t>
      </w:r>
      <w:r w:rsidR="00FC0E84" w:rsidRPr="00CD0D47">
        <w:rPr>
          <w:rFonts w:cs="Arial"/>
        </w:rPr>
        <w:fldChar w:fldCharType="begin"/>
      </w:r>
      <w:r w:rsidR="00FC0E84" w:rsidRPr="00CD0D47">
        <w:rPr>
          <w:rFonts w:cs="Arial"/>
        </w:rPr>
        <w:instrText xml:space="preserve"> REF _Ref491345321 \h </w:instrText>
      </w:r>
      <w:r w:rsidR="00FC0E84" w:rsidRPr="00CD0D47">
        <w:rPr>
          <w:rFonts w:cs="Arial"/>
        </w:rPr>
      </w:r>
      <w:r w:rsidR="00FC0E84" w:rsidRPr="00CD0D47">
        <w:rPr>
          <w:rFonts w:cs="Arial"/>
        </w:rPr>
        <w:fldChar w:fldCharType="separate"/>
      </w:r>
      <w:r w:rsidR="00A75175" w:rsidRPr="00F352E1">
        <w:t xml:space="preserve">Figure </w:t>
      </w:r>
      <w:r w:rsidR="00A75175">
        <w:rPr>
          <w:noProof/>
        </w:rPr>
        <w:t>22</w:t>
      </w:r>
      <w:r w:rsidR="00FC0E84" w:rsidRPr="00CD0D47">
        <w:rPr>
          <w:rFonts w:cs="Arial"/>
        </w:rPr>
        <w:fldChar w:fldCharType="end"/>
      </w:r>
      <w:r w:rsidR="00FC0E84" w:rsidRPr="00CD0D47">
        <w:rPr>
          <w:rFonts w:cs="Arial"/>
        </w:rPr>
        <w:t>c-e</w:t>
      </w:r>
      <w:r w:rsidR="00821872">
        <w:rPr>
          <w:rFonts w:cs="Arial"/>
        </w:rPr>
        <w:t xml:space="preserve">, </w:t>
      </w:r>
      <w:r w:rsidR="00821872">
        <w:rPr>
          <w:rFonts w:cs="Arial"/>
        </w:rPr>
        <w:fldChar w:fldCharType="begin"/>
      </w:r>
      <w:r w:rsidR="00821872">
        <w:rPr>
          <w:rFonts w:cs="Arial"/>
        </w:rPr>
        <w:instrText xml:space="preserve"> REF _Ref491164700 \h </w:instrText>
      </w:r>
      <w:r w:rsidR="00821872">
        <w:rPr>
          <w:rFonts w:cs="Arial"/>
        </w:rPr>
      </w:r>
      <w:r w:rsidR="00821872">
        <w:rPr>
          <w:rFonts w:cs="Arial"/>
        </w:rPr>
        <w:fldChar w:fldCharType="separate"/>
      </w:r>
      <w:r w:rsidR="00A75175" w:rsidRPr="004252BF">
        <w:t xml:space="preserve">Figure </w:t>
      </w:r>
      <w:r w:rsidR="00A75175">
        <w:rPr>
          <w:noProof/>
        </w:rPr>
        <w:t>11</w:t>
      </w:r>
      <w:r w:rsidR="00821872">
        <w:rPr>
          <w:rFonts w:cs="Arial"/>
        </w:rPr>
        <w:fldChar w:fldCharType="end"/>
      </w:r>
      <w:r w:rsidRPr="00CD0D47">
        <w:rPr>
          <w:rFonts w:cs="Arial"/>
        </w:rPr>
        <w:t>)</w:t>
      </w:r>
      <w:r w:rsidR="000543B8">
        <w:rPr>
          <w:rFonts w:cs="Arial"/>
        </w:rPr>
        <w:t>. However</w:t>
      </w:r>
      <w:r w:rsidR="00AD2B12">
        <w:rPr>
          <w:rFonts w:cs="Arial"/>
        </w:rPr>
        <w:t>,</w:t>
      </w:r>
      <w:r w:rsidR="00821872">
        <w:rPr>
          <w:rFonts w:cs="Arial"/>
        </w:rPr>
        <w:t xml:space="preserve"> this recovery is slow as a result of ongoing pressures associated with high water te</w:t>
      </w:r>
      <w:r w:rsidR="00E47BB3">
        <w:rPr>
          <w:rFonts w:cs="Arial"/>
        </w:rPr>
        <w:t>mperatures in both 2016 and 2017</w:t>
      </w:r>
      <w:r w:rsidR="00821872">
        <w:rPr>
          <w:rFonts w:cs="Arial"/>
        </w:rPr>
        <w:t xml:space="preserve"> and a further flood of the Fitzroy </w:t>
      </w:r>
      <w:r w:rsidR="003C59BF">
        <w:rPr>
          <w:rFonts w:cs="Arial"/>
        </w:rPr>
        <w:t>R</w:t>
      </w:r>
      <w:r w:rsidR="00392304">
        <w:rPr>
          <w:rFonts w:cs="Arial"/>
        </w:rPr>
        <w:t>i</w:t>
      </w:r>
      <w:r w:rsidR="003C59BF">
        <w:rPr>
          <w:rFonts w:cs="Arial"/>
        </w:rPr>
        <w:t xml:space="preserve">ver </w:t>
      </w:r>
      <w:r w:rsidR="00821872">
        <w:rPr>
          <w:rFonts w:cs="Arial"/>
        </w:rPr>
        <w:t>also in 2017</w:t>
      </w:r>
      <w:r w:rsidR="00DA3A00">
        <w:rPr>
          <w:rFonts w:cs="Arial"/>
        </w:rPr>
        <w:t xml:space="preserve">. These ongoing pressures </w:t>
      </w:r>
      <w:r w:rsidR="0075701E">
        <w:rPr>
          <w:rFonts w:cs="Arial"/>
        </w:rPr>
        <w:t>are keeping the Cover Change metric at moderate levels and, along with impacts associated with Cyclone Marcia in 2015, limiting improvement in the Coral Cover metric</w:t>
      </w:r>
      <w:r w:rsidR="00613FCC" w:rsidRPr="00CD0D47">
        <w:rPr>
          <w:rFonts w:cs="Arial"/>
        </w:rPr>
        <w:t xml:space="preserve"> (</w:t>
      </w:r>
      <w:r w:rsidR="008E3627" w:rsidRPr="00CD0D47">
        <w:rPr>
          <w:rFonts w:cs="Arial"/>
        </w:rPr>
        <w:fldChar w:fldCharType="begin"/>
      </w:r>
      <w:r w:rsidR="008E3627" w:rsidRPr="00CD0D47">
        <w:rPr>
          <w:rFonts w:cs="Arial"/>
        </w:rPr>
        <w:instrText xml:space="preserve"> REF _Ref491345321 \h </w:instrText>
      </w:r>
      <w:r w:rsidR="008E3627" w:rsidRPr="00CD0D47">
        <w:rPr>
          <w:rFonts w:cs="Arial"/>
        </w:rPr>
      </w:r>
      <w:r w:rsidR="008E3627" w:rsidRPr="00CD0D47">
        <w:rPr>
          <w:rFonts w:cs="Arial"/>
        </w:rPr>
        <w:fldChar w:fldCharType="separate"/>
      </w:r>
      <w:r w:rsidR="00A75175" w:rsidRPr="00F352E1">
        <w:t xml:space="preserve">Figure </w:t>
      </w:r>
      <w:r w:rsidR="00A75175">
        <w:rPr>
          <w:noProof/>
        </w:rPr>
        <w:t>22</w:t>
      </w:r>
      <w:r w:rsidR="008E3627" w:rsidRPr="00CD0D47">
        <w:rPr>
          <w:rFonts w:cs="Arial"/>
        </w:rPr>
        <w:fldChar w:fldCharType="end"/>
      </w:r>
      <w:r w:rsidR="004A0FD4" w:rsidRPr="00CD0D47">
        <w:rPr>
          <w:rFonts w:cs="Arial"/>
        </w:rPr>
        <w:t xml:space="preserve">e, </w:t>
      </w:r>
      <w:r w:rsidR="008E3627" w:rsidRPr="00CD0D47">
        <w:rPr>
          <w:rFonts w:cs="Arial"/>
        </w:rPr>
        <w:fldChar w:fldCharType="begin"/>
      </w:r>
      <w:r w:rsidR="008E3627" w:rsidRPr="00CD0D47">
        <w:rPr>
          <w:rFonts w:cs="Arial"/>
        </w:rPr>
        <w:instrText xml:space="preserve"> REF _Ref491345128 \h </w:instrText>
      </w:r>
      <w:r w:rsidR="008E3627" w:rsidRPr="00CD0D47">
        <w:rPr>
          <w:rFonts w:cs="Arial"/>
        </w:rPr>
      </w:r>
      <w:r w:rsidR="008E3627" w:rsidRPr="00CD0D47">
        <w:rPr>
          <w:rFonts w:cs="Arial"/>
        </w:rPr>
        <w:fldChar w:fldCharType="separate"/>
      </w:r>
      <w:r w:rsidR="00A75175" w:rsidRPr="00F352E1">
        <w:t xml:space="preserve">Figure </w:t>
      </w:r>
      <w:r w:rsidR="00A75175">
        <w:rPr>
          <w:noProof/>
        </w:rPr>
        <w:t>23</w:t>
      </w:r>
      <w:r w:rsidR="008E3627" w:rsidRPr="00CD0D47">
        <w:rPr>
          <w:rFonts w:cs="Arial"/>
        </w:rPr>
        <w:fldChar w:fldCharType="end"/>
      </w:r>
      <w:r w:rsidR="004A0FD4" w:rsidRPr="00CD0D47">
        <w:rPr>
          <w:rFonts w:cs="Arial"/>
        </w:rPr>
        <w:t>b</w:t>
      </w:r>
      <w:r w:rsidR="0075701E">
        <w:rPr>
          <w:rFonts w:cs="Arial"/>
        </w:rPr>
        <w:t>, e</w:t>
      </w:r>
      <w:r w:rsidR="004A0FD4" w:rsidRPr="00CD0D47">
        <w:rPr>
          <w:rFonts w:cs="Arial"/>
        </w:rPr>
        <w:t>)</w:t>
      </w:r>
      <w:r w:rsidR="00457F7A" w:rsidRPr="00CD0D47">
        <w:rPr>
          <w:rFonts w:cs="Arial"/>
        </w:rPr>
        <w:t xml:space="preserve">. </w:t>
      </w:r>
      <w:r w:rsidR="00571A81" w:rsidRPr="00CD0D47">
        <w:rPr>
          <w:rFonts w:cs="Arial"/>
        </w:rPr>
        <w:t xml:space="preserve">A </w:t>
      </w:r>
      <w:r w:rsidR="00A72BA9">
        <w:rPr>
          <w:rFonts w:cs="Arial"/>
        </w:rPr>
        <w:t xml:space="preserve">persistent </w:t>
      </w:r>
      <w:r w:rsidR="00571A81" w:rsidRPr="00CD0D47">
        <w:rPr>
          <w:rFonts w:cs="Arial"/>
        </w:rPr>
        <w:t xml:space="preserve">high proportion </w:t>
      </w:r>
      <w:r w:rsidR="008E3627" w:rsidRPr="00CD0D47">
        <w:rPr>
          <w:rFonts w:cs="Arial"/>
        </w:rPr>
        <w:t>o</w:t>
      </w:r>
      <w:r w:rsidR="00571A81" w:rsidRPr="00CD0D47">
        <w:rPr>
          <w:rFonts w:cs="Arial"/>
        </w:rPr>
        <w:t xml:space="preserve">f macroalgae amongst </w:t>
      </w:r>
      <w:r w:rsidR="008E3627" w:rsidRPr="00CD0D47">
        <w:rPr>
          <w:rFonts w:cs="Arial"/>
        </w:rPr>
        <w:t>t</w:t>
      </w:r>
      <w:r w:rsidR="00571A81" w:rsidRPr="00CD0D47">
        <w:rPr>
          <w:rFonts w:cs="Arial"/>
        </w:rPr>
        <w:t xml:space="preserve">he algal community </w:t>
      </w:r>
      <w:r w:rsidR="0075701E">
        <w:rPr>
          <w:rFonts w:cs="Arial"/>
        </w:rPr>
        <w:t>(</w:t>
      </w:r>
      <w:r w:rsidR="0075701E">
        <w:rPr>
          <w:rFonts w:cs="Arial"/>
        </w:rPr>
        <w:fldChar w:fldCharType="begin"/>
      </w:r>
      <w:r w:rsidR="0075701E">
        <w:rPr>
          <w:rFonts w:cs="Arial"/>
        </w:rPr>
        <w:instrText xml:space="preserve"> REF _Ref491345128 \h </w:instrText>
      </w:r>
      <w:r w:rsidR="0075701E">
        <w:rPr>
          <w:rFonts w:cs="Arial"/>
        </w:rPr>
      </w:r>
      <w:r w:rsidR="0075701E">
        <w:rPr>
          <w:rFonts w:cs="Arial"/>
        </w:rPr>
        <w:fldChar w:fldCharType="separate"/>
      </w:r>
      <w:r w:rsidR="00A75175" w:rsidRPr="00F352E1">
        <w:t xml:space="preserve">Figure </w:t>
      </w:r>
      <w:r w:rsidR="00A75175">
        <w:rPr>
          <w:noProof/>
        </w:rPr>
        <w:t>23</w:t>
      </w:r>
      <w:r w:rsidR="0075701E">
        <w:rPr>
          <w:rFonts w:cs="Arial"/>
        </w:rPr>
        <w:fldChar w:fldCharType="end"/>
      </w:r>
      <w:r w:rsidR="0075701E">
        <w:rPr>
          <w:rFonts w:cs="Arial"/>
        </w:rPr>
        <w:t xml:space="preserve">c) also limits improvement in the </w:t>
      </w:r>
      <w:r w:rsidR="00571A81" w:rsidRPr="00CD0D47">
        <w:rPr>
          <w:rFonts w:cs="Arial"/>
        </w:rPr>
        <w:t>coral index</w:t>
      </w:r>
      <w:r w:rsidR="008E3627" w:rsidRPr="00CD0D47">
        <w:rPr>
          <w:rFonts w:cs="Arial"/>
        </w:rPr>
        <w:t>. With the exception of Barren 2 m,</w:t>
      </w:r>
      <w:r w:rsidR="00571A81" w:rsidRPr="00CD0D47">
        <w:rPr>
          <w:rFonts w:cs="Arial"/>
        </w:rPr>
        <w:t xml:space="preserve"> all reef and depth combinations </w:t>
      </w:r>
      <w:r w:rsidR="008E3627" w:rsidRPr="00CD0D47">
        <w:rPr>
          <w:rFonts w:cs="Arial"/>
        </w:rPr>
        <w:t xml:space="preserve">returned Macroalgae metric scores of zero </w:t>
      </w:r>
      <w:r w:rsidR="00571A81" w:rsidRPr="00CD0D47">
        <w:rPr>
          <w:rFonts w:cs="Arial"/>
        </w:rPr>
        <w:t>in 201</w:t>
      </w:r>
      <w:r w:rsidR="00B149AD" w:rsidRPr="00CD0D47">
        <w:rPr>
          <w:rFonts w:cs="Arial"/>
        </w:rPr>
        <w:t>7</w:t>
      </w:r>
      <w:r w:rsidR="00571A81" w:rsidRPr="00CD0D47">
        <w:rPr>
          <w:rFonts w:cs="Arial"/>
        </w:rPr>
        <w:t xml:space="preserve"> (</w:t>
      </w:r>
      <w:r w:rsidR="0086527A">
        <w:rPr>
          <w:rFonts w:cs="Arial"/>
        </w:rPr>
        <w:fldChar w:fldCharType="begin"/>
      </w:r>
      <w:r w:rsidR="0086527A">
        <w:rPr>
          <w:rFonts w:cs="Arial"/>
        </w:rPr>
        <w:instrText xml:space="preserve"> REF _Ref501105016 \h </w:instrText>
      </w:r>
      <w:r w:rsidR="0086527A">
        <w:rPr>
          <w:rFonts w:cs="Arial"/>
        </w:rPr>
      </w:r>
      <w:r w:rsidR="0086527A">
        <w:rPr>
          <w:rFonts w:cs="Arial"/>
        </w:rPr>
        <w:fldChar w:fldCharType="separate"/>
      </w:r>
      <w:r w:rsidR="00A75175">
        <w:t xml:space="preserve">Table A1. </w:t>
      </w:r>
      <w:r w:rsidR="00A75175">
        <w:rPr>
          <w:noProof/>
        </w:rPr>
        <w:t>5</w:t>
      </w:r>
      <w:r w:rsidR="0086527A">
        <w:rPr>
          <w:rFonts w:cs="Arial"/>
        </w:rPr>
        <w:fldChar w:fldCharType="end"/>
      </w:r>
      <w:r w:rsidR="00571A81" w:rsidRPr="00CD0D47">
        <w:rPr>
          <w:rFonts w:cs="Arial"/>
        </w:rPr>
        <w:t>)</w:t>
      </w:r>
      <w:r w:rsidR="007C4F3B">
        <w:rPr>
          <w:rFonts w:cs="Arial"/>
        </w:rPr>
        <w:t>.</w:t>
      </w:r>
    </w:p>
    <w:p w14:paraId="5B5A5F9C" w14:textId="77777777" w:rsidR="007C4F3B" w:rsidRPr="00EE772D" w:rsidRDefault="00101DEF" w:rsidP="00D93815">
      <w:pPr>
        <w:rPr>
          <w:rFonts w:cs="Arial"/>
        </w:rPr>
      </w:pPr>
      <w:r w:rsidRPr="00EE772D">
        <w:rPr>
          <w:rFonts w:cs="Arial"/>
        </w:rPr>
        <w:t>T</w:t>
      </w:r>
      <w:r w:rsidR="007C4F3B" w:rsidRPr="00EE772D">
        <w:rPr>
          <w:rFonts w:cs="Arial"/>
        </w:rPr>
        <w:t>emperature anomalies ov</w:t>
      </w:r>
      <w:r w:rsidRPr="00EE772D">
        <w:rPr>
          <w:rFonts w:cs="Arial"/>
        </w:rPr>
        <w:t>er the 2016/17 summer indicated</w:t>
      </w:r>
      <w:r w:rsidR="007C4F3B" w:rsidRPr="00EE772D">
        <w:rPr>
          <w:rFonts w:cs="Arial"/>
        </w:rPr>
        <w:t xml:space="preserve"> the potential for coral bleaching to impact reefs in this region</w:t>
      </w:r>
      <w:r w:rsidR="00CC1826" w:rsidRPr="00EE772D">
        <w:rPr>
          <w:rFonts w:cs="Arial"/>
        </w:rPr>
        <w:t xml:space="preserve"> (</w:t>
      </w:r>
      <w:r w:rsidR="00CC1826" w:rsidRPr="00EE772D">
        <w:rPr>
          <w:rFonts w:cs="Arial"/>
        </w:rPr>
        <w:fldChar w:fldCharType="begin"/>
      </w:r>
      <w:r w:rsidR="00CC1826" w:rsidRPr="00EE772D">
        <w:rPr>
          <w:rFonts w:cs="Arial"/>
        </w:rPr>
        <w:instrText xml:space="preserve"> REF _Ref491345321 \h </w:instrText>
      </w:r>
      <w:r w:rsidR="00CC1826" w:rsidRPr="00EE772D">
        <w:rPr>
          <w:rFonts w:cs="Arial"/>
        </w:rPr>
      </w:r>
      <w:r w:rsidR="00CC1826" w:rsidRPr="00EE772D">
        <w:rPr>
          <w:rFonts w:cs="Arial"/>
        </w:rPr>
        <w:fldChar w:fldCharType="separate"/>
      </w:r>
      <w:r w:rsidR="00A75175" w:rsidRPr="00F352E1">
        <w:t xml:space="preserve">Figure </w:t>
      </w:r>
      <w:r w:rsidR="00A75175">
        <w:rPr>
          <w:noProof/>
        </w:rPr>
        <w:t>22</w:t>
      </w:r>
      <w:r w:rsidR="00CC1826" w:rsidRPr="00EE772D">
        <w:rPr>
          <w:rFonts w:cs="Arial"/>
        </w:rPr>
        <w:fldChar w:fldCharType="end"/>
      </w:r>
      <w:r w:rsidR="00CC1826" w:rsidRPr="00EE772D">
        <w:rPr>
          <w:rFonts w:cs="Arial"/>
        </w:rPr>
        <w:t>c)</w:t>
      </w:r>
      <w:r w:rsidR="0081440D" w:rsidRPr="00EE772D">
        <w:rPr>
          <w:rFonts w:cs="Arial"/>
        </w:rPr>
        <w:t>.</w:t>
      </w:r>
      <w:r w:rsidR="00CC1826" w:rsidRPr="00EE772D">
        <w:rPr>
          <w:rFonts w:eastAsiaTheme="minorHAnsi" w:cs="Arial"/>
          <w:szCs w:val="22"/>
          <w:lang w:val="en-AU"/>
        </w:rPr>
        <w:t xml:space="preserve"> </w:t>
      </w:r>
      <w:r w:rsidR="0081440D" w:rsidRPr="00EE772D">
        <w:rPr>
          <w:rFonts w:eastAsiaTheme="minorHAnsi" w:cs="Arial"/>
          <w:szCs w:val="22"/>
          <w:lang w:val="en-AU"/>
        </w:rPr>
        <w:t>O</w:t>
      </w:r>
      <w:r w:rsidRPr="00EE772D">
        <w:rPr>
          <w:rFonts w:eastAsiaTheme="minorHAnsi" w:cs="Arial"/>
          <w:szCs w:val="22"/>
          <w:lang w:val="en-AU"/>
        </w:rPr>
        <w:t xml:space="preserve">bserved </w:t>
      </w:r>
      <w:r w:rsidR="00CC1826" w:rsidRPr="00EE772D">
        <w:rPr>
          <w:rFonts w:eastAsiaTheme="minorHAnsi" w:cs="Arial"/>
          <w:szCs w:val="22"/>
          <w:lang w:val="en-AU"/>
        </w:rPr>
        <w:t xml:space="preserve">bleaching </w:t>
      </w:r>
      <w:r w:rsidRPr="00EE772D">
        <w:rPr>
          <w:rFonts w:eastAsiaTheme="minorHAnsi" w:cs="Arial"/>
          <w:szCs w:val="22"/>
          <w:lang w:val="en-AU"/>
        </w:rPr>
        <w:t xml:space="preserve">however </w:t>
      </w:r>
      <w:r w:rsidR="00CC1826" w:rsidRPr="00EE772D">
        <w:rPr>
          <w:rFonts w:eastAsiaTheme="minorHAnsi" w:cs="Arial"/>
          <w:szCs w:val="22"/>
          <w:lang w:val="en-AU"/>
        </w:rPr>
        <w:t>was minor</w:t>
      </w:r>
      <w:r w:rsidR="00A72BA9">
        <w:rPr>
          <w:rFonts w:eastAsiaTheme="minorHAnsi" w:cs="Arial"/>
          <w:szCs w:val="22"/>
          <w:lang w:val="en-AU"/>
        </w:rPr>
        <w:t>,</w:t>
      </w:r>
      <w:r w:rsidR="00CC1826" w:rsidRPr="00EE772D">
        <w:rPr>
          <w:rFonts w:eastAsiaTheme="minorHAnsi" w:cs="Arial"/>
          <w:szCs w:val="22"/>
          <w:lang w:val="en-AU"/>
        </w:rPr>
        <w:t xml:space="preserve"> affecting individual colonies</w:t>
      </w:r>
      <w:r w:rsidR="00A72BA9">
        <w:rPr>
          <w:rFonts w:eastAsiaTheme="minorHAnsi" w:cs="Arial"/>
          <w:szCs w:val="22"/>
          <w:lang w:val="en-AU"/>
        </w:rPr>
        <w:t xml:space="preserve"> at the time of survey in May 2017</w:t>
      </w:r>
      <w:r w:rsidR="00CC1826" w:rsidRPr="00EE772D">
        <w:rPr>
          <w:rFonts w:eastAsiaTheme="minorHAnsi" w:cs="Arial"/>
          <w:szCs w:val="22"/>
          <w:lang w:val="en-AU"/>
        </w:rPr>
        <w:t xml:space="preserve">. </w:t>
      </w:r>
      <w:r w:rsidR="00CC1826" w:rsidRPr="00EE772D">
        <w:t>Similarly, discharge from the adjacent catchment was above median levels for the 2016/17 water year, however no direct impacts associated with flooding were observed.</w:t>
      </w:r>
      <w:r w:rsidR="00EE772D" w:rsidRPr="00EE772D">
        <w:t xml:space="preserve"> Whilst no direct impacts were observed during surveys</w:t>
      </w:r>
      <w:r w:rsidR="00A72BA9">
        <w:t>,</w:t>
      </w:r>
      <w:r w:rsidR="00EE772D" w:rsidRPr="00EE772D">
        <w:t xml:space="preserve"> it is reasonable to assume that both high water temperatures and discharge from the Fitzroy </w:t>
      </w:r>
      <w:r w:rsidR="00DA3A00">
        <w:t>R</w:t>
      </w:r>
      <w:r w:rsidR="00EE772D" w:rsidRPr="00EE772D">
        <w:t xml:space="preserve">iver will </w:t>
      </w:r>
      <w:r w:rsidR="00AD2B12">
        <w:t>impede recovery</w:t>
      </w:r>
      <w:r w:rsidR="00EE772D" w:rsidRPr="00EE772D">
        <w:t>.</w:t>
      </w:r>
    </w:p>
    <w:p w14:paraId="3512C8E7" w14:textId="77777777" w:rsidR="0000691A" w:rsidRPr="00F352E1" w:rsidRDefault="007A50AB" w:rsidP="00606A50">
      <w:pPr>
        <w:pStyle w:val="Caption"/>
      </w:pPr>
      <w:bookmarkStart w:id="246" w:name="_Ref491345107"/>
      <w:bookmarkStart w:id="247" w:name="_Toc514407863"/>
      <w:r w:rsidRPr="00F352E1">
        <w:t xml:space="preserve">Table </w:t>
      </w:r>
      <w:r w:rsidR="00626D6B">
        <w:fldChar w:fldCharType="begin"/>
      </w:r>
      <w:r w:rsidR="00626D6B">
        <w:instrText xml:space="preserve"> SEQ Table \* ARABIC </w:instrText>
      </w:r>
      <w:r w:rsidR="00626D6B">
        <w:fldChar w:fldCharType="separate"/>
      </w:r>
      <w:r w:rsidR="00A75175">
        <w:rPr>
          <w:noProof/>
        </w:rPr>
        <w:t>15</w:t>
      </w:r>
      <w:r w:rsidR="00626D6B">
        <w:rPr>
          <w:noProof/>
        </w:rPr>
        <w:fldChar w:fldCharType="end"/>
      </w:r>
      <w:bookmarkEnd w:id="246"/>
      <w:r w:rsidRPr="00F352E1">
        <w:t xml:space="preserve"> </w:t>
      </w:r>
      <w:r w:rsidR="00BB098E">
        <w:t>I</w:t>
      </w:r>
      <w:r w:rsidR="00BB098E" w:rsidRPr="00F352E1">
        <w:t>ndex and metric score</w:t>
      </w:r>
      <w:r w:rsidR="00BB098E">
        <w:t xml:space="preserve"> comparisons</w:t>
      </w:r>
      <w:r w:rsidR="00BB098E" w:rsidRPr="00F352E1">
        <w:t xml:space="preserve"> in the</w:t>
      </w:r>
      <w:r w:rsidRPr="00F352E1">
        <w:t xml:space="preserve"> Fitzroy Region.</w:t>
      </w:r>
      <w:r w:rsidR="0000691A" w:rsidRPr="00F352E1">
        <w:t xml:space="preserve"> Data compare the changes in scores between local maxima and minima in the index time-series. For the index, and each metric,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247"/>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atistical comparison between index and metric scores between local maxima and minima in the time-series of scores in the region"/>
        <w:tblDescription w:val="A table listing the maxima in minima index scores and significance of changes in the index and each metric. The salient results are discussed in the main text. &#10;"/>
      </w:tblPr>
      <w:tblGrid>
        <w:gridCol w:w="1074"/>
        <w:gridCol w:w="350"/>
        <w:gridCol w:w="625"/>
        <w:gridCol w:w="625"/>
        <w:gridCol w:w="625"/>
        <w:gridCol w:w="625"/>
        <w:gridCol w:w="625"/>
        <w:gridCol w:w="626"/>
        <w:gridCol w:w="625"/>
        <w:gridCol w:w="625"/>
        <w:gridCol w:w="625"/>
        <w:gridCol w:w="625"/>
        <w:gridCol w:w="625"/>
        <w:gridCol w:w="626"/>
      </w:tblGrid>
      <w:tr w:rsidR="000F777A" w:rsidRPr="00852372" w14:paraId="752D24E7" w14:textId="77777777" w:rsidTr="00112B73">
        <w:trPr>
          <w:trHeight w:val="300"/>
        </w:trPr>
        <w:tc>
          <w:tcPr>
            <w:tcW w:w="1074" w:type="dxa"/>
            <w:vMerge w:val="restart"/>
            <w:shd w:val="clear" w:color="auto" w:fill="auto"/>
            <w:noWrap/>
            <w:tcMar>
              <w:left w:w="57" w:type="dxa"/>
              <w:right w:w="57" w:type="dxa"/>
            </w:tcMar>
            <w:vAlign w:val="bottom"/>
          </w:tcPr>
          <w:p w14:paraId="2CB2089B" w14:textId="77777777" w:rsidR="000F777A" w:rsidRPr="00852372" w:rsidRDefault="000F777A" w:rsidP="00112B73">
            <w:pPr>
              <w:spacing w:after="0"/>
              <w:rPr>
                <w:rFonts w:ascii="Arial Narrow" w:hAnsi="Arial Narrow"/>
                <w:sz w:val="20"/>
                <w:lang w:eastAsia="en-AU"/>
              </w:rPr>
            </w:pPr>
            <w:r w:rsidRPr="00852372">
              <w:rPr>
                <w:rFonts w:ascii="Arial Narrow" w:hAnsi="Arial Narrow"/>
                <w:color w:val="000000"/>
                <w:sz w:val="20"/>
                <w:lang w:eastAsia="en-AU"/>
              </w:rPr>
              <w:t>Period</w:t>
            </w:r>
          </w:p>
        </w:tc>
        <w:tc>
          <w:tcPr>
            <w:tcW w:w="350" w:type="dxa"/>
            <w:vMerge w:val="restart"/>
            <w:shd w:val="clear" w:color="auto" w:fill="auto"/>
            <w:noWrap/>
            <w:tcMar>
              <w:left w:w="57" w:type="dxa"/>
              <w:right w:w="57" w:type="dxa"/>
            </w:tcMar>
            <w:textDirection w:val="btLr"/>
            <w:vAlign w:val="bottom"/>
          </w:tcPr>
          <w:p w14:paraId="4500EF1C" w14:textId="77777777" w:rsidR="000F777A" w:rsidRPr="00852372" w:rsidRDefault="000F777A" w:rsidP="00112B73">
            <w:pPr>
              <w:spacing w:after="0"/>
              <w:ind w:left="113" w:right="113"/>
              <w:jc w:val="center"/>
              <w:rPr>
                <w:rFonts w:ascii="Arial Narrow" w:hAnsi="Arial Narrow"/>
                <w:sz w:val="20"/>
                <w:lang w:eastAsia="en-AU"/>
              </w:rPr>
            </w:pPr>
            <w:r w:rsidRPr="00852372">
              <w:rPr>
                <w:rFonts w:ascii="Arial Narrow" w:hAnsi="Arial Narrow"/>
                <w:color w:val="000000"/>
                <w:sz w:val="20"/>
                <w:lang w:eastAsia="en-AU"/>
              </w:rPr>
              <w:t>Depth</w:t>
            </w:r>
          </w:p>
        </w:tc>
        <w:tc>
          <w:tcPr>
            <w:tcW w:w="1250" w:type="dxa"/>
            <w:gridSpan w:val="2"/>
            <w:shd w:val="clear" w:color="auto" w:fill="auto"/>
            <w:noWrap/>
            <w:tcMar>
              <w:left w:w="57" w:type="dxa"/>
              <w:right w:w="57" w:type="dxa"/>
            </w:tcMar>
            <w:vAlign w:val="bottom"/>
          </w:tcPr>
          <w:p w14:paraId="4FE1E5FB" w14:textId="77777777" w:rsidR="000F777A" w:rsidRPr="00852372" w:rsidRDefault="000F777A"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Index</w:t>
            </w:r>
          </w:p>
        </w:tc>
        <w:tc>
          <w:tcPr>
            <w:tcW w:w="1250" w:type="dxa"/>
            <w:gridSpan w:val="2"/>
            <w:shd w:val="clear" w:color="auto" w:fill="auto"/>
            <w:noWrap/>
            <w:tcMar>
              <w:left w:w="57" w:type="dxa"/>
              <w:right w:w="57" w:type="dxa"/>
            </w:tcMar>
            <w:vAlign w:val="bottom"/>
          </w:tcPr>
          <w:p w14:paraId="28409BBC" w14:textId="77777777" w:rsidR="000F777A" w:rsidRPr="00852372" w:rsidRDefault="000F777A"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Coral Cover</w:t>
            </w:r>
          </w:p>
        </w:tc>
        <w:tc>
          <w:tcPr>
            <w:tcW w:w="1251" w:type="dxa"/>
            <w:gridSpan w:val="2"/>
            <w:shd w:val="clear" w:color="auto" w:fill="auto"/>
            <w:noWrap/>
            <w:tcMar>
              <w:left w:w="57" w:type="dxa"/>
              <w:right w:w="57" w:type="dxa"/>
            </w:tcMar>
            <w:vAlign w:val="bottom"/>
          </w:tcPr>
          <w:p w14:paraId="51A3550F" w14:textId="77777777" w:rsidR="000F777A" w:rsidRPr="00852372" w:rsidRDefault="000F777A"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Macroalgae</w:t>
            </w:r>
          </w:p>
        </w:tc>
        <w:tc>
          <w:tcPr>
            <w:tcW w:w="1250" w:type="dxa"/>
            <w:gridSpan w:val="2"/>
            <w:shd w:val="clear" w:color="auto" w:fill="auto"/>
            <w:noWrap/>
            <w:tcMar>
              <w:left w:w="57" w:type="dxa"/>
              <w:right w:w="57" w:type="dxa"/>
            </w:tcMar>
            <w:vAlign w:val="bottom"/>
          </w:tcPr>
          <w:p w14:paraId="02031185" w14:textId="77777777" w:rsidR="000F777A" w:rsidRPr="00852372" w:rsidRDefault="000F777A"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Juvenile</w:t>
            </w:r>
          </w:p>
        </w:tc>
        <w:tc>
          <w:tcPr>
            <w:tcW w:w="1250" w:type="dxa"/>
            <w:gridSpan w:val="2"/>
            <w:shd w:val="clear" w:color="auto" w:fill="auto"/>
            <w:noWrap/>
            <w:tcMar>
              <w:left w:w="57" w:type="dxa"/>
              <w:right w:w="57" w:type="dxa"/>
            </w:tcMar>
            <w:vAlign w:val="bottom"/>
          </w:tcPr>
          <w:p w14:paraId="4AC3D277" w14:textId="77777777" w:rsidR="000F777A" w:rsidRPr="00852372" w:rsidRDefault="000F777A"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Cover Change</w:t>
            </w:r>
          </w:p>
        </w:tc>
        <w:tc>
          <w:tcPr>
            <w:tcW w:w="1251" w:type="dxa"/>
            <w:gridSpan w:val="2"/>
            <w:shd w:val="clear" w:color="auto" w:fill="auto"/>
            <w:noWrap/>
            <w:tcMar>
              <w:left w:w="57" w:type="dxa"/>
              <w:right w:w="57" w:type="dxa"/>
            </w:tcMar>
            <w:vAlign w:val="bottom"/>
          </w:tcPr>
          <w:p w14:paraId="556DED15" w14:textId="77777777" w:rsidR="000F777A" w:rsidRPr="00852372" w:rsidRDefault="000F777A" w:rsidP="00112B73">
            <w:pPr>
              <w:spacing w:after="0"/>
              <w:jc w:val="center"/>
              <w:rPr>
                <w:rFonts w:ascii="Arial Narrow" w:hAnsi="Arial Narrow"/>
                <w:color w:val="000000"/>
                <w:sz w:val="20"/>
                <w:lang w:eastAsia="en-AU"/>
              </w:rPr>
            </w:pPr>
            <w:r w:rsidRPr="00852372">
              <w:rPr>
                <w:rFonts w:ascii="Arial Narrow" w:hAnsi="Arial Narrow"/>
                <w:color w:val="000000"/>
                <w:sz w:val="20"/>
                <w:lang w:eastAsia="en-AU"/>
              </w:rPr>
              <w:t>Composition</w:t>
            </w:r>
          </w:p>
        </w:tc>
      </w:tr>
      <w:tr w:rsidR="000F777A" w:rsidRPr="00852372" w14:paraId="5BC39393" w14:textId="77777777" w:rsidTr="00112B73">
        <w:trPr>
          <w:trHeight w:val="520"/>
        </w:trPr>
        <w:tc>
          <w:tcPr>
            <w:tcW w:w="1074" w:type="dxa"/>
            <w:vMerge/>
            <w:shd w:val="clear" w:color="auto" w:fill="auto"/>
            <w:noWrap/>
            <w:tcMar>
              <w:left w:w="57" w:type="dxa"/>
              <w:right w:w="57" w:type="dxa"/>
            </w:tcMar>
            <w:vAlign w:val="bottom"/>
          </w:tcPr>
          <w:p w14:paraId="5FEDAFCC" w14:textId="77777777" w:rsidR="000F777A" w:rsidRPr="00852372" w:rsidRDefault="000F777A" w:rsidP="00112B73">
            <w:pPr>
              <w:spacing w:after="0"/>
              <w:rPr>
                <w:rFonts w:ascii="Arial Narrow" w:hAnsi="Arial Narrow"/>
                <w:color w:val="000000"/>
                <w:sz w:val="20"/>
                <w:lang w:eastAsia="en-AU"/>
              </w:rPr>
            </w:pPr>
          </w:p>
        </w:tc>
        <w:tc>
          <w:tcPr>
            <w:tcW w:w="350" w:type="dxa"/>
            <w:vMerge/>
            <w:shd w:val="clear" w:color="auto" w:fill="auto"/>
            <w:noWrap/>
            <w:tcMar>
              <w:left w:w="57" w:type="dxa"/>
              <w:right w:w="57" w:type="dxa"/>
            </w:tcMar>
            <w:vAlign w:val="bottom"/>
          </w:tcPr>
          <w:p w14:paraId="3C7E04F1" w14:textId="77777777" w:rsidR="000F777A" w:rsidRPr="00852372" w:rsidRDefault="000F777A" w:rsidP="00112B73">
            <w:pPr>
              <w:spacing w:after="0"/>
              <w:jc w:val="center"/>
              <w:rPr>
                <w:rFonts w:ascii="Arial Narrow" w:hAnsi="Arial Narrow"/>
                <w:color w:val="000000"/>
                <w:sz w:val="20"/>
                <w:lang w:eastAsia="en-AU"/>
              </w:rPr>
            </w:pPr>
          </w:p>
        </w:tc>
        <w:tc>
          <w:tcPr>
            <w:tcW w:w="625" w:type="dxa"/>
            <w:shd w:val="clear" w:color="auto" w:fill="auto"/>
            <w:noWrap/>
            <w:tcMar>
              <w:left w:w="57" w:type="dxa"/>
              <w:right w:w="57" w:type="dxa"/>
            </w:tcMar>
            <w:vAlign w:val="bottom"/>
          </w:tcPr>
          <w:p w14:paraId="4990779A" w14:textId="77777777" w:rsidR="000F777A" w:rsidRPr="00852372" w:rsidRDefault="000F777A"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5" w:type="dxa"/>
            <w:shd w:val="clear" w:color="auto" w:fill="auto"/>
            <w:noWrap/>
            <w:tcMar>
              <w:left w:w="57" w:type="dxa"/>
              <w:right w:w="57" w:type="dxa"/>
            </w:tcMar>
            <w:vAlign w:val="bottom"/>
          </w:tcPr>
          <w:p w14:paraId="464937EB" w14:textId="77777777" w:rsidR="000F777A" w:rsidRPr="00852372" w:rsidRDefault="000F777A"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01F31E92" w14:textId="77777777" w:rsidR="000F777A" w:rsidRPr="00852372" w:rsidRDefault="000F777A"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5" w:type="dxa"/>
            <w:shd w:val="clear" w:color="auto" w:fill="auto"/>
            <w:noWrap/>
            <w:tcMar>
              <w:left w:w="57" w:type="dxa"/>
              <w:right w:w="57" w:type="dxa"/>
            </w:tcMar>
            <w:vAlign w:val="bottom"/>
          </w:tcPr>
          <w:p w14:paraId="66E8859A" w14:textId="77777777" w:rsidR="000F777A" w:rsidRPr="00852372" w:rsidRDefault="000F777A"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015A587E" w14:textId="77777777" w:rsidR="000F777A" w:rsidRPr="00852372" w:rsidRDefault="000F777A"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6" w:type="dxa"/>
            <w:shd w:val="clear" w:color="auto" w:fill="auto"/>
            <w:noWrap/>
            <w:tcMar>
              <w:left w:w="57" w:type="dxa"/>
              <w:right w:w="57" w:type="dxa"/>
            </w:tcMar>
            <w:vAlign w:val="bottom"/>
          </w:tcPr>
          <w:p w14:paraId="02018157" w14:textId="77777777" w:rsidR="000F777A" w:rsidRPr="00852372" w:rsidRDefault="000F777A"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0ECB967D" w14:textId="77777777" w:rsidR="000F777A" w:rsidRPr="00852372" w:rsidRDefault="000F777A"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5" w:type="dxa"/>
            <w:shd w:val="clear" w:color="auto" w:fill="auto"/>
            <w:noWrap/>
            <w:tcMar>
              <w:left w:w="57" w:type="dxa"/>
              <w:right w:w="57" w:type="dxa"/>
            </w:tcMar>
            <w:vAlign w:val="bottom"/>
          </w:tcPr>
          <w:p w14:paraId="3358FB02" w14:textId="77777777" w:rsidR="000F777A" w:rsidRPr="00852372" w:rsidRDefault="000F777A"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77A252C1" w14:textId="77777777" w:rsidR="000F777A" w:rsidRPr="00852372" w:rsidRDefault="000F777A"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5" w:type="dxa"/>
            <w:shd w:val="clear" w:color="auto" w:fill="auto"/>
            <w:noWrap/>
            <w:tcMar>
              <w:left w:w="57" w:type="dxa"/>
              <w:right w:w="57" w:type="dxa"/>
            </w:tcMar>
            <w:vAlign w:val="bottom"/>
          </w:tcPr>
          <w:p w14:paraId="294DA233" w14:textId="77777777" w:rsidR="000F777A" w:rsidRPr="00852372" w:rsidRDefault="000F777A"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c>
          <w:tcPr>
            <w:tcW w:w="625" w:type="dxa"/>
            <w:shd w:val="clear" w:color="auto" w:fill="auto"/>
            <w:noWrap/>
            <w:tcMar>
              <w:left w:w="57" w:type="dxa"/>
              <w:right w:w="57" w:type="dxa"/>
            </w:tcMar>
            <w:vAlign w:val="bottom"/>
          </w:tcPr>
          <w:p w14:paraId="225445F0" w14:textId="77777777" w:rsidR="000F777A" w:rsidRPr="00852372" w:rsidRDefault="000F777A" w:rsidP="00112B73">
            <w:pPr>
              <w:spacing w:after="0"/>
              <w:rPr>
                <w:rFonts w:ascii="Arial Narrow" w:hAnsi="Arial Narrow"/>
                <w:color w:val="000000"/>
                <w:sz w:val="20"/>
                <w:lang w:eastAsia="en-AU"/>
              </w:rPr>
            </w:pPr>
            <w:r w:rsidRPr="00852372">
              <w:rPr>
                <w:rFonts w:ascii="Arial Narrow" w:hAnsi="Arial Narrow"/>
                <w:color w:val="000000"/>
                <w:sz w:val="20"/>
                <w:lang w:eastAsia="en-AU"/>
              </w:rPr>
              <w:t>Score</w:t>
            </w:r>
          </w:p>
        </w:tc>
        <w:tc>
          <w:tcPr>
            <w:tcW w:w="626" w:type="dxa"/>
            <w:shd w:val="clear" w:color="auto" w:fill="auto"/>
            <w:noWrap/>
            <w:tcMar>
              <w:left w:w="57" w:type="dxa"/>
              <w:right w:w="57" w:type="dxa"/>
            </w:tcMar>
            <w:vAlign w:val="bottom"/>
          </w:tcPr>
          <w:p w14:paraId="160BBFA3" w14:textId="77777777" w:rsidR="000F777A" w:rsidRPr="00852372" w:rsidRDefault="000F777A" w:rsidP="00112B73">
            <w:pPr>
              <w:spacing w:after="0"/>
              <w:rPr>
                <w:rFonts w:ascii="Arial Narrow" w:hAnsi="Arial Narrow"/>
                <w:color w:val="000000"/>
                <w:sz w:val="20"/>
                <w:lang w:eastAsia="en-AU"/>
              </w:rPr>
            </w:pPr>
            <w:r w:rsidRPr="00852372">
              <w:rPr>
                <w:rFonts w:ascii="Arial Narrow" w:hAnsi="Arial Narrow"/>
                <w:color w:val="000000"/>
                <w:sz w:val="20"/>
                <w:lang w:eastAsia="en-AU"/>
              </w:rPr>
              <w:t>P</w:t>
            </w:r>
          </w:p>
        </w:tc>
      </w:tr>
      <w:tr w:rsidR="000F777A" w:rsidRPr="00852372" w14:paraId="34898D18" w14:textId="77777777" w:rsidTr="00112B73">
        <w:trPr>
          <w:cantSplit/>
          <w:trHeight w:hRule="exact" w:val="301"/>
        </w:trPr>
        <w:tc>
          <w:tcPr>
            <w:tcW w:w="1074" w:type="dxa"/>
            <w:vMerge w:val="restart"/>
            <w:shd w:val="clear" w:color="auto" w:fill="auto"/>
            <w:noWrap/>
            <w:tcMar>
              <w:left w:w="57" w:type="dxa"/>
              <w:right w:w="57" w:type="dxa"/>
            </w:tcMar>
            <w:vAlign w:val="center"/>
          </w:tcPr>
          <w:p w14:paraId="7901538D" w14:textId="77777777" w:rsidR="000F777A" w:rsidRPr="00852372" w:rsidRDefault="000F777A" w:rsidP="00112B73">
            <w:pPr>
              <w:spacing w:after="0"/>
              <w:rPr>
                <w:rFonts w:ascii="Arial Narrow" w:hAnsi="Arial Narrow"/>
                <w:bCs/>
                <w:color w:val="000000"/>
                <w:sz w:val="20"/>
              </w:rPr>
            </w:pPr>
            <w:r w:rsidRPr="00852372">
              <w:rPr>
                <w:rFonts w:ascii="Arial Narrow" w:hAnsi="Arial Narrow"/>
                <w:bCs/>
                <w:color w:val="000000"/>
                <w:sz w:val="20"/>
              </w:rPr>
              <w:t>200</w:t>
            </w:r>
            <w:r>
              <w:rPr>
                <w:rFonts w:ascii="Arial Narrow" w:hAnsi="Arial Narrow"/>
                <w:bCs/>
                <w:color w:val="000000"/>
                <w:sz w:val="20"/>
              </w:rPr>
              <w:t>7</w:t>
            </w:r>
            <w:r w:rsidRPr="00852372">
              <w:rPr>
                <w:rFonts w:ascii="Arial Narrow" w:hAnsi="Arial Narrow"/>
                <w:bCs/>
                <w:color w:val="000000"/>
                <w:sz w:val="20"/>
              </w:rPr>
              <w:t xml:space="preserve"> to 2014</w:t>
            </w:r>
          </w:p>
        </w:tc>
        <w:tc>
          <w:tcPr>
            <w:tcW w:w="350" w:type="dxa"/>
            <w:shd w:val="clear" w:color="auto" w:fill="auto"/>
            <w:noWrap/>
            <w:tcMar>
              <w:left w:w="57" w:type="dxa"/>
              <w:right w:w="57" w:type="dxa"/>
            </w:tcMar>
            <w:vAlign w:val="center"/>
          </w:tcPr>
          <w:p w14:paraId="42EF50AB" w14:textId="77777777" w:rsidR="000F777A" w:rsidRPr="00852372" w:rsidRDefault="000F777A" w:rsidP="00112B73">
            <w:pPr>
              <w:spacing w:after="0"/>
              <w:jc w:val="center"/>
              <w:rPr>
                <w:rFonts w:ascii="Arial Narrow" w:hAnsi="Arial Narrow"/>
                <w:bCs/>
                <w:color w:val="000000"/>
                <w:sz w:val="20"/>
              </w:rPr>
            </w:pPr>
            <w:r w:rsidRPr="00852372">
              <w:rPr>
                <w:rFonts w:ascii="Arial Narrow" w:hAnsi="Arial Narrow"/>
                <w:bCs/>
                <w:color w:val="000000"/>
                <w:sz w:val="20"/>
              </w:rPr>
              <w:t>2</w:t>
            </w:r>
          </w:p>
        </w:tc>
        <w:tc>
          <w:tcPr>
            <w:tcW w:w="625" w:type="dxa"/>
            <w:tcBorders>
              <w:top w:val="single" w:sz="4" w:space="0" w:color="auto"/>
              <w:left w:val="nil"/>
              <w:bottom w:val="single" w:sz="4" w:space="0" w:color="auto"/>
              <w:right w:val="single" w:sz="4" w:space="0" w:color="auto"/>
            </w:tcBorders>
            <w:shd w:val="clear" w:color="000000" w:fill="DA9694"/>
            <w:noWrap/>
            <w:tcMar>
              <w:left w:w="57" w:type="dxa"/>
              <w:right w:w="57" w:type="dxa"/>
            </w:tcMar>
            <w:vAlign w:val="bottom"/>
          </w:tcPr>
          <w:p w14:paraId="71F6811E" w14:textId="77777777" w:rsidR="000F777A" w:rsidRPr="00796BC2" w:rsidRDefault="000F777A" w:rsidP="00112B73">
            <w:pPr>
              <w:spacing w:after="0"/>
              <w:jc w:val="center"/>
              <w:rPr>
                <w:rFonts w:ascii="Arial Narrow" w:hAnsi="Arial Narrow"/>
                <w:bCs/>
                <w:color w:val="000000"/>
                <w:sz w:val="20"/>
              </w:rPr>
            </w:pPr>
            <w:r w:rsidRPr="00796BC2">
              <w:rPr>
                <w:rFonts w:ascii="Arial Narrow" w:hAnsi="Arial Narrow"/>
                <w:color w:val="000000"/>
                <w:sz w:val="20"/>
              </w:rPr>
              <w:t>-0.2</w:t>
            </w:r>
            <w:r>
              <w:rPr>
                <w:rFonts w:ascii="Arial Narrow" w:hAnsi="Arial Narrow"/>
                <w:color w:val="000000"/>
                <w:sz w:val="20"/>
              </w:rPr>
              <w:t>5</w:t>
            </w:r>
          </w:p>
        </w:tc>
        <w:tc>
          <w:tcPr>
            <w:tcW w:w="625"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bottom"/>
          </w:tcPr>
          <w:p w14:paraId="18C4434D" w14:textId="77777777" w:rsidR="000F777A" w:rsidRPr="00796BC2" w:rsidRDefault="000F777A" w:rsidP="00112B73">
            <w:pPr>
              <w:spacing w:after="0"/>
              <w:jc w:val="center"/>
              <w:rPr>
                <w:rFonts w:ascii="Arial Narrow" w:hAnsi="Arial Narrow"/>
                <w:bCs/>
                <w:color w:val="000000"/>
                <w:sz w:val="20"/>
              </w:rPr>
            </w:pPr>
            <w:r w:rsidRPr="00796BC2">
              <w:rPr>
                <w:rFonts w:ascii="Arial Narrow" w:hAnsi="Arial Narrow"/>
                <w:color w:val="000000"/>
                <w:sz w:val="20"/>
              </w:rPr>
              <w:t>0.</w:t>
            </w:r>
            <w:r>
              <w:rPr>
                <w:rFonts w:ascii="Arial Narrow" w:hAnsi="Arial Narrow"/>
                <w:color w:val="000000"/>
                <w:sz w:val="20"/>
              </w:rPr>
              <w:t>92</w:t>
            </w:r>
          </w:p>
        </w:tc>
        <w:tc>
          <w:tcPr>
            <w:tcW w:w="625" w:type="dxa"/>
            <w:tcBorders>
              <w:top w:val="single" w:sz="4" w:space="0" w:color="auto"/>
              <w:left w:val="single" w:sz="4" w:space="0" w:color="auto"/>
              <w:bottom w:val="single" w:sz="4" w:space="0" w:color="auto"/>
              <w:right w:val="single" w:sz="4" w:space="0" w:color="auto"/>
            </w:tcBorders>
            <w:shd w:val="clear" w:color="000000" w:fill="E6B8B7"/>
            <w:noWrap/>
            <w:tcMar>
              <w:left w:w="57" w:type="dxa"/>
              <w:right w:w="57" w:type="dxa"/>
            </w:tcMar>
            <w:vAlign w:val="bottom"/>
          </w:tcPr>
          <w:p w14:paraId="3C56ADED" w14:textId="77777777" w:rsidR="000F777A" w:rsidRPr="00796BC2" w:rsidRDefault="000F777A" w:rsidP="00112B73">
            <w:pPr>
              <w:spacing w:after="0"/>
              <w:jc w:val="center"/>
              <w:rPr>
                <w:rFonts w:ascii="Arial Narrow" w:hAnsi="Arial Narrow"/>
                <w:bCs/>
                <w:color w:val="000000"/>
                <w:sz w:val="20"/>
              </w:rPr>
            </w:pPr>
            <w:r>
              <w:rPr>
                <w:rFonts w:ascii="Arial Narrow" w:hAnsi="Arial Narrow"/>
                <w:color w:val="000000"/>
                <w:sz w:val="20"/>
              </w:rPr>
              <w:t>-0.36</w:t>
            </w:r>
          </w:p>
        </w:tc>
        <w:tc>
          <w:tcPr>
            <w:tcW w:w="625" w:type="dxa"/>
            <w:tcBorders>
              <w:top w:val="single" w:sz="4" w:space="0" w:color="auto"/>
              <w:left w:val="single" w:sz="4" w:space="0" w:color="auto"/>
              <w:bottom w:val="single" w:sz="4" w:space="0" w:color="auto"/>
              <w:right w:val="single" w:sz="4" w:space="0" w:color="auto"/>
            </w:tcBorders>
            <w:shd w:val="clear" w:color="000000" w:fill="E6B8B7"/>
            <w:noWrap/>
            <w:tcMar>
              <w:left w:w="57" w:type="dxa"/>
              <w:right w:w="57" w:type="dxa"/>
            </w:tcMar>
            <w:vAlign w:val="bottom"/>
          </w:tcPr>
          <w:p w14:paraId="645B257A" w14:textId="77777777" w:rsidR="000F777A" w:rsidRPr="00796BC2" w:rsidRDefault="000F777A" w:rsidP="00112B73">
            <w:pPr>
              <w:spacing w:after="0"/>
              <w:jc w:val="center"/>
              <w:rPr>
                <w:rFonts w:ascii="Arial Narrow" w:hAnsi="Arial Narrow"/>
                <w:bCs/>
                <w:color w:val="000000"/>
                <w:sz w:val="20"/>
              </w:rPr>
            </w:pPr>
            <w:r>
              <w:rPr>
                <w:rFonts w:ascii="Arial Narrow" w:hAnsi="Arial Narrow"/>
                <w:color w:val="000000"/>
                <w:sz w:val="20"/>
              </w:rPr>
              <w:t>0.85</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tcPr>
          <w:p w14:paraId="17B9A4FF" w14:textId="77777777" w:rsidR="000F777A" w:rsidRPr="00796BC2" w:rsidRDefault="000F777A" w:rsidP="00112B73">
            <w:pPr>
              <w:spacing w:after="0"/>
              <w:jc w:val="center"/>
              <w:rPr>
                <w:rFonts w:ascii="Arial Narrow" w:hAnsi="Arial Narrow"/>
                <w:bCs/>
                <w:color w:val="000000"/>
                <w:sz w:val="20"/>
              </w:rPr>
            </w:pPr>
            <w:r w:rsidRPr="00796BC2">
              <w:rPr>
                <w:rFonts w:ascii="Arial Narrow" w:hAnsi="Arial Narrow"/>
                <w:color w:val="000000"/>
                <w:sz w:val="20"/>
              </w:rPr>
              <w:t>-</w:t>
            </w:r>
            <w:r>
              <w:rPr>
                <w:rFonts w:ascii="Arial Narrow" w:hAnsi="Arial Narrow"/>
                <w:color w:val="000000"/>
                <w:sz w:val="20"/>
              </w:rPr>
              <w:t>0.05</w:t>
            </w:r>
          </w:p>
        </w:tc>
        <w:tc>
          <w:tcPr>
            <w:tcW w:w="626"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tcPr>
          <w:p w14:paraId="47FB7EC9" w14:textId="77777777" w:rsidR="000F777A" w:rsidRPr="00796BC2" w:rsidRDefault="000F777A" w:rsidP="00112B73">
            <w:pPr>
              <w:spacing w:after="0"/>
              <w:jc w:val="center"/>
              <w:rPr>
                <w:rFonts w:ascii="Arial Narrow" w:hAnsi="Arial Narrow"/>
                <w:bCs/>
                <w:color w:val="000000"/>
                <w:sz w:val="20"/>
              </w:rPr>
            </w:pPr>
            <w:r w:rsidRPr="00796BC2">
              <w:rPr>
                <w:rFonts w:ascii="Arial Narrow" w:hAnsi="Arial Narrow"/>
                <w:color w:val="000000"/>
                <w:sz w:val="20"/>
              </w:rPr>
              <w:t>0.6</w:t>
            </w:r>
            <w:r>
              <w:rPr>
                <w:rFonts w:ascii="Arial Narrow" w:hAnsi="Arial Narrow"/>
                <w:color w:val="000000"/>
                <w:sz w:val="20"/>
              </w:rPr>
              <w:t>8</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tcPr>
          <w:p w14:paraId="163BCF0C" w14:textId="77777777" w:rsidR="000F777A" w:rsidRPr="00796BC2" w:rsidRDefault="000F777A" w:rsidP="00112B73">
            <w:pPr>
              <w:spacing w:after="0"/>
              <w:jc w:val="center"/>
              <w:rPr>
                <w:rFonts w:ascii="Arial Narrow" w:hAnsi="Arial Narrow"/>
                <w:bCs/>
                <w:color w:val="000000"/>
                <w:sz w:val="20"/>
              </w:rPr>
            </w:pPr>
            <w:r>
              <w:rPr>
                <w:rFonts w:ascii="Arial Narrow" w:hAnsi="Arial Narrow"/>
                <w:color w:val="000000"/>
                <w:sz w:val="20"/>
              </w:rPr>
              <w:t>-</w:t>
            </w:r>
            <w:r w:rsidRPr="00796BC2">
              <w:rPr>
                <w:rFonts w:ascii="Arial Narrow" w:hAnsi="Arial Narrow"/>
                <w:color w:val="000000"/>
                <w:sz w:val="20"/>
              </w:rPr>
              <w:t>0.0</w:t>
            </w:r>
            <w:r>
              <w:rPr>
                <w:rFonts w:ascii="Arial Narrow" w:hAnsi="Arial Narrow"/>
                <w:color w:val="000000"/>
                <w:sz w:val="20"/>
              </w:rPr>
              <w:t>6</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tcPr>
          <w:p w14:paraId="0F82B3AA" w14:textId="77777777" w:rsidR="000F777A" w:rsidRPr="00796BC2" w:rsidRDefault="000F777A" w:rsidP="00112B73">
            <w:pPr>
              <w:spacing w:after="0"/>
              <w:jc w:val="center"/>
              <w:rPr>
                <w:rFonts w:ascii="Arial Narrow" w:hAnsi="Arial Narrow"/>
                <w:bCs/>
                <w:color w:val="000000"/>
                <w:sz w:val="20"/>
              </w:rPr>
            </w:pPr>
            <w:r w:rsidRPr="00796BC2">
              <w:rPr>
                <w:rFonts w:ascii="Arial Narrow" w:hAnsi="Arial Narrow"/>
                <w:color w:val="000000"/>
                <w:sz w:val="20"/>
              </w:rPr>
              <w:t>0.5</w:t>
            </w:r>
            <w:r>
              <w:rPr>
                <w:rFonts w:ascii="Arial Narrow" w:hAnsi="Arial Narrow"/>
                <w:color w:val="000000"/>
                <w:sz w:val="20"/>
              </w:rPr>
              <w:t>9</w:t>
            </w:r>
          </w:p>
        </w:tc>
        <w:tc>
          <w:tcPr>
            <w:tcW w:w="625" w:type="dxa"/>
            <w:tcBorders>
              <w:top w:val="single" w:sz="4" w:space="0" w:color="auto"/>
              <w:left w:val="single" w:sz="4" w:space="0" w:color="auto"/>
              <w:bottom w:val="single" w:sz="4" w:space="0" w:color="auto"/>
              <w:right w:val="single" w:sz="4" w:space="0" w:color="auto"/>
            </w:tcBorders>
            <w:shd w:val="clear" w:color="auto" w:fill="E6B8B7"/>
            <w:noWrap/>
            <w:tcMar>
              <w:left w:w="57" w:type="dxa"/>
              <w:right w:w="57" w:type="dxa"/>
            </w:tcMar>
            <w:vAlign w:val="bottom"/>
          </w:tcPr>
          <w:p w14:paraId="24332BFE" w14:textId="77777777" w:rsidR="000F777A" w:rsidRPr="00796BC2" w:rsidRDefault="000F777A" w:rsidP="00112B73">
            <w:pPr>
              <w:spacing w:after="0"/>
              <w:jc w:val="center"/>
              <w:rPr>
                <w:rFonts w:ascii="Arial Narrow" w:hAnsi="Arial Narrow"/>
                <w:bCs/>
                <w:color w:val="000000"/>
                <w:sz w:val="20"/>
              </w:rPr>
            </w:pPr>
            <w:r w:rsidRPr="00796BC2">
              <w:rPr>
                <w:rFonts w:ascii="Arial Narrow" w:hAnsi="Arial Narrow"/>
                <w:color w:val="000000"/>
                <w:sz w:val="20"/>
              </w:rPr>
              <w:t>-</w:t>
            </w:r>
            <w:r>
              <w:rPr>
                <w:rFonts w:ascii="Arial Narrow" w:hAnsi="Arial Narrow"/>
                <w:color w:val="000000"/>
                <w:sz w:val="20"/>
              </w:rPr>
              <w:t>0.41</w:t>
            </w:r>
          </w:p>
        </w:tc>
        <w:tc>
          <w:tcPr>
            <w:tcW w:w="625" w:type="dxa"/>
            <w:tcBorders>
              <w:top w:val="single" w:sz="4" w:space="0" w:color="auto"/>
              <w:left w:val="single" w:sz="4" w:space="0" w:color="auto"/>
              <w:bottom w:val="single" w:sz="4" w:space="0" w:color="auto"/>
              <w:right w:val="single" w:sz="4" w:space="0" w:color="auto"/>
            </w:tcBorders>
            <w:shd w:val="clear" w:color="auto" w:fill="E6B8B7"/>
            <w:noWrap/>
            <w:tcMar>
              <w:left w:w="57" w:type="dxa"/>
              <w:right w:w="57" w:type="dxa"/>
            </w:tcMar>
            <w:vAlign w:val="bottom"/>
          </w:tcPr>
          <w:p w14:paraId="5A2B81B1" w14:textId="77777777" w:rsidR="000F777A" w:rsidRPr="00796BC2" w:rsidRDefault="000F777A" w:rsidP="00112B73">
            <w:pPr>
              <w:spacing w:after="0"/>
              <w:jc w:val="center"/>
              <w:rPr>
                <w:rFonts w:ascii="Arial Narrow" w:hAnsi="Arial Narrow"/>
                <w:bCs/>
                <w:color w:val="000000"/>
                <w:sz w:val="20"/>
              </w:rPr>
            </w:pPr>
            <w:r>
              <w:rPr>
                <w:rFonts w:ascii="Arial Narrow" w:hAnsi="Arial Narrow"/>
                <w:color w:val="000000"/>
                <w:sz w:val="20"/>
              </w:rPr>
              <w:t>0.88</w:t>
            </w:r>
          </w:p>
        </w:tc>
        <w:tc>
          <w:tcPr>
            <w:tcW w:w="625"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bottom"/>
          </w:tcPr>
          <w:p w14:paraId="521B5C02" w14:textId="77777777" w:rsidR="000F777A" w:rsidRPr="00796BC2" w:rsidRDefault="000F777A" w:rsidP="00112B73">
            <w:pPr>
              <w:spacing w:after="0"/>
              <w:jc w:val="center"/>
              <w:rPr>
                <w:rFonts w:ascii="Arial Narrow" w:hAnsi="Arial Narrow"/>
                <w:bCs/>
                <w:color w:val="000000"/>
                <w:sz w:val="20"/>
              </w:rPr>
            </w:pPr>
            <w:r w:rsidRPr="00796BC2">
              <w:rPr>
                <w:rFonts w:ascii="Arial Narrow" w:hAnsi="Arial Narrow"/>
                <w:color w:val="000000"/>
                <w:sz w:val="20"/>
              </w:rPr>
              <w:t>-0.42</w:t>
            </w:r>
          </w:p>
        </w:tc>
        <w:tc>
          <w:tcPr>
            <w:tcW w:w="626"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bottom"/>
          </w:tcPr>
          <w:p w14:paraId="7EA5AA77" w14:textId="77777777" w:rsidR="000F777A" w:rsidRPr="00796BC2" w:rsidRDefault="000F777A" w:rsidP="00112B73">
            <w:pPr>
              <w:spacing w:after="0"/>
              <w:jc w:val="center"/>
              <w:rPr>
                <w:rFonts w:ascii="Arial Narrow" w:hAnsi="Arial Narrow"/>
                <w:bCs/>
                <w:color w:val="000000"/>
                <w:sz w:val="20"/>
              </w:rPr>
            </w:pPr>
            <w:r>
              <w:rPr>
                <w:rFonts w:ascii="Arial Narrow" w:hAnsi="Arial Narrow"/>
                <w:color w:val="000000"/>
                <w:sz w:val="20"/>
              </w:rPr>
              <w:t>0.98</w:t>
            </w:r>
          </w:p>
        </w:tc>
      </w:tr>
      <w:tr w:rsidR="000F777A" w:rsidRPr="00852372" w14:paraId="6668923B" w14:textId="77777777" w:rsidTr="00857168">
        <w:trPr>
          <w:cantSplit/>
          <w:trHeight w:hRule="exact" w:val="301"/>
        </w:trPr>
        <w:tc>
          <w:tcPr>
            <w:tcW w:w="1074" w:type="dxa"/>
            <w:vMerge/>
            <w:shd w:val="clear" w:color="auto" w:fill="auto"/>
            <w:noWrap/>
            <w:tcMar>
              <w:left w:w="57" w:type="dxa"/>
              <w:right w:w="57" w:type="dxa"/>
            </w:tcMar>
            <w:vAlign w:val="center"/>
          </w:tcPr>
          <w:p w14:paraId="1BF6A0EC" w14:textId="77777777" w:rsidR="000F777A" w:rsidRPr="00852372" w:rsidRDefault="000F777A" w:rsidP="00112B73">
            <w:pPr>
              <w:spacing w:after="0"/>
              <w:jc w:val="right"/>
              <w:rPr>
                <w:rFonts w:ascii="Arial Narrow" w:hAnsi="Arial Narrow"/>
                <w:bCs/>
                <w:color w:val="000000"/>
                <w:sz w:val="20"/>
              </w:rPr>
            </w:pPr>
          </w:p>
        </w:tc>
        <w:tc>
          <w:tcPr>
            <w:tcW w:w="350" w:type="dxa"/>
            <w:shd w:val="clear" w:color="auto" w:fill="auto"/>
            <w:noWrap/>
            <w:tcMar>
              <w:left w:w="57" w:type="dxa"/>
              <w:right w:w="57" w:type="dxa"/>
            </w:tcMar>
            <w:vAlign w:val="center"/>
          </w:tcPr>
          <w:p w14:paraId="5F8830FC" w14:textId="77777777" w:rsidR="000F777A" w:rsidRPr="00852372" w:rsidRDefault="000F777A" w:rsidP="00112B73">
            <w:pPr>
              <w:spacing w:after="0"/>
              <w:jc w:val="center"/>
              <w:rPr>
                <w:rFonts w:ascii="Arial Narrow" w:hAnsi="Arial Narrow"/>
                <w:bCs/>
                <w:color w:val="000000"/>
                <w:sz w:val="20"/>
              </w:rPr>
            </w:pPr>
            <w:r w:rsidRPr="00852372">
              <w:rPr>
                <w:rFonts w:ascii="Arial Narrow" w:hAnsi="Arial Narrow"/>
                <w:bCs/>
                <w:color w:val="000000"/>
                <w:sz w:val="20"/>
              </w:rPr>
              <w:t>5</w:t>
            </w:r>
          </w:p>
        </w:tc>
        <w:tc>
          <w:tcPr>
            <w:tcW w:w="625" w:type="dxa"/>
            <w:tcBorders>
              <w:top w:val="single" w:sz="4" w:space="0" w:color="auto"/>
              <w:left w:val="nil"/>
              <w:bottom w:val="single" w:sz="4" w:space="0" w:color="auto"/>
              <w:right w:val="single" w:sz="4" w:space="0" w:color="auto"/>
            </w:tcBorders>
            <w:shd w:val="clear" w:color="auto" w:fill="DA9694"/>
            <w:noWrap/>
            <w:tcMar>
              <w:left w:w="57" w:type="dxa"/>
              <w:right w:w="57" w:type="dxa"/>
            </w:tcMar>
            <w:vAlign w:val="bottom"/>
          </w:tcPr>
          <w:p w14:paraId="06CC16AE" w14:textId="77777777" w:rsidR="000F777A" w:rsidRPr="00796BC2" w:rsidRDefault="000F777A" w:rsidP="00112B73">
            <w:pPr>
              <w:spacing w:after="0"/>
              <w:jc w:val="center"/>
              <w:rPr>
                <w:rFonts w:ascii="Arial Narrow" w:hAnsi="Arial Narrow"/>
                <w:bCs/>
                <w:color w:val="000000"/>
                <w:sz w:val="20"/>
              </w:rPr>
            </w:pPr>
            <w:r>
              <w:rPr>
                <w:rFonts w:ascii="Arial Narrow" w:hAnsi="Arial Narrow"/>
                <w:color w:val="000000"/>
                <w:sz w:val="20"/>
              </w:rPr>
              <w:t>-0.15</w:t>
            </w:r>
          </w:p>
        </w:tc>
        <w:tc>
          <w:tcPr>
            <w:tcW w:w="625" w:type="dxa"/>
            <w:tcBorders>
              <w:top w:val="single" w:sz="4" w:space="0" w:color="auto"/>
              <w:left w:val="single" w:sz="4" w:space="0" w:color="auto"/>
              <w:bottom w:val="single" w:sz="4" w:space="0" w:color="auto"/>
              <w:right w:val="single" w:sz="4" w:space="0" w:color="auto"/>
            </w:tcBorders>
            <w:shd w:val="clear" w:color="auto" w:fill="DA9694"/>
            <w:noWrap/>
            <w:tcMar>
              <w:left w:w="57" w:type="dxa"/>
              <w:right w:w="57" w:type="dxa"/>
            </w:tcMar>
            <w:vAlign w:val="bottom"/>
          </w:tcPr>
          <w:p w14:paraId="5E8ED099" w14:textId="77777777" w:rsidR="000F777A" w:rsidRPr="00796BC2" w:rsidRDefault="000F777A" w:rsidP="00112B73">
            <w:pPr>
              <w:spacing w:after="0"/>
              <w:jc w:val="center"/>
              <w:rPr>
                <w:rFonts w:ascii="Arial Narrow" w:hAnsi="Arial Narrow"/>
                <w:bCs/>
                <w:color w:val="000000"/>
                <w:sz w:val="20"/>
              </w:rPr>
            </w:pPr>
            <w:r w:rsidRPr="00796BC2">
              <w:rPr>
                <w:rFonts w:ascii="Arial Narrow" w:hAnsi="Arial Narrow"/>
                <w:color w:val="000000"/>
                <w:sz w:val="20"/>
              </w:rPr>
              <w:t>0.</w:t>
            </w:r>
            <w:r>
              <w:rPr>
                <w:rFonts w:ascii="Arial Narrow" w:hAnsi="Arial Narrow"/>
                <w:color w:val="000000"/>
                <w:sz w:val="20"/>
              </w:rPr>
              <w:t>93</w:t>
            </w:r>
          </w:p>
        </w:tc>
        <w:tc>
          <w:tcPr>
            <w:tcW w:w="625"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bottom"/>
          </w:tcPr>
          <w:p w14:paraId="27E5710C" w14:textId="77777777" w:rsidR="000F777A" w:rsidRPr="00796BC2" w:rsidRDefault="000F777A" w:rsidP="00112B73">
            <w:pPr>
              <w:spacing w:after="0"/>
              <w:jc w:val="center"/>
              <w:rPr>
                <w:rFonts w:ascii="Arial Narrow" w:hAnsi="Arial Narrow"/>
                <w:bCs/>
                <w:color w:val="000000"/>
                <w:sz w:val="20"/>
              </w:rPr>
            </w:pPr>
            <w:r>
              <w:rPr>
                <w:rFonts w:ascii="Arial Narrow" w:hAnsi="Arial Narrow"/>
                <w:color w:val="000000"/>
                <w:sz w:val="20"/>
              </w:rPr>
              <w:t>-0.28</w:t>
            </w:r>
          </w:p>
        </w:tc>
        <w:tc>
          <w:tcPr>
            <w:tcW w:w="625"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bottom"/>
          </w:tcPr>
          <w:p w14:paraId="282EAFAE" w14:textId="77777777" w:rsidR="000F777A" w:rsidRPr="00796BC2" w:rsidRDefault="000F777A" w:rsidP="00112B73">
            <w:pPr>
              <w:spacing w:after="0"/>
              <w:jc w:val="center"/>
              <w:rPr>
                <w:rFonts w:ascii="Arial Narrow" w:hAnsi="Arial Narrow"/>
                <w:bCs/>
                <w:color w:val="000000"/>
                <w:sz w:val="20"/>
              </w:rPr>
            </w:pPr>
            <w:r>
              <w:rPr>
                <w:rFonts w:ascii="Arial Narrow" w:hAnsi="Arial Narrow"/>
                <w:color w:val="000000"/>
                <w:sz w:val="20"/>
              </w:rPr>
              <w:t>0.94</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tcPr>
          <w:p w14:paraId="22166348" w14:textId="77777777" w:rsidR="000F777A" w:rsidRPr="00796BC2" w:rsidRDefault="000F777A" w:rsidP="00112B73">
            <w:pPr>
              <w:spacing w:after="0"/>
              <w:jc w:val="center"/>
              <w:rPr>
                <w:rFonts w:ascii="Arial Narrow" w:hAnsi="Arial Narrow"/>
                <w:bCs/>
                <w:color w:val="000000"/>
                <w:sz w:val="20"/>
              </w:rPr>
            </w:pPr>
            <w:r>
              <w:rPr>
                <w:rFonts w:ascii="Arial Narrow" w:hAnsi="Arial Narrow"/>
                <w:color w:val="000000"/>
                <w:sz w:val="20"/>
              </w:rPr>
              <w:t>0</w:t>
            </w:r>
          </w:p>
        </w:tc>
        <w:tc>
          <w:tcPr>
            <w:tcW w:w="626"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tcPr>
          <w:p w14:paraId="4FEB760E" w14:textId="77777777" w:rsidR="000F777A" w:rsidRPr="00796BC2" w:rsidRDefault="000F777A" w:rsidP="00112B73">
            <w:pPr>
              <w:spacing w:after="0"/>
              <w:jc w:val="center"/>
              <w:rPr>
                <w:rFonts w:ascii="Arial Narrow" w:hAnsi="Arial Narrow"/>
                <w:bCs/>
                <w:color w:val="000000"/>
                <w:sz w:val="20"/>
              </w:rPr>
            </w:pPr>
            <w:r>
              <w:rPr>
                <w:rFonts w:ascii="Arial Narrow" w:hAnsi="Arial Narrow"/>
                <w:color w:val="000000"/>
                <w:sz w:val="20"/>
              </w:rPr>
              <w:t>NA</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tcPr>
          <w:p w14:paraId="171CDA12" w14:textId="77777777" w:rsidR="000F777A" w:rsidRPr="00796BC2" w:rsidRDefault="000F777A" w:rsidP="00112B73">
            <w:pPr>
              <w:spacing w:after="0"/>
              <w:jc w:val="center"/>
              <w:rPr>
                <w:rFonts w:ascii="Arial Narrow" w:hAnsi="Arial Narrow"/>
                <w:bCs/>
                <w:color w:val="000000"/>
                <w:sz w:val="20"/>
              </w:rPr>
            </w:pPr>
            <w:r w:rsidRPr="00796BC2">
              <w:rPr>
                <w:rFonts w:ascii="Arial Narrow" w:hAnsi="Arial Narrow"/>
                <w:color w:val="000000"/>
                <w:sz w:val="20"/>
              </w:rPr>
              <w:t>0.0</w:t>
            </w:r>
            <w:r>
              <w:rPr>
                <w:rFonts w:ascii="Arial Narrow" w:hAnsi="Arial Narrow"/>
                <w:color w:val="000000"/>
                <w:sz w:val="20"/>
              </w:rPr>
              <w:t>2</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tcPr>
          <w:p w14:paraId="48E695FE" w14:textId="77777777" w:rsidR="000F777A" w:rsidRPr="00796BC2" w:rsidRDefault="000F777A" w:rsidP="00112B73">
            <w:pPr>
              <w:spacing w:after="0"/>
              <w:jc w:val="center"/>
              <w:rPr>
                <w:rFonts w:ascii="Arial Narrow" w:hAnsi="Arial Narrow"/>
                <w:bCs/>
                <w:color w:val="000000"/>
                <w:sz w:val="20"/>
              </w:rPr>
            </w:pPr>
            <w:r w:rsidRPr="00796BC2">
              <w:rPr>
                <w:rFonts w:ascii="Arial Narrow" w:hAnsi="Arial Narrow"/>
                <w:color w:val="000000"/>
                <w:sz w:val="20"/>
              </w:rPr>
              <w:t>0.56</w:t>
            </w:r>
          </w:p>
        </w:tc>
        <w:tc>
          <w:tcPr>
            <w:tcW w:w="625" w:type="dxa"/>
            <w:tcBorders>
              <w:top w:val="single" w:sz="4" w:space="0" w:color="auto"/>
              <w:left w:val="single" w:sz="4" w:space="0" w:color="auto"/>
              <w:bottom w:val="single" w:sz="4" w:space="0" w:color="auto"/>
              <w:right w:val="single" w:sz="4" w:space="0" w:color="auto"/>
            </w:tcBorders>
            <w:shd w:val="clear" w:color="auto" w:fill="C6D9F1" w:themeFill="text2" w:themeFillTint="33"/>
            <w:noWrap/>
            <w:tcMar>
              <w:left w:w="57" w:type="dxa"/>
              <w:right w:w="57" w:type="dxa"/>
            </w:tcMar>
            <w:vAlign w:val="bottom"/>
          </w:tcPr>
          <w:p w14:paraId="5115069E" w14:textId="77777777" w:rsidR="000F777A" w:rsidRPr="00796BC2" w:rsidRDefault="000F777A" w:rsidP="00112B73">
            <w:pPr>
              <w:spacing w:after="0"/>
              <w:jc w:val="center"/>
              <w:rPr>
                <w:rFonts w:ascii="Arial Narrow" w:hAnsi="Arial Narrow"/>
                <w:bCs/>
                <w:color w:val="000000"/>
                <w:sz w:val="20"/>
              </w:rPr>
            </w:pPr>
            <w:r w:rsidRPr="00796BC2">
              <w:rPr>
                <w:rFonts w:ascii="Arial Narrow" w:hAnsi="Arial Narrow"/>
                <w:color w:val="000000"/>
                <w:sz w:val="20"/>
              </w:rPr>
              <w:t>0</w:t>
            </w:r>
            <w:r>
              <w:rPr>
                <w:rFonts w:ascii="Arial Narrow" w:hAnsi="Arial Narrow"/>
                <w:color w:val="000000"/>
                <w:sz w:val="20"/>
              </w:rPr>
              <w:t>.13</w:t>
            </w:r>
          </w:p>
        </w:tc>
        <w:tc>
          <w:tcPr>
            <w:tcW w:w="625" w:type="dxa"/>
            <w:tcBorders>
              <w:top w:val="single" w:sz="4" w:space="0" w:color="auto"/>
              <w:left w:val="single" w:sz="4" w:space="0" w:color="auto"/>
              <w:bottom w:val="single" w:sz="4" w:space="0" w:color="auto"/>
              <w:right w:val="single" w:sz="4" w:space="0" w:color="auto"/>
            </w:tcBorders>
            <w:shd w:val="clear" w:color="auto" w:fill="C6D9F1" w:themeFill="text2" w:themeFillTint="33"/>
            <w:noWrap/>
            <w:tcMar>
              <w:left w:w="57" w:type="dxa"/>
              <w:right w:w="57" w:type="dxa"/>
            </w:tcMar>
            <w:vAlign w:val="bottom"/>
          </w:tcPr>
          <w:p w14:paraId="2EABB0F8" w14:textId="77777777" w:rsidR="000F777A" w:rsidRPr="00796BC2" w:rsidRDefault="000F777A" w:rsidP="00112B73">
            <w:pPr>
              <w:spacing w:after="0"/>
              <w:jc w:val="center"/>
              <w:rPr>
                <w:rFonts w:ascii="Arial Narrow" w:hAnsi="Arial Narrow"/>
                <w:bCs/>
                <w:color w:val="000000"/>
                <w:sz w:val="20"/>
              </w:rPr>
            </w:pPr>
            <w:r>
              <w:rPr>
                <w:rFonts w:ascii="Arial Narrow" w:hAnsi="Arial Narrow"/>
                <w:color w:val="000000"/>
                <w:sz w:val="20"/>
              </w:rPr>
              <w:t>0.72</w:t>
            </w:r>
          </w:p>
        </w:tc>
        <w:tc>
          <w:tcPr>
            <w:tcW w:w="625" w:type="dxa"/>
            <w:tcBorders>
              <w:top w:val="single" w:sz="4" w:space="0" w:color="auto"/>
              <w:left w:val="single" w:sz="4" w:space="0" w:color="auto"/>
              <w:bottom w:val="single" w:sz="4" w:space="0" w:color="auto"/>
              <w:right w:val="single" w:sz="4" w:space="0" w:color="auto"/>
            </w:tcBorders>
            <w:shd w:val="clear" w:color="auto" w:fill="E6B8B7"/>
            <w:noWrap/>
            <w:tcMar>
              <w:left w:w="57" w:type="dxa"/>
              <w:right w:w="57" w:type="dxa"/>
            </w:tcMar>
            <w:vAlign w:val="bottom"/>
          </w:tcPr>
          <w:p w14:paraId="0BB0DE35" w14:textId="77777777" w:rsidR="000F777A" w:rsidRPr="00796BC2" w:rsidRDefault="000F777A" w:rsidP="00112B73">
            <w:pPr>
              <w:spacing w:after="0"/>
              <w:jc w:val="center"/>
              <w:rPr>
                <w:rFonts w:ascii="Arial Narrow" w:hAnsi="Arial Narrow"/>
                <w:bCs/>
                <w:color w:val="000000"/>
                <w:sz w:val="20"/>
              </w:rPr>
            </w:pPr>
            <w:r>
              <w:rPr>
                <w:rFonts w:ascii="Arial Narrow" w:hAnsi="Arial Narrow"/>
                <w:color w:val="000000"/>
                <w:sz w:val="20"/>
              </w:rPr>
              <w:t>-0.33</w:t>
            </w:r>
          </w:p>
        </w:tc>
        <w:tc>
          <w:tcPr>
            <w:tcW w:w="626" w:type="dxa"/>
            <w:tcBorders>
              <w:top w:val="single" w:sz="4" w:space="0" w:color="auto"/>
              <w:left w:val="single" w:sz="4" w:space="0" w:color="auto"/>
              <w:bottom w:val="single" w:sz="4" w:space="0" w:color="auto"/>
              <w:right w:val="single" w:sz="4" w:space="0" w:color="auto"/>
            </w:tcBorders>
            <w:shd w:val="clear" w:color="auto" w:fill="E6B8B7"/>
            <w:noWrap/>
            <w:tcMar>
              <w:left w:w="57" w:type="dxa"/>
              <w:right w:w="57" w:type="dxa"/>
            </w:tcMar>
            <w:vAlign w:val="bottom"/>
          </w:tcPr>
          <w:p w14:paraId="1B494F01" w14:textId="77777777" w:rsidR="000F777A" w:rsidRPr="00796BC2" w:rsidRDefault="000F777A" w:rsidP="00112B73">
            <w:pPr>
              <w:spacing w:after="0"/>
              <w:jc w:val="center"/>
              <w:rPr>
                <w:rFonts w:ascii="Arial Narrow" w:hAnsi="Arial Narrow"/>
                <w:bCs/>
                <w:color w:val="000000"/>
                <w:sz w:val="20"/>
              </w:rPr>
            </w:pPr>
            <w:r>
              <w:rPr>
                <w:rFonts w:ascii="Arial Narrow" w:hAnsi="Arial Narrow"/>
                <w:color w:val="000000"/>
                <w:sz w:val="20"/>
              </w:rPr>
              <w:t>0.89</w:t>
            </w:r>
          </w:p>
        </w:tc>
      </w:tr>
      <w:tr w:rsidR="000F777A" w:rsidRPr="00852372" w14:paraId="472ACF9D" w14:textId="77777777" w:rsidTr="00857168">
        <w:trPr>
          <w:cantSplit/>
          <w:trHeight w:hRule="exact" w:val="301"/>
        </w:trPr>
        <w:tc>
          <w:tcPr>
            <w:tcW w:w="1074" w:type="dxa"/>
            <w:vMerge w:val="restart"/>
            <w:shd w:val="clear" w:color="auto" w:fill="auto"/>
            <w:noWrap/>
            <w:tcMar>
              <w:left w:w="57" w:type="dxa"/>
              <w:right w:w="57" w:type="dxa"/>
            </w:tcMar>
            <w:vAlign w:val="center"/>
          </w:tcPr>
          <w:p w14:paraId="54BEDC77" w14:textId="77777777" w:rsidR="000F777A" w:rsidRPr="00852372" w:rsidRDefault="000F777A" w:rsidP="00112B73">
            <w:pPr>
              <w:spacing w:after="0"/>
              <w:rPr>
                <w:rFonts w:ascii="Arial Narrow" w:hAnsi="Arial Narrow"/>
                <w:bCs/>
                <w:color w:val="000000"/>
                <w:sz w:val="20"/>
              </w:rPr>
            </w:pPr>
            <w:r w:rsidRPr="00852372">
              <w:rPr>
                <w:rFonts w:ascii="Arial Narrow" w:hAnsi="Arial Narrow"/>
                <w:bCs/>
                <w:color w:val="000000"/>
                <w:sz w:val="20"/>
              </w:rPr>
              <w:t>2014 to 201</w:t>
            </w:r>
            <w:r>
              <w:rPr>
                <w:rFonts w:ascii="Arial Narrow" w:hAnsi="Arial Narrow"/>
                <w:bCs/>
                <w:color w:val="000000"/>
                <w:sz w:val="20"/>
              </w:rPr>
              <w:t>7</w:t>
            </w:r>
          </w:p>
        </w:tc>
        <w:tc>
          <w:tcPr>
            <w:tcW w:w="350" w:type="dxa"/>
            <w:shd w:val="clear" w:color="auto" w:fill="auto"/>
            <w:noWrap/>
            <w:tcMar>
              <w:left w:w="57" w:type="dxa"/>
              <w:right w:w="57" w:type="dxa"/>
            </w:tcMar>
            <w:vAlign w:val="center"/>
          </w:tcPr>
          <w:p w14:paraId="391CA4D0" w14:textId="77777777" w:rsidR="000F777A" w:rsidRPr="00852372" w:rsidRDefault="000F777A" w:rsidP="00112B73">
            <w:pPr>
              <w:spacing w:after="0"/>
              <w:jc w:val="center"/>
              <w:rPr>
                <w:rFonts w:ascii="Arial Narrow" w:hAnsi="Arial Narrow"/>
                <w:bCs/>
                <w:color w:val="000000"/>
                <w:sz w:val="20"/>
              </w:rPr>
            </w:pPr>
            <w:r w:rsidRPr="00852372">
              <w:rPr>
                <w:rFonts w:ascii="Arial Narrow" w:hAnsi="Arial Narrow"/>
                <w:bCs/>
                <w:color w:val="000000"/>
                <w:sz w:val="20"/>
              </w:rPr>
              <w:t>2</w:t>
            </w:r>
          </w:p>
        </w:tc>
        <w:tc>
          <w:tcPr>
            <w:tcW w:w="625" w:type="dxa"/>
            <w:tcBorders>
              <w:top w:val="single" w:sz="4" w:space="0" w:color="auto"/>
              <w:left w:val="nil"/>
              <w:bottom w:val="single" w:sz="4" w:space="0" w:color="auto"/>
              <w:right w:val="single" w:sz="4" w:space="0" w:color="auto"/>
            </w:tcBorders>
            <w:shd w:val="clear" w:color="auto" w:fill="8DB3E2"/>
            <w:noWrap/>
            <w:tcMar>
              <w:left w:w="57" w:type="dxa"/>
              <w:right w:w="57" w:type="dxa"/>
            </w:tcMar>
            <w:vAlign w:val="bottom"/>
          </w:tcPr>
          <w:p w14:paraId="1AEB8267" w14:textId="77777777" w:rsidR="000F777A" w:rsidRPr="00796BC2" w:rsidRDefault="000F777A" w:rsidP="00112B73">
            <w:pPr>
              <w:spacing w:after="0"/>
              <w:jc w:val="center"/>
              <w:rPr>
                <w:rFonts w:ascii="Arial Narrow" w:hAnsi="Arial Narrow"/>
                <w:bCs/>
                <w:color w:val="000000"/>
                <w:sz w:val="20"/>
              </w:rPr>
            </w:pPr>
            <w:r w:rsidRPr="00796BC2">
              <w:rPr>
                <w:rFonts w:ascii="Arial Narrow" w:hAnsi="Arial Narrow"/>
                <w:color w:val="000000"/>
                <w:sz w:val="20"/>
              </w:rPr>
              <w:t>0.10</w:t>
            </w:r>
          </w:p>
        </w:tc>
        <w:tc>
          <w:tcPr>
            <w:tcW w:w="625" w:type="dxa"/>
            <w:tcBorders>
              <w:top w:val="single" w:sz="4" w:space="0" w:color="auto"/>
              <w:left w:val="single" w:sz="4" w:space="0" w:color="auto"/>
              <w:bottom w:val="single" w:sz="4" w:space="0" w:color="auto"/>
              <w:right w:val="single" w:sz="4" w:space="0" w:color="auto"/>
            </w:tcBorders>
            <w:shd w:val="clear" w:color="auto" w:fill="8DB3E2"/>
            <w:noWrap/>
            <w:tcMar>
              <w:left w:w="57" w:type="dxa"/>
              <w:right w:w="57" w:type="dxa"/>
            </w:tcMar>
            <w:vAlign w:val="bottom"/>
          </w:tcPr>
          <w:p w14:paraId="57F65DCB" w14:textId="77777777" w:rsidR="000F777A" w:rsidRPr="00796BC2" w:rsidRDefault="000F777A" w:rsidP="00112B73">
            <w:pPr>
              <w:spacing w:after="0"/>
              <w:jc w:val="center"/>
              <w:rPr>
                <w:rFonts w:ascii="Arial Narrow" w:hAnsi="Arial Narrow"/>
                <w:bCs/>
                <w:color w:val="000000"/>
                <w:sz w:val="20"/>
              </w:rPr>
            </w:pPr>
            <w:r w:rsidRPr="00796BC2">
              <w:rPr>
                <w:rFonts w:ascii="Arial Narrow" w:hAnsi="Arial Narrow"/>
                <w:color w:val="000000"/>
                <w:sz w:val="20"/>
              </w:rPr>
              <w:t>0.8</w:t>
            </w:r>
            <w:r>
              <w:rPr>
                <w:rFonts w:ascii="Arial Narrow" w:hAnsi="Arial Narrow"/>
                <w:color w:val="000000"/>
                <w:sz w:val="20"/>
              </w:rPr>
              <w:t>6</w:t>
            </w:r>
          </w:p>
        </w:tc>
        <w:tc>
          <w:tcPr>
            <w:tcW w:w="625" w:type="dxa"/>
            <w:tcBorders>
              <w:top w:val="single" w:sz="4" w:space="0" w:color="auto"/>
              <w:left w:val="single" w:sz="4" w:space="0" w:color="auto"/>
              <w:bottom w:val="single" w:sz="4" w:space="0" w:color="auto"/>
              <w:right w:val="single" w:sz="4" w:space="0" w:color="auto"/>
            </w:tcBorders>
            <w:shd w:val="clear" w:color="auto" w:fill="C6D9F1" w:themeFill="text2" w:themeFillTint="33"/>
            <w:noWrap/>
            <w:tcMar>
              <w:left w:w="57" w:type="dxa"/>
              <w:right w:w="57" w:type="dxa"/>
            </w:tcMar>
            <w:vAlign w:val="bottom"/>
          </w:tcPr>
          <w:p w14:paraId="21790D50" w14:textId="77777777" w:rsidR="000F777A" w:rsidRPr="00796BC2" w:rsidRDefault="000F777A" w:rsidP="00112B73">
            <w:pPr>
              <w:jc w:val="center"/>
              <w:rPr>
                <w:rFonts w:ascii="Arial Narrow" w:hAnsi="Arial Narrow"/>
                <w:color w:val="000000"/>
                <w:sz w:val="20"/>
              </w:rPr>
            </w:pPr>
            <w:r w:rsidRPr="00796BC2">
              <w:rPr>
                <w:rFonts w:ascii="Arial Narrow" w:hAnsi="Arial Narrow"/>
                <w:color w:val="000000"/>
                <w:sz w:val="20"/>
              </w:rPr>
              <w:t>0.06</w:t>
            </w:r>
          </w:p>
        </w:tc>
        <w:tc>
          <w:tcPr>
            <w:tcW w:w="625" w:type="dxa"/>
            <w:tcBorders>
              <w:top w:val="single" w:sz="4" w:space="0" w:color="auto"/>
              <w:left w:val="single" w:sz="4" w:space="0" w:color="auto"/>
              <w:bottom w:val="single" w:sz="4" w:space="0" w:color="auto"/>
              <w:right w:val="single" w:sz="4" w:space="0" w:color="auto"/>
            </w:tcBorders>
            <w:shd w:val="clear" w:color="auto" w:fill="C6D9F1" w:themeFill="text2" w:themeFillTint="33"/>
            <w:noWrap/>
            <w:tcMar>
              <w:left w:w="57" w:type="dxa"/>
              <w:right w:w="57" w:type="dxa"/>
            </w:tcMar>
            <w:vAlign w:val="bottom"/>
          </w:tcPr>
          <w:p w14:paraId="3C00845D" w14:textId="77777777" w:rsidR="000F777A" w:rsidRPr="00796BC2" w:rsidRDefault="000F777A" w:rsidP="00112B73">
            <w:pPr>
              <w:jc w:val="center"/>
              <w:rPr>
                <w:rFonts w:ascii="Arial Narrow" w:hAnsi="Arial Narrow"/>
                <w:color w:val="000000"/>
                <w:sz w:val="20"/>
              </w:rPr>
            </w:pPr>
            <w:r>
              <w:rPr>
                <w:rFonts w:ascii="Arial Narrow" w:hAnsi="Arial Narrow"/>
                <w:color w:val="000000"/>
                <w:sz w:val="20"/>
              </w:rPr>
              <w:t>0.73</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tcPr>
          <w:p w14:paraId="7AE2B681" w14:textId="77777777" w:rsidR="000F777A" w:rsidRPr="00796BC2" w:rsidRDefault="000F777A" w:rsidP="00112B73">
            <w:pPr>
              <w:jc w:val="center"/>
              <w:rPr>
                <w:rFonts w:ascii="Arial Narrow" w:hAnsi="Arial Narrow"/>
                <w:color w:val="000000"/>
                <w:sz w:val="20"/>
              </w:rPr>
            </w:pPr>
            <w:r w:rsidRPr="00796BC2">
              <w:rPr>
                <w:rFonts w:ascii="Arial Narrow" w:hAnsi="Arial Narrow"/>
                <w:color w:val="000000"/>
                <w:sz w:val="20"/>
              </w:rPr>
              <w:t>0.06</w:t>
            </w:r>
          </w:p>
        </w:tc>
        <w:tc>
          <w:tcPr>
            <w:tcW w:w="626"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tcPr>
          <w:p w14:paraId="66806115" w14:textId="77777777" w:rsidR="000F777A" w:rsidRPr="00796BC2" w:rsidRDefault="000F777A" w:rsidP="00112B73">
            <w:pPr>
              <w:jc w:val="center"/>
              <w:rPr>
                <w:rFonts w:ascii="Arial Narrow" w:hAnsi="Arial Narrow"/>
                <w:color w:val="000000"/>
                <w:sz w:val="20"/>
              </w:rPr>
            </w:pPr>
            <w:r w:rsidRPr="00796BC2">
              <w:rPr>
                <w:rFonts w:ascii="Arial Narrow" w:hAnsi="Arial Narrow"/>
                <w:color w:val="000000"/>
                <w:sz w:val="20"/>
              </w:rPr>
              <w:t>0.6</w:t>
            </w:r>
            <w:r>
              <w:rPr>
                <w:rFonts w:ascii="Arial Narrow" w:hAnsi="Arial Narrow"/>
                <w:color w:val="000000"/>
                <w:sz w:val="20"/>
              </w:rPr>
              <w:t>6</w:t>
            </w:r>
          </w:p>
        </w:tc>
        <w:tc>
          <w:tcPr>
            <w:tcW w:w="625" w:type="dxa"/>
            <w:tcBorders>
              <w:top w:val="single" w:sz="4" w:space="0" w:color="auto"/>
              <w:left w:val="single" w:sz="4" w:space="0" w:color="auto"/>
              <w:bottom w:val="single" w:sz="4" w:space="0" w:color="auto"/>
              <w:right w:val="single" w:sz="4" w:space="0" w:color="auto"/>
            </w:tcBorders>
            <w:shd w:val="clear" w:color="auto" w:fill="538DD5"/>
            <w:noWrap/>
            <w:tcMar>
              <w:left w:w="57" w:type="dxa"/>
              <w:right w:w="57" w:type="dxa"/>
            </w:tcMar>
            <w:vAlign w:val="bottom"/>
          </w:tcPr>
          <w:p w14:paraId="661943F5" w14:textId="77777777" w:rsidR="000F777A" w:rsidRPr="00796BC2" w:rsidRDefault="000F777A" w:rsidP="00112B73">
            <w:pPr>
              <w:jc w:val="center"/>
              <w:rPr>
                <w:rFonts w:ascii="Arial Narrow" w:hAnsi="Arial Narrow"/>
                <w:color w:val="000000"/>
                <w:sz w:val="20"/>
              </w:rPr>
            </w:pPr>
            <w:r w:rsidRPr="00796BC2">
              <w:rPr>
                <w:rFonts w:ascii="Arial Narrow" w:hAnsi="Arial Narrow"/>
                <w:color w:val="000000"/>
                <w:sz w:val="20"/>
              </w:rPr>
              <w:t>0.14</w:t>
            </w:r>
          </w:p>
        </w:tc>
        <w:tc>
          <w:tcPr>
            <w:tcW w:w="625" w:type="dxa"/>
            <w:tcBorders>
              <w:top w:val="single" w:sz="4" w:space="0" w:color="auto"/>
              <w:left w:val="single" w:sz="4" w:space="0" w:color="auto"/>
              <w:bottom w:val="single" w:sz="4" w:space="0" w:color="auto"/>
              <w:right w:val="single" w:sz="4" w:space="0" w:color="auto"/>
            </w:tcBorders>
            <w:shd w:val="clear" w:color="auto" w:fill="538DD5"/>
            <w:noWrap/>
            <w:tcMar>
              <w:left w:w="57" w:type="dxa"/>
              <w:right w:w="57" w:type="dxa"/>
            </w:tcMar>
            <w:vAlign w:val="bottom"/>
          </w:tcPr>
          <w:p w14:paraId="72510C55" w14:textId="77777777" w:rsidR="000F777A" w:rsidRPr="00796BC2" w:rsidRDefault="000F777A" w:rsidP="00112B73">
            <w:pPr>
              <w:jc w:val="center"/>
              <w:rPr>
                <w:rFonts w:ascii="Arial Narrow" w:hAnsi="Arial Narrow"/>
                <w:color w:val="000000"/>
                <w:sz w:val="20"/>
              </w:rPr>
            </w:pPr>
            <w:r w:rsidRPr="00796BC2">
              <w:rPr>
                <w:rFonts w:ascii="Arial Narrow" w:hAnsi="Arial Narrow"/>
                <w:color w:val="000000"/>
                <w:sz w:val="20"/>
              </w:rPr>
              <w:t>0.90</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tcPr>
          <w:p w14:paraId="2A52FC29" w14:textId="77777777" w:rsidR="000F777A" w:rsidRPr="00796BC2" w:rsidRDefault="000F777A" w:rsidP="00112B73">
            <w:pPr>
              <w:jc w:val="center"/>
              <w:rPr>
                <w:rFonts w:ascii="Arial Narrow" w:hAnsi="Arial Narrow"/>
                <w:color w:val="000000"/>
                <w:sz w:val="20"/>
              </w:rPr>
            </w:pPr>
            <w:r w:rsidRPr="00796BC2">
              <w:rPr>
                <w:rFonts w:ascii="Arial Narrow" w:hAnsi="Arial Narrow"/>
                <w:color w:val="000000"/>
                <w:sz w:val="20"/>
              </w:rPr>
              <w:t>0.08</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tcPr>
          <w:p w14:paraId="4CA07E4C" w14:textId="77777777" w:rsidR="000F777A" w:rsidRPr="00796BC2" w:rsidRDefault="000F777A" w:rsidP="00112B73">
            <w:pPr>
              <w:jc w:val="center"/>
              <w:rPr>
                <w:rFonts w:ascii="Arial Narrow" w:hAnsi="Arial Narrow"/>
                <w:color w:val="000000"/>
                <w:sz w:val="20"/>
              </w:rPr>
            </w:pPr>
            <w:r w:rsidRPr="00796BC2">
              <w:rPr>
                <w:rFonts w:ascii="Arial Narrow" w:hAnsi="Arial Narrow"/>
                <w:color w:val="000000"/>
                <w:sz w:val="20"/>
              </w:rPr>
              <w:t>0.6</w:t>
            </w:r>
            <w:r>
              <w:rPr>
                <w:rFonts w:ascii="Arial Narrow" w:hAnsi="Arial Narrow"/>
                <w:color w:val="000000"/>
                <w:sz w:val="20"/>
              </w:rPr>
              <w:t>3</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tcPr>
          <w:p w14:paraId="4419F570" w14:textId="77777777" w:rsidR="000F777A" w:rsidRPr="00796BC2" w:rsidRDefault="000F777A" w:rsidP="00112B73">
            <w:pPr>
              <w:jc w:val="center"/>
              <w:rPr>
                <w:rFonts w:ascii="Arial Narrow" w:hAnsi="Arial Narrow"/>
                <w:color w:val="000000"/>
                <w:sz w:val="20"/>
              </w:rPr>
            </w:pPr>
            <w:r w:rsidRPr="00796BC2">
              <w:rPr>
                <w:rFonts w:ascii="Arial Narrow" w:hAnsi="Arial Narrow"/>
                <w:color w:val="000000"/>
                <w:sz w:val="20"/>
              </w:rPr>
              <w:t>0.17</w:t>
            </w:r>
          </w:p>
        </w:tc>
        <w:tc>
          <w:tcPr>
            <w:tcW w:w="626"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tcPr>
          <w:p w14:paraId="32E99CA2" w14:textId="77777777" w:rsidR="000F777A" w:rsidRPr="00796BC2" w:rsidRDefault="000F777A" w:rsidP="00112B73">
            <w:pPr>
              <w:jc w:val="center"/>
              <w:rPr>
                <w:rFonts w:ascii="Arial Narrow" w:hAnsi="Arial Narrow"/>
                <w:color w:val="000000"/>
                <w:sz w:val="20"/>
              </w:rPr>
            </w:pPr>
            <w:r w:rsidRPr="00796BC2">
              <w:rPr>
                <w:rFonts w:ascii="Arial Narrow" w:hAnsi="Arial Narrow"/>
                <w:color w:val="000000"/>
                <w:sz w:val="20"/>
              </w:rPr>
              <w:t>0.6</w:t>
            </w:r>
            <w:r>
              <w:rPr>
                <w:rFonts w:ascii="Arial Narrow" w:hAnsi="Arial Narrow"/>
                <w:color w:val="000000"/>
                <w:sz w:val="20"/>
              </w:rPr>
              <w:t>7</w:t>
            </w:r>
          </w:p>
        </w:tc>
      </w:tr>
      <w:tr w:rsidR="000F777A" w:rsidRPr="00852372" w14:paraId="5582893C" w14:textId="77777777" w:rsidTr="00857168">
        <w:trPr>
          <w:cantSplit/>
          <w:trHeight w:hRule="exact" w:val="301"/>
        </w:trPr>
        <w:tc>
          <w:tcPr>
            <w:tcW w:w="1074" w:type="dxa"/>
            <w:vMerge/>
            <w:shd w:val="clear" w:color="auto" w:fill="auto"/>
            <w:noWrap/>
            <w:tcMar>
              <w:left w:w="57" w:type="dxa"/>
              <w:right w:w="57" w:type="dxa"/>
            </w:tcMar>
            <w:vAlign w:val="center"/>
          </w:tcPr>
          <w:p w14:paraId="506B8EEE" w14:textId="77777777" w:rsidR="000F777A" w:rsidRPr="00852372" w:rsidRDefault="000F777A" w:rsidP="00112B73">
            <w:pPr>
              <w:spacing w:after="0"/>
              <w:jc w:val="right"/>
              <w:rPr>
                <w:rFonts w:ascii="Arial Narrow" w:hAnsi="Arial Narrow"/>
                <w:bCs/>
                <w:color w:val="000000"/>
                <w:sz w:val="20"/>
              </w:rPr>
            </w:pPr>
          </w:p>
        </w:tc>
        <w:tc>
          <w:tcPr>
            <w:tcW w:w="350" w:type="dxa"/>
            <w:shd w:val="clear" w:color="auto" w:fill="auto"/>
            <w:noWrap/>
            <w:tcMar>
              <w:left w:w="57" w:type="dxa"/>
              <w:right w:w="57" w:type="dxa"/>
            </w:tcMar>
            <w:vAlign w:val="center"/>
          </w:tcPr>
          <w:p w14:paraId="49571295" w14:textId="77777777" w:rsidR="000F777A" w:rsidRPr="00852372" w:rsidRDefault="000F777A" w:rsidP="00112B73">
            <w:pPr>
              <w:spacing w:after="0"/>
              <w:jc w:val="center"/>
              <w:rPr>
                <w:rFonts w:ascii="Arial Narrow" w:hAnsi="Arial Narrow"/>
                <w:bCs/>
                <w:color w:val="000000"/>
                <w:sz w:val="20"/>
              </w:rPr>
            </w:pPr>
            <w:r w:rsidRPr="00852372">
              <w:rPr>
                <w:rFonts w:ascii="Arial Narrow" w:hAnsi="Arial Narrow"/>
                <w:bCs/>
                <w:color w:val="000000"/>
                <w:sz w:val="20"/>
              </w:rPr>
              <w:t>5</w:t>
            </w:r>
          </w:p>
        </w:tc>
        <w:tc>
          <w:tcPr>
            <w:tcW w:w="625" w:type="dxa"/>
            <w:tcBorders>
              <w:top w:val="single" w:sz="4" w:space="0" w:color="auto"/>
              <w:left w:val="nil"/>
              <w:bottom w:val="single" w:sz="4" w:space="0" w:color="auto"/>
              <w:right w:val="single" w:sz="4" w:space="0" w:color="auto"/>
            </w:tcBorders>
            <w:shd w:val="clear" w:color="auto" w:fill="C6D9F1" w:themeFill="text2" w:themeFillTint="33"/>
            <w:noWrap/>
            <w:tcMar>
              <w:left w:w="57" w:type="dxa"/>
              <w:right w:w="57" w:type="dxa"/>
            </w:tcMar>
            <w:vAlign w:val="bottom"/>
          </w:tcPr>
          <w:p w14:paraId="2C70BAF7" w14:textId="77777777" w:rsidR="000F777A" w:rsidRPr="00796BC2" w:rsidRDefault="000F777A" w:rsidP="00112B73">
            <w:pPr>
              <w:spacing w:after="0"/>
              <w:jc w:val="center"/>
              <w:rPr>
                <w:rFonts w:ascii="Arial Narrow" w:hAnsi="Arial Narrow"/>
                <w:bCs/>
                <w:color w:val="000000"/>
                <w:sz w:val="20"/>
              </w:rPr>
            </w:pPr>
            <w:r w:rsidRPr="00796BC2">
              <w:rPr>
                <w:rFonts w:ascii="Arial Narrow" w:hAnsi="Arial Narrow"/>
                <w:color w:val="000000"/>
                <w:sz w:val="20"/>
              </w:rPr>
              <w:t>0.04</w:t>
            </w:r>
          </w:p>
        </w:tc>
        <w:tc>
          <w:tcPr>
            <w:tcW w:w="625" w:type="dxa"/>
            <w:tcBorders>
              <w:top w:val="single" w:sz="4" w:space="0" w:color="auto"/>
              <w:left w:val="single" w:sz="4" w:space="0" w:color="auto"/>
              <w:bottom w:val="single" w:sz="4" w:space="0" w:color="auto"/>
              <w:right w:val="single" w:sz="4" w:space="0" w:color="auto"/>
            </w:tcBorders>
            <w:shd w:val="clear" w:color="auto" w:fill="C6D9F1" w:themeFill="text2" w:themeFillTint="33"/>
            <w:noWrap/>
            <w:tcMar>
              <w:left w:w="57" w:type="dxa"/>
              <w:right w:w="57" w:type="dxa"/>
            </w:tcMar>
            <w:vAlign w:val="bottom"/>
          </w:tcPr>
          <w:p w14:paraId="7BC17197" w14:textId="77777777" w:rsidR="000F777A" w:rsidRPr="00796BC2" w:rsidRDefault="000F777A" w:rsidP="00112B73">
            <w:pPr>
              <w:spacing w:after="0"/>
              <w:jc w:val="center"/>
              <w:rPr>
                <w:rFonts w:ascii="Arial Narrow" w:hAnsi="Arial Narrow"/>
                <w:bCs/>
                <w:color w:val="000000"/>
                <w:sz w:val="20"/>
              </w:rPr>
            </w:pPr>
            <w:r w:rsidRPr="00796BC2">
              <w:rPr>
                <w:rFonts w:ascii="Arial Narrow" w:hAnsi="Arial Narrow"/>
                <w:color w:val="000000"/>
                <w:sz w:val="20"/>
              </w:rPr>
              <w:t>0.7</w:t>
            </w:r>
            <w:r>
              <w:rPr>
                <w:rFonts w:ascii="Arial Narrow" w:hAnsi="Arial Narrow"/>
                <w:color w:val="000000"/>
                <w:sz w:val="20"/>
              </w:rPr>
              <w:t>1</w:t>
            </w:r>
          </w:p>
        </w:tc>
        <w:tc>
          <w:tcPr>
            <w:tcW w:w="625" w:type="dxa"/>
            <w:tcBorders>
              <w:top w:val="single" w:sz="4" w:space="0" w:color="auto"/>
              <w:left w:val="single" w:sz="4" w:space="0" w:color="auto"/>
              <w:bottom w:val="single" w:sz="4" w:space="0" w:color="auto"/>
              <w:right w:val="single" w:sz="4" w:space="0" w:color="auto"/>
            </w:tcBorders>
            <w:shd w:val="clear" w:color="auto" w:fill="C6D9F1" w:themeFill="text2" w:themeFillTint="33"/>
            <w:noWrap/>
            <w:tcMar>
              <w:left w:w="57" w:type="dxa"/>
              <w:right w:w="57" w:type="dxa"/>
            </w:tcMar>
            <w:vAlign w:val="bottom"/>
          </w:tcPr>
          <w:p w14:paraId="472FA238" w14:textId="77777777" w:rsidR="000F777A" w:rsidRPr="00796BC2" w:rsidRDefault="000F777A" w:rsidP="00112B73">
            <w:pPr>
              <w:jc w:val="center"/>
              <w:rPr>
                <w:rFonts w:ascii="Arial Narrow" w:hAnsi="Arial Narrow"/>
                <w:color w:val="000000"/>
                <w:sz w:val="20"/>
              </w:rPr>
            </w:pPr>
            <w:r w:rsidRPr="00796BC2">
              <w:rPr>
                <w:rFonts w:ascii="Arial Narrow" w:hAnsi="Arial Narrow"/>
                <w:color w:val="000000"/>
                <w:sz w:val="20"/>
              </w:rPr>
              <w:t>0.06</w:t>
            </w:r>
          </w:p>
        </w:tc>
        <w:tc>
          <w:tcPr>
            <w:tcW w:w="625" w:type="dxa"/>
            <w:tcBorders>
              <w:top w:val="single" w:sz="4" w:space="0" w:color="auto"/>
              <w:left w:val="single" w:sz="4" w:space="0" w:color="auto"/>
              <w:bottom w:val="single" w:sz="4" w:space="0" w:color="auto"/>
              <w:right w:val="single" w:sz="4" w:space="0" w:color="auto"/>
            </w:tcBorders>
            <w:shd w:val="clear" w:color="auto" w:fill="C6D9F1" w:themeFill="text2" w:themeFillTint="33"/>
            <w:noWrap/>
            <w:tcMar>
              <w:left w:w="57" w:type="dxa"/>
              <w:right w:w="57" w:type="dxa"/>
            </w:tcMar>
            <w:vAlign w:val="bottom"/>
          </w:tcPr>
          <w:p w14:paraId="096F1BA2" w14:textId="77777777" w:rsidR="000F777A" w:rsidRPr="00796BC2" w:rsidRDefault="000F777A" w:rsidP="00112B73">
            <w:pPr>
              <w:jc w:val="center"/>
              <w:rPr>
                <w:rFonts w:ascii="Arial Narrow" w:hAnsi="Arial Narrow"/>
                <w:color w:val="000000"/>
                <w:sz w:val="20"/>
              </w:rPr>
            </w:pPr>
            <w:r>
              <w:rPr>
                <w:rFonts w:ascii="Arial Narrow" w:hAnsi="Arial Narrow"/>
                <w:color w:val="000000"/>
                <w:sz w:val="20"/>
              </w:rPr>
              <w:t>0.72</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tcPr>
          <w:p w14:paraId="0683CECD" w14:textId="77777777" w:rsidR="000F777A" w:rsidRPr="00796BC2" w:rsidRDefault="000F777A" w:rsidP="00112B73">
            <w:pPr>
              <w:jc w:val="center"/>
              <w:rPr>
                <w:rFonts w:ascii="Arial Narrow" w:hAnsi="Arial Narrow"/>
                <w:color w:val="000000"/>
                <w:sz w:val="20"/>
              </w:rPr>
            </w:pPr>
            <w:r w:rsidRPr="00796BC2">
              <w:rPr>
                <w:rFonts w:ascii="Arial Narrow" w:hAnsi="Arial Narrow"/>
                <w:color w:val="000000"/>
                <w:sz w:val="20"/>
              </w:rPr>
              <w:t>0.00</w:t>
            </w:r>
          </w:p>
        </w:tc>
        <w:tc>
          <w:tcPr>
            <w:tcW w:w="626"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tcPr>
          <w:p w14:paraId="09A143C0" w14:textId="77777777" w:rsidR="000F777A" w:rsidRPr="00796BC2" w:rsidRDefault="000F777A" w:rsidP="00112B73">
            <w:pPr>
              <w:jc w:val="center"/>
              <w:rPr>
                <w:rFonts w:ascii="Arial Narrow" w:hAnsi="Arial Narrow"/>
                <w:color w:val="000000"/>
                <w:sz w:val="20"/>
              </w:rPr>
            </w:pPr>
            <w:r>
              <w:rPr>
                <w:rFonts w:ascii="Arial Narrow" w:hAnsi="Arial Narrow"/>
                <w:color w:val="000000"/>
                <w:sz w:val="20"/>
              </w:rPr>
              <w:t>NA</w:t>
            </w:r>
          </w:p>
        </w:tc>
        <w:tc>
          <w:tcPr>
            <w:tcW w:w="625" w:type="dxa"/>
            <w:tcBorders>
              <w:top w:val="single" w:sz="4" w:space="0" w:color="auto"/>
              <w:left w:val="single" w:sz="4" w:space="0" w:color="auto"/>
              <w:bottom w:val="single" w:sz="4" w:space="0" w:color="auto"/>
              <w:right w:val="single" w:sz="4" w:space="0" w:color="auto"/>
            </w:tcBorders>
            <w:shd w:val="clear" w:color="auto" w:fill="C6D9F1" w:themeFill="text2" w:themeFillTint="33"/>
            <w:noWrap/>
            <w:tcMar>
              <w:left w:w="57" w:type="dxa"/>
              <w:right w:w="57" w:type="dxa"/>
            </w:tcMar>
            <w:vAlign w:val="bottom"/>
          </w:tcPr>
          <w:p w14:paraId="0AB0D5D9" w14:textId="77777777" w:rsidR="000F777A" w:rsidRPr="00796BC2" w:rsidRDefault="000F777A" w:rsidP="00112B73">
            <w:pPr>
              <w:jc w:val="center"/>
              <w:rPr>
                <w:rFonts w:ascii="Arial Narrow" w:hAnsi="Arial Narrow"/>
                <w:color w:val="000000"/>
                <w:sz w:val="20"/>
              </w:rPr>
            </w:pPr>
            <w:r w:rsidRPr="00796BC2">
              <w:rPr>
                <w:rFonts w:ascii="Arial Narrow" w:hAnsi="Arial Narrow"/>
                <w:color w:val="000000"/>
                <w:sz w:val="20"/>
              </w:rPr>
              <w:t>0.07</w:t>
            </w:r>
          </w:p>
        </w:tc>
        <w:tc>
          <w:tcPr>
            <w:tcW w:w="625" w:type="dxa"/>
            <w:tcBorders>
              <w:top w:val="single" w:sz="4" w:space="0" w:color="auto"/>
              <w:left w:val="single" w:sz="4" w:space="0" w:color="auto"/>
              <w:bottom w:val="single" w:sz="4" w:space="0" w:color="auto"/>
              <w:right w:val="single" w:sz="4" w:space="0" w:color="auto"/>
            </w:tcBorders>
            <w:shd w:val="clear" w:color="auto" w:fill="C6D9F1" w:themeFill="text2" w:themeFillTint="33"/>
            <w:noWrap/>
            <w:tcMar>
              <w:left w:w="57" w:type="dxa"/>
              <w:right w:w="57" w:type="dxa"/>
            </w:tcMar>
            <w:vAlign w:val="bottom"/>
          </w:tcPr>
          <w:p w14:paraId="3D08A90B" w14:textId="77777777" w:rsidR="000F777A" w:rsidRPr="00796BC2" w:rsidRDefault="000F777A" w:rsidP="00112B73">
            <w:pPr>
              <w:jc w:val="center"/>
              <w:rPr>
                <w:rFonts w:ascii="Arial Narrow" w:hAnsi="Arial Narrow"/>
                <w:color w:val="000000"/>
                <w:sz w:val="20"/>
              </w:rPr>
            </w:pPr>
            <w:r w:rsidRPr="00796BC2">
              <w:rPr>
                <w:rFonts w:ascii="Arial Narrow" w:hAnsi="Arial Narrow"/>
                <w:color w:val="000000"/>
                <w:sz w:val="20"/>
              </w:rPr>
              <w:t>0.7</w:t>
            </w:r>
            <w:r>
              <w:rPr>
                <w:rFonts w:ascii="Arial Narrow" w:hAnsi="Arial Narrow"/>
                <w:color w:val="000000"/>
                <w:sz w:val="20"/>
              </w:rPr>
              <w:t>3</w:t>
            </w:r>
          </w:p>
        </w:tc>
        <w:tc>
          <w:tcPr>
            <w:tcW w:w="625" w:type="dxa"/>
            <w:tcBorders>
              <w:top w:val="single" w:sz="4" w:space="0" w:color="auto"/>
              <w:left w:val="single" w:sz="4" w:space="0" w:color="auto"/>
              <w:bottom w:val="single" w:sz="4" w:space="0" w:color="auto"/>
              <w:right w:val="single" w:sz="4" w:space="0" w:color="auto"/>
            </w:tcBorders>
            <w:shd w:val="clear" w:color="auto" w:fill="8DB3E2"/>
            <w:noWrap/>
            <w:tcMar>
              <w:left w:w="57" w:type="dxa"/>
              <w:right w:w="57" w:type="dxa"/>
            </w:tcMar>
            <w:vAlign w:val="bottom"/>
          </w:tcPr>
          <w:p w14:paraId="1049E237" w14:textId="77777777" w:rsidR="000F777A" w:rsidRPr="00796BC2" w:rsidRDefault="000F777A" w:rsidP="00112B73">
            <w:pPr>
              <w:jc w:val="center"/>
              <w:rPr>
                <w:rFonts w:ascii="Arial Narrow" w:hAnsi="Arial Narrow"/>
                <w:color w:val="000000"/>
                <w:sz w:val="20"/>
              </w:rPr>
            </w:pPr>
            <w:r w:rsidRPr="00796BC2">
              <w:rPr>
                <w:rFonts w:ascii="Arial Narrow" w:hAnsi="Arial Narrow"/>
                <w:color w:val="000000"/>
                <w:sz w:val="20"/>
              </w:rPr>
              <w:t>0.15</w:t>
            </w:r>
          </w:p>
        </w:tc>
        <w:tc>
          <w:tcPr>
            <w:tcW w:w="625" w:type="dxa"/>
            <w:tcBorders>
              <w:top w:val="single" w:sz="4" w:space="0" w:color="auto"/>
              <w:left w:val="single" w:sz="4" w:space="0" w:color="auto"/>
              <w:bottom w:val="single" w:sz="4" w:space="0" w:color="auto"/>
              <w:right w:val="single" w:sz="4" w:space="0" w:color="auto"/>
            </w:tcBorders>
            <w:shd w:val="clear" w:color="auto" w:fill="8DB3E2"/>
            <w:noWrap/>
            <w:tcMar>
              <w:left w:w="57" w:type="dxa"/>
              <w:right w:w="57" w:type="dxa"/>
            </w:tcMar>
            <w:vAlign w:val="bottom"/>
          </w:tcPr>
          <w:p w14:paraId="7D781BF0" w14:textId="77777777" w:rsidR="000F777A" w:rsidRPr="00796BC2" w:rsidRDefault="000F777A" w:rsidP="00112B73">
            <w:pPr>
              <w:jc w:val="center"/>
              <w:rPr>
                <w:rFonts w:ascii="Arial Narrow" w:hAnsi="Arial Narrow"/>
                <w:color w:val="000000"/>
                <w:sz w:val="20"/>
              </w:rPr>
            </w:pPr>
            <w:r>
              <w:rPr>
                <w:rFonts w:ascii="Arial Narrow" w:hAnsi="Arial Narrow"/>
                <w:color w:val="000000"/>
                <w:sz w:val="20"/>
              </w:rPr>
              <w:t>0.85</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tcPr>
          <w:p w14:paraId="03D4BCBA" w14:textId="77777777" w:rsidR="000F777A" w:rsidRPr="00796BC2" w:rsidRDefault="000F777A" w:rsidP="00112B73">
            <w:pPr>
              <w:jc w:val="center"/>
              <w:rPr>
                <w:rFonts w:ascii="Arial Narrow" w:hAnsi="Arial Narrow"/>
                <w:color w:val="000000"/>
                <w:sz w:val="20"/>
              </w:rPr>
            </w:pPr>
            <w:r w:rsidRPr="00796BC2">
              <w:rPr>
                <w:rFonts w:ascii="Arial Narrow" w:hAnsi="Arial Narrow"/>
                <w:color w:val="000000"/>
                <w:sz w:val="20"/>
              </w:rPr>
              <w:t>-0.08</w:t>
            </w:r>
          </w:p>
        </w:tc>
        <w:tc>
          <w:tcPr>
            <w:tcW w:w="626"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bottom"/>
          </w:tcPr>
          <w:p w14:paraId="1358ECD6" w14:textId="77777777" w:rsidR="000F777A" w:rsidRPr="00796BC2" w:rsidRDefault="000F777A" w:rsidP="00112B73">
            <w:pPr>
              <w:jc w:val="center"/>
              <w:rPr>
                <w:rFonts w:ascii="Arial Narrow" w:hAnsi="Arial Narrow"/>
                <w:color w:val="000000"/>
                <w:sz w:val="20"/>
              </w:rPr>
            </w:pPr>
            <w:r w:rsidRPr="00796BC2">
              <w:rPr>
                <w:rFonts w:ascii="Arial Narrow" w:hAnsi="Arial Narrow"/>
                <w:color w:val="000000"/>
                <w:sz w:val="20"/>
              </w:rPr>
              <w:t>0.6</w:t>
            </w:r>
            <w:r>
              <w:rPr>
                <w:rFonts w:ascii="Arial Narrow" w:hAnsi="Arial Narrow"/>
                <w:color w:val="000000"/>
                <w:sz w:val="20"/>
              </w:rPr>
              <w:t>4</w:t>
            </w:r>
          </w:p>
        </w:tc>
      </w:tr>
    </w:tbl>
    <w:p w14:paraId="0BD7A52E" w14:textId="77777777" w:rsidR="002A3B0E" w:rsidRPr="00F352E1" w:rsidRDefault="002A3B0E" w:rsidP="00D93815">
      <w:pPr>
        <w:rPr>
          <w:rFonts w:cs="Arial"/>
          <w:color w:val="4F81BD" w:themeColor="accent1"/>
        </w:rPr>
      </w:pPr>
    </w:p>
    <w:p w14:paraId="6AE89C24" w14:textId="77777777" w:rsidR="00B36605" w:rsidRDefault="00B36605" w:rsidP="00B36605">
      <w:pPr>
        <w:rPr>
          <w:rFonts w:cs="Arial"/>
        </w:rPr>
      </w:pPr>
      <w:r w:rsidRPr="00CD0D47">
        <w:rPr>
          <w:rFonts w:cs="Arial"/>
        </w:rPr>
        <w:t>Coral communities are monitored at six fringing reefs within Keppel Bay</w:t>
      </w:r>
      <w:r w:rsidR="0081440D">
        <w:rPr>
          <w:rFonts w:cs="Arial"/>
        </w:rPr>
        <w:t xml:space="preserve">, situated along a distinct </w:t>
      </w:r>
      <w:r w:rsidR="00A72BA9">
        <w:rPr>
          <w:rFonts w:cs="Arial"/>
        </w:rPr>
        <w:t xml:space="preserve">environmental </w:t>
      </w:r>
      <w:r w:rsidR="0081440D">
        <w:rPr>
          <w:rFonts w:cs="Arial"/>
        </w:rPr>
        <w:t>gradient</w:t>
      </w:r>
      <w:r w:rsidRPr="00CD0D47">
        <w:rPr>
          <w:rFonts w:cs="Arial"/>
        </w:rPr>
        <w:t xml:space="preserve">. </w:t>
      </w:r>
      <w:r w:rsidRPr="00CD0D47">
        <w:rPr>
          <w:rFonts w:eastAsiaTheme="minorHAnsi" w:cs="Arial"/>
          <w:szCs w:val="22"/>
        </w:rPr>
        <w:t>Peak and Pelican are situated in relatively turbid and nutrient rich waters compared to reefs further offshore (</w:t>
      </w:r>
      <w:r w:rsidR="002032CF" w:rsidRPr="00CD0D47">
        <w:rPr>
          <w:rFonts w:eastAsiaTheme="minorHAnsi" w:cs="Arial"/>
          <w:szCs w:val="22"/>
        </w:rPr>
        <w:fldChar w:fldCharType="begin"/>
      </w:r>
      <w:r w:rsidR="002032CF" w:rsidRPr="00CD0D47">
        <w:rPr>
          <w:rFonts w:eastAsiaTheme="minorHAnsi" w:cs="Arial"/>
          <w:szCs w:val="22"/>
        </w:rPr>
        <w:instrText xml:space="preserve"> REF _Ref491345321 \h </w:instrText>
      </w:r>
      <w:r w:rsidR="002032CF" w:rsidRPr="00CD0D47">
        <w:rPr>
          <w:rFonts w:eastAsiaTheme="minorHAnsi" w:cs="Arial"/>
          <w:szCs w:val="22"/>
        </w:rPr>
      </w:r>
      <w:r w:rsidR="002032CF" w:rsidRPr="00CD0D47">
        <w:rPr>
          <w:rFonts w:eastAsiaTheme="minorHAnsi" w:cs="Arial"/>
          <w:szCs w:val="22"/>
        </w:rPr>
        <w:fldChar w:fldCharType="separate"/>
      </w:r>
      <w:r w:rsidR="00A75175" w:rsidRPr="00F352E1">
        <w:t xml:space="preserve">Figure </w:t>
      </w:r>
      <w:r w:rsidR="00A75175">
        <w:rPr>
          <w:noProof/>
        </w:rPr>
        <w:t>22</w:t>
      </w:r>
      <w:r w:rsidR="002032CF" w:rsidRPr="00CD0D47">
        <w:rPr>
          <w:rFonts w:eastAsiaTheme="minorHAnsi" w:cs="Arial"/>
          <w:szCs w:val="22"/>
        </w:rPr>
        <w:fldChar w:fldCharType="end"/>
      </w:r>
      <w:r w:rsidR="00497E9D" w:rsidRPr="00CD0D47">
        <w:rPr>
          <w:rFonts w:eastAsiaTheme="minorHAnsi" w:cs="Arial"/>
          <w:szCs w:val="22"/>
        </w:rPr>
        <w:t>a, b</w:t>
      </w:r>
      <w:r w:rsidRPr="00CD0D47">
        <w:rPr>
          <w:rFonts w:eastAsiaTheme="minorHAnsi" w:cs="Arial"/>
          <w:szCs w:val="22"/>
        </w:rPr>
        <w:t>)</w:t>
      </w:r>
      <w:r w:rsidR="0081440D">
        <w:rPr>
          <w:rFonts w:eastAsiaTheme="minorHAnsi" w:cs="Arial"/>
          <w:szCs w:val="22"/>
        </w:rPr>
        <w:t>.</w:t>
      </w:r>
      <w:r w:rsidRPr="00CD0D47">
        <w:rPr>
          <w:rFonts w:eastAsiaTheme="minorHAnsi" w:cs="Arial"/>
          <w:szCs w:val="22"/>
        </w:rPr>
        <w:t xml:space="preserve"> Keppels South, Middle and </w:t>
      </w:r>
      <w:r w:rsidR="00497E9D" w:rsidRPr="00CD0D47">
        <w:rPr>
          <w:rFonts w:eastAsiaTheme="minorHAnsi" w:cs="Arial"/>
          <w:szCs w:val="22"/>
        </w:rPr>
        <w:t xml:space="preserve">North Keppel are </w:t>
      </w:r>
      <w:r w:rsidR="0086527A">
        <w:rPr>
          <w:rFonts w:eastAsiaTheme="minorHAnsi" w:cs="Arial"/>
          <w:szCs w:val="22"/>
        </w:rPr>
        <w:t xml:space="preserve">consistently </w:t>
      </w:r>
      <w:r w:rsidR="00497E9D" w:rsidRPr="00CD0D47">
        <w:rPr>
          <w:rFonts w:eastAsiaTheme="minorHAnsi" w:cs="Arial"/>
          <w:szCs w:val="22"/>
        </w:rPr>
        <w:t xml:space="preserve">exposed to </w:t>
      </w:r>
      <w:r w:rsidR="0086527A">
        <w:rPr>
          <w:rFonts w:eastAsiaTheme="minorHAnsi" w:cs="Arial"/>
          <w:szCs w:val="22"/>
        </w:rPr>
        <w:t>C</w:t>
      </w:r>
      <w:r w:rsidR="008E3627" w:rsidRPr="00CD0D47">
        <w:rPr>
          <w:rFonts w:eastAsiaTheme="minorHAnsi" w:cs="Arial"/>
          <w:szCs w:val="22"/>
        </w:rPr>
        <w:t>hl</w:t>
      </w:r>
      <w:r w:rsidR="00497E9D" w:rsidRPr="00CD0D47">
        <w:rPr>
          <w:rFonts w:eastAsiaTheme="minorHAnsi" w:cs="Arial"/>
          <w:szCs w:val="22"/>
        </w:rPr>
        <w:t xml:space="preserve"> </w:t>
      </w:r>
      <w:r w:rsidR="00497E9D" w:rsidRPr="00CD0D47">
        <w:rPr>
          <w:rFonts w:eastAsiaTheme="minorHAnsi" w:cs="Arial"/>
          <w:i/>
          <w:szCs w:val="22"/>
        </w:rPr>
        <w:t>a</w:t>
      </w:r>
      <w:r w:rsidR="00497E9D" w:rsidRPr="00CD0D47">
        <w:rPr>
          <w:rFonts w:eastAsiaTheme="minorHAnsi" w:cs="Arial"/>
          <w:szCs w:val="22"/>
        </w:rPr>
        <w:t xml:space="preserve"> </w:t>
      </w:r>
      <w:r w:rsidR="0086527A">
        <w:rPr>
          <w:rFonts w:eastAsiaTheme="minorHAnsi" w:cs="Arial"/>
          <w:szCs w:val="22"/>
        </w:rPr>
        <w:t xml:space="preserve">concentrations that exceed Guidelines </w:t>
      </w:r>
      <w:r w:rsidR="00497E9D" w:rsidRPr="00CD0D47">
        <w:rPr>
          <w:rFonts w:eastAsiaTheme="minorHAnsi" w:cs="Arial"/>
          <w:szCs w:val="22"/>
        </w:rPr>
        <w:t xml:space="preserve">compared to </w:t>
      </w:r>
      <w:r w:rsidRPr="00CD0D47">
        <w:rPr>
          <w:rFonts w:eastAsiaTheme="minorHAnsi" w:cs="Arial"/>
          <w:szCs w:val="22"/>
        </w:rPr>
        <w:t xml:space="preserve">Barren </w:t>
      </w:r>
      <w:r w:rsidR="0086527A">
        <w:rPr>
          <w:rFonts w:eastAsiaTheme="minorHAnsi" w:cs="Arial"/>
          <w:szCs w:val="22"/>
        </w:rPr>
        <w:t xml:space="preserve">where </w:t>
      </w:r>
      <w:r w:rsidR="008E3627" w:rsidRPr="00CD0D47">
        <w:rPr>
          <w:rFonts w:eastAsiaTheme="minorHAnsi" w:cs="Arial"/>
          <w:szCs w:val="22"/>
        </w:rPr>
        <w:t>Chl</w:t>
      </w:r>
      <w:r w:rsidR="00497E9D" w:rsidRPr="00CD0D47">
        <w:rPr>
          <w:rFonts w:eastAsiaTheme="minorHAnsi" w:cs="Arial"/>
          <w:szCs w:val="22"/>
        </w:rPr>
        <w:t xml:space="preserve"> </w:t>
      </w:r>
      <w:r w:rsidR="00497E9D" w:rsidRPr="00CD0D47">
        <w:rPr>
          <w:rFonts w:eastAsiaTheme="minorHAnsi" w:cs="Arial"/>
          <w:i/>
          <w:szCs w:val="22"/>
        </w:rPr>
        <w:t>a</w:t>
      </w:r>
      <w:r w:rsidR="0086527A">
        <w:rPr>
          <w:rFonts w:eastAsiaTheme="minorHAnsi" w:cs="Arial"/>
          <w:szCs w:val="22"/>
        </w:rPr>
        <w:t xml:space="preserve"> levels are lower</w:t>
      </w:r>
      <w:r w:rsidR="006C3296" w:rsidRPr="00CD0D47">
        <w:rPr>
          <w:rFonts w:eastAsiaTheme="minorHAnsi" w:cs="Arial"/>
          <w:szCs w:val="22"/>
        </w:rPr>
        <w:t>;</w:t>
      </w:r>
      <w:r w:rsidR="00497E9D" w:rsidRPr="00CD0D47">
        <w:rPr>
          <w:rFonts w:eastAsiaTheme="minorHAnsi" w:cs="Arial"/>
          <w:szCs w:val="22"/>
        </w:rPr>
        <w:t xml:space="preserve"> these</w:t>
      </w:r>
      <w:r w:rsidR="0081440D">
        <w:rPr>
          <w:rFonts w:eastAsiaTheme="minorHAnsi" w:cs="Arial"/>
          <w:szCs w:val="22"/>
        </w:rPr>
        <w:t xml:space="preserve"> four</w:t>
      </w:r>
      <w:r w:rsidR="00497E9D" w:rsidRPr="00CD0D47">
        <w:rPr>
          <w:rFonts w:eastAsiaTheme="minorHAnsi" w:cs="Arial"/>
          <w:szCs w:val="22"/>
        </w:rPr>
        <w:t xml:space="preserve"> reefs</w:t>
      </w:r>
      <w:r w:rsidR="0081440D">
        <w:rPr>
          <w:rFonts w:eastAsiaTheme="minorHAnsi" w:cs="Arial"/>
          <w:szCs w:val="22"/>
        </w:rPr>
        <w:t xml:space="preserve"> </w:t>
      </w:r>
      <w:r w:rsidR="00497E9D" w:rsidRPr="00CD0D47">
        <w:rPr>
          <w:rFonts w:eastAsiaTheme="minorHAnsi" w:cs="Arial"/>
          <w:szCs w:val="22"/>
        </w:rPr>
        <w:t xml:space="preserve">share reasonably low levels of </w:t>
      </w:r>
      <w:r w:rsidR="007B79D8" w:rsidRPr="00CD0D47">
        <w:rPr>
          <w:rFonts w:eastAsiaTheme="minorHAnsi" w:cs="Arial"/>
          <w:szCs w:val="22"/>
        </w:rPr>
        <w:t xml:space="preserve">total suspended solids </w:t>
      </w:r>
      <w:r w:rsidRPr="00CD0D47">
        <w:rPr>
          <w:rFonts w:eastAsiaTheme="minorHAnsi" w:cs="Arial"/>
          <w:szCs w:val="22"/>
        </w:rPr>
        <w:t>(</w:t>
      </w:r>
      <w:r w:rsidR="002032CF" w:rsidRPr="00CD0D47">
        <w:rPr>
          <w:rFonts w:eastAsiaTheme="minorHAnsi" w:cs="Arial"/>
          <w:szCs w:val="22"/>
        </w:rPr>
        <w:fldChar w:fldCharType="begin"/>
      </w:r>
      <w:r w:rsidR="002032CF" w:rsidRPr="00CD0D47">
        <w:rPr>
          <w:rFonts w:eastAsiaTheme="minorHAnsi" w:cs="Arial"/>
          <w:szCs w:val="22"/>
        </w:rPr>
        <w:instrText xml:space="preserve"> REF _Ref491345321 \h </w:instrText>
      </w:r>
      <w:r w:rsidR="002032CF" w:rsidRPr="00CD0D47">
        <w:rPr>
          <w:rFonts w:eastAsiaTheme="minorHAnsi" w:cs="Arial"/>
          <w:szCs w:val="22"/>
        </w:rPr>
      </w:r>
      <w:r w:rsidR="002032CF" w:rsidRPr="00CD0D47">
        <w:rPr>
          <w:rFonts w:eastAsiaTheme="minorHAnsi" w:cs="Arial"/>
          <w:szCs w:val="22"/>
        </w:rPr>
        <w:fldChar w:fldCharType="separate"/>
      </w:r>
      <w:r w:rsidR="00A75175" w:rsidRPr="00F352E1">
        <w:t xml:space="preserve">Figure </w:t>
      </w:r>
      <w:r w:rsidR="00A75175">
        <w:rPr>
          <w:noProof/>
        </w:rPr>
        <w:t>22</w:t>
      </w:r>
      <w:r w:rsidR="002032CF" w:rsidRPr="00CD0D47">
        <w:rPr>
          <w:rFonts w:eastAsiaTheme="minorHAnsi" w:cs="Arial"/>
          <w:szCs w:val="22"/>
        </w:rPr>
        <w:fldChar w:fldCharType="end"/>
      </w:r>
      <w:r w:rsidR="006C3296" w:rsidRPr="00CD0D47">
        <w:rPr>
          <w:rFonts w:eastAsiaTheme="minorHAnsi" w:cs="Arial"/>
          <w:szCs w:val="22"/>
        </w:rPr>
        <w:t>a, b</w:t>
      </w:r>
      <w:r w:rsidR="00E6522F" w:rsidRPr="00CD0D47">
        <w:rPr>
          <w:rFonts w:eastAsiaTheme="minorHAnsi" w:cs="Arial"/>
          <w:szCs w:val="22"/>
        </w:rPr>
        <w:t>,</w:t>
      </w:r>
      <w:r w:rsidR="0086527A">
        <w:rPr>
          <w:rFonts w:eastAsiaTheme="minorHAnsi" w:cs="Arial"/>
          <w:szCs w:val="22"/>
        </w:rPr>
        <w:t xml:space="preserve"> </w:t>
      </w:r>
      <w:r w:rsidR="0086527A">
        <w:rPr>
          <w:rFonts w:eastAsiaTheme="minorHAnsi" w:cs="Arial"/>
          <w:szCs w:val="22"/>
        </w:rPr>
        <w:fldChar w:fldCharType="begin"/>
      </w:r>
      <w:r w:rsidR="0086527A">
        <w:rPr>
          <w:rFonts w:eastAsiaTheme="minorHAnsi" w:cs="Arial"/>
          <w:szCs w:val="22"/>
        </w:rPr>
        <w:instrText xml:space="preserve"> REF _Ref501113071 \h </w:instrText>
      </w:r>
      <w:r w:rsidR="0086527A">
        <w:rPr>
          <w:rFonts w:eastAsiaTheme="minorHAnsi" w:cs="Arial"/>
          <w:szCs w:val="22"/>
        </w:rPr>
      </w:r>
      <w:r w:rsidR="0086527A">
        <w:rPr>
          <w:rFonts w:eastAsiaTheme="minorHAnsi" w:cs="Arial"/>
          <w:szCs w:val="22"/>
        </w:rPr>
        <w:fldChar w:fldCharType="separate"/>
      </w:r>
      <w:r w:rsidR="00A75175">
        <w:t xml:space="preserve">Table A1. </w:t>
      </w:r>
      <w:r w:rsidR="00A75175">
        <w:rPr>
          <w:noProof/>
        </w:rPr>
        <w:t>6</w:t>
      </w:r>
      <w:r w:rsidR="0086527A">
        <w:rPr>
          <w:rFonts w:eastAsiaTheme="minorHAnsi" w:cs="Arial"/>
          <w:szCs w:val="22"/>
        </w:rPr>
        <w:fldChar w:fldCharType="end"/>
      </w:r>
      <w:r w:rsidRPr="00AF0E6C">
        <w:rPr>
          <w:rFonts w:eastAsiaTheme="minorHAnsi" w:cs="Arial"/>
          <w:szCs w:val="22"/>
        </w:rPr>
        <w:t xml:space="preserve">). </w:t>
      </w:r>
      <w:r w:rsidR="00C07634" w:rsidRPr="00AF0E6C">
        <w:rPr>
          <w:rFonts w:eastAsiaTheme="minorHAnsi" w:cs="Arial"/>
          <w:szCs w:val="22"/>
        </w:rPr>
        <w:t>The</w:t>
      </w:r>
      <w:r w:rsidR="0086527A">
        <w:rPr>
          <w:rFonts w:eastAsiaTheme="minorHAnsi" w:cs="Arial"/>
          <w:szCs w:val="22"/>
        </w:rPr>
        <w:t>se</w:t>
      </w:r>
      <w:r w:rsidR="00C07634" w:rsidRPr="00AF0E6C">
        <w:rPr>
          <w:rFonts w:eastAsiaTheme="minorHAnsi" w:cs="Arial"/>
          <w:szCs w:val="22"/>
        </w:rPr>
        <w:t xml:space="preserve"> gradients</w:t>
      </w:r>
      <w:r w:rsidRPr="00AF0E6C">
        <w:rPr>
          <w:rFonts w:eastAsiaTheme="minorHAnsi" w:cs="Arial"/>
          <w:szCs w:val="22"/>
        </w:rPr>
        <w:t xml:space="preserve"> in water quality are clearly </w:t>
      </w:r>
      <w:r w:rsidR="00A72BA9">
        <w:rPr>
          <w:rFonts w:eastAsiaTheme="minorHAnsi" w:cs="Arial"/>
          <w:szCs w:val="22"/>
        </w:rPr>
        <w:t>reflected</w:t>
      </w:r>
      <w:r w:rsidRPr="00AF0E6C">
        <w:rPr>
          <w:rFonts w:eastAsiaTheme="minorHAnsi" w:cs="Arial"/>
          <w:szCs w:val="22"/>
        </w:rPr>
        <w:t xml:space="preserve"> in the benthic communities. At </w:t>
      </w:r>
      <w:r w:rsidRPr="00AF0E6C">
        <w:rPr>
          <w:rFonts w:cs="Arial"/>
        </w:rPr>
        <w:t>Peak and Pelican benthic communi</w:t>
      </w:r>
      <w:r w:rsidR="002032CF" w:rsidRPr="00AF0E6C">
        <w:rPr>
          <w:rFonts w:cs="Arial"/>
        </w:rPr>
        <w:t>ties differ markedly between</w:t>
      </w:r>
      <w:r w:rsidRPr="00AF0E6C">
        <w:rPr>
          <w:rFonts w:cs="Arial"/>
        </w:rPr>
        <w:t xml:space="preserve"> 2</w:t>
      </w:r>
      <w:r w:rsidR="002032CF" w:rsidRPr="00AF0E6C">
        <w:rPr>
          <w:rFonts w:cs="Arial"/>
        </w:rPr>
        <w:t xml:space="preserve"> </w:t>
      </w:r>
      <w:r w:rsidRPr="00AF0E6C">
        <w:rPr>
          <w:rFonts w:cs="Arial"/>
        </w:rPr>
        <w:t>m and 5</w:t>
      </w:r>
      <w:r w:rsidR="002032CF" w:rsidRPr="00AF0E6C">
        <w:rPr>
          <w:rFonts w:cs="Arial"/>
        </w:rPr>
        <w:t xml:space="preserve"> </w:t>
      </w:r>
      <w:r w:rsidRPr="00AF0E6C">
        <w:rPr>
          <w:rFonts w:cs="Arial"/>
        </w:rPr>
        <w:t>m depths</w:t>
      </w:r>
      <w:r w:rsidRPr="00AF0E6C">
        <w:rPr>
          <w:rFonts w:eastAsiaTheme="minorHAnsi" w:cs="Arial"/>
          <w:szCs w:val="22"/>
        </w:rPr>
        <w:t xml:space="preserve"> (</w:t>
      </w:r>
      <w:r w:rsidR="007B0264">
        <w:rPr>
          <w:rFonts w:eastAsiaTheme="minorHAnsi" w:cs="Arial"/>
          <w:szCs w:val="22"/>
        </w:rPr>
        <w:fldChar w:fldCharType="begin"/>
      </w:r>
      <w:r w:rsidR="007B0264">
        <w:rPr>
          <w:rFonts w:eastAsiaTheme="minorHAnsi" w:cs="Arial"/>
          <w:szCs w:val="22"/>
        </w:rPr>
        <w:instrText xml:space="preserve"> REF _Ref504643702 \h </w:instrText>
      </w:r>
      <w:r w:rsidR="007B0264">
        <w:rPr>
          <w:rFonts w:eastAsiaTheme="minorHAnsi" w:cs="Arial"/>
          <w:szCs w:val="22"/>
        </w:rPr>
      </w:r>
      <w:r w:rsidR="007B0264">
        <w:rPr>
          <w:rFonts w:eastAsiaTheme="minorHAnsi" w:cs="Arial"/>
          <w:szCs w:val="22"/>
        </w:rPr>
        <w:fldChar w:fldCharType="separate"/>
      </w:r>
      <w:r w:rsidR="00A75175">
        <w:t xml:space="preserve">Figure A1. </w:t>
      </w:r>
      <w:r w:rsidR="00A75175">
        <w:rPr>
          <w:noProof/>
        </w:rPr>
        <w:t>6</w:t>
      </w:r>
      <w:r w:rsidR="007B0264">
        <w:rPr>
          <w:rFonts w:eastAsiaTheme="minorHAnsi" w:cs="Arial"/>
          <w:szCs w:val="22"/>
        </w:rPr>
        <w:fldChar w:fldCharType="end"/>
      </w:r>
      <w:r w:rsidRPr="00AF0E6C">
        <w:rPr>
          <w:rFonts w:eastAsiaTheme="minorHAnsi" w:cs="Arial"/>
          <w:szCs w:val="22"/>
        </w:rPr>
        <w:t xml:space="preserve">) </w:t>
      </w:r>
      <w:r w:rsidRPr="00AF0E6C">
        <w:rPr>
          <w:rFonts w:cs="Arial"/>
        </w:rPr>
        <w:t>illustrating the substantial attenuation of light as a result of high turbidity</w:t>
      </w:r>
      <w:r w:rsidR="002032CF" w:rsidRPr="00AF0E6C">
        <w:rPr>
          <w:rFonts w:cs="Arial"/>
        </w:rPr>
        <w:t>. The differences in community composition are evident in the baseline conditions for the Composition metric (</w:t>
      </w:r>
      <w:r w:rsidR="002032CF" w:rsidRPr="00AF0E6C">
        <w:rPr>
          <w:rFonts w:cs="Arial"/>
        </w:rPr>
        <w:fldChar w:fldCharType="begin"/>
      </w:r>
      <w:r w:rsidR="002032CF" w:rsidRPr="00AF0E6C">
        <w:rPr>
          <w:rFonts w:cs="Arial"/>
        </w:rPr>
        <w:instrText xml:space="preserve"> REF _Ref491345128 \h </w:instrText>
      </w:r>
      <w:r w:rsidR="00BE20D6" w:rsidRPr="00AF0E6C">
        <w:rPr>
          <w:rFonts w:cs="Arial"/>
        </w:rPr>
        <w:instrText xml:space="preserve"> \* MERGEFORMAT </w:instrText>
      </w:r>
      <w:r w:rsidR="002032CF" w:rsidRPr="00AF0E6C">
        <w:rPr>
          <w:rFonts w:cs="Arial"/>
        </w:rPr>
      </w:r>
      <w:r w:rsidR="002032CF" w:rsidRPr="00AF0E6C">
        <w:rPr>
          <w:rFonts w:cs="Arial"/>
        </w:rPr>
        <w:fldChar w:fldCharType="separate"/>
      </w:r>
      <w:r w:rsidR="00A75175" w:rsidRPr="00F352E1">
        <w:t xml:space="preserve">Figure </w:t>
      </w:r>
      <w:r w:rsidR="00A75175">
        <w:rPr>
          <w:noProof/>
        </w:rPr>
        <w:t>23</w:t>
      </w:r>
      <w:r w:rsidR="002032CF" w:rsidRPr="00AF0E6C">
        <w:rPr>
          <w:rFonts w:cs="Arial"/>
        </w:rPr>
        <w:fldChar w:fldCharType="end"/>
      </w:r>
      <w:r w:rsidR="002032CF" w:rsidRPr="00AF0E6C">
        <w:rPr>
          <w:rFonts w:cs="Arial"/>
        </w:rPr>
        <w:t>f)</w:t>
      </w:r>
      <w:r w:rsidRPr="00AF0E6C">
        <w:rPr>
          <w:rFonts w:cs="Arial"/>
        </w:rPr>
        <w:t>. Pelican has a highly stratified environment, supporting slow growing, low-light tolerant corals at depth, and fast-growing Acroporidae in the shallows</w:t>
      </w:r>
      <w:r w:rsidR="00A72BA9">
        <w:rPr>
          <w:rFonts w:cs="Arial"/>
        </w:rPr>
        <w:t>;</w:t>
      </w:r>
      <w:r w:rsidR="004A0FD4" w:rsidRPr="00AF0E6C">
        <w:rPr>
          <w:rFonts w:cs="Arial"/>
        </w:rPr>
        <w:t xml:space="preserve"> al</w:t>
      </w:r>
      <w:r w:rsidRPr="00AF0E6C">
        <w:rPr>
          <w:rFonts w:cs="Arial"/>
        </w:rPr>
        <w:t xml:space="preserve">though these shallow communities </w:t>
      </w:r>
      <w:r w:rsidR="004A0FD4" w:rsidRPr="00AF0E6C">
        <w:rPr>
          <w:rFonts w:cs="Arial"/>
        </w:rPr>
        <w:t xml:space="preserve">were killed </w:t>
      </w:r>
      <w:r w:rsidR="000543B8" w:rsidRPr="00AF0E6C">
        <w:rPr>
          <w:rFonts w:cs="Arial"/>
        </w:rPr>
        <w:t xml:space="preserve">and replaced by macroalgae </w:t>
      </w:r>
      <w:r w:rsidR="000543B8">
        <w:rPr>
          <w:rFonts w:cs="Arial"/>
        </w:rPr>
        <w:t xml:space="preserve">as a result of </w:t>
      </w:r>
      <w:r w:rsidRPr="00AF0E6C">
        <w:rPr>
          <w:rFonts w:cs="Arial"/>
        </w:rPr>
        <w:t>expos</w:t>
      </w:r>
      <w:r w:rsidR="000543B8">
        <w:rPr>
          <w:rFonts w:cs="Arial"/>
        </w:rPr>
        <w:t>ure</w:t>
      </w:r>
      <w:r w:rsidRPr="00AF0E6C">
        <w:rPr>
          <w:rFonts w:cs="Arial"/>
        </w:rPr>
        <w:t xml:space="preserve"> to freshwater during the 2011 floods</w:t>
      </w:r>
      <w:r w:rsidR="000543B8">
        <w:rPr>
          <w:rFonts w:cs="Arial"/>
        </w:rPr>
        <w:t xml:space="preserve"> of the Fitzroy River</w:t>
      </w:r>
      <w:r w:rsidRPr="00AF0E6C">
        <w:rPr>
          <w:rFonts w:cs="Arial"/>
        </w:rPr>
        <w:t xml:space="preserve"> (</w:t>
      </w:r>
      <w:r w:rsidR="007B0264">
        <w:rPr>
          <w:rFonts w:cs="Arial"/>
        </w:rPr>
        <w:fldChar w:fldCharType="begin"/>
      </w:r>
      <w:r w:rsidR="007B0264">
        <w:rPr>
          <w:rFonts w:cs="Arial"/>
        </w:rPr>
        <w:instrText xml:space="preserve"> REF _Ref504643702 \h </w:instrText>
      </w:r>
      <w:r w:rsidR="007B0264">
        <w:rPr>
          <w:rFonts w:cs="Arial"/>
        </w:rPr>
      </w:r>
      <w:r w:rsidR="007B0264">
        <w:rPr>
          <w:rFonts w:cs="Arial"/>
        </w:rPr>
        <w:fldChar w:fldCharType="separate"/>
      </w:r>
      <w:r w:rsidR="00A75175">
        <w:t xml:space="preserve">Figure A1. </w:t>
      </w:r>
      <w:r w:rsidR="00A75175">
        <w:rPr>
          <w:noProof/>
        </w:rPr>
        <w:t>6</w:t>
      </w:r>
      <w:r w:rsidR="007B0264">
        <w:rPr>
          <w:rFonts w:cs="Arial"/>
        </w:rPr>
        <w:fldChar w:fldCharType="end"/>
      </w:r>
      <w:r w:rsidR="007B79D8" w:rsidRPr="00AF0E6C">
        <w:rPr>
          <w:rFonts w:cs="Arial"/>
        </w:rPr>
        <w:t>)</w:t>
      </w:r>
      <w:r w:rsidRPr="00AF0E6C">
        <w:rPr>
          <w:rFonts w:cs="Arial"/>
        </w:rPr>
        <w:t xml:space="preserve">. </w:t>
      </w:r>
      <w:r w:rsidR="002032CF" w:rsidRPr="00AF0E6C">
        <w:rPr>
          <w:rFonts w:cs="Arial"/>
        </w:rPr>
        <w:t xml:space="preserve">This loss of </w:t>
      </w:r>
      <w:r w:rsidR="002032CF" w:rsidRPr="004670E1">
        <w:rPr>
          <w:rFonts w:cs="Arial"/>
          <w:i/>
        </w:rPr>
        <w:t>Acropora</w:t>
      </w:r>
      <w:r w:rsidR="002032CF" w:rsidRPr="00AF0E6C">
        <w:rPr>
          <w:rFonts w:cs="Arial"/>
        </w:rPr>
        <w:t xml:space="preserve"> resul</w:t>
      </w:r>
      <w:r w:rsidR="001B54F0" w:rsidRPr="00AF0E6C">
        <w:rPr>
          <w:rFonts w:cs="Arial"/>
        </w:rPr>
        <w:t>ted in a marked reduction in</w:t>
      </w:r>
      <w:r w:rsidR="002032CF" w:rsidRPr="00AF0E6C">
        <w:rPr>
          <w:rFonts w:cs="Arial"/>
        </w:rPr>
        <w:t xml:space="preserve"> Composition at this reef (</w:t>
      </w:r>
      <w:r w:rsidR="002032CF" w:rsidRPr="00AF0E6C">
        <w:rPr>
          <w:rFonts w:cs="Arial"/>
        </w:rPr>
        <w:fldChar w:fldCharType="begin"/>
      </w:r>
      <w:r w:rsidR="002032CF" w:rsidRPr="00AF0E6C">
        <w:rPr>
          <w:rFonts w:cs="Arial"/>
        </w:rPr>
        <w:instrText xml:space="preserve"> REF _Ref491345128 \h </w:instrText>
      </w:r>
      <w:r w:rsidR="00BE20D6" w:rsidRPr="00AF0E6C">
        <w:rPr>
          <w:rFonts w:cs="Arial"/>
        </w:rPr>
        <w:instrText xml:space="preserve"> \* MERGEFORMAT </w:instrText>
      </w:r>
      <w:r w:rsidR="002032CF" w:rsidRPr="00AF0E6C">
        <w:rPr>
          <w:rFonts w:cs="Arial"/>
        </w:rPr>
      </w:r>
      <w:r w:rsidR="002032CF" w:rsidRPr="00AF0E6C">
        <w:rPr>
          <w:rFonts w:cs="Arial"/>
        </w:rPr>
        <w:fldChar w:fldCharType="separate"/>
      </w:r>
      <w:r w:rsidR="00A75175" w:rsidRPr="00F352E1">
        <w:t xml:space="preserve">Figure </w:t>
      </w:r>
      <w:r w:rsidR="00A75175">
        <w:rPr>
          <w:noProof/>
        </w:rPr>
        <w:t>23</w:t>
      </w:r>
      <w:r w:rsidR="002032CF" w:rsidRPr="00AF0E6C">
        <w:rPr>
          <w:rFonts w:cs="Arial"/>
        </w:rPr>
        <w:fldChar w:fldCharType="end"/>
      </w:r>
      <w:r w:rsidR="002032CF" w:rsidRPr="00AF0E6C">
        <w:rPr>
          <w:rFonts w:cs="Arial"/>
        </w:rPr>
        <w:t xml:space="preserve">f). </w:t>
      </w:r>
      <w:r w:rsidR="004A0FD4" w:rsidRPr="00AF0E6C">
        <w:rPr>
          <w:rFonts w:cs="Arial"/>
        </w:rPr>
        <w:t xml:space="preserve">Since 2013 the gradual </w:t>
      </w:r>
      <w:r w:rsidRPr="00AF0E6C">
        <w:rPr>
          <w:rFonts w:cs="Arial"/>
        </w:rPr>
        <w:t>appearance of juvenile Acroporidae (</w:t>
      </w:r>
      <w:r w:rsidR="007B0264">
        <w:rPr>
          <w:rFonts w:cs="Arial"/>
        </w:rPr>
        <w:fldChar w:fldCharType="begin"/>
      </w:r>
      <w:r w:rsidR="007B0264">
        <w:rPr>
          <w:rFonts w:cs="Arial"/>
        </w:rPr>
        <w:instrText xml:space="preserve"> REF _Ref504643702 \h </w:instrText>
      </w:r>
      <w:r w:rsidR="007B0264">
        <w:rPr>
          <w:rFonts w:cs="Arial"/>
        </w:rPr>
      </w:r>
      <w:r w:rsidR="007B0264">
        <w:rPr>
          <w:rFonts w:cs="Arial"/>
        </w:rPr>
        <w:fldChar w:fldCharType="separate"/>
      </w:r>
      <w:r w:rsidR="00A75175">
        <w:t xml:space="preserve">Figure A1. </w:t>
      </w:r>
      <w:r w:rsidR="00A75175">
        <w:rPr>
          <w:noProof/>
        </w:rPr>
        <w:t>6</w:t>
      </w:r>
      <w:r w:rsidR="007B0264">
        <w:rPr>
          <w:rFonts w:cs="Arial"/>
        </w:rPr>
        <w:fldChar w:fldCharType="end"/>
      </w:r>
      <w:r w:rsidRPr="00AF0E6C">
        <w:rPr>
          <w:rFonts w:cs="Arial"/>
        </w:rPr>
        <w:t>) mark the beginning of a recovery of the coral community</w:t>
      </w:r>
      <w:r w:rsidR="004A0FD4" w:rsidRPr="00AF0E6C">
        <w:rPr>
          <w:rFonts w:cs="Arial"/>
        </w:rPr>
        <w:t xml:space="preserve"> at the 2</w:t>
      </w:r>
      <w:r w:rsidR="002032CF" w:rsidRPr="00AF0E6C">
        <w:rPr>
          <w:rFonts w:cs="Arial"/>
        </w:rPr>
        <w:t xml:space="preserve"> </w:t>
      </w:r>
      <w:r w:rsidR="004A0FD4" w:rsidRPr="00AF0E6C">
        <w:rPr>
          <w:rFonts w:cs="Arial"/>
        </w:rPr>
        <w:t>m depth of Pelican</w:t>
      </w:r>
      <w:r w:rsidRPr="00AF0E6C">
        <w:rPr>
          <w:rFonts w:cs="Arial"/>
        </w:rPr>
        <w:t xml:space="preserve">. </w:t>
      </w:r>
      <w:r w:rsidR="002032CF" w:rsidRPr="00AF0E6C">
        <w:rPr>
          <w:rFonts w:cs="Arial"/>
        </w:rPr>
        <w:t>C</w:t>
      </w:r>
      <w:r w:rsidRPr="00AF0E6C">
        <w:rPr>
          <w:rFonts w:cs="Arial"/>
        </w:rPr>
        <w:t>loser to the Fitzroy River, Peak is defined by a low cover of corals, low density of juvenile corals, high cover of macroalgae</w:t>
      </w:r>
      <w:r w:rsidR="00BE20D6" w:rsidRPr="00AF0E6C">
        <w:rPr>
          <w:rFonts w:cs="Arial"/>
        </w:rPr>
        <w:t xml:space="preserve"> (</w:t>
      </w:r>
      <w:r w:rsidR="007B0264">
        <w:rPr>
          <w:rFonts w:cs="Arial"/>
        </w:rPr>
        <w:fldChar w:fldCharType="begin"/>
      </w:r>
      <w:r w:rsidR="007B0264">
        <w:rPr>
          <w:rFonts w:cs="Arial"/>
        </w:rPr>
        <w:instrText xml:space="preserve"> REF _Ref504643702 \h </w:instrText>
      </w:r>
      <w:r w:rsidR="007B0264">
        <w:rPr>
          <w:rFonts w:cs="Arial"/>
        </w:rPr>
      </w:r>
      <w:r w:rsidR="007B0264">
        <w:rPr>
          <w:rFonts w:cs="Arial"/>
        </w:rPr>
        <w:fldChar w:fldCharType="separate"/>
      </w:r>
      <w:r w:rsidR="00A75175">
        <w:t xml:space="preserve">Figure A1. </w:t>
      </w:r>
      <w:r w:rsidR="00A75175">
        <w:rPr>
          <w:noProof/>
        </w:rPr>
        <w:t>6</w:t>
      </w:r>
      <w:r w:rsidR="007B0264">
        <w:rPr>
          <w:rFonts w:cs="Arial"/>
        </w:rPr>
        <w:fldChar w:fldCharType="end"/>
      </w:r>
      <w:r w:rsidR="00BE20D6" w:rsidRPr="00AF0E6C">
        <w:rPr>
          <w:rFonts w:cs="Arial"/>
        </w:rPr>
        <w:t>)</w:t>
      </w:r>
      <w:r w:rsidRPr="00AF0E6C">
        <w:rPr>
          <w:rFonts w:cs="Arial"/>
        </w:rPr>
        <w:t>, and a lack of substantial reef development, suggesting that the environmental conditions at this location are marginal</w:t>
      </w:r>
      <w:r w:rsidR="00BE20D6" w:rsidRPr="00AF0E6C">
        <w:rPr>
          <w:rFonts w:cs="Arial"/>
        </w:rPr>
        <w:t xml:space="preserve"> for most corals</w:t>
      </w:r>
      <w:r w:rsidRPr="00AF0E6C">
        <w:rPr>
          <w:rFonts w:cs="Arial"/>
        </w:rPr>
        <w:t xml:space="preserve">. </w:t>
      </w:r>
      <w:r w:rsidR="004A0FD4" w:rsidRPr="00AF0E6C">
        <w:rPr>
          <w:rFonts w:cs="Arial"/>
        </w:rPr>
        <w:t>In the less turbid waters</w:t>
      </w:r>
      <w:r w:rsidRPr="00AF0E6C">
        <w:rPr>
          <w:rFonts w:cs="Arial"/>
        </w:rPr>
        <w:t xml:space="preserve"> at Keppels South, Middle Is, North Keppel, and Barren </w:t>
      </w:r>
      <w:r w:rsidR="00E6522F" w:rsidRPr="00AF0E6C">
        <w:rPr>
          <w:rFonts w:cs="Arial"/>
        </w:rPr>
        <w:t xml:space="preserve">the coral </w:t>
      </w:r>
      <w:r w:rsidR="00457F7A" w:rsidRPr="00AF0E6C">
        <w:rPr>
          <w:rFonts w:cs="Arial"/>
        </w:rPr>
        <w:t>communities</w:t>
      </w:r>
      <w:r w:rsidR="00E6522F" w:rsidRPr="00AF0E6C">
        <w:rPr>
          <w:rFonts w:cs="Arial"/>
        </w:rPr>
        <w:t xml:space="preserve"> are </w:t>
      </w:r>
      <w:r w:rsidR="009026DA" w:rsidRPr="00AF0E6C">
        <w:rPr>
          <w:rFonts w:cs="Arial"/>
        </w:rPr>
        <w:t>dominated</w:t>
      </w:r>
      <w:r w:rsidR="002032CF" w:rsidRPr="00AF0E6C">
        <w:rPr>
          <w:rFonts w:cs="Arial"/>
        </w:rPr>
        <w:t xml:space="preserve"> Acroporidae</w:t>
      </w:r>
      <w:r w:rsidR="00BE20D6" w:rsidRPr="00AF0E6C">
        <w:rPr>
          <w:rFonts w:cs="Arial"/>
        </w:rPr>
        <w:t xml:space="preserve"> (</w:t>
      </w:r>
      <w:r w:rsidR="007B0264">
        <w:rPr>
          <w:rFonts w:cs="Arial"/>
        </w:rPr>
        <w:fldChar w:fldCharType="begin"/>
      </w:r>
      <w:r w:rsidR="007B0264">
        <w:rPr>
          <w:rFonts w:cs="Arial"/>
        </w:rPr>
        <w:instrText xml:space="preserve"> REF _Ref504643702 \h </w:instrText>
      </w:r>
      <w:r w:rsidR="007B0264">
        <w:rPr>
          <w:rFonts w:cs="Arial"/>
        </w:rPr>
      </w:r>
      <w:r w:rsidR="007B0264">
        <w:rPr>
          <w:rFonts w:cs="Arial"/>
        </w:rPr>
        <w:fldChar w:fldCharType="separate"/>
      </w:r>
      <w:r w:rsidR="00A75175">
        <w:t xml:space="preserve">Figure A1. </w:t>
      </w:r>
      <w:r w:rsidR="00A75175">
        <w:rPr>
          <w:noProof/>
        </w:rPr>
        <w:t>6</w:t>
      </w:r>
      <w:r w:rsidR="007B0264">
        <w:rPr>
          <w:rFonts w:cs="Arial"/>
        </w:rPr>
        <w:fldChar w:fldCharType="end"/>
      </w:r>
      <w:r w:rsidR="00BE20D6" w:rsidRPr="00AF0E6C">
        <w:rPr>
          <w:rFonts w:cs="Arial"/>
        </w:rPr>
        <w:t>)</w:t>
      </w:r>
      <w:r w:rsidRPr="00AF0E6C">
        <w:rPr>
          <w:rFonts w:cs="Arial"/>
        </w:rPr>
        <w:t xml:space="preserve">, principally, but not restricted to, the branching species </w:t>
      </w:r>
      <w:r w:rsidRPr="00AF0E6C">
        <w:rPr>
          <w:rFonts w:cs="Arial"/>
          <w:i/>
        </w:rPr>
        <w:t xml:space="preserve">Acropora intermedia </w:t>
      </w:r>
      <w:r w:rsidRPr="00AF0E6C">
        <w:rPr>
          <w:rFonts w:cs="Arial"/>
        </w:rPr>
        <w:t>and</w:t>
      </w:r>
      <w:r w:rsidRPr="00AF0E6C">
        <w:rPr>
          <w:rFonts w:cs="Arial"/>
          <w:i/>
        </w:rPr>
        <w:t xml:space="preserve"> A. muricata</w:t>
      </w:r>
      <w:r w:rsidRPr="00AF0E6C">
        <w:rPr>
          <w:rFonts w:cs="Arial"/>
        </w:rPr>
        <w:t>.</w:t>
      </w:r>
      <w:r w:rsidR="00776B3D">
        <w:rPr>
          <w:rFonts w:cs="Arial"/>
        </w:rPr>
        <w:t xml:space="preserve"> </w:t>
      </w:r>
      <w:r w:rsidRPr="00AF0E6C">
        <w:rPr>
          <w:rFonts w:cs="Arial"/>
        </w:rPr>
        <w:t xml:space="preserve"> </w:t>
      </w:r>
    </w:p>
    <w:p w14:paraId="78BB0763" w14:textId="77777777" w:rsidR="004670E1" w:rsidRPr="00AF0E6C" w:rsidRDefault="004670E1" w:rsidP="00B36605">
      <w:pPr>
        <w:rPr>
          <w:rFonts w:cs="Arial"/>
        </w:rPr>
      </w:pPr>
      <w:r>
        <w:rPr>
          <w:rFonts w:cs="Arial"/>
        </w:rPr>
        <w:t>The proximity to the Fitzroy River also influences the recovery dynamics of the reefs in this region. During inter disturbance periods, change in index scores across the region are negatively related to discharge from the Fitzroy River (</w:t>
      </w:r>
      <w:r>
        <w:rPr>
          <w:rFonts w:cs="Arial"/>
        </w:rPr>
        <w:fldChar w:fldCharType="begin"/>
      </w:r>
      <w:r>
        <w:rPr>
          <w:rFonts w:cs="Arial"/>
        </w:rPr>
        <w:instrText xml:space="preserve"> REF _Ref491164700 \h </w:instrText>
      </w:r>
      <w:r>
        <w:rPr>
          <w:rFonts w:cs="Arial"/>
        </w:rPr>
      </w:r>
      <w:r>
        <w:rPr>
          <w:rFonts w:cs="Arial"/>
        </w:rPr>
        <w:fldChar w:fldCharType="separate"/>
      </w:r>
      <w:r w:rsidR="00A75175" w:rsidRPr="004252BF">
        <w:t xml:space="preserve">Figure </w:t>
      </w:r>
      <w:r w:rsidR="00A75175">
        <w:rPr>
          <w:noProof/>
        </w:rPr>
        <w:t>11</w:t>
      </w:r>
      <w:r>
        <w:rPr>
          <w:rFonts w:cs="Arial"/>
        </w:rPr>
        <w:fldChar w:fldCharType="end"/>
      </w:r>
      <w:r>
        <w:rPr>
          <w:rFonts w:cs="Arial"/>
        </w:rPr>
        <w:t>). This relationship corresponds to the higher levels of disease and the chronic pressures</w:t>
      </w:r>
      <w:r w:rsidR="003651A0">
        <w:rPr>
          <w:rFonts w:cs="Arial"/>
        </w:rPr>
        <w:t>,</w:t>
      </w:r>
      <w:r>
        <w:rPr>
          <w:rFonts w:cs="Arial"/>
        </w:rPr>
        <w:t xml:space="preserve"> implied by lower than expected rate of coral cover increase</w:t>
      </w:r>
      <w:r w:rsidR="003651A0">
        <w:rPr>
          <w:rFonts w:cs="Arial"/>
        </w:rPr>
        <w:t>,</w:t>
      </w:r>
      <w:r>
        <w:rPr>
          <w:rFonts w:cs="Arial"/>
        </w:rPr>
        <w:t xml:space="preserve"> especially over the period 2008-2013 </w:t>
      </w:r>
      <w:r w:rsidR="003651A0">
        <w:rPr>
          <w:rFonts w:cs="Arial"/>
        </w:rPr>
        <w:t>(</w:t>
      </w:r>
      <w:r w:rsidR="003651A0">
        <w:rPr>
          <w:rFonts w:cs="Arial"/>
        </w:rPr>
        <w:fldChar w:fldCharType="begin"/>
      </w:r>
      <w:r w:rsidR="003651A0">
        <w:rPr>
          <w:rFonts w:cs="Arial"/>
        </w:rPr>
        <w:instrText xml:space="preserve"> REF _Ref491345321 \h </w:instrText>
      </w:r>
      <w:r w:rsidR="003651A0">
        <w:rPr>
          <w:rFonts w:cs="Arial"/>
        </w:rPr>
      </w:r>
      <w:r w:rsidR="003651A0">
        <w:rPr>
          <w:rFonts w:cs="Arial"/>
        </w:rPr>
        <w:fldChar w:fldCharType="separate"/>
      </w:r>
      <w:r w:rsidR="00A75175" w:rsidRPr="00F352E1">
        <w:t xml:space="preserve">Figure </w:t>
      </w:r>
      <w:r w:rsidR="00A75175">
        <w:rPr>
          <w:noProof/>
        </w:rPr>
        <w:t>22</w:t>
      </w:r>
      <w:r w:rsidR="003651A0">
        <w:rPr>
          <w:rFonts w:cs="Arial"/>
        </w:rPr>
        <w:fldChar w:fldCharType="end"/>
      </w:r>
      <w:r w:rsidR="003651A0">
        <w:rPr>
          <w:rFonts w:cs="Arial"/>
        </w:rPr>
        <w:t xml:space="preserve">e) </w:t>
      </w:r>
      <w:r>
        <w:rPr>
          <w:rFonts w:cs="Arial"/>
        </w:rPr>
        <w:t>when discharges where mostly well above median levels (</w:t>
      </w:r>
      <w:r w:rsidR="003651A0">
        <w:rPr>
          <w:rFonts w:cs="Arial"/>
        </w:rPr>
        <w:fldChar w:fldCharType="begin"/>
      </w:r>
      <w:r w:rsidR="003651A0">
        <w:rPr>
          <w:rFonts w:cs="Arial"/>
        </w:rPr>
        <w:instrText xml:space="preserve"> REF _Ref491345321 \h </w:instrText>
      </w:r>
      <w:r w:rsidR="003651A0">
        <w:rPr>
          <w:rFonts w:cs="Arial"/>
        </w:rPr>
      </w:r>
      <w:r w:rsidR="003651A0">
        <w:rPr>
          <w:rFonts w:cs="Arial"/>
        </w:rPr>
        <w:fldChar w:fldCharType="separate"/>
      </w:r>
      <w:r w:rsidR="00A75175" w:rsidRPr="00F352E1">
        <w:t xml:space="preserve">Figure </w:t>
      </w:r>
      <w:r w:rsidR="00A75175">
        <w:rPr>
          <w:noProof/>
        </w:rPr>
        <w:t>22</w:t>
      </w:r>
      <w:r w:rsidR="003651A0">
        <w:rPr>
          <w:rFonts w:cs="Arial"/>
        </w:rPr>
        <w:fldChar w:fldCharType="end"/>
      </w:r>
      <w:r w:rsidR="003651A0">
        <w:rPr>
          <w:rFonts w:cs="Arial"/>
        </w:rPr>
        <w:t>d</w:t>
      </w:r>
      <w:r>
        <w:rPr>
          <w:rFonts w:cs="Arial"/>
        </w:rPr>
        <w:t>)</w:t>
      </w:r>
      <w:r w:rsidR="003651A0">
        <w:rPr>
          <w:rFonts w:cs="Arial"/>
        </w:rPr>
        <w:t xml:space="preserve">. </w:t>
      </w:r>
      <w:r w:rsidR="006B1EFC">
        <w:rPr>
          <w:rFonts w:cs="Arial"/>
        </w:rPr>
        <w:t>It should be noted here, that direct exposure to low salinity waters killed corals at 2 m depths at Peak and Pelican in 2008 and also Keppels South (2 m) in 2011.</w:t>
      </w:r>
      <w:r w:rsidR="003651A0">
        <w:rPr>
          <w:rFonts w:cs="Arial"/>
        </w:rPr>
        <w:t>The influence of flooding, in combination with severe bleaching in 2006 and the repeated exposure s</w:t>
      </w:r>
      <w:r w:rsidR="003651A0" w:rsidRPr="00AF0E6C">
        <w:rPr>
          <w:rFonts w:cs="Arial"/>
          <w:szCs w:val="22"/>
        </w:rPr>
        <w:t xml:space="preserve">torm driven waves in 2008, ex-TC Oswald 2013, ex-TC Dylan 2014 and Cyclone Marcia 2015 </w:t>
      </w:r>
      <w:r w:rsidR="003651A0">
        <w:rPr>
          <w:rFonts w:cs="Arial"/>
          <w:szCs w:val="22"/>
        </w:rPr>
        <w:t>(</w:t>
      </w:r>
      <w:r w:rsidR="003651A0">
        <w:rPr>
          <w:rFonts w:cs="Arial"/>
          <w:szCs w:val="22"/>
        </w:rPr>
        <w:fldChar w:fldCharType="begin"/>
      </w:r>
      <w:r w:rsidR="003651A0">
        <w:rPr>
          <w:rFonts w:cs="Arial"/>
          <w:szCs w:val="22"/>
        </w:rPr>
        <w:instrText xml:space="preserve"> REF _Ref491345321 \h </w:instrText>
      </w:r>
      <w:r w:rsidR="003651A0">
        <w:rPr>
          <w:rFonts w:cs="Arial"/>
          <w:szCs w:val="22"/>
        </w:rPr>
      </w:r>
      <w:r w:rsidR="003651A0">
        <w:rPr>
          <w:rFonts w:cs="Arial"/>
          <w:szCs w:val="22"/>
        </w:rPr>
        <w:fldChar w:fldCharType="separate"/>
      </w:r>
      <w:r w:rsidR="00A75175" w:rsidRPr="00F352E1">
        <w:t xml:space="preserve">Figure </w:t>
      </w:r>
      <w:r w:rsidR="00A75175">
        <w:rPr>
          <w:noProof/>
        </w:rPr>
        <w:t>22</w:t>
      </w:r>
      <w:r w:rsidR="003651A0">
        <w:rPr>
          <w:rFonts w:cs="Arial"/>
          <w:szCs w:val="22"/>
        </w:rPr>
        <w:fldChar w:fldCharType="end"/>
      </w:r>
      <w:r w:rsidR="003651A0">
        <w:rPr>
          <w:rFonts w:cs="Arial"/>
          <w:szCs w:val="22"/>
        </w:rPr>
        <w:t>e) ensured the decline in condition of coral communities through to 2015 as described by the coral index (</w:t>
      </w:r>
      <w:r w:rsidR="003651A0">
        <w:rPr>
          <w:rFonts w:cs="Arial"/>
          <w:szCs w:val="22"/>
        </w:rPr>
        <w:fldChar w:fldCharType="begin"/>
      </w:r>
      <w:r w:rsidR="003651A0">
        <w:rPr>
          <w:rFonts w:cs="Arial"/>
          <w:szCs w:val="22"/>
        </w:rPr>
        <w:instrText xml:space="preserve"> REF _Ref491345128 \h </w:instrText>
      </w:r>
      <w:r w:rsidR="003651A0">
        <w:rPr>
          <w:rFonts w:cs="Arial"/>
          <w:szCs w:val="22"/>
        </w:rPr>
      </w:r>
      <w:r w:rsidR="003651A0">
        <w:rPr>
          <w:rFonts w:cs="Arial"/>
          <w:szCs w:val="22"/>
        </w:rPr>
        <w:fldChar w:fldCharType="separate"/>
      </w:r>
      <w:r w:rsidR="00A75175" w:rsidRPr="00F352E1">
        <w:t xml:space="preserve">Figure </w:t>
      </w:r>
      <w:r w:rsidR="00A75175">
        <w:rPr>
          <w:noProof/>
        </w:rPr>
        <w:t>23</w:t>
      </w:r>
      <w:r w:rsidR="003651A0">
        <w:rPr>
          <w:rFonts w:cs="Arial"/>
          <w:szCs w:val="22"/>
        </w:rPr>
        <w:fldChar w:fldCharType="end"/>
      </w:r>
      <w:r w:rsidR="003651A0">
        <w:rPr>
          <w:rFonts w:cs="Arial"/>
          <w:szCs w:val="22"/>
        </w:rPr>
        <w:t xml:space="preserve">a).  </w:t>
      </w:r>
    </w:p>
    <w:p w14:paraId="3A1759FA" w14:textId="77777777" w:rsidR="00457F7A" w:rsidRPr="00AF0E6C" w:rsidRDefault="00457F7A" w:rsidP="00457F7A">
      <w:pPr>
        <w:rPr>
          <w:rFonts w:cs="Arial"/>
          <w:szCs w:val="22"/>
        </w:rPr>
      </w:pPr>
      <w:r w:rsidRPr="00AF0E6C">
        <w:rPr>
          <w:rFonts w:cs="Arial"/>
        </w:rPr>
        <w:t xml:space="preserve">Prior to the commencement of the MMP in 2005, </w:t>
      </w:r>
      <w:r w:rsidRPr="00AF0E6C">
        <w:t>Queensland Parks and Wildlife Service</w:t>
      </w:r>
      <w:r w:rsidRPr="00AF0E6C">
        <w:rPr>
          <w:rFonts w:cs="Arial"/>
        </w:rPr>
        <w:t xml:space="preserve"> monitoring of reefs in Keppel Bay from 1993-2003 recorded substantial loss of coral cover</w:t>
      </w:r>
      <w:r w:rsidR="00571D42" w:rsidRPr="00AF0E6C">
        <w:rPr>
          <w:rFonts w:cs="Arial"/>
        </w:rPr>
        <w:t>, and subsequent recovery following</w:t>
      </w:r>
      <w:r w:rsidR="00E75F5C" w:rsidRPr="00AF0E6C">
        <w:rPr>
          <w:rFonts w:cs="Arial"/>
        </w:rPr>
        <w:t xml:space="preserve"> </w:t>
      </w:r>
      <w:r w:rsidRPr="00AF0E6C">
        <w:rPr>
          <w:rFonts w:cs="Arial"/>
        </w:rPr>
        <w:t xml:space="preserve">thermal bleaching events in 1998 and </w:t>
      </w:r>
      <w:r w:rsidRPr="00AF0E6C">
        <w:rPr>
          <w:rFonts w:cs="Arial"/>
          <w:szCs w:val="22"/>
        </w:rPr>
        <w:t>2002 (</w:t>
      </w:r>
      <w:r w:rsidR="00834AA8">
        <w:fldChar w:fldCharType="begin"/>
      </w:r>
      <w:r w:rsidR="00834AA8">
        <w:instrText xml:space="preserve"> REF _Ref500961104 \h </w:instrText>
      </w:r>
      <w:r w:rsidR="00834AA8">
        <w:fldChar w:fldCharType="separate"/>
      </w:r>
      <w:r w:rsidR="00A75175">
        <w:t xml:space="preserve">Table A1. </w:t>
      </w:r>
      <w:r w:rsidR="00A75175">
        <w:rPr>
          <w:noProof/>
        </w:rPr>
        <w:t>4</w:t>
      </w:r>
      <w:r w:rsidR="00834AA8">
        <w:fldChar w:fldCharType="end"/>
      </w:r>
      <w:r w:rsidR="00671753">
        <w:rPr>
          <w:rFonts w:cs="Arial"/>
          <w:szCs w:val="22"/>
        </w:rPr>
        <w:t xml:space="preserve">). </w:t>
      </w:r>
      <w:r w:rsidRPr="00AF0E6C">
        <w:rPr>
          <w:rFonts w:cs="Arial"/>
          <w:szCs w:val="22"/>
        </w:rPr>
        <w:t xml:space="preserve">Initial MMP surveys in 2005 documented moderate to high hard coral cover on all the </w:t>
      </w:r>
      <w:r w:rsidRPr="00AF0E6C">
        <w:rPr>
          <w:rFonts w:cs="Arial"/>
          <w:i/>
          <w:szCs w:val="22"/>
        </w:rPr>
        <w:t>Acropora</w:t>
      </w:r>
      <w:r w:rsidRPr="00AF0E6C">
        <w:rPr>
          <w:rFonts w:cs="Arial"/>
          <w:szCs w:val="22"/>
        </w:rPr>
        <w:t>-dominated reefs confirming th</w:t>
      </w:r>
      <w:r w:rsidR="002032CF" w:rsidRPr="00AF0E6C">
        <w:rPr>
          <w:rFonts w:cs="Arial"/>
          <w:szCs w:val="22"/>
        </w:rPr>
        <w:t xml:space="preserve">e potential for </w:t>
      </w:r>
      <w:r w:rsidRPr="00AF0E6C">
        <w:rPr>
          <w:rFonts w:cs="Arial"/>
          <w:szCs w:val="22"/>
        </w:rPr>
        <w:t>re</w:t>
      </w:r>
      <w:r w:rsidR="00571D42" w:rsidRPr="00AF0E6C">
        <w:rPr>
          <w:rFonts w:cs="Arial"/>
          <w:szCs w:val="22"/>
        </w:rPr>
        <w:t>covery</w:t>
      </w:r>
      <w:r w:rsidR="002032CF" w:rsidRPr="00AF0E6C">
        <w:rPr>
          <w:rFonts w:cs="Arial"/>
          <w:szCs w:val="22"/>
        </w:rPr>
        <w:t xml:space="preserve"> at these reefs</w:t>
      </w:r>
      <w:r w:rsidRPr="00AF0E6C">
        <w:rPr>
          <w:rFonts w:cs="Arial"/>
          <w:szCs w:val="22"/>
        </w:rPr>
        <w:t xml:space="preserve">. </w:t>
      </w:r>
      <w:r w:rsidR="002032CF" w:rsidRPr="00AF0E6C">
        <w:rPr>
          <w:rFonts w:cs="Arial"/>
          <w:szCs w:val="22"/>
        </w:rPr>
        <w:t xml:space="preserve">High water </w:t>
      </w:r>
      <w:r w:rsidRPr="00AF0E6C">
        <w:rPr>
          <w:rFonts w:cs="Arial"/>
          <w:szCs w:val="22"/>
        </w:rPr>
        <w:t xml:space="preserve">temperatures </w:t>
      </w:r>
      <w:r w:rsidR="002032CF" w:rsidRPr="00AF0E6C">
        <w:rPr>
          <w:rFonts w:cs="Arial"/>
          <w:szCs w:val="22"/>
        </w:rPr>
        <w:t>over the 2005</w:t>
      </w:r>
      <w:r w:rsidR="00776B3D">
        <w:rPr>
          <w:rFonts w:cs="Arial"/>
          <w:szCs w:val="22"/>
        </w:rPr>
        <w:t xml:space="preserve"> - 0</w:t>
      </w:r>
      <w:r w:rsidR="002032CF" w:rsidRPr="00AF0E6C">
        <w:rPr>
          <w:rFonts w:cs="Arial"/>
          <w:szCs w:val="22"/>
        </w:rPr>
        <w:t xml:space="preserve">6 summer </w:t>
      </w:r>
      <w:r w:rsidRPr="00AF0E6C">
        <w:rPr>
          <w:rFonts w:cs="Arial"/>
          <w:szCs w:val="22"/>
        </w:rPr>
        <w:t>(</w:t>
      </w:r>
      <w:r w:rsidR="002032CF" w:rsidRPr="00AF0E6C">
        <w:fldChar w:fldCharType="begin"/>
      </w:r>
      <w:r w:rsidR="002032CF" w:rsidRPr="00AF0E6C">
        <w:rPr>
          <w:rFonts w:cs="Arial"/>
          <w:szCs w:val="22"/>
        </w:rPr>
        <w:instrText xml:space="preserve"> REF _Ref491345321 \h </w:instrText>
      </w:r>
      <w:r w:rsidR="002032CF" w:rsidRPr="00AF0E6C">
        <w:fldChar w:fldCharType="separate"/>
      </w:r>
      <w:r w:rsidR="00A75175" w:rsidRPr="00F352E1">
        <w:t xml:space="preserve">Figure </w:t>
      </w:r>
      <w:r w:rsidR="00A75175">
        <w:rPr>
          <w:noProof/>
        </w:rPr>
        <w:t>22</w:t>
      </w:r>
      <w:r w:rsidR="002032CF" w:rsidRPr="00AF0E6C">
        <w:fldChar w:fldCharType="end"/>
      </w:r>
      <w:r w:rsidRPr="00AF0E6C">
        <w:rPr>
          <w:rFonts w:cs="Arial"/>
          <w:szCs w:val="22"/>
        </w:rPr>
        <w:t xml:space="preserve">c) again </w:t>
      </w:r>
      <w:r w:rsidR="002032CF" w:rsidRPr="00AF0E6C">
        <w:rPr>
          <w:rFonts w:cs="Arial"/>
          <w:szCs w:val="22"/>
        </w:rPr>
        <w:t>cause</w:t>
      </w:r>
      <w:r w:rsidRPr="00AF0E6C">
        <w:rPr>
          <w:rFonts w:cs="Arial"/>
          <w:szCs w:val="22"/>
        </w:rPr>
        <w:t xml:space="preserve">d severe bleaching </w:t>
      </w:r>
      <w:r w:rsidR="002032CF" w:rsidRPr="00AF0E6C">
        <w:rPr>
          <w:rFonts w:cs="Arial"/>
          <w:szCs w:val="22"/>
        </w:rPr>
        <w:t>and loss of</w:t>
      </w:r>
      <w:r w:rsidRPr="00AF0E6C">
        <w:rPr>
          <w:rFonts w:cs="Arial"/>
          <w:szCs w:val="22"/>
        </w:rPr>
        <w:t xml:space="preserve"> coral cover (</w:t>
      </w:r>
      <w:r w:rsidR="002032CF" w:rsidRPr="00AF0E6C">
        <w:fldChar w:fldCharType="begin"/>
      </w:r>
      <w:r w:rsidR="002032CF" w:rsidRPr="00AF0E6C">
        <w:rPr>
          <w:rFonts w:cs="Arial"/>
          <w:szCs w:val="22"/>
        </w:rPr>
        <w:instrText xml:space="preserve"> REF _Ref491345321 \h </w:instrText>
      </w:r>
      <w:r w:rsidR="002032CF" w:rsidRPr="00AF0E6C">
        <w:fldChar w:fldCharType="separate"/>
      </w:r>
      <w:r w:rsidR="00A75175" w:rsidRPr="00F352E1">
        <w:t xml:space="preserve">Figure </w:t>
      </w:r>
      <w:r w:rsidR="00A75175">
        <w:rPr>
          <w:noProof/>
        </w:rPr>
        <w:t>22</w:t>
      </w:r>
      <w:r w:rsidR="002032CF" w:rsidRPr="00AF0E6C">
        <w:fldChar w:fldCharType="end"/>
      </w:r>
      <w:r w:rsidR="00571D42" w:rsidRPr="00AF0E6C">
        <w:t xml:space="preserve">e, </w:t>
      </w:r>
      <w:r w:rsidR="002032CF" w:rsidRPr="00AF0E6C">
        <w:fldChar w:fldCharType="begin"/>
      </w:r>
      <w:r w:rsidR="002032CF" w:rsidRPr="00AF0E6C">
        <w:instrText xml:space="preserve"> REF _Ref491345128 \h </w:instrText>
      </w:r>
      <w:r w:rsidR="002032CF" w:rsidRPr="00AF0E6C">
        <w:fldChar w:fldCharType="separate"/>
      </w:r>
      <w:r w:rsidR="00A75175" w:rsidRPr="00F352E1">
        <w:t xml:space="preserve">Figure </w:t>
      </w:r>
      <w:r w:rsidR="00A75175">
        <w:rPr>
          <w:noProof/>
        </w:rPr>
        <w:t>23</w:t>
      </w:r>
      <w:r w:rsidR="002032CF" w:rsidRPr="00AF0E6C">
        <w:fldChar w:fldCharType="end"/>
      </w:r>
      <w:r w:rsidR="00571D42" w:rsidRPr="00AF0E6C">
        <w:t>b</w:t>
      </w:r>
      <w:r w:rsidRPr="00AF0E6C">
        <w:rPr>
          <w:rFonts w:cs="Arial"/>
          <w:szCs w:val="22"/>
        </w:rPr>
        <w:t>)</w:t>
      </w:r>
      <w:r w:rsidR="002032CF" w:rsidRPr="00AF0E6C">
        <w:rPr>
          <w:rFonts w:cs="Arial"/>
          <w:szCs w:val="22"/>
        </w:rPr>
        <w:t xml:space="preserve">. Coincident with the loss of coral was a rapid increase in the cover of the brown macroalgae </w:t>
      </w:r>
      <w:r w:rsidRPr="00AF0E6C">
        <w:rPr>
          <w:rFonts w:cs="Arial"/>
          <w:i/>
          <w:szCs w:val="22"/>
        </w:rPr>
        <w:t xml:space="preserve">Lobophora </w:t>
      </w:r>
      <w:r w:rsidRPr="00AF0E6C">
        <w:rPr>
          <w:rFonts w:cs="Arial"/>
          <w:szCs w:val="22"/>
        </w:rPr>
        <w:t>(</w:t>
      </w:r>
      <w:r w:rsidR="002032CF" w:rsidRPr="00AF0E6C">
        <w:fldChar w:fldCharType="begin"/>
      </w:r>
      <w:r w:rsidR="002032CF" w:rsidRPr="00AF0E6C">
        <w:rPr>
          <w:rFonts w:cs="Arial"/>
          <w:szCs w:val="22"/>
        </w:rPr>
        <w:instrText xml:space="preserve"> REF _Ref491345128 \h </w:instrText>
      </w:r>
      <w:r w:rsidR="002032CF" w:rsidRPr="00AF0E6C">
        <w:fldChar w:fldCharType="separate"/>
      </w:r>
      <w:r w:rsidR="00A75175" w:rsidRPr="00F352E1">
        <w:t xml:space="preserve">Figure </w:t>
      </w:r>
      <w:r w:rsidR="00A75175">
        <w:rPr>
          <w:noProof/>
        </w:rPr>
        <w:t>23</w:t>
      </w:r>
      <w:r w:rsidR="002032CF" w:rsidRPr="00AF0E6C">
        <w:fldChar w:fldCharType="end"/>
      </w:r>
      <w:r w:rsidR="002032CF" w:rsidRPr="00AF0E6C">
        <w:t>c</w:t>
      </w:r>
      <w:r w:rsidRPr="00AF0E6C">
        <w:rPr>
          <w:rFonts w:cs="Arial"/>
          <w:szCs w:val="22"/>
        </w:rPr>
        <w:t xml:space="preserve">, Diaz-Pulido </w:t>
      </w:r>
      <w:r w:rsidRPr="00AF0E6C">
        <w:rPr>
          <w:rFonts w:cs="Arial"/>
          <w:i/>
          <w:szCs w:val="22"/>
        </w:rPr>
        <w:t xml:space="preserve">et al. </w:t>
      </w:r>
      <w:r w:rsidRPr="00AF0E6C">
        <w:rPr>
          <w:rFonts w:cs="Arial"/>
          <w:szCs w:val="22"/>
        </w:rPr>
        <w:t xml:space="preserve">2009) </w:t>
      </w:r>
      <w:r w:rsidR="002032CF" w:rsidRPr="00AF0E6C">
        <w:rPr>
          <w:rFonts w:cs="Arial"/>
          <w:szCs w:val="22"/>
        </w:rPr>
        <w:t>further contribut</w:t>
      </w:r>
      <w:r w:rsidR="00F523FF">
        <w:rPr>
          <w:rFonts w:cs="Arial"/>
          <w:szCs w:val="22"/>
        </w:rPr>
        <w:t>ed</w:t>
      </w:r>
      <w:r w:rsidR="002032CF" w:rsidRPr="00AF0E6C">
        <w:rPr>
          <w:rFonts w:cs="Arial"/>
          <w:szCs w:val="22"/>
        </w:rPr>
        <w:t xml:space="preserve"> to the </w:t>
      </w:r>
      <w:r w:rsidRPr="00AF0E6C">
        <w:rPr>
          <w:rFonts w:cs="Arial"/>
          <w:szCs w:val="22"/>
        </w:rPr>
        <w:t>reduction in the coral index from ‘moderate’ to ‘poor’ (</w:t>
      </w:r>
      <w:r w:rsidR="002032CF" w:rsidRPr="00AF0E6C">
        <w:fldChar w:fldCharType="begin"/>
      </w:r>
      <w:r w:rsidR="002032CF" w:rsidRPr="00AF0E6C">
        <w:rPr>
          <w:rFonts w:cs="Arial"/>
          <w:szCs w:val="22"/>
        </w:rPr>
        <w:instrText xml:space="preserve"> REF _Ref491345128 \h </w:instrText>
      </w:r>
      <w:r w:rsidR="002032CF" w:rsidRPr="00AF0E6C">
        <w:fldChar w:fldCharType="separate"/>
      </w:r>
      <w:r w:rsidR="00A75175" w:rsidRPr="00F352E1">
        <w:t xml:space="preserve">Figure </w:t>
      </w:r>
      <w:r w:rsidR="00A75175">
        <w:rPr>
          <w:noProof/>
        </w:rPr>
        <w:t>23</w:t>
      </w:r>
      <w:r w:rsidR="002032CF" w:rsidRPr="00AF0E6C">
        <w:fldChar w:fldCharType="end"/>
      </w:r>
      <w:r w:rsidRPr="00AF0E6C">
        <w:rPr>
          <w:rFonts w:cs="Arial"/>
          <w:szCs w:val="22"/>
        </w:rPr>
        <w:t xml:space="preserve">a). </w:t>
      </w:r>
    </w:p>
    <w:p w14:paraId="2CE38CC9" w14:textId="77777777" w:rsidR="00B36605" w:rsidRPr="00AF0E6C" w:rsidRDefault="00B36605" w:rsidP="00B36605">
      <w:pPr>
        <w:rPr>
          <w:rFonts w:cs="Arial"/>
        </w:rPr>
      </w:pPr>
      <w:r w:rsidRPr="00AF0E6C">
        <w:rPr>
          <w:rFonts w:eastAsiaTheme="minorHAnsi" w:cs="Arial"/>
          <w:szCs w:val="22"/>
        </w:rPr>
        <w:t>The 2011 flood event was the largest on record and exposed shallow coral communities to low salinity waters that caused widespread mortality of corals at the 2</w:t>
      </w:r>
      <w:r w:rsidR="003E5549" w:rsidRPr="00AF0E6C">
        <w:rPr>
          <w:rFonts w:eastAsiaTheme="minorHAnsi" w:cs="Arial"/>
          <w:szCs w:val="22"/>
        </w:rPr>
        <w:t xml:space="preserve"> </w:t>
      </w:r>
      <w:r w:rsidRPr="00AF0E6C">
        <w:rPr>
          <w:rFonts w:eastAsiaTheme="minorHAnsi" w:cs="Arial"/>
          <w:szCs w:val="22"/>
        </w:rPr>
        <w:t>m depths of Peak, Pelican and Keppels South</w:t>
      </w:r>
      <w:r w:rsidR="00834AA8">
        <w:rPr>
          <w:rFonts w:eastAsiaTheme="minorHAnsi" w:cs="Arial"/>
          <w:szCs w:val="22"/>
        </w:rPr>
        <w:t xml:space="preserve"> (</w:t>
      </w:r>
      <w:r w:rsidR="00834AA8">
        <w:fldChar w:fldCharType="begin"/>
      </w:r>
      <w:r w:rsidR="00834AA8">
        <w:instrText xml:space="preserve"> REF _Ref500961104 \h </w:instrText>
      </w:r>
      <w:r w:rsidR="00834AA8">
        <w:fldChar w:fldCharType="separate"/>
      </w:r>
      <w:r w:rsidR="00A75175">
        <w:t xml:space="preserve">Table A1. </w:t>
      </w:r>
      <w:r w:rsidR="00A75175">
        <w:rPr>
          <w:noProof/>
        </w:rPr>
        <w:t>4</w:t>
      </w:r>
      <w:r w:rsidR="00834AA8">
        <w:fldChar w:fldCharType="end"/>
      </w:r>
      <w:r w:rsidRPr="00AF0E6C">
        <w:rPr>
          <w:rFonts w:eastAsiaTheme="minorHAnsi" w:cs="Arial"/>
          <w:szCs w:val="22"/>
        </w:rPr>
        <w:t>). F</w:t>
      </w:r>
      <w:r w:rsidRPr="00AF0E6C">
        <w:rPr>
          <w:rFonts w:cs="Arial"/>
          <w:szCs w:val="22"/>
        </w:rPr>
        <w:t xml:space="preserve">looding also </w:t>
      </w:r>
      <w:r w:rsidR="003E5549" w:rsidRPr="00AF0E6C">
        <w:rPr>
          <w:rFonts w:cs="Arial"/>
          <w:szCs w:val="22"/>
        </w:rPr>
        <w:t xml:space="preserve">pre-empted </w:t>
      </w:r>
      <w:r w:rsidRPr="00AF0E6C">
        <w:rPr>
          <w:rFonts w:cs="Arial"/>
          <w:szCs w:val="22"/>
        </w:rPr>
        <w:t>elevated levels of coral disease in</w:t>
      </w:r>
      <w:r w:rsidRPr="00AF0E6C">
        <w:rPr>
          <w:rFonts w:cs="Arial"/>
        </w:rPr>
        <w:t xml:space="preserve"> 2008, 2010 and 2011 (</w:t>
      </w:r>
      <w:r w:rsidR="007B0264">
        <w:rPr>
          <w:rFonts w:cs="Arial"/>
        </w:rPr>
        <w:fldChar w:fldCharType="begin"/>
      </w:r>
      <w:r w:rsidR="007B0264">
        <w:rPr>
          <w:rFonts w:cs="Arial"/>
        </w:rPr>
        <w:instrText xml:space="preserve"> REF _Ref501096335 \h </w:instrText>
      </w:r>
      <w:r w:rsidR="007B0264">
        <w:rPr>
          <w:rFonts w:cs="Arial"/>
        </w:rPr>
      </w:r>
      <w:r w:rsidR="007B0264">
        <w:rPr>
          <w:rFonts w:cs="Arial"/>
        </w:rPr>
        <w:fldChar w:fldCharType="separate"/>
      </w:r>
      <w:r w:rsidR="00A75175">
        <w:t xml:space="preserve">Figure A1. </w:t>
      </w:r>
      <w:r w:rsidR="00A75175">
        <w:rPr>
          <w:noProof/>
        </w:rPr>
        <w:t>7</w:t>
      </w:r>
      <w:r w:rsidR="007B0264">
        <w:rPr>
          <w:rFonts w:cs="Arial"/>
        </w:rPr>
        <w:fldChar w:fldCharType="end"/>
      </w:r>
      <w:r w:rsidRPr="00AF0E6C">
        <w:rPr>
          <w:rFonts w:cs="Arial"/>
        </w:rPr>
        <w:t>).</w:t>
      </w:r>
      <w:r w:rsidRPr="00AF0E6C">
        <w:t xml:space="preserve"> </w:t>
      </w:r>
    </w:p>
    <w:p w14:paraId="309CC101" w14:textId="77777777" w:rsidR="00B36605" w:rsidRPr="00F352E1" w:rsidRDefault="00B36605" w:rsidP="00B36605">
      <w:pPr>
        <w:rPr>
          <w:rFonts w:cs="Arial"/>
          <w:color w:val="4F81BD" w:themeColor="accent1"/>
        </w:rPr>
      </w:pPr>
      <w:r w:rsidRPr="00AF0E6C">
        <w:rPr>
          <w:rFonts w:cs="Arial"/>
        </w:rPr>
        <w:t>Water quality monitoring</w:t>
      </w:r>
      <w:r w:rsidR="00C07634" w:rsidRPr="00AF0E6C">
        <w:rPr>
          <w:rFonts w:cs="Arial"/>
        </w:rPr>
        <w:t xml:space="preserve"> (in</w:t>
      </w:r>
      <w:r w:rsidR="00981381">
        <w:rPr>
          <w:rFonts w:cs="Arial"/>
        </w:rPr>
        <w:t>-</w:t>
      </w:r>
      <w:r w:rsidR="00C07634" w:rsidRPr="00AF0E6C">
        <w:rPr>
          <w:rFonts w:cs="Arial"/>
        </w:rPr>
        <w:t>situ)</w:t>
      </w:r>
      <w:r w:rsidRPr="00AF0E6C">
        <w:rPr>
          <w:rFonts w:cs="Arial"/>
        </w:rPr>
        <w:t xml:space="preserve"> has been discontinued in the Keppels region since 2014-2015. </w:t>
      </w:r>
      <w:r w:rsidR="00457F7A" w:rsidRPr="00AF0E6C">
        <w:rPr>
          <w:rFonts w:cs="Arial"/>
        </w:rPr>
        <w:t>T</w:t>
      </w:r>
      <w:r w:rsidRPr="00AF0E6C">
        <w:rPr>
          <w:rFonts w:cs="Arial"/>
        </w:rPr>
        <w:t xml:space="preserve">he final year of water quality </w:t>
      </w:r>
      <w:r w:rsidR="00457F7A" w:rsidRPr="00AF0E6C">
        <w:rPr>
          <w:rFonts w:cs="Arial"/>
        </w:rPr>
        <w:t xml:space="preserve">sampling </w:t>
      </w:r>
      <w:r w:rsidRPr="00AF0E6C">
        <w:rPr>
          <w:rFonts w:cs="Arial"/>
        </w:rPr>
        <w:t>saw an improvement in the water quality index (</w:t>
      </w:r>
      <w:r w:rsidR="009026DA" w:rsidRPr="00AF0E6C">
        <w:rPr>
          <w:rFonts w:cs="Arial"/>
          <w:lang w:eastAsia="en-AU"/>
        </w:rPr>
        <w:t>Lønborg</w:t>
      </w:r>
      <w:r w:rsidRPr="00AF0E6C">
        <w:rPr>
          <w:rFonts w:cs="Arial"/>
        </w:rPr>
        <w:t xml:space="preserve"> </w:t>
      </w:r>
      <w:r w:rsidRPr="00AF0E6C">
        <w:rPr>
          <w:rFonts w:cs="Arial"/>
          <w:i/>
        </w:rPr>
        <w:t>et al.</w:t>
      </w:r>
      <w:r w:rsidRPr="00AF0E6C">
        <w:rPr>
          <w:rFonts w:cs="Arial"/>
        </w:rPr>
        <w:t xml:space="preserve"> 2015). Measured levels of </w:t>
      </w:r>
      <w:r w:rsidR="003E5549" w:rsidRPr="00AF0E6C">
        <w:rPr>
          <w:rFonts w:cs="Arial"/>
        </w:rPr>
        <w:t>Chl</w:t>
      </w:r>
      <w:r w:rsidRPr="00AF0E6C">
        <w:rPr>
          <w:rFonts w:cs="Arial"/>
        </w:rPr>
        <w:t xml:space="preserve"> </w:t>
      </w:r>
      <w:r w:rsidRPr="00AF0E6C">
        <w:rPr>
          <w:rFonts w:cs="Arial"/>
          <w:i/>
        </w:rPr>
        <w:t>a</w:t>
      </w:r>
      <w:r w:rsidRPr="00AF0E6C">
        <w:rPr>
          <w:rFonts w:cs="Arial"/>
        </w:rPr>
        <w:t>, particulate nitrogen and particulate organic carbon showed a slight downturn at this time coinciding with a respite in flooding in the region since 2012 (</w:t>
      </w:r>
      <w:r w:rsidR="009026DA" w:rsidRPr="00AF0E6C">
        <w:rPr>
          <w:rFonts w:cs="Arial"/>
          <w:lang w:eastAsia="en-AU"/>
        </w:rPr>
        <w:t>Lønborg</w:t>
      </w:r>
      <w:r w:rsidRPr="00AF0E6C">
        <w:rPr>
          <w:rFonts w:cs="Arial"/>
        </w:rPr>
        <w:t xml:space="preserve"> </w:t>
      </w:r>
      <w:r w:rsidRPr="00AF0E6C">
        <w:rPr>
          <w:rFonts w:cs="Arial"/>
          <w:i/>
        </w:rPr>
        <w:t>et al.</w:t>
      </w:r>
      <w:r w:rsidRPr="00AF0E6C">
        <w:rPr>
          <w:rFonts w:cs="Arial"/>
        </w:rPr>
        <w:t xml:space="preserve"> 2015</w:t>
      </w:r>
      <w:r w:rsidRPr="00F64F57">
        <w:rPr>
          <w:rFonts w:cs="Arial"/>
        </w:rPr>
        <w:t>).</w:t>
      </w:r>
      <w:r w:rsidRPr="00DA3A00">
        <w:rPr>
          <w:rFonts w:cs="Arial"/>
        </w:rPr>
        <w:t xml:space="preserve"> </w:t>
      </w:r>
      <w:r w:rsidR="00D52544" w:rsidRPr="00DA3A00">
        <w:rPr>
          <w:rFonts w:cs="Arial"/>
        </w:rPr>
        <w:t>Modelling of total suspended solids and dissolved inorganic nitrogen indicate substantially lower concentrations in the region from 2014 to 2016 compared to those associated with the high discharge years of 2010,</w:t>
      </w:r>
      <w:r w:rsidR="00171B57" w:rsidRPr="00DA3A00">
        <w:rPr>
          <w:rFonts w:cs="Arial"/>
        </w:rPr>
        <w:t xml:space="preserve"> </w:t>
      </w:r>
      <w:r w:rsidR="00D52544" w:rsidRPr="00DA3A00">
        <w:rPr>
          <w:rFonts w:cs="Arial"/>
        </w:rPr>
        <w:t>2011 and 2013 (</w:t>
      </w:r>
      <w:r w:rsidR="00457F7A" w:rsidRPr="00DA3A00">
        <w:rPr>
          <w:rFonts w:cs="Arial"/>
        </w:rPr>
        <w:t xml:space="preserve">Waterhouse </w:t>
      </w:r>
      <w:r w:rsidR="00457F7A" w:rsidRPr="00DA3A00">
        <w:rPr>
          <w:rFonts w:cs="Arial"/>
          <w:i/>
        </w:rPr>
        <w:t>et al.</w:t>
      </w:r>
      <w:r w:rsidR="00457F7A" w:rsidRPr="00DA3A00">
        <w:rPr>
          <w:rFonts w:cs="Arial"/>
        </w:rPr>
        <w:t xml:space="preserve"> 201</w:t>
      </w:r>
      <w:r w:rsidR="00A72BA9">
        <w:rPr>
          <w:rFonts w:cs="Arial"/>
        </w:rPr>
        <w:t>7</w:t>
      </w:r>
      <w:r w:rsidR="00457F7A" w:rsidRPr="00DA3A00">
        <w:rPr>
          <w:rFonts w:cs="Arial"/>
        </w:rPr>
        <w:t>)</w:t>
      </w:r>
      <w:r w:rsidRPr="00DA3A00">
        <w:rPr>
          <w:rFonts w:cs="Arial"/>
        </w:rPr>
        <w:t xml:space="preserve">. </w:t>
      </w:r>
    </w:p>
    <w:p w14:paraId="08A50FDE" w14:textId="77777777" w:rsidR="00DB0747" w:rsidRPr="00F352E1" w:rsidRDefault="00D15EF9" w:rsidP="00B36605">
      <w:pPr>
        <w:jc w:val="left"/>
        <w:rPr>
          <w:rFonts w:cs="Arial"/>
          <w:color w:val="4F81BD" w:themeColor="accent1"/>
        </w:rPr>
      </w:pPr>
      <w:r>
        <w:rPr>
          <w:rFonts w:cs="Arial"/>
          <w:noProof/>
          <w:color w:val="4F81BD" w:themeColor="accent1"/>
          <w:lang w:val="en-AU" w:eastAsia="en-AU"/>
        </w:rPr>
        <w:drawing>
          <wp:inline distT="0" distB="0" distL="0" distR="0" wp14:anchorId="498D8C7C" wp14:editId="3ABDD7EC">
            <wp:extent cx="6120765" cy="6591300"/>
            <wp:effectExtent l="0" t="0" r="0" b="0"/>
            <wp:docPr id="25" name="Picture 25" descr="A panel of five figures. The first and second show maps of the monitored reefs indicating Pelican and Peak are exposed to higher Chlorophyll and Non-algal particulate concentration waters than Keppels South, Middle and North Keppel, bBarren sites in the cleanest waters. A plot of temperature anomalies indicating highest anomalies occurred in 2006 and 2017. A plot of regional river discharge with maximum values in 2011. A plot of disturbance severity based on loss of coral cover each year, salient points discussed in the main text.&#10;" title="Environmental conditions experienced by coral communities in th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Env_Fitzroy.pn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6120765" cy="6591300"/>
                    </a:xfrm>
                    <a:prstGeom prst="rect">
                      <a:avLst/>
                    </a:prstGeom>
                  </pic:spPr>
                </pic:pic>
              </a:graphicData>
            </a:graphic>
          </wp:inline>
        </w:drawing>
      </w:r>
    </w:p>
    <w:p w14:paraId="3F5E7C95" w14:textId="3FA0E7D0" w:rsidR="00315285" w:rsidRPr="001322DD" w:rsidRDefault="007A50AB" w:rsidP="00606A50">
      <w:pPr>
        <w:pStyle w:val="Caption"/>
        <w:rPr>
          <w:rStyle w:val="IntenseReference"/>
          <w:rFonts w:eastAsia="SimSun"/>
          <w:vanish/>
        </w:rPr>
      </w:pPr>
      <w:bookmarkStart w:id="248" w:name="_Ref491345321"/>
      <w:bookmarkStart w:id="249" w:name="_Ref438121562"/>
      <w:bookmarkStart w:id="250" w:name="_Toc437423859"/>
      <w:bookmarkStart w:id="251" w:name="_Toc437424038"/>
      <w:bookmarkStart w:id="252" w:name="_Toc437424308"/>
      <w:bookmarkStart w:id="253" w:name="_Toc437432361"/>
      <w:bookmarkStart w:id="254" w:name="_Toc437597643"/>
      <w:bookmarkStart w:id="255" w:name="_Toc514335667"/>
      <w:r w:rsidRPr="00F352E1">
        <w:t xml:space="preserve">Figure </w:t>
      </w:r>
      <w:r w:rsidR="00626D6B">
        <w:fldChar w:fldCharType="begin"/>
      </w:r>
      <w:r w:rsidR="00626D6B">
        <w:instrText xml:space="preserve"> SEQ Figure \* ARABIC </w:instrText>
      </w:r>
      <w:r w:rsidR="00626D6B">
        <w:fldChar w:fldCharType="separate"/>
      </w:r>
      <w:r w:rsidR="00A75175">
        <w:rPr>
          <w:noProof/>
        </w:rPr>
        <w:t>22</w:t>
      </w:r>
      <w:r w:rsidR="00626D6B">
        <w:rPr>
          <w:noProof/>
        </w:rPr>
        <w:fldChar w:fldCharType="end"/>
      </w:r>
      <w:bookmarkEnd w:id="248"/>
      <w:r w:rsidRPr="00F352E1">
        <w:t xml:space="preserve"> Fitzroy </w:t>
      </w:r>
      <w:r w:rsidR="00DD6C5A">
        <w:t>r</w:t>
      </w:r>
      <w:r w:rsidRPr="00F352E1">
        <w:t xml:space="preserve">egion environmental </w:t>
      </w:r>
      <w:r w:rsidR="00A416E6" w:rsidRPr="00F352E1">
        <w:t>pressures</w:t>
      </w:r>
      <w:r w:rsidRPr="001322DD">
        <w:rPr>
          <w:color w:val="000000" w:themeColor="text1"/>
        </w:rPr>
        <w:t>.</w:t>
      </w:r>
      <w:bookmarkEnd w:id="249"/>
      <w:bookmarkEnd w:id="250"/>
      <w:bookmarkEnd w:id="251"/>
      <w:bookmarkEnd w:id="252"/>
      <w:bookmarkEnd w:id="253"/>
      <w:bookmarkEnd w:id="254"/>
      <w:bookmarkEnd w:id="255"/>
      <w:r w:rsidR="00315285" w:rsidRPr="001322DD">
        <w:rPr>
          <w:rStyle w:val="IntenseReference"/>
          <w:rFonts w:eastAsia="SimSun"/>
        </w:rPr>
        <w:t xml:space="preserve"> </w:t>
      </w:r>
    </w:p>
    <w:p w14:paraId="26DE3E2A" w14:textId="7D714BE5" w:rsidR="008550DE" w:rsidRPr="001322DD" w:rsidRDefault="008550DE" w:rsidP="00606A50">
      <w:pPr>
        <w:pStyle w:val="Caption"/>
        <w:rPr>
          <w:rStyle w:val="IntenseReference"/>
          <w:rFonts w:eastAsia="SimSun"/>
        </w:rPr>
      </w:pPr>
      <w:r w:rsidRPr="001322DD">
        <w:rPr>
          <w:rStyle w:val="IntenseReference"/>
          <w:rFonts w:eastAsia="SimSun"/>
        </w:rPr>
        <w:t xml:space="preserve">Maps show location of monitoring sites, red symbols MMP, yellow symbols LTMP along with </w:t>
      </w:r>
      <w:r w:rsidR="001322DD" w:rsidRPr="001322DD">
        <w:rPr>
          <w:rStyle w:val="IntenseReference"/>
          <w:rFonts w:eastAsia="SimSun"/>
        </w:rPr>
        <w:t xml:space="preserve">a) mean chlorophyll </w:t>
      </w:r>
      <w:r w:rsidR="001322DD" w:rsidRPr="001322DD">
        <w:rPr>
          <w:rStyle w:val="IntenseReference"/>
          <w:rFonts w:eastAsia="SimSun"/>
          <w:i/>
        </w:rPr>
        <w:t>a</w:t>
      </w:r>
      <w:r w:rsidR="001322DD" w:rsidRPr="001322DD">
        <w:rPr>
          <w:rStyle w:val="IntenseReference"/>
          <w:rFonts w:eastAsia="SimSun"/>
        </w:rPr>
        <w:t xml:space="preserve"> exceedance of wet season Guideline (0.63ugL</w:t>
      </w:r>
      <w:r w:rsidR="001322DD" w:rsidRPr="001322DD">
        <w:rPr>
          <w:rStyle w:val="IntenseReference"/>
          <w:rFonts w:eastAsia="SimSun"/>
          <w:vertAlign w:val="superscript"/>
        </w:rPr>
        <w:t>-1</w:t>
      </w:r>
      <w:r w:rsidR="001322DD" w:rsidRPr="001322DD">
        <w:rPr>
          <w:rStyle w:val="IntenseReference"/>
          <w:rFonts w:eastAsia="SimSun"/>
        </w:rPr>
        <w:t xml:space="preserve">) and b) mean Non Algal Particulate concentrations. Water quality data are mean levels over the period 2003-2016 (Chl) and 2003-2017 (NAP). c) Seasonally adjusted temperature deviation, timing of cyclones and storms indicated by black arrows, accumulated degree heating days over the summer period (1st of December - 31st March) as reported by BoM (black symbols) and derived from </w:t>
      </w:r>
      <w:r w:rsidR="00036C05">
        <w:rPr>
          <w:rStyle w:val="IntenseReference"/>
          <w:rFonts w:eastAsia="SimSun"/>
        </w:rPr>
        <w:t>in situ</w:t>
      </w:r>
      <w:r w:rsidR="001322DD" w:rsidRPr="001322DD">
        <w:rPr>
          <w:rStyle w:val="IntenseReference"/>
          <w:rFonts w:eastAsia="SimSun"/>
        </w:rPr>
        <w:t xml:space="preserve"> loggers (grey symbols) </w:t>
      </w:r>
      <w:r w:rsidRPr="001322DD">
        <w:rPr>
          <w:rStyle w:val="IntenseReference"/>
          <w:rFonts w:eastAsia="SimSun"/>
        </w:rPr>
        <w:t xml:space="preserve">d) Combined daily (blue) and annual </w:t>
      </w:r>
      <w:r w:rsidR="00240263">
        <w:rPr>
          <w:rStyle w:val="IntenseReference"/>
          <w:rFonts w:eastAsia="SimSun"/>
        </w:rPr>
        <w:t>water year</w:t>
      </w:r>
      <w:r w:rsidR="00240263" w:rsidRPr="001322DD">
        <w:rPr>
          <w:rStyle w:val="IntenseReference"/>
          <w:rFonts w:eastAsia="SimSun"/>
        </w:rPr>
        <w:t xml:space="preserve"> </w:t>
      </w:r>
      <w:r w:rsidR="00240263">
        <w:rPr>
          <w:rStyle w:val="IntenseReference"/>
          <w:rFonts w:eastAsia="SimSun"/>
        </w:rPr>
        <w:t xml:space="preserve">– October to September  </w:t>
      </w:r>
      <w:r w:rsidRPr="001322DD">
        <w:rPr>
          <w:rStyle w:val="IntenseReference"/>
          <w:rFonts w:eastAsia="SimSun"/>
        </w:rPr>
        <w:t xml:space="preserve">(red) discharge for the </w:t>
      </w:r>
      <w:r w:rsidR="00772538" w:rsidRPr="001322DD">
        <w:rPr>
          <w:rStyle w:val="IntenseReference"/>
          <w:rFonts w:eastAsia="SimSun"/>
        </w:rPr>
        <w:t xml:space="preserve">Calliope and </w:t>
      </w:r>
      <w:r w:rsidR="001C3EFB" w:rsidRPr="001322DD">
        <w:rPr>
          <w:rStyle w:val="IntenseReference"/>
          <w:rFonts w:eastAsia="SimSun"/>
        </w:rPr>
        <w:t xml:space="preserve">Fitzroy </w:t>
      </w:r>
      <w:r w:rsidRPr="001322DD">
        <w:rPr>
          <w:rStyle w:val="IntenseReference"/>
          <w:rFonts w:eastAsia="SimSun"/>
        </w:rPr>
        <w:t>rivers</w:t>
      </w:r>
      <w:r w:rsidR="001C3EFB" w:rsidRPr="001322DD">
        <w:rPr>
          <w:rStyle w:val="IntenseReference"/>
          <w:rFonts w:eastAsia="SimSun"/>
        </w:rPr>
        <w:t xml:space="preserve"> and Waterpark Creek</w:t>
      </w:r>
      <w:r w:rsidRPr="001322DD">
        <w:rPr>
          <w:rStyle w:val="IntenseReference"/>
          <w:rFonts w:eastAsia="SimSun"/>
        </w:rPr>
        <w:t>, red dashed line represents long-term median discharge (1986-2016). e) break-down of hard coral cover loss by disturbance type; length of bars represent the mean loss of cover across all reefs (see methods section for further detail).</w:t>
      </w:r>
    </w:p>
    <w:p w14:paraId="3703A986" w14:textId="77777777" w:rsidR="002F29E3" w:rsidRPr="00F352E1" w:rsidRDefault="002F29E3">
      <w:pPr>
        <w:jc w:val="left"/>
        <w:rPr>
          <w:rFonts w:eastAsia="SimSun"/>
          <w:color w:val="4F81BD" w:themeColor="accent1"/>
        </w:rPr>
      </w:pPr>
      <w:r w:rsidRPr="00F352E1">
        <w:rPr>
          <w:rFonts w:eastAsia="SimSun"/>
          <w:color w:val="4F81BD" w:themeColor="accent1"/>
        </w:rPr>
        <w:br w:type="page"/>
      </w:r>
    </w:p>
    <w:p w14:paraId="228B5279" w14:textId="77777777" w:rsidR="00C10D02" w:rsidRDefault="00C10D02" w:rsidP="00FF5767">
      <w:pPr>
        <w:rPr>
          <w:rFonts w:eastAsia="SimSun"/>
          <w:noProof/>
          <w:color w:val="4F81BD" w:themeColor="accent1"/>
          <w:lang w:val="en-AU" w:eastAsia="en-AU"/>
        </w:rPr>
      </w:pPr>
      <w:bookmarkStart w:id="256" w:name="_Toc437423860"/>
      <w:bookmarkStart w:id="257" w:name="_Toc437424039"/>
      <w:bookmarkStart w:id="258" w:name="_Toc437424310"/>
      <w:bookmarkEnd w:id="226"/>
    </w:p>
    <w:p w14:paraId="55E7A8CC" w14:textId="77777777" w:rsidR="006D2B24" w:rsidRDefault="006D2B24" w:rsidP="00FF5767">
      <w:pPr>
        <w:rPr>
          <w:rFonts w:eastAsia="SimSun"/>
          <w:color w:val="4F81BD" w:themeColor="accent1"/>
        </w:rPr>
      </w:pPr>
    </w:p>
    <w:p w14:paraId="334386D5" w14:textId="77777777" w:rsidR="006D2B24" w:rsidRPr="00F352E1" w:rsidRDefault="00FD06A7" w:rsidP="00FF5767">
      <w:pPr>
        <w:rPr>
          <w:rFonts w:eastAsia="SimSun"/>
          <w:color w:val="4F81BD" w:themeColor="accent1"/>
        </w:rPr>
      </w:pPr>
      <w:r>
        <w:rPr>
          <w:rFonts w:eastAsia="SimSun"/>
          <w:noProof/>
          <w:color w:val="4F81BD" w:themeColor="accent1"/>
          <w:lang w:val="en-AU" w:eastAsia="en-AU"/>
        </w:rPr>
        <w:drawing>
          <wp:inline distT="0" distB="0" distL="0" distR="0" wp14:anchorId="564422ED" wp14:editId="76B98FF1">
            <wp:extent cx="6118860" cy="5351452"/>
            <wp:effectExtent l="0" t="0" r="0" b="1905"/>
            <wp:docPr id="254" name="Picture 254" descr="Trends in index and metric scores within the region and at individual reef and depth combinations.&#10;Plots of the trend in scores through time, salient points are discussed in the main text.&#10;" title="Trends in index and metric scores within the region and at individual reef and depth combin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EXTERNAL PROJECTS\GBRMPA_RWQPP_Monitoring\Reports\Visit 13 2017\R\data\Output\Fitzroy_plots_noWQ.png"/>
                    <pic:cNvPicPr>
                      <a:picLocks noChangeAspect="1" noChangeArrowheads="1"/>
                    </pic:cNvPicPr>
                  </pic:nvPicPr>
                  <pic:blipFill>
                    <a:blip r:embed="rId58" cstate="print">
                      <a:extLst>
                        <a:ext uri="{28A0092B-C50C-407E-A947-70E740481C1C}">
                          <a14:useLocalDpi xmlns:a14="http://schemas.microsoft.com/office/drawing/2010/main" val="0"/>
                        </a:ext>
                      </a:extLst>
                    </a:blip>
                    <a:stretch>
                      <a:fillRect/>
                    </a:stretch>
                  </pic:blipFill>
                  <pic:spPr bwMode="auto">
                    <a:xfrm>
                      <a:off x="0" y="0"/>
                      <a:ext cx="6118860" cy="5351452"/>
                    </a:xfrm>
                    <a:prstGeom prst="rect">
                      <a:avLst/>
                    </a:prstGeom>
                    <a:noFill/>
                    <a:ln>
                      <a:noFill/>
                    </a:ln>
                  </pic:spPr>
                </pic:pic>
              </a:graphicData>
            </a:graphic>
          </wp:inline>
        </w:drawing>
      </w:r>
    </w:p>
    <w:p w14:paraId="4098625C" w14:textId="77777777" w:rsidR="00001956" w:rsidRPr="00857168" w:rsidRDefault="007A50AB" w:rsidP="00606A50">
      <w:pPr>
        <w:pStyle w:val="Caption"/>
        <w:rPr>
          <w:rStyle w:val="IntenseReference"/>
          <w:rFonts w:eastAsiaTheme="minorHAnsi"/>
        </w:rPr>
      </w:pPr>
      <w:bookmarkStart w:id="259" w:name="_Ref491345128"/>
      <w:bookmarkStart w:id="260" w:name="_Ref438121610"/>
      <w:bookmarkStart w:id="261" w:name="_Toc437597645"/>
      <w:bookmarkStart w:id="262" w:name="_Toc514335668"/>
      <w:r w:rsidRPr="00F352E1">
        <w:t xml:space="preserve">Figure </w:t>
      </w:r>
      <w:r w:rsidR="00626D6B">
        <w:fldChar w:fldCharType="begin"/>
      </w:r>
      <w:r w:rsidR="00626D6B">
        <w:instrText xml:space="preserve"> SEQ Figure \* ARABIC </w:instrText>
      </w:r>
      <w:r w:rsidR="00626D6B">
        <w:fldChar w:fldCharType="separate"/>
      </w:r>
      <w:r w:rsidR="00A75175">
        <w:rPr>
          <w:noProof/>
        </w:rPr>
        <w:t>23</w:t>
      </w:r>
      <w:r w:rsidR="00626D6B">
        <w:rPr>
          <w:noProof/>
        </w:rPr>
        <w:fldChar w:fldCharType="end"/>
      </w:r>
      <w:bookmarkEnd w:id="259"/>
      <w:r w:rsidRPr="00F352E1">
        <w:t xml:space="preserve"> Fitzroy </w:t>
      </w:r>
      <w:r w:rsidR="00A416E6" w:rsidRPr="00F352E1">
        <w:t>R</w:t>
      </w:r>
      <w:r w:rsidRPr="00F352E1">
        <w:t>egion</w:t>
      </w:r>
      <w:r w:rsidR="00A416E6" w:rsidRPr="00F352E1">
        <w:t xml:space="preserve"> index and indicator trends</w:t>
      </w:r>
      <w:r w:rsidRPr="00F352E1">
        <w:t>.</w:t>
      </w:r>
      <w:bookmarkEnd w:id="256"/>
      <w:bookmarkEnd w:id="257"/>
      <w:bookmarkEnd w:id="258"/>
      <w:bookmarkEnd w:id="260"/>
      <w:bookmarkEnd w:id="261"/>
      <w:r w:rsidR="00001956" w:rsidRPr="00857168">
        <w:rPr>
          <w:rStyle w:val="IntenseReference"/>
          <w:rFonts w:eastAsia="SimSun"/>
        </w:rPr>
        <w:t xml:space="preserve"> </w:t>
      </w:r>
      <w:bookmarkStart w:id="263" w:name="_Toc437597646"/>
      <w:r w:rsidRPr="00857168">
        <w:rPr>
          <w:rStyle w:val="IntenseReference"/>
          <w:rFonts w:eastAsia="SimSun"/>
        </w:rPr>
        <w:t xml:space="preserve">a) </w:t>
      </w:r>
      <w:r w:rsidRPr="00626D6B">
        <w:rPr>
          <w:rStyle w:val="IntenseReference"/>
          <w:rFonts w:eastAsia="SimSun"/>
        </w:rPr>
        <w:t>Coral index, colour coding: dark green- ‘very good’; light green-‘good’; yellow – ‘moderate; orange – ‘poor’; red – ‘very poor’. b – f) trends in individual indicators, (blue lines) bound by 95% confidence intervals of thos</w:t>
      </w:r>
      <w:r w:rsidRPr="009808B7">
        <w:rPr>
          <w:rStyle w:val="IntenseReference"/>
          <w:rFonts w:eastAsia="SimSun"/>
        </w:rPr>
        <w:t>e trends (shading), grey lines represent observed profiles at 5 m (dashed) and 2 m (solid) depths for individual reefs.</w:t>
      </w:r>
      <w:bookmarkEnd w:id="262"/>
      <w:bookmarkEnd w:id="263"/>
    </w:p>
    <w:p w14:paraId="31023A1D" w14:textId="77777777" w:rsidR="0057726F" w:rsidRDefault="001322DD" w:rsidP="00834AA8">
      <w:pPr>
        <w:jc w:val="left"/>
        <w:rPr>
          <w:rFonts w:asciiTheme="minorHAnsi" w:eastAsiaTheme="minorHAnsi" w:hAnsiTheme="minorHAnsi" w:cstheme="minorBidi"/>
          <w:color w:val="4F81BD" w:themeColor="accent1"/>
          <w:szCs w:val="22"/>
        </w:rPr>
      </w:pPr>
      <w:r>
        <w:rPr>
          <w:rFonts w:asciiTheme="minorHAnsi" w:eastAsiaTheme="minorHAnsi" w:hAnsiTheme="minorHAnsi" w:cstheme="minorBidi"/>
          <w:color w:val="4F81BD" w:themeColor="accent1"/>
          <w:szCs w:val="22"/>
        </w:rPr>
        <w:br w:type="page"/>
      </w:r>
    </w:p>
    <w:p w14:paraId="3D7C4A72" w14:textId="77777777" w:rsidR="00AD14ED" w:rsidRPr="00F352E1" w:rsidRDefault="00AD14ED" w:rsidP="00121B7E">
      <w:pPr>
        <w:pStyle w:val="Heading1"/>
        <w:rPr>
          <w:lang w:val="en-AU"/>
        </w:rPr>
      </w:pPr>
      <w:bookmarkStart w:id="264" w:name="_Toc514408417"/>
      <w:r w:rsidRPr="004B4FDC">
        <w:t>Discussion</w:t>
      </w:r>
      <w:bookmarkEnd w:id="264"/>
      <w:r w:rsidRPr="00F352E1">
        <w:t xml:space="preserve"> </w:t>
      </w:r>
    </w:p>
    <w:p w14:paraId="6440BE12" w14:textId="77777777" w:rsidR="00A462A9" w:rsidRPr="00382A2B" w:rsidRDefault="00A462A9" w:rsidP="00A462A9">
      <w:pPr>
        <w:rPr>
          <w:rFonts w:cs="Arial"/>
        </w:rPr>
      </w:pPr>
      <w:r w:rsidRPr="00382A2B">
        <w:rPr>
          <w:rFonts w:cs="Arial"/>
        </w:rPr>
        <w:t xml:space="preserve">As naturally dynamic systems that alternate between impacts and periods of recovery (Connell 1978) it is critical for the persistence of coral communities that there is a long-term balance between disturbance and recovery processes. </w:t>
      </w:r>
      <w:r w:rsidR="009D29D2">
        <w:rPr>
          <w:rFonts w:cs="Arial"/>
        </w:rPr>
        <w:t>T</w:t>
      </w:r>
      <w:r w:rsidR="009D29D2" w:rsidRPr="00382A2B">
        <w:rPr>
          <w:rFonts w:cs="Arial"/>
        </w:rPr>
        <w:t xml:space="preserve">he primary focus of the MMP </w:t>
      </w:r>
      <w:r w:rsidRPr="00382A2B">
        <w:rPr>
          <w:rFonts w:cs="Arial"/>
        </w:rPr>
        <w:t xml:space="preserve">is the role of water quality </w:t>
      </w:r>
      <w:r w:rsidR="009D29D2">
        <w:rPr>
          <w:rFonts w:cs="Arial"/>
        </w:rPr>
        <w:t>in altering th</w:t>
      </w:r>
      <w:r w:rsidR="00E842FD">
        <w:rPr>
          <w:rFonts w:cs="Arial"/>
        </w:rPr>
        <w:t>is</w:t>
      </w:r>
      <w:r w:rsidR="009D29D2">
        <w:rPr>
          <w:rFonts w:cs="Arial"/>
        </w:rPr>
        <w:t xml:space="preserve"> balance </w:t>
      </w:r>
      <w:r w:rsidR="00E842FD">
        <w:rPr>
          <w:rFonts w:cs="Arial"/>
        </w:rPr>
        <w:t xml:space="preserve">leading to the long-term decline in coral </w:t>
      </w:r>
      <w:r w:rsidR="00FC572F">
        <w:rPr>
          <w:rFonts w:cs="Arial"/>
        </w:rPr>
        <w:t>communities</w:t>
      </w:r>
      <w:r w:rsidRPr="00382A2B">
        <w:rPr>
          <w:rFonts w:cs="Arial"/>
        </w:rPr>
        <w:t>.</w:t>
      </w:r>
      <w:r w:rsidRPr="00F352E1">
        <w:rPr>
          <w:rFonts w:cs="Arial"/>
          <w:color w:val="4F81BD" w:themeColor="accent1"/>
        </w:rPr>
        <w:t xml:space="preserve"> </w:t>
      </w:r>
      <w:r w:rsidRPr="00382A2B">
        <w:rPr>
          <w:rFonts w:cs="Arial"/>
        </w:rPr>
        <w:t>In this light</w:t>
      </w:r>
      <w:r w:rsidR="001B54F0" w:rsidRPr="00382A2B">
        <w:rPr>
          <w:rFonts w:cs="Arial"/>
        </w:rPr>
        <w:t xml:space="preserve">, </w:t>
      </w:r>
      <w:r w:rsidR="006106DB" w:rsidRPr="00382A2B">
        <w:rPr>
          <w:rFonts w:cs="Arial"/>
        </w:rPr>
        <w:t xml:space="preserve">despite wide spread disturbances and substantial loss of coral cover in </w:t>
      </w:r>
      <w:r w:rsidR="00F523FF">
        <w:rPr>
          <w:rFonts w:cs="Arial"/>
        </w:rPr>
        <w:t>three</w:t>
      </w:r>
      <w:r w:rsidR="00F523FF" w:rsidRPr="00382A2B">
        <w:rPr>
          <w:rFonts w:cs="Arial"/>
        </w:rPr>
        <w:t xml:space="preserve"> </w:t>
      </w:r>
      <w:r w:rsidR="006106DB" w:rsidRPr="00382A2B">
        <w:rPr>
          <w:rFonts w:cs="Arial"/>
        </w:rPr>
        <w:t xml:space="preserve">of the </w:t>
      </w:r>
      <w:r w:rsidR="00F523FF">
        <w:rPr>
          <w:rFonts w:cs="Arial"/>
        </w:rPr>
        <w:t>four</w:t>
      </w:r>
      <w:r w:rsidR="00F523FF" w:rsidRPr="00382A2B">
        <w:rPr>
          <w:rFonts w:cs="Arial"/>
        </w:rPr>
        <w:t xml:space="preserve"> </w:t>
      </w:r>
      <w:r w:rsidR="006106DB" w:rsidRPr="00382A2B">
        <w:rPr>
          <w:rFonts w:cs="Arial"/>
        </w:rPr>
        <w:t>regions, the coral index has remained relatively stable</w:t>
      </w:r>
      <w:r w:rsidR="00CF5B74" w:rsidRPr="00382A2B">
        <w:rPr>
          <w:rFonts w:cs="Arial"/>
        </w:rPr>
        <w:t xml:space="preserve"> in 2017. This </w:t>
      </w:r>
      <w:r w:rsidR="00193981">
        <w:rPr>
          <w:rFonts w:cs="Arial"/>
        </w:rPr>
        <w:t xml:space="preserve">stability is influenced by two attributes of the index </w:t>
      </w:r>
      <w:r w:rsidR="00FC572F">
        <w:rPr>
          <w:rFonts w:cs="Arial"/>
        </w:rPr>
        <w:t xml:space="preserve">that </w:t>
      </w:r>
      <w:r w:rsidR="00193981">
        <w:rPr>
          <w:rFonts w:cs="Arial"/>
        </w:rPr>
        <w:t>buffer against short term responses to acute disturbance events. Appropriately, the index includes consideration of the ability of coral communities to recover</w:t>
      </w:r>
      <w:r w:rsidR="000E0B22">
        <w:rPr>
          <w:rFonts w:cs="Arial"/>
        </w:rPr>
        <w:t xml:space="preserve">, via the Cover Change metric. As Cover Change scores are estimated from a running mean of recovery rates observed over the preceding four years, the high rates of recovery observed prior to the 2016/17 summer contribute to stable or increasing scores for this metric in all </w:t>
      </w:r>
      <w:r w:rsidR="00F523FF">
        <w:rPr>
          <w:rFonts w:cs="Arial"/>
        </w:rPr>
        <w:t>regions</w:t>
      </w:r>
      <w:r w:rsidR="000E0B22">
        <w:rPr>
          <w:rFonts w:cs="Arial"/>
        </w:rPr>
        <w:t>. Less desirable, is that</w:t>
      </w:r>
      <w:r w:rsidR="00F523FF">
        <w:rPr>
          <w:rFonts w:cs="Arial"/>
        </w:rPr>
        <w:t xml:space="preserve"> the</w:t>
      </w:r>
      <w:r w:rsidR="000E0B22">
        <w:rPr>
          <w:rFonts w:cs="Arial"/>
        </w:rPr>
        <w:t xml:space="preserve"> biennial sampling design of t</w:t>
      </w:r>
      <w:r w:rsidR="00FC572F">
        <w:rPr>
          <w:rFonts w:cs="Arial"/>
        </w:rPr>
        <w:t xml:space="preserve">he program means that </w:t>
      </w:r>
      <w:r w:rsidR="00547CFE">
        <w:rPr>
          <w:rFonts w:cs="Arial"/>
        </w:rPr>
        <w:t>index</w:t>
      </w:r>
      <w:r w:rsidR="000E0B22">
        <w:rPr>
          <w:rFonts w:cs="Arial"/>
        </w:rPr>
        <w:t xml:space="preserve"> scores are based on a combination of </w:t>
      </w:r>
      <w:r w:rsidR="00FC572F">
        <w:rPr>
          <w:rFonts w:cs="Arial"/>
        </w:rPr>
        <w:t xml:space="preserve">observations </w:t>
      </w:r>
      <w:r w:rsidR="000E0B22">
        <w:rPr>
          <w:rFonts w:cs="Arial"/>
        </w:rPr>
        <w:t>from reefs sampled that year and those carried forward from previous years. While additional surveys were undertaken in all regions to</w:t>
      </w:r>
      <w:r w:rsidR="00FC572F">
        <w:rPr>
          <w:rFonts w:cs="Arial"/>
        </w:rPr>
        <w:t xml:space="preserve"> limit the influence of carried-</w:t>
      </w:r>
      <w:r w:rsidR="000E0B22">
        <w:rPr>
          <w:rFonts w:cs="Arial"/>
        </w:rPr>
        <w:t>forward scores on the index in 2017</w:t>
      </w:r>
      <w:r w:rsidR="00F523FF">
        <w:rPr>
          <w:rFonts w:cs="Arial"/>
        </w:rPr>
        <w:t>,</w:t>
      </w:r>
      <w:r w:rsidR="000E0B22">
        <w:rPr>
          <w:rFonts w:cs="Arial"/>
        </w:rPr>
        <w:t xml:space="preserve"> some buffering of impact of the summer</w:t>
      </w:r>
      <w:r w:rsidR="00547CFE">
        <w:rPr>
          <w:rFonts w:cs="Arial"/>
        </w:rPr>
        <w:t>’</w:t>
      </w:r>
      <w:r w:rsidR="000E0B22">
        <w:rPr>
          <w:rFonts w:cs="Arial"/>
        </w:rPr>
        <w:t xml:space="preserve">s </w:t>
      </w:r>
      <w:r w:rsidR="00547CFE">
        <w:rPr>
          <w:rFonts w:cs="Arial"/>
        </w:rPr>
        <w:t>disturbance</w:t>
      </w:r>
      <w:r w:rsidR="000E0B22">
        <w:rPr>
          <w:rFonts w:cs="Arial"/>
        </w:rPr>
        <w:t xml:space="preserve"> events on the index remains.  </w:t>
      </w:r>
      <w:r w:rsidR="00193981">
        <w:rPr>
          <w:rFonts w:cs="Arial"/>
        </w:rPr>
        <w:t xml:space="preserve"> </w:t>
      </w:r>
    </w:p>
    <w:p w14:paraId="22C89D65" w14:textId="77777777" w:rsidR="00A462A9" w:rsidRPr="00382A2B" w:rsidRDefault="00A462A9" w:rsidP="00A462A9">
      <w:pPr>
        <w:rPr>
          <w:rFonts w:cs="Arial"/>
        </w:rPr>
      </w:pPr>
      <w:r w:rsidRPr="00382A2B">
        <w:rPr>
          <w:rFonts w:cs="Arial"/>
        </w:rPr>
        <w:t xml:space="preserve">Results are discussed in terms of the </w:t>
      </w:r>
      <w:r w:rsidRPr="00382A2B">
        <w:rPr>
          <w:rFonts w:cs="Arial"/>
          <w:i/>
        </w:rPr>
        <w:t>Pressure</w:t>
      </w:r>
      <w:r w:rsidRPr="00382A2B">
        <w:rPr>
          <w:rFonts w:cs="Arial"/>
        </w:rPr>
        <w:t xml:space="preserve">, </w:t>
      </w:r>
      <w:r w:rsidRPr="00382A2B">
        <w:rPr>
          <w:rFonts w:cs="Arial"/>
          <w:i/>
        </w:rPr>
        <w:t>State</w:t>
      </w:r>
      <w:r w:rsidRPr="00382A2B">
        <w:rPr>
          <w:rFonts w:cs="Arial"/>
        </w:rPr>
        <w:t xml:space="preserve"> and </w:t>
      </w:r>
      <w:r w:rsidRPr="00382A2B">
        <w:rPr>
          <w:rFonts w:cs="Arial"/>
          <w:i/>
        </w:rPr>
        <w:t>Impact</w:t>
      </w:r>
      <w:r w:rsidRPr="00382A2B">
        <w:rPr>
          <w:rFonts w:cs="Arial"/>
        </w:rPr>
        <w:t xml:space="preserve"> components of a broader </w:t>
      </w:r>
      <w:r w:rsidRPr="00382A2B">
        <w:rPr>
          <w:rFonts w:cs="Arial"/>
          <w:i/>
        </w:rPr>
        <w:t>Driver-Pressure-State-Impact-Response</w:t>
      </w:r>
      <w:r w:rsidRPr="00382A2B">
        <w:rPr>
          <w:rFonts w:cs="Arial"/>
        </w:rPr>
        <w:t xml:space="preserve"> (DPSIR) framework. This allows identification of some of the key pressures influencing coral community condition. In this context, there is a natural distinction between pressures that are beyond the realm of management under </w:t>
      </w:r>
      <w:r w:rsidRPr="00362093">
        <w:rPr>
          <w:rFonts w:cs="Arial"/>
          <w:i/>
        </w:rPr>
        <w:t>Reef Plan</w:t>
      </w:r>
      <w:r w:rsidRPr="00382A2B">
        <w:rPr>
          <w:rFonts w:cs="Arial"/>
        </w:rPr>
        <w:t xml:space="preserve">, such as acute disturbances associated with severe storms or </w:t>
      </w:r>
      <w:r w:rsidR="00547CFE">
        <w:rPr>
          <w:rFonts w:cs="Arial"/>
        </w:rPr>
        <w:t>bleaching events</w:t>
      </w:r>
      <w:r w:rsidRPr="00382A2B">
        <w:rPr>
          <w:rFonts w:cs="Arial"/>
        </w:rPr>
        <w:t xml:space="preserve">, and those related more tangibly to water quality, </w:t>
      </w:r>
      <w:r w:rsidR="00101DEF" w:rsidRPr="00382A2B">
        <w:rPr>
          <w:rFonts w:cs="Arial"/>
        </w:rPr>
        <w:t>and as such</w:t>
      </w:r>
      <w:r w:rsidR="00547CFE">
        <w:rPr>
          <w:rFonts w:cs="Arial"/>
        </w:rPr>
        <w:t>,</w:t>
      </w:r>
      <w:r w:rsidRPr="00382A2B">
        <w:rPr>
          <w:rFonts w:cs="Arial"/>
        </w:rPr>
        <w:t xml:space="preserve"> expected to be manageable.</w:t>
      </w:r>
    </w:p>
    <w:p w14:paraId="054AF1E7" w14:textId="77777777" w:rsidR="00A462A9" w:rsidRPr="00382A2B" w:rsidRDefault="00A462A9" w:rsidP="00607BCA">
      <w:pPr>
        <w:pStyle w:val="Heading2"/>
        <w:spacing w:before="240" w:after="240"/>
        <w:rPr>
          <w:color w:val="auto"/>
        </w:rPr>
      </w:pPr>
      <w:bookmarkStart w:id="265" w:name="_Toc471376417"/>
      <w:bookmarkStart w:id="266" w:name="_Toc514408418"/>
      <w:r w:rsidRPr="00382A2B">
        <w:rPr>
          <w:color w:val="auto"/>
        </w:rPr>
        <w:t>6.1 Pressures</w:t>
      </w:r>
      <w:bookmarkEnd w:id="265"/>
      <w:bookmarkEnd w:id="266"/>
      <w:r w:rsidRPr="00382A2B">
        <w:rPr>
          <w:color w:val="auto"/>
        </w:rPr>
        <w:t xml:space="preserve"> </w:t>
      </w:r>
    </w:p>
    <w:p w14:paraId="272EE5F7" w14:textId="77777777" w:rsidR="00A462A9" w:rsidRPr="00F352E1" w:rsidRDefault="00607BCA" w:rsidP="00607BCA">
      <w:pPr>
        <w:pStyle w:val="Heading3"/>
        <w:rPr>
          <w:color w:val="4F81BD" w:themeColor="accent1"/>
        </w:rPr>
      </w:pPr>
      <w:bookmarkStart w:id="267" w:name="_Toc514408419"/>
      <w:r>
        <w:t xml:space="preserve">6.1.1 </w:t>
      </w:r>
      <w:r w:rsidR="00A462A9" w:rsidRPr="00382A2B">
        <w:t>Acute disturbances</w:t>
      </w:r>
      <w:bookmarkEnd w:id="267"/>
    </w:p>
    <w:p w14:paraId="4D38ED4D" w14:textId="77777777" w:rsidR="00360026" w:rsidRPr="00382A2B" w:rsidRDefault="00A462A9" w:rsidP="00A462A9">
      <w:r w:rsidRPr="00382A2B">
        <w:t>High water temperatures over the 201</w:t>
      </w:r>
      <w:r w:rsidR="00633C48" w:rsidRPr="00382A2B">
        <w:t>6</w:t>
      </w:r>
      <w:r w:rsidRPr="00382A2B">
        <w:t>-1</w:t>
      </w:r>
      <w:r w:rsidR="00633C48" w:rsidRPr="00382A2B">
        <w:t>7</w:t>
      </w:r>
      <w:r w:rsidRPr="00382A2B">
        <w:t xml:space="preserve"> summer were widely reported as causing severe coral bleaching</w:t>
      </w:r>
      <w:r w:rsidR="00E75F5C" w:rsidRPr="00382A2B">
        <w:t xml:space="preserve"> </w:t>
      </w:r>
      <w:r w:rsidR="00C1667D">
        <w:t xml:space="preserve">of the Reef for a second consecutive year </w:t>
      </w:r>
      <w:r w:rsidRPr="00382A2B">
        <w:t>(</w:t>
      </w:r>
      <w:r w:rsidR="00D5164E">
        <w:t xml:space="preserve">Hughes </w:t>
      </w:r>
      <w:r w:rsidR="00D5164E">
        <w:rPr>
          <w:i/>
        </w:rPr>
        <w:t xml:space="preserve">et al. </w:t>
      </w:r>
      <w:r w:rsidR="00D5164E">
        <w:t>2018</w:t>
      </w:r>
      <w:r w:rsidRPr="00382A2B">
        <w:t xml:space="preserve">). </w:t>
      </w:r>
      <w:r w:rsidR="00DD27EB">
        <w:t xml:space="preserve">On the </w:t>
      </w:r>
      <w:r w:rsidR="00FC572F">
        <w:t xml:space="preserve">inshore </w:t>
      </w:r>
      <w:r w:rsidR="00DD27EB">
        <w:t xml:space="preserve">reefs monitored by the MMP </w:t>
      </w:r>
      <w:r w:rsidR="00FC572F">
        <w:t xml:space="preserve">an average of 10.5% of the hard coral cover in the Wet Tropics and Burdekin Regions was lost between surveys </w:t>
      </w:r>
      <w:r w:rsidR="00DD27EB">
        <w:t>in 201</w:t>
      </w:r>
      <w:r w:rsidR="00FC572F">
        <w:t>6 and 2017.</w:t>
      </w:r>
      <w:r w:rsidR="00DD27EB">
        <w:t xml:space="preserve"> This figure should be considered a minimum estimate of the proportion of coral lost, as at the time of survey (May –August 2017) up to </w:t>
      </w:r>
      <w:r w:rsidR="00CD1776">
        <w:t xml:space="preserve">66% (mean 14.4%) of the </w:t>
      </w:r>
      <w:r w:rsidR="00FC572F">
        <w:t xml:space="preserve">surviving </w:t>
      </w:r>
      <w:r w:rsidR="00CD1776">
        <w:t>coral</w:t>
      </w:r>
      <w:r w:rsidR="00FC572F">
        <w:t>s</w:t>
      </w:r>
      <w:r w:rsidR="00CD1776">
        <w:t xml:space="preserve"> were still bleached, suggesting possible </w:t>
      </w:r>
      <w:r w:rsidR="00FC572F">
        <w:t xml:space="preserve">further </w:t>
      </w:r>
      <w:r w:rsidR="00CD1776">
        <w:t>losses. The figure also compares cover to that observed at the ti</w:t>
      </w:r>
      <w:r w:rsidR="002C1224">
        <w:t>m</w:t>
      </w:r>
      <w:r w:rsidR="00CD1776">
        <w:t xml:space="preserve">e of last survey, mostly May-August 2016, and as such, does not account for the increase in cover that would have occurred between those surveys and </w:t>
      </w:r>
      <w:r w:rsidR="00FC572F">
        <w:t xml:space="preserve">the </w:t>
      </w:r>
      <w:r w:rsidR="00CD1776">
        <w:t xml:space="preserve">onset of bleaching in December 2016-January 2017. </w:t>
      </w:r>
      <w:r w:rsidR="00547CFE">
        <w:t xml:space="preserve">Chapter 8 provides a summary of the impacts to coral communities that occurred as a result of this bleaching event. </w:t>
      </w:r>
    </w:p>
    <w:p w14:paraId="1BF48222" w14:textId="1AE9EBC2" w:rsidR="00A462A9" w:rsidRPr="00F352E1" w:rsidRDefault="00360026" w:rsidP="00A462A9">
      <w:pPr>
        <w:rPr>
          <w:color w:val="4F81BD" w:themeColor="accent1"/>
        </w:rPr>
      </w:pPr>
      <w:r w:rsidRPr="00382A2B">
        <w:t xml:space="preserve">Tropical </w:t>
      </w:r>
      <w:r w:rsidR="00CE02D3">
        <w:t>c</w:t>
      </w:r>
      <w:r w:rsidR="00CE02D3" w:rsidRPr="00382A2B">
        <w:t xml:space="preserve">yclone </w:t>
      </w:r>
      <w:r w:rsidRPr="00382A2B">
        <w:t>Debbie sever</w:t>
      </w:r>
      <w:r w:rsidR="00547CFE">
        <w:t xml:space="preserve">ely damaged </w:t>
      </w:r>
      <w:r w:rsidRPr="00382A2B">
        <w:t xml:space="preserve">coral communities in the </w:t>
      </w:r>
      <w:r w:rsidR="00547CFE">
        <w:t xml:space="preserve">Mackay </w:t>
      </w:r>
      <w:r w:rsidRPr="00382A2B">
        <w:t>Whitsunday</w:t>
      </w:r>
      <w:r w:rsidR="00547CFE">
        <w:t xml:space="preserve"> Region</w:t>
      </w:r>
      <w:r w:rsidR="00B538BE">
        <w:t xml:space="preserve">. A mean of 60% of hard coral cover was lost from the reefs monitored, with losses in excess of 95% at 2m depths at </w:t>
      </w:r>
      <w:r w:rsidR="00B538BE" w:rsidRPr="00382A2B">
        <w:t xml:space="preserve">Daydream </w:t>
      </w:r>
      <w:r w:rsidR="00B538BE">
        <w:t>and Double Cone. The storm made</w:t>
      </w:r>
      <w:r w:rsidRPr="00382A2B">
        <w:t xml:space="preserve"> landfall, as a category 4 cyclone, near Airlie Beach on the 28</w:t>
      </w:r>
      <w:r w:rsidRPr="00382A2B">
        <w:rPr>
          <w:vertAlign w:val="superscript"/>
        </w:rPr>
        <w:t>th</w:t>
      </w:r>
      <w:r w:rsidRPr="00382A2B">
        <w:t xml:space="preserve"> of March</w:t>
      </w:r>
      <w:r w:rsidR="00BF2884" w:rsidRPr="00382A2B">
        <w:t xml:space="preserve"> 2017</w:t>
      </w:r>
      <w:r w:rsidR="007473C5">
        <w:t xml:space="preserve"> (</w:t>
      </w:r>
      <w:r w:rsidR="007B0264">
        <w:fldChar w:fldCharType="begin"/>
      </w:r>
      <w:r w:rsidR="007B0264">
        <w:instrText xml:space="preserve"> REF _Ref504643531 \h </w:instrText>
      </w:r>
      <w:r w:rsidR="007B0264">
        <w:fldChar w:fldCharType="separate"/>
      </w:r>
      <w:r w:rsidR="00A75175">
        <w:t xml:space="preserve">Figure A1. </w:t>
      </w:r>
      <w:r w:rsidR="00A75175">
        <w:rPr>
          <w:noProof/>
        </w:rPr>
        <w:t>8</w:t>
      </w:r>
      <w:r w:rsidR="007B0264">
        <w:fldChar w:fldCharType="end"/>
      </w:r>
      <w:r w:rsidR="007473C5">
        <w:t>)</w:t>
      </w:r>
      <w:r w:rsidR="00B538BE">
        <w:t xml:space="preserve"> with </w:t>
      </w:r>
      <w:r w:rsidR="00C37DCB" w:rsidRPr="00382A2B">
        <w:t>sustained</w:t>
      </w:r>
      <w:r w:rsidR="00BF2884" w:rsidRPr="00382A2B">
        <w:t xml:space="preserve"> wind speeds of 195km/h</w:t>
      </w:r>
      <w:r w:rsidR="00C37DCB" w:rsidRPr="00382A2B">
        <w:t xml:space="preserve"> (max 265 km/h)</w:t>
      </w:r>
      <w:r w:rsidR="00A82BAF">
        <w:t xml:space="preserve"> (</w:t>
      </w:r>
      <w:hyperlink r:id="rId59" w:history="1">
        <w:r w:rsidR="00723C2F" w:rsidRPr="00F523AB">
          <w:rPr>
            <w:rStyle w:val="Hyperlink"/>
          </w:rPr>
          <w:t>www.bom.gov.au</w:t>
        </w:r>
      </w:hyperlink>
      <w:r w:rsidR="00723C2F">
        <w:t>)</w:t>
      </w:r>
      <w:r w:rsidR="002C1224">
        <w:t>.</w:t>
      </w:r>
      <w:r w:rsidRPr="00382A2B">
        <w:t xml:space="preserve"> </w:t>
      </w:r>
      <w:r w:rsidR="00B55122">
        <w:t>C</w:t>
      </w:r>
      <w:r w:rsidR="004E0C50">
        <w:t xml:space="preserve">ontributing to the </w:t>
      </w:r>
      <w:r w:rsidR="00B538BE">
        <w:t xml:space="preserve">damage incurred is that the </w:t>
      </w:r>
      <w:r w:rsidR="00B55122">
        <w:t xml:space="preserve">geography of the </w:t>
      </w:r>
      <w:r w:rsidR="00B538BE">
        <w:t xml:space="preserve">island group </w:t>
      </w:r>
      <w:r w:rsidR="00B55122">
        <w:t xml:space="preserve">provides areas that are usually </w:t>
      </w:r>
      <w:r w:rsidR="00B538BE">
        <w:t>protected from wave exposure</w:t>
      </w:r>
      <w:r w:rsidR="00B55122">
        <w:t xml:space="preserve"> in which relatively</w:t>
      </w:r>
      <w:r w:rsidR="00B538BE">
        <w:t xml:space="preserve"> fragile coral communities</w:t>
      </w:r>
      <w:r w:rsidR="00B55122">
        <w:t xml:space="preserve"> have developed</w:t>
      </w:r>
      <w:r w:rsidR="00B538BE">
        <w:t xml:space="preserve">. </w:t>
      </w:r>
      <w:r w:rsidR="00B55122">
        <w:t>T</w:t>
      </w:r>
      <w:r w:rsidR="004E0C50">
        <w:t xml:space="preserve">he slow passage of the storm </w:t>
      </w:r>
      <w:r w:rsidR="00B55122">
        <w:t>and direction of the winds ensured these fragile communities were expos</w:t>
      </w:r>
      <w:r w:rsidR="004E0C50">
        <w:t>e</w:t>
      </w:r>
      <w:r w:rsidR="00B55122">
        <w:t>d</w:t>
      </w:r>
      <w:r w:rsidR="004E0C50">
        <w:t xml:space="preserve"> to damaging conditions</w:t>
      </w:r>
      <w:r w:rsidR="00B55122">
        <w:t xml:space="preserve"> over a prolonged period.</w:t>
      </w:r>
    </w:p>
    <w:p w14:paraId="0E31200E" w14:textId="77777777" w:rsidR="00A462A9" w:rsidRPr="00382A2B" w:rsidRDefault="00A462A9" w:rsidP="00A462A9">
      <w:pPr>
        <w:rPr>
          <w:rFonts w:cs="Arial"/>
        </w:rPr>
      </w:pPr>
      <w:r w:rsidRPr="00382A2B">
        <w:t>Moderate numbers of crown-of-thorns s</w:t>
      </w:r>
      <w:r w:rsidR="005634A3">
        <w:t>tarfish</w:t>
      </w:r>
      <w:r w:rsidRPr="00382A2B">
        <w:t xml:space="preserve"> (COTS) continue to occur at reefs in the Johnstone Russell-Mulgrave </w:t>
      </w:r>
      <w:r w:rsidR="00360026" w:rsidRPr="00382A2B">
        <w:t>sub-</w:t>
      </w:r>
      <w:r w:rsidRPr="00382A2B">
        <w:t>region. The individuals observed represented a range of size classes including juveniles &lt;1</w:t>
      </w:r>
      <w:r w:rsidR="00AA72A3" w:rsidRPr="00382A2B">
        <w:t>5 cm</w:t>
      </w:r>
      <w:r w:rsidRPr="00382A2B">
        <w:t xml:space="preserve"> in diameter indicating the recurrent recruitment of </w:t>
      </w:r>
      <w:r w:rsidR="005634A3">
        <w:t>COTS</w:t>
      </w:r>
      <w:r w:rsidR="004E0C50">
        <w:t xml:space="preserve">. The </w:t>
      </w:r>
      <w:r w:rsidRPr="00382A2B">
        <w:t xml:space="preserve">concern </w:t>
      </w:r>
      <w:r w:rsidR="004E0C50">
        <w:t xml:space="preserve">is </w:t>
      </w:r>
      <w:r w:rsidR="002C1224">
        <w:t xml:space="preserve">that </w:t>
      </w:r>
      <w:r w:rsidR="002C1224" w:rsidRPr="00382A2B">
        <w:t>as</w:t>
      </w:r>
      <w:r w:rsidRPr="00382A2B">
        <w:t xml:space="preserve"> these individuals grow</w:t>
      </w:r>
      <w:r w:rsidR="00670B9C" w:rsidRPr="00382A2B">
        <w:t>,</w:t>
      </w:r>
      <w:r w:rsidRPr="00382A2B">
        <w:t xml:space="preserve"> they will cause ongoing loss of coral cover. </w:t>
      </w:r>
      <w:r w:rsidRPr="00382A2B">
        <w:rPr>
          <w:rFonts w:cs="Arial"/>
        </w:rPr>
        <w:t xml:space="preserve">COTS are recognised as a major contributor to loss of coral cover in mid-shelf areas of the Reef (Osborne </w:t>
      </w:r>
      <w:r w:rsidRPr="00382A2B">
        <w:rPr>
          <w:rFonts w:cs="Arial"/>
          <w:i/>
        </w:rPr>
        <w:t>et al.</w:t>
      </w:r>
      <w:r w:rsidRPr="00382A2B">
        <w:rPr>
          <w:rFonts w:cs="Arial"/>
        </w:rPr>
        <w:t xml:space="preserve"> 2011, De’ath </w:t>
      </w:r>
      <w:r w:rsidRPr="00382A2B">
        <w:rPr>
          <w:rFonts w:cs="Arial"/>
          <w:i/>
        </w:rPr>
        <w:t>et al.</w:t>
      </w:r>
      <w:r w:rsidRPr="00382A2B">
        <w:rPr>
          <w:rFonts w:cs="Arial"/>
        </w:rPr>
        <w:t xml:space="preserve"> 2012) with population outbreaks in 201</w:t>
      </w:r>
      <w:r w:rsidR="00360026" w:rsidRPr="00382A2B">
        <w:rPr>
          <w:rFonts w:cs="Arial"/>
        </w:rPr>
        <w:t>7</w:t>
      </w:r>
      <w:r w:rsidRPr="00382A2B">
        <w:rPr>
          <w:rFonts w:cs="Arial"/>
        </w:rPr>
        <w:t xml:space="preserve"> recorded on reefs between Cairns and Townsville, as well as off Princess Charlotte Bay in the North and Mackay in the south (</w:t>
      </w:r>
      <w:hyperlink r:id="rId60" w:history="1">
        <w:r w:rsidRPr="00382A2B">
          <w:rPr>
            <w:rStyle w:val="Hyperlink"/>
            <w:rFonts w:eastAsia="SimSun" w:cs="Arial"/>
            <w:color w:val="auto"/>
          </w:rPr>
          <w:t>AIMS LTMP</w:t>
        </w:r>
      </w:hyperlink>
      <w:r w:rsidRPr="00382A2B">
        <w:rPr>
          <w:rFonts w:cs="Arial"/>
        </w:rPr>
        <w:t xml:space="preserve">). The transport of coastal nutrients to the mid-shelf Reef remains the most plausible explanation for the promotion of COTS outbreaks as a result of human activities, potentially extending the influence of runoff to large tracts of the Reef and over long periods of time (Brodie </w:t>
      </w:r>
      <w:r w:rsidRPr="00382A2B">
        <w:rPr>
          <w:rFonts w:cs="Arial"/>
          <w:i/>
        </w:rPr>
        <w:t>et al.</w:t>
      </w:r>
      <w:r w:rsidRPr="00382A2B">
        <w:rPr>
          <w:rFonts w:cs="Arial"/>
        </w:rPr>
        <w:t xml:space="preserve"> 2005, Fabricius </w:t>
      </w:r>
      <w:r w:rsidRPr="00382A2B">
        <w:rPr>
          <w:rFonts w:cs="Arial"/>
          <w:i/>
        </w:rPr>
        <w:t>et al.</w:t>
      </w:r>
      <w:r w:rsidRPr="00382A2B">
        <w:rPr>
          <w:rFonts w:cs="Arial"/>
        </w:rPr>
        <w:t xml:space="preserve"> 2010, Furnas </w:t>
      </w:r>
      <w:r w:rsidRPr="00382A2B">
        <w:rPr>
          <w:rFonts w:cs="Arial"/>
          <w:i/>
        </w:rPr>
        <w:t>et al.</w:t>
      </w:r>
      <w:r w:rsidRPr="00382A2B">
        <w:rPr>
          <w:rFonts w:cs="Arial"/>
        </w:rPr>
        <w:t xml:space="preserve"> 2013, Caballes &amp; Pratchett 2014, Pratchett </w:t>
      </w:r>
      <w:r w:rsidRPr="00382A2B">
        <w:rPr>
          <w:rFonts w:cs="Arial"/>
          <w:i/>
        </w:rPr>
        <w:t>et al</w:t>
      </w:r>
      <w:r w:rsidRPr="00382A2B">
        <w:rPr>
          <w:rFonts w:cs="Arial"/>
        </w:rPr>
        <w:t>. 2014, Wooldridge &amp; Brodie 2015).</w:t>
      </w:r>
    </w:p>
    <w:p w14:paraId="0DA77A6D" w14:textId="18B8F42A" w:rsidR="00A462A9" w:rsidRPr="00382A2B" w:rsidRDefault="004E0C50" w:rsidP="00A462A9">
      <w:pPr>
        <w:rPr>
          <w:rFonts w:cs="Arial"/>
        </w:rPr>
      </w:pPr>
      <w:r>
        <w:rPr>
          <w:rFonts w:cs="Arial"/>
        </w:rPr>
        <w:t>The recent disturbances build on previous events that, s</w:t>
      </w:r>
      <w:r w:rsidR="00A462A9" w:rsidRPr="00382A2B">
        <w:rPr>
          <w:rFonts w:cs="Arial"/>
        </w:rPr>
        <w:t xml:space="preserve">ince MMP surveys began in 2005, </w:t>
      </w:r>
      <w:r>
        <w:rPr>
          <w:rFonts w:cs="Arial"/>
        </w:rPr>
        <w:t xml:space="preserve">have resulted in clear </w:t>
      </w:r>
      <w:r w:rsidR="00BE4964">
        <w:rPr>
          <w:rFonts w:cs="Arial"/>
        </w:rPr>
        <w:t>reduction in coral cover across the regions, these include:</w:t>
      </w:r>
      <w:r w:rsidR="00A462A9" w:rsidRPr="00382A2B">
        <w:rPr>
          <w:rFonts w:cs="Arial"/>
        </w:rPr>
        <w:t xml:space="preserve"> thermal bleaching (Fitzroy Region </w:t>
      </w:r>
      <w:r w:rsidR="00BF2884" w:rsidRPr="00382A2B">
        <w:rPr>
          <w:rFonts w:cs="Arial"/>
        </w:rPr>
        <w:t>–</w:t>
      </w:r>
      <w:r w:rsidR="00A462A9" w:rsidRPr="00382A2B">
        <w:rPr>
          <w:rFonts w:cs="Arial"/>
        </w:rPr>
        <w:t xml:space="preserve"> 2006</w:t>
      </w:r>
      <w:r w:rsidR="00BF2884" w:rsidRPr="00382A2B">
        <w:rPr>
          <w:rFonts w:cs="Arial"/>
        </w:rPr>
        <w:t xml:space="preserve">, Wet </w:t>
      </w:r>
      <w:r w:rsidR="00F523FF">
        <w:rPr>
          <w:rFonts w:cs="Arial"/>
        </w:rPr>
        <w:t>T</w:t>
      </w:r>
      <w:r w:rsidR="00F523FF" w:rsidRPr="00382A2B">
        <w:rPr>
          <w:rFonts w:cs="Arial"/>
        </w:rPr>
        <w:t xml:space="preserve">ropics </w:t>
      </w:r>
      <w:r w:rsidR="00BF2884" w:rsidRPr="00382A2B">
        <w:rPr>
          <w:rFonts w:cs="Arial"/>
        </w:rPr>
        <w:t xml:space="preserve">and Burdekin </w:t>
      </w:r>
      <w:r w:rsidR="00F523FF">
        <w:rPr>
          <w:rFonts w:cs="Arial"/>
        </w:rPr>
        <w:t>R</w:t>
      </w:r>
      <w:r w:rsidR="00F523FF" w:rsidRPr="00382A2B">
        <w:rPr>
          <w:rFonts w:cs="Arial"/>
        </w:rPr>
        <w:t xml:space="preserve">egions </w:t>
      </w:r>
      <w:r w:rsidR="00BF2884" w:rsidRPr="00382A2B">
        <w:rPr>
          <w:rFonts w:cs="Arial"/>
        </w:rPr>
        <w:t>- 2017</w:t>
      </w:r>
      <w:r w:rsidR="00A462A9" w:rsidRPr="00382A2B">
        <w:rPr>
          <w:rFonts w:cs="Arial"/>
        </w:rPr>
        <w:t xml:space="preserve">), Cyclone Larry (Wet Tropics and Burdekin </w:t>
      </w:r>
      <w:r w:rsidR="00F523FF">
        <w:rPr>
          <w:rFonts w:cs="Arial"/>
        </w:rPr>
        <w:t>R</w:t>
      </w:r>
      <w:r w:rsidR="00F523FF" w:rsidRPr="00382A2B">
        <w:rPr>
          <w:rFonts w:cs="Arial"/>
        </w:rPr>
        <w:t xml:space="preserve">egions </w:t>
      </w:r>
      <w:r w:rsidR="00A462A9" w:rsidRPr="00382A2B">
        <w:rPr>
          <w:rFonts w:cs="Arial"/>
        </w:rPr>
        <w:t xml:space="preserve">- 2006), Cyclone Ului (Whitsunday Region - 2010), Cyclone Tasha (Wet Tropics - 2011), Cyclone Yasi (Wet Tropics and Burdekin </w:t>
      </w:r>
      <w:r w:rsidR="00F523FF">
        <w:rPr>
          <w:rFonts w:cs="Arial"/>
        </w:rPr>
        <w:t>R</w:t>
      </w:r>
      <w:r w:rsidR="00F523FF" w:rsidRPr="00382A2B">
        <w:rPr>
          <w:rFonts w:cs="Arial"/>
        </w:rPr>
        <w:t xml:space="preserve">egions </w:t>
      </w:r>
      <w:r w:rsidR="00A462A9" w:rsidRPr="00382A2B">
        <w:rPr>
          <w:rFonts w:cs="Arial"/>
        </w:rPr>
        <w:t xml:space="preserve">- 2011), Cyclone Ita (Wet Tropics - 2014), Cyclone Marsha (Fitzroy Region - 2015), </w:t>
      </w:r>
      <w:r w:rsidR="00CE02D3">
        <w:rPr>
          <w:rFonts w:cs="Arial"/>
        </w:rPr>
        <w:t>c</w:t>
      </w:r>
      <w:r w:rsidR="00BF2884" w:rsidRPr="00382A2B">
        <w:rPr>
          <w:rFonts w:cs="Arial"/>
        </w:rPr>
        <w:t xml:space="preserve">yclone Debbie (Whitsunday Region – 2017), </w:t>
      </w:r>
      <w:r w:rsidR="00A462A9" w:rsidRPr="00382A2B">
        <w:rPr>
          <w:rFonts w:cs="Arial"/>
        </w:rPr>
        <w:t xml:space="preserve">sub-cyclonic storms (Barron Daintree sub-region - 2009, Burdekin - 2009, Fitzroy - 2008, 2010, 2013), predation by COTS (Wet Tropics - 2012 to 2014) and exposure to low salinity flood waters (2 m depths, Fitzroy Region 2011). These disturbance events contribute strongly to the declines in </w:t>
      </w:r>
      <w:r w:rsidR="00BE4964">
        <w:rPr>
          <w:rFonts w:cs="Arial"/>
        </w:rPr>
        <w:t xml:space="preserve">the </w:t>
      </w:r>
      <w:r w:rsidR="00A462A9" w:rsidRPr="00382A2B">
        <w:rPr>
          <w:rFonts w:cs="Arial"/>
        </w:rPr>
        <w:t xml:space="preserve">coral index </w:t>
      </w:r>
      <w:r w:rsidR="00BE4964">
        <w:rPr>
          <w:rFonts w:cs="Arial"/>
        </w:rPr>
        <w:t xml:space="preserve">scores </w:t>
      </w:r>
      <w:r w:rsidR="00A462A9" w:rsidRPr="00382A2B">
        <w:rPr>
          <w:rFonts w:cs="Arial"/>
        </w:rPr>
        <w:t>in all regions. Acute pressures most directly influence</w:t>
      </w:r>
      <w:r w:rsidR="00F523FF">
        <w:rPr>
          <w:rFonts w:cs="Arial"/>
        </w:rPr>
        <w:t>d</w:t>
      </w:r>
      <w:r w:rsidR="00A462A9" w:rsidRPr="00382A2B">
        <w:rPr>
          <w:rFonts w:cs="Arial"/>
        </w:rPr>
        <w:t xml:space="preserve"> coral cover and contributed to between </w:t>
      </w:r>
      <w:r w:rsidR="00841C18" w:rsidRPr="00382A2B">
        <w:rPr>
          <w:rFonts w:cs="Arial"/>
        </w:rPr>
        <w:t>63</w:t>
      </w:r>
      <w:r w:rsidR="00A462A9" w:rsidRPr="00382A2B">
        <w:rPr>
          <w:rFonts w:cs="Arial"/>
        </w:rPr>
        <w:t>% (</w:t>
      </w:r>
      <w:r w:rsidR="00841C18" w:rsidRPr="00382A2B">
        <w:rPr>
          <w:rFonts w:cs="Arial"/>
        </w:rPr>
        <w:t>Fitzroy</w:t>
      </w:r>
      <w:r w:rsidR="00A462A9" w:rsidRPr="00382A2B">
        <w:rPr>
          <w:rFonts w:cs="Arial"/>
        </w:rPr>
        <w:t xml:space="preserve"> Region) and 9</w:t>
      </w:r>
      <w:r w:rsidR="00841C18" w:rsidRPr="00382A2B">
        <w:rPr>
          <w:rFonts w:cs="Arial"/>
        </w:rPr>
        <w:t>2</w:t>
      </w:r>
      <w:r w:rsidR="00A462A9" w:rsidRPr="00382A2B">
        <w:rPr>
          <w:rFonts w:cs="Arial"/>
        </w:rPr>
        <w:t xml:space="preserve">% (Herbert Tully sub-region) of the coral cover lost since 2005. These losses unavoidably translated into reductions in the scores for the </w:t>
      </w:r>
      <w:r w:rsidR="00C1667D">
        <w:rPr>
          <w:rFonts w:cs="Arial"/>
        </w:rPr>
        <w:t>C</w:t>
      </w:r>
      <w:r w:rsidR="00A462A9" w:rsidRPr="00382A2B">
        <w:rPr>
          <w:rFonts w:cs="Arial"/>
        </w:rPr>
        <w:t xml:space="preserve">oral </w:t>
      </w:r>
      <w:r w:rsidR="00C1667D">
        <w:rPr>
          <w:rFonts w:cs="Arial"/>
        </w:rPr>
        <w:t>C</w:t>
      </w:r>
      <w:r w:rsidR="00A462A9" w:rsidRPr="00382A2B">
        <w:rPr>
          <w:rFonts w:cs="Arial"/>
        </w:rPr>
        <w:t>over metric and contribute to declines in overall reef condition assessments following severe disturbance events. Each of the remaining four indicator metrics have been formulated to limit responsiveness to acute pressures to focus, as directly as possible</w:t>
      </w:r>
      <w:r w:rsidR="00670B9C" w:rsidRPr="00382A2B">
        <w:rPr>
          <w:rFonts w:cs="Arial"/>
        </w:rPr>
        <w:t>,</w:t>
      </w:r>
      <w:r w:rsidR="00A462A9" w:rsidRPr="00382A2B">
        <w:rPr>
          <w:rFonts w:cs="Arial"/>
        </w:rPr>
        <w:t xml:space="preserve"> on changes in condition that can be interpreted as resulting from changes in water quality. </w:t>
      </w:r>
    </w:p>
    <w:p w14:paraId="6D106A0E" w14:textId="77777777" w:rsidR="00A462A9" w:rsidRPr="00BE06B6" w:rsidRDefault="00607BCA" w:rsidP="00607BCA">
      <w:pPr>
        <w:pStyle w:val="Heading3"/>
      </w:pPr>
      <w:bookmarkStart w:id="268" w:name="_Toc514408420"/>
      <w:r>
        <w:t xml:space="preserve">6.1.2 </w:t>
      </w:r>
      <w:r w:rsidR="00A462A9" w:rsidRPr="00BE06B6">
        <w:t>Chronic conditions - water quality</w:t>
      </w:r>
      <w:bookmarkEnd w:id="268"/>
    </w:p>
    <w:p w14:paraId="29C19FB6" w14:textId="77777777" w:rsidR="00A462A9" w:rsidRPr="00BE06B6" w:rsidRDefault="00A462A9" w:rsidP="00A462A9">
      <w:pPr>
        <w:rPr>
          <w:rFonts w:cs="Arial"/>
          <w:lang w:val="en-US"/>
        </w:rPr>
      </w:pPr>
      <w:r w:rsidRPr="00BE06B6">
        <w:rPr>
          <w:rFonts w:cs="Arial"/>
        </w:rPr>
        <w:t xml:space="preserve">Water quality is a summary term for a range of chemical and physical properties of marine waters that exert a fundamental influence on the processes governing coral community composition and condition. </w:t>
      </w:r>
      <w:r w:rsidRPr="00BE06B6">
        <w:rPr>
          <w:rFonts w:cs="Arial"/>
          <w:lang w:val="en-US"/>
        </w:rPr>
        <w:t>Water quality in the inshore Reef shows a strong gradient, improving with distance from the coast and major rivers. Variation in benthic communities on coral reefs along this gradient is evidence for the selective pressures imposed by water quality on coral reef communities</w:t>
      </w:r>
      <w:r w:rsidRPr="00BE06B6">
        <w:rPr>
          <w:rFonts w:cs="Arial"/>
        </w:rPr>
        <w:t xml:space="preserve"> (van Woesik &amp; Done 1997, van Woesik </w:t>
      </w:r>
      <w:r w:rsidRPr="00BE06B6">
        <w:rPr>
          <w:rFonts w:cs="Arial"/>
          <w:i/>
        </w:rPr>
        <w:t>et al.</w:t>
      </w:r>
      <w:r w:rsidRPr="00BE06B6">
        <w:rPr>
          <w:rFonts w:cs="Arial"/>
        </w:rPr>
        <w:t xml:space="preserve"> 1999, Fabricius </w:t>
      </w:r>
      <w:r w:rsidRPr="00BE06B6">
        <w:rPr>
          <w:rFonts w:cs="Arial"/>
          <w:i/>
        </w:rPr>
        <w:t>et al.</w:t>
      </w:r>
      <w:r w:rsidRPr="00BE06B6">
        <w:rPr>
          <w:rFonts w:cs="Arial"/>
        </w:rPr>
        <w:t xml:space="preserve"> 2005, De’ath &amp; Fabricius 2008, Uthicke </w:t>
      </w:r>
      <w:r w:rsidRPr="00BE06B6">
        <w:rPr>
          <w:rFonts w:cs="Arial"/>
          <w:i/>
        </w:rPr>
        <w:t>et al.</w:t>
      </w:r>
      <w:r w:rsidRPr="00BE06B6">
        <w:rPr>
          <w:rFonts w:cs="Arial"/>
        </w:rPr>
        <w:t xml:space="preserve"> 2010, Fabricius </w:t>
      </w:r>
      <w:r w:rsidRPr="00BE06B6">
        <w:rPr>
          <w:rFonts w:cs="Arial"/>
          <w:i/>
        </w:rPr>
        <w:t>et al.</w:t>
      </w:r>
      <w:r w:rsidRPr="00BE06B6">
        <w:rPr>
          <w:rFonts w:cs="Arial"/>
        </w:rPr>
        <w:t xml:space="preserve"> 2012), </w:t>
      </w:r>
      <w:r w:rsidR="004A4064">
        <w:rPr>
          <w:rFonts w:cs="Arial"/>
        </w:rPr>
        <w:t>and</w:t>
      </w:r>
      <w:r w:rsidR="004A4064" w:rsidRPr="00BE06B6">
        <w:rPr>
          <w:rFonts w:cs="Arial"/>
        </w:rPr>
        <w:t xml:space="preserve"> </w:t>
      </w:r>
      <w:r w:rsidRPr="00BE06B6">
        <w:rPr>
          <w:rFonts w:cs="Arial"/>
        </w:rPr>
        <w:t>also within individual reefs in response to localised hydrodynamic conditions</w:t>
      </w:r>
      <w:r w:rsidR="00670B9C" w:rsidRPr="00BE06B6">
        <w:rPr>
          <w:rFonts w:cs="Arial"/>
        </w:rPr>
        <w:t xml:space="preserve"> and depth</w:t>
      </w:r>
      <w:r w:rsidRPr="00BE06B6">
        <w:rPr>
          <w:rFonts w:cs="Arial"/>
        </w:rPr>
        <w:t xml:space="preserve"> (Uthicke </w:t>
      </w:r>
      <w:r w:rsidRPr="00BE06B6">
        <w:rPr>
          <w:rFonts w:cs="Arial"/>
          <w:i/>
        </w:rPr>
        <w:t>et al.</w:t>
      </w:r>
      <w:r w:rsidRPr="00BE06B6">
        <w:rPr>
          <w:rFonts w:cs="Arial"/>
        </w:rPr>
        <w:t xml:space="preserve"> 2010, Thompson </w:t>
      </w:r>
      <w:r w:rsidRPr="00BE06B6">
        <w:rPr>
          <w:rFonts w:cs="Arial"/>
          <w:i/>
        </w:rPr>
        <w:t>et al.</w:t>
      </w:r>
      <w:r w:rsidR="00FC7695" w:rsidRPr="00BE06B6">
        <w:rPr>
          <w:rFonts w:cs="Arial"/>
        </w:rPr>
        <w:t xml:space="preserve"> 2010</w:t>
      </w:r>
      <w:r w:rsidRPr="00BE06B6">
        <w:rPr>
          <w:rFonts w:cs="Arial"/>
        </w:rPr>
        <w:t xml:space="preserve">, Browne </w:t>
      </w:r>
      <w:r w:rsidRPr="00BE06B6">
        <w:rPr>
          <w:rFonts w:cs="Arial"/>
          <w:i/>
        </w:rPr>
        <w:t>et al</w:t>
      </w:r>
      <w:r w:rsidRPr="00BE06B6">
        <w:rPr>
          <w:rFonts w:cs="Arial"/>
        </w:rPr>
        <w:t xml:space="preserve">. 2010). </w:t>
      </w:r>
      <w:r w:rsidRPr="00BE06B6">
        <w:rPr>
          <w:rFonts w:cs="Arial"/>
          <w:lang w:val="en-US"/>
        </w:rPr>
        <w:t>Such gradients are a natural part of the Reef ecosystem, albeit supported by lower levels of input of runoff-derived pollutants than presently occurs (Belp</w:t>
      </w:r>
      <w:r w:rsidRPr="00BE06B6">
        <w:rPr>
          <w:rFonts w:cs="Arial"/>
        </w:rPr>
        <w:t>erio &amp; Searle 1988</w:t>
      </w:r>
      <w:r w:rsidRPr="00BE06B6">
        <w:rPr>
          <w:rFonts w:cs="Arial"/>
          <w:lang w:val="en-US"/>
        </w:rPr>
        <w:t xml:space="preserve">, Waters </w:t>
      </w:r>
      <w:r w:rsidRPr="00BE06B6">
        <w:rPr>
          <w:rFonts w:cs="Arial"/>
          <w:i/>
          <w:lang w:val="en-US"/>
        </w:rPr>
        <w:t>et al.</w:t>
      </w:r>
      <w:r w:rsidRPr="00BE06B6">
        <w:rPr>
          <w:rFonts w:cs="Arial"/>
          <w:lang w:val="en-US"/>
        </w:rPr>
        <w:t xml:space="preserve"> 2014). </w:t>
      </w:r>
      <w:r w:rsidRPr="00BE06B6" w:rsidDel="00A45D48">
        <w:rPr>
          <w:rFonts w:cs="Arial"/>
        </w:rPr>
        <w:t xml:space="preserve">The premise underpinning </w:t>
      </w:r>
      <w:r w:rsidRPr="00362093" w:rsidDel="00A45D48">
        <w:rPr>
          <w:rFonts w:cs="Arial"/>
          <w:i/>
        </w:rPr>
        <w:t>Reef</w:t>
      </w:r>
      <w:r w:rsidRPr="00362093">
        <w:rPr>
          <w:rFonts w:cs="Arial"/>
          <w:i/>
        </w:rPr>
        <w:t xml:space="preserve"> </w:t>
      </w:r>
      <w:r w:rsidRPr="00362093" w:rsidDel="00A45D48">
        <w:rPr>
          <w:rFonts w:cs="Arial"/>
          <w:i/>
        </w:rPr>
        <w:t>Plan</w:t>
      </w:r>
      <w:r w:rsidRPr="00BE06B6" w:rsidDel="00A45D48">
        <w:rPr>
          <w:rFonts w:cs="Arial"/>
        </w:rPr>
        <w:t xml:space="preserve"> is that </w:t>
      </w:r>
      <w:r w:rsidRPr="00BE06B6">
        <w:rPr>
          <w:rFonts w:cs="Arial"/>
        </w:rPr>
        <w:t xml:space="preserve">anthropogenic </w:t>
      </w:r>
      <w:r w:rsidRPr="00BE06B6" w:rsidDel="00A45D48">
        <w:rPr>
          <w:rFonts w:cs="Arial"/>
        </w:rPr>
        <w:t xml:space="preserve">contaminant loads delivered by rivers </w:t>
      </w:r>
      <w:r w:rsidRPr="00BE06B6">
        <w:rPr>
          <w:rFonts w:cs="Arial"/>
        </w:rPr>
        <w:t xml:space="preserve">create conditions </w:t>
      </w:r>
      <w:r w:rsidR="00F212CB">
        <w:rPr>
          <w:rFonts w:cs="Arial"/>
        </w:rPr>
        <w:t>which</w:t>
      </w:r>
      <w:r w:rsidRPr="00BE06B6">
        <w:rPr>
          <w:rFonts w:cs="Arial"/>
        </w:rPr>
        <w:t xml:space="preserve"> sup</w:t>
      </w:r>
      <w:r w:rsidR="00E47C5F">
        <w:rPr>
          <w:rFonts w:cs="Arial"/>
        </w:rPr>
        <w:t>p</w:t>
      </w:r>
      <w:r w:rsidRPr="00BE06B6">
        <w:rPr>
          <w:rFonts w:cs="Arial"/>
        </w:rPr>
        <w:t xml:space="preserve">ress the health and/or resilience </w:t>
      </w:r>
      <w:r w:rsidR="00F523FF">
        <w:rPr>
          <w:rFonts w:cs="Arial"/>
        </w:rPr>
        <w:t xml:space="preserve">of </w:t>
      </w:r>
      <w:r w:rsidRPr="00BE06B6">
        <w:rPr>
          <w:rFonts w:cs="Arial"/>
        </w:rPr>
        <w:t>the Reefs ecosystems</w:t>
      </w:r>
      <w:r w:rsidRPr="00BE06B6" w:rsidDel="00A45D48">
        <w:rPr>
          <w:rFonts w:cs="Arial"/>
        </w:rPr>
        <w:t>.</w:t>
      </w:r>
      <w:r w:rsidRPr="00BE06B6">
        <w:rPr>
          <w:rFonts w:cs="Arial"/>
        </w:rPr>
        <w:t xml:space="preserve"> </w:t>
      </w:r>
      <w:r w:rsidRPr="00BE06B6">
        <w:rPr>
          <w:rFonts w:cs="Arial"/>
          <w:lang w:val="en-US"/>
        </w:rPr>
        <w:t xml:space="preserve">It is the quantification of the compounding conditions along naturally occurring gradients, as a result of runoff, and any subsequent improvement under the </w:t>
      </w:r>
      <w:r w:rsidRPr="00362093">
        <w:rPr>
          <w:rFonts w:cs="Arial"/>
          <w:i/>
          <w:lang w:val="en-US"/>
        </w:rPr>
        <w:t>Reef Plan</w:t>
      </w:r>
      <w:r w:rsidRPr="00BE06B6">
        <w:rPr>
          <w:rFonts w:cs="Arial"/>
          <w:lang w:val="en-US"/>
        </w:rPr>
        <w:t xml:space="preserve">, that is the core focus of the water quality monitoring component of the MMP (see separate report by Waterhouse </w:t>
      </w:r>
      <w:r w:rsidRPr="00BE06B6">
        <w:rPr>
          <w:rFonts w:cs="Arial"/>
          <w:i/>
          <w:lang w:val="en-US"/>
        </w:rPr>
        <w:t>et al</w:t>
      </w:r>
      <w:r w:rsidRPr="00BE06B6">
        <w:rPr>
          <w:rFonts w:cs="Arial"/>
          <w:lang w:val="en-US"/>
        </w:rPr>
        <w:t>. 201</w:t>
      </w:r>
      <w:r w:rsidR="00841929">
        <w:rPr>
          <w:rFonts w:cs="Arial"/>
          <w:lang w:val="en-US"/>
        </w:rPr>
        <w:t>8)</w:t>
      </w:r>
      <w:r w:rsidRPr="00BE06B6">
        <w:rPr>
          <w:rFonts w:cs="Arial"/>
          <w:lang w:val="en-US"/>
        </w:rPr>
        <w:t>.</w:t>
      </w:r>
    </w:p>
    <w:p w14:paraId="0418D014" w14:textId="77777777" w:rsidR="00A462A9" w:rsidRDefault="00A462A9" w:rsidP="00A462A9">
      <w:pPr>
        <w:rPr>
          <w:rFonts w:cs="Arial"/>
        </w:rPr>
      </w:pPr>
      <w:r w:rsidRPr="00BE06B6">
        <w:rPr>
          <w:rFonts w:cs="Arial"/>
        </w:rPr>
        <w:t xml:space="preserve">For corals, the pressure relating to land management practices is the ‘state’ of marine water quality, which in turn is influenced by the pressure of contaminant loads entering marine waters as runoff. The MMP river plume monitoring </w:t>
      </w:r>
      <w:r w:rsidRPr="00BE06B6">
        <w:rPr>
          <w:rFonts w:cs="Arial"/>
          <w:lang w:val="en-US"/>
        </w:rPr>
        <w:t>(</w:t>
      </w:r>
      <w:r w:rsidRPr="0094096A">
        <w:rPr>
          <w:rFonts w:cs="Arial"/>
          <w:lang w:val="en-US"/>
        </w:rPr>
        <w:t xml:space="preserve">see Waterhouse </w:t>
      </w:r>
      <w:r w:rsidRPr="0094096A">
        <w:rPr>
          <w:rFonts w:cs="Arial"/>
          <w:i/>
          <w:lang w:val="en-US"/>
        </w:rPr>
        <w:t>et al.</w:t>
      </w:r>
      <w:r w:rsidRPr="0094096A">
        <w:rPr>
          <w:rFonts w:cs="Arial"/>
          <w:lang w:val="en-US"/>
        </w:rPr>
        <w:t xml:space="preserve"> 201</w:t>
      </w:r>
      <w:r w:rsidR="00841929" w:rsidRPr="002C1224">
        <w:rPr>
          <w:rFonts w:cs="Arial"/>
          <w:lang w:val="en-US"/>
        </w:rPr>
        <w:t>8</w:t>
      </w:r>
      <w:r w:rsidR="00C1667D" w:rsidRPr="0094096A">
        <w:rPr>
          <w:rFonts w:cs="Arial"/>
          <w:lang w:val="en-US"/>
        </w:rPr>
        <w:t>)</w:t>
      </w:r>
      <w:r w:rsidRPr="00BE06B6">
        <w:rPr>
          <w:rFonts w:cs="Arial"/>
          <w:lang w:val="en-US"/>
        </w:rPr>
        <w:t xml:space="preserve"> </w:t>
      </w:r>
      <w:r w:rsidRPr="00BE06B6">
        <w:rPr>
          <w:rFonts w:cs="Arial"/>
        </w:rPr>
        <w:t xml:space="preserve">clearly shows that inshore </w:t>
      </w:r>
      <w:r w:rsidR="00F523FF">
        <w:rPr>
          <w:rFonts w:cs="Arial"/>
        </w:rPr>
        <w:t>r</w:t>
      </w:r>
      <w:r w:rsidR="00F523FF" w:rsidRPr="00BE06B6">
        <w:rPr>
          <w:rFonts w:cs="Arial"/>
        </w:rPr>
        <w:t xml:space="preserve">eefs </w:t>
      </w:r>
      <w:r w:rsidRPr="00BE06B6">
        <w:rPr>
          <w:rFonts w:cs="Arial"/>
        </w:rPr>
        <w:t xml:space="preserve">monitored by MMP and the LTMP are directly exposed to elevated loads of sediments and nutrients carried by flood plumes. Variability in loads delivered to the Reef (Joo </w:t>
      </w:r>
      <w:r w:rsidRPr="00BE06B6">
        <w:rPr>
          <w:rFonts w:cs="Arial"/>
          <w:i/>
        </w:rPr>
        <w:t>et al.</w:t>
      </w:r>
      <w:r w:rsidRPr="00BE06B6">
        <w:rPr>
          <w:rFonts w:cs="Arial"/>
        </w:rPr>
        <w:t xml:space="preserve"> 2012, Turner </w:t>
      </w:r>
      <w:r w:rsidRPr="00BE06B6">
        <w:rPr>
          <w:rFonts w:cs="Arial"/>
          <w:i/>
        </w:rPr>
        <w:t>et al.</w:t>
      </w:r>
      <w:r w:rsidRPr="00BE06B6">
        <w:rPr>
          <w:rFonts w:cs="Arial"/>
        </w:rPr>
        <w:t xml:space="preserve"> 2011, 2012, Wallace </w:t>
      </w:r>
      <w:r w:rsidRPr="00BE06B6">
        <w:rPr>
          <w:rFonts w:cs="Arial"/>
          <w:i/>
        </w:rPr>
        <w:t>et al.</w:t>
      </w:r>
      <w:r w:rsidRPr="00BE06B6">
        <w:rPr>
          <w:rFonts w:cs="Arial"/>
        </w:rPr>
        <w:t xml:space="preserve"> 2014, 2015, Garzon-Garcia </w:t>
      </w:r>
      <w:r w:rsidRPr="00BE06B6">
        <w:rPr>
          <w:rFonts w:cs="Arial"/>
          <w:i/>
        </w:rPr>
        <w:t>et al.</w:t>
      </w:r>
      <w:r w:rsidRPr="00BE06B6">
        <w:rPr>
          <w:rFonts w:cs="Arial"/>
        </w:rPr>
        <w:t xml:space="preserve"> 2015) has, however, not been closely linked to variability in marine water quality conditions as measured by the MMP </w:t>
      </w:r>
      <w:r w:rsidR="00036C05">
        <w:rPr>
          <w:rFonts w:cs="Arial"/>
        </w:rPr>
        <w:t>in situ</w:t>
      </w:r>
      <w:r w:rsidRPr="00BE06B6">
        <w:rPr>
          <w:rFonts w:cs="Arial"/>
        </w:rPr>
        <w:t xml:space="preserve"> monitoring program. This is not unexpected given the complexity of nutrient cycling that occurs in marine waters, dilution of plumes, and the necessarily sparse sampling regime of the long-term water quality monitoring program. It is evident from marine water quality time-series, however,</w:t>
      </w:r>
      <w:r w:rsidR="00E75F5C" w:rsidRPr="00BE06B6">
        <w:rPr>
          <w:rFonts w:cs="Arial"/>
        </w:rPr>
        <w:t xml:space="preserve"> </w:t>
      </w:r>
      <w:r w:rsidRPr="00BE06B6">
        <w:rPr>
          <w:rFonts w:cs="Arial"/>
        </w:rPr>
        <w:t xml:space="preserve">that the period of high discharge into the Reef (2008-2013) resulted in a general increase in turbidity, oxidised forms of dissolved nitrogen (NOx) and dissolved organic carbon (DOC) with levels beginning to decline again in 2015-2016 (Waterhouse </w:t>
      </w:r>
      <w:r w:rsidRPr="00BE06B6">
        <w:rPr>
          <w:rFonts w:cs="Arial"/>
          <w:i/>
        </w:rPr>
        <w:t>et al.</w:t>
      </w:r>
      <w:r w:rsidRPr="00BE06B6">
        <w:rPr>
          <w:rFonts w:cs="Arial"/>
        </w:rPr>
        <w:t xml:space="preserve"> 201</w:t>
      </w:r>
      <w:r w:rsidR="00841929">
        <w:rPr>
          <w:rFonts w:cs="Arial"/>
        </w:rPr>
        <w:t>8</w:t>
      </w:r>
      <w:r w:rsidRPr="00BE06B6">
        <w:rPr>
          <w:rFonts w:cs="Arial"/>
        </w:rPr>
        <w:t xml:space="preserve">). </w:t>
      </w:r>
      <w:r w:rsidR="000543B8" w:rsidRPr="00BE06B6">
        <w:rPr>
          <w:rFonts w:cs="Arial"/>
          <w:lang w:eastAsia="en-AU"/>
        </w:rPr>
        <w:t xml:space="preserve">Lønborg </w:t>
      </w:r>
      <w:r w:rsidR="000543B8" w:rsidRPr="00BE06B6">
        <w:rPr>
          <w:rFonts w:cs="Arial"/>
          <w:i/>
          <w:lang w:eastAsia="en-AU"/>
        </w:rPr>
        <w:t>et al.</w:t>
      </w:r>
      <w:r w:rsidR="000543B8" w:rsidRPr="00BE06B6">
        <w:rPr>
          <w:rFonts w:cs="Arial"/>
          <w:lang w:eastAsia="en-AU"/>
        </w:rPr>
        <w:t xml:space="preserve"> </w:t>
      </w:r>
      <w:r w:rsidR="000543B8">
        <w:rPr>
          <w:rFonts w:cs="Arial"/>
          <w:lang w:eastAsia="en-AU"/>
        </w:rPr>
        <w:t>(</w:t>
      </w:r>
      <w:r w:rsidR="000543B8" w:rsidRPr="00BE06B6">
        <w:rPr>
          <w:rFonts w:cs="Arial"/>
          <w:lang w:eastAsia="en-AU"/>
        </w:rPr>
        <w:t>2015</w:t>
      </w:r>
      <w:r w:rsidR="000543B8">
        <w:rPr>
          <w:rFonts w:cs="Arial"/>
          <w:lang w:eastAsia="en-AU"/>
        </w:rPr>
        <w:t xml:space="preserve">) suggest that these </w:t>
      </w:r>
      <w:r w:rsidRPr="00BE06B6">
        <w:rPr>
          <w:rFonts w:cs="Arial"/>
        </w:rPr>
        <w:t xml:space="preserve">observations </w:t>
      </w:r>
      <w:r w:rsidR="000543B8">
        <w:rPr>
          <w:rFonts w:cs="Arial"/>
        </w:rPr>
        <w:t xml:space="preserve">indicate changes in the </w:t>
      </w:r>
      <w:r w:rsidRPr="00BE06B6">
        <w:rPr>
          <w:rFonts w:cs="Arial"/>
          <w:lang w:eastAsia="en-AU"/>
        </w:rPr>
        <w:t>carbon and nutrient cycling processes in the Reef lagoon</w:t>
      </w:r>
      <w:r w:rsidR="000543B8">
        <w:rPr>
          <w:rFonts w:cs="Arial"/>
          <w:lang w:eastAsia="en-AU"/>
        </w:rPr>
        <w:t>, although the</w:t>
      </w:r>
      <w:r w:rsidRPr="00BE06B6">
        <w:rPr>
          <w:rFonts w:cs="Arial"/>
          <w:lang w:eastAsia="en-AU"/>
        </w:rPr>
        <w:t xml:space="preserve"> detailed understanding of t</w:t>
      </w:r>
      <w:r w:rsidR="000543B8">
        <w:rPr>
          <w:rFonts w:cs="Arial"/>
          <w:lang w:eastAsia="en-AU"/>
        </w:rPr>
        <w:t>hese processes remains elusive</w:t>
      </w:r>
      <w:r w:rsidRPr="00BE06B6">
        <w:rPr>
          <w:rFonts w:cs="Arial"/>
          <w:lang w:eastAsia="en-AU"/>
        </w:rPr>
        <w:t>. T</w:t>
      </w:r>
      <w:r w:rsidRPr="00BE06B6">
        <w:rPr>
          <w:rFonts w:cs="Arial"/>
        </w:rPr>
        <w:t>urbidity in the Reef lagoon is strongly influenced by variations in the inflow of particles from the catchment and resuspension by wind, currents and tides</w:t>
      </w:r>
      <w:r w:rsidR="002B194A" w:rsidRPr="00BE06B6">
        <w:rPr>
          <w:rFonts w:cs="Arial"/>
        </w:rPr>
        <w:t xml:space="preserve"> (Larcombe </w:t>
      </w:r>
      <w:r w:rsidR="002B194A" w:rsidRPr="00BE06B6">
        <w:rPr>
          <w:rFonts w:cs="Arial"/>
          <w:i/>
        </w:rPr>
        <w:t>et al.</w:t>
      </w:r>
      <w:r w:rsidR="002B194A" w:rsidRPr="00BE06B6">
        <w:rPr>
          <w:rFonts w:cs="Arial"/>
        </w:rPr>
        <w:t xml:space="preserve"> 1995)</w:t>
      </w:r>
      <w:r w:rsidRPr="00BE06B6">
        <w:rPr>
          <w:rFonts w:cs="Arial"/>
        </w:rPr>
        <w:t xml:space="preserve">. The trends emerging from the MMP support other studies showing that the additional flux of fine sediment imported by rivers remains in the coastal zone for periods of months to years leading to chronically elevated turbidity (Wolanski </w:t>
      </w:r>
      <w:r w:rsidRPr="00BE06B6">
        <w:rPr>
          <w:rFonts w:cs="Arial"/>
          <w:i/>
        </w:rPr>
        <w:t>et al.</w:t>
      </w:r>
      <w:r w:rsidRPr="00BE06B6">
        <w:rPr>
          <w:rFonts w:cs="Arial"/>
        </w:rPr>
        <w:t xml:space="preserve"> 2008, Lambrechts </w:t>
      </w:r>
      <w:r w:rsidRPr="00BE06B6">
        <w:rPr>
          <w:rFonts w:cs="Arial"/>
          <w:i/>
        </w:rPr>
        <w:t>et al.</w:t>
      </w:r>
      <w:r w:rsidRPr="00BE06B6">
        <w:rPr>
          <w:rFonts w:cs="Arial"/>
        </w:rPr>
        <w:t xml:space="preserve"> 2010, Brodie </w:t>
      </w:r>
      <w:r w:rsidRPr="00BE06B6">
        <w:rPr>
          <w:rFonts w:cs="Arial"/>
          <w:i/>
        </w:rPr>
        <w:t>et al</w:t>
      </w:r>
      <w:r w:rsidRPr="00BE06B6">
        <w:rPr>
          <w:rFonts w:cs="Arial"/>
        </w:rPr>
        <w:t xml:space="preserve">. 2012a, Thompson </w:t>
      </w:r>
      <w:r w:rsidRPr="00BE06B6">
        <w:rPr>
          <w:rFonts w:cs="Arial"/>
          <w:i/>
        </w:rPr>
        <w:t>et al.</w:t>
      </w:r>
      <w:r w:rsidR="00FC7695" w:rsidRPr="00BE06B6">
        <w:rPr>
          <w:rFonts w:cs="Arial"/>
        </w:rPr>
        <w:t xml:space="preserve"> 2014a</w:t>
      </w:r>
      <w:r w:rsidRPr="00BE06B6">
        <w:rPr>
          <w:rFonts w:cs="Arial"/>
        </w:rPr>
        <w:t xml:space="preserve">, Fabricius </w:t>
      </w:r>
      <w:r w:rsidRPr="00BE06B6">
        <w:rPr>
          <w:rFonts w:cs="Arial"/>
          <w:i/>
        </w:rPr>
        <w:t>et al.</w:t>
      </w:r>
      <w:r w:rsidRPr="00BE06B6">
        <w:rPr>
          <w:rFonts w:cs="Arial"/>
        </w:rPr>
        <w:t xml:space="preserve"> 2013a, Fabricius </w:t>
      </w:r>
      <w:r w:rsidRPr="00BE06B6">
        <w:rPr>
          <w:rFonts w:cs="Arial"/>
          <w:i/>
        </w:rPr>
        <w:t>et al.</w:t>
      </w:r>
      <w:r w:rsidRPr="00BE06B6">
        <w:rPr>
          <w:rFonts w:cs="Arial"/>
        </w:rPr>
        <w:t xml:space="preserve"> 2014, Fabricius </w:t>
      </w:r>
      <w:r w:rsidRPr="00BE06B6">
        <w:rPr>
          <w:rFonts w:cs="Arial"/>
          <w:i/>
        </w:rPr>
        <w:t>et al.</w:t>
      </w:r>
      <w:r w:rsidRPr="00BE06B6">
        <w:rPr>
          <w:rFonts w:cs="Arial"/>
        </w:rPr>
        <w:t xml:space="preserve"> 2016). Any increase in turbidity associated with runoff will reduce the level of photosynthetically active radiation reaching the benthos - a primary energy source for corals and so a key factor limiting coral distribution (Cooper </w:t>
      </w:r>
      <w:r w:rsidRPr="00BE06B6">
        <w:rPr>
          <w:rFonts w:cs="Arial"/>
          <w:i/>
        </w:rPr>
        <w:t>et al.</w:t>
      </w:r>
      <w:r w:rsidRPr="00BE06B6">
        <w:rPr>
          <w:rFonts w:cs="Arial"/>
        </w:rPr>
        <w:t xml:space="preserve"> 2007, Muir </w:t>
      </w:r>
      <w:r w:rsidRPr="00BE06B6">
        <w:rPr>
          <w:rFonts w:cs="Arial"/>
          <w:i/>
        </w:rPr>
        <w:t>et al.</w:t>
      </w:r>
      <w:r w:rsidRPr="00BE06B6">
        <w:rPr>
          <w:rFonts w:cs="Arial"/>
        </w:rPr>
        <w:t xml:space="preserve"> 2015). </w:t>
      </w:r>
    </w:p>
    <w:p w14:paraId="46F34344" w14:textId="77777777" w:rsidR="00A462A9" w:rsidRPr="00BE06B6" w:rsidRDefault="00A462A9" w:rsidP="00607BCA">
      <w:pPr>
        <w:pStyle w:val="Heading2"/>
        <w:spacing w:before="240" w:after="240"/>
        <w:rPr>
          <w:color w:val="auto"/>
        </w:rPr>
      </w:pPr>
      <w:bookmarkStart w:id="269" w:name="_Toc471376418"/>
      <w:bookmarkStart w:id="270" w:name="_Toc514408421"/>
      <w:r w:rsidRPr="00BE06B6">
        <w:rPr>
          <w:color w:val="auto"/>
        </w:rPr>
        <w:t>6.2 Ecosystem State</w:t>
      </w:r>
      <w:bookmarkEnd w:id="269"/>
      <w:bookmarkEnd w:id="270"/>
    </w:p>
    <w:p w14:paraId="7D6863C9" w14:textId="77777777" w:rsidR="00A462A9" w:rsidRPr="00BE06B6" w:rsidRDefault="00607BCA" w:rsidP="00607BCA">
      <w:pPr>
        <w:pStyle w:val="Heading3"/>
      </w:pPr>
      <w:bookmarkStart w:id="271" w:name="_Toc514408422"/>
      <w:r>
        <w:t xml:space="preserve">6.2.1 </w:t>
      </w:r>
      <w:r w:rsidR="00A462A9" w:rsidRPr="00BE06B6">
        <w:t>Coral index</w:t>
      </w:r>
      <w:bookmarkEnd w:id="271"/>
    </w:p>
    <w:p w14:paraId="28C91F4A" w14:textId="0E277F8B" w:rsidR="00A462A9" w:rsidRPr="00801735" w:rsidRDefault="00A462A9" w:rsidP="00A462A9">
      <w:pPr>
        <w:rPr>
          <w:color w:val="000000" w:themeColor="text1"/>
        </w:rPr>
      </w:pPr>
      <w:r w:rsidRPr="00801735">
        <w:rPr>
          <w:color w:val="000000" w:themeColor="text1"/>
        </w:rPr>
        <w:t xml:space="preserve">In </w:t>
      </w:r>
      <w:r w:rsidR="00BE4964" w:rsidRPr="00801735">
        <w:rPr>
          <w:color w:val="000000" w:themeColor="text1"/>
        </w:rPr>
        <w:t xml:space="preserve">2017 </w:t>
      </w:r>
      <w:r w:rsidRPr="00801735">
        <w:rPr>
          <w:color w:val="000000" w:themeColor="text1"/>
        </w:rPr>
        <w:t xml:space="preserve">index scores were </w:t>
      </w:r>
      <w:r w:rsidR="006C0B48" w:rsidRPr="00801735">
        <w:rPr>
          <w:color w:val="000000" w:themeColor="text1"/>
        </w:rPr>
        <w:t xml:space="preserve">inversely related to </w:t>
      </w:r>
      <w:r w:rsidR="00EC5764">
        <w:rPr>
          <w:color w:val="000000" w:themeColor="text1"/>
        </w:rPr>
        <w:t xml:space="preserve">the location of reefs along </w:t>
      </w:r>
      <w:r w:rsidR="006C0B48" w:rsidRPr="00801735">
        <w:rPr>
          <w:color w:val="000000" w:themeColor="text1"/>
        </w:rPr>
        <w:t xml:space="preserve">the </w:t>
      </w:r>
      <w:r w:rsidR="00EC5764">
        <w:rPr>
          <w:color w:val="000000" w:themeColor="text1"/>
        </w:rPr>
        <w:t xml:space="preserve">gradient of </w:t>
      </w:r>
      <w:r w:rsidR="006C0B48" w:rsidRPr="00801735">
        <w:rPr>
          <w:color w:val="000000" w:themeColor="text1"/>
        </w:rPr>
        <w:t xml:space="preserve">exposure </w:t>
      </w:r>
      <w:r w:rsidR="00EC5764">
        <w:rPr>
          <w:color w:val="000000" w:themeColor="text1"/>
        </w:rPr>
        <w:t xml:space="preserve">to </w:t>
      </w:r>
      <w:r w:rsidR="006C0B48" w:rsidRPr="00801735">
        <w:rPr>
          <w:color w:val="000000" w:themeColor="text1"/>
        </w:rPr>
        <w:t xml:space="preserve">above </w:t>
      </w:r>
      <w:r w:rsidRPr="00801735">
        <w:rPr>
          <w:color w:val="000000" w:themeColor="text1"/>
        </w:rPr>
        <w:t>Guideline values</w:t>
      </w:r>
      <w:r w:rsidR="006C0B48" w:rsidRPr="00801735">
        <w:rPr>
          <w:color w:val="000000" w:themeColor="text1"/>
        </w:rPr>
        <w:t xml:space="preserve"> of Chl </w:t>
      </w:r>
      <w:r w:rsidR="006C0B48" w:rsidRPr="00EC5764">
        <w:rPr>
          <w:i/>
          <w:color w:val="000000" w:themeColor="text1"/>
        </w:rPr>
        <w:t>a</w:t>
      </w:r>
      <w:r w:rsidR="006C0B48" w:rsidRPr="00801735">
        <w:rPr>
          <w:color w:val="000000" w:themeColor="text1"/>
        </w:rPr>
        <w:t xml:space="preserve">, </w:t>
      </w:r>
      <w:r w:rsidR="00EC5764">
        <w:rPr>
          <w:color w:val="000000" w:themeColor="text1"/>
        </w:rPr>
        <w:t>over the wet season</w:t>
      </w:r>
      <w:r w:rsidRPr="00801735">
        <w:rPr>
          <w:color w:val="000000" w:themeColor="text1"/>
        </w:rPr>
        <w:t>.</w:t>
      </w:r>
      <w:r w:rsidR="00E75F5C" w:rsidRPr="00801735">
        <w:rPr>
          <w:color w:val="000000" w:themeColor="text1"/>
        </w:rPr>
        <w:t xml:space="preserve"> </w:t>
      </w:r>
      <w:r w:rsidRPr="00801735">
        <w:rPr>
          <w:color w:val="000000" w:themeColor="text1"/>
        </w:rPr>
        <w:t xml:space="preserve">Most influential in this result were the Coral Cover and Macroalgae metrics. </w:t>
      </w:r>
      <w:r w:rsidR="000543B8">
        <w:rPr>
          <w:color w:val="000000" w:themeColor="text1"/>
        </w:rPr>
        <w:t>T</w:t>
      </w:r>
      <w:r w:rsidRPr="00801735">
        <w:rPr>
          <w:color w:val="000000" w:themeColor="text1"/>
        </w:rPr>
        <w:t xml:space="preserve">hese results indicate that where the availability of nutrients is sufficient to promote high Chl </w:t>
      </w:r>
      <w:r w:rsidRPr="00801735">
        <w:rPr>
          <w:i/>
          <w:color w:val="000000" w:themeColor="text1"/>
        </w:rPr>
        <w:t>a</w:t>
      </w:r>
      <w:r w:rsidR="00EC5764">
        <w:rPr>
          <w:i/>
          <w:color w:val="000000" w:themeColor="text1"/>
        </w:rPr>
        <w:t>,</w:t>
      </w:r>
      <w:r w:rsidRPr="00801735">
        <w:rPr>
          <w:color w:val="000000" w:themeColor="text1"/>
        </w:rPr>
        <w:t xml:space="preserve"> the proportion of large fleshy algae “macroalgae” in the benthic algal communities is enhanced</w:t>
      </w:r>
      <w:r w:rsidR="006C0B48" w:rsidRPr="00801735">
        <w:rPr>
          <w:color w:val="000000" w:themeColor="text1"/>
        </w:rPr>
        <w:t xml:space="preserve"> and </w:t>
      </w:r>
      <w:r w:rsidRPr="00801735">
        <w:rPr>
          <w:color w:val="000000" w:themeColor="text1"/>
        </w:rPr>
        <w:t>coral cover is diminished</w:t>
      </w:r>
      <w:r w:rsidR="006C0B48" w:rsidRPr="00801735">
        <w:rPr>
          <w:color w:val="000000" w:themeColor="text1"/>
        </w:rPr>
        <w:t xml:space="preserve">. This relationship has been maintained despite the influence of acute disturbance events that have the potential </w:t>
      </w:r>
      <w:r w:rsidR="00981381">
        <w:rPr>
          <w:color w:val="000000" w:themeColor="text1"/>
        </w:rPr>
        <w:t xml:space="preserve">to </w:t>
      </w:r>
      <w:r w:rsidR="006C0B48" w:rsidRPr="00801735">
        <w:rPr>
          <w:color w:val="000000" w:themeColor="text1"/>
        </w:rPr>
        <w:t xml:space="preserve">obscure the chronic influences of water quality. </w:t>
      </w:r>
      <w:r w:rsidR="004339BA" w:rsidRPr="00801735">
        <w:rPr>
          <w:color w:val="000000" w:themeColor="text1"/>
        </w:rPr>
        <w:t xml:space="preserve">In particular, the distribution of large brown macroalgae shows a strong relationship to environmental conditions of high nutrient availability, adequate light (prevalence is limited by turbidity at 5 m depths) and sufficient water movement to preclude the build-up of fine sediments on the substrate (Thompson </w:t>
      </w:r>
      <w:r w:rsidR="004339BA" w:rsidRPr="00801735">
        <w:rPr>
          <w:i/>
          <w:color w:val="000000" w:themeColor="text1"/>
        </w:rPr>
        <w:t>et al.</w:t>
      </w:r>
      <w:r w:rsidR="004339BA" w:rsidRPr="00801735">
        <w:rPr>
          <w:color w:val="000000" w:themeColor="text1"/>
        </w:rPr>
        <w:t xml:space="preserve"> 2017). In terms of light availability and water movement</w:t>
      </w:r>
      <w:r w:rsidR="00EC5764">
        <w:rPr>
          <w:color w:val="000000" w:themeColor="text1"/>
        </w:rPr>
        <w:t>,</w:t>
      </w:r>
      <w:r w:rsidR="004339BA" w:rsidRPr="00801735">
        <w:rPr>
          <w:color w:val="000000" w:themeColor="text1"/>
        </w:rPr>
        <w:t xml:space="preserve"> the preferred habitat for brown macroalgae overlaps strongly with that of some corals, and in particular the fast growing Acroporidae, highlighting the direct </w:t>
      </w:r>
      <w:r w:rsidR="00C06F0C" w:rsidRPr="00801735">
        <w:rPr>
          <w:color w:val="000000" w:themeColor="text1"/>
        </w:rPr>
        <w:t>competi</w:t>
      </w:r>
      <w:r w:rsidR="00C06F0C">
        <w:rPr>
          <w:color w:val="000000" w:themeColor="text1"/>
        </w:rPr>
        <w:t>t</w:t>
      </w:r>
      <w:r w:rsidR="00C06F0C" w:rsidRPr="00801735">
        <w:rPr>
          <w:color w:val="000000" w:themeColor="text1"/>
        </w:rPr>
        <w:t>ion</w:t>
      </w:r>
      <w:r w:rsidR="004339BA" w:rsidRPr="00801735">
        <w:rPr>
          <w:color w:val="000000" w:themeColor="text1"/>
        </w:rPr>
        <w:t xml:space="preserve"> for space between these groups. The correspondence between high prevalence of macroalgae and Chl</w:t>
      </w:r>
      <w:r w:rsidR="004339BA" w:rsidRPr="00801735">
        <w:rPr>
          <w:i/>
          <w:color w:val="000000" w:themeColor="text1"/>
        </w:rPr>
        <w:t xml:space="preserve"> a</w:t>
      </w:r>
      <w:r w:rsidR="004339BA" w:rsidRPr="00801735">
        <w:rPr>
          <w:color w:val="000000" w:themeColor="text1"/>
        </w:rPr>
        <w:t xml:space="preserve"> concentrations implies that a reduction in the availability of nutrients, that promote high concentrations of Chl </w:t>
      </w:r>
      <w:r w:rsidR="004339BA" w:rsidRPr="00801735">
        <w:rPr>
          <w:i/>
          <w:color w:val="000000" w:themeColor="text1"/>
        </w:rPr>
        <w:t>a</w:t>
      </w:r>
      <w:r w:rsidR="004339BA" w:rsidRPr="00801735">
        <w:rPr>
          <w:color w:val="000000" w:themeColor="text1"/>
        </w:rPr>
        <w:t xml:space="preserve"> in the water column, has the potential to shift the competitive relationship between macroalgae and coral back toward coral. </w:t>
      </w:r>
      <w:r w:rsidR="006C0B48" w:rsidRPr="00801735">
        <w:rPr>
          <w:color w:val="000000" w:themeColor="text1"/>
        </w:rPr>
        <w:t>In contrast to results from 2016</w:t>
      </w:r>
      <w:r w:rsidR="00EC5764">
        <w:rPr>
          <w:color w:val="000000" w:themeColor="text1"/>
        </w:rPr>
        <w:t>,</w:t>
      </w:r>
      <w:r w:rsidR="006C0B48" w:rsidRPr="00801735">
        <w:rPr>
          <w:color w:val="000000" w:themeColor="text1"/>
        </w:rPr>
        <w:t xml:space="preserve"> when there was evidence that </w:t>
      </w:r>
      <w:r w:rsidRPr="00801735">
        <w:rPr>
          <w:color w:val="000000" w:themeColor="text1"/>
        </w:rPr>
        <w:t>communities ha</w:t>
      </w:r>
      <w:r w:rsidR="006C0B48" w:rsidRPr="00801735">
        <w:rPr>
          <w:color w:val="000000" w:themeColor="text1"/>
        </w:rPr>
        <w:t>d</w:t>
      </w:r>
      <w:r w:rsidRPr="00801735">
        <w:rPr>
          <w:color w:val="000000" w:themeColor="text1"/>
        </w:rPr>
        <w:t xml:space="preserve"> disproportionately shifted over the duration of the program to include a lower proportion of species susceptible to poor water quality</w:t>
      </w:r>
      <w:r w:rsidR="004339BA" w:rsidRPr="00801735">
        <w:rPr>
          <w:color w:val="000000" w:themeColor="text1"/>
        </w:rPr>
        <w:t xml:space="preserve"> in areas of relatively low exposure, this result was not evident in 2017. Unfortunately the species most susceptible to poor water quality (the </w:t>
      </w:r>
      <w:r w:rsidR="004339BA" w:rsidRPr="004A1168">
        <w:rPr>
          <w:i/>
          <w:color w:val="000000" w:themeColor="text1"/>
        </w:rPr>
        <w:t>Acropora</w:t>
      </w:r>
      <w:r w:rsidR="004339BA" w:rsidRPr="00801735">
        <w:rPr>
          <w:color w:val="000000" w:themeColor="text1"/>
        </w:rPr>
        <w:t xml:space="preserve">) are also susceptible to </w:t>
      </w:r>
      <w:r w:rsidR="00C06F0C">
        <w:rPr>
          <w:color w:val="000000" w:themeColor="text1"/>
        </w:rPr>
        <w:t xml:space="preserve">the </w:t>
      </w:r>
      <w:r w:rsidR="004339BA" w:rsidRPr="00801735">
        <w:rPr>
          <w:color w:val="000000" w:themeColor="text1"/>
        </w:rPr>
        <w:t xml:space="preserve">acute pressures </w:t>
      </w:r>
      <w:r w:rsidR="00C06F0C">
        <w:rPr>
          <w:color w:val="000000" w:themeColor="text1"/>
        </w:rPr>
        <w:t xml:space="preserve">imposed by </w:t>
      </w:r>
      <w:r w:rsidR="004339BA" w:rsidRPr="00801735">
        <w:rPr>
          <w:color w:val="000000" w:themeColor="text1"/>
        </w:rPr>
        <w:t xml:space="preserve">thermal </w:t>
      </w:r>
      <w:r w:rsidR="004339BA" w:rsidRPr="00EC5764">
        <w:rPr>
          <w:color w:val="000000" w:themeColor="text1"/>
        </w:rPr>
        <w:t>anomalies (</w:t>
      </w:r>
      <w:r w:rsidR="00EC5764">
        <w:rPr>
          <w:color w:val="000000" w:themeColor="text1"/>
          <w:highlight w:val="yellow"/>
        </w:rPr>
        <w:fldChar w:fldCharType="begin"/>
      </w:r>
      <w:r w:rsidR="00EC5764">
        <w:rPr>
          <w:color w:val="000000" w:themeColor="text1"/>
          <w:highlight w:val="yellow"/>
        </w:rPr>
        <w:instrText xml:space="preserve"> REF _Ref500847535 \h </w:instrText>
      </w:r>
      <w:r w:rsidR="00EC5764">
        <w:rPr>
          <w:color w:val="000000" w:themeColor="text1"/>
          <w:highlight w:val="yellow"/>
        </w:rPr>
      </w:r>
      <w:r w:rsidR="00EC5764">
        <w:rPr>
          <w:color w:val="000000" w:themeColor="text1"/>
          <w:highlight w:val="yellow"/>
        </w:rPr>
        <w:fldChar w:fldCharType="separate"/>
      </w:r>
      <w:r w:rsidR="00A75175">
        <w:t xml:space="preserve">Table </w:t>
      </w:r>
      <w:r w:rsidR="00A75175">
        <w:rPr>
          <w:noProof/>
        </w:rPr>
        <w:t>18</w:t>
      </w:r>
      <w:r w:rsidR="00EC5764">
        <w:rPr>
          <w:color w:val="000000" w:themeColor="text1"/>
          <w:highlight w:val="yellow"/>
        </w:rPr>
        <w:fldChar w:fldCharType="end"/>
      </w:r>
      <w:r w:rsidR="004339BA" w:rsidRPr="00EC5764">
        <w:rPr>
          <w:color w:val="000000" w:themeColor="text1"/>
        </w:rPr>
        <w:t xml:space="preserve">) and storm damage </w:t>
      </w:r>
      <w:r w:rsidR="00EC5764" w:rsidRPr="00EC5764">
        <w:rPr>
          <w:color w:val="000000" w:themeColor="text1"/>
        </w:rPr>
        <w:t>that occurred in 2017</w:t>
      </w:r>
      <w:r w:rsidR="004339BA" w:rsidRPr="00EC5764">
        <w:rPr>
          <w:color w:val="000000" w:themeColor="text1"/>
        </w:rPr>
        <w:t>, and this resulted in losses across the water quality gradient</w:t>
      </w:r>
      <w:r w:rsidRPr="00801735">
        <w:rPr>
          <w:color w:val="000000" w:themeColor="text1"/>
        </w:rPr>
        <w:t xml:space="preserve">. </w:t>
      </w:r>
    </w:p>
    <w:p w14:paraId="46C22ABB" w14:textId="77777777" w:rsidR="00A462A9" w:rsidRPr="00801735" w:rsidRDefault="00A462A9" w:rsidP="00A462A9">
      <w:pPr>
        <w:rPr>
          <w:color w:val="000000" w:themeColor="text1"/>
        </w:rPr>
      </w:pPr>
      <w:r w:rsidRPr="00801735">
        <w:rPr>
          <w:color w:val="000000" w:themeColor="text1"/>
        </w:rPr>
        <w:t>Index scores declined in all regions through to low points between 2012 and 2014, prior to improvements through to 2016 that demonstrated recovery was underway. Declines in the index reflect the cumulative influence of multiple acute disturbances that coincided with a period of high runoff and associated loads of contaminants entering the Reef from adjacent catchments. In contrast, improvement in index scores through to 2016</w:t>
      </w:r>
      <w:r w:rsidR="002C1224">
        <w:rPr>
          <w:color w:val="000000" w:themeColor="text1"/>
        </w:rPr>
        <w:t xml:space="preserve"> </w:t>
      </w:r>
      <w:r w:rsidRPr="00801735">
        <w:rPr>
          <w:color w:val="000000" w:themeColor="text1"/>
        </w:rPr>
        <w:t xml:space="preserve">occurred during a period largely free from acute disturbance events and typified by low loads of contaminants entering the reef in runoff (Waterhouse </w:t>
      </w:r>
      <w:r w:rsidRPr="00801735">
        <w:rPr>
          <w:i/>
          <w:color w:val="000000" w:themeColor="text1"/>
        </w:rPr>
        <w:t>et al.</w:t>
      </w:r>
      <w:r w:rsidRPr="00801735">
        <w:rPr>
          <w:color w:val="000000" w:themeColor="text1"/>
        </w:rPr>
        <w:t xml:space="preserve"> 201</w:t>
      </w:r>
      <w:r w:rsidR="00841929">
        <w:rPr>
          <w:color w:val="000000" w:themeColor="text1"/>
        </w:rPr>
        <w:t>8</w:t>
      </w:r>
      <w:r w:rsidRPr="00801735">
        <w:rPr>
          <w:color w:val="000000" w:themeColor="text1"/>
        </w:rPr>
        <w:t>).</w:t>
      </w:r>
      <w:r w:rsidR="00E75F5C" w:rsidRPr="00801735">
        <w:rPr>
          <w:color w:val="000000" w:themeColor="text1"/>
        </w:rPr>
        <w:t xml:space="preserve"> </w:t>
      </w:r>
    </w:p>
    <w:p w14:paraId="21EE2166" w14:textId="77777777" w:rsidR="00A462A9" w:rsidRPr="00801735" w:rsidRDefault="00A462A9" w:rsidP="00A462A9">
      <w:pPr>
        <w:rPr>
          <w:color w:val="000000" w:themeColor="text1"/>
        </w:rPr>
      </w:pPr>
      <w:r w:rsidRPr="00801735">
        <w:rPr>
          <w:color w:val="000000" w:themeColor="text1"/>
        </w:rPr>
        <w:t xml:space="preserve">To understand the influence of runoff on the rate of change in the index, which we consider as representative of community resilience, required explicitly focusing our analysis on observations that were not confounded by the impact of acute events (Flower </w:t>
      </w:r>
      <w:r w:rsidRPr="00801735">
        <w:rPr>
          <w:i/>
          <w:color w:val="000000" w:themeColor="text1"/>
        </w:rPr>
        <w:t>et al.</w:t>
      </w:r>
      <w:r w:rsidRPr="00801735">
        <w:rPr>
          <w:color w:val="000000" w:themeColor="text1"/>
        </w:rPr>
        <w:t xml:space="preserve"> 2017)</w:t>
      </w:r>
      <w:r w:rsidR="00C06F0C">
        <w:rPr>
          <w:color w:val="000000" w:themeColor="text1"/>
        </w:rPr>
        <w:t>, i.e. during recovery periods</w:t>
      </w:r>
      <w:r w:rsidRPr="00801735">
        <w:rPr>
          <w:color w:val="000000" w:themeColor="text1"/>
        </w:rPr>
        <w:t>. In three of the four regions: Wet Tropics, Burdekin and Fitzroy</w:t>
      </w:r>
      <w:r w:rsidR="00981381">
        <w:rPr>
          <w:color w:val="000000" w:themeColor="text1"/>
        </w:rPr>
        <w:t>,</w:t>
      </w:r>
      <w:r w:rsidRPr="00801735">
        <w:rPr>
          <w:color w:val="000000" w:themeColor="text1"/>
        </w:rPr>
        <w:t xml:space="preserve"> biennial changes in index scores </w:t>
      </w:r>
      <w:r w:rsidR="00C06F0C">
        <w:rPr>
          <w:color w:val="000000" w:themeColor="text1"/>
        </w:rPr>
        <w:t xml:space="preserve">during recovery periods </w:t>
      </w:r>
      <w:r w:rsidR="00150C67" w:rsidRPr="00801735">
        <w:rPr>
          <w:color w:val="000000" w:themeColor="text1"/>
        </w:rPr>
        <w:t xml:space="preserve">demonstrate </w:t>
      </w:r>
      <w:r w:rsidRPr="00801735">
        <w:rPr>
          <w:color w:val="000000" w:themeColor="text1"/>
        </w:rPr>
        <w:t xml:space="preserve">an inverse relationship to regional discharge. </w:t>
      </w:r>
      <w:r w:rsidR="00C13AAF" w:rsidRPr="00801735">
        <w:rPr>
          <w:color w:val="000000" w:themeColor="text1"/>
        </w:rPr>
        <w:t xml:space="preserve">In both the Wet Tropics and Burdekin regions the relationship with discharge </w:t>
      </w:r>
      <w:r w:rsidR="00696C08">
        <w:rPr>
          <w:color w:val="000000" w:themeColor="text1"/>
        </w:rPr>
        <w:t>was</w:t>
      </w:r>
      <w:r w:rsidR="00696C08" w:rsidRPr="00801735">
        <w:rPr>
          <w:color w:val="000000" w:themeColor="text1"/>
        </w:rPr>
        <w:t xml:space="preserve"> </w:t>
      </w:r>
      <w:r w:rsidR="00C13AAF" w:rsidRPr="00801735">
        <w:rPr>
          <w:color w:val="000000" w:themeColor="text1"/>
        </w:rPr>
        <w:t>supported by similar</w:t>
      </w:r>
      <w:r w:rsidR="00696C08">
        <w:rPr>
          <w:color w:val="000000" w:themeColor="text1"/>
        </w:rPr>
        <w:t>,</w:t>
      </w:r>
      <w:r w:rsidR="00C13AAF" w:rsidRPr="00801735">
        <w:rPr>
          <w:color w:val="000000" w:themeColor="text1"/>
        </w:rPr>
        <w:t xml:space="preserve"> </w:t>
      </w:r>
      <w:r w:rsidR="00DC79A0">
        <w:rPr>
          <w:color w:val="000000" w:themeColor="text1"/>
        </w:rPr>
        <w:t>al</w:t>
      </w:r>
      <w:r w:rsidR="00C13AAF" w:rsidRPr="00801735">
        <w:rPr>
          <w:color w:val="000000" w:themeColor="text1"/>
        </w:rPr>
        <w:t>though less linear, relationships to load</w:t>
      </w:r>
      <w:r w:rsidR="00C06F0C">
        <w:rPr>
          <w:color w:val="000000" w:themeColor="text1"/>
        </w:rPr>
        <w:t>s of</w:t>
      </w:r>
      <w:r w:rsidR="00C13AAF" w:rsidRPr="00801735">
        <w:rPr>
          <w:color w:val="000000" w:themeColor="text1"/>
        </w:rPr>
        <w:t xml:space="preserve"> total Nitrogen and total Phosphorous</w:t>
      </w:r>
      <w:r w:rsidR="00C06F0C">
        <w:rPr>
          <w:color w:val="000000" w:themeColor="text1"/>
        </w:rPr>
        <w:t xml:space="preserve"> entering the Reef in runoff</w:t>
      </w:r>
      <w:r w:rsidR="00F03CAB">
        <w:rPr>
          <w:color w:val="000000" w:themeColor="text1"/>
        </w:rPr>
        <w:t xml:space="preserve"> and </w:t>
      </w:r>
      <w:r w:rsidR="00C13AAF" w:rsidRPr="00801735">
        <w:rPr>
          <w:color w:val="000000" w:themeColor="text1"/>
        </w:rPr>
        <w:t xml:space="preserve">variability in Chl </w:t>
      </w:r>
      <w:r w:rsidR="00C13AAF" w:rsidRPr="00F03CAB">
        <w:rPr>
          <w:i/>
          <w:color w:val="000000" w:themeColor="text1"/>
        </w:rPr>
        <w:t>a</w:t>
      </w:r>
      <w:r w:rsidR="00C13AAF" w:rsidRPr="00801735">
        <w:rPr>
          <w:color w:val="000000" w:themeColor="text1"/>
        </w:rPr>
        <w:t xml:space="preserve"> concentration </w:t>
      </w:r>
      <w:r w:rsidR="00C06F0C">
        <w:rPr>
          <w:color w:val="000000" w:themeColor="text1"/>
        </w:rPr>
        <w:t xml:space="preserve">around </w:t>
      </w:r>
      <w:r w:rsidR="00C13AAF" w:rsidRPr="00801735">
        <w:rPr>
          <w:color w:val="000000" w:themeColor="text1"/>
        </w:rPr>
        <w:t>reefs</w:t>
      </w:r>
      <w:r w:rsidR="00F63CEA" w:rsidRPr="00801735">
        <w:rPr>
          <w:color w:val="000000" w:themeColor="text1"/>
        </w:rPr>
        <w:t xml:space="preserve">. </w:t>
      </w:r>
      <w:r w:rsidRPr="00F03CAB">
        <w:rPr>
          <w:color w:val="000000" w:themeColor="text1"/>
        </w:rPr>
        <w:t>Although</w:t>
      </w:r>
      <w:r w:rsidR="00F63CEA" w:rsidRPr="00F03CAB">
        <w:rPr>
          <w:color w:val="000000" w:themeColor="text1"/>
        </w:rPr>
        <w:t xml:space="preserve"> these results suggest a consistent direction of response</w:t>
      </w:r>
      <w:r w:rsidR="00F03CAB" w:rsidRPr="00F03CAB">
        <w:rPr>
          <w:color w:val="000000" w:themeColor="text1"/>
        </w:rPr>
        <w:t>,</w:t>
      </w:r>
      <w:r w:rsidRPr="00801735">
        <w:rPr>
          <w:color w:val="000000" w:themeColor="text1"/>
        </w:rPr>
        <w:t xml:space="preserve"> we are </w:t>
      </w:r>
      <w:r w:rsidR="00F63CEA" w:rsidRPr="00801735">
        <w:rPr>
          <w:color w:val="000000" w:themeColor="text1"/>
        </w:rPr>
        <w:t xml:space="preserve">mindful </w:t>
      </w:r>
      <w:r w:rsidRPr="00801735">
        <w:rPr>
          <w:color w:val="000000" w:themeColor="text1"/>
        </w:rPr>
        <w:t>that both the spatial and temporal response</w:t>
      </w:r>
      <w:r w:rsidR="00981381">
        <w:rPr>
          <w:color w:val="000000" w:themeColor="text1"/>
        </w:rPr>
        <w:t>s</w:t>
      </w:r>
      <w:r w:rsidR="00C06F0C">
        <w:rPr>
          <w:color w:val="000000" w:themeColor="text1"/>
        </w:rPr>
        <w:t xml:space="preserve"> of the index to water quality or discharge</w:t>
      </w:r>
      <w:r w:rsidRPr="00801735">
        <w:rPr>
          <w:color w:val="000000" w:themeColor="text1"/>
        </w:rPr>
        <w:t xml:space="preserve"> </w:t>
      </w:r>
      <w:r w:rsidR="00DC79A0">
        <w:rPr>
          <w:color w:val="000000" w:themeColor="text1"/>
        </w:rPr>
        <w:t>varied among reefs. T</w:t>
      </w:r>
      <w:r w:rsidRPr="00801735">
        <w:rPr>
          <w:color w:val="000000" w:themeColor="text1"/>
        </w:rPr>
        <w:t>his is not unexpected</w:t>
      </w:r>
      <w:r w:rsidR="00DC79A0">
        <w:rPr>
          <w:color w:val="000000" w:themeColor="text1"/>
        </w:rPr>
        <w:t xml:space="preserve"> as i</w:t>
      </w:r>
      <w:r w:rsidRPr="00801735">
        <w:rPr>
          <w:color w:val="000000" w:themeColor="text1"/>
        </w:rPr>
        <w:t>ndex scores at any point in space or time will reflect the cumulative responses of the communities to: past disturbance events and chronic pressures, selective pressures imposed by ambient conditions, and stochasticity in the population dynamics of the diverse communities inhabiting these reefs. In combination</w:t>
      </w:r>
      <w:r w:rsidR="00F03CAB">
        <w:rPr>
          <w:color w:val="000000" w:themeColor="text1"/>
        </w:rPr>
        <w:t>,</w:t>
      </w:r>
      <w:r w:rsidRPr="00801735">
        <w:rPr>
          <w:color w:val="000000" w:themeColor="text1"/>
        </w:rPr>
        <w:t xml:space="preserve"> variable exposure to past events and location specific pressures are also likely to have selected for communities tolerant of those conditions. What this means</w:t>
      </w:r>
      <w:r w:rsidR="00374EFB" w:rsidRPr="00801735">
        <w:rPr>
          <w:color w:val="000000" w:themeColor="text1"/>
        </w:rPr>
        <w:t>,</w:t>
      </w:r>
      <w:r w:rsidRPr="00801735">
        <w:rPr>
          <w:color w:val="000000" w:themeColor="text1"/>
        </w:rPr>
        <w:t xml:space="preserve"> is that communities in different locations will be variously susceptible to exposure to </w:t>
      </w:r>
      <w:r w:rsidR="00DC79A0">
        <w:rPr>
          <w:color w:val="000000" w:themeColor="text1"/>
        </w:rPr>
        <w:t xml:space="preserve">runoff-related </w:t>
      </w:r>
      <w:r w:rsidRPr="00801735">
        <w:rPr>
          <w:color w:val="000000" w:themeColor="text1"/>
        </w:rPr>
        <w:t xml:space="preserve">water quality pressures (e.g. Morgan </w:t>
      </w:r>
      <w:r w:rsidRPr="00801735">
        <w:rPr>
          <w:i/>
          <w:color w:val="000000" w:themeColor="text1"/>
        </w:rPr>
        <w:t>et al.</w:t>
      </w:r>
      <w:r w:rsidRPr="00801735">
        <w:rPr>
          <w:color w:val="000000" w:themeColor="text1"/>
        </w:rPr>
        <w:t xml:space="preserve"> 2016).</w:t>
      </w:r>
      <w:r w:rsidR="00E75F5C" w:rsidRPr="00801735">
        <w:rPr>
          <w:color w:val="000000" w:themeColor="text1"/>
        </w:rPr>
        <w:t xml:space="preserve"> </w:t>
      </w:r>
      <w:r w:rsidRPr="00801735">
        <w:rPr>
          <w:color w:val="000000" w:themeColor="text1"/>
        </w:rPr>
        <w:t>It is precisely the inability to accurately measure</w:t>
      </w:r>
      <w:r w:rsidR="00374EFB" w:rsidRPr="00801735">
        <w:rPr>
          <w:color w:val="000000" w:themeColor="text1"/>
        </w:rPr>
        <w:t>,</w:t>
      </w:r>
      <w:r w:rsidRPr="00801735">
        <w:rPr>
          <w:color w:val="000000" w:themeColor="text1"/>
        </w:rPr>
        <w:t xml:space="preserve"> or predict</w:t>
      </w:r>
      <w:r w:rsidR="00374EFB" w:rsidRPr="00801735">
        <w:rPr>
          <w:color w:val="000000" w:themeColor="text1"/>
        </w:rPr>
        <w:t>,</w:t>
      </w:r>
      <w:r w:rsidRPr="00801735">
        <w:rPr>
          <w:color w:val="000000" w:themeColor="text1"/>
        </w:rPr>
        <w:t xml:space="preserve"> the role of cumulative impacts across a diversity of exposures that suggests the use of biological indicators, such as the coral and seagrass (McKenzie </w:t>
      </w:r>
      <w:r w:rsidRPr="00801735">
        <w:rPr>
          <w:i/>
          <w:color w:val="000000" w:themeColor="text1"/>
        </w:rPr>
        <w:t>et al.</w:t>
      </w:r>
      <w:r w:rsidRPr="00801735">
        <w:rPr>
          <w:color w:val="000000" w:themeColor="text1"/>
        </w:rPr>
        <w:t xml:space="preserve"> 2017) indices used by the MMP as tools to identify where</w:t>
      </w:r>
      <w:r w:rsidR="00F03CAB">
        <w:rPr>
          <w:color w:val="000000" w:themeColor="text1"/>
        </w:rPr>
        <w:t>,</w:t>
      </w:r>
      <w:r w:rsidRPr="00801735">
        <w:rPr>
          <w:color w:val="000000" w:themeColor="text1"/>
        </w:rPr>
        <w:t xml:space="preserve"> </w:t>
      </w:r>
      <w:r w:rsidR="00374EFB" w:rsidRPr="00801735">
        <w:rPr>
          <w:color w:val="000000" w:themeColor="text1"/>
        </w:rPr>
        <w:t>and when</w:t>
      </w:r>
      <w:r w:rsidR="00F03CAB">
        <w:rPr>
          <w:color w:val="000000" w:themeColor="text1"/>
        </w:rPr>
        <w:t>,</w:t>
      </w:r>
      <w:r w:rsidR="00374EFB" w:rsidRPr="00801735">
        <w:rPr>
          <w:color w:val="000000" w:themeColor="text1"/>
        </w:rPr>
        <w:t xml:space="preserve"> environmental stress</w:t>
      </w:r>
      <w:r w:rsidRPr="00801735">
        <w:rPr>
          <w:color w:val="000000" w:themeColor="text1"/>
        </w:rPr>
        <w:t xml:space="preserve"> </w:t>
      </w:r>
      <w:r w:rsidR="00374EFB" w:rsidRPr="00801735">
        <w:rPr>
          <w:color w:val="000000" w:themeColor="text1"/>
        </w:rPr>
        <w:t>is</w:t>
      </w:r>
      <w:r w:rsidRPr="00801735">
        <w:rPr>
          <w:color w:val="000000" w:themeColor="text1"/>
        </w:rPr>
        <w:t xml:space="preserve"> occurring (Karr 2006, Crain </w:t>
      </w:r>
      <w:r w:rsidRPr="00801735">
        <w:rPr>
          <w:i/>
          <w:color w:val="000000" w:themeColor="text1"/>
        </w:rPr>
        <w:t>et al.</w:t>
      </w:r>
      <w:r w:rsidRPr="00801735">
        <w:rPr>
          <w:color w:val="000000" w:themeColor="text1"/>
        </w:rPr>
        <w:t xml:space="preserve"> 2008).</w:t>
      </w:r>
      <w:r w:rsidR="00E75F5C" w:rsidRPr="00801735">
        <w:rPr>
          <w:color w:val="000000" w:themeColor="text1"/>
        </w:rPr>
        <w:t xml:space="preserve"> </w:t>
      </w:r>
    </w:p>
    <w:p w14:paraId="47841B3F" w14:textId="77777777" w:rsidR="00A462A9" w:rsidRPr="00801735" w:rsidRDefault="00A462A9" w:rsidP="00A462A9">
      <w:pPr>
        <w:rPr>
          <w:color w:val="000000" w:themeColor="text1"/>
        </w:rPr>
      </w:pPr>
      <w:r w:rsidRPr="00801735">
        <w:rPr>
          <w:color w:val="000000" w:themeColor="text1"/>
        </w:rPr>
        <w:t xml:space="preserve">The observed relationship between discharge and changes in coral index </w:t>
      </w:r>
      <w:r w:rsidR="00F63CEA" w:rsidRPr="00801735">
        <w:rPr>
          <w:color w:val="000000" w:themeColor="text1"/>
        </w:rPr>
        <w:t xml:space="preserve">does, however, </w:t>
      </w:r>
      <w:r w:rsidRPr="00801735">
        <w:rPr>
          <w:color w:val="000000" w:themeColor="text1"/>
        </w:rPr>
        <w:t>impl</w:t>
      </w:r>
      <w:r w:rsidR="00F63CEA" w:rsidRPr="00801735">
        <w:rPr>
          <w:color w:val="000000" w:themeColor="text1"/>
        </w:rPr>
        <w:t>y</w:t>
      </w:r>
      <w:r w:rsidRPr="00801735">
        <w:rPr>
          <w:color w:val="000000" w:themeColor="text1"/>
        </w:rPr>
        <w:t xml:space="preserve"> that the cumulative impacts of river-delivered contaminants suppress the resilience of coral communities. In general, the spatial and temporal variability in index scores presented in this report are consistent with well documented links between increased runoff and stress to corals (Bruno </w:t>
      </w:r>
      <w:r w:rsidRPr="00801735">
        <w:rPr>
          <w:i/>
          <w:color w:val="000000" w:themeColor="text1"/>
        </w:rPr>
        <w:t>et al.</w:t>
      </w:r>
      <w:r w:rsidRPr="00801735">
        <w:rPr>
          <w:color w:val="000000" w:themeColor="text1"/>
        </w:rPr>
        <w:t xml:space="preserve"> 2003, </w:t>
      </w:r>
      <w:r w:rsidRPr="00801735">
        <w:rPr>
          <w:rFonts w:cs="Arial"/>
          <w:color w:val="000000" w:themeColor="text1"/>
        </w:rPr>
        <w:t xml:space="preserve">Kline </w:t>
      </w:r>
      <w:r w:rsidRPr="00801735">
        <w:rPr>
          <w:rFonts w:cs="Arial"/>
          <w:i/>
          <w:color w:val="000000" w:themeColor="text1"/>
        </w:rPr>
        <w:t>et al</w:t>
      </w:r>
      <w:r w:rsidRPr="00801735">
        <w:rPr>
          <w:rFonts w:cs="Arial"/>
          <w:color w:val="000000" w:themeColor="text1"/>
        </w:rPr>
        <w:t xml:space="preserve">. 2006, Kuntz </w:t>
      </w:r>
      <w:r w:rsidRPr="00801735">
        <w:rPr>
          <w:rFonts w:cs="Arial"/>
          <w:i/>
          <w:color w:val="000000" w:themeColor="text1"/>
        </w:rPr>
        <w:t>et al</w:t>
      </w:r>
      <w:r w:rsidRPr="00801735">
        <w:rPr>
          <w:rFonts w:cs="Arial"/>
          <w:color w:val="000000" w:themeColor="text1"/>
        </w:rPr>
        <w:t xml:space="preserve">. 2005, Voss &amp; Richardson 2006, </w:t>
      </w:r>
      <w:r w:rsidRPr="00801735">
        <w:rPr>
          <w:color w:val="000000" w:themeColor="text1"/>
        </w:rPr>
        <w:t xml:space="preserve">Kaczmarsky &amp; Richardson 2010, Haapkylä </w:t>
      </w:r>
      <w:r w:rsidRPr="00801735">
        <w:rPr>
          <w:i/>
          <w:color w:val="000000" w:themeColor="text1"/>
        </w:rPr>
        <w:t xml:space="preserve">et al. </w:t>
      </w:r>
      <w:r w:rsidRPr="00801735">
        <w:rPr>
          <w:color w:val="000000" w:themeColor="text1"/>
        </w:rPr>
        <w:t xml:space="preserve">2011, 2013, Vega Thurber </w:t>
      </w:r>
      <w:r w:rsidRPr="00801735">
        <w:rPr>
          <w:i/>
          <w:color w:val="000000" w:themeColor="text1"/>
        </w:rPr>
        <w:t>et al.</w:t>
      </w:r>
      <w:r w:rsidRPr="00801735">
        <w:rPr>
          <w:color w:val="000000" w:themeColor="text1"/>
        </w:rPr>
        <w:t xml:space="preserve"> 2013). That we did not observe a</w:t>
      </w:r>
      <w:r w:rsidR="00F63CEA" w:rsidRPr="00801735">
        <w:rPr>
          <w:color w:val="000000" w:themeColor="text1"/>
        </w:rPr>
        <w:t xml:space="preserve"> </w:t>
      </w:r>
      <w:r w:rsidR="00EB646D" w:rsidRPr="00801735">
        <w:rPr>
          <w:color w:val="000000" w:themeColor="text1"/>
        </w:rPr>
        <w:t>clear relationship</w:t>
      </w:r>
      <w:r w:rsidRPr="00801735">
        <w:rPr>
          <w:color w:val="000000" w:themeColor="text1"/>
        </w:rPr>
        <w:t xml:space="preserve"> between discharge and change in the index scores in the Mackay Whitsunday </w:t>
      </w:r>
      <w:r w:rsidR="00981381">
        <w:rPr>
          <w:color w:val="000000" w:themeColor="text1"/>
        </w:rPr>
        <w:t>R</w:t>
      </w:r>
      <w:r w:rsidR="00981381" w:rsidRPr="00801735">
        <w:rPr>
          <w:color w:val="000000" w:themeColor="text1"/>
        </w:rPr>
        <w:t xml:space="preserve">egion </w:t>
      </w:r>
      <w:r w:rsidRPr="00801735">
        <w:rPr>
          <w:color w:val="000000" w:themeColor="text1"/>
        </w:rPr>
        <w:t>may be explained by the relatively low discharge</w:t>
      </w:r>
      <w:r w:rsidR="00E50E5E">
        <w:rPr>
          <w:color w:val="000000" w:themeColor="text1"/>
        </w:rPr>
        <w:t xml:space="preserve"> but high tidal range</w:t>
      </w:r>
      <w:r w:rsidR="008C005A">
        <w:rPr>
          <w:color w:val="000000" w:themeColor="text1"/>
        </w:rPr>
        <w:t xml:space="preserve"> in this region</w:t>
      </w:r>
      <w:r w:rsidRPr="00801735">
        <w:rPr>
          <w:color w:val="000000" w:themeColor="text1"/>
        </w:rPr>
        <w:t xml:space="preserve">, compared to </w:t>
      </w:r>
      <w:r w:rsidR="008C005A">
        <w:rPr>
          <w:color w:val="000000" w:themeColor="text1"/>
        </w:rPr>
        <w:t xml:space="preserve">other </w:t>
      </w:r>
      <w:r w:rsidR="00E50E5E">
        <w:rPr>
          <w:color w:val="000000" w:themeColor="text1"/>
        </w:rPr>
        <w:t xml:space="preserve">regions, resulting </w:t>
      </w:r>
      <w:r w:rsidR="008C005A">
        <w:rPr>
          <w:color w:val="000000" w:themeColor="text1"/>
        </w:rPr>
        <w:t xml:space="preserve">in </w:t>
      </w:r>
      <w:r w:rsidR="00E50E5E">
        <w:rPr>
          <w:color w:val="000000" w:themeColor="text1"/>
        </w:rPr>
        <w:t xml:space="preserve">variability in </w:t>
      </w:r>
      <w:r w:rsidR="008C005A">
        <w:rPr>
          <w:color w:val="000000" w:themeColor="text1"/>
        </w:rPr>
        <w:t xml:space="preserve">corals </w:t>
      </w:r>
      <w:r w:rsidR="00E50E5E">
        <w:rPr>
          <w:color w:val="000000" w:themeColor="text1"/>
        </w:rPr>
        <w:t>exposure to water quality related pressures being less influenced by</w:t>
      </w:r>
      <w:r w:rsidR="008C005A">
        <w:rPr>
          <w:color w:val="000000" w:themeColor="text1"/>
        </w:rPr>
        <w:t xml:space="preserve"> runoff</w:t>
      </w:r>
      <w:r w:rsidRPr="00801735">
        <w:rPr>
          <w:color w:val="000000" w:themeColor="text1"/>
        </w:rPr>
        <w:t>.</w:t>
      </w:r>
      <w:r w:rsidR="00F63CEA" w:rsidRPr="00801735">
        <w:rPr>
          <w:color w:val="000000" w:themeColor="text1"/>
        </w:rPr>
        <w:t xml:space="preserve"> </w:t>
      </w:r>
      <w:r w:rsidR="008C005A">
        <w:rPr>
          <w:color w:val="000000" w:themeColor="text1"/>
        </w:rPr>
        <w:t xml:space="preserve">There was </w:t>
      </w:r>
      <w:r w:rsidR="008C005A" w:rsidRPr="008C005A">
        <w:rPr>
          <w:color w:val="000000" w:themeColor="text1"/>
        </w:rPr>
        <w:t xml:space="preserve">however a </w:t>
      </w:r>
      <w:r w:rsidR="00F63CEA" w:rsidRPr="008C005A">
        <w:rPr>
          <w:color w:val="000000" w:themeColor="text1"/>
        </w:rPr>
        <w:t xml:space="preserve">weak relationship between high </w:t>
      </w:r>
      <w:r w:rsidR="00EB646D" w:rsidRPr="008C005A">
        <w:rPr>
          <w:color w:val="000000" w:themeColor="text1"/>
        </w:rPr>
        <w:t>turbidity</w:t>
      </w:r>
      <w:r w:rsidR="00F63CEA" w:rsidRPr="008C005A">
        <w:rPr>
          <w:color w:val="000000" w:themeColor="text1"/>
        </w:rPr>
        <w:t xml:space="preserve"> and reduced improvement in the index</w:t>
      </w:r>
      <w:r w:rsidR="008C005A" w:rsidRPr="008C005A">
        <w:rPr>
          <w:color w:val="000000" w:themeColor="text1"/>
        </w:rPr>
        <w:t>. This response to turbidity is consistent with the clear response of communities to high turbidity within the region evidenced by th</w:t>
      </w:r>
      <w:r w:rsidR="00F63CEA" w:rsidRPr="008C005A">
        <w:rPr>
          <w:color w:val="000000" w:themeColor="text1"/>
        </w:rPr>
        <w:t xml:space="preserve">e </w:t>
      </w:r>
      <w:r w:rsidRPr="008C005A">
        <w:rPr>
          <w:color w:val="000000" w:themeColor="text1"/>
        </w:rPr>
        <w:t xml:space="preserve">strong vertical differentiation in community composition at many of the </w:t>
      </w:r>
      <w:r w:rsidR="00F63CEA" w:rsidRPr="008C005A">
        <w:rPr>
          <w:color w:val="000000" w:themeColor="text1"/>
        </w:rPr>
        <w:t>r</w:t>
      </w:r>
      <w:r w:rsidRPr="008C005A">
        <w:rPr>
          <w:color w:val="000000" w:themeColor="text1"/>
        </w:rPr>
        <w:t>eefs</w:t>
      </w:r>
      <w:r w:rsidR="00F03CAB" w:rsidRPr="008C005A">
        <w:rPr>
          <w:color w:val="000000" w:themeColor="text1"/>
        </w:rPr>
        <w:t xml:space="preserve"> and a</w:t>
      </w:r>
      <w:r w:rsidR="00696C08" w:rsidRPr="008C005A">
        <w:rPr>
          <w:color w:val="000000" w:themeColor="text1"/>
        </w:rPr>
        <w:t xml:space="preserve"> high</w:t>
      </w:r>
      <w:r w:rsidRPr="008C005A">
        <w:rPr>
          <w:color w:val="000000" w:themeColor="text1"/>
        </w:rPr>
        <w:t xml:space="preserve"> </w:t>
      </w:r>
      <w:r w:rsidR="00F26BA6" w:rsidRPr="008C005A">
        <w:rPr>
          <w:color w:val="000000" w:themeColor="text1"/>
        </w:rPr>
        <w:t xml:space="preserve">representation of species tolerant to </w:t>
      </w:r>
      <w:r w:rsidRPr="008C005A">
        <w:rPr>
          <w:color w:val="000000" w:themeColor="text1"/>
        </w:rPr>
        <w:t>high turbidity</w:t>
      </w:r>
      <w:r w:rsidR="00F03CAB" w:rsidRPr="008C005A">
        <w:rPr>
          <w:color w:val="000000" w:themeColor="text1"/>
        </w:rPr>
        <w:t xml:space="preserve"> at the 5m depths</w:t>
      </w:r>
      <w:r w:rsidR="00F26BA6" w:rsidRPr="008C005A">
        <w:rPr>
          <w:color w:val="000000" w:themeColor="text1"/>
        </w:rPr>
        <w:t>.</w:t>
      </w:r>
      <w:r w:rsidR="00374EFB" w:rsidRPr="008C005A">
        <w:rPr>
          <w:color w:val="000000" w:themeColor="text1"/>
        </w:rPr>
        <w:t xml:space="preserve"> </w:t>
      </w:r>
      <w:r w:rsidR="00F26BA6" w:rsidRPr="008C005A">
        <w:rPr>
          <w:color w:val="000000" w:themeColor="text1"/>
        </w:rPr>
        <w:t>Indeed</w:t>
      </w:r>
      <w:r w:rsidR="00F03CAB" w:rsidRPr="008C005A">
        <w:rPr>
          <w:color w:val="000000" w:themeColor="text1"/>
        </w:rPr>
        <w:t>,</w:t>
      </w:r>
      <w:r w:rsidR="00F26BA6" w:rsidRPr="008C005A">
        <w:rPr>
          <w:color w:val="000000" w:themeColor="text1"/>
        </w:rPr>
        <w:t xml:space="preserve"> the selection for turbidity </w:t>
      </w:r>
      <w:r w:rsidR="00374EFB" w:rsidRPr="008C005A">
        <w:rPr>
          <w:color w:val="000000" w:themeColor="text1"/>
        </w:rPr>
        <w:t xml:space="preserve">tolerance is </w:t>
      </w:r>
      <w:r w:rsidRPr="008C005A">
        <w:rPr>
          <w:color w:val="000000" w:themeColor="text1"/>
        </w:rPr>
        <w:t>likely to offer a degree of resistance to additional pressures</w:t>
      </w:r>
      <w:r w:rsidRPr="00801735">
        <w:rPr>
          <w:color w:val="000000" w:themeColor="text1"/>
        </w:rPr>
        <w:t xml:space="preserve"> imposed by variable runoff</w:t>
      </w:r>
      <w:r w:rsidR="00374EFB" w:rsidRPr="00801735">
        <w:rPr>
          <w:color w:val="000000" w:themeColor="text1"/>
        </w:rPr>
        <w:t xml:space="preserve">, a point raised by </w:t>
      </w:r>
      <w:r w:rsidRPr="00801735">
        <w:rPr>
          <w:color w:val="000000" w:themeColor="text1"/>
        </w:rPr>
        <w:t xml:space="preserve">Morgan </w:t>
      </w:r>
      <w:r w:rsidRPr="00801735">
        <w:rPr>
          <w:i/>
          <w:color w:val="000000" w:themeColor="text1"/>
        </w:rPr>
        <w:t>et al.</w:t>
      </w:r>
      <w:r w:rsidRPr="00801735">
        <w:rPr>
          <w:color w:val="000000" w:themeColor="text1"/>
        </w:rPr>
        <w:t xml:space="preserve"> </w:t>
      </w:r>
      <w:r w:rsidR="00374EFB" w:rsidRPr="00801735">
        <w:rPr>
          <w:color w:val="000000" w:themeColor="text1"/>
        </w:rPr>
        <w:t>(</w:t>
      </w:r>
      <w:r w:rsidRPr="00801735">
        <w:rPr>
          <w:color w:val="000000" w:themeColor="text1"/>
        </w:rPr>
        <w:t xml:space="preserve">2016). Influential in the results for the Mackay Whitsunday </w:t>
      </w:r>
      <w:r w:rsidR="00981381">
        <w:rPr>
          <w:color w:val="000000" w:themeColor="text1"/>
        </w:rPr>
        <w:t>R</w:t>
      </w:r>
      <w:r w:rsidR="00981381" w:rsidRPr="00801735">
        <w:rPr>
          <w:color w:val="000000" w:themeColor="text1"/>
        </w:rPr>
        <w:t xml:space="preserve">egion </w:t>
      </w:r>
      <w:r w:rsidR="00F03CAB">
        <w:rPr>
          <w:color w:val="000000" w:themeColor="text1"/>
        </w:rPr>
        <w:t>we</w:t>
      </w:r>
      <w:r w:rsidRPr="00801735">
        <w:rPr>
          <w:color w:val="000000" w:themeColor="text1"/>
        </w:rPr>
        <w:t>re declines in the index that occurred in 2006 when discharge was low</w:t>
      </w:r>
      <w:r w:rsidR="00F26BA6" w:rsidRPr="00801735">
        <w:rPr>
          <w:color w:val="000000" w:themeColor="text1"/>
        </w:rPr>
        <w:t xml:space="preserve">. While the 2006 </w:t>
      </w:r>
      <w:r w:rsidRPr="00801735">
        <w:rPr>
          <w:color w:val="000000" w:themeColor="text1"/>
        </w:rPr>
        <w:t>declines remain unexplained</w:t>
      </w:r>
      <w:r w:rsidR="00696C08">
        <w:rPr>
          <w:color w:val="000000" w:themeColor="text1"/>
        </w:rPr>
        <w:t>,</w:t>
      </w:r>
      <w:r w:rsidR="00F26BA6" w:rsidRPr="00801735">
        <w:rPr>
          <w:color w:val="000000" w:themeColor="text1"/>
        </w:rPr>
        <w:t xml:space="preserve"> our estimation of relative temperature stress</w:t>
      </w:r>
      <w:r w:rsidR="00C0452E">
        <w:rPr>
          <w:color w:val="000000" w:themeColor="text1"/>
        </w:rPr>
        <w:t xml:space="preserve"> - </w:t>
      </w:r>
      <w:r w:rsidR="00F26BA6" w:rsidRPr="00801735">
        <w:rPr>
          <w:color w:val="000000" w:themeColor="text1"/>
        </w:rPr>
        <w:t xml:space="preserve">based on </w:t>
      </w:r>
      <w:r w:rsidR="00036C05">
        <w:rPr>
          <w:color w:val="000000" w:themeColor="text1"/>
        </w:rPr>
        <w:t>in situ</w:t>
      </w:r>
      <w:r w:rsidR="00F26BA6" w:rsidRPr="00801735">
        <w:rPr>
          <w:color w:val="000000" w:themeColor="text1"/>
        </w:rPr>
        <w:t xml:space="preserve"> loggers </w:t>
      </w:r>
      <w:r w:rsidR="00C24337" w:rsidRPr="00801735">
        <w:rPr>
          <w:color w:val="000000" w:themeColor="text1"/>
        </w:rPr>
        <w:t xml:space="preserve">rather than satellites, </w:t>
      </w:r>
      <w:r w:rsidR="00C0452E">
        <w:rPr>
          <w:color w:val="000000" w:themeColor="text1"/>
        </w:rPr>
        <w:t>and expressed as degree heating days (</w:t>
      </w:r>
      <w:r w:rsidR="00C24337" w:rsidRPr="00801735">
        <w:rPr>
          <w:color w:val="000000" w:themeColor="text1"/>
        </w:rPr>
        <w:t xml:space="preserve">available from the </w:t>
      </w:r>
      <w:r w:rsidR="00F26BA6" w:rsidRPr="00801735">
        <w:rPr>
          <w:color w:val="000000" w:themeColor="text1"/>
        </w:rPr>
        <w:t xml:space="preserve">Bureau of </w:t>
      </w:r>
      <w:r w:rsidR="00C24337" w:rsidRPr="00801735">
        <w:rPr>
          <w:color w:val="000000" w:themeColor="text1"/>
        </w:rPr>
        <w:t>Meteorology</w:t>
      </w:r>
      <w:r w:rsidR="00C0452E">
        <w:rPr>
          <w:color w:val="000000" w:themeColor="text1"/>
        </w:rPr>
        <w:t xml:space="preserve">), </w:t>
      </w:r>
      <w:r w:rsidR="00F26BA6" w:rsidRPr="00801735">
        <w:rPr>
          <w:color w:val="000000" w:themeColor="text1"/>
        </w:rPr>
        <w:t xml:space="preserve">implicate </w:t>
      </w:r>
      <w:r w:rsidR="00C0452E">
        <w:rPr>
          <w:color w:val="000000" w:themeColor="text1"/>
        </w:rPr>
        <w:t>high summer temperatures as the likely stressor</w:t>
      </w:r>
      <w:r w:rsidRPr="00801735">
        <w:rPr>
          <w:color w:val="000000" w:themeColor="text1"/>
        </w:rPr>
        <w:t xml:space="preserve">. </w:t>
      </w:r>
    </w:p>
    <w:p w14:paraId="32162DE2" w14:textId="77777777" w:rsidR="00A462A9" w:rsidRPr="00801735" w:rsidRDefault="00A462A9" w:rsidP="00A462A9">
      <w:pPr>
        <w:rPr>
          <w:rFonts w:cs="Arial"/>
          <w:color w:val="000000" w:themeColor="text1"/>
        </w:rPr>
      </w:pPr>
      <w:r w:rsidRPr="00801735">
        <w:rPr>
          <w:rFonts w:cs="Arial"/>
          <w:color w:val="000000" w:themeColor="text1"/>
        </w:rPr>
        <w:t>It should also be noted, that excluding changes in index scores influenced by acute events f</w:t>
      </w:r>
      <w:r w:rsidR="00C0452E">
        <w:rPr>
          <w:rFonts w:cs="Arial"/>
          <w:color w:val="000000" w:themeColor="text1"/>
        </w:rPr>
        <w:t>r</w:t>
      </w:r>
      <w:r w:rsidRPr="00801735">
        <w:rPr>
          <w:rFonts w:cs="Arial"/>
          <w:color w:val="000000" w:themeColor="text1"/>
        </w:rPr>
        <w:t xml:space="preserve">om our analysis may underestimate the influence of water quality on index scores. In addition to reducing capacity for recovery, degraded water quality may also increase the susceptibility of corals to acute disturbance events. Evidence from recent research into the interactions between water quality and </w:t>
      </w:r>
      <w:r w:rsidR="00C24337" w:rsidRPr="00801735">
        <w:rPr>
          <w:rFonts w:cs="Arial"/>
          <w:color w:val="000000" w:themeColor="text1"/>
        </w:rPr>
        <w:t>temperature</w:t>
      </w:r>
      <w:r w:rsidRPr="00801735" w:rsidDel="00657E98">
        <w:rPr>
          <w:rFonts w:cs="Arial"/>
          <w:color w:val="000000" w:themeColor="text1"/>
        </w:rPr>
        <w:t xml:space="preserve"> </w:t>
      </w:r>
      <w:r w:rsidRPr="00801735">
        <w:rPr>
          <w:rFonts w:cs="Arial"/>
          <w:color w:val="000000" w:themeColor="text1"/>
        </w:rPr>
        <w:t xml:space="preserve">suggests that </w:t>
      </w:r>
      <w:r w:rsidR="00A56723">
        <w:rPr>
          <w:rFonts w:cs="Arial"/>
          <w:color w:val="000000" w:themeColor="text1"/>
        </w:rPr>
        <w:t xml:space="preserve">corals </w:t>
      </w:r>
      <w:r w:rsidRPr="00801735">
        <w:rPr>
          <w:rFonts w:cs="Arial"/>
          <w:color w:val="000000" w:themeColor="text1"/>
        </w:rPr>
        <w:t xml:space="preserve">tolerance to heat stress is reduced by exposure to contaminants including nutrients, herbicides and suspended particulate matter (Wooldridge &amp; Done 2004, Negri </w:t>
      </w:r>
      <w:r w:rsidRPr="00801735">
        <w:rPr>
          <w:rFonts w:cs="Arial"/>
          <w:i/>
          <w:color w:val="000000" w:themeColor="text1"/>
        </w:rPr>
        <w:t>et al</w:t>
      </w:r>
      <w:r w:rsidRPr="00801735">
        <w:rPr>
          <w:rFonts w:cs="Arial"/>
          <w:color w:val="000000" w:themeColor="text1"/>
        </w:rPr>
        <w:t xml:space="preserve">. 2011, Wiedenmann </w:t>
      </w:r>
      <w:r w:rsidRPr="00801735">
        <w:rPr>
          <w:rFonts w:cs="Arial"/>
          <w:i/>
          <w:color w:val="000000" w:themeColor="text1"/>
        </w:rPr>
        <w:t>et al</w:t>
      </w:r>
      <w:r w:rsidRPr="00801735">
        <w:rPr>
          <w:rFonts w:cs="Arial"/>
          <w:color w:val="000000" w:themeColor="text1"/>
        </w:rPr>
        <w:t xml:space="preserve">. 2013, Fabricius </w:t>
      </w:r>
      <w:r w:rsidRPr="00801735">
        <w:rPr>
          <w:rFonts w:cs="Arial"/>
          <w:i/>
          <w:color w:val="000000" w:themeColor="text1"/>
        </w:rPr>
        <w:t>et al.</w:t>
      </w:r>
      <w:r w:rsidRPr="00801735">
        <w:rPr>
          <w:rFonts w:cs="Arial"/>
          <w:color w:val="000000" w:themeColor="text1"/>
        </w:rPr>
        <w:t xml:space="preserve"> 2013b, Wooldridge 2016</w:t>
      </w:r>
      <w:r w:rsidR="009765E9" w:rsidRPr="00801735">
        <w:rPr>
          <w:rFonts w:cs="Arial"/>
          <w:color w:val="000000" w:themeColor="text1"/>
        </w:rPr>
        <w:t xml:space="preserve">, Bessell-Browne </w:t>
      </w:r>
      <w:r w:rsidR="009765E9" w:rsidRPr="00801735">
        <w:rPr>
          <w:rFonts w:cs="Arial"/>
          <w:i/>
          <w:color w:val="000000" w:themeColor="text1"/>
        </w:rPr>
        <w:t>et a</w:t>
      </w:r>
      <w:r w:rsidR="009765E9" w:rsidRPr="00801735">
        <w:rPr>
          <w:rFonts w:cs="Arial"/>
          <w:color w:val="000000" w:themeColor="text1"/>
        </w:rPr>
        <w:t>l. 2017</w:t>
      </w:r>
      <w:r w:rsidR="004A1168">
        <w:rPr>
          <w:rFonts w:cs="Arial"/>
          <w:color w:val="000000" w:themeColor="text1"/>
        </w:rPr>
        <w:t>b</w:t>
      </w:r>
      <w:r w:rsidRPr="00801735">
        <w:rPr>
          <w:rFonts w:cs="Arial"/>
          <w:color w:val="000000" w:themeColor="text1"/>
        </w:rPr>
        <w:t xml:space="preserve">). Similarly, increased susceptibility to disease may increase the loss of coral cover attributed to </w:t>
      </w:r>
      <w:r w:rsidR="00926A15">
        <w:rPr>
          <w:rFonts w:cs="Arial"/>
          <w:color w:val="000000" w:themeColor="text1"/>
        </w:rPr>
        <w:t>c</w:t>
      </w:r>
      <w:r w:rsidR="00926A15" w:rsidRPr="00801735">
        <w:rPr>
          <w:rFonts w:cs="Arial"/>
          <w:color w:val="000000" w:themeColor="text1"/>
        </w:rPr>
        <w:t>yclones</w:t>
      </w:r>
      <w:r w:rsidR="00374EFB" w:rsidRPr="00801735">
        <w:rPr>
          <w:rFonts w:cs="Arial"/>
          <w:color w:val="000000" w:themeColor="text1"/>
        </w:rPr>
        <w:t xml:space="preserve">, </w:t>
      </w:r>
      <w:r w:rsidR="00926A15">
        <w:rPr>
          <w:rFonts w:cs="Arial"/>
          <w:color w:val="000000" w:themeColor="text1"/>
        </w:rPr>
        <w:t>f</w:t>
      </w:r>
      <w:r w:rsidR="00926A15" w:rsidRPr="00801735">
        <w:rPr>
          <w:rFonts w:cs="Arial"/>
          <w:color w:val="000000" w:themeColor="text1"/>
        </w:rPr>
        <w:t>loods</w:t>
      </w:r>
      <w:r w:rsidR="00374EFB" w:rsidRPr="00801735">
        <w:rPr>
          <w:rFonts w:cs="Arial"/>
          <w:color w:val="000000" w:themeColor="text1"/>
        </w:rPr>
        <w:t>, or COTS</w:t>
      </w:r>
      <w:r w:rsidRPr="00801735">
        <w:rPr>
          <w:rFonts w:cs="Arial"/>
          <w:color w:val="000000" w:themeColor="text1"/>
        </w:rPr>
        <w:t xml:space="preserve">. With </w:t>
      </w:r>
      <w:r w:rsidR="00C24337" w:rsidRPr="00801735">
        <w:rPr>
          <w:rFonts w:cs="Arial"/>
          <w:color w:val="000000" w:themeColor="text1"/>
        </w:rPr>
        <w:t>widespread bleaching events impacting the Reef in 2016 and 2017 (</w:t>
      </w:r>
      <w:r w:rsidR="00834AA8">
        <w:rPr>
          <w:rFonts w:cs="Arial"/>
          <w:color w:val="000000" w:themeColor="text1"/>
        </w:rPr>
        <w:fldChar w:fldCharType="begin"/>
      </w:r>
      <w:r w:rsidR="00834AA8">
        <w:rPr>
          <w:rFonts w:cs="Arial"/>
          <w:color w:val="000000" w:themeColor="text1"/>
        </w:rPr>
        <w:instrText xml:space="preserve"> REF _Ref500748416 \h </w:instrText>
      </w:r>
      <w:r w:rsidR="00834AA8">
        <w:rPr>
          <w:rFonts w:cs="Arial"/>
          <w:color w:val="000000" w:themeColor="text1"/>
        </w:rPr>
      </w:r>
      <w:r w:rsidR="00834AA8">
        <w:rPr>
          <w:rFonts w:cs="Arial"/>
          <w:color w:val="000000" w:themeColor="text1"/>
        </w:rPr>
        <w:fldChar w:fldCharType="separate"/>
      </w:r>
      <w:r w:rsidR="00A75175">
        <w:t xml:space="preserve">Figure </w:t>
      </w:r>
      <w:r w:rsidR="00A75175">
        <w:rPr>
          <w:noProof/>
        </w:rPr>
        <w:t>24</w:t>
      </w:r>
      <w:r w:rsidR="00834AA8">
        <w:rPr>
          <w:rFonts w:cs="Arial"/>
          <w:color w:val="000000" w:themeColor="text1"/>
        </w:rPr>
        <w:fldChar w:fldCharType="end"/>
      </w:r>
      <w:r w:rsidR="00834AA8">
        <w:rPr>
          <w:rFonts w:cs="Arial"/>
          <w:color w:val="000000" w:themeColor="text1"/>
        </w:rPr>
        <w:t xml:space="preserve">, Hughes </w:t>
      </w:r>
      <w:r w:rsidR="00834AA8" w:rsidRPr="00DA3A00">
        <w:rPr>
          <w:rFonts w:cs="Arial"/>
          <w:i/>
          <w:color w:val="000000" w:themeColor="text1"/>
        </w:rPr>
        <w:t>et al.</w:t>
      </w:r>
      <w:r w:rsidR="00834AA8">
        <w:rPr>
          <w:rFonts w:cs="Arial"/>
          <w:color w:val="000000" w:themeColor="text1"/>
        </w:rPr>
        <w:t xml:space="preserve"> 2017</w:t>
      </w:r>
      <w:r w:rsidR="00C24337" w:rsidRPr="00801735">
        <w:rPr>
          <w:rFonts w:cs="Arial"/>
          <w:color w:val="000000" w:themeColor="text1"/>
        </w:rPr>
        <w:t xml:space="preserve">) </w:t>
      </w:r>
      <w:r w:rsidR="00801735" w:rsidRPr="00801735">
        <w:rPr>
          <w:rFonts w:cs="Arial"/>
          <w:color w:val="000000" w:themeColor="text1"/>
        </w:rPr>
        <w:t xml:space="preserve">the interaction between </w:t>
      </w:r>
      <w:r w:rsidRPr="00801735">
        <w:rPr>
          <w:rFonts w:cs="Arial"/>
          <w:color w:val="000000" w:themeColor="text1"/>
        </w:rPr>
        <w:t xml:space="preserve">water quality conditions and temperature </w:t>
      </w:r>
      <w:r w:rsidR="00801735" w:rsidRPr="00801735">
        <w:rPr>
          <w:rFonts w:cs="Arial"/>
          <w:color w:val="000000" w:themeColor="text1"/>
        </w:rPr>
        <w:t>on the fate of corals remains an ongoing concern</w:t>
      </w:r>
      <w:r w:rsidRPr="00801735">
        <w:rPr>
          <w:rFonts w:cs="Arial"/>
          <w:color w:val="000000" w:themeColor="text1"/>
        </w:rPr>
        <w:t xml:space="preserve">. </w:t>
      </w:r>
    </w:p>
    <w:p w14:paraId="17EB0375" w14:textId="77777777" w:rsidR="00A462A9" w:rsidRPr="00F352E1" w:rsidRDefault="00607BCA" w:rsidP="00607BCA">
      <w:pPr>
        <w:pStyle w:val="Heading3"/>
      </w:pPr>
      <w:bookmarkStart w:id="272" w:name="_Toc514408423"/>
      <w:r>
        <w:t xml:space="preserve">6.2.2 </w:t>
      </w:r>
      <w:r w:rsidR="00A462A9" w:rsidRPr="00F352E1">
        <w:t>Coral cover</w:t>
      </w:r>
      <w:bookmarkEnd w:id="272"/>
    </w:p>
    <w:p w14:paraId="2DF05681" w14:textId="2E7D78F6" w:rsidR="00A462A9" w:rsidRPr="00F352E1" w:rsidRDefault="00A462A9" w:rsidP="00A462A9">
      <w:pPr>
        <w:rPr>
          <w:rFonts w:cs="Arial"/>
          <w:color w:val="4F81BD" w:themeColor="accent1"/>
        </w:rPr>
      </w:pPr>
      <w:r w:rsidRPr="00BE06B6">
        <w:rPr>
          <w:rFonts w:cs="Arial"/>
        </w:rPr>
        <w:t xml:space="preserve">For corals to persist in a location they need to be able to survive extremes in environmental conditions but also maintain a competitive ability under ambient conditions. Although </w:t>
      </w:r>
      <w:r w:rsidR="00B279E4">
        <w:rPr>
          <w:rFonts w:cs="Arial"/>
        </w:rPr>
        <w:t xml:space="preserve">low scores for the </w:t>
      </w:r>
      <w:r w:rsidRPr="00BE06B6">
        <w:rPr>
          <w:rFonts w:cs="Arial"/>
        </w:rPr>
        <w:t>coral cover metri</w:t>
      </w:r>
      <w:r w:rsidR="00B279E4">
        <w:rPr>
          <w:rFonts w:cs="Arial"/>
        </w:rPr>
        <w:t xml:space="preserve">c often occur due to losses experienced as a result of acute </w:t>
      </w:r>
      <w:r w:rsidRPr="00BE06B6">
        <w:rPr>
          <w:rFonts w:cs="Arial"/>
        </w:rPr>
        <w:t xml:space="preserve"> disturbance, low cover, as a response to water quality pressures, can also be inferred from our analyses.</w:t>
      </w:r>
      <w:r w:rsidRPr="00F352E1">
        <w:rPr>
          <w:rFonts w:cs="Arial"/>
          <w:color w:val="4F81BD" w:themeColor="accent1"/>
        </w:rPr>
        <w:t xml:space="preserve"> </w:t>
      </w:r>
      <w:r w:rsidRPr="00801735">
        <w:rPr>
          <w:rFonts w:cs="Arial"/>
          <w:color w:val="000000" w:themeColor="text1"/>
        </w:rPr>
        <w:t xml:space="preserve">In </w:t>
      </w:r>
      <w:r w:rsidR="00801735" w:rsidRPr="00801735">
        <w:rPr>
          <w:rFonts w:cs="Arial"/>
          <w:color w:val="000000" w:themeColor="text1"/>
        </w:rPr>
        <w:t>2017</w:t>
      </w:r>
      <w:r w:rsidRPr="00801735">
        <w:rPr>
          <w:rFonts w:cs="Arial"/>
          <w:color w:val="000000" w:themeColor="text1"/>
        </w:rPr>
        <w:t xml:space="preserve">, coral cover was higher at reefs with low Chl </w:t>
      </w:r>
      <w:r w:rsidRPr="00801735">
        <w:rPr>
          <w:rFonts w:cs="Arial"/>
          <w:i/>
          <w:color w:val="000000" w:themeColor="text1"/>
        </w:rPr>
        <w:t xml:space="preserve">a </w:t>
      </w:r>
      <w:r w:rsidRPr="00801735">
        <w:rPr>
          <w:rFonts w:cs="Arial"/>
          <w:color w:val="000000" w:themeColor="text1"/>
        </w:rPr>
        <w:t xml:space="preserve">levels. In addition, there are a number of reefs monitored at which coral cover has remained low </w:t>
      </w:r>
      <w:r w:rsidR="00DE5DFF">
        <w:rPr>
          <w:rFonts w:cs="Arial"/>
          <w:color w:val="000000" w:themeColor="text1"/>
        </w:rPr>
        <w:t xml:space="preserve">rather than recovering </w:t>
      </w:r>
      <w:r w:rsidRPr="00801735">
        <w:rPr>
          <w:rFonts w:cs="Arial"/>
          <w:color w:val="000000" w:themeColor="text1"/>
        </w:rPr>
        <w:t xml:space="preserve">during periods free from acute disturbance events. The majority of these reefs have had a persistent cover of macroalgae; an attribute of benthic communities linked to high Chl </w:t>
      </w:r>
      <w:r w:rsidRPr="00801735">
        <w:rPr>
          <w:rFonts w:cs="Arial"/>
          <w:i/>
          <w:color w:val="000000" w:themeColor="text1"/>
        </w:rPr>
        <w:t xml:space="preserve">a </w:t>
      </w:r>
      <w:r w:rsidRPr="00801735">
        <w:rPr>
          <w:rFonts w:cs="Arial"/>
          <w:color w:val="000000" w:themeColor="text1"/>
        </w:rPr>
        <w:t>levels.</w:t>
      </w:r>
      <w:r w:rsidR="00E75F5C" w:rsidRPr="00801735">
        <w:rPr>
          <w:rFonts w:cs="Arial"/>
          <w:color w:val="000000" w:themeColor="text1"/>
        </w:rPr>
        <w:t xml:space="preserve"> </w:t>
      </w:r>
      <w:r w:rsidRPr="00801735">
        <w:rPr>
          <w:rFonts w:cs="Arial"/>
          <w:color w:val="000000" w:themeColor="text1"/>
        </w:rPr>
        <w:t xml:space="preserve">High turbidity </w:t>
      </w:r>
      <w:r w:rsidRPr="00BE06B6">
        <w:rPr>
          <w:rFonts w:cs="Arial"/>
        </w:rPr>
        <w:t xml:space="preserve">or nutrient levels do not, however, preclude high cover of corals on inshore reefs. There is ample evidence from the data presented in this report along with other studies (e.g. Sweatman </w:t>
      </w:r>
      <w:r w:rsidRPr="00BE06B6">
        <w:rPr>
          <w:rFonts w:cs="Arial"/>
          <w:i/>
        </w:rPr>
        <w:t>et al.</w:t>
      </w:r>
      <w:r w:rsidRPr="00BE06B6">
        <w:rPr>
          <w:rFonts w:cs="Arial"/>
        </w:rPr>
        <w:t xml:space="preserve"> 2007, Brown </w:t>
      </w:r>
      <w:r w:rsidRPr="00BE06B6">
        <w:rPr>
          <w:rFonts w:cs="Arial"/>
          <w:i/>
        </w:rPr>
        <w:t>et al.</w:t>
      </w:r>
      <w:r w:rsidRPr="00BE06B6">
        <w:rPr>
          <w:rFonts w:cs="Arial"/>
        </w:rPr>
        <w:t xml:space="preserve"> 2010, Morgan </w:t>
      </w:r>
      <w:r w:rsidRPr="00BE06B6">
        <w:rPr>
          <w:rFonts w:cs="Arial"/>
          <w:i/>
        </w:rPr>
        <w:t>et al.</w:t>
      </w:r>
      <w:r w:rsidRPr="00BE06B6">
        <w:rPr>
          <w:rFonts w:cs="Arial"/>
        </w:rPr>
        <w:t xml:space="preserve"> 2016) that reefs in highly turbid settings can support very high cover of species tolerant to those conditions.</w:t>
      </w:r>
      <w:r w:rsidR="00E75F5C" w:rsidRPr="00BE06B6">
        <w:rPr>
          <w:rFonts w:cs="Arial"/>
        </w:rPr>
        <w:t xml:space="preserve"> </w:t>
      </w:r>
      <w:r w:rsidRPr="00BE06B6">
        <w:rPr>
          <w:rFonts w:cs="Arial"/>
        </w:rPr>
        <w:t xml:space="preserve">Despite claims for high diversity in turbid habitats based on aggregated diversity over a variety of microhabitats (Brown </w:t>
      </w:r>
      <w:r w:rsidRPr="00BE06B6">
        <w:rPr>
          <w:rFonts w:cs="Arial"/>
          <w:i/>
        </w:rPr>
        <w:t>et al.</w:t>
      </w:r>
      <w:r w:rsidRPr="00BE06B6">
        <w:rPr>
          <w:rFonts w:cs="Arial"/>
        </w:rPr>
        <w:t xml:space="preserve"> 2010, Morgan </w:t>
      </w:r>
      <w:r w:rsidRPr="00BE06B6">
        <w:rPr>
          <w:rFonts w:cs="Arial"/>
          <w:i/>
        </w:rPr>
        <w:t>et al.</w:t>
      </w:r>
      <w:r w:rsidRPr="00BE06B6">
        <w:rPr>
          <w:rFonts w:cs="Arial"/>
        </w:rPr>
        <w:t xml:space="preserve"> 2016), from sites that control for depth and exposure to wave energy, it is evident that as turbidity increases, high coral cover typically results from relatively few species tolerant of their local environment</w:t>
      </w:r>
      <w:r w:rsidR="00A56723">
        <w:rPr>
          <w:rFonts w:cs="Arial"/>
        </w:rPr>
        <w:t>, particularly at deeper depths</w:t>
      </w:r>
      <w:r w:rsidRPr="00BE06B6">
        <w:rPr>
          <w:rFonts w:cs="Arial"/>
        </w:rPr>
        <w:t xml:space="preserve"> (De Vantier </w:t>
      </w:r>
      <w:r w:rsidRPr="00BE06B6">
        <w:rPr>
          <w:rFonts w:cs="Arial"/>
          <w:i/>
        </w:rPr>
        <w:t>et al.</w:t>
      </w:r>
      <w:r w:rsidRPr="00BE06B6">
        <w:rPr>
          <w:rFonts w:cs="Arial"/>
        </w:rPr>
        <w:t xml:space="preserve"> 2006, Sweatman </w:t>
      </w:r>
      <w:r w:rsidRPr="00BE06B6">
        <w:rPr>
          <w:rFonts w:cs="Arial"/>
          <w:i/>
        </w:rPr>
        <w:t>et al.</w:t>
      </w:r>
      <w:r w:rsidRPr="00BE06B6">
        <w:rPr>
          <w:rFonts w:cs="Arial"/>
        </w:rPr>
        <w:t xml:space="preserve"> 2007).</w:t>
      </w:r>
      <w:r w:rsidRPr="00F352E1">
        <w:rPr>
          <w:rFonts w:cs="Arial"/>
          <w:color w:val="4F81BD" w:themeColor="accent1"/>
        </w:rPr>
        <w:t xml:space="preserve"> </w:t>
      </w:r>
    </w:p>
    <w:p w14:paraId="783352C6" w14:textId="77777777" w:rsidR="00A462A9" w:rsidRPr="0030520F" w:rsidRDefault="00607BCA" w:rsidP="00607BCA">
      <w:pPr>
        <w:pStyle w:val="Heading3"/>
      </w:pPr>
      <w:bookmarkStart w:id="273" w:name="_Toc514408424"/>
      <w:r>
        <w:t xml:space="preserve">6.2.3 </w:t>
      </w:r>
      <w:r w:rsidR="00A462A9" w:rsidRPr="0030520F">
        <w:t>Rate of change in coral cover</w:t>
      </w:r>
      <w:bookmarkEnd w:id="273"/>
    </w:p>
    <w:p w14:paraId="0843BC22" w14:textId="0203100D" w:rsidR="00E97D06" w:rsidRPr="00F352E1" w:rsidRDefault="00A462A9" w:rsidP="00E97D06">
      <w:pPr>
        <w:rPr>
          <w:rFonts w:cs="Arial"/>
          <w:color w:val="4F81BD" w:themeColor="accent1"/>
        </w:rPr>
      </w:pPr>
      <w:r w:rsidRPr="0030520F">
        <w:rPr>
          <w:rFonts w:cs="Arial"/>
        </w:rPr>
        <w:t xml:space="preserve">The Coral Change metric assesses the rate of change in coral cover (growth) during years free from acute disturbances. An adequate rate of coral cover increase is essential to ensure the long-term balance between cover lost to disturbances and that regained under ambient conditions. </w:t>
      </w:r>
      <w:r w:rsidR="00E97D06">
        <w:rPr>
          <w:rFonts w:cs="Arial"/>
        </w:rPr>
        <w:t xml:space="preserve">Within regions the Coral Change metric scores are often highly variable. Such variability is likely due to a combination of both sampling error and real responses as communities are differentially exposed to pressures in both space and time. The formulation of this metric includes the averaging of estimates over a four year period so as to allow averaging over potential sampling error. Unfortunately the move to a biennial sampling and the multiple disturbances recorded over the life of the program mean that the scores representing a mean over a four year period may represent estimates derived from a single observation of cover change. It was partly to account for this that the program adopted a contingency sampling to ensure visitation of reefs following disturbances and so improve the data available from which to estimate scores for this metric. Ideally reefs would be sampled annually to maximise the observations available to updating scores for this metric. Differences between reefs or through time should be expected given the likelihood of variable exposure, but also susceptibility, of communities to pressures that suppress the rate at which coral cover increases. </w:t>
      </w:r>
    </w:p>
    <w:p w14:paraId="63FB73CF" w14:textId="77777777" w:rsidR="00A462A9" w:rsidRDefault="001A4830" w:rsidP="00A462A9">
      <w:pPr>
        <w:rPr>
          <w:rFonts w:cs="Arial"/>
        </w:rPr>
      </w:pPr>
      <w:r>
        <w:rPr>
          <w:rFonts w:cs="Arial"/>
        </w:rPr>
        <w:t xml:space="preserve">The widespread disturbances influencing inshore reefs over the 2016/17 summer precluded the use of 2017 data to update scores for this metric and most reefs. Rather, scores represent the recovery demonstrated by coral communities in the 2 to 3 years prior to these disturbances. </w:t>
      </w:r>
      <w:r w:rsidRPr="00ED2CA9">
        <w:rPr>
          <w:rFonts w:cs="Arial"/>
        </w:rPr>
        <w:t xml:space="preserve">Scores for this indicator increased through to 2016, coincident with relatively low inputs from the catchments. The exception was the Johnstone Russell-Mulgrave sub-region where there was no improvement, a result potentially influenced by ongoing low densities of COTS on these reefs. Prior to this, </w:t>
      </w:r>
      <w:r>
        <w:rPr>
          <w:rFonts w:cs="Arial"/>
        </w:rPr>
        <w:t>Cover Change scores</w:t>
      </w:r>
      <w:r w:rsidR="00A462A9" w:rsidRPr="0030520F">
        <w:rPr>
          <w:rFonts w:cs="Arial"/>
        </w:rPr>
        <w:t xml:space="preserve"> either declined</w:t>
      </w:r>
      <w:r w:rsidR="00515D38" w:rsidRPr="0030520F">
        <w:rPr>
          <w:rFonts w:cs="Arial"/>
        </w:rPr>
        <w:t>,</w:t>
      </w:r>
      <w:r w:rsidR="00A462A9" w:rsidRPr="0030520F">
        <w:rPr>
          <w:rFonts w:cs="Arial"/>
        </w:rPr>
        <w:t xml:space="preserve"> or remained stable</w:t>
      </w:r>
      <w:r w:rsidR="00515D38" w:rsidRPr="0030520F">
        <w:rPr>
          <w:rFonts w:cs="Arial"/>
        </w:rPr>
        <w:t>,</w:t>
      </w:r>
      <w:r w:rsidR="00A462A9" w:rsidRPr="0030520F">
        <w:rPr>
          <w:rFonts w:cs="Arial"/>
        </w:rPr>
        <w:t xml:space="preserve"> as index scores within each region declined to low points between 2012 and 2014</w:t>
      </w:r>
      <w:r w:rsidR="00515D38" w:rsidRPr="0030520F">
        <w:rPr>
          <w:rFonts w:cs="Arial"/>
        </w:rPr>
        <w:t>;</w:t>
      </w:r>
      <w:r w:rsidR="00A462A9" w:rsidRPr="0030520F">
        <w:rPr>
          <w:rFonts w:cs="Arial"/>
        </w:rPr>
        <w:t xml:space="preserve"> a period that coincided broadly with the period of high loads of sediments and nutrients entering the Reef (Joo </w:t>
      </w:r>
      <w:r w:rsidR="00A462A9" w:rsidRPr="0030520F">
        <w:rPr>
          <w:rFonts w:cs="Arial"/>
          <w:i/>
        </w:rPr>
        <w:t>et al.</w:t>
      </w:r>
      <w:r w:rsidR="00A462A9" w:rsidRPr="0030520F">
        <w:rPr>
          <w:rFonts w:cs="Arial"/>
        </w:rPr>
        <w:t xml:space="preserve"> 2012, Turner </w:t>
      </w:r>
      <w:r w:rsidR="00A462A9" w:rsidRPr="0030520F">
        <w:rPr>
          <w:rFonts w:cs="Arial"/>
          <w:i/>
        </w:rPr>
        <w:t>et al.</w:t>
      </w:r>
      <w:r w:rsidR="00A462A9" w:rsidRPr="0030520F">
        <w:rPr>
          <w:rFonts w:cs="Arial"/>
        </w:rPr>
        <w:t xml:space="preserve"> 2012, 2013, Wallace </w:t>
      </w:r>
      <w:r w:rsidR="00A462A9" w:rsidRPr="0030520F">
        <w:rPr>
          <w:rFonts w:cs="Arial"/>
          <w:i/>
        </w:rPr>
        <w:t>et al.</w:t>
      </w:r>
      <w:r w:rsidR="00A462A9" w:rsidRPr="0030520F">
        <w:rPr>
          <w:rFonts w:cs="Arial"/>
        </w:rPr>
        <w:t xml:space="preserve"> 2014, 2015). During this period the most evident changes in marine water quality were increased concentration of dissolved oxides of nitrogen and dissolved inorganic carbon (</w:t>
      </w:r>
      <w:r w:rsidR="00A462A9" w:rsidRPr="0030520F">
        <w:rPr>
          <w:rFonts w:cs="Arial"/>
          <w:lang w:eastAsia="en-AU"/>
        </w:rPr>
        <w:t>Lønborg</w:t>
      </w:r>
      <w:r w:rsidR="00A462A9" w:rsidRPr="0030520F">
        <w:rPr>
          <w:rFonts w:cs="Arial"/>
        </w:rPr>
        <w:t xml:space="preserve"> </w:t>
      </w:r>
      <w:r w:rsidR="00A462A9" w:rsidRPr="0030520F">
        <w:rPr>
          <w:rFonts w:cs="Arial"/>
          <w:i/>
        </w:rPr>
        <w:t>et al.</w:t>
      </w:r>
      <w:r w:rsidR="00A462A9" w:rsidRPr="0030520F">
        <w:rPr>
          <w:rFonts w:cs="Arial"/>
        </w:rPr>
        <w:t xml:space="preserve"> 2015). </w:t>
      </w:r>
      <w:r w:rsidR="00A462A9" w:rsidRPr="0030520F">
        <w:rPr>
          <w:rFonts w:cs="Arial"/>
          <w:lang w:eastAsia="en-AU"/>
        </w:rPr>
        <w:t xml:space="preserve">Dissolved inorganic carbon constitutes the major carbon source for heterotrophic microbial growth in marine pelagic systems (e.g. Lønborg </w:t>
      </w:r>
      <w:r w:rsidR="00A462A9" w:rsidRPr="0030520F">
        <w:rPr>
          <w:rFonts w:cs="Arial"/>
          <w:i/>
          <w:lang w:eastAsia="en-AU"/>
        </w:rPr>
        <w:t>et al.</w:t>
      </w:r>
      <w:r w:rsidR="00A462A9" w:rsidRPr="0030520F">
        <w:rPr>
          <w:rFonts w:cs="Arial"/>
          <w:lang w:eastAsia="en-AU"/>
        </w:rPr>
        <w:t xml:space="preserve"> 2011) and increases in DOC </w:t>
      </w:r>
      <w:r w:rsidR="00A462A9" w:rsidRPr="0030520F">
        <w:rPr>
          <w:rFonts w:cs="Arial"/>
        </w:rPr>
        <w:t>have been shown to promote m</w:t>
      </w:r>
      <w:r w:rsidR="00A462A9" w:rsidRPr="0030520F">
        <w:rPr>
          <w:rFonts w:cs="Arial"/>
          <w:lang w:eastAsia="en-AU"/>
        </w:rPr>
        <w:t xml:space="preserve">icrobial activity and </w:t>
      </w:r>
      <w:r w:rsidR="00A462A9" w:rsidRPr="0030520F">
        <w:rPr>
          <w:rFonts w:cs="Arial"/>
        </w:rPr>
        <w:t xml:space="preserve">coral diseases (Kline </w:t>
      </w:r>
      <w:r w:rsidR="00A462A9" w:rsidRPr="0030520F">
        <w:rPr>
          <w:rFonts w:cs="Arial"/>
          <w:i/>
        </w:rPr>
        <w:t>et al.</w:t>
      </w:r>
      <w:r w:rsidR="00A462A9" w:rsidRPr="0030520F">
        <w:rPr>
          <w:rFonts w:cs="Arial"/>
        </w:rPr>
        <w:t xml:space="preserve"> 2006, Kuntz </w:t>
      </w:r>
      <w:r w:rsidR="00A462A9" w:rsidRPr="0030520F">
        <w:rPr>
          <w:rFonts w:cs="Arial"/>
          <w:i/>
        </w:rPr>
        <w:t>et al.</w:t>
      </w:r>
      <w:r w:rsidR="00A462A9" w:rsidRPr="0030520F">
        <w:rPr>
          <w:rFonts w:cs="Arial"/>
        </w:rPr>
        <w:t xml:space="preserve"> 2005). In each region</w:t>
      </w:r>
      <w:r w:rsidR="00EF6A72">
        <w:rPr>
          <w:rFonts w:cs="Arial"/>
        </w:rPr>
        <w:t>,</w:t>
      </w:r>
      <w:r w:rsidR="00A462A9" w:rsidRPr="0030520F">
        <w:rPr>
          <w:rFonts w:cs="Arial"/>
        </w:rPr>
        <w:t xml:space="preserve"> we noted peaks in coral disease that corresponded to either the onset of floodin</w:t>
      </w:r>
      <w:r w:rsidR="00EF6A72">
        <w:rPr>
          <w:rFonts w:cs="Arial"/>
        </w:rPr>
        <w:t>g</w:t>
      </w:r>
      <w:r w:rsidR="00A462A9" w:rsidRPr="0030520F">
        <w:rPr>
          <w:rFonts w:cs="Arial"/>
        </w:rPr>
        <w:t xml:space="preserve"> or, in the case of the Johnstone Russell-Mulgrave </w:t>
      </w:r>
      <w:r w:rsidR="003F2219">
        <w:rPr>
          <w:rFonts w:cs="Arial"/>
        </w:rPr>
        <w:t>R</w:t>
      </w:r>
      <w:r w:rsidR="003F2219" w:rsidRPr="0030520F">
        <w:rPr>
          <w:rFonts w:cs="Arial"/>
        </w:rPr>
        <w:t>egion</w:t>
      </w:r>
      <w:r w:rsidR="00A462A9" w:rsidRPr="0030520F">
        <w:rPr>
          <w:rFonts w:cs="Arial"/>
        </w:rPr>
        <w:t>, flooding in catchments to the south. The conclusion that environmental conditions associated with increased loads of sediments and nutrients have been sufficiently stressful to corals to reduce growth rates</w:t>
      </w:r>
      <w:r w:rsidR="00801735">
        <w:rPr>
          <w:rFonts w:cs="Arial"/>
        </w:rPr>
        <w:t>,</w:t>
      </w:r>
      <w:r w:rsidR="00A462A9" w:rsidRPr="0030520F">
        <w:rPr>
          <w:rFonts w:cs="Arial"/>
        </w:rPr>
        <w:t xml:space="preserve"> and/or induce disease in susceptible species</w:t>
      </w:r>
      <w:r w:rsidR="00801735">
        <w:rPr>
          <w:rFonts w:cs="Arial"/>
        </w:rPr>
        <w:t>,</w:t>
      </w:r>
      <w:r w:rsidR="00A462A9" w:rsidRPr="0030520F">
        <w:rPr>
          <w:rFonts w:cs="Arial"/>
        </w:rPr>
        <w:t xml:space="preserve"> is consistent with previous observations linking nutrients and organic matter availability to higher incidence and severity of coral disease (Bruno </w:t>
      </w:r>
      <w:r w:rsidR="00A462A9" w:rsidRPr="0030520F">
        <w:rPr>
          <w:rFonts w:cs="Arial"/>
          <w:i/>
        </w:rPr>
        <w:t>et al.</w:t>
      </w:r>
      <w:r w:rsidR="00A462A9" w:rsidRPr="0030520F">
        <w:rPr>
          <w:rFonts w:cs="Arial"/>
        </w:rPr>
        <w:t xml:space="preserve"> 2003, Haapkylä </w:t>
      </w:r>
      <w:r w:rsidR="00A462A9" w:rsidRPr="0030520F">
        <w:rPr>
          <w:rFonts w:cs="Arial"/>
          <w:i/>
        </w:rPr>
        <w:t>et al</w:t>
      </w:r>
      <w:r w:rsidR="00A462A9" w:rsidRPr="0030520F">
        <w:rPr>
          <w:rFonts w:cs="Arial"/>
        </w:rPr>
        <w:t xml:space="preserve">. 2011, Weber </w:t>
      </w:r>
      <w:r w:rsidR="00A462A9" w:rsidRPr="0030520F">
        <w:rPr>
          <w:rFonts w:cs="Arial"/>
          <w:i/>
        </w:rPr>
        <w:t>et al.</w:t>
      </w:r>
      <w:r w:rsidR="00A462A9" w:rsidRPr="0030520F">
        <w:rPr>
          <w:rFonts w:cs="Arial"/>
        </w:rPr>
        <w:t xml:space="preserve"> 2012, Vega Thurber </w:t>
      </w:r>
      <w:r w:rsidR="00A462A9" w:rsidRPr="0030520F">
        <w:rPr>
          <w:rFonts w:cs="Arial"/>
          <w:i/>
        </w:rPr>
        <w:t>et al.</w:t>
      </w:r>
      <w:r w:rsidR="00A462A9" w:rsidRPr="0030520F">
        <w:rPr>
          <w:rFonts w:cs="Arial"/>
        </w:rPr>
        <w:t xml:space="preserve"> 2013).</w:t>
      </w:r>
      <w:r w:rsidR="00E75F5C" w:rsidRPr="0030520F">
        <w:rPr>
          <w:rFonts w:cs="Arial"/>
        </w:rPr>
        <w:t xml:space="preserve"> </w:t>
      </w:r>
    </w:p>
    <w:p w14:paraId="4096AC08" w14:textId="77777777" w:rsidR="00A462A9" w:rsidRPr="00F352E1" w:rsidRDefault="00607BCA" w:rsidP="00607BCA">
      <w:pPr>
        <w:pStyle w:val="Heading3"/>
      </w:pPr>
      <w:bookmarkStart w:id="274" w:name="_Toc514408425"/>
      <w:r>
        <w:t xml:space="preserve">6.2.4 </w:t>
      </w:r>
      <w:r w:rsidR="00A462A9" w:rsidRPr="00F352E1">
        <w:t>Composition</w:t>
      </w:r>
      <w:bookmarkEnd w:id="274"/>
    </w:p>
    <w:p w14:paraId="6F5294F5" w14:textId="19AF8E04" w:rsidR="001C7792" w:rsidRDefault="00A462A9" w:rsidP="00A462A9">
      <w:pPr>
        <w:rPr>
          <w:rFonts w:cs="Arial"/>
          <w:color w:val="4F81BD" w:themeColor="accent1"/>
        </w:rPr>
      </w:pPr>
      <w:r w:rsidRPr="0030520F">
        <w:rPr>
          <w:rFonts w:cs="Arial"/>
        </w:rPr>
        <w:t xml:space="preserve">It is well documented that compositional differences in coral communities occur along environmental gradients (Done 1982, van Woesik &amp; Done 1997, van Woesik </w:t>
      </w:r>
      <w:r w:rsidRPr="0030520F">
        <w:rPr>
          <w:rFonts w:cs="Arial"/>
          <w:i/>
        </w:rPr>
        <w:t>et al.</w:t>
      </w:r>
      <w:r w:rsidRPr="0030520F">
        <w:rPr>
          <w:rFonts w:cs="Arial"/>
        </w:rPr>
        <w:t xml:space="preserve"> 1999, Fabricius </w:t>
      </w:r>
      <w:r w:rsidRPr="0030520F">
        <w:rPr>
          <w:rFonts w:cs="Arial"/>
          <w:i/>
        </w:rPr>
        <w:t>et al.</w:t>
      </w:r>
      <w:r w:rsidRPr="0030520F">
        <w:rPr>
          <w:rFonts w:cs="Arial"/>
        </w:rPr>
        <w:t xml:space="preserve"> 2005, De’ath &amp; Fabricius 2008, Browne </w:t>
      </w:r>
      <w:r w:rsidRPr="0030520F">
        <w:rPr>
          <w:rFonts w:cs="Arial"/>
          <w:i/>
        </w:rPr>
        <w:t>et al</w:t>
      </w:r>
      <w:r w:rsidRPr="0030520F">
        <w:rPr>
          <w:rFonts w:cs="Arial"/>
        </w:rPr>
        <w:t xml:space="preserve">. 2010, De’ath &amp; Fabricius 2010, Thompson </w:t>
      </w:r>
      <w:r w:rsidRPr="0030520F">
        <w:rPr>
          <w:rFonts w:cs="Arial"/>
          <w:i/>
        </w:rPr>
        <w:t>et al.</w:t>
      </w:r>
      <w:r w:rsidR="00FC7695" w:rsidRPr="0030520F">
        <w:rPr>
          <w:rFonts w:cs="Arial"/>
        </w:rPr>
        <w:t xml:space="preserve"> 2010</w:t>
      </w:r>
      <w:r w:rsidRPr="0030520F">
        <w:rPr>
          <w:rFonts w:cs="Arial"/>
        </w:rPr>
        <w:t xml:space="preserve">, Uthicke </w:t>
      </w:r>
      <w:r w:rsidRPr="0030520F">
        <w:rPr>
          <w:rFonts w:cs="Arial"/>
          <w:i/>
        </w:rPr>
        <w:t>et al</w:t>
      </w:r>
      <w:r w:rsidRPr="0030520F">
        <w:rPr>
          <w:rFonts w:cs="Arial"/>
        </w:rPr>
        <w:t xml:space="preserve">. 2010, Browne </w:t>
      </w:r>
      <w:r w:rsidRPr="0030520F">
        <w:rPr>
          <w:rFonts w:cs="Arial"/>
          <w:i/>
        </w:rPr>
        <w:t>et al</w:t>
      </w:r>
      <w:r w:rsidRPr="0030520F">
        <w:rPr>
          <w:rFonts w:cs="Arial"/>
        </w:rPr>
        <w:t xml:space="preserve">. 2012, Fabricius </w:t>
      </w:r>
      <w:r w:rsidRPr="0030520F">
        <w:rPr>
          <w:rFonts w:cs="Arial"/>
          <w:i/>
        </w:rPr>
        <w:t>et al</w:t>
      </w:r>
      <w:r w:rsidRPr="0030520F">
        <w:rPr>
          <w:rFonts w:cs="Arial"/>
        </w:rPr>
        <w:t>. 2012). The relationships between disease and altered environmental conditions, discussed above, demonstrates the dynamic nature of coral community selection occurring on inshore reefs. Sensitive species gain a foo</w:t>
      </w:r>
      <w:r w:rsidR="00EF6A72">
        <w:rPr>
          <w:rFonts w:cs="Arial"/>
        </w:rPr>
        <w:t>t-hold during relatively benign conditions</w:t>
      </w:r>
      <w:r w:rsidRPr="0030520F">
        <w:rPr>
          <w:rFonts w:cs="Arial"/>
        </w:rPr>
        <w:t xml:space="preserve"> only to be removed during periods when environmental conditions are beyond their tolerance. The coral community composition indicator has tended to track the trend in coral cover indicating the disproportionate loss, and subsequent recovery, of genera sensitive to water quality.</w:t>
      </w:r>
      <w:r w:rsidR="00373445">
        <w:rPr>
          <w:rFonts w:cs="Arial"/>
        </w:rPr>
        <w:t xml:space="preserve"> The was however some evidence that the probability the scores for this metric in 2017 had declined relative to baseline conditions set in 2005-2008 </w:t>
      </w:r>
      <w:r w:rsidR="00035EA5">
        <w:rPr>
          <w:rFonts w:cs="Arial"/>
        </w:rPr>
        <w:t xml:space="preserve">was positively related to the long-term mean wet season exceedance of Chl </w:t>
      </w:r>
      <w:r w:rsidR="00035EA5" w:rsidRPr="00C82ABC">
        <w:rPr>
          <w:rFonts w:cs="Arial"/>
          <w:i/>
        </w:rPr>
        <w:t>a</w:t>
      </w:r>
      <w:r w:rsidR="00035EA5">
        <w:rPr>
          <w:rFonts w:cs="Arial"/>
        </w:rPr>
        <w:t xml:space="preserve"> concentration at the reefs surveyed, suggesting either recovery is slightly retarded at this reefs or communities are in chronic decline.</w:t>
      </w:r>
    </w:p>
    <w:p w14:paraId="4E2963FA" w14:textId="0A7BA8BB" w:rsidR="00A462A9" w:rsidRPr="001C7792" w:rsidRDefault="001C7792" w:rsidP="00A462A9">
      <w:pPr>
        <w:rPr>
          <w:rFonts w:cs="Arial"/>
          <w:color w:val="000000" w:themeColor="text1"/>
        </w:rPr>
      </w:pPr>
      <w:r w:rsidRPr="001C7792">
        <w:rPr>
          <w:rFonts w:cs="Arial"/>
          <w:color w:val="000000" w:themeColor="text1"/>
        </w:rPr>
        <w:t xml:space="preserve">The genus most susceptible to poor water quality is </w:t>
      </w:r>
      <w:r w:rsidRPr="001C7792">
        <w:rPr>
          <w:rFonts w:cs="Arial"/>
          <w:i/>
          <w:color w:val="000000" w:themeColor="text1"/>
        </w:rPr>
        <w:t>Acropora</w:t>
      </w:r>
      <w:r w:rsidRPr="001C7792">
        <w:rPr>
          <w:rFonts w:cs="Arial"/>
          <w:color w:val="000000" w:themeColor="text1"/>
        </w:rPr>
        <w:t xml:space="preserve">. As </w:t>
      </w:r>
      <w:r w:rsidRPr="001C7792">
        <w:rPr>
          <w:rFonts w:cs="Arial"/>
          <w:i/>
          <w:color w:val="000000" w:themeColor="text1"/>
        </w:rPr>
        <w:t>Acropora</w:t>
      </w:r>
      <w:r w:rsidRPr="001C7792">
        <w:rPr>
          <w:rFonts w:cs="Arial"/>
          <w:color w:val="000000" w:themeColor="text1"/>
        </w:rPr>
        <w:t xml:space="preserve"> are </w:t>
      </w:r>
      <w:r w:rsidR="00555BFC">
        <w:rPr>
          <w:rFonts w:cs="Arial"/>
          <w:color w:val="000000" w:themeColor="text1"/>
        </w:rPr>
        <w:t>generally</w:t>
      </w:r>
      <w:r w:rsidRPr="001C7792">
        <w:rPr>
          <w:rFonts w:cs="Arial"/>
          <w:color w:val="000000" w:themeColor="text1"/>
        </w:rPr>
        <w:t xml:space="preserve"> fragile</w:t>
      </w:r>
      <w:r w:rsidR="00555BFC">
        <w:rPr>
          <w:rFonts w:cs="Arial"/>
          <w:color w:val="000000" w:themeColor="text1"/>
        </w:rPr>
        <w:t>, thus</w:t>
      </w:r>
      <w:r w:rsidRPr="001C7792">
        <w:rPr>
          <w:rFonts w:cs="Arial"/>
          <w:color w:val="000000" w:themeColor="text1"/>
        </w:rPr>
        <w:t xml:space="preserve"> particularly susceptible to loss of cover during cyclones (Fabricius </w:t>
      </w:r>
      <w:r w:rsidRPr="001C7792">
        <w:rPr>
          <w:rFonts w:cs="Arial"/>
          <w:i/>
          <w:color w:val="000000" w:themeColor="text1"/>
        </w:rPr>
        <w:t>et al</w:t>
      </w:r>
      <w:r w:rsidRPr="001C7792">
        <w:rPr>
          <w:rFonts w:cs="Arial"/>
          <w:color w:val="000000" w:themeColor="text1"/>
        </w:rPr>
        <w:t>. 2008),</w:t>
      </w:r>
      <w:r w:rsidR="00555BFC">
        <w:rPr>
          <w:rFonts w:cs="Arial"/>
          <w:color w:val="000000" w:themeColor="text1"/>
        </w:rPr>
        <w:t xml:space="preserve"> as well as</w:t>
      </w:r>
      <w:r w:rsidRPr="001C7792">
        <w:rPr>
          <w:rFonts w:cs="Arial"/>
          <w:color w:val="000000" w:themeColor="text1"/>
        </w:rPr>
        <w:t xml:space="preserve"> sensitive to thermal bleaching (Marshal &amp; Baird 2000), and a preferred prey group for COTS (Pratchett 2007), trends in the composition indicator cannot unambiguously be interpreted as representing a response to, and subsequent release from, water quality pressures alone. </w:t>
      </w:r>
      <w:r w:rsidR="00A462A9" w:rsidRPr="001C7792">
        <w:rPr>
          <w:rFonts w:cs="Arial"/>
          <w:color w:val="000000" w:themeColor="text1"/>
        </w:rPr>
        <w:t xml:space="preserve">In </w:t>
      </w:r>
      <w:r w:rsidR="00E07661" w:rsidRPr="001C7792">
        <w:rPr>
          <w:rFonts w:cs="Arial"/>
          <w:color w:val="000000" w:themeColor="text1"/>
        </w:rPr>
        <w:t>2017</w:t>
      </w:r>
      <w:r w:rsidR="00742056">
        <w:rPr>
          <w:rFonts w:cs="Arial"/>
          <w:color w:val="000000" w:themeColor="text1"/>
        </w:rPr>
        <w:t>,</w:t>
      </w:r>
      <w:r w:rsidR="00E07661" w:rsidRPr="001C7792">
        <w:rPr>
          <w:rFonts w:cs="Arial"/>
          <w:color w:val="000000" w:themeColor="text1"/>
        </w:rPr>
        <w:t xml:space="preserve"> it was only at 2m depths in the Barren Daintree and Johnstone Russell-Mulgrave sub-regions</w:t>
      </w:r>
      <w:r w:rsidRPr="001C7792">
        <w:rPr>
          <w:rFonts w:cs="Arial"/>
          <w:color w:val="000000" w:themeColor="text1"/>
        </w:rPr>
        <w:t xml:space="preserve"> and Mackay Whitsunday Region</w:t>
      </w:r>
      <w:r w:rsidR="00E07661" w:rsidRPr="001C7792">
        <w:rPr>
          <w:rFonts w:cs="Arial"/>
          <w:color w:val="000000" w:themeColor="text1"/>
        </w:rPr>
        <w:t xml:space="preserve"> that </w:t>
      </w:r>
      <w:r w:rsidR="00D6176D" w:rsidRPr="001C7792">
        <w:rPr>
          <w:rFonts w:cs="Arial"/>
          <w:color w:val="000000" w:themeColor="text1"/>
        </w:rPr>
        <w:t xml:space="preserve">scores for this metric </w:t>
      </w:r>
      <w:r w:rsidR="00E07661" w:rsidRPr="001C7792">
        <w:rPr>
          <w:rFonts w:cs="Arial"/>
          <w:color w:val="000000" w:themeColor="text1"/>
        </w:rPr>
        <w:t>declined. Elsewhere</w:t>
      </w:r>
      <w:r w:rsidR="00D6176D" w:rsidRPr="001C7792">
        <w:rPr>
          <w:rFonts w:cs="Arial"/>
          <w:color w:val="000000" w:themeColor="text1"/>
        </w:rPr>
        <w:t>,</w:t>
      </w:r>
      <w:r w:rsidR="00E07661" w:rsidRPr="001C7792">
        <w:rPr>
          <w:rFonts w:cs="Arial"/>
          <w:color w:val="000000" w:themeColor="text1"/>
        </w:rPr>
        <w:t xml:space="preserve"> the impacts of bleaching and </w:t>
      </w:r>
      <w:r w:rsidR="00CE02D3">
        <w:rPr>
          <w:rFonts w:cs="Arial"/>
          <w:color w:val="000000" w:themeColor="text1"/>
        </w:rPr>
        <w:t>c</w:t>
      </w:r>
      <w:r w:rsidR="00CE02D3" w:rsidRPr="001C7792">
        <w:rPr>
          <w:rFonts w:cs="Arial"/>
          <w:color w:val="000000" w:themeColor="text1"/>
        </w:rPr>
        <w:t xml:space="preserve">yclone </w:t>
      </w:r>
      <w:r w:rsidR="00E07661" w:rsidRPr="001C7792">
        <w:rPr>
          <w:rFonts w:cs="Arial"/>
          <w:color w:val="000000" w:themeColor="text1"/>
        </w:rPr>
        <w:t>Debbie appear to have been largely indiscriminate in terms of impacts to corals categorised on their sensitivity to poor water quality</w:t>
      </w:r>
      <w:r w:rsidR="00D6176D" w:rsidRPr="001C7792">
        <w:rPr>
          <w:rFonts w:cs="Arial"/>
          <w:color w:val="000000" w:themeColor="text1"/>
        </w:rPr>
        <w:t xml:space="preserve">. </w:t>
      </w:r>
      <w:r w:rsidR="00A462A9" w:rsidRPr="001C7792">
        <w:rPr>
          <w:rFonts w:cs="Arial"/>
          <w:color w:val="000000" w:themeColor="text1"/>
        </w:rPr>
        <w:t xml:space="preserve">Over the longer term, however, there is evidence that the representation of </w:t>
      </w:r>
      <w:r w:rsidR="00A462A9" w:rsidRPr="001C7792">
        <w:rPr>
          <w:rFonts w:cs="Arial"/>
          <w:i/>
          <w:color w:val="000000" w:themeColor="text1"/>
        </w:rPr>
        <w:t>Acropora</w:t>
      </w:r>
      <w:r w:rsidR="00A462A9" w:rsidRPr="001C7792">
        <w:rPr>
          <w:rFonts w:cs="Arial"/>
          <w:color w:val="000000" w:themeColor="text1"/>
        </w:rPr>
        <w:t xml:space="preserve"> on reefs in the Burdekin region has declined since the mid-20</w:t>
      </w:r>
      <w:r w:rsidR="00A462A9" w:rsidRPr="001C7792">
        <w:rPr>
          <w:rFonts w:cs="Arial"/>
          <w:color w:val="000000" w:themeColor="text1"/>
          <w:vertAlign w:val="superscript"/>
        </w:rPr>
        <w:t>th</w:t>
      </w:r>
      <w:r w:rsidR="00A462A9" w:rsidRPr="001C7792">
        <w:rPr>
          <w:rFonts w:cs="Arial"/>
          <w:color w:val="000000" w:themeColor="text1"/>
        </w:rPr>
        <w:t xml:space="preserve"> century, possibly as a result of increased runoff from the adjacent catchments (Roff </w:t>
      </w:r>
      <w:r w:rsidR="00A462A9" w:rsidRPr="001C7792">
        <w:rPr>
          <w:rFonts w:cs="Arial"/>
          <w:i/>
          <w:color w:val="000000" w:themeColor="text1"/>
        </w:rPr>
        <w:t>et al.</w:t>
      </w:r>
      <w:r w:rsidR="00A462A9" w:rsidRPr="001C7792">
        <w:rPr>
          <w:rFonts w:cs="Arial"/>
          <w:color w:val="000000" w:themeColor="text1"/>
        </w:rPr>
        <w:t xml:space="preserve"> 2013). This consideration makes the recent recovery of this group in the Burdekin Region</w:t>
      </w:r>
      <w:r w:rsidR="00B51563" w:rsidRPr="001C7792">
        <w:rPr>
          <w:rFonts w:cs="Arial"/>
          <w:color w:val="000000" w:themeColor="text1"/>
        </w:rPr>
        <w:t>, and lack of a disproportionate reduction as a result of bleaching</w:t>
      </w:r>
      <w:r w:rsidRPr="001C7792">
        <w:rPr>
          <w:rFonts w:cs="Arial"/>
          <w:color w:val="000000" w:themeColor="text1"/>
        </w:rPr>
        <w:t xml:space="preserve"> in 2017,</w:t>
      </w:r>
      <w:r w:rsidR="00A462A9" w:rsidRPr="001C7792">
        <w:rPr>
          <w:rFonts w:cs="Arial"/>
          <w:color w:val="000000" w:themeColor="text1"/>
        </w:rPr>
        <w:t xml:space="preserve"> particularly positive as </w:t>
      </w:r>
      <w:r w:rsidR="00555BFC">
        <w:rPr>
          <w:rFonts w:cs="Arial"/>
          <w:color w:val="000000" w:themeColor="text1"/>
        </w:rPr>
        <w:t xml:space="preserve">it </w:t>
      </w:r>
      <w:r w:rsidR="00A462A9" w:rsidRPr="001C7792">
        <w:rPr>
          <w:rFonts w:cs="Arial"/>
          <w:color w:val="000000" w:themeColor="text1"/>
        </w:rPr>
        <w:t xml:space="preserve">demonstrates </w:t>
      </w:r>
      <w:r w:rsidRPr="001C7792">
        <w:rPr>
          <w:rFonts w:cs="Arial"/>
          <w:color w:val="000000" w:themeColor="text1"/>
        </w:rPr>
        <w:t>the</w:t>
      </w:r>
      <w:r w:rsidR="00A462A9" w:rsidRPr="001C7792">
        <w:rPr>
          <w:rFonts w:cs="Arial"/>
          <w:color w:val="000000" w:themeColor="text1"/>
        </w:rPr>
        <w:t xml:space="preserve"> capacity for these species to re-establish under the conditions experienced in recent years. As a genus including a high diversity of rapidly growing species, the </w:t>
      </w:r>
      <w:r w:rsidR="00A462A9" w:rsidRPr="001C7792">
        <w:rPr>
          <w:rFonts w:cs="Arial"/>
          <w:i/>
          <w:color w:val="000000" w:themeColor="text1"/>
        </w:rPr>
        <w:t>Acropora</w:t>
      </w:r>
      <w:r w:rsidR="00A462A9" w:rsidRPr="001C7792">
        <w:rPr>
          <w:rFonts w:cs="Arial"/>
          <w:color w:val="000000" w:themeColor="text1"/>
        </w:rPr>
        <w:t xml:space="preserve"> are a key group for the rapid recovery of coral cover and maintenance of diversity on inshore reefs. </w:t>
      </w:r>
    </w:p>
    <w:p w14:paraId="24ED5A18" w14:textId="77777777" w:rsidR="00A462A9" w:rsidRPr="00F352E1" w:rsidRDefault="00607BCA" w:rsidP="00607BCA">
      <w:pPr>
        <w:pStyle w:val="Heading3"/>
      </w:pPr>
      <w:bookmarkStart w:id="275" w:name="_Toc514408426"/>
      <w:r>
        <w:t xml:space="preserve">6.2.5 </w:t>
      </w:r>
      <w:r w:rsidR="00A462A9" w:rsidRPr="00F352E1">
        <w:t>Macroalgae</w:t>
      </w:r>
      <w:bookmarkEnd w:id="275"/>
      <w:r w:rsidR="00A462A9" w:rsidRPr="00F352E1">
        <w:t xml:space="preserve"> </w:t>
      </w:r>
    </w:p>
    <w:p w14:paraId="40A61041" w14:textId="56DA0D1A" w:rsidR="00A462A9" w:rsidRPr="001C7792" w:rsidRDefault="00A462A9" w:rsidP="00A462A9">
      <w:pPr>
        <w:rPr>
          <w:rFonts w:cs="Arial"/>
          <w:color w:val="000000" w:themeColor="text1"/>
        </w:rPr>
      </w:pPr>
      <w:r w:rsidRPr="0030520F">
        <w:rPr>
          <w:rFonts w:cs="Arial"/>
        </w:rPr>
        <w:t xml:space="preserve">Macroalgae generally benefit from increased nutrient availability due to runoff (e.g., Schaffelke </w:t>
      </w:r>
      <w:r w:rsidRPr="0030520F">
        <w:rPr>
          <w:rFonts w:cs="Arial"/>
          <w:i/>
        </w:rPr>
        <w:t>et al.</w:t>
      </w:r>
      <w:r w:rsidRPr="0030520F">
        <w:rPr>
          <w:rFonts w:cs="Arial"/>
        </w:rPr>
        <w:t xml:space="preserve"> 2005) and, as coral competitors, supress both coral growth and juvenile settlement or survival (e.g., Tanner 1995, McCook </w:t>
      </w:r>
      <w:r w:rsidRPr="0030520F">
        <w:rPr>
          <w:rFonts w:cs="Arial"/>
          <w:i/>
        </w:rPr>
        <w:t>et al.</w:t>
      </w:r>
      <w:r w:rsidRPr="0030520F">
        <w:rPr>
          <w:rFonts w:cs="Arial"/>
        </w:rPr>
        <w:t xml:space="preserve"> 2001, Birrell </w:t>
      </w:r>
      <w:r w:rsidRPr="0030520F">
        <w:rPr>
          <w:rFonts w:cs="Arial"/>
          <w:i/>
        </w:rPr>
        <w:t>et al.</w:t>
      </w:r>
      <w:r w:rsidRPr="0030520F">
        <w:rPr>
          <w:rFonts w:cs="Arial"/>
        </w:rPr>
        <w:t xml:space="preserve"> 2005, 2008</w:t>
      </w:r>
      <w:r w:rsidR="00BF78FE">
        <w:rPr>
          <w:rFonts w:cs="Arial"/>
        </w:rPr>
        <w:t>a, b</w:t>
      </w:r>
      <w:r w:rsidRPr="0030520F">
        <w:rPr>
          <w:rFonts w:cs="Arial"/>
        </w:rPr>
        <w:t xml:space="preserve">). Clear relationships between Chl </w:t>
      </w:r>
      <w:r w:rsidRPr="0030520F">
        <w:rPr>
          <w:rFonts w:cs="Arial"/>
          <w:i/>
        </w:rPr>
        <w:t>a</w:t>
      </w:r>
      <w:r w:rsidRPr="0030520F">
        <w:rPr>
          <w:rFonts w:cs="Arial"/>
        </w:rPr>
        <w:t xml:space="preserve"> concentrations, a proxy for nutrient availability, and the proportion of macroalgae link nutrient availability to reduced coral community resilience in inshore areas of the Reef. Unlike the coral indicators that are plausibly responsive to water quality extremes, the </w:t>
      </w:r>
      <w:r w:rsidR="001C7792">
        <w:rPr>
          <w:rFonts w:cs="Arial"/>
        </w:rPr>
        <w:t>persistence o</w:t>
      </w:r>
      <w:r w:rsidRPr="0030520F">
        <w:rPr>
          <w:rFonts w:cs="Arial"/>
        </w:rPr>
        <w:t xml:space="preserve">f macroalgae during winter surveys may </w:t>
      </w:r>
      <w:r w:rsidR="00515D38" w:rsidRPr="0030520F">
        <w:rPr>
          <w:rFonts w:cs="Arial"/>
        </w:rPr>
        <w:t>suggest</w:t>
      </w:r>
      <w:r w:rsidRPr="0030520F">
        <w:rPr>
          <w:rFonts w:cs="Arial"/>
        </w:rPr>
        <w:t xml:space="preserve"> that ambient water quality levels are also important for the maintenance of high macroalgal cover</w:t>
      </w:r>
      <w:r w:rsidRPr="001C7792">
        <w:rPr>
          <w:rFonts w:cs="Arial"/>
          <w:color w:val="000000" w:themeColor="text1"/>
        </w:rPr>
        <w:t xml:space="preserve">. </w:t>
      </w:r>
      <w:r w:rsidR="00DC79A0">
        <w:rPr>
          <w:rFonts w:cs="Arial"/>
          <w:color w:val="000000" w:themeColor="text1"/>
        </w:rPr>
        <w:t>While</w:t>
      </w:r>
      <w:r w:rsidRPr="001C7792">
        <w:rPr>
          <w:rFonts w:cs="Arial"/>
          <w:color w:val="000000" w:themeColor="text1"/>
        </w:rPr>
        <w:t xml:space="preserve"> reef specific thresholds for macroalgae allow for increased abundance of macroalgae in response to naturally occurring gradients of water quality, </w:t>
      </w:r>
      <w:r w:rsidR="00322E52">
        <w:rPr>
          <w:rFonts w:cs="Arial"/>
          <w:color w:val="000000" w:themeColor="text1"/>
        </w:rPr>
        <w:t>their cover in</w:t>
      </w:r>
      <w:r w:rsidRPr="001C7792">
        <w:rPr>
          <w:rFonts w:cs="Arial"/>
          <w:color w:val="000000" w:themeColor="text1"/>
        </w:rPr>
        <w:t xml:space="preserve"> 201</w:t>
      </w:r>
      <w:r w:rsidR="001C7792" w:rsidRPr="001C7792">
        <w:rPr>
          <w:rFonts w:cs="Arial"/>
          <w:color w:val="000000" w:themeColor="text1"/>
        </w:rPr>
        <w:t>7</w:t>
      </w:r>
      <w:r w:rsidRPr="001C7792">
        <w:rPr>
          <w:rFonts w:cs="Arial"/>
          <w:color w:val="000000" w:themeColor="text1"/>
        </w:rPr>
        <w:t xml:space="preserve">, where long-term Chl </w:t>
      </w:r>
      <w:r w:rsidRPr="001C7792">
        <w:rPr>
          <w:rFonts w:cs="Arial"/>
          <w:i/>
          <w:color w:val="000000" w:themeColor="text1"/>
        </w:rPr>
        <w:t>a</w:t>
      </w:r>
      <w:r w:rsidRPr="001C7792">
        <w:rPr>
          <w:rFonts w:cs="Arial"/>
          <w:color w:val="000000" w:themeColor="text1"/>
        </w:rPr>
        <w:t xml:space="preserve"> concentrations exceed guideline levels, </w:t>
      </w:r>
      <w:r w:rsidR="00322E52">
        <w:rPr>
          <w:rFonts w:cs="Arial"/>
          <w:color w:val="000000" w:themeColor="text1"/>
        </w:rPr>
        <w:t>was</w:t>
      </w:r>
      <w:r w:rsidRPr="001C7792">
        <w:rPr>
          <w:rFonts w:cs="Arial"/>
          <w:color w:val="000000" w:themeColor="text1"/>
        </w:rPr>
        <w:t xml:space="preserve"> </w:t>
      </w:r>
      <w:r w:rsidR="00322E52">
        <w:rPr>
          <w:rFonts w:cs="Arial"/>
          <w:color w:val="000000" w:themeColor="text1"/>
        </w:rPr>
        <w:t xml:space="preserve">often </w:t>
      </w:r>
      <w:r w:rsidRPr="001C7792">
        <w:rPr>
          <w:rFonts w:cs="Arial"/>
          <w:color w:val="000000" w:themeColor="text1"/>
        </w:rPr>
        <w:t>at levels likely to have detrimental influences on coral recruitment and growth.</w:t>
      </w:r>
    </w:p>
    <w:p w14:paraId="3DCA56AB" w14:textId="77777777" w:rsidR="00A462A9" w:rsidRPr="00F256B1" w:rsidRDefault="00A462A9" w:rsidP="00A462A9">
      <w:pPr>
        <w:rPr>
          <w:rFonts w:cs="Arial"/>
          <w:color w:val="000000" w:themeColor="text1"/>
        </w:rPr>
      </w:pPr>
      <w:r w:rsidRPr="00F256B1">
        <w:rPr>
          <w:rFonts w:cs="Arial"/>
          <w:color w:val="000000" w:themeColor="text1"/>
        </w:rPr>
        <w:t>It is important to note</w:t>
      </w:r>
      <w:r w:rsidR="001C7792" w:rsidRPr="00F256B1">
        <w:rPr>
          <w:rFonts w:cs="Arial"/>
          <w:color w:val="000000" w:themeColor="text1"/>
        </w:rPr>
        <w:t>,</w:t>
      </w:r>
      <w:r w:rsidRPr="00F256B1">
        <w:rPr>
          <w:rFonts w:cs="Arial"/>
          <w:color w:val="000000" w:themeColor="text1"/>
        </w:rPr>
        <w:t xml:space="preserve"> that the relationship between high Chl </w:t>
      </w:r>
      <w:r w:rsidRPr="00F256B1">
        <w:rPr>
          <w:rFonts w:cs="Arial"/>
          <w:i/>
          <w:color w:val="000000" w:themeColor="text1"/>
        </w:rPr>
        <w:t>a</w:t>
      </w:r>
      <w:r w:rsidRPr="00F256B1">
        <w:rPr>
          <w:rFonts w:cs="Arial"/>
          <w:color w:val="000000" w:themeColor="text1"/>
        </w:rPr>
        <w:t xml:space="preserve"> concentration and macroalgae cover is correlative only and does not necessarily indicate a direct cause-effect relationship between nutrient concentrations and pressures imposed by macroalgae. Chl </w:t>
      </w:r>
      <w:r w:rsidRPr="00F256B1">
        <w:rPr>
          <w:rFonts w:cs="Arial"/>
          <w:i/>
          <w:color w:val="000000" w:themeColor="text1"/>
        </w:rPr>
        <w:t>a</w:t>
      </w:r>
      <w:r w:rsidRPr="00F256B1">
        <w:rPr>
          <w:rFonts w:cs="Arial"/>
          <w:color w:val="000000" w:themeColor="text1"/>
        </w:rPr>
        <w:t xml:space="preserve"> may be a proxy for environmental variables or ecological processes other than the direct availability of nutrients that influence macroalgae abundance. Wismer </w:t>
      </w:r>
      <w:r w:rsidRPr="00F256B1">
        <w:rPr>
          <w:rFonts w:cs="Arial"/>
          <w:i/>
          <w:color w:val="000000" w:themeColor="text1"/>
        </w:rPr>
        <w:t>et al.</w:t>
      </w:r>
      <w:r w:rsidRPr="00F256B1">
        <w:rPr>
          <w:rFonts w:cs="Arial"/>
          <w:color w:val="000000" w:themeColor="text1"/>
        </w:rPr>
        <w:t xml:space="preserve"> (2009) demonstrate an inverse relationship between macroalgal cover and herbivore biomass and Cheal </w:t>
      </w:r>
      <w:r w:rsidRPr="00F256B1">
        <w:rPr>
          <w:rFonts w:cs="Arial"/>
          <w:i/>
          <w:color w:val="000000" w:themeColor="text1"/>
        </w:rPr>
        <w:t>et al.</w:t>
      </w:r>
      <w:r w:rsidRPr="00F256B1">
        <w:rPr>
          <w:rFonts w:cs="Arial"/>
          <w:color w:val="000000" w:themeColor="text1"/>
        </w:rPr>
        <w:t xml:space="preserve"> (2013) link this relationship to water quality by demonstrating a decline in herbivorous fish populations with increasing turbidity. Importantly, the reduction in herbivore biomass noted by Cheal </w:t>
      </w:r>
      <w:r w:rsidRPr="00F256B1">
        <w:rPr>
          <w:rFonts w:cs="Arial"/>
          <w:i/>
          <w:color w:val="000000" w:themeColor="text1"/>
        </w:rPr>
        <w:t>et al.</w:t>
      </w:r>
      <w:r w:rsidRPr="00F256B1">
        <w:rPr>
          <w:rFonts w:cs="Arial"/>
          <w:color w:val="000000" w:themeColor="text1"/>
        </w:rPr>
        <w:t xml:space="preserve"> (2013) occurred on the LTMP survey reefs included in this report and are among the reefs toward the better end of the strong water quality gradient in inshore waters. The higher turbidity at the majority of reefs surveyed under the MMP suggest even lower biomass of herbivorous fishes. </w:t>
      </w:r>
    </w:p>
    <w:p w14:paraId="166BBBC9" w14:textId="77777777" w:rsidR="00A462A9" w:rsidRPr="00F256B1" w:rsidRDefault="00A462A9" w:rsidP="00A462A9">
      <w:pPr>
        <w:rPr>
          <w:rFonts w:cs="Arial"/>
          <w:color w:val="000000" w:themeColor="text1"/>
        </w:rPr>
      </w:pPr>
      <w:r w:rsidRPr="00F256B1">
        <w:rPr>
          <w:rFonts w:cs="Arial"/>
          <w:color w:val="000000" w:themeColor="text1"/>
        </w:rPr>
        <w:t xml:space="preserve">Grazing is a key process for the control of macroalgal blooms and research demonstrates the importance of the maintenance of herbivore populations to avoid a phase shift to </w:t>
      </w:r>
      <w:r w:rsidR="00555BFC">
        <w:rPr>
          <w:rFonts w:cs="Arial"/>
          <w:color w:val="000000" w:themeColor="text1"/>
        </w:rPr>
        <w:t xml:space="preserve">a </w:t>
      </w:r>
      <w:r w:rsidRPr="00F256B1">
        <w:rPr>
          <w:rFonts w:cs="Arial"/>
          <w:color w:val="000000" w:themeColor="text1"/>
        </w:rPr>
        <w:t>macroalgae</w:t>
      </w:r>
      <w:r w:rsidR="00555BFC">
        <w:rPr>
          <w:rFonts w:cs="Arial"/>
          <w:color w:val="000000" w:themeColor="text1"/>
        </w:rPr>
        <w:t xml:space="preserve"> dominated state</w:t>
      </w:r>
      <w:r w:rsidRPr="00F256B1">
        <w:rPr>
          <w:rFonts w:cs="Arial"/>
          <w:color w:val="000000" w:themeColor="text1"/>
        </w:rPr>
        <w:t xml:space="preserve"> (e.g. Hughes </w:t>
      </w:r>
      <w:r w:rsidRPr="00F256B1">
        <w:rPr>
          <w:rFonts w:cs="Arial"/>
          <w:i/>
          <w:color w:val="000000" w:themeColor="text1"/>
        </w:rPr>
        <w:t>et al.</w:t>
      </w:r>
      <w:r w:rsidRPr="00F256B1">
        <w:rPr>
          <w:rFonts w:cs="Arial"/>
          <w:color w:val="000000" w:themeColor="text1"/>
        </w:rPr>
        <w:t xml:space="preserve"> 2007). Within the Burdekin region Hughes </w:t>
      </w:r>
      <w:r w:rsidRPr="00F256B1">
        <w:rPr>
          <w:rFonts w:cs="Arial"/>
          <w:i/>
          <w:color w:val="000000" w:themeColor="text1"/>
        </w:rPr>
        <w:t>et al.</w:t>
      </w:r>
      <w:r w:rsidRPr="00F256B1">
        <w:rPr>
          <w:rFonts w:cs="Arial"/>
          <w:color w:val="000000" w:themeColor="text1"/>
        </w:rPr>
        <w:t xml:space="preserve"> (2007) demonstrated that dense macroalgal communities could be supported in the absence of grazing on a reef with generally low cover of fleshy macroalgae, partly divorcing macroalgae biomass from direct relationship to water-quality alone. The relative influences of herbivory and nutrients on coral reef macroalgae is undoubtedly complex and likely to “depend on the species, circumstances and life-history processes under consideration” (Diaz-Pulido &amp; McCook 2003). Irrespective of the underlying mechanism</w:t>
      </w:r>
      <w:r w:rsidR="00A03018" w:rsidRPr="00F256B1">
        <w:rPr>
          <w:rFonts w:cs="Arial"/>
          <w:color w:val="000000" w:themeColor="text1"/>
        </w:rPr>
        <w:t xml:space="preserve"> </w:t>
      </w:r>
      <w:r w:rsidRPr="00F256B1">
        <w:rPr>
          <w:rFonts w:cs="Arial"/>
          <w:color w:val="000000" w:themeColor="text1"/>
        </w:rPr>
        <w:t xml:space="preserve">that limits macroalgae on reefs with lower Chl </w:t>
      </w:r>
      <w:r w:rsidRPr="00F256B1">
        <w:rPr>
          <w:rFonts w:cs="Arial"/>
          <w:i/>
          <w:color w:val="000000" w:themeColor="text1"/>
        </w:rPr>
        <w:t>a</w:t>
      </w:r>
      <w:r w:rsidRPr="00F256B1">
        <w:rPr>
          <w:rFonts w:cs="Arial"/>
          <w:color w:val="000000" w:themeColor="text1"/>
        </w:rPr>
        <w:t xml:space="preserve"> concentrations, our results demonstrate that the enviro</w:t>
      </w:r>
      <w:r w:rsidR="00F256B1">
        <w:rPr>
          <w:rFonts w:cs="Arial"/>
          <w:color w:val="000000" w:themeColor="text1"/>
        </w:rPr>
        <w:t>nmental conditions at sites where</w:t>
      </w:r>
      <w:r w:rsidRPr="00F256B1">
        <w:rPr>
          <w:rFonts w:cs="Arial"/>
          <w:color w:val="000000" w:themeColor="text1"/>
        </w:rPr>
        <w:t xml:space="preserve"> Chl </w:t>
      </w:r>
      <w:r w:rsidRPr="00F256B1">
        <w:rPr>
          <w:rFonts w:cs="Arial"/>
          <w:i/>
          <w:color w:val="000000" w:themeColor="text1"/>
        </w:rPr>
        <w:t>a</w:t>
      </w:r>
      <w:r w:rsidRPr="00F256B1">
        <w:rPr>
          <w:rFonts w:cs="Arial"/>
          <w:color w:val="000000" w:themeColor="text1"/>
        </w:rPr>
        <w:t xml:space="preserve"> concentrations </w:t>
      </w:r>
      <w:r w:rsidR="00F256B1">
        <w:rPr>
          <w:rFonts w:cs="Arial"/>
          <w:color w:val="000000" w:themeColor="text1"/>
        </w:rPr>
        <w:t xml:space="preserve">most frequently exceed summer </w:t>
      </w:r>
      <w:r w:rsidRPr="00F256B1">
        <w:rPr>
          <w:rFonts w:cs="Arial"/>
          <w:color w:val="000000" w:themeColor="text1"/>
        </w:rPr>
        <w:t>guideline values also support macroalgal biomass at levels detrimental to coral community resilience.</w:t>
      </w:r>
    </w:p>
    <w:p w14:paraId="3E0FC372" w14:textId="77777777" w:rsidR="00A462A9" w:rsidRPr="00F352E1" w:rsidRDefault="00607BCA" w:rsidP="00607BCA">
      <w:pPr>
        <w:pStyle w:val="Heading3"/>
      </w:pPr>
      <w:bookmarkStart w:id="276" w:name="_Toc514408427"/>
      <w:r>
        <w:t xml:space="preserve">6.2.6 </w:t>
      </w:r>
      <w:r w:rsidR="00A462A9" w:rsidRPr="00F352E1">
        <w:t>Juvenile density</w:t>
      </w:r>
      <w:bookmarkEnd w:id="276"/>
    </w:p>
    <w:p w14:paraId="7DC9B371" w14:textId="77777777" w:rsidR="000F261B" w:rsidRDefault="00107FE6" w:rsidP="00A462A9">
      <w:pPr>
        <w:rPr>
          <w:rFonts w:cs="Arial"/>
          <w:color w:val="000000" w:themeColor="text1"/>
        </w:rPr>
      </w:pPr>
      <w:r w:rsidRPr="00A162C6">
        <w:rPr>
          <w:rFonts w:cs="Arial"/>
          <w:color w:val="000000" w:themeColor="text1"/>
        </w:rPr>
        <w:t xml:space="preserve">The effects of the 2017 bleaching event on juvenile corals </w:t>
      </w:r>
      <w:r w:rsidR="002F7632" w:rsidRPr="00A162C6">
        <w:rPr>
          <w:rFonts w:cs="Arial"/>
          <w:color w:val="000000" w:themeColor="text1"/>
        </w:rPr>
        <w:t>was not severe</w:t>
      </w:r>
      <w:r w:rsidRPr="00A162C6">
        <w:rPr>
          <w:rFonts w:cs="Arial"/>
          <w:color w:val="000000" w:themeColor="text1"/>
        </w:rPr>
        <w:t xml:space="preserve">. </w:t>
      </w:r>
      <w:r w:rsidR="00DC79A0">
        <w:rPr>
          <w:rFonts w:cs="Arial"/>
          <w:color w:val="000000" w:themeColor="text1"/>
        </w:rPr>
        <w:t>However, m</w:t>
      </w:r>
      <w:r w:rsidRPr="00A162C6">
        <w:rPr>
          <w:rFonts w:cs="Arial"/>
          <w:color w:val="000000" w:themeColor="text1"/>
        </w:rPr>
        <w:t xml:space="preserve">inor declines in the number of juveniles observed on most reefs in the Wet Tropics surveyed in 2017 </w:t>
      </w:r>
      <w:r w:rsidR="00EF6A72">
        <w:rPr>
          <w:rFonts w:cs="Arial"/>
          <w:color w:val="000000" w:themeColor="text1"/>
        </w:rPr>
        <w:t>contrasted</w:t>
      </w:r>
      <w:r w:rsidR="00A162C6" w:rsidRPr="00A162C6">
        <w:rPr>
          <w:rFonts w:cs="Arial"/>
          <w:color w:val="000000" w:themeColor="text1"/>
        </w:rPr>
        <w:t xml:space="preserve"> consistent </w:t>
      </w:r>
      <w:r w:rsidR="00DC79A0">
        <w:rPr>
          <w:rFonts w:cs="Arial"/>
          <w:color w:val="000000" w:themeColor="text1"/>
        </w:rPr>
        <w:t>increases</w:t>
      </w:r>
      <w:r w:rsidRPr="00A162C6">
        <w:rPr>
          <w:rFonts w:cs="Arial"/>
          <w:color w:val="000000" w:themeColor="text1"/>
        </w:rPr>
        <w:t xml:space="preserve"> recorded at the LTMP reefs </w:t>
      </w:r>
      <w:r w:rsidR="00DC79A0">
        <w:rPr>
          <w:rFonts w:cs="Arial"/>
          <w:color w:val="000000" w:themeColor="text1"/>
        </w:rPr>
        <w:t xml:space="preserve">that were </w:t>
      </w:r>
      <w:r w:rsidRPr="00A162C6">
        <w:rPr>
          <w:rFonts w:cs="Arial"/>
          <w:color w:val="000000" w:themeColor="text1"/>
        </w:rPr>
        <w:t>surveyed prior to the bleaching event.</w:t>
      </w:r>
      <w:r w:rsidR="00DC79A0">
        <w:rPr>
          <w:rFonts w:cs="Arial"/>
          <w:color w:val="000000" w:themeColor="text1"/>
        </w:rPr>
        <w:t xml:space="preserve"> </w:t>
      </w:r>
      <w:r w:rsidR="002F7632" w:rsidRPr="00A162C6">
        <w:rPr>
          <w:rFonts w:cs="Arial"/>
          <w:color w:val="000000" w:themeColor="text1"/>
        </w:rPr>
        <w:t xml:space="preserve">Observed declines in </w:t>
      </w:r>
      <w:r w:rsidR="00DC79A0">
        <w:rPr>
          <w:rFonts w:cs="Arial"/>
          <w:color w:val="000000" w:themeColor="text1"/>
        </w:rPr>
        <w:t xml:space="preserve">juvenile indicator </w:t>
      </w:r>
      <w:r w:rsidR="002F7632" w:rsidRPr="00A162C6">
        <w:rPr>
          <w:rFonts w:cs="Arial"/>
          <w:color w:val="000000" w:themeColor="text1"/>
        </w:rPr>
        <w:t xml:space="preserve">scores in the Wet Tropics resulted due the compounding of reduced numbers </w:t>
      </w:r>
      <w:r w:rsidR="00A162C6" w:rsidRPr="00A162C6">
        <w:rPr>
          <w:rFonts w:cs="Arial"/>
          <w:color w:val="000000" w:themeColor="text1"/>
        </w:rPr>
        <w:t xml:space="preserve">of juveniles </w:t>
      </w:r>
      <w:r w:rsidR="002F7632" w:rsidRPr="00A162C6">
        <w:rPr>
          <w:rFonts w:cs="Arial"/>
          <w:color w:val="000000" w:themeColor="text1"/>
        </w:rPr>
        <w:t>and increased availability of space</w:t>
      </w:r>
      <w:r w:rsidR="00EF6A72">
        <w:rPr>
          <w:rFonts w:cs="Arial"/>
          <w:color w:val="000000" w:themeColor="text1"/>
        </w:rPr>
        <w:t>,</w:t>
      </w:r>
      <w:r w:rsidR="002F7632" w:rsidRPr="00A162C6">
        <w:rPr>
          <w:rFonts w:cs="Arial"/>
          <w:color w:val="000000" w:themeColor="text1"/>
        </w:rPr>
        <w:t xml:space="preserve"> as a result of reduced coral cover</w:t>
      </w:r>
      <w:r w:rsidR="00EF6A72">
        <w:rPr>
          <w:rFonts w:cs="Arial"/>
          <w:color w:val="000000" w:themeColor="text1"/>
        </w:rPr>
        <w:t>,</w:t>
      </w:r>
      <w:r w:rsidR="00DC79A0">
        <w:rPr>
          <w:rFonts w:cs="Arial"/>
          <w:color w:val="000000" w:themeColor="text1"/>
        </w:rPr>
        <w:t xml:space="preserve"> on the estimated density of ju</w:t>
      </w:r>
      <w:r w:rsidR="00EF6A72">
        <w:rPr>
          <w:rFonts w:cs="Arial"/>
          <w:color w:val="000000" w:themeColor="text1"/>
        </w:rPr>
        <w:t>venile corals</w:t>
      </w:r>
      <w:r w:rsidR="002F7632" w:rsidRPr="00A162C6">
        <w:rPr>
          <w:rFonts w:cs="Arial"/>
          <w:color w:val="000000" w:themeColor="text1"/>
        </w:rPr>
        <w:t xml:space="preserve">. In the Herbert Tully sub-region, declining numbers of juveniles were observed, </w:t>
      </w:r>
      <w:r w:rsidR="00A162C6" w:rsidRPr="00A162C6">
        <w:rPr>
          <w:rFonts w:cs="Arial"/>
          <w:color w:val="000000" w:themeColor="text1"/>
        </w:rPr>
        <w:t xml:space="preserve">due </w:t>
      </w:r>
      <w:r w:rsidR="000F261B">
        <w:rPr>
          <w:rFonts w:cs="Arial"/>
          <w:color w:val="000000" w:themeColor="text1"/>
        </w:rPr>
        <w:t xml:space="preserve">largely </w:t>
      </w:r>
      <w:r w:rsidR="00A162C6" w:rsidRPr="00A162C6">
        <w:rPr>
          <w:rFonts w:cs="Arial"/>
          <w:color w:val="000000" w:themeColor="text1"/>
        </w:rPr>
        <w:t xml:space="preserve">to </w:t>
      </w:r>
      <w:r w:rsidR="000F261B">
        <w:rPr>
          <w:rFonts w:cs="Arial"/>
          <w:color w:val="000000" w:themeColor="text1"/>
        </w:rPr>
        <w:t xml:space="preserve">the </w:t>
      </w:r>
      <w:r w:rsidR="00A162C6" w:rsidRPr="00A162C6">
        <w:rPr>
          <w:rFonts w:cs="Arial"/>
          <w:color w:val="000000" w:themeColor="text1"/>
        </w:rPr>
        <w:t xml:space="preserve">moderation in the number of </w:t>
      </w:r>
      <w:r w:rsidR="002F7632" w:rsidRPr="00A162C6">
        <w:rPr>
          <w:rFonts w:cs="Arial"/>
          <w:i/>
          <w:color w:val="000000" w:themeColor="text1"/>
        </w:rPr>
        <w:t>Turbinaria</w:t>
      </w:r>
      <w:r w:rsidR="002F7632" w:rsidRPr="00A162C6">
        <w:rPr>
          <w:rFonts w:cs="Arial"/>
          <w:color w:val="000000" w:themeColor="text1"/>
        </w:rPr>
        <w:t xml:space="preserve"> </w:t>
      </w:r>
      <w:r w:rsidR="000F261B">
        <w:rPr>
          <w:rFonts w:cs="Arial"/>
          <w:color w:val="000000" w:themeColor="text1"/>
        </w:rPr>
        <w:t xml:space="preserve">juveniles </w:t>
      </w:r>
      <w:r w:rsidR="002F7632" w:rsidRPr="00A162C6">
        <w:rPr>
          <w:rFonts w:cs="Arial"/>
          <w:color w:val="000000" w:themeColor="text1"/>
        </w:rPr>
        <w:t xml:space="preserve">that </w:t>
      </w:r>
      <w:r w:rsidR="00A162C6" w:rsidRPr="00A162C6">
        <w:rPr>
          <w:rFonts w:cs="Arial"/>
          <w:color w:val="000000" w:themeColor="text1"/>
        </w:rPr>
        <w:t xml:space="preserve">had </w:t>
      </w:r>
      <w:r w:rsidR="002F7632" w:rsidRPr="00A162C6">
        <w:rPr>
          <w:rFonts w:cs="Arial"/>
          <w:color w:val="000000" w:themeColor="text1"/>
        </w:rPr>
        <w:t xml:space="preserve">recruited </w:t>
      </w:r>
      <w:r w:rsidR="00A162C6" w:rsidRPr="00A162C6">
        <w:rPr>
          <w:rFonts w:cs="Arial"/>
          <w:color w:val="000000" w:themeColor="text1"/>
        </w:rPr>
        <w:t xml:space="preserve">strongly in </w:t>
      </w:r>
      <w:r w:rsidR="00364F74" w:rsidRPr="00A162C6">
        <w:rPr>
          <w:rFonts w:cs="Arial"/>
          <w:color w:val="000000" w:themeColor="text1"/>
        </w:rPr>
        <w:t xml:space="preserve">recent years. In the Burdekin Region, neither the number of juvenile colonies, nor the scores for the Juvenile metric, varied substantially from those observed prior to the bleaching event. </w:t>
      </w:r>
    </w:p>
    <w:p w14:paraId="3DF5FDBF" w14:textId="55109591" w:rsidR="00A162C6" w:rsidRPr="00A162C6" w:rsidRDefault="00364F74" w:rsidP="00A462A9">
      <w:pPr>
        <w:rPr>
          <w:rFonts w:cs="Arial"/>
          <w:color w:val="000000" w:themeColor="text1"/>
        </w:rPr>
      </w:pPr>
      <w:r w:rsidRPr="00A162C6">
        <w:rPr>
          <w:rFonts w:cs="Arial"/>
          <w:color w:val="000000" w:themeColor="text1"/>
        </w:rPr>
        <w:t xml:space="preserve">In contrast, </w:t>
      </w:r>
      <w:r w:rsidR="00CE02D3">
        <w:rPr>
          <w:rFonts w:cs="Arial"/>
          <w:color w:val="000000" w:themeColor="text1"/>
        </w:rPr>
        <w:t>c</w:t>
      </w:r>
      <w:r w:rsidRPr="00A162C6">
        <w:rPr>
          <w:rFonts w:cs="Arial"/>
          <w:color w:val="000000" w:themeColor="text1"/>
        </w:rPr>
        <w:t xml:space="preserve">yclone Debbie had a clear impact on juvenile corals with, numbers </w:t>
      </w:r>
      <w:r w:rsidR="000F261B">
        <w:rPr>
          <w:rFonts w:cs="Arial"/>
          <w:color w:val="000000" w:themeColor="text1"/>
        </w:rPr>
        <w:t xml:space="preserve">declining sharply in the Mackay Whitsunday Region </w:t>
      </w:r>
      <w:r w:rsidRPr="00A162C6">
        <w:rPr>
          <w:rFonts w:cs="Arial"/>
          <w:color w:val="000000" w:themeColor="text1"/>
        </w:rPr>
        <w:t>in 2017</w:t>
      </w:r>
      <w:r w:rsidR="000F261B">
        <w:rPr>
          <w:rFonts w:cs="Arial"/>
          <w:color w:val="000000" w:themeColor="text1"/>
        </w:rPr>
        <w:t>. In com</w:t>
      </w:r>
      <w:r w:rsidRPr="00A162C6">
        <w:rPr>
          <w:rFonts w:cs="Arial"/>
          <w:color w:val="000000" w:themeColor="text1"/>
        </w:rPr>
        <w:t>bination with a severe loss of coral cover</w:t>
      </w:r>
      <w:r w:rsidR="000F261B">
        <w:rPr>
          <w:rFonts w:cs="Arial"/>
          <w:color w:val="000000" w:themeColor="text1"/>
        </w:rPr>
        <w:t>, and so increased spaced categorised as available to settlement</w:t>
      </w:r>
      <w:r w:rsidRPr="00A162C6">
        <w:rPr>
          <w:rFonts w:cs="Arial"/>
          <w:color w:val="000000" w:themeColor="text1"/>
        </w:rPr>
        <w:t xml:space="preserve">, </w:t>
      </w:r>
      <w:r w:rsidR="000F261B">
        <w:rPr>
          <w:rFonts w:cs="Arial"/>
          <w:color w:val="000000" w:themeColor="text1"/>
        </w:rPr>
        <w:t xml:space="preserve">this reduction in juvenile abundance </w:t>
      </w:r>
      <w:r w:rsidRPr="00A162C6">
        <w:rPr>
          <w:rFonts w:cs="Arial"/>
          <w:color w:val="000000" w:themeColor="text1"/>
        </w:rPr>
        <w:t xml:space="preserve">resulted in </w:t>
      </w:r>
      <w:r w:rsidR="00A162C6" w:rsidRPr="00A162C6">
        <w:rPr>
          <w:rFonts w:cs="Arial"/>
          <w:color w:val="000000" w:themeColor="text1"/>
        </w:rPr>
        <w:t xml:space="preserve">a clear decline in </w:t>
      </w:r>
      <w:r w:rsidR="00EF6A72">
        <w:rPr>
          <w:rFonts w:cs="Arial"/>
          <w:color w:val="000000" w:themeColor="text1"/>
        </w:rPr>
        <w:t xml:space="preserve">the </w:t>
      </w:r>
      <w:r w:rsidR="00A162C6" w:rsidRPr="00A162C6">
        <w:rPr>
          <w:rFonts w:cs="Arial"/>
          <w:color w:val="000000" w:themeColor="text1"/>
        </w:rPr>
        <w:t>Ju</w:t>
      </w:r>
      <w:r w:rsidRPr="00A162C6">
        <w:rPr>
          <w:rFonts w:cs="Arial"/>
          <w:color w:val="000000" w:themeColor="text1"/>
        </w:rPr>
        <w:t>venile met</w:t>
      </w:r>
      <w:r w:rsidR="00A162C6" w:rsidRPr="00A162C6">
        <w:rPr>
          <w:rFonts w:cs="Arial"/>
          <w:color w:val="000000" w:themeColor="text1"/>
        </w:rPr>
        <w:t>r</w:t>
      </w:r>
      <w:r w:rsidRPr="00A162C6">
        <w:rPr>
          <w:rFonts w:cs="Arial"/>
          <w:color w:val="000000" w:themeColor="text1"/>
        </w:rPr>
        <w:t xml:space="preserve">ic </w:t>
      </w:r>
      <w:r w:rsidR="00A162C6" w:rsidRPr="00A162C6">
        <w:rPr>
          <w:rFonts w:cs="Arial"/>
          <w:color w:val="000000" w:themeColor="text1"/>
        </w:rPr>
        <w:t>f</w:t>
      </w:r>
      <w:r w:rsidR="00C0452E">
        <w:rPr>
          <w:rFonts w:cs="Arial"/>
          <w:color w:val="000000" w:themeColor="text1"/>
        </w:rPr>
        <w:t>r</w:t>
      </w:r>
      <w:r w:rsidR="00EF6A72">
        <w:rPr>
          <w:rFonts w:cs="Arial"/>
          <w:color w:val="000000" w:themeColor="text1"/>
        </w:rPr>
        <w:t xml:space="preserve">om being </w:t>
      </w:r>
      <w:r w:rsidR="00A162C6" w:rsidRPr="00A162C6">
        <w:rPr>
          <w:rFonts w:cs="Arial"/>
          <w:color w:val="000000" w:themeColor="text1"/>
        </w:rPr>
        <w:t xml:space="preserve">classified as </w:t>
      </w:r>
      <w:r w:rsidR="00E903AD" w:rsidRPr="00A162C6">
        <w:rPr>
          <w:rFonts w:cs="Arial"/>
          <w:color w:val="000000" w:themeColor="text1"/>
        </w:rPr>
        <w:t xml:space="preserve">‘good’ 2016 to ‘poor’ in 2017. </w:t>
      </w:r>
      <w:r w:rsidR="00A162C6" w:rsidRPr="00A162C6">
        <w:rPr>
          <w:rFonts w:cs="Arial"/>
          <w:color w:val="000000" w:themeColor="text1"/>
        </w:rPr>
        <w:t xml:space="preserve">Juvenile density </w:t>
      </w:r>
      <w:r w:rsidR="006E6550" w:rsidRPr="00A162C6">
        <w:rPr>
          <w:rFonts w:cs="Arial"/>
          <w:color w:val="000000" w:themeColor="text1"/>
        </w:rPr>
        <w:t>in the Fitzroy region</w:t>
      </w:r>
      <w:r w:rsidR="006E6550">
        <w:rPr>
          <w:rFonts w:cs="Arial"/>
          <w:color w:val="000000" w:themeColor="text1"/>
        </w:rPr>
        <w:t xml:space="preserve"> </w:t>
      </w:r>
      <w:r w:rsidR="006E6550" w:rsidRPr="00A162C6">
        <w:rPr>
          <w:rFonts w:cs="Arial"/>
          <w:color w:val="000000" w:themeColor="text1"/>
        </w:rPr>
        <w:t>remains low</w:t>
      </w:r>
      <w:r w:rsidR="006E6550">
        <w:rPr>
          <w:rFonts w:cs="Arial"/>
          <w:color w:val="000000" w:themeColor="text1"/>
        </w:rPr>
        <w:t>,</w:t>
      </w:r>
      <w:r w:rsidR="006E6550" w:rsidRPr="00A162C6">
        <w:rPr>
          <w:rFonts w:cs="Arial"/>
          <w:color w:val="000000" w:themeColor="text1"/>
        </w:rPr>
        <w:t xml:space="preserve"> </w:t>
      </w:r>
      <w:r w:rsidR="006E6550">
        <w:rPr>
          <w:rFonts w:cs="Arial"/>
          <w:color w:val="000000" w:themeColor="text1"/>
        </w:rPr>
        <w:t xml:space="preserve">although </w:t>
      </w:r>
      <w:r w:rsidR="00A162C6" w:rsidRPr="00A162C6">
        <w:rPr>
          <w:rFonts w:cs="Arial"/>
          <w:color w:val="000000" w:themeColor="text1"/>
        </w:rPr>
        <w:t>gradually increas</w:t>
      </w:r>
      <w:r w:rsidR="006E6550">
        <w:rPr>
          <w:rFonts w:cs="Arial"/>
          <w:color w:val="000000" w:themeColor="text1"/>
        </w:rPr>
        <w:t>ing</w:t>
      </w:r>
      <w:r w:rsidR="00A162C6" w:rsidRPr="00A162C6">
        <w:rPr>
          <w:rFonts w:cs="Arial"/>
          <w:color w:val="000000" w:themeColor="text1"/>
        </w:rPr>
        <w:t>.</w:t>
      </w:r>
    </w:p>
    <w:p w14:paraId="2114606E" w14:textId="77777777" w:rsidR="00EC3B6E" w:rsidRPr="00EB002F" w:rsidRDefault="00A462A9" w:rsidP="00A462A9">
      <w:pPr>
        <w:rPr>
          <w:rFonts w:cs="Arial"/>
          <w:color w:val="000000" w:themeColor="text1"/>
        </w:rPr>
      </w:pPr>
      <w:r w:rsidRPr="00EB002F">
        <w:rPr>
          <w:rFonts w:cs="Arial"/>
          <w:color w:val="000000" w:themeColor="text1"/>
        </w:rPr>
        <w:t xml:space="preserve">The early life history stages of corals are sensitive to a range of water quality parameters (Fabricius 2011). </w:t>
      </w:r>
      <w:r w:rsidR="00B57B0C" w:rsidRPr="00EB002F">
        <w:rPr>
          <w:rFonts w:cs="Arial"/>
          <w:color w:val="000000" w:themeColor="text1"/>
        </w:rPr>
        <w:t>Direct effects of high concentrations of s</w:t>
      </w:r>
      <w:r w:rsidR="0037390A" w:rsidRPr="00EB002F">
        <w:rPr>
          <w:rFonts w:cs="Arial"/>
          <w:color w:val="000000" w:themeColor="text1"/>
        </w:rPr>
        <w:t>uspended sediments</w:t>
      </w:r>
      <w:r w:rsidR="00B57B0C" w:rsidRPr="00EB002F">
        <w:rPr>
          <w:rFonts w:cs="Arial"/>
          <w:color w:val="000000" w:themeColor="text1"/>
        </w:rPr>
        <w:t xml:space="preserve"> </w:t>
      </w:r>
      <w:r w:rsidR="006E6550">
        <w:rPr>
          <w:rFonts w:cs="Arial"/>
          <w:color w:val="000000" w:themeColor="text1"/>
        </w:rPr>
        <w:t xml:space="preserve">can </w:t>
      </w:r>
      <w:r w:rsidR="00B57B0C" w:rsidRPr="00EB002F">
        <w:rPr>
          <w:rFonts w:cs="Arial"/>
          <w:color w:val="000000" w:themeColor="text1"/>
        </w:rPr>
        <w:t xml:space="preserve">reduce fertilisation </w:t>
      </w:r>
      <w:r w:rsidR="0037390A" w:rsidRPr="00EB002F">
        <w:rPr>
          <w:rFonts w:cs="Arial"/>
          <w:color w:val="000000" w:themeColor="text1"/>
        </w:rPr>
        <w:t>(</w:t>
      </w:r>
      <w:r w:rsidR="00B57B0C" w:rsidRPr="00EB002F">
        <w:rPr>
          <w:rFonts w:cs="Arial"/>
          <w:color w:val="000000" w:themeColor="text1"/>
        </w:rPr>
        <w:t xml:space="preserve">Ricardo </w:t>
      </w:r>
      <w:r w:rsidR="00B57B0C" w:rsidRPr="003B3206">
        <w:rPr>
          <w:rFonts w:cs="Arial"/>
          <w:i/>
          <w:color w:val="000000" w:themeColor="text1"/>
        </w:rPr>
        <w:t>et al.</w:t>
      </w:r>
      <w:r w:rsidR="00B57B0C" w:rsidRPr="00EB002F">
        <w:rPr>
          <w:rFonts w:cs="Arial"/>
          <w:color w:val="000000" w:themeColor="text1"/>
        </w:rPr>
        <w:t xml:space="preserve"> 2016</w:t>
      </w:r>
      <w:r w:rsidR="0037390A" w:rsidRPr="00EB002F">
        <w:rPr>
          <w:rFonts w:cs="Arial"/>
          <w:color w:val="000000" w:themeColor="text1"/>
        </w:rPr>
        <w:t xml:space="preserve">) </w:t>
      </w:r>
      <w:r w:rsidR="00B57B0C" w:rsidRPr="00EB002F">
        <w:rPr>
          <w:rFonts w:cs="Arial"/>
          <w:color w:val="000000" w:themeColor="text1"/>
        </w:rPr>
        <w:t xml:space="preserve">whereas the </w:t>
      </w:r>
      <w:r w:rsidR="008F5352" w:rsidRPr="00EB002F">
        <w:rPr>
          <w:rFonts w:cs="Arial"/>
          <w:color w:val="000000" w:themeColor="text1"/>
        </w:rPr>
        <w:t>accumulation of sediments on the subst</w:t>
      </w:r>
      <w:r w:rsidR="003A130E" w:rsidRPr="00EB002F">
        <w:rPr>
          <w:rFonts w:cs="Arial"/>
          <w:color w:val="000000" w:themeColor="text1"/>
        </w:rPr>
        <w:t>r</w:t>
      </w:r>
      <w:r w:rsidR="008F5352" w:rsidRPr="00EB002F">
        <w:rPr>
          <w:rFonts w:cs="Arial"/>
          <w:color w:val="000000" w:themeColor="text1"/>
        </w:rPr>
        <w:t xml:space="preserve">ate </w:t>
      </w:r>
      <w:r w:rsidR="00B57B0C" w:rsidRPr="00EB002F">
        <w:rPr>
          <w:rFonts w:cs="Arial"/>
          <w:color w:val="000000" w:themeColor="text1"/>
        </w:rPr>
        <w:t>can preclude</w:t>
      </w:r>
      <w:r w:rsidR="008F5352" w:rsidRPr="00EB002F">
        <w:rPr>
          <w:rFonts w:cs="Arial"/>
          <w:color w:val="000000" w:themeColor="text1"/>
        </w:rPr>
        <w:t xml:space="preserve"> larval settlement (</w:t>
      </w:r>
      <w:r w:rsidR="003A130E" w:rsidRPr="00EB002F">
        <w:rPr>
          <w:rFonts w:cs="Arial"/>
          <w:color w:val="000000" w:themeColor="text1"/>
        </w:rPr>
        <w:t xml:space="preserve">Ricardo </w:t>
      </w:r>
      <w:r w:rsidR="003A130E" w:rsidRPr="00EB002F">
        <w:rPr>
          <w:rFonts w:cs="Arial"/>
          <w:i/>
          <w:color w:val="000000" w:themeColor="text1"/>
        </w:rPr>
        <w:t>et al.</w:t>
      </w:r>
      <w:r w:rsidR="003A130E" w:rsidRPr="00EB002F">
        <w:rPr>
          <w:rFonts w:cs="Arial"/>
          <w:color w:val="000000" w:themeColor="text1"/>
        </w:rPr>
        <w:t xml:space="preserve"> 2017</w:t>
      </w:r>
      <w:r w:rsidR="008F5352" w:rsidRPr="00EB002F">
        <w:rPr>
          <w:rFonts w:cs="Arial"/>
          <w:color w:val="000000" w:themeColor="text1"/>
        </w:rPr>
        <w:t xml:space="preserve">). In contrast, conditions that promote macroalgae are likely to have secondary effects on larval </w:t>
      </w:r>
      <w:r w:rsidR="00EB002F" w:rsidRPr="00EB002F">
        <w:rPr>
          <w:rFonts w:cs="Arial"/>
          <w:color w:val="000000" w:themeColor="text1"/>
        </w:rPr>
        <w:t xml:space="preserve">settlement and survival (Tanner 1995, McCook </w:t>
      </w:r>
      <w:r w:rsidR="00EB002F" w:rsidRPr="00EB002F">
        <w:rPr>
          <w:rFonts w:cs="Arial"/>
          <w:i/>
          <w:color w:val="000000" w:themeColor="text1"/>
        </w:rPr>
        <w:t>et al.</w:t>
      </w:r>
      <w:r w:rsidR="00EB002F" w:rsidRPr="00EB002F">
        <w:rPr>
          <w:rFonts w:cs="Arial"/>
          <w:color w:val="000000" w:themeColor="text1"/>
        </w:rPr>
        <w:t xml:space="preserve"> 2001, Birrell </w:t>
      </w:r>
      <w:r w:rsidR="00EB002F" w:rsidRPr="00EB002F">
        <w:rPr>
          <w:rFonts w:cs="Arial"/>
          <w:i/>
          <w:color w:val="000000" w:themeColor="text1"/>
        </w:rPr>
        <w:t>et al.</w:t>
      </w:r>
      <w:r w:rsidR="00EB002F" w:rsidRPr="00EB002F">
        <w:rPr>
          <w:rFonts w:cs="Arial"/>
          <w:color w:val="000000" w:themeColor="text1"/>
        </w:rPr>
        <w:t xml:space="preserve"> 2005, 2008a, b)</w:t>
      </w:r>
      <w:r w:rsidR="008F5352" w:rsidRPr="00EB002F">
        <w:rPr>
          <w:rFonts w:cs="Arial"/>
          <w:color w:val="000000" w:themeColor="text1"/>
        </w:rPr>
        <w:t xml:space="preserve">. </w:t>
      </w:r>
      <w:r w:rsidRPr="00EB002F">
        <w:rPr>
          <w:rFonts w:cs="Arial"/>
          <w:color w:val="000000" w:themeColor="text1"/>
        </w:rPr>
        <w:t xml:space="preserve">That the </w:t>
      </w:r>
      <w:r w:rsidR="008F5352" w:rsidRPr="00EB002F">
        <w:rPr>
          <w:rFonts w:cs="Arial"/>
          <w:color w:val="000000" w:themeColor="text1"/>
        </w:rPr>
        <w:t xml:space="preserve">density of juvenile </w:t>
      </w:r>
      <w:r w:rsidRPr="00EB002F">
        <w:rPr>
          <w:rFonts w:cs="Arial"/>
          <w:color w:val="000000" w:themeColor="text1"/>
        </w:rPr>
        <w:t xml:space="preserve">corals </w:t>
      </w:r>
      <w:r w:rsidR="008F5352" w:rsidRPr="00EB002F">
        <w:rPr>
          <w:rFonts w:cs="Arial"/>
          <w:color w:val="000000" w:themeColor="text1"/>
        </w:rPr>
        <w:t xml:space="preserve">does not correspond to observed gradients in water quality likely reflects the </w:t>
      </w:r>
      <w:r w:rsidR="00EB002F" w:rsidRPr="00EB002F">
        <w:rPr>
          <w:rFonts w:cs="Arial"/>
          <w:color w:val="000000" w:themeColor="text1"/>
        </w:rPr>
        <w:t>action</w:t>
      </w:r>
      <w:r w:rsidR="00DB0445" w:rsidRPr="00EB002F">
        <w:rPr>
          <w:rFonts w:cs="Arial"/>
          <w:color w:val="000000" w:themeColor="text1"/>
        </w:rPr>
        <w:t xml:space="preserve"> of confounding influences, such as acute disturbances </w:t>
      </w:r>
      <w:r w:rsidR="00EB002F" w:rsidRPr="00EB002F">
        <w:rPr>
          <w:rFonts w:cs="Arial"/>
          <w:color w:val="000000" w:themeColor="text1"/>
        </w:rPr>
        <w:t xml:space="preserve">or variable connectivity to </w:t>
      </w:r>
      <w:r w:rsidR="00DB0445" w:rsidRPr="00EB002F">
        <w:rPr>
          <w:rFonts w:cs="Arial"/>
          <w:color w:val="000000" w:themeColor="text1"/>
        </w:rPr>
        <w:t xml:space="preserve">bloodstock </w:t>
      </w:r>
      <w:r w:rsidR="00EB002F" w:rsidRPr="00EB002F">
        <w:rPr>
          <w:rFonts w:cs="Arial"/>
          <w:color w:val="000000" w:themeColor="text1"/>
        </w:rPr>
        <w:t>populations</w:t>
      </w:r>
      <w:r w:rsidR="00DB0445" w:rsidRPr="00EB002F">
        <w:rPr>
          <w:rFonts w:cs="Arial"/>
          <w:color w:val="000000" w:themeColor="text1"/>
        </w:rPr>
        <w:t xml:space="preserve">. </w:t>
      </w:r>
      <w:r w:rsidR="00EC3B6E" w:rsidRPr="00EB002F">
        <w:rPr>
          <w:rFonts w:cs="Arial"/>
          <w:color w:val="000000" w:themeColor="text1"/>
        </w:rPr>
        <w:t xml:space="preserve">Disentangling such influences remains a challenge. As an example, shallow water corals in the inshore areas of the Fitzroy Region were killed by flooding in 2011 and subsequently replaced by macroalgae (Berkelmans </w:t>
      </w:r>
      <w:r w:rsidR="00EC3B6E" w:rsidRPr="00EB002F">
        <w:rPr>
          <w:rFonts w:cs="Arial"/>
          <w:i/>
          <w:color w:val="000000" w:themeColor="text1"/>
        </w:rPr>
        <w:t>et al.</w:t>
      </w:r>
      <w:r w:rsidR="00EC3B6E" w:rsidRPr="00EB002F">
        <w:rPr>
          <w:rFonts w:cs="Arial"/>
          <w:color w:val="000000" w:themeColor="text1"/>
        </w:rPr>
        <w:t xml:space="preserve"> 2012, data herein), juvenile densities have remained very low ever since, but </w:t>
      </w:r>
      <w:r w:rsidR="003A130E" w:rsidRPr="00EB002F">
        <w:rPr>
          <w:rFonts w:cs="Arial"/>
          <w:color w:val="000000" w:themeColor="text1"/>
        </w:rPr>
        <w:t xml:space="preserve">we cannot distinguish between the relative roles of reduced </w:t>
      </w:r>
      <w:r w:rsidR="00EC3B6E" w:rsidRPr="00EB002F">
        <w:rPr>
          <w:rFonts w:cs="Arial"/>
          <w:color w:val="000000" w:themeColor="text1"/>
        </w:rPr>
        <w:t>local bloodstock</w:t>
      </w:r>
      <w:r w:rsidR="003A130E" w:rsidRPr="00EB002F">
        <w:rPr>
          <w:rFonts w:cs="Arial"/>
          <w:color w:val="000000" w:themeColor="text1"/>
        </w:rPr>
        <w:t xml:space="preserve"> and </w:t>
      </w:r>
      <w:r w:rsidR="006E6550">
        <w:rPr>
          <w:rFonts w:cs="Arial"/>
          <w:color w:val="000000" w:themeColor="text1"/>
        </w:rPr>
        <w:t xml:space="preserve">high cover of </w:t>
      </w:r>
      <w:r w:rsidR="00EC3B6E" w:rsidRPr="00EB002F">
        <w:rPr>
          <w:rFonts w:cs="Arial"/>
          <w:color w:val="000000" w:themeColor="text1"/>
        </w:rPr>
        <w:t xml:space="preserve">macroalgae </w:t>
      </w:r>
      <w:r w:rsidR="003A130E" w:rsidRPr="00EB002F">
        <w:rPr>
          <w:rFonts w:cs="Arial"/>
          <w:color w:val="000000" w:themeColor="text1"/>
        </w:rPr>
        <w:t xml:space="preserve">in the realised lack of coral recruitment. </w:t>
      </w:r>
    </w:p>
    <w:p w14:paraId="25C41FD9" w14:textId="77777777" w:rsidR="00A462A9" w:rsidRPr="00EB002F" w:rsidRDefault="00DB0445" w:rsidP="00A462A9">
      <w:pPr>
        <w:rPr>
          <w:rFonts w:cs="Arial"/>
          <w:color w:val="000000" w:themeColor="text1"/>
        </w:rPr>
      </w:pPr>
      <w:r w:rsidRPr="00EB002F">
        <w:rPr>
          <w:rFonts w:cs="Arial"/>
          <w:color w:val="000000" w:themeColor="text1"/>
        </w:rPr>
        <w:t xml:space="preserve">It is also apparent that sensitivity </w:t>
      </w:r>
      <w:r w:rsidR="00EC3B6E" w:rsidRPr="00EB002F">
        <w:rPr>
          <w:rFonts w:cs="Arial"/>
          <w:color w:val="000000" w:themeColor="text1"/>
        </w:rPr>
        <w:t xml:space="preserve">of juvenile corals </w:t>
      </w:r>
      <w:r w:rsidRPr="00EB002F">
        <w:rPr>
          <w:rFonts w:cs="Arial"/>
          <w:color w:val="000000" w:themeColor="text1"/>
        </w:rPr>
        <w:t xml:space="preserve">to environmental conditions likely varies among species. Some of the highest densities of Juvenile corals occur in the Herbert-Tully and Burdekin (sub-)regions on reefs were the genus </w:t>
      </w:r>
      <w:r w:rsidRPr="00EB002F">
        <w:rPr>
          <w:rFonts w:cs="Arial"/>
          <w:i/>
          <w:color w:val="000000" w:themeColor="text1"/>
        </w:rPr>
        <w:t>Turbinaria</w:t>
      </w:r>
      <w:r w:rsidRPr="00EB002F">
        <w:rPr>
          <w:rFonts w:cs="Arial"/>
          <w:color w:val="000000" w:themeColor="text1"/>
        </w:rPr>
        <w:t xml:space="preserve"> recruits in vast numbers. </w:t>
      </w:r>
      <w:r w:rsidR="006D7C98" w:rsidRPr="00EB002F">
        <w:rPr>
          <w:rFonts w:cs="Arial"/>
          <w:color w:val="000000" w:themeColor="text1"/>
        </w:rPr>
        <w:t>As this genus was not well represented in the adult community prior to the successive cyclonic disturbances in 2006 and 2011, it is unclear whether this recruitment pattern is simply due to natural variability or indicates the selection for species more suited to the recent environmental conditions (Sofonia &amp; Anthony 2008). The high density of juveniles clearly tolerant of poor water quality at some reefs confound the analysis in this report that compare</w:t>
      </w:r>
      <w:r w:rsidR="006E6550">
        <w:rPr>
          <w:rFonts w:cs="Arial"/>
          <w:color w:val="000000" w:themeColor="text1"/>
        </w:rPr>
        <w:t>s</w:t>
      </w:r>
      <w:r w:rsidR="006D7C98" w:rsidRPr="00EB002F">
        <w:rPr>
          <w:rFonts w:cs="Arial"/>
          <w:color w:val="000000" w:themeColor="text1"/>
        </w:rPr>
        <w:t xml:space="preserve"> total juvenile densities</w:t>
      </w:r>
      <w:r w:rsidR="003A130E" w:rsidRPr="00EB002F">
        <w:rPr>
          <w:rFonts w:cs="Arial"/>
          <w:color w:val="000000" w:themeColor="text1"/>
        </w:rPr>
        <w:t xml:space="preserve"> only. A possible solution would be the development of a metric that include</w:t>
      </w:r>
      <w:r w:rsidR="001E61D9">
        <w:rPr>
          <w:rFonts w:cs="Arial"/>
          <w:color w:val="000000" w:themeColor="text1"/>
        </w:rPr>
        <w:t>s</w:t>
      </w:r>
      <w:r w:rsidR="003A130E" w:rsidRPr="00EB002F">
        <w:rPr>
          <w:rFonts w:cs="Arial"/>
          <w:color w:val="000000" w:themeColor="text1"/>
        </w:rPr>
        <w:t xml:space="preserve"> consideration of community composition in addition to abundance</w:t>
      </w:r>
      <w:r w:rsidR="001E61D9">
        <w:rPr>
          <w:rFonts w:cs="Arial"/>
          <w:color w:val="000000" w:themeColor="text1"/>
        </w:rPr>
        <w:t xml:space="preserve"> of juveniles</w:t>
      </w:r>
      <w:r w:rsidR="003A130E" w:rsidRPr="00EB002F">
        <w:rPr>
          <w:rFonts w:cs="Arial"/>
          <w:color w:val="000000" w:themeColor="text1"/>
        </w:rPr>
        <w:t xml:space="preserve">, or focused on a group, such as, </w:t>
      </w:r>
      <w:r w:rsidR="003A130E" w:rsidRPr="00EB002F">
        <w:rPr>
          <w:rFonts w:cs="Arial"/>
          <w:i/>
          <w:color w:val="000000" w:themeColor="text1"/>
        </w:rPr>
        <w:t>Acropora</w:t>
      </w:r>
      <w:r w:rsidR="003A130E" w:rsidRPr="00EB002F">
        <w:rPr>
          <w:rFonts w:cs="Arial"/>
          <w:color w:val="000000" w:themeColor="text1"/>
        </w:rPr>
        <w:t xml:space="preserve"> that is important for recovery of coral communities</w:t>
      </w:r>
      <w:r w:rsidR="00A462A9" w:rsidRPr="00EB002F">
        <w:rPr>
          <w:rFonts w:cs="Arial"/>
          <w:color w:val="000000" w:themeColor="text1"/>
        </w:rPr>
        <w:t xml:space="preserve">. </w:t>
      </w:r>
    </w:p>
    <w:p w14:paraId="70069109" w14:textId="77777777" w:rsidR="00220401" w:rsidRPr="00DE1347" w:rsidRDefault="00220401" w:rsidP="00607BCA">
      <w:pPr>
        <w:pStyle w:val="Heading2"/>
        <w:spacing w:before="240" w:after="240"/>
        <w:rPr>
          <w:color w:val="auto"/>
        </w:rPr>
      </w:pPr>
      <w:bookmarkStart w:id="277" w:name="_Toc514408428"/>
      <w:r w:rsidRPr="00DE1347">
        <w:rPr>
          <w:color w:val="auto"/>
        </w:rPr>
        <w:t>6.3 Regional summaries</w:t>
      </w:r>
      <w:bookmarkEnd w:id="277"/>
    </w:p>
    <w:p w14:paraId="46F6F1DE" w14:textId="77777777" w:rsidR="00A462A9" w:rsidRPr="00F352E1" w:rsidRDefault="00607BCA" w:rsidP="00607BCA">
      <w:pPr>
        <w:pStyle w:val="Heading3"/>
      </w:pPr>
      <w:bookmarkStart w:id="278" w:name="_Toc514408429"/>
      <w:r>
        <w:t xml:space="preserve">6.3.1 </w:t>
      </w:r>
      <w:r w:rsidR="00A462A9" w:rsidRPr="00F352E1">
        <w:t>Wet Tropics</w:t>
      </w:r>
      <w:bookmarkEnd w:id="278"/>
    </w:p>
    <w:p w14:paraId="0AA9A532" w14:textId="77777777" w:rsidR="008C24F2" w:rsidRPr="00DE1347" w:rsidRDefault="00303C3B" w:rsidP="003778F8">
      <w:r>
        <w:t xml:space="preserve">Impacts from coral bleaching, and to a lesser degree COTS, prior to surveys in 2017 interrupted a period of improving </w:t>
      </w:r>
      <w:r w:rsidR="003778F8" w:rsidRPr="00BF50F8">
        <w:t xml:space="preserve">coral index </w:t>
      </w:r>
      <w:r>
        <w:t xml:space="preserve">scores </w:t>
      </w:r>
      <w:r w:rsidR="003778F8" w:rsidRPr="00BF50F8">
        <w:t xml:space="preserve">since a low point in 2013. </w:t>
      </w:r>
      <w:r w:rsidR="008C24F2" w:rsidRPr="00DE1347">
        <w:t xml:space="preserve">Within the region, only the Herbert Tully sub-region, where recovery from the severe impacts of Cyclone Yasi is clearly occurring, continued to show improvement in the coral index. </w:t>
      </w:r>
      <w:r w:rsidR="008B1F79">
        <w:t>Within this</w:t>
      </w:r>
      <w:r w:rsidR="008C24F2" w:rsidRPr="00DE1347">
        <w:t xml:space="preserve"> sub-region, of the five metrics included in the coral index it was only Macroalgae at 5 m depth that had not improved through to 2017.</w:t>
      </w:r>
    </w:p>
    <w:p w14:paraId="293336F2" w14:textId="77777777" w:rsidR="003778F8" w:rsidRPr="006C2C33" w:rsidRDefault="003778F8" w:rsidP="003778F8">
      <w:r w:rsidRPr="006C2C33">
        <w:t>Impacts from thermal bleaching were widespread throughout the region, most notably in the Johnstone Russell</w:t>
      </w:r>
      <w:r w:rsidR="008C24F2" w:rsidRPr="006C2C33">
        <w:t xml:space="preserve"> – </w:t>
      </w:r>
      <w:r w:rsidRPr="006C2C33">
        <w:t>Mulgrave sub-region where there were clear declines in the Coral Cover metric at both 2 m and 5 m depths. In contrast, the Coral Cover metric in the He</w:t>
      </w:r>
      <w:r w:rsidR="006E6550">
        <w:t>rbert-Tully sub-region continued</w:t>
      </w:r>
      <w:r w:rsidRPr="006C2C33">
        <w:t xml:space="preserve"> to improve despite the impacts of beaching over the 2016</w:t>
      </w:r>
      <w:r w:rsidR="00392304">
        <w:t>/</w:t>
      </w:r>
      <w:r w:rsidRPr="006C2C33">
        <w:t>17 summer. In the Barron</w:t>
      </w:r>
      <w:r w:rsidR="00392304">
        <w:t>-</w:t>
      </w:r>
      <w:r w:rsidRPr="006C2C33">
        <w:t xml:space="preserve"> Daintree</w:t>
      </w:r>
      <w:r w:rsidR="005D2BA4">
        <w:t xml:space="preserve"> sub-region</w:t>
      </w:r>
      <w:r w:rsidRPr="006C2C33">
        <w:t xml:space="preserve">, the loss of coral cover as a result of bleaching had little impact on the Coral Cover metric. It should be noted that due to timing of surveys, no impacts from bleaching were observed on any of the three </w:t>
      </w:r>
      <w:r w:rsidR="006E6550" w:rsidRPr="006C2C33">
        <w:t xml:space="preserve">reefs in the region </w:t>
      </w:r>
      <w:r w:rsidR="006E6550">
        <w:t>monitored by the LTMP</w:t>
      </w:r>
      <w:r w:rsidRPr="006C2C33">
        <w:t xml:space="preserve">. It is reasonable to expect that subsequent surveys of these reefs may indeed show declines in coral cover resulting from this bleaching event, in turn affecting future assessment of the </w:t>
      </w:r>
      <w:r w:rsidR="003F2219">
        <w:t>c</w:t>
      </w:r>
      <w:r w:rsidR="003F2219" w:rsidRPr="006C2C33">
        <w:t xml:space="preserve">oral </w:t>
      </w:r>
      <w:r w:rsidR="00EA568E">
        <w:t>index</w:t>
      </w:r>
      <w:r w:rsidRPr="006C2C33">
        <w:t>.</w:t>
      </w:r>
      <w:r w:rsidR="00303C3B">
        <w:t xml:space="preserve"> </w:t>
      </w:r>
    </w:p>
    <w:p w14:paraId="2CCFBC34" w14:textId="77777777" w:rsidR="008C24F2" w:rsidRPr="006C2C33" w:rsidRDefault="008C24F2" w:rsidP="003778F8">
      <w:r w:rsidRPr="006C2C33">
        <w:t>Compounding the effects of the bleaching is the continued presence of COTS with</w:t>
      </w:r>
      <w:r w:rsidR="005B70D5">
        <w:t xml:space="preserve"> this being </w:t>
      </w:r>
      <w:r w:rsidRPr="006C2C33">
        <w:t>the only region where the current outbreak of COTS has impacted inshore reefs. In 2017 COTS were again observed at Fitzroy, the Frank</w:t>
      </w:r>
      <w:r w:rsidR="005B70D5">
        <w:t>land G</w:t>
      </w:r>
      <w:r w:rsidRPr="006C2C33">
        <w:t>roup and High, and contributed to coral losses observed in the Johnstone Russell – Mulgrave sub-region.</w:t>
      </w:r>
      <w:r w:rsidR="009426CD" w:rsidRPr="006C2C33">
        <w:t xml:space="preserve"> </w:t>
      </w:r>
      <w:r w:rsidR="009426CD" w:rsidRPr="00DE1347">
        <w:t>Helping to mitigate the impact of COTS in this region has been the ongoing removal of COTS</w:t>
      </w:r>
      <w:r w:rsidR="009426CD" w:rsidRPr="00DE1347">
        <w:rPr>
          <w:rStyle w:val="FootnoteReference"/>
        </w:rPr>
        <w:footnoteReference w:id="4"/>
      </w:r>
      <w:r w:rsidR="009426CD" w:rsidRPr="00DE1347">
        <w:t xml:space="preserve"> with </w:t>
      </w:r>
      <w:r w:rsidR="006C2C33">
        <w:t>14,990</w:t>
      </w:r>
      <w:r w:rsidR="009426CD" w:rsidRPr="00DE1347">
        <w:t xml:space="preserve"> </w:t>
      </w:r>
      <w:r w:rsidR="005634A3">
        <w:t>individuals</w:t>
      </w:r>
      <w:r w:rsidR="003F2219" w:rsidRPr="00DE1347">
        <w:t xml:space="preserve"> </w:t>
      </w:r>
      <w:r w:rsidR="009426CD" w:rsidRPr="00DE1347">
        <w:t>removed from the monitoring reefs in this region prior to surveys in 2017. The observation of juvenile COTS at Fitzroy, the Frankland Group and High Island present the likelihood of further loss of corals as this cohort matures, suggesting ongoing benefit of population control to protect these valuable sites for tourism.</w:t>
      </w:r>
    </w:p>
    <w:p w14:paraId="3873EC03" w14:textId="77777777" w:rsidR="003778F8" w:rsidRDefault="00EB002F" w:rsidP="00A462A9">
      <w:pPr>
        <w:rPr>
          <w:color w:val="4F81BD" w:themeColor="accent1"/>
        </w:rPr>
      </w:pPr>
      <w:r>
        <w:t xml:space="preserve">Importantly, </w:t>
      </w:r>
      <w:r w:rsidR="001E61D9">
        <w:t xml:space="preserve">despite </w:t>
      </w:r>
      <w:r>
        <w:t>the impacts of bleaching</w:t>
      </w:r>
      <w:r w:rsidR="001E61D9">
        <w:t>,</w:t>
      </w:r>
      <w:r>
        <w:t xml:space="preserve"> regional mean hard coral cover remains at 27% and this, in conjunction with high scores for the Cover Change metric in recent years, provides hope for ongoing recovery.</w:t>
      </w:r>
    </w:p>
    <w:p w14:paraId="5231EFC1" w14:textId="77777777" w:rsidR="00A462A9" w:rsidRPr="00DE1347" w:rsidRDefault="00607BCA" w:rsidP="00607BCA">
      <w:pPr>
        <w:pStyle w:val="Heading3"/>
      </w:pPr>
      <w:bookmarkStart w:id="279" w:name="_Toc514408430"/>
      <w:r>
        <w:t xml:space="preserve">6.3.2 </w:t>
      </w:r>
      <w:r w:rsidR="00A462A9" w:rsidRPr="00DE1347">
        <w:t>Burdekin</w:t>
      </w:r>
      <w:bookmarkEnd w:id="279"/>
    </w:p>
    <w:p w14:paraId="60C78F96" w14:textId="77777777" w:rsidR="00B6702C" w:rsidRDefault="00434F44">
      <w:pPr>
        <w:rPr>
          <w:rFonts w:cs="Arial"/>
        </w:rPr>
      </w:pPr>
      <w:r>
        <w:rPr>
          <w:rFonts w:cs="Arial"/>
        </w:rPr>
        <w:t>The coral i</w:t>
      </w:r>
      <w:r w:rsidR="005B70D5">
        <w:rPr>
          <w:rFonts w:cs="Arial"/>
        </w:rPr>
        <w:t>ndex for the Burdekin region</w:t>
      </w:r>
      <w:r>
        <w:rPr>
          <w:rFonts w:cs="Arial"/>
        </w:rPr>
        <w:t xml:space="preserve"> remained stable </w:t>
      </w:r>
      <w:r w:rsidR="00D444A4">
        <w:rPr>
          <w:rFonts w:cs="Arial"/>
        </w:rPr>
        <w:t>with impacts associated with coral bleaching offset by recent high rates of increase in coral cover as reefs recovered from Cyclone Yasi</w:t>
      </w:r>
      <w:r>
        <w:rPr>
          <w:rFonts w:cs="Arial"/>
        </w:rPr>
        <w:t>.</w:t>
      </w:r>
      <w:r w:rsidR="00EE2B65">
        <w:rPr>
          <w:rFonts w:cs="Arial"/>
        </w:rPr>
        <w:t xml:space="preserve"> </w:t>
      </w:r>
      <w:r w:rsidR="00B6702C">
        <w:rPr>
          <w:rFonts w:cs="Arial"/>
        </w:rPr>
        <w:t>While the index has re</w:t>
      </w:r>
      <w:r w:rsidR="00D444A4">
        <w:rPr>
          <w:rFonts w:cs="Arial"/>
        </w:rPr>
        <w:t>mained stable, declines in the Coral Cover and J</w:t>
      </w:r>
      <w:r w:rsidR="00B6702C">
        <w:rPr>
          <w:rFonts w:cs="Arial"/>
        </w:rPr>
        <w:t>uvenile metrics</w:t>
      </w:r>
      <w:r w:rsidR="00D444A4">
        <w:rPr>
          <w:rFonts w:cs="Arial"/>
        </w:rPr>
        <w:t xml:space="preserve"> as a result of coral bleaching</w:t>
      </w:r>
      <w:r w:rsidR="00B6702C">
        <w:rPr>
          <w:rFonts w:cs="Arial"/>
        </w:rPr>
        <w:t>, ha</w:t>
      </w:r>
      <w:r w:rsidR="00D444A4">
        <w:rPr>
          <w:rFonts w:cs="Arial"/>
        </w:rPr>
        <w:t xml:space="preserve">lted the steady </w:t>
      </w:r>
      <w:r w:rsidR="00B6702C">
        <w:rPr>
          <w:rFonts w:cs="Arial"/>
        </w:rPr>
        <w:t xml:space="preserve">improvement in the index </w:t>
      </w:r>
      <w:r w:rsidR="00D444A4">
        <w:rPr>
          <w:rFonts w:cs="Arial"/>
        </w:rPr>
        <w:t xml:space="preserve">over the </w:t>
      </w:r>
      <w:r w:rsidR="00B6702C">
        <w:rPr>
          <w:rFonts w:cs="Arial"/>
        </w:rPr>
        <w:t xml:space="preserve">previous </w:t>
      </w:r>
      <w:r w:rsidR="00537AEA">
        <w:rPr>
          <w:rFonts w:cs="Arial"/>
        </w:rPr>
        <w:t>three</w:t>
      </w:r>
      <w:r w:rsidR="00B6702C">
        <w:rPr>
          <w:rFonts w:cs="Arial"/>
        </w:rPr>
        <w:t xml:space="preserve"> years.</w:t>
      </w:r>
      <w:r w:rsidR="00537AEA">
        <w:rPr>
          <w:rFonts w:cs="Arial"/>
        </w:rPr>
        <w:t xml:space="preserve"> </w:t>
      </w:r>
      <w:r w:rsidR="004A44E6">
        <w:rPr>
          <w:rFonts w:cs="Arial"/>
        </w:rPr>
        <w:t xml:space="preserve">It should be noted that across the region only 53% of sites were surveyed post </w:t>
      </w:r>
      <w:r w:rsidR="00475B93">
        <w:rPr>
          <w:rFonts w:cs="Arial"/>
        </w:rPr>
        <w:t xml:space="preserve">the 2017 </w:t>
      </w:r>
      <w:r w:rsidR="004A44E6">
        <w:rPr>
          <w:rFonts w:cs="Arial"/>
        </w:rPr>
        <w:t>bleaching event, with two MMP reefs not surveyed and the three LTMP reefs surve</w:t>
      </w:r>
      <w:r w:rsidR="003A529E">
        <w:rPr>
          <w:rFonts w:cs="Arial"/>
        </w:rPr>
        <w:t>yed prior to the event</w:t>
      </w:r>
      <w:r w:rsidR="004A44E6">
        <w:rPr>
          <w:rFonts w:cs="Arial"/>
        </w:rPr>
        <w:t xml:space="preserve">. As such, it is likely that the </w:t>
      </w:r>
      <w:r w:rsidR="00475B93">
        <w:rPr>
          <w:rFonts w:cs="Arial"/>
        </w:rPr>
        <w:t xml:space="preserve">2017 </w:t>
      </w:r>
      <w:r w:rsidR="00EA568E">
        <w:rPr>
          <w:rFonts w:cs="Arial"/>
        </w:rPr>
        <w:t>index</w:t>
      </w:r>
      <w:r w:rsidR="004A44E6">
        <w:rPr>
          <w:rFonts w:cs="Arial"/>
        </w:rPr>
        <w:t xml:space="preserve"> </w:t>
      </w:r>
      <w:r w:rsidR="00475B93">
        <w:rPr>
          <w:rFonts w:cs="Arial"/>
        </w:rPr>
        <w:t xml:space="preserve">score </w:t>
      </w:r>
      <w:r w:rsidR="004A44E6">
        <w:rPr>
          <w:rFonts w:cs="Arial"/>
        </w:rPr>
        <w:t>reflects an underestimate of the impacts to these coral communities</w:t>
      </w:r>
      <w:r w:rsidR="003A529E">
        <w:rPr>
          <w:rFonts w:cs="Arial"/>
        </w:rPr>
        <w:t xml:space="preserve"> and may decline further following </w:t>
      </w:r>
      <w:r w:rsidR="00D444A4">
        <w:rPr>
          <w:rFonts w:cs="Arial"/>
        </w:rPr>
        <w:t>future</w:t>
      </w:r>
      <w:r w:rsidR="003A529E">
        <w:rPr>
          <w:rFonts w:cs="Arial"/>
        </w:rPr>
        <w:t xml:space="preserve"> </w:t>
      </w:r>
      <w:r w:rsidR="00D444A4">
        <w:rPr>
          <w:rFonts w:cs="Arial"/>
        </w:rPr>
        <w:t>assessment</w:t>
      </w:r>
      <w:r w:rsidR="0059643F">
        <w:rPr>
          <w:rFonts w:cs="Arial"/>
        </w:rPr>
        <w:t>.</w:t>
      </w:r>
      <w:r w:rsidR="004A44E6">
        <w:rPr>
          <w:rFonts w:cs="Arial"/>
        </w:rPr>
        <w:t xml:space="preserve">  </w:t>
      </w:r>
    </w:p>
    <w:p w14:paraId="62DC4A7A" w14:textId="77777777" w:rsidR="00475B93" w:rsidRDefault="003C312E">
      <w:pPr>
        <w:rPr>
          <w:rFonts w:cs="Arial"/>
        </w:rPr>
      </w:pPr>
      <w:r>
        <w:rPr>
          <w:rFonts w:cs="Arial"/>
        </w:rPr>
        <w:t xml:space="preserve">Declines in juvenile density are of particular concern within the Burdekin </w:t>
      </w:r>
      <w:r w:rsidR="003F2219">
        <w:rPr>
          <w:rFonts w:cs="Arial"/>
        </w:rPr>
        <w:t>Region</w:t>
      </w:r>
      <w:r>
        <w:rPr>
          <w:rFonts w:cs="Arial"/>
        </w:rPr>
        <w:t>.</w:t>
      </w:r>
      <w:r w:rsidRPr="003C312E">
        <w:rPr>
          <w:rFonts w:cs="Arial"/>
          <w:color w:val="4F81BD" w:themeColor="accent1"/>
        </w:rPr>
        <w:t xml:space="preserve"> </w:t>
      </w:r>
      <w:r w:rsidRPr="003C312E">
        <w:rPr>
          <w:rFonts w:cs="Arial"/>
        </w:rPr>
        <w:t xml:space="preserve">Historically, recovery from acute events, in particular coral bleaching, has been slow (Sweatman </w:t>
      </w:r>
      <w:r w:rsidRPr="003C312E">
        <w:rPr>
          <w:rFonts w:cs="Arial"/>
          <w:i/>
        </w:rPr>
        <w:t>et al</w:t>
      </w:r>
      <w:r w:rsidRPr="003C312E">
        <w:rPr>
          <w:rFonts w:cs="Arial"/>
        </w:rPr>
        <w:t xml:space="preserve">. 2007, Cheal </w:t>
      </w:r>
      <w:r w:rsidRPr="003C312E">
        <w:rPr>
          <w:rFonts w:cs="Arial"/>
          <w:i/>
        </w:rPr>
        <w:t>et al.</w:t>
      </w:r>
      <w:r w:rsidRPr="003C312E">
        <w:rPr>
          <w:rFonts w:cs="Arial"/>
        </w:rPr>
        <w:t xml:space="preserve"> 2013). </w:t>
      </w:r>
      <w:r w:rsidR="00454F76">
        <w:rPr>
          <w:rFonts w:cs="Arial"/>
        </w:rPr>
        <w:t>Observation of l</w:t>
      </w:r>
      <w:r w:rsidR="00454F76" w:rsidRPr="003C312E">
        <w:rPr>
          <w:rFonts w:cs="Arial"/>
        </w:rPr>
        <w:t xml:space="preserve">ow </w:t>
      </w:r>
      <w:r w:rsidR="00454F76">
        <w:rPr>
          <w:rFonts w:cs="Arial"/>
        </w:rPr>
        <w:t xml:space="preserve">coral </w:t>
      </w:r>
      <w:r w:rsidR="00454F76" w:rsidRPr="003C312E">
        <w:rPr>
          <w:rFonts w:cs="Arial"/>
        </w:rPr>
        <w:t xml:space="preserve">settlement in this region (Thompson </w:t>
      </w:r>
      <w:r w:rsidR="00454F76" w:rsidRPr="003C312E">
        <w:rPr>
          <w:rFonts w:cs="Arial"/>
          <w:i/>
        </w:rPr>
        <w:t>et al.</w:t>
      </w:r>
      <w:r w:rsidR="00454F76" w:rsidRPr="003C312E">
        <w:rPr>
          <w:rFonts w:cs="Arial"/>
        </w:rPr>
        <w:t xml:space="preserve"> 2013)</w:t>
      </w:r>
      <w:r w:rsidR="00454F76">
        <w:rPr>
          <w:rFonts w:cs="Arial"/>
        </w:rPr>
        <w:t xml:space="preserve"> and g</w:t>
      </w:r>
      <w:r w:rsidRPr="003C312E">
        <w:rPr>
          <w:rFonts w:cs="Arial"/>
        </w:rPr>
        <w:t>enerally low densities of juvenile corals</w:t>
      </w:r>
      <w:r w:rsidR="00454F76">
        <w:rPr>
          <w:rFonts w:cs="Arial"/>
        </w:rPr>
        <w:t>,</w:t>
      </w:r>
      <w:r w:rsidRPr="003C312E">
        <w:rPr>
          <w:rFonts w:cs="Arial"/>
        </w:rPr>
        <w:t xml:space="preserve"> </w:t>
      </w:r>
      <w:r w:rsidR="00D444A4">
        <w:rPr>
          <w:rFonts w:cs="Arial"/>
        </w:rPr>
        <w:t xml:space="preserve">suggest </w:t>
      </w:r>
      <w:r w:rsidRPr="003C312E">
        <w:rPr>
          <w:rFonts w:cs="Arial"/>
        </w:rPr>
        <w:t xml:space="preserve">that slow recovery may, in part, reflect recruitment limitation. </w:t>
      </w:r>
      <w:r w:rsidR="00454F76">
        <w:rPr>
          <w:rFonts w:cs="Arial"/>
        </w:rPr>
        <w:t>Pre</w:t>
      </w:r>
      <w:r w:rsidR="00454F76" w:rsidRPr="003C312E">
        <w:rPr>
          <w:rFonts w:cs="Arial"/>
        </w:rPr>
        <w:t xml:space="preserve">liminary hydrodynamic modelling (Luick </w:t>
      </w:r>
      <w:r w:rsidR="00454F76" w:rsidRPr="003C312E">
        <w:rPr>
          <w:rFonts w:cs="Arial"/>
          <w:i/>
        </w:rPr>
        <w:t>et al.</w:t>
      </w:r>
      <w:r w:rsidR="00454F76" w:rsidRPr="003C312E">
        <w:rPr>
          <w:rFonts w:cs="Arial"/>
        </w:rPr>
        <w:t xml:space="preserve"> 2007, Connie 2.0</w:t>
      </w:r>
      <w:r w:rsidR="00454F76" w:rsidRPr="003C312E">
        <w:rPr>
          <w:rFonts w:cs="Arial"/>
          <w:vertAlign w:val="superscript"/>
        </w:rPr>
        <w:footnoteReference w:id="5"/>
      </w:r>
      <w:r w:rsidR="00454F76" w:rsidRPr="003C312E">
        <w:rPr>
          <w:rFonts w:cs="Arial"/>
        </w:rPr>
        <w:t xml:space="preserve">) and differences in population genetics of corals (Mackenzie </w:t>
      </w:r>
      <w:r w:rsidR="00454F76" w:rsidRPr="003C312E">
        <w:rPr>
          <w:rFonts w:cs="Arial"/>
          <w:i/>
        </w:rPr>
        <w:t>et al.</w:t>
      </w:r>
      <w:r w:rsidR="00454F76" w:rsidRPr="003C312E">
        <w:rPr>
          <w:rFonts w:cs="Arial"/>
        </w:rPr>
        <w:t xml:space="preserve"> 2004) both indicate limited connectivity between Halifax Bay and reefs further offshore. This isolation, coupled with the widespread loss of cover in 1998 and 2002, as a result of thermal bleaching (Berkelmans </w:t>
      </w:r>
      <w:r w:rsidR="00454F76" w:rsidRPr="003C312E">
        <w:rPr>
          <w:rFonts w:cs="Arial"/>
          <w:i/>
        </w:rPr>
        <w:t>et al</w:t>
      </w:r>
      <w:r w:rsidR="00454F76" w:rsidRPr="003C312E">
        <w:rPr>
          <w:rFonts w:cs="Arial"/>
        </w:rPr>
        <w:t xml:space="preserve">. 2004), may explain the low densities of juvenile colonies observed (Done </w:t>
      </w:r>
      <w:r w:rsidR="00454F76" w:rsidRPr="003C312E">
        <w:rPr>
          <w:rFonts w:cs="Arial"/>
          <w:i/>
        </w:rPr>
        <w:t>et al.</w:t>
      </w:r>
      <w:r w:rsidR="00454F76" w:rsidRPr="003C312E">
        <w:rPr>
          <w:rFonts w:cs="Arial"/>
        </w:rPr>
        <w:t xml:space="preserve"> 2007, Sweatman </w:t>
      </w:r>
      <w:r w:rsidR="00454F76" w:rsidRPr="003C312E">
        <w:rPr>
          <w:rFonts w:cs="Arial"/>
          <w:i/>
        </w:rPr>
        <w:t>et al</w:t>
      </w:r>
      <w:r w:rsidR="00454F76" w:rsidRPr="003C312E">
        <w:rPr>
          <w:rFonts w:cs="Arial"/>
        </w:rPr>
        <w:t xml:space="preserve">. 2007). </w:t>
      </w:r>
      <w:r w:rsidR="00475B93">
        <w:rPr>
          <w:rFonts w:cs="Arial"/>
        </w:rPr>
        <w:t>Exacerbating any supply-</w:t>
      </w:r>
      <w:r w:rsidR="00203FC8">
        <w:rPr>
          <w:rFonts w:cs="Arial"/>
        </w:rPr>
        <w:t xml:space="preserve">side limitation to coral recruitment is the </w:t>
      </w:r>
      <w:r w:rsidR="00454F76">
        <w:rPr>
          <w:rFonts w:cs="Arial"/>
        </w:rPr>
        <w:t xml:space="preserve">persistently high cover of macroalgae </w:t>
      </w:r>
      <w:r w:rsidR="00203FC8">
        <w:rPr>
          <w:rFonts w:cs="Arial"/>
        </w:rPr>
        <w:t xml:space="preserve">at several reefs that is likely to further </w:t>
      </w:r>
      <w:r w:rsidRPr="003C312E">
        <w:rPr>
          <w:rFonts w:cs="Arial"/>
        </w:rPr>
        <w:t>suppress</w:t>
      </w:r>
      <w:r w:rsidR="00203FC8">
        <w:rPr>
          <w:rFonts w:cs="Arial"/>
        </w:rPr>
        <w:t xml:space="preserve"> </w:t>
      </w:r>
      <w:r w:rsidRPr="003C312E">
        <w:rPr>
          <w:rFonts w:cs="Arial"/>
        </w:rPr>
        <w:t xml:space="preserve">recruitment </w:t>
      </w:r>
      <w:r w:rsidR="00203FC8">
        <w:rPr>
          <w:rFonts w:cs="Arial"/>
        </w:rPr>
        <w:t>success</w:t>
      </w:r>
      <w:r w:rsidRPr="003C312E">
        <w:rPr>
          <w:rFonts w:cs="Arial"/>
        </w:rPr>
        <w:t xml:space="preserve"> (Tanner 1995, McCook </w:t>
      </w:r>
      <w:r w:rsidRPr="003C312E">
        <w:rPr>
          <w:rFonts w:cs="Arial"/>
          <w:i/>
        </w:rPr>
        <w:t>et al.</w:t>
      </w:r>
      <w:r w:rsidRPr="003C312E">
        <w:rPr>
          <w:rFonts w:cs="Arial"/>
        </w:rPr>
        <w:t xml:space="preserve"> 2001, Birrell </w:t>
      </w:r>
      <w:r w:rsidRPr="003C312E">
        <w:rPr>
          <w:rFonts w:cs="Arial"/>
          <w:i/>
        </w:rPr>
        <w:t>et al.</w:t>
      </w:r>
      <w:r w:rsidRPr="003C312E">
        <w:rPr>
          <w:rFonts w:cs="Arial"/>
        </w:rPr>
        <w:t xml:space="preserve"> 2005, 2008</w:t>
      </w:r>
      <w:r w:rsidR="00BF78FE">
        <w:rPr>
          <w:rFonts w:cs="Arial"/>
        </w:rPr>
        <w:t>a, b</w:t>
      </w:r>
      <w:r w:rsidR="00203FC8">
        <w:rPr>
          <w:rFonts w:cs="Arial"/>
        </w:rPr>
        <w:t>).</w:t>
      </w:r>
      <w:r w:rsidRPr="003C312E">
        <w:rPr>
          <w:rFonts w:cs="Arial"/>
        </w:rPr>
        <w:t xml:space="preserve"> </w:t>
      </w:r>
      <w:r w:rsidR="0000788F">
        <w:rPr>
          <w:rFonts w:cs="Arial"/>
        </w:rPr>
        <w:t>Whilst macroalgae cover remains high</w:t>
      </w:r>
      <w:r w:rsidR="009F1057">
        <w:rPr>
          <w:rFonts w:cs="Arial"/>
        </w:rPr>
        <w:t>,</w:t>
      </w:r>
      <w:r w:rsidR="0000788F">
        <w:rPr>
          <w:rFonts w:cs="Arial"/>
        </w:rPr>
        <w:t xml:space="preserve"> there were notable declines at both Pandora and Havannah which will </w:t>
      </w:r>
      <w:r w:rsidR="003A529E">
        <w:rPr>
          <w:rFonts w:cs="Arial"/>
        </w:rPr>
        <w:t xml:space="preserve">potentially </w:t>
      </w:r>
      <w:r w:rsidR="0000788F">
        <w:rPr>
          <w:rFonts w:cs="Arial"/>
        </w:rPr>
        <w:t>benefi</w:t>
      </w:r>
      <w:r w:rsidR="003A529E">
        <w:rPr>
          <w:rFonts w:cs="Arial"/>
        </w:rPr>
        <w:t xml:space="preserve">t </w:t>
      </w:r>
      <w:r w:rsidR="0000788F">
        <w:rPr>
          <w:rFonts w:cs="Arial"/>
        </w:rPr>
        <w:t xml:space="preserve">recovery of these reefs. </w:t>
      </w:r>
    </w:p>
    <w:p w14:paraId="3822141F" w14:textId="77777777" w:rsidR="00A462A9" w:rsidRDefault="00203FC8">
      <w:pPr>
        <w:rPr>
          <w:rFonts w:cs="Arial"/>
        </w:rPr>
      </w:pPr>
      <w:r>
        <w:rPr>
          <w:rFonts w:cs="Arial"/>
        </w:rPr>
        <w:t>Regionally</w:t>
      </w:r>
      <w:r w:rsidR="00A462A9" w:rsidRPr="00DE1347">
        <w:rPr>
          <w:rFonts w:cs="Arial"/>
        </w:rPr>
        <w:t xml:space="preserve">, changes in the </w:t>
      </w:r>
      <w:r>
        <w:rPr>
          <w:rFonts w:cs="Arial"/>
        </w:rPr>
        <w:t xml:space="preserve">coral index </w:t>
      </w:r>
      <w:r w:rsidR="00A462A9" w:rsidRPr="00DE1347">
        <w:rPr>
          <w:rFonts w:cs="Arial"/>
        </w:rPr>
        <w:t xml:space="preserve">demonstrate an inverse relationship to discharge from the regions rivers. It was not until 2014, a year into a period of below median discharges from the region’s rivers, that the average rates of hard coral </w:t>
      </w:r>
      <w:r w:rsidR="008324A6">
        <w:rPr>
          <w:rFonts w:cs="Arial"/>
        </w:rPr>
        <w:t xml:space="preserve">cover </w:t>
      </w:r>
      <w:r w:rsidR="00A462A9" w:rsidRPr="00DE1347">
        <w:rPr>
          <w:rFonts w:cs="Arial"/>
        </w:rPr>
        <w:t xml:space="preserve">increase began matching modelled expectations. In addition to generally low rates of cover increase, stress to corals </w:t>
      </w:r>
      <w:r w:rsidR="008324A6">
        <w:rPr>
          <w:rFonts w:cs="Arial"/>
        </w:rPr>
        <w:t xml:space="preserve">during periods of high catchment input were </w:t>
      </w:r>
      <w:r w:rsidR="00A462A9" w:rsidRPr="00DE1347">
        <w:rPr>
          <w:rFonts w:cs="Arial"/>
        </w:rPr>
        <w:t>observed as increased levels of disease in 2007-2009</w:t>
      </w:r>
      <w:r w:rsidR="00ED501B">
        <w:rPr>
          <w:rFonts w:cs="Arial"/>
        </w:rPr>
        <w:t xml:space="preserve">. Over that period discharge form the Region’s rivers were consistently above median levels, in contrast to the below median discharges of the preceding years. </w:t>
      </w:r>
      <w:r w:rsidR="00475B93">
        <w:rPr>
          <w:rFonts w:cs="Arial"/>
        </w:rPr>
        <w:t xml:space="preserve"> </w:t>
      </w:r>
      <w:r w:rsidR="00A462A9" w:rsidRPr="00DE1347">
        <w:rPr>
          <w:rFonts w:cs="Arial"/>
        </w:rPr>
        <w:t xml:space="preserve">A moderate increase in disease was also noted in 2011, again following </w:t>
      </w:r>
      <w:r w:rsidR="008324A6">
        <w:rPr>
          <w:rFonts w:cs="Arial"/>
        </w:rPr>
        <w:t>high catchment discharge</w:t>
      </w:r>
      <w:r w:rsidR="00A462A9" w:rsidRPr="00DE1347">
        <w:rPr>
          <w:rFonts w:cs="Arial"/>
        </w:rPr>
        <w:t xml:space="preserve">. This expression of disease and downturn in the rate of cover increase also coincided with a shift </w:t>
      </w:r>
      <w:r w:rsidR="00EA568E">
        <w:rPr>
          <w:rFonts w:cs="Arial"/>
        </w:rPr>
        <w:t xml:space="preserve">in </w:t>
      </w:r>
      <w:r w:rsidR="00A462A9" w:rsidRPr="00DE1347">
        <w:rPr>
          <w:rFonts w:cs="Arial"/>
        </w:rPr>
        <w:t>community composition at deeper sites toward communities tolerant of poor water quality. In combination</w:t>
      </w:r>
      <w:r w:rsidR="0008674E" w:rsidRPr="00DE1347">
        <w:rPr>
          <w:rFonts w:cs="Arial"/>
        </w:rPr>
        <w:t>,</w:t>
      </w:r>
      <w:r w:rsidR="00A462A9" w:rsidRPr="00DE1347">
        <w:rPr>
          <w:rFonts w:cs="Arial"/>
        </w:rPr>
        <w:t xml:space="preserve"> these results are consistent with</w:t>
      </w:r>
      <w:r w:rsidR="00A462A9" w:rsidRPr="00DE1347">
        <w:t xml:space="preserve"> the well documented link between increased runoff and stress in coral communities, expressed as increased levels of coral disease (Bruno </w:t>
      </w:r>
      <w:r w:rsidR="00A462A9" w:rsidRPr="00DE1347">
        <w:rPr>
          <w:i/>
        </w:rPr>
        <w:t>et al.</w:t>
      </w:r>
      <w:r w:rsidR="00A462A9" w:rsidRPr="00DE1347">
        <w:t xml:space="preserve"> 2003, </w:t>
      </w:r>
      <w:r w:rsidR="00A462A9" w:rsidRPr="00DE1347">
        <w:rPr>
          <w:rFonts w:cs="Arial"/>
        </w:rPr>
        <w:t xml:space="preserve">Kline </w:t>
      </w:r>
      <w:r w:rsidR="00A462A9" w:rsidRPr="00DE1347">
        <w:rPr>
          <w:rFonts w:cs="Arial"/>
          <w:i/>
        </w:rPr>
        <w:t>et al</w:t>
      </w:r>
      <w:r w:rsidR="00A462A9" w:rsidRPr="00DE1347">
        <w:rPr>
          <w:rFonts w:cs="Arial"/>
        </w:rPr>
        <w:t xml:space="preserve">. 2006, Kuntz </w:t>
      </w:r>
      <w:r w:rsidR="00A462A9" w:rsidRPr="00DE1347">
        <w:rPr>
          <w:rFonts w:cs="Arial"/>
          <w:i/>
        </w:rPr>
        <w:t>et al</w:t>
      </w:r>
      <w:r w:rsidR="00A462A9" w:rsidRPr="00DE1347">
        <w:rPr>
          <w:rFonts w:cs="Arial"/>
        </w:rPr>
        <w:t xml:space="preserve">. 2005, Voss &amp; Richardson 2006, </w:t>
      </w:r>
      <w:r w:rsidR="00A462A9" w:rsidRPr="00DE1347">
        <w:t xml:space="preserve">Kaczmarsky &amp; Richardson 2010, Haapkylä </w:t>
      </w:r>
      <w:r w:rsidR="00A462A9" w:rsidRPr="00DE1347">
        <w:rPr>
          <w:i/>
        </w:rPr>
        <w:t xml:space="preserve">et al. </w:t>
      </w:r>
      <w:r w:rsidR="00A462A9" w:rsidRPr="00DE1347">
        <w:t xml:space="preserve">2011, 2013, Vega Thurber </w:t>
      </w:r>
      <w:r w:rsidR="00A462A9" w:rsidRPr="00DE1347">
        <w:rPr>
          <w:i/>
        </w:rPr>
        <w:t>et al.</w:t>
      </w:r>
      <w:r w:rsidR="00A462A9" w:rsidRPr="00DE1347">
        <w:t xml:space="preserve"> 2013)</w:t>
      </w:r>
      <w:r w:rsidR="00A462A9" w:rsidRPr="00DE1347">
        <w:rPr>
          <w:rFonts w:cs="Arial"/>
        </w:rPr>
        <w:t xml:space="preserve">. </w:t>
      </w:r>
      <w:r w:rsidR="009F1057">
        <w:rPr>
          <w:rFonts w:cs="Arial"/>
        </w:rPr>
        <w:t xml:space="preserve">It is evident that the recovery of reefs in the Burdekin region </w:t>
      </w:r>
      <w:r w:rsidR="008324A6">
        <w:rPr>
          <w:rFonts w:cs="Arial"/>
        </w:rPr>
        <w:t>is limited by catchment inputs suggesting that a</w:t>
      </w:r>
      <w:r w:rsidR="009F1057">
        <w:rPr>
          <w:rFonts w:cs="Arial"/>
        </w:rPr>
        <w:t xml:space="preserve">ny future deterioration in </w:t>
      </w:r>
      <w:r w:rsidR="003A529E">
        <w:rPr>
          <w:rFonts w:cs="Arial"/>
        </w:rPr>
        <w:t>water quality</w:t>
      </w:r>
      <w:r w:rsidR="009F1057">
        <w:rPr>
          <w:rFonts w:cs="Arial"/>
        </w:rPr>
        <w:t xml:space="preserve"> will likely have substantial impact on the recovery process. </w:t>
      </w:r>
    </w:p>
    <w:p w14:paraId="0E6AAF06" w14:textId="77777777" w:rsidR="00A462A9" w:rsidRPr="00DE1347" w:rsidRDefault="00607BCA" w:rsidP="00607BCA">
      <w:pPr>
        <w:pStyle w:val="Heading3"/>
      </w:pPr>
      <w:bookmarkStart w:id="280" w:name="_Toc514408431"/>
      <w:r>
        <w:t xml:space="preserve">6.3.3 </w:t>
      </w:r>
      <w:r w:rsidR="008324A6">
        <w:t>Mackay Whitsunday</w:t>
      </w:r>
      <w:bookmarkEnd w:id="280"/>
    </w:p>
    <w:p w14:paraId="2DC930C7" w14:textId="50E05081" w:rsidR="00FE19A9" w:rsidRDefault="001160CD" w:rsidP="00A462A9">
      <w:r>
        <w:t xml:space="preserve">Impacts associated with </w:t>
      </w:r>
      <w:r w:rsidR="00CE02D3">
        <w:t>tropical c</w:t>
      </w:r>
      <w:r>
        <w:t xml:space="preserve">yclone Debbie </w:t>
      </w:r>
      <w:r w:rsidR="00ED501B">
        <w:t xml:space="preserve">in 2017 resulted in </w:t>
      </w:r>
      <w:r>
        <w:t xml:space="preserve">a sharp decline in the coral index for the </w:t>
      </w:r>
      <w:r w:rsidR="008324A6">
        <w:t>Mackay Whitsunday</w:t>
      </w:r>
      <w:r w:rsidR="00ED501B">
        <w:t xml:space="preserve"> R</w:t>
      </w:r>
      <w:r>
        <w:t>egion</w:t>
      </w:r>
      <w:r w:rsidR="008324A6">
        <w:t xml:space="preserve">. </w:t>
      </w:r>
      <w:r w:rsidR="000A64D1">
        <w:t xml:space="preserve">Between 2016 and 2017 there were substantial reductions in both </w:t>
      </w:r>
      <w:r w:rsidR="00ED501B">
        <w:t xml:space="preserve">the </w:t>
      </w:r>
      <w:r w:rsidR="000A64D1">
        <w:t>Coral Cover and Juvenile metrics</w:t>
      </w:r>
      <w:r>
        <w:t>.</w:t>
      </w:r>
      <w:r w:rsidR="0074369F" w:rsidRPr="00DE1347">
        <w:t xml:space="preserve"> </w:t>
      </w:r>
      <w:r w:rsidR="00751974" w:rsidRPr="00DE1347">
        <w:t xml:space="preserve">Buffering the </w:t>
      </w:r>
      <w:r w:rsidR="00ED501B">
        <w:t>index</w:t>
      </w:r>
      <w:r w:rsidR="000A64D1">
        <w:t xml:space="preserve"> decline are results from LTMP reefs and Hook Island that carry forward observations preceding the </w:t>
      </w:r>
      <w:r w:rsidR="003F2219">
        <w:t>cyclone</w:t>
      </w:r>
      <w:r w:rsidR="000A64D1">
        <w:t>. There was also</w:t>
      </w:r>
      <w:r w:rsidR="00751974" w:rsidRPr="00DE1347">
        <w:t xml:space="preserve"> an improvement in the </w:t>
      </w:r>
      <w:r w:rsidR="00EA568E">
        <w:t>M</w:t>
      </w:r>
      <w:r w:rsidR="00751974" w:rsidRPr="00DE1347">
        <w:t xml:space="preserve">acroalgae </w:t>
      </w:r>
      <w:r w:rsidR="00EA568E">
        <w:t>metric</w:t>
      </w:r>
      <w:r w:rsidR="000A64D1">
        <w:t>, that is likely to be temporary as macroalgae removed by the cyclone is expected to rapidly recolonise</w:t>
      </w:r>
      <w:r w:rsidR="00184B8E">
        <w:t>.</w:t>
      </w:r>
      <w:r w:rsidR="00751974" w:rsidRPr="00DE1347">
        <w:t xml:space="preserve"> </w:t>
      </w:r>
    </w:p>
    <w:p w14:paraId="1A611398" w14:textId="333F974A" w:rsidR="00010147" w:rsidRDefault="00042104" w:rsidP="00A462A9">
      <w:r>
        <w:t>Environmental conditions at</w:t>
      </w:r>
      <w:r w:rsidR="00010147">
        <w:t xml:space="preserve"> </w:t>
      </w:r>
      <w:r w:rsidR="00023CD1">
        <w:t>monitoring sites in this region</w:t>
      </w:r>
      <w:r w:rsidR="00010147">
        <w:t xml:space="preserve"> are </w:t>
      </w:r>
      <w:r>
        <w:t xml:space="preserve">generally </w:t>
      </w:r>
      <w:r w:rsidR="00010147">
        <w:t xml:space="preserve">characterised by high </w:t>
      </w:r>
      <w:r w:rsidR="00580089">
        <w:t xml:space="preserve">rates of sedimentation and </w:t>
      </w:r>
      <w:r w:rsidR="00010147">
        <w:t>turbidity</w:t>
      </w:r>
      <w:r w:rsidR="003B3206">
        <w:t xml:space="preserve">. In combination these conditions have </w:t>
      </w:r>
      <w:r w:rsidR="00F7142B">
        <w:t>imposed strong selective pressure</w:t>
      </w:r>
      <w:r w:rsidR="003B3206">
        <w:t xml:space="preserve">s on corals </w:t>
      </w:r>
      <w:r w:rsidR="00ED501B">
        <w:t xml:space="preserve">that is clearly </w:t>
      </w:r>
      <w:r w:rsidR="003B3206">
        <w:t>illustrated by the marked di</w:t>
      </w:r>
      <w:r w:rsidR="00ED501B">
        <w:t xml:space="preserve">fferences in coral community composition </w:t>
      </w:r>
      <w:r w:rsidR="003B3206">
        <w:t>between 2 m and 5m depths at most reefs, perversely, these conditions also limit the abundance of macroalgae</w:t>
      </w:r>
      <w:r w:rsidR="00023CD1">
        <w:t xml:space="preserve"> </w:t>
      </w:r>
      <w:r w:rsidRPr="00042104">
        <w:t xml:space="preserve">(Thompson </w:t>
      </w:r>
      <w:r w:rsidRPr="00042104">
        <w:rPr>
          <w:i/>
        </w:rPr>
        <w:t>et al</w:t>
      </w:r>
      <w:r w:rsidRPr="00042104">
        <w:t>. 2014b).</w:t>
      </w:r>
      <w:r>
        <w:t xml:space="preserve"> </w:t>
      </w:r>
      <w:r w:rsidR="003B3206">
        <w:t>Despite the clear pressures imposed by the environmental conditions, t</w:t>
      </w:r>
      <w:r w:rsidR="00023CD1">
        <w:t>he consistent improvement in the index from 2012 to 2016 reflects both the tolerance of coral communities to their environmental settings and the ability of these reefs to recover from disturbance events. Prior to 2017, the only other major disturbance event to impact this region since monitoring commenced</w:t>
      </w:r>
      <w:r w:rsidR="00ED501B">
        <w:t xml:space="preserve"> in 1992</w:t>
      </w:r>
      <w:r w:rsidR="00023CD1">
        <w:t xml:space="preserve"> was </w:t>
      </w:r>
      <w:r w:rsidR="003E6ABE">
        <w:t xml:space="preserve">cyclone </w:t>
      </w:r>
      <w:r w:rsidR="00023CD1">
        <w:t xml:space="preserve">Ului in 2010 which </w:t>
      </w:r>
      <w:r w:rsidR="00580089">
        <w:t>contributed to</w:t>
      </w:r>
      <w:r w:rsidR="00023CD1">
        <w:t xml:space="preserve"> the decline in the index through to 2012</w:t>
      </w:r>
      <w:r w:rsidR="00930FC6">
        <w:t xml:space="preserve">. </w:t>
      </w:r>
      <w:r w:rsidR="00785698">
        <w:t>Improvement</w:t>
      </w:r>
      <w:r w:rsidR="00785698" w:rsidRPr="008F06A2">
        <w:t xml:space="preserve"> in the coral index </w:t>
      </w:r>
      <w:r w:rsidR="00785698">
        <w:t>post 2012</w:t>
      </w:r>
      <w:r w:rsidR="00785698" w:rsidRPr="008F06A2">
        <w:t xml:space="preserve"> was largely due to rapid recovery of communities at 2 m depths where cover of the family Acroporidae rapidly increased. </w:t>
      </w:r>
      <w:r w:rsidR="00785698">
        <w:t xml:space="preserve"> </w:t>
      </w:r>
      <w:r w:rsidR="00930FC6">
        <w:t xml:space="preserve">Whilst impacts of </w:t>
      </w:r>
      <w:r w:rsidR="003E6ABE">
        <w:t xml:space="preserve">cyclone </w:t>
      </w:r>
      <w:r w:rsidR="00930FC6">
        <w:t>Ului were widespread they were substantially less severe than th</w:t>
      </w:r>
      <w:r w:rsidR="00D1796A">
        <w:t xml:space="preserve">ose incurred during </w:t>
      </w:r>
      <w:r w:rsidR="003E6ABE">
        <w:t>c</w:t>
      </w:r>
      <w:r w:rsidR="00D1796A">
        <w:t>yclone Debbie</w:t>
      </w:r>
      <w:r w:rsidR="008F06A2">
        <w:t xml:space="preserve">. </w:t>
      </w:r>
    </w:p>
    <w:p w14:paraId="193964C5" w14:textId="299BD3D1" w:rsidR="0039782D" w:rsidRPr="00DE1347" w:rsidRDefault="005212A1" w:rsidP="00556619">
      <w:r>
        <w:t xml:space="preserve">The decline in the water quality index (Waterhouse </w:t>
      </w:r>
      <w:r w:rsidRPr="005212A1">
        <w:rPr>
          <w:i/>
        </w:rPr>
        <w:t>et al</w:t>
      </w:r>
      <w:r>
        <w:t xml:space="preserve">. 2018, </w:t>
      </w:r>
      <w:r>
        <w:fldChar w:fldCharType="begin"/>
      </w:r>
      <w:r>
        <w:instrText xml:space="preserve"> REF _Ref501374386 \h </w:instrText>
      </w:r>
      <w:r>
        <w:fldChar w:fldCharType="separate"/>
      </w:r>
      <w:r w:rsidR="00A75175">
        <w:t xml:space="preserve">Figure A1. </w:t>
      </w:r>
      <w:r w:rsidR="00A75175">
        <w:rPr>
          <w:noProof/>
        </w:rPr>
        <w:t>13</w:t>
      </w:r>
      <w:r>
        <w:fldChar w:fldCharType="end"/>
      </w:r>
      <w:r>
        <w:t xml:space="preserve">) captures anecdotal observations </w:t>
      </w:r>
      <w:r w:rsidR="00D1796A">
        <w:t xml:space="preserve">from commercial users suggesting </w:t>
      </w:r>
      <w:r>
        <w:t xml:space="preserve">high turbidity persisted for several months </w:t>
      </w:r>
      <w:r w:rsidR="00D1796A">
        <w:t xml:space="preserve">in the aftermath of </w:t>
      </w:r>
      <w:r w:rsidR="003E6ABE">
        <w:t xml:space="preserve">cyclone </w:t>
      </w:r>
      <w:r>
        <w:t xml:space="preserve">Debbie. At the time of coral surveys </w:t>
      </w:r>
      <w:r w:rsidR="00D1796A">
        <w:t xml:space="preserve">(July 2017) turbidity was noticeably high and sedimentation to the substrate ongoing. </w:t>
      </w:r>
      <w:r w:rsidR="00F7142B">
        <w:t xml:space="preserve">Given past observations of low scores for the Cover Change metric, the unsuitable nature of the substrate for coral settlement </w:t>
      </w:r>
      <w:r w:rsidR="003B3206">
        <w:t>(</w:t>
      </w:r>
      <w:r w:rsidR="003B3206" w:rsidRPr="00EB002F">
        <w:rPr>
          <w:rFonts w:cs="Arial"/>
          <w:color w:val="000000" w:themeColor="text1"/>
        </w:rPr>
        <w:t xml:space="preserve">Ricardo </w:t>
      </w:r>
      <w:r w:rsidR="003B3206" w:rsidRPr="00EB002F">
        <w:rPr>
          <w:rFonts w:cs="Arial"/>
          <w:i/>
          <w:color w:val="000000" w:themeColor="text1"/>
        </w:rPr>
        <w:t>et al.</w:t>
      </w:r>
      <w:r w:rsidR="003B3206" w:rsidRPr="00EB002F">
        <w:rPr>
          <w:rFonts w:cs="Arial"/>
          <w:color w:val="000000" w:themeColor="text1"/>
        </w:rPr>
        <w:t xml:space="preserve"> 2017</w:t>
      </w:r>
      <w:r w:rsidR="003B3206">
        <w:t xml:space="preserve">) </w:t>
      </w:r>
      <w:r w:rsidR="00F7142B">
        <w:t>and the regionally reduced brood-stock</w:t>
      </w:r>
      <w:r w:rsidR="003B3206">
        <w:t>,</w:t>
      </w:r>
      <w:r w:rsidR="00F7142B">
        <w:t xml:space="preserve"> a slow recovery of coral communities at </w:t>
      </w:r>
      <w:r w:rsidR="003B3206">
        <w:t>the worst impacted reefs</w:t>
      </w:r>
      <w:r w:rsidR="00F7142B">
        <w:t xml:space="preserve"> appears likely.</w:t>
      </w:r>
      <w:r w:rsidR="004638A4">
        <w:t xml:space="preserve"> Where reefs were sheltered</w:t>
      </w:r>
      <w:r w:rsidR="00056A57">
        <w:t>, thus</w:t>
      </w:r>
      <w:r w:rsidR="004638A4">
        <w:t xml:space="preserve"> less exposed to wave damage</w:t>
      </w:r>
      <w:r w:rsidR="00056A57">
        <w:t>,</w:t>
      </w:r>
      <w:r w:rsidR="004638A4">
        <w:t xml:space="preserve"> surviving fragments will aid recovery.</w:t>
      </w:r>
    </w:p>
    <w:p w14:paraId="49DB9609" w14:textId="77777777" w:rsidR="003E02BD" w:rsidRPr="00DE1347" w:rsidRDefault="00607BCA" w:rsidP="00607BCA">
      <w:pPr>
        <w:pStyle w:val="Heading3"/>
      </w:pPr>
      <w:bookmarkStart w:id="281" w:name="_Toc514408432"/>
      <w:r>
        <w:t xml:space="preserve">6.3.4 </w:t>
      </w:r>
      <w:r w:rsidR="003E02BD" w:rsidRPr="00DE1347">
        <w:t>Fitzroy</w:t>
      </w:r>
      <w:bookmarkEnd w:id="281"/>
      <w:r w:rsidR="00E75F5C" w:rsidRPr="00DE1347">
        <w:t xml:space="preserve"> </w:t>
      </w:r>
    </w:p>
    <w:p w14:paraId="0817A127" w14:textId="77777777" w:rsidR="00D549CB" w:rsidRDefault="00DA7BF4" w:rsidP="00A462A9">
      <w:r w:rsidRPr="00CE0CBE">
        <w:t xml:space="preserve">While the </w:t>
      </w:r>
      <w:r w:rsidR="00580089" w:rsidRPr="00CE0CBE">
        <w:t>C</w:t>
      </w:r>
      <w:r w:rsidRPr="00CE0CBE">
        <w:t xml:space="preserve">oral </w:t>
      </w:r>
      <w:r w:rsidR="003F2219">
        <w:t>C</w:t>
      </w:r>
      <w:r w:rsidR="003F2219" w:rsidRPr="00CE0CBE">
        <w:t xml:space="preserve">over </w:t>
      </w:r>
      <w:r w:rsidRPr="00CE0CBE">
        <w:t xml:space="preserve">and </w:t>
      </w:r>
      <w:r w:rsidR="00580089" w:rsidRPr="00CE0CBE">
        <w:t>J</w:t>
      </w:r>
      <w:r w:rsidRPr="00CE0CBE">
        <w:t xml:space="preserve">uvenile metrics </w:t>
      </w:r>
      <w:r w:rsidR="004638A4" w:rsidRPr="00CE0CBE">
        <w:t>continued to improve in 2017</w:t>
      </w:r>
      <w:r w:rsidRPr="00CE0CBE">
        <w:t xml:space="preserve"> the coral index remains ‘poor’</w:t>
      </w:r>
      <w:r w:rsidR="001D091A" w:rsidRPr="00CE0CBE">
        <w:t xml:space="preserve">. The current condition of reefs in the region reflects a decline following the cumulative impacts of thermal stress in 2006, a series of cyclones and storms, and flooding of the Fitzroy River that exposed corals to lethal </w:t>
      </w:r>
      <w:r w:rsidR="00056A57" w:rsidRPr="00CE0CBE">
        <w:t xml:space="preserve">low </w:t>
      </w:r>
      <w:r w:rsidR="001D091A" w:rsidRPr="00CE0CBE">
        <w:t>levels of salinity (Jones &amp; Berkelmans 2014) and introduced high loads of nutrients and suspended sediments into Keppel Bay.</w:t>
      </w:r>
      <w:r w:rsidR="00982EFB" w:rsidRPr="00CE0CBE">
        <w:t xml:space="preserve"> </w:t>
      </w:r>
      <w:r w:rsidR="009273EC">
        <w:t>Water temperatures where high over the both the 2015/16 and 2016/17 summers and while bleaching was observed (</w:t>
      </w:r>
      <w:r w:rsidR="00F74624">
        <w:t>s</w:t>
      </w:r>
      <w:r w:rsidR="009273EC">
        <w:t>ection 7.2, Kenn</w:t>
      </w:r>
      <w:r w:rsidR="005C16D7">
        <w:t xml:space="preserve">edy 2018), acute impacts resulting in loss of coral cover were not recorded. </w:t>
      </w:r>
      <w:r w:rsidR="00785698">
        <w:t>T</w:t>
      </w:r>
      <w:r w:rsidR="005C16D7">
        <w:t>he cumulative pressures associated with consecutive years of high temperature will have</w:t>
      </w:r>
      <w:r w:rsidR="00CE0CBE" w:rsidRPr="00CE0CBE">
        <w:t xml:space="preserve"> </w:t>
      </w:r>
      <w:r w:rsidR="00785698">
        <w:t xml:space="preserve">contributed to the limited </w:t>
      </w:r>
      <w:r w:rsidR="00CE0CBE" w:rsidRPr="00CE0CBE">
        <w:t>recovery of coral communities over this period.</w:t>
      </w:r>
      <w:r w:rsidR="00CE77BE" w:rsidRPr="00CE0CBE">
        <w:t xml:space="preserve"> </w:t>
      </w:r>
    </w:p>
    <w:p w14:paraId="0D8E0C65" w14:textId="77777777" w:rsidR="001160CD" w:rsidRPr="00CE0CBE" w:rsidRDefault="00B763AD" w:rsidP="00A462A9">
      <w:r w:rsidRPr="006F504A">
        <w:t>Flooding of the Fitzroy River impacts coral communities in two primary ways. Corals in shallow waters</w:t>
      </w:r>
      <w:r w:rsidR="006F504A" w:rsidRPr="006F504A">
        <w:t>,</w:t>
      </w:r>
      <w:r w:rsidRPr="006F504A">
        <w:t xml:space="preserve"> </w:t>
      </w:r>
      <w:r w:rsidR="006F504A" w:rsidRPr="006F504A">
        <w:t xml:space="preserve">and in particular those </w:t>
      </w:r>
      <w:r w:rsidRPr="006F504A">
        <w:t>to the south of Great Keppel Island</w:t>
      </w:r>
      <w:r w:rsidR="006F504A" w:rsidRPr="006F504A">
        <w:t>,</w:t>
      </w:r>
      <w:r w:rsidRPr="006F504A">
        <w:t xml:space="preserve"> have been repeatedly exposed to the low salinity plumes that kill the corals (van Woesik 1991, data herein, Jones &amp; Berkelmans 2014). </w:t>
      </w:r>
      <w:r w:rsidR="005C16D7" w:rsidRPr="006F504A">
        <w:t>In addition</w:t>
      </w:r>
      <w:r w:rsidR="006F504A" w:rsidRPr="006F504A">
        <w:t xml:space="preserve">, </w:t>
      </w:r>
      <w:r w:rsidR="00785698">
        <w:t xml:space="preserve">negative relationship between </w:t>
      </w:r>
      <w:r w:rsidR="006F504A" w:rsidRPr="006F504A">
        <w:t xml:space="preserve">the </w:t>
      </w:r>
      <w:r w:rsidR="00785698">
        <w:t xml:space="preserve">rate of </w:t>
      </w:r>
      <w:r w:rsidR="006F504A" w:rsidRPr="006F504A">
        <w:t xml:space="preserve">change in index scores </w:t>
      </w:r>
      <w:r w:rsidR="00785698">
        <w:t xml:space="preserve">and discharge from the Fitzroy River </w:t>
      </w:r>
      <w:r w:rsidR="006F504A" w:rsidRPr="006F504A">
        <w:t xml:space="preserve">demonstrate the wider impact of major flood events on coral community condition within Keppel Bay. </w:t>
      </w:r>
      <w:r w:rsidR="00895051">
        <w:t xml:space="preserve">Of note were elevated levels of disease following major flood events </w:t>
      </w:r>
      <w:r w:rsidR="00CE77BE" w:rsidRPr="00CE0CBE">
        <w:t>support</w:t>
      </w:r>
      <w:r w:rsidR="00895051">
        <w:t>ing</w:t>
      </w:r>
      <w:r w:rsidR="00CE77BE" w:rsidRPr="00CE0CBE">
        <w:t xml:space="preserve"> hypotheses that </w:t>
      </w:r>
      <w:r w:rsidR="00785698">
        <w:t xml:space="preserve">either </w:t>
      </w:r>
      <w:r w:rsidR="00CE77BE" w:rsidRPr="00CE0CBE">
        <w:t xml:space="preserve">reduced salinity (Haapkylä </w:t>
      </w:r>
      <w:r w:rsidR="00CE77BE" w:rsidRPr="00CE0CBE">
        <w:rPr>
          <w:i/>
        </w:rPr>
        <w:t>et al.</w:t>
      </w:r>
      <w:r w:rsidR="00CE77BE" w:rsidRPr="00CE0CBE">
        <w:t xml:space="preserve"> 2011), </w:t>
      </w:r>
      <w:r w:rsidR="00895051">
        <w:t>or</w:t>
      </w:r>
      <w:r w:rsidR="00CE77BE" w:rsidRPr="00CE0CBE">
        <w:t xml:space="preserve"> increased nutrient enrichment (Vega Thurber </w:t>
      </w:r>
      <w:r w:rsidR="00CE77BE" w:rsidRPr="00CE0CBE">
        <w:rPr>
          <w:i/>
        </w:rPr>
        <w:t>et al.</w:t>
      </w:r>
      <w:r w:rsidR="00CE77BE" w:rsidRPr="00CE0CBE">
        <w:t xml:space="preserve"> 2013) </w:t>
      </w:r>
      <w:r w:rsidR="00895051">
        <w:t xml:space="preserve">were sufficiently stressful so as to </w:t>
      </w:r>
      <w:r w:rsidR="00CE77BE" w:rsidRPr="00CE0CBE">
        <w:t>facilitat</w:t>
      </w:r>
      <w:r w:rsidR="00AE6750">
        <w:t>e</w:t>
      </w:r>
      <w:r w:rsidR="00CE77BE" w:rsidRPr="00CE0CBE">
        <w:t xml:space="preserve"> coral disease. Reduction in light levels over extended periods of time as a result of higher turbidity from increased concentrations of suspended sediments as well as dense plankton blooms following floods</w:t>
      </w:r>
      <w:r w:rsidR="006F504A">
        <w:t>,</w:t>
      </w:r>
      <w:r w:rsidR="00CE77BE" w:rsidRPr="00CE0CBE">
        <w:t xml:space="preserve"> is another plausible explanation for reduced fitness of corals (Cooper </w:t>
      </w:r>
      <w:r w:rsidR="00CE77BE" w:rsidRPr="00CE0CBE">
        <w:rPr>
          <w:i/>
        </w:rPr>
        <w:t>et al</w:t>
      </w:r>
      <w:r w:rsidR="00CE77BE" w:rsidRPr="00CE0CBE">
        <w:t>. 2007) that may have supressed the recovery of coral co</w:t>
      </w:r>
      <w:r w:rsidR="00785698">
        <w:t>ver</w:t>
      </w:r>
      <w:r w:rsidR="00CE77BE" w:rsidRPr="00CE0CBE">
        <w:t>.</w:t>
      </w:r>
    </w:p>
    <w:p w14:paraId="1D7E2D26" w14:textId="77777777" w:rsidR="001D091A" w:rsidRPr="00CE0CBE" w:rsidRDefault="001D091A" w:rsidP="00A462A9">
      <w:pPr>
        <w:rPr>
          <w:rFonts w:cs="Arial"/>
        </w:rPr>
      </w:pPr>
      <w:r w:rsidRPr="00CE0CBE">
        <w:rPr>
          <w:rFonts w:cs="Arial"/>
        </w:rPr>
        <w:t xml:space="preserve">Variation </w:t>
      </w:r>
      <w:r w:rsidR="006F504A">
        <w:rPr>
          <w:rFonts w:cs="Arial"/>
        </w:rPr>
        <w:t>in the recovery of reefs following d</w:t>
      </w:r>
      <w:r w:rsidRPr="00CE0CBE">
        <w:rPr>
          <w:rFonts w:cs="Arial"/>
        </w:rPr>
        <w:t xml:space="preserve">isturbances </w:t>
      </w:r>
      <w:r w:rsidR="006F504A">
        <w:rPr>
          <w:rFonts w:cs="Arial"/>
        </w:rPr>
        <w:t xml:space="preserve">events further </w:t>
      </w:r>
      <w:r w:rsidRPr="00CE0CBE">
        <w:rPr>
          <w:rFonts w:cs="Arial"/>
        </w:rPr>
        <w:t>illustrates the role of water quality in supressing coral community resilience. Following coral bleaching in 2006</w:t>
      </w:r>
      <w:r w:rsidR="00580089" w:rsidRPr="00CE0CBE">
        <w:rPr>
          <w:rFonts w:cs="Arial"/>
        </w:rPr>
        <w:t>,</w:t>
      </w:r>
      <w:r w:rsidRPr="00CE0CBE">
        <w:rPr>
          <w:rFonts w:cs="Arial"/>
        </w:rPr>
        <w:t xml:space="preserve"> recovery of coral cover was inversely related to the persistence of macroalgae. At the three </w:t>
      </w:r>
      <w:r w:rsidRPr="00CE0CBE">
        <w:rPr>
          <w:rFonts w:cs="Arial"/>
          <w:i/>
        </w:rPr>
        <w:t>Acropora sp</w:t>
      </w:r>
      <w:r w:rsidRPr="00CE0CBE">
        <w:rPr>
          <w:rFonts w:cs="Arial"/>
        </w:rPr>
        <w:t>. dominated</w:t>
      </w:r>
      <w:r w:rsidR="00785698">
        <w:rPr>
          <w:rFonts w:cs="Arial"/>
        </w:rPr>
        <w:t xml:space="preserve"> communities with high</w:t>
      </w:r>
      <w:r w:rsidRPr="00CE0CBE">
        <w:rPr>
          <w:rFonts w:cs="Arial"/>
        </w:rPr>
        <w:t xml:space="preserve"> Chl </w:t>
      </w:r>
      <w:r w:rsidRPr="00CE0CBE">
        <w:rPr>
          <w:rFonts w:cs="Arial"/>
          <w:i/>
        </w:rPr>
        <w:t>a</w:t>
      </w:r>
      <w:r w:rsidRPr="00CE0CBE">
        <w:rPr>
          <w:rFonts w:cs="Arial"/>
        </w:rPr>
        <w:t xml:space="preserve"> concentrations (Keppels South, Middle and North Keppel) macroalgae cover (predominantly </w:t>
      </w:r>
      <w:r w:rsidRPr="00CE0CBE">
        <w:rPr>
          <w:rFonts w:cs="Arial"/>
          <w:i/>
        </w:rPr>
        <w:t xml:space="preserve">Lobophora </w:t>
      </w:r>
      <w:r w:rsidR="00261475">
        <w:rPr>
          <w:rFonts w:cs="Arial"/>
          <w:i/>
        </w:rPr>
        <w:t>sp</w:t>
      </w:r>
      <w:r w:rsidR="006F504A">
        <w:rPr>
          <w:rFonts w:cs="Arial"/>
          <w:i/>
        </w:rPr>
        <w:t>p</w:t>
      </w:r>
      <w:r w:rsidR="00261475">
        <w:rPr>
          <w:rFonts w:cs="Arial"/>
          <w:i/>
        </w:rPr>
        <w:t>.</w:t>
      </w:r>
      <w:r w:rsidRPr="00CE0CBE">
        <w:rPr>
          <w:rFonts w:cs="Arial"/>
        </w:rPr>
        <w:t>) rapidly increased and persisted at high densit</w:t>
      </w:r>
      <w:r w:rsidR="006F504A">
        <w:rPr>
          <w:rFonts w:cs="Arial"/>
        </w:rPr>
        <w:t>ies</w:t>
      </w:r>
      <w:r w:rsidRPr="00CE0CBE">
        <w:rPr>
          <w:rFonts w:cs="Arial"/>
        </w:rPr>
        <w:t xml:space="preserve">, whilst rates of change in coral cover remained low or coral cover continued to decline. In contrast, at Barren, where Chl </w:t>
      </w:r>
      <w:r w:rsidRPr="00CE0CBE">
        <w:rPr>
          <w:rFonts w:cs="Arial"/>
          <w:i/>
        </w:rPr>
        <w:t>a</w:t>
      </w:r>
      <w:r w:rsidRPr="00CE0CBE">
        <w:rPr>
          <w:rFonts w:cs="Arial"/>
        </w:rPr>
        <w:t xml:space="preserve"> concentration is lower, the </w:t>
      </w:r>
      <w:r w:rsidR="00261475" w:rsidRPr="00261475">
        <w:rPr>
          <w:rFonts w:cs="Arial"/>
          <w:i/>
        </w:rPr>
        <w:t>Lobophora</w:t>
      </w:r>
      <w:r w:rsidR="00261475">
        <w:rPr>
          <w:rFonts w:cs="Arial"/>
        </w:rPr>
        <w:t xml:space="preserve"> </w:t>
      </w:r>
      <w:r w:rsidRPr="00CE0CBE">
        <w:rPr>
          <w:rFonts w:cs="Arial"/>
        </w:rPr>
        <w:t xml:space="preserve">bloom was less pronounced and recovery of the coral community clearly progressed. There is clear evidence that the abundance of macroalgae on the Reef is higher where Chl </w:t>
      </w:r>
      <w:r w:rsidRPr="00CE0CBE">
        <w:rPr>
          <w:rFonts w:cs="Arial"/>
          <w:i/>
        </w:rPr>
        <w:t>a</w:t>
      </w:r>
      <w:r w:rsidRPr="00CE0CBE">
        <w:rPr>
          <w:rFonts w:cs="Arial"/>
        </w:rPr>
        <w:t xml:space="preserve"> concentrations (as a proxy for nutrients) are above the annual Guideline values for coastal and mid-shelf waters of 0.45µgL</w:t>
      </w:r>
      <w:r w:rsidRPr="00CE0CBE">
        <w:rPr>
          <w:rFonts w:cs="Arial"/>
          <w:vertAlign w:val="superscript"/>
        </w:rPr>
        <w:t>-1</w:t>
      </w:r>
      <w:r w:rsidRPr="00CE0CBE">
        <w:rPr>
          <w:rFonts w:cs="Arial"/>
        </w:rPr>
        <w:t xml:space="preserve"> (De’ath &amp; Fabricius 2008, Thompson </w:t>
      </w:r>
      <w:r w:rsidRPr="00CE0CBE">
        <w:rPr>
          <w:rFonts w:cs="Arial"/>
          <w:i/>
        </w:rPr>
        <w:t>et al.</w:t>
      </w:r>
      <w:r w:rsidRPr="00CE0CBE">
        <w:rPr>
          <w:rFonts w:cs="Arial"/>
        </w:rPr>
        <w:t xml:space="preserve"> 2017)</w:t>
      </w:r>
      <w:r w:rsidR="00C0452E">
        <w:rPr>
          <w:rFonts w:cs="Arial"/>
        </w:rPr>
        <w:t>. This</w:t>
      </w:r>
      <w:r w:rsidRPr="00CE0CBE">
        <w:rPr>
          <w:rFonts w:cs="Arial"/>
        </w:rPr>
        <w:t xml:space="preserve"> suggest</w:t>
      </w:r>
      <w:r w:rsidR="00C0452E">
        <w:rPr>
          <w:rFonts w:cs="Arial"/>
        </w:rPr>
        <w:t>s</w:t>
      </w:r>
      <w:r w:rsidRPr="00CE0CBE">
        <w:rPr>
          <w:rFonts w:cs="Arial"/>
        </w:rPr>
        <w:t xml:space="preserve"> that the persistence of macroalgae is related to nutrient levels.</w:t>
      </w:r>
    </w:p>
    <w:p w14:paraId="0C96D5F6" w14:textId="77777777" w:rsidR="00DE1347" w:rsidRPr="00CE0CBE" w:rsidRDefault="00F02477" w:rsidP="00A462A9">
      <w:r w:rsidRPr="00CE0CBE">
        <w:rPr>
          <w:rFonts w:cs="Arial"/>
        </w:rPr>
        <w:t xml:space="preserve">In contrast to persistent macroalgae, there has been a continued improvement in the </w:t>
      </w:r>
      <w:r w:rsidR="00580089" w:rsidRPr="00CE0CBE">
        <w:rPr>
          <w:rFonts w:cs="Arial"/>
        </w:rPr>
        <w:t>J</w:t>
      </w:r>
      <w:r w:rsidRPr="00CE0CBE">
        <w:rPr>
          <w:rFonts w:cs="Arial"/>
        </w:rPr>
        <w:t xml:space="preserve">uvenile metric and a maintained rate of increase in coral cover; both key factors countering a long-term phase shift to macroalgae dominated states. </w:t>
      </w:r>
      <w:r w:rsidRPr="00CE0CBE">
        <w:t xml:space="preserve">Following the initial improvements observed in 2015, despite remaining ‘poor’, the coral index continues to indicate coral communities </w:t>
      </w:r>
      <w:r w:rsidR="001B5DFE" w:rsidRPr="00CE0CBE">
        <w:t xml:space="preserve">in the region are resilient </w:t>
      </w:r>
      <w:r w:rsidRPr="00CE0CBE">
        <w:t xml:space="preserve">when spared from acute disturbance events and high contaminant loads from the catchment (Garzon-Garcia </w:t>
      </w:r>
      <w:r w:rsidRPr="00CE0CBE">
        <w:rPr>
          <w:i/>
        </w:rPr>
        <w:t>et al.</w:t>
      </w:r>
      <w:r w:rsidRPr="00CE0CBE">
        <w:t xml:space="preserve"> 2015). </w:t>
      </w:r>
    </w:p>
    <w:p w14:paraId="119AF8F7" w14:textId="77777777" w:rsidR="00DE1347" w:rsidRPr="00CE0CBE" w:rsidRDefault="00DE1347" w:rsidP="00607BCA">
      <w:pPr>
        <w:pStyle w:val="Heading2"/>
        <w:spacing w:before="240" w:after="240"/>
        <w:rPr>
          <w:color w:val="auto"/>
        </w:rPr>
      </w:pPr>
      <w:bookmarkStart w:id="282" w:name="_Toc514408433"/>
      <w:bookmarkStart w:id="283" w:name="_Toc374701391"/>
      <w:bookmarkEnd w:id="44"/>
      <w:bookmarkEnd w:id="45"/>
      <w:bookmarkEnd w:id="46"/>
      <w:bookmarkEnd w:id="47"/>
      <w:bookmarkEnd w:id="48"/>
      <w:bookmarkEnd w:id="49"/>
      <w:bookmarkEnd w:id="50"/>
      <w:bookmarkEnd w:id="51"/>
      <w:bookmarkEnd w:id="52"/>
      <w:r w:rsidRPr="00CE0CBE">
        <w:rPr>
          <w:color w:val="auto"/>
        </w:rPr>
        <w:t>6.4 Conclusion</w:t>
      </w:r>
      <w:bookmarkEnd w:id="282"/>
    </w:p>
    <w:p w14:paraId="014DD0DC" w14:textId="016E4DFF" w:rsidR="00C63F3B" w:rsidRPr="00704217" w:rsidRDefault="00C63F3B" w:rsidP="00C63F3B">
      <w:pPr>
        <w:rPr>
          <w:rFonts w:cs="Arial"/>
          <w:color w:val="000000" w:themeColor="text1"/>
        </w:rPr>
      </w:pPr>
      <w:r w:rsidRPr="00704217">
        <w:rPr>
          <w:rFonts w:cs="Arial"/>
          <w:color w:val="000000" w:themeColor="text1"/>
        </w:rPr>
        <w:t>The cumulative impacts of tropical cyclones and storms, feeding by COTS, and thermal stress, along with elevated loads of contaminants</w:t>
      </w:r>
      <w:r w:rsidR="0065412C">
        <w:rPr>
          <w:rFonts w:cs="Arial"/>
          <w:color w:val="000000" w:themeColor="text1"/>
        </w:rPr>
        <w:t xml:space="preserve"> introduced to the Reef during</w:t>
      </w:r>
      <w:r w:rsidRPr="00704217">
        <w:rPr>
          <w:rFonts w:cs="Arial"/>
          <w:color w:val="000000" w:themeColor="text1"/>
        </w:rPr>
        <w:t xml:space="preserve"> period</w:t>
      </w:r>
      <w:r w:rsidR="0065412C">
        <w:rPr>
          <w:rFonts w:cs="Arial"/>
          <w:color w:val="000000" w:themeColor="text1"/>
        </w:rPr>
        <w:t>s</w:t>
      </w:r>
      <w:r w:rsidRPr="00704217">
        <w:rPr>
          <w:rFonts w:cs="Arial"/>
          <w:color w:val="000000" w:themeColor="text1"/>
        </w:rPr>
        <w:t xml:space="preserve"> of high discharges from adjacent catchments, resulted in clear declines in the condition of coral communities on inshore reefs through to 2012-2014. With the abatement of acute disturbances and lower loads of sediments and nutrients entering the Reef </w:t>
      </w:r>
      <w:r w:rsidR="00261475">
        <w:rPr>
          <w:rFonts w:cs="Arial"/>
          <w:color w:val="000000" w:themeColor="text1"/>
        </w:rPr>
        <w:t>clear recover</w:t>
      </w:r>
      <w:r w:rsidR="00AE6750">
        <w:rPr>
          <w:rFonts w:cs="Arial"/>
          <w:color w:val="000000" w:themeColor="text1"/>
        </w:rPr>
        <w:t>y</w:t>
      </w:r>
      <w:r w:rsidR="00261475">
        <w:rPr>
          <w:rFonts w:cs="Arial"/>
          <w:color w:val="000000" w:themeColor="text1"/>
        </w:rPr>
        <w:t xml:space="preserve"> was observed through to 2016. The combination of </w:t>
      </w:r>
      <w:r w:rsidR="003E6ABE">
        <w:rPr>
          <w:rFonts w:cs="Arial"/>
          <w:color w:val="000000" w:themeColor="text1"/>
        </w:rPr>
        <w:t xml:space="preserve">tropical cyclone </w:t>
      </w:r>
      <w:r w:rsidR="00160410">
        <w:rPr>
          <w:rFonts w:cs="Arial"/>
          <w:color w:val="000000" w:themeColor="text1"/>
        </w:rPr>
        <w:t xml:space="preserve">Debbie and </w:t>
      </w:r>
      <w:r w:rsidR="00261475">
        <w:rPr>
          <w:rFonts w:cs="Arial"/>
          <w:color w:val="000000" w:themeColor="text1"/>
        </w:rPr>
        <w:t>high summer temperatures</w:t>
      </w:r>
      <w:r w:rsidR="0065412C">
        <w:rPr>
          <w:rFonts w:cs="Arial"/>
          <w:color w:val="000000" w:themeColor="text1"/>
        </w:rPr>
        <w:t>,</w:t>
      </w:r>
      <w:r w:rsidR="00261475">
        <w:rPr>
          <w:rFonts w:cs="Arial"/>
          <w:color w:val="000000" w:themeColor="text1"/>
        </w:rPr>
        <w:t xml:space="preserve"> leading to coral bleaching</w:t>
      </w:r>
      <w:r w:rsidR="0065412C">
        <w:rPr>
          <w:rFonts w:cs="Arial"/>
          <w:color w:val="000000" w:themeColor="text1"/>
        </w:rPr>
        <w:t>,</w:t>
      </w:r>
      <w:r w:rsidR="00261475">
        <w:rPr>
          <w:rFonts w:cs="Arial"/>
          <w:color w:val="000000" w:themeColor="text1"/>
        </w:rPr>
        <w:t xml:space="preserve"> in 2017 interrupted th</w:t>
      </w:r>
      <w:r w:rsidR="006D777D">
        <w:rPr>
          <w:rFonts w:cs="Arial"/>
          <w:color w:val="000000" w:themeColor="text1"/>
        </w:rPr>
        <w:t xml:space="preserve">is short period of </w:t>
      </w:r>
      <w:r w:rsidR="00261475">
        <w:rPr>
          <w:rFonts w:cs="Arial"/>
          <w:color w:val="000000" w:themeColor="text1"/>
        </w:rPr>
        <w:t>recovery.</w:t>
      </w:r>
      <w:r w:rsidRPr="00704217">
        <w:rPr>
          <w:rFonts w:cs="Arial"/>
          <w:color w:val="000000" w:themeColor="text1"/>
        </w:rPr>
        <w:t xml:space="preserve"> The persistence of inshore coral communities will depend on the </w:t>
      </w:r>
      <w:r w:rsidR="00261475">
        <w:rPr>
          <w:rFonts w:cs="Arial"/>
          <w:color w:val="000000" w:themeColor="text1"/>
        </w:rPr>
        <w:t xml:space="preserve">long-term </w:t>
      </w:r>
      <w:r w:rsidRPr="00704217">
        <w:rPr>
          <w:rFonts w:cs="Arial"/>
          <w:color w:val="000000" w:themeColor="text1"/>
        </w:rPr>
        <w:t xml:space="preserve">balance between frequency and severity of </w:t>
      </w:r>
      <w:r w:rsidR="00261475">
        <w:rPr>
          <w:rFonts w:cs="Arial"/>
          <w:color w:val="000000" w:themeColor="text1"/>
        </w:rPr>
        <w:t xml:space="preserve">acute </w:t>
      </w:r>
      <w:r w:rsidRPr="00704217">
        <w:rPr>
          <w:rFonts w:cs="Arial"/>
          <w:color w:val="000000" w:themeColor="text1"/>
        </w:rPr>
        <w:t xml:space="preserve">pressures and </w:t>
      </w:r>
      <w:r w:rsidR="00261475">
        <w:rPr>
          <w:rFonts w:cs="Arial"/>
          <w:color w:val="000000" w:themeColor="text1"/>
        </w:rPr>
        <w:t xml:space="preserve">the ability of </w:t>
      </w:r>
      <w:r w:rsidRPr="00704217">
        <w:rPr>
          <w:rFonts w:cs="Arial"/>
          <w:color w:val="000000" w:themeColor="text1"/>
        </w:rPr>
        <w:t xml:space="preserve">corals to recover. </w:t>
      </w:r>
      <w:r w:rsidR="00261475">
        <w:rPr>
          <w:rFonts w:cs="Arial"/>
          <w:color w:val="000000" w:themeColor="text1"/>
        </w:rPr>
        <w:t xml:space="preserve">Central to </w:t>
      </w:r>
      <w:r w:rsidR="006D777D">
        <w:rPr>
          <w:rFonts w:cs="Arial"/>
          <w:color w:val="000000" w:themeColor="text1"/>
        </w:rPr>
        <w:t xml:space="preserve">this balance is limiting the influence of chronic pressures that either suppress the recovery process or compound with acute events adding to the severity of community declines. </w:t>
      </w:r>
      <w:r w:rsidRPr="00704217">
        <w:rPr>
          <w:rFonts w:cs="Arial"/>
          <w:color w:val="000000" w:themeColor="text1"/>
        </w:rPr>
        <w:t>It is the overarching goal of Reef plan to ensure that runoff entering the reef does not alter this balance.</w:t>
      </w:r>
      <w:r w:rsidR="00704217" w:rsidRPr="00704217">
        <w:rPr>
          <w:rFonts w:cs="Arial"/>
          <w:color w:val="000000" w:themeColor="text1"/>
        </w:rPr>
        <w:t xml:space="preserve"> With </w:t>
      </w:r>
      <w:r w:rsidR="0065412C">
        <w:rPr>
          <w:rFonts w:cs="Arial"/>
          <w:color w:val="000000" w:themeColor="text1"/>
        </w:rPr>
        <w:t xml:space="preserve">a </w:t>
      </w:r>
      <w:r w:rsidR="006D777D">
        <w:rPr>
          <w:rFonts w:cs="Arial"/>
          <w:color w:val="000000" w:themeColor="text1"/>
        </w:rPr>
        <w:t xml:space="preserve">global trend for increasing frequency of thermally induced bleaching events (Hughes </w:t>
      </w:r>
      <w:r w:rsidR="006D777D" w:rsidRPr="006D777D">
        <w:rPr>
          <w:rFonts w:cs="Arial"/>
          <w:i/>
          <w:color w:val="000000" w:themeColor="text1"/>
        </w:rPr>
        <w:t>et al.</w:t>
      </w:r>
      <w:r w:rsidR="006D777D">
        <w:rPr>
          <w:rFonts w:cs="Arial"/>
          <w:color w:val="000000" w:themeColor="text1"/>
        </w:rPr>
        <w:t xml:space="preserve"> 2018), corroborated by </w:t>
      </w:r>
      <w:r w:rsidR="00704217" w:rsidRPr="00704217">
        <w:rPr>
          <w:rFonts w:cs="Arial"/>
          <w:color w:val="000000" w:themeColor="text1"/>
        </w:rPr>
        <w:t xml:space="preserve">the back-to-back bleaching events impacting the GBR in 2016 and 2017 </w:t>
      </w:r>
      <w:r w:rsidR="003E43B0">
        <w:rPr>
          <w:rFonts w:cs="Arial"/>
          <w:color w:val="000000" w:themeColor="text1"/>
        </w:rPr>
        <w:t>(</w:t>
      </w:r>
      <w:r w:rsidR="00F74624">
        <w:rPr>
          <w:rFonts w:cs="Arial"/>
          <w:color w:val="000000" w:themeColor="text1"/>
        </w:rPr>
        <w:t>s</w:t>
      </w:r>
      <w:r w:rsidR="003E43B0">
        <w:rPr>
          <w:rFonts w:cs="Arial"/>
          <w:color w:val="000000" w:themeColor="text1"/>
        </w:rPr>
        <w:t>ection 7)</w:t>
      </w:r>
      <w:r w:rsidR="00160410">
        <w:rPr>
          <w:rFonts w:cs="Arial"/>
          <w:color w:val="000000" w:themeColor="text1"/>
        </w:rPr>
        <w:t>,</w:t>
      </w:r>
      <w:r w:rsidR="003E43B0">
        <w:rPr>
          <w:rFonts w:cs="Arial"/>
          <w:color w:val="000000" w:themeColor="text1"/>
        </w:rPr>
        <w:t xml:space="preserve"> </w:t>
      </w:r>
      <w:r w:rsidR="00704217" w:rsidRPr="00704217">
        <w:rPr>
          <w:rFonts w:cs="Arial"/>
          <w:color w:val="000000" w:themeColor="text1"/>
        </w:rPr>
        <w:t>the focus on supporting recovery in a climate of increasing disturbance is ever sharpening.</w:t>
      </w:r>
      <w:r w:rsidRPr="00704217">
        <w:rPr>
          <w:rFonts w:cs="Arial"/>
          <w:color w:val="000000" w:themeColor="text1"/>
        </w:rPr>
        <w:t xml:space="preserve"> </w:t>
      </w:r>
    </w:p>
    <w:p w14:paraId="21523315" w14:textId="77777777" w:rsidR="00C63F3B" w:rsidRPr="000763B7" w:rsidRDefault="00C63F3B" w:rsidP="00C63F3B">
      <w:pPr>
        <w:rPr>
          <w:rFonts w:cs="Arial"/>
          <w:color w:val="000000" w:themeColor="text1"/>
        </w:rPr>
      </w:pPr>
      <w:r w:rsidRPr="000763B7">
        <w:rPr>
          <w:rFonts w:cs="Arial"/>
          <w:color w:val="000000" w:themeColor="text1"/>
        </w:rPr>
        <w:t>Disentangling the influence of runoff in observed declines in coral community condition, or the ability of communities to recover, remains difficult for two primary reasons. Firstly, coral’s threshold to the cumulative pressures associated with water quality are likely to be spatially va</w:t>
      </w:r>
      <w:r w:rsidR="00160410">
        <w:rPr>
          <w:rFonts w:cs="Arial"/>
          <w:color w:val="000000" w:themeColor="text1"/>
        </w:rPr>
        <w:t>riable because of the selection and acclimation</w:t>
      </w:r>
      <w:r w:rsidRPr="000763B7">
        <w:rPr>
          <w:rFonts w:cs="Arial"/>
          <w:color w:val="000000" w:themeColor="text1"/>
        </w:rPr>
        <w:t xml:space="preserve"> of corals in response to location specific conditions. Secondly, extrinsic variability, along with low concentrations of many constituents of water quality</w:t>
      </w:r>
      <w:r w:rsidR="00160410">
        <w:rPr>
          <w:rFonts w:cs="Arial"/>
          <w:color w:val="000000" w:themeColor="text1"/>
        </w:rPr>
        <w:t>,</w:t>
      </w:r>
      <w:r w:rsidRPr="000763B7">
        <w:rPr>
          <w:rFonts w:cs="Arial"/>
          <w:color w:val="000000" w:themeColor="text1"/>
        </w:rPr>
        <w:t xml:space="preserve"> limits the ability to quantify additional pressures resulting from runoff at scales relevant to the communities monitored. In combination, these issues limit the ability to quantify critical thresholds for water quality that are appropriate to the diversity of coral communities found on inshore reefs. However, focusing on the response of the coral communities (as measured by differences in index scores) </w:t>
      </w:r>
      <w:r w:rsidR="009B7F88" w:rsidRPr="000763B7">
        <w:rPr>
          <w:rFonts w:cs="Arial"/>
          <w:color w:val="000000" w:themeColor="text1"/>
        </w:rPr>
        <w:t xml:space="preserve">identifies both spatial and temporal responses of coral communities to variation in water quality. Spatially, results from this project demonstrate </w:t>
      </w:r>
      <w:r w:rsidRPr="000763B7">
        <w:rPr>
          <w:rFonts w:cs="Arial"/>
          <w:color w:val="000000" w:themeColor="text1"/>
        </w:rPr>
        <w:t xml:space="preserve">that </w:t>
      </w:r>
      <w:r w:rsidR="009B7F88" w:rsidRPr="000763B7">
        <w:rPr>
          <w:rFonts w:cs="Arial"/>
          <w:color w:val="000000" w:themeColor="text1"/>
        </w:rPr>
        <w:t>macroalgae abundance is enhanced, to the detriment of cora</w:t>
      </w:r>
      <w:r w:rsidR="00160410">
        <w:rPr>
          <w:rFonts w:cs="Arial"/>
          <w:color w:val="000000" w:themeColor="text1"/>
        </w:rPr>
        <w:t>ls, in areas of high</w:t>
      </w:r>
      <w:r w:rsidR="009B7F88" w:rsidRPr="000763B7">
        <w:rPr>
          <w:rFonts w:cs="Arial"/>
          <w:color w:val="000000" w:themeColor="text1"/>
        </w:rPr>
        <w:t xml:space="preserve"> nutrient availability</w:t>
      </w:r>
      <w:r w:rsidRPr="000763B7">
        <w:rPr>
          <w:rFonts w:cs="Arial"/>
          <w:color w:val="000000" w:themeColor="text1"/>
        </w:rPr>
        <w:t xml:space="preserve">. </w:t>
      </w:r>
      <w:r w:rsidR="009B7F88" w:rsidRPr="000763B7">
        <w:rPr>
          <w:rFonts w:cs="Arial"/>
          <w:color w:val="000000" w:themeColor="text1"/>
        </w:rPr>
        <w:t>T</w:t>
      </w:r>
      <w:r w:rsidR="000763B7">
        <w:rPr>
          <w:rFonts w:cs="Arial"/>
          <w:color w:val="000000" w:themeColor="text1"/>
        </w:rPr>
        <w:t>emporally</w:t>
      </w:r>
      <w:r w:rsidR="00160410">
        <w:rPr>
          <w:rFonts w:cs="Arial"/>
          <w:color w:val="000000" w:themeColor="text1"/>
        </w:rPr>
        <w:t>,</w:t>
      </w:r>
      <w:r w:rsidR="000763B7">
        <w:rPr>
          <w:rFonts w:cs="Arial"/>
          <w:color w:val="000000" w:themeColor="text1"/>
        </w:rPr>
        <w:t xml:space="preserve"> t</w:t>
      </w:r>
      <w:r w:rsidR="009B7F88" w:rsidRPr="000763B7">
        <w:rPr>
          <w:rFonts w:cs="Arial"/>
          <w:color w:val="000000" w:themeColor="text1"/>
        </w:rPr>
        <w:t>he recovery of coral communities, assessed as rate of increase in index scores</w:t>
      </w:r>
      <w:r w:rsidR="003E43B0">
        <w:rPr>
          <w:rFonts w:cs="Arial"/>
          <w:color w:val="000000" w:themeColor="text1"/>
        </w:rPr>
        <w:t>,</w:t>
      </w:r>
      <w:r w:rsidR="009B7F88" w:rsidRPr="000763B7">
        <w:rPr>
          <w:rFonts w:cs="Arial"/>
          <w:color w:val="000000" w:themeColor="text1"/>
        </w:rPr>
        <w:t xml:space="preserve"> also shows a negative relationship to </w:t>
      </w:r>
      <w:r w:rsidR="00D549CB">
        <w:rPr>
          <w:rFonts w:cs="Arial"/>
          <w:color w:val="000000" w:themeColor="text1"/>
        </w:rPr>
        <w:t xml:space="preserve">river </w:t>
      </w:r>
      <w:r w:rsidR="009B7F88" w:rsidRPr="000763B7">
        <w:rPr>
          <w:rFonts w:cs="Arial"/>
          <w:color w:val="000000" w:themeColor="text1"/>
        </w:rPr>
        <w:t>discharge</w:t>
      </w:r>
      <w:r w:rsidR="003E43B0">
        <w:rPr>
          <w:rFonts w:cs="Arial"/>
          <w:color w:val="000000" w:themeColor="text1"/>
        </w:rPr>
        <w:t xml:space="preserve"> and the corresponding loads of sediments and nutrients carried therein.</w:t>
      </w:r>
      <w:r w:rsidRPr="000763B7">
        <w:rPr>
          <w:rFonts w:cs="Arial"/>
          <w:color w:val="000000" w:themeColor="text1"/>
        </w:rPr>
        <w:t xml:space="preserve"> </w:t>
      </w:r>
    </w:p>
    <w:p w14:paraId="697E7815" w14:textId="75E3AF9A" w:rsidR="00C63F3B" w:rsidRPr="000763B7" w:rsidRDefault="00C63F3B" w:rsidP="00C63F3B">
      <w:pPr>
        <w:rPr>
          <w:rFonts w:cs="Arial"/>
          <w:color w:val="000000" w:themeColor="text1"/>
        </w:rPr>
      </w:pPr>
      <w:r w:rsidRPr="000763B7">
        <w:rPr>
          <w:rFonts w:cs="Arial"/>
          <w:color w:val="000000" w:themeColor="text1"/>
        </w:rPr>
        <w:t xml:space="preserve">Although </w:t>
      </w:r>
      <w:r w:rsidR="001E61D9">
        <w:rPr>
          <w:rFonts w:cs="Arial"/>
          <w:color w:val="000000" w:themeColor="text1"/>
        </w:rPr>
        <w:t xml:space="preserve">not </w:t>
      </w:r>
      <w:r w:rsidRPr="000763B7">
        <w:rPr>
          <w:rFonts w:cs="Arial"/>
          <w:color w:val="000000" w:themeColor="text1"/>
        </w:rPr>
        <w:t>strong</w:t>
      </w:r>
      <w:r w:rsidR="00AE6750">
        <w:rPr>
          <w:rFonts w:cs="Arial"/>
          <w:color w:val="000000" w:themeColor="text1"/>
        </w:rPr>
        <w:t>,</w:t>
      </w:r>
      <w:r w:rsidRPr="000763B7">
        <w:rPr>
          <w:rFonts w:cs="Arial"/>
          <w:color w:val="000000" w:themeColor="text1"/>
        </w:rPr>
        <w:t xml:space="preserve"> the consistent </w:t>
      </w:r>
      <w:r w:rsidR="00704217" w:rsidRPr="000763B7">
        <w:rPr>
          <w:rFonts w:cs="Arial"/>
          <w:color w:val="000000" w:themeColor="text1"/>
        </w:rPr>
        <w:t>tendency for</w:t>
      </w:r>
      <w:r w:rsidRPr="000763B7">
        <w:rPr>
          <w:rFonts w:cs="Arial"/>
          <w:color w:val="000000" w:themeColor="text1"/>
        </w:rPr>
        <w:t xml:space="preserve"> higher rates of improvement </w:t>
      </w:r>
      <w:r w:rsidR="001E61D9">
        <w:rPr>
          <w:rFonts w:cs="Arial"/>
          <w:color w:val="000000" w:themeColor="text1"/>
        </w:rPr>
        <w:t xml:space="preserve">in the index </w:t>
      </w:r>
      <w:r w:rsidRPr="000763B7">
        <w:rPr>
          <w:rFonts w:cs="Arial"/>
          <w:color w:val="000000" w:themeColor="text1"/>
        </w:rPr>
        <w:t>when runoff is low suggest</w:t>
      </w:r>
      <w:r w:rsidR="00AE6750">
        <w:rPr>
          <w:rFonts w:cs="Arial"/>
          <w:color w:val="000000" w:themeColor="text1"/>
        </w:rPr>
        <w:t>s</w:t>
      </w:r>
      <w:r w:rsidRPr="000763B7">
        <w:rPr>
          <w:rFonts w:cs="Arial"/>
          <w:color w:val="000000" w:themeColor="text1"/>
        </w:rPr>
        <w:t xml:space="preserve"> sensitivity of community recovery to contaminant concentrations in runoff. Given projections for increased severity and/or frequency of pressure</w:t>
      </w:r>
      <w:r w:rsidR="00160410">
        <w:rPr>
          <w:rFonts w:cs="Arial"/>
          <w:color w:val="000000" w:themeColor="text1"/>
        </w:rPr>
        <w:t>s as a result of climate change</w:t>
      </w:r>
      <w:r w:rsidRPr="000763B7">
        <w:rPr>
          <w:rFonts w:cs="Arial"/>
          <w:color w:val="000000" w:themeColor="text1"/>
        </w:rPr>
        <w:t xml:space="preserve"> and human activities in general (Steffen </w:t>
      </w:r>
      <w:r w:rsidRPr="000763B7">
        <w:rPr>
          <w:rFonts w:cs="Arial"/>
          <w:i/>
          <w:color w:val="000000" w:themeColor="text1"/>
        </w:rPr>
        <w:t>et al</w:t>
      </w:r>
      <w:r w:rsidRPr="000763B7">
        <w:rPr>
          <w:rFonts w:cs="Arial"/>
          <w:color w:val="000000" w:themeColor="text1"/>
        </w:rPr>
        <w:t xml:space="preserve">. 2013, Halpern </w:t>
      </w:r>
      <w:r w:rsidRPr="000763B7">
        <w:rPr>
          <w:rFonts w:cs="Arial"/>
          <w:i/>
          <w:color w:val="000000" w:themeColor="text1"/>
        </w:rPr>
        <w:t>et al.</w:t>
      </w:r>
      <w:r w:rsidRPr="000763B7">
        <w:rPr>
          <w:rFonts w:cs="Arial"/>
          <w:color w:val="000000" w:themeColor="text1"/>
        </w:rPr>
        <w:t xml:space="preserve"> 2015</w:t>
      </w:r>
      <w:r w:rsidR="003E43B0">
        <w:rPr>
          <w:rFonts w:cs="Arial"/>
          <w:color w:val="000000" w:themeColor="text1"/>
        </w:rPr>
        <w:t xml:space="preserve">, Hughes </w:t>
      </w:r>
      <w:r w:rsidR="003E43B0" w:rsidRPr="003E43B0">
        <w:rPr>
          <w:rFonts w:cs="Arial"/>
          <w:i/>
          <w:color w:val="000000" w:themeColor="text1"/>
        </w:rPr>
        <w:t>et al.</w:t>
      </w:r>
      <w:r w:rsidR="003E43B0">
        <w:rPr>
          <w:rFonts w:cs="Arial"/>
          <w:color w:val="000000" w:themeColor="text1"/>
        </w:rPr>
        <w:t xml:space="preserve"> 2018</w:t>
      </w:r>
      <w:r w:rsidRPr="000763B7">
        <w:rPr>
          <w:rFonts w:cs="Arial"/>
          <w:color w:val="000000" w:themeColor="text1"/>
        </w:rPr>
        <w:t>), the importan</w:t>
      </w:r>
      <w:r w:rsidR="00160410">
        <w:rPr>
          <w:rFonts w:cs="Arial"/>
          <w:color w:val="000000" w:themeColor="text1"/>
        </w:rPr>
        <w:t>ce of reducing local pressures (</w:t>
      </w:r>
      <w:r w:rsidRPr="000763B7">
        <w:rPr>
          <w:rFonts w:cs="Arial"/>
          <w:color w:val="000000" w:themeColor="text1"/>
        </w:rPr>
        <w:t>so as to reduce cumulative pressures and foster improved recovery</w:t>
      </w:r>
      <w:r w:rsidR="00160410">
        <w:rPr>
          <w:rFonts w:cs="Arial"/>
          <w:color w:val="000000" w:themeColor="text1"/>
        </w:rPr>
        <w:t>)</w:t>
      </w:r>
      <w:r w:rsidRPr="000763B7">
        <w:rPr>
          <w:rFonts w:cs="Arial"/>
          <w:color w:val="000000" w:themeColor="text1"/>
        </w:rPr>
        <w:t xml:space="preserve"> becomes increasingly essential to the long-term </w:t>
      </w:r>
      <w:r w:rsidR="000763B7" w:rsidRPr="000763B7">
        <w:rPr>
          <w:rFonts w:cs="Arial"/>
          <w:color w:val="000000" w:themeColor="text1"/>
        </w:rPr>
        <w:t>maintenance</w:t>
      </w:r>
      <w:r w:rsidRPr="000763B7">
        <w:rPr>
          <w:rFonts w:cs="Arial"/>
          <w:color w:val="000000" w:themeColor="text1"/>
        </w:rPr>
        <w:t xml:space="preserve"> of these communities. The GBRMPA Strategic Assessment identified the cumulative impact of multiple pressures on coral ecosystems as a key knowledge gap and the management of these impacts as a major strategic challenge (GBRMPA 2014a). While the results presented here do not provide clear guidance in terms of load reductions required to improve coral condition in the inshore Reef they do support the premise of </w:t>
      </w:r>
      <w:r w:rsidRPr="00362093">
        <w:rPr>
          <w:rFonts w:cs="Arial"/>
          <w:i/>
          <w:color w:val="000000" w:themeColor="text1"/>
        </w:rPr>
        <w:t xml:space="preserve">Reef Plan </w:t>
      </w:r>
      <w:r w:rsidRPr="000763B7">
        <w:rPr>
          <w:rFonts w:cs="Arial"/>
          <w:color w:val="000000" w:themeColor="text1"/>
        </w:rPr>
        <w:t>that the loads enterin</w:t>
      </w:r>
      <w:r w:rsidR="003E43B0">
        <w:rPr>
          <w:rFonts w:cs="Arial"/>
          <w:color w:val="000000" w:themeColor="text1"/>
        </w:rPr>
        <w:t>g the reef, during high rain</w:t>
      </w:r>
      <w:r w:rsidRPr="000763B7">
        <w:rPr>
          <w:rFonts w:cs="Arial"/>
          <w:color w:val="000000" w:themeColor="text1"/>
        </w:rPr>
        <w:t xml:space="preserve">fall periods in particular, are reducing the resilience of these communities. </w:t>
      </w:r>
    </w:p>
    <w:p w14:paraId="33D19F99" w14:textId="77777777" w:rsidR="00C63F3B" w:rsidRPr="00F352E1" w:rsidRDefault="00C63F3B" w:rsidP="00C63F3B">
      <w:pPr>
        <w:rPr>
          <w:color w:val="4F81BD" w:themeColor="accent1"/>
        </w:rPr>
      </w:pPr>
    </w:p>
    <w:p w14:paraId="0BE48A33" w14:textId="77777777" w:rsidR="00C63F3B" w:rsidRPr="00F352E1" w:rsidRDefault="00C63F3B" w:rsidP="00C63F3B">
      <w:pPr>
        <w:jc w:val="left"/>
        <w:rPr>
          <w:rFonts w:eastAsia="SimSun"/>
          <w:b/>
          <w:i/>
          <w:color w:val="4F81BD" w:themeColor="accent1"/>
          <w:kern w:val="28"/>
          <w:sz w:val="32"/>
          <w:szCs w:val="28"/>
        </w:rPr>
      </w:pPr>
      <w:r w:rsidRPr="00F352E1">
        <w:rPr>
          <w:color w:val="4F81BD" w:themeColor="accent1"/>
        </w:rPr>
        <w:br w:type="page"/>
      </w:r>
    </w:p>
    <w:p w14:paraId="5996834B" w14:textId="117D4E2F" w:rsidR="0039351B" w:rsidRPr="0039351B" w:rsidRDefault="00DE147A" w:rsidP="00121B7E">
      <w:pPr>
        <w:pStyle w:val="Heading1"/>
        <w:rPr>
          <w:color w:val="4F81BD" w:themeColor="accent1"/>
        </w:rPr>
      </w:pPr>
      <w:r>
        <w:t xml:space="preserve"> </w:t>
      </w:r>
      <w:r w:rsidR="001B76D4">
        <w:t xml:space="preserve"> </w:t>
      </w:r>
      <w:bookmarkStart w:id="284" w:name="_Toc514408434"/>
      <w:r w:rsidR="00502A11" w:rsidRPr="00F352E1">
        <w:t xml:space="preserve">Case </w:t>
      </w:r>
      <w:r w:rsidR="00DD6C5A">
        <w:t>s</w:t>
      </w:r>
      <w:r w:rsidR="00502A11" w:rsidRPr="00F352E1">
        <w:t>tudy - Coral Bleaching 201</w:t>
      </w:r>
      <w:r w:rsidR="0039351B">
        <w:t>7</w:t>
      </w:r>
      <w:bookmarkEnd w:id="284"/>
    </w:p>
    <w:p w14:paraId="7E37B9FF" w14:textId="4C1DBCA6" w:rsidR="0039351B" w:rsidRPr="001E039D" w:rsidRDefault="0039351B" w:rsidP="001E039D">
      <w:pPr>
        <w:rPr>
          <w:color w:val="4F81BD" w:themeColor="accent1"/>
        </w:rPr>
      </w:pPr>
      <w:r w:rsidRPr="0039351B">
        <w:rPr>
          <w:lang w:val="en-AU"/>
        </w:rPr>
        <w:t xml:space="preserve">Following the record-breaking temperatures of 2016, sea surface temperatures on the GBR </w:t>
      </w:r>
      <w:r w:rsidR="001E039D">
        <w:rPr>
          <w:lang w:val="en-AU"/>
        </w:rPr>
        <w:t xml:space="preserve">again </w:t>
      </w:r>
      <w:r w:rsidRPr="0039351B">
        <w:rPr>
          <w:lang w:val="en-AU"/>
        </w:rPr>
        <w:t>exceeded long</w:t>
      </w:r>
      <w:r w:rsidR="001E039D">
        <w:rPr>
          <w:lang w:val="en-AU"/>
        </w:rPr>
        <w:t>-</w:t>
      </w:r>
      <w:r w:rsidRPr="0039351B">
        <w:rPr>
          <w:lang w:val="en-AU"/>
        </w:rPr>
        <w:t>term averages during January to March 2017, causing an unprecedented second consecutive year of bleaching. Patterns of bleaching intensity shifted from the northern reefs in 2016 to the central reefs in 2017 (</w:t>
      </w:r>
      <w:r w:rsidR="00322E52">
        <w:rPr>
          <w:lang w:val="en-AU"/>
        </w:rPr>
        <w:fldChar w:fldCharType="begin"/>
      </w:r>
      <w:r w:rsidR="00322E52">
        <w:rPr>
          <w:lang w:val="en-AU"/>
        </w:rPr>
        <w:instrText xml:space="preserve"> REF _Ref500748416 \h </w:instrText>
      </w:r>
      <w:r w:rsidR="00322E52">
        <w:rPr>
          <w:lang w:val="en-AU"/>
        </w:rPr>
      </w:r>
      <w:r w:rsidR="00322E52">
        <w:rPr>
          <w:lang w:val="en-AU"/>
        </w:rPr>
        <w:fldChar w:fldCharType="separate"/>
      </w:r>
      <w:r w:rsidR="00A75175">
        <w:t xml:space="preserve">Figure </w:t>
      </w:r>
      <w:r w:rsidR="00A75175">
        <w:rPr>
          <w:noProof/>
        </w:rPr>
        <w:t>24</w:t>
      </w:r>
      <w:r w:rsidR="00322E52">
        <w:rPr>
          <w:lang w:val="en-AU"/>
        </w:rPr>
        <w:fldChar w:fldCharType="end"/>
      </w:r>
      <w:r w:rsidRPr="0039351B">
        <w:rPr>
          <w:lang w:val="en-AU"/>
        </w:rPr>
        <w:t>).</w:t>
      </w:r>
      <w:r w:rsidR="001E039D">
        <w:rPr>
          <w:lang w:val="en-AU"/>
        </w:rPr>
        <w:t xml:space="preserve"> While two previous </w:t>
      </w:r>
      <w:r w:rsidRPr="0039351B">
        <w:rPr>
          <w:lang w:val="en-AU"/>
        </w:rPr>
        <w:t xml:space="preserve">widespread bleaching </w:t>
      </w:r>
      <w:r w:rsidR="001E039D">
        <w:rPr>
          <w:lang w:val="en-AU"/>
        </w:rPr>
        <w:t>events</w:t>
      </w:r>
      <w:r w:rsidRPr="0039351B">
        <w:rPr>
          <w:lang w:val="en-AU"/>
        </w:rPr>
        <w:t xml:space="preserve"> have occurred on the GBR (1998, 2002), recovery had been possible during the cooler interval. Globally, this latest series of positive sea surface temperature anomalies began in mid-2014, continuing for three years driven by a severe El </w:t>
      </w:r>
      <w:r w:rsidR="00053E9A" w:rsidRPr="0039351B">
        <w:rPr>
          <w:lang w:val="en-AU"/>
        </w:rPr>
        <w:t>Ni</w:t>
      </w:r>
      <w:r w:rsidR="00053E9A">
        <w:rPr>
          <w:rFonts w:cs="Arial"/>
          <w:lang w:val="en-AU"/>
        </w:rPr>
        <w:t>ño</w:t>
      </w:r>
      <w:r w:rsidRPr="0039351B">
        <w:rPr>
          <w:lang w:val="en-AU"/>
        </w:rPr>
        <w:t xml:space="preserve"> / La </w:t>
      </w:r>
      <w:r w:rsidR="00053E9A" w:rsidRPr="0039351B">
        <w:rPr>
          <w:lang w:val="en-AU"/>
        </w:rPr>
        <w:t>Ni</w:t>
      </w:r>
      <w:r w:rsidR="00053E9A">
        <w:rPr>
          <w:rFonts w:cs="Arial"/>
          <w:lang w:val="en-AU"/>
        </w:rPr>
        <w:t>ña</w:t>
      </w:r>
      <w:r w:rsidRPr="0039351B">
        <w:rPr>
          <w:lang w:val="en-AU"/>
        </w:rPr>
        <w:t xml:space="preserve"> cycle. Termed the ‘Third Global Coral Bleaching Event’ by the National Oceanic and Atmospheric Administration (NOAA), it is considered to be the longest, most widespread and possibly the most damaging coral bleaching event on record (NOAA 2017). The collapse of the latest El </w:t>
      </w:r>
      <w:r w:rsidR="00053E9A" w:rsidRPr="0039351B">
        <w:rPr>
          <w:lang w:val="en-AU"/>
        </w:rPr>
        <w:t>Ni</w:t>
      </w:r>
      <w:r w:rsidR="00053E9A">
        <w:rPr>
          <w:rFonts w:cs="Arial"/>
          <w:lang w:val="en-AU"/>
        </w:rPr>
        <w:t>ño</w:t>
      </w:r>
      <w:r w:rsidRPr="0039351B">
        <w:rPr>
          <w:lang w:val="en-AU"/>
        </w:rPr>
        <w:t xml:space="preserve"> in mid-2016, followed by a brief swing towards a La </w:t>
      </w:r>
      <w:r w:rsidR="00053E9A" w:rsidRPr="0039351B">
        <w:rPr>
          <w:lang w:val="en-AU"/>
        </w:rPr>
        <w:t>Ni</w:t>
      </w:r>
      <w:r w:rsidR="00053E9A">
        <w:rPr>
          <w:rFonts w:cs="Arial"/>
          <w:lang w:val="en-AU"/>
        </w:rPr>
        <w:t>ña</w:t>
      </w:r>
      <w:r w:rsidRPr="0039351B">
        <w:rPr>
          <w:lang w:val="en-AU"/>
        </w:rPr>
        <w:t xml:space="preserve"> event, retained the above-average sea surface temperatures (often +2</w:t>
      </w:r>
      <w:r w:rsidRPr="0039351B">
        <w:rPr>
          <w:vertAlign w:val="superscript"/>
          <w:lang w:val="en-AU"/>
        </w:rPr>
        <w:t>0</w:t>
      </w:r>
      <w:r w:rsidRPr="0039351B">
        <w:rPr>
          <w:lang w:val="en-AU"/>
        </w:rPr>
        <w:t>C) for the GBR during the 2016 winter, giving momentum to the accumulation of heat-stress by the beginning of the 2017 summer (</w:t>
      </w:r>
      <w:r w:rsidR="001E039D">
        <w:rPr>
          <w:lang w:val="en-AU"/>
        </w:rPr>
        <w:fldChar w:fldCharType="begin"/>
      </w:r>
      <w:r w:rsidR="001E039D">
        <w:rPr>
          <w:lang w:val="en-AU"/>
        </w:rPr>
        <w:instrText xml:space="preserve"> REF _Ref500880411 \h </w:instrText>
      </w:r>
      <w:r w:rsidR="001E039D">
        <w:rPr>
          <w:lang w:val="en-AU"/>
        </w:rPr>
      </w:r>
      <w:r w:rsidR="001E039D">
        <w:rPr>
          <w:lang w:val="en-AU"/>
        </w:rPr>
        <w:fldChar w:fldCharType="separate"/>
      </w:r>
      <w:r w:rsidR="00A75175">
        <w:t xml:space="preserve">Figure </w:t>
      </w:r>
      <w:r w:rsidR="00A75175">
        <w:rPr>
          <w:noProof/>
        </w:rPr>
        <w:t>25</w:t>
      </w:r>
      <w:r w:rsidR="001E039D">
        <w:rPr>
          <w:lang w:val="en-AU"/>
        </w:rPr>
        <w:fldChar w:fldCharType="end"/>
      </w:r>
      <w:r w:rsidRPr="0039351B">
        <w:rPr>
          <w:lang w:val="en-AU"/>
        </w:rPr>
        <w:t xml:space="preserve">). </w:t>
      </w:r>
    </w:p>
    <w:p w14:paraId="3AE75F1A" w14:textId="77777777" w:rsidR="0039351B" w:rsidRDefault="0039351B" w:rsidP="0039351B">
      <w:pPr>
        <w:spacing w:after="0"/>
        <w:rPr>
          <w:lang w:val="en-AU"/>
        </w:rPr>
      </w:pPr>
      <w:r>
        <w:rPr>
          <w:lang w:val="en-AU"/>
        </w:rPr>
        <w:t>This case study looks at the distribution of bleaching among reefs monitored by the MMP in 2017, with reference to the 2016 event.</w:t>
      </w:r>
    </w:p>
    <w:p w14:paraId="59383ED6" w14:textId="77777777" w:rsidR="0039351B" w:rsidRPr="003A6997" w:rsidRDefault="00CF08AD" w:rsidP="00607BCA">
      <w:pPr>
        <w:pStyle w:val="Heading2"/>
        <w:spacing w:before="240" w:after="240"/>
      </w:pPr>
      <w:bookmarkStart w:id="285" w:name="_Toc514408435"/>
      <w:r>
        <w:t xml:space="preserve">7.1 </w:t>
      </w:r>
      <w:r w:rsidR="0039351B" w:rsidRPr="003A6997">
        <w:t>Methods</w:t>
      </w:r>
      <w:bookmarkEnd w:id="285"/>
    </w:p>
    <w:p w14:paraId="5DCF8224" w14:textId="5C020DE9" w:rsidR="0039351B" w:rsidRPr="007B1C32" w:rsidRDefault="005C1726" w:rsidP="0039351B">
      <w:pPr>
        <w:rPr>
          <w:rFonts w:cstheme="minorHAnsi"/>
          <w:lang w:val="en-AU"/>
        </w:rPr>
      </w:pPr>
      <w:r>
        <w:rPr>
          <w:lang w:val="en-AU"/>
        </w:rPr>
        <w:t>Surv</w:t>
      </w:r>
      <w:r w:rsidR="001E039D">
        <w:rPr>
          <w:lang w:val="en-AU"/>
        </w:rPr>
        <w:t>eys in 2016 and 2017 were under</w:t>
      </w:r>
      <w:r>
        <w:rPr>
          <w:lang w:val="en-AU"/>
        </w:rPr>
        <w:t>taken over the months May-</w:t>
      </w:r>
      <w:r w:rsidR="001E039D">
        <w:rPr>
          <w:lang w:val="en-AU"/>
        </w:rPr>
        <w:t>September</w:t>
      </w:r>
      <w:r>
        <w:rPr>
          <w:lang w:val="en-AU"/>
        </w:rPr>
        <w:t xml:space="preserve">. Bleaching </w:t>
      </w:r>
      <w:r w:rsidR="001E039D">
        <w:rPr>
          <w:lang w:val="en-AU"/>
        </w:rPr>
        <w:t>impact was assessed based on analysis of photo point-intercept-</w:t>
      </w:r>
      <w:r>
        <w:rPr>
          <w:lang w:val="en-AU"/>
        </w:rPr>
        <w:t xml:space="preserve">transects. </w:t>
      </w:r>
      <w:r w:rsidR="00BF074D">
        <w:rPr>
          <w:lang w:val="en-AU"/>
        </w:rPr>
        <w:t xml:space="preserve">The proportion </w:t>
      </w:r>
      <w:r w:rsidR="001E039D">
        <w:rPr>
          <w:lang w:val="en-AU"/>
        </w:rPr>
        <w:t xml:space="preserve">of the coral community bleached at the time of survey was estimated from the classification of all </w:t>
      </w:r>
      <w:r w:rsidR="00BF074D">
        <w:rPr>
          <w:lang w:val="en-AU"/>
        </w:rPr>
        <w:t xml:space="preserve">of points falling on corals </w:t>
      </w:r>
      <w:r w:rsidR="001E039D">
        <w:rPr>
          <w:lang w:val="en-AU"/>
        </w:rPr>
        <w:t xml:space="preserve">being classified as </w:t>
      </w:r>
      <w:r w:rsidR="00BF074D">
        <w:rPr>
          <w:lang w:val="en-AU"/>
        </w:rPr>
        <w:t xml:space="preserve">either </w:t>
      </w:r>
      <w:r w:rsidR="00DE107E">
        <w:rPr>
          <w:lang w:val="en-AU"/>
        </w:rPr>
        <w:t>‘</w:t>
      </w:r>
      <w:r w:rsidR="00BF074D">
        <w:rPr>
          <w:lang w:val="en-AU"/>
        </w:rPr>
        <w:t>not bleached</w:t>
      </w:r>
      <w:r w:rsidR="00DE107E">
        <w:rPr>
          <w:lang w:val="en-AU"/>
        </w:rPr>
        <w:t>’</w:t>
      </w:r>
      <w:r w:rsidR="00BF074D">
        <w:rPr>
          <w:lang w:val="en-AU"/>
        </w:rPr>
        <w:t xml:space="preserve">, </w:t>
      </w:r>
      <w:r w:rsidR="00DE107E">
        <w:rPr>
          <w:lang w:val="en-AU"/>
        </w:rPr>
        <w:t>‘</w:t>
      </w:r>
      <w:r w:rsidR="00BF074D">
        <w:rPr>
          <w:lang w:val="en-AU"/>
        </w:rPr>
        <w:t>partially bleached</w:t>
      </w:r>
      <w:r w:rsidR="00DE107E">
        <w:rPr>
          <w:lang w:val="en-AU"/>
        </w:rPr>
        <w:t>’</w:t>
      </w:r>
      <w:r w:rsidR="00BF074D">
        <w:rPr>
          <w:lang w:val="en-AU"/>
        </w:rPr>
        <w:t xml:space="preserve"> or </w:t>
      </w:r>
      <w:r w:rsidR="00DE107E">
        <w:rPr>
          <w:lang w:val="en-AU"/>
        </w:rPr>
        <w:t>‘</w:t>
      </w:r>
      <w:r w:rsidR="00BF074D">
        <w:rPr>
          <w:lang w:val="en-AU"/>
        </w:rPr>
        <w:t>bleached white</w:t>
      </w:r>
      <w:r w:rsidR="00DE107E">
        <w:rPr>
          <w:lang w:val="en-AU"/>
        </w:rPr>
        <w:t>’</w:t>
      </w:r>
      <w:r w:rsidR="00BF074D">
        <w:rPr>
          <w:lang w:val="en-AU"/>
        </w:rPr>
        <w:t>. The proportion of corals bleached includes the sum of the partially bleached and bleached white categories. The loss of cover attributed to the bleaching event was estimated as difference in cover between the focal year</w:t>
      </w:r>
      <w:r w:rsidR="00DE107E">
        <w:rPr>
          <w:lang w:val="en-AU"/>
        </w:rPr>
        <w:t>’s</w:t>
      </w:r>
      <w:r w:rsidR="00BF074D">
        <w:rPr>
          <w:lang w:val="en-AU"/>
        </w:rPr>
        <w:t xml:space="preserve"> survey and the previous year</w:t>
      </w:r>
      <w:r w:rsidR="00776C13">
        <w:rPr>
          <w:lang w:val="en-AU"/>
        </w:rPr>
        <w:t>’</w:t>
      </w:r>
      <w:r w:rsidR="00BF074D">
        <w:rPr>
          <w:lang w:val="en-AU"/>
        </w:rPr>
        <w:t xml:space="preserve">s survey divided by the cover in the previous </w:t>
      </w:r>
      <w:r w:rsidR="00776C13">
        <w:rPr>
          <w:lang w:val="en-AU"/>
        </w:rPr>
        <w:t xml:space="preserve">year’s </w:t>
      </w:r>
      <w:r w:rsidR="00BF074D">
        <w:rPr>
          <w:lang w:val="en-AU"/>
        </w:rPr>
        <w:t>survey</w:t>
      </w:r>
      <w:r w:rsidR="00776C13">
        <w:rPr>
          <w:lang w:val="en-AU"/>
        </w:rPr>
        <w:t xml:space="preserve">. In a small number of cases the duration between focal surveys and previous year’s survey was </w:t>
      </w:r>
      <w:r w:rsidR="00053E9A">
        <w:rPr>
          <w:lang w:val="en-AU"/>
        </w:rPr>
        <w:t>two</w:t>
      </w:r>
      <w:r w:rsidR="00776C13">
        <w:rPr>
          <w:lang w:val="en-AU"/>
        </w:rPr>
        <w:t xml:space="preserve"> years due to the biennial sampling design</w:t>
      </w:r>
      <w:r w:rsidR="00DE107E">
        <w:rPr>
          <w:lang w:val="en-AU"/>
        </w:rPr>
        <w:t xml:space="preserve"> of the MMP</w:t>
      </w:r>
      <w:r w:rsidR="003E43B0">
        <w:rPr>
          <w:lang w:val="en-AU"/>
        </w:rPr>
        <w:t xml:space="preserve"> (</w:t>
      </w:r>
      <w:r w:rsidR="0024084A" w:rsidRPr="0024084A">
        <w:rPr>
          <w:rFonts w:cs="Arial"/>
          <w:szCs w:val="22"/>
          <w:lang w:val="en-AU"/>
        </w:rPr>
        <w:fldChar w:fldCharType="begin"/>
      </w:r>
      <w:r w:rsidR="0024084A" w:rsidRPr="0024084A">
        <w:rPr>
          <w:rFonts w:cs="Arial"/>
          <w:szCs w:val="22"/>
          <w:lang w:val="en-AU"/>
        </w:rPr>
        <w:instrText xml:space="preserve"> REF _Ref500764021 \h  \* MERGEFORMAT </w:instrText>
      </w:r>
      <w:r w:rsidR="0024084A" w:rsidRPr="0024084A">
        <w:rPr>
          <w:rFonts w:cs="Arial"/>
          <w:szCs w:val="22"/>
          <w:lang w:val="en-AU"/>
        </w:rPr>
      </w:r>
      <w:r w:rsidR="0024084A" w:rsidRPr="0024084A">
        <w:rPr>
          <w:rFonts w:cs="Arial"/>
          <w:szCs w:val="22"/>
          <w:lang w:val="en-AU"/>
        </w:rPr>
        <w:fldChar w:fldCharType="separate"/>
      </w:r>
      <w:r w:rsidR="00A75175" w:rsidRPr="00A75175">
        <w:rPr>
          <w:rFonts w:eastAsia="SimSun" w:cs="Arial"/>
          <w:szCs w:val="22"/>
        </w:rPr>
        <w:t xml:space="preserve">Table </w:t>
      </w:r>
      <w:r w:rsidR="00A75175" w:rsidRPr="00A75175">
        <w:rPr>
          <w:rFonts w:eastAsia="SimSun" w:cs="Arial"/>
          <w:noProof/>
          <w:szCs w:val="22"/>
        </w:rPr>
        <w:t>17</w:t>
      </w:r>
      <w:r w:rsidR="0024084A" w:rsidRPr="0024084A">
        <w:rPr>
          <w:rFonts w:cs="Arial"/>
          <w:szCs w:val="22"/>
          <w:lang w:val="en-AU"/>
        </w:rPr>
        <w:fldChar w:fldCharType="end"/>
      </w:r>
      <w:r w:rsidR="003E43B0">
        <w:rPr>
          <w:lang w:val="en-AU"/>
        </w:rPr>
        <w:t>)</w:t>
      </w:r>
      <w:r w:rsidR="00776C13">
        <w:rPr>
          <w:lang w:val="en-AU"/>
        </w:rPr>
        <w:t xml:space="preserve">. It should be noted that these estimates of proportional loss of cover are minimum estimates as do not consider increased cover in the period between previous survey and the onset of bleaching. The lack of correction for growth, as included in the estimates in </w:t>
      </w:r>
      <w:r w:rsidR="00DE107E">
        <w:rPr>
          <w:lang w:val="en-AU"/>
        </w:rPr>
        <w:t xml:space="preserve">the </w:t>
      </w:r>
      <w:r w:rsidR="00776C13">
        <w:rPr>
          <w:lang w:val="en-AU"/>
        </w:rPr>
        <w:t>body of the report</w:t>
      </w:r>
      <w:r w:rsidR="003E43B0">
        <w:rPr>
          <w:lang w:val="en-AU"/>
        </w:rPr>
        <w:t xml:space="preserve"> and summarised in </w:t>
      </w:r>
      <w:r w:rsidR="003E43B0">
        <w:rPr>
          <w:lang w:val="en-AU"/>
        </w:rPr>
        <w:fldChar w:fldCharType="begin"/>
      </w:r>
      <w:r w:rsidR="003E43B0">
        <w:rPr>
          <w:lang w:val="en-AU"/>
        </w:rPr>
        <w:instrText xml:space="preserve"> REF _Ref500961104 \h </w:instrText>
      </w:r>
      <w:r w:rsidR="003E43B0">
        <w:rPr>
          <w:lang w:val="en-AU"/>
        </w:rPr>
      </w:r>
      <w:r w:rsidR="003E43B0">
        <w:rPr>
          <w:lang w:val="en-AU"/>
        </w:rPr>
        <w:fldChar w:fldCharType="separate"/>
      </w:r>
      <w:r w:rsidR="00A75175">
        <w:t xml:space="preserve">Table A1. </w:t>
      </w:r>
      <w:r w:rsidR="00A75175">
        <w:rPr>
          <w:noProof/>
        </w:rPr>
        <w:t>4</w:t>
      </w:r>
      <w:r w:rsidR="003E43B0">
        <w:rPr>
          <w:lang w:val="en-AU"/>
        </w:rPr>
        <w:fldChar w:fldCharType="end"/>
      </w:r>
      <w:r w:rsidR="00776C13">
        <w:rPr>
          <w:lang w:val="en-AU"/>
        </w:rPr>
        <w:t>, allows consistency between genus level losses and total coral co</w:t>
      </w:r>
      <w:r w:rsidR="00DE107E">
        <w:rPr>
          <w:lang w:val="en-AU"/>
        </w:rPr>
        <w:t xml:space="preserve">ver loss within this case </w:t>
      </w:r>
      <w:r w:rsidR="00776C13">
        <w:rPr>
          <w:lang w:val="en-AU"/>
        </w:rPr>
        <w:t>study.</w:t>
      </w:r>
      <w:r w:rsidR="0039351B">
        <w:rPr>
          <w:rFonts w:cstheme="minorHAnsi"/>
          <w:lang w:val="en-AU"/>
        </w:rPr>
        <w:t xml:space="preserve"> </w:t>
      </w:r>
    </w:p>
    <w:p w14:paraId="7CC07637" w14:textId="77777777" w:rsidR="008D2CA5" w:rsidRDefault="0039351B" w:rsidP="0039351B">
      <w:pPr>
        <w:rPr>
          <w:lang w:val="en-AU"/>
        </w:rPr>
      </w:pPr>
      <w:r>
        <w:rPr>
          <w:lang w:val="en-AU"/>
        </w:rPr>
        <w:t xml:space="preserve">The </w:t>
      </w:r>
      <w:r w:rsidR="005D0DFD">
        <w:rPr>
          <w:lang w:val="en-AU"/>
        </w:rPr>
        <w:t xml:space="preserve">likelihood of temperature stress was estimated by </w:t>
      </w:r>
      <w:r>
        <w:rPr>
          <w:lang w:val="en-AU"/>
        </w:rPr>
        <w:t>accumulation of positive temperature</w:t>
      </w:r>
      <w:r w:rsidR="005D0DFD">
        <w:rPr>
          <w:lang w:val="en-AU"/>
        </w:rPr>
        <w:t xml:space="preserve"> anomalies compared to long-term mean conditions over the austral summer (1</w:t>
      </w:r>
      <w:r w:rsidR="005D0DFD" w:rsidRPr="00B8006E">
        <w:rPr>
          <w:vertAlign w:val="superscript"/>
          <w:lang w:val="en-AU"/>
        </w:rPr>
        <w:t>st</w:t>
      </w:r>
      <w:r w:rsidR="005D0DFD">
        <w:rPr>
          <w:lang w:val="en-AU"/>
        </w:rPr>
        <w:t xml:space="preserve"> December to 31</w:t>
      </w:r>
      <w:r w:rsidR="005D0DFD" w:rsidRPr="00B8006E">
        <w:rPr>
          <w:vertAlign w:val="superscript"/>
          <w:lang w:val="en-AU"/>
        </w:rPr>
        <w:t>st</w:t>
      </w:r>
      <w:r w:rsidR="005D0DFD">
        <w:rPr>
          <w:lang w:val="en-AU"/>
        </w:rPr>
        <w:t xml:space="preserve"> March). Temperature anomalies were estimated as Degree Heating Day</w:t>
      </w:r>
      <w:r>
        <w:rPr>
          <w:lang w:val="en-AU"/>
        </w:rPr>
        <w:t xml:space="preserve">s </w:t>
      </w:r>
      <w:r w:rsidR="005D0DFD">
        <w:rPr>
          <w:lang w:val="en-AU"/>
        </w:rPr>
        <w:t>(DHD) where</w:t>
      </w:r>
      <w:r w:rsidR="00DE107E">
        <w:rPr>
          <w:lang w:val="en-AU"/>
        </w:rPr>
        <w:t>,</w:t>
      </w:r>
      <w:r w:rsidR="005D0DFD">
        <w:rPr>
          <w:lang w:val="en-AU"/>
        </w:rPr>
        <w:t xml:space="preserve"> exceedance of the long-term average of </w:t>
      </w:r>
      <w:r>
        <w:rPr>
          <w:lang w:val="en-AU"/>
        </w:rPr>
        <w:t>1</w:t>
      </w:r>
      <w:r w:rsidRPr="00AD0BB7">
        <w:rPr>
          <w:vertAlign w:val="superscript"/>
          <w:lang w:val="en-AU"/>
        </w:rPr>
        <w:t>O</w:t>
      </w:r>
      <w:r>
        <w:rPr>
          <w:lang w:val="en-AU"/>
        </w:rPr>
        <w:t>C</w:t>
      </w:r>
      <w:r w:rsidR="00DE107E">
        <w:rPr>
          <w:lang w:val="en-AU"/>
        </w:rPr>
        <w:t>,</w:t>
      </w:r>
      <w:r>
        <w:rPr>
          <w:lang w:val="en-AU"/>
        </w:rPr>
        <w:t xml:space="preserve"> </w:t>
      </w:r>
      <w:r w:rsidR="005D0DFD">
        <w:rPr>
          <w:lang w:val="en-AU"/>
        </w:rPr>
        <w:t>for one day</w:t>
      </w:r>
      <w:r w:rsidR="00DE107E">
        <w:rPr>
          <w:lang w:val="en-AU"/>
        </w:rPr>
        <w:t>,</w:t>
      </w:r>
      <w:r w:rsidR="005D0DFD">
        <w:rPr>
          <w:lang w:val="en-AU"/>
        </w:rPr>
        <w:t xml:space="preserve"> equates to 1 DHD. Two sources of DHD were used: estimates downloaded from ReefTemp Next Generation, a product of the Bureau of Meteorology, and estimates, based on </w:t>
      </w:r>
      <w:r w:rsidR="00036C05">
        <w:rPr>
          <w:lang w:val="en-AU"/>
        </w:rPr>
        <w:t>in situ</w:t>
      </w:r>
      <w:r w:rsidR="005D0DFD">
        <w:rPr>
          <w:lang w:val="en-AU"/>
        </w:rPr>
        <w:t xml:space="preserve"> temperature loggers deployed at each the coral monitoring locations. </w:t>
      </w:r>
      <w:r w:rsidR="008D2CA5">
        <w:rPr>
          <w:lang w:val="en-AU"/>
        </w:rPr>
        <w:t xml:space="preserve">The derivation of these DHD estimates is more fully documented in section 4.3.2 of this report. </w:t>
      </w:r>
    </w:p>
    <w:p w14:paraId="7E8425B2" w14:textId="77777777" w:rsidR="00A90214" w:rsidRDefault="00A90214">
      <w:pPr>
        <w:jc w:val="left"/>
        <w:rPr>
          <w:lang w:val="en-AU"/>
        </w:rPr>
      </w:pPr>
      <w:r>
        <w:rPr>
          <w:lang w:val="en-AU"/>
        </w:rPr>
        <w:br w:type="page"/>
      </w:r>
    </w:p>
    <w:p w14:paraId="2EA71879" w14:textId="77777777" w:rsidR="0039351B" w:rsidRPr="00531AA1" w:rsidRDefault="00CF08AD" w:rsidP="00607BCA">
      <w:pPr>
        <w:pStyle w:val="Heading2"/>
        <w:spacing w:before="240" w:after="240"/>
      </w:pPr>
      <w:bookmarkStart w:id="286" w:name="_Toc514408436"/>
      <w:r>
        <w:t xml:space="preserve">7.2 </w:t>
      </w:r>
      <w:r w:rsidR="0039351B" w:rsidRPr="00531AA1">
        <w:t>Discussion of Results</w:t>
      </w:r>
      <w:bookmarkEnd w:id="286"/>
    </w:p>
    <w:p w14:paraId="5B62A8B5" w14:textId="77777777" w:rsidR="00721969" w:rsidRDefault="0039351B" w:rsidP="008D2CA5">
      <w:pPr>
        <w:rPr>
          <w:lang w:val="en-AU"/>
        </w:rPr>
      </w:pPr>
      <w:r>
        <w:rPr>
          <w:lang w:val="en-AU"/>
        </w:rPr>
        <w:t xml:space="preserve">Aerial surveys undertaken by the ARC Centre of Excellence at James Cook University (JCU) </w:t>
      </w:r>
      <w:r w:rsidR="00DE107E">
        <w:rPr>
          <w:lang w:val="en-AU"/>
        </w:rPr>
        <w:t>demonstrate the differing foot</w:t>
      </w:r>
      <w:r w:rsidR="00A90214">
        <w:rPr>
          <w:lang w:val="en-AU"/>
        </w:rPr>
        <w:t>print of the 2016 and 2017 bleac</w:t>
      </w:r>
      <w:r w:rsidR="00DE107E">
        <w:rPr>
          <w:lang w:val="en-AU"/>
        </w:rPr>
        <w:t>hing events. In</w:t>
      </w:r>
      <w:r w:rsidR="00A90214">
        <w:rPr>
          <w:lang w:val="en-AU"/>
        </w:rPr>
        <w:t xml:space="preserve"> 2016 the most severely bleached reefs were mostly north</w:t>
      </w:r>
      <w:r w:rsidR="004211F5">
        <w:rPr>
          <w:lang w:val="en-AU"/>
        </w:rPr>
        <w:t xml:space="preserve"> of</w:t>
      </w:r>
      <w:r w:rsidR="00A90214">
        <w:rPr>
          <w:lang w:val="en-AU"/>
        </w:rPr>
        <w:t xml:space="preserve"> Cairns, and largely exclusive of the inshore areas monitored by the MMP (</w:t>
      </w:r>
      <w:r w:rsidR="00A90214">
        <w:rPr>
          <w:lang w:val="en-AU"/>
        </w:rPr>
        <w:fldChar w:fldCharType="begin"/>
      </w:r>
      <w:r w:rsidR="00A90214">
        <w:rPr>
          <w:lang w:val="en-AU"/>
        </w:rPr>
        <w:instrText xml:space="preserve"> REF _Ref500748416 \h </w:instrText>
      </w:r>
      <w:r w:rsidR="00A90214">
        <w:rPr>
          <w:lang w:val="en-AU"/>
        </w:rPr>
      </w:r>
      <w:r w:rsidR="00A90214">
        <w:rPr>
          <w:lang w:val="en-AU"/>
        </w:rPr>
        <w:fldChar w:fldCharType="separate"/>
      </w:r>
      <w:r w:rsidR="00A75175">
        <w:t xml:space="preserve">Figure </w:t>
      </w:r>
      <w:r w:rsidR="00A75175">
        <w:rPr>
          <w:noProof/>
        </w:rPr>
        <w:t>24</w:t>
      </w:r>
      <w:r w:rsidR="00A90214">
        <w:rPr>
          <w:lang w:val="en-AU"/>
        </w:rPr>
        <w:fldChar w:fldCharType="end"/>
      </w:r>
      <w:r w:rsidR="00A90214">
        <w:rPr>
          <w:lang w:val="en-AU"/>
        </w:rPr>
        <w:t>). In contrast</w:t>
      </w:r>
      <w:r w:rsidR="00DE107E">
        <w:rPr>
          <w:lang w:val="en-AU"/>
        </w:rPr>
        <w:t>,</w:t>
      </w:r>
      <w:r w:rsidR="00A90214">
        <w:rPr>
          <w:lang w:val="en-AU"/>
        </w:rPr>
        <w:t xml:space="preserve"> the most severely bleached reefs in 2017 extended further south and included reefs monitored by the MMP in the Wet Tropics and Burdekin Regions (</w:t>
      </w:r>
      <w:r w:rsidR="00A90214">
        <w:rPr>
          <w:lang w:val="en-AU"/>
        </w:rPr>
        <w:fldChar w:fldCharType="begin"/>
      </w:r>
      <w:r w:rsidR="00A90214">
        <w:rPr>
          <w:lang w:val="en-AU"/>
        </w:rPr>
        <w:instrText xml:space="preserve"> REF _Ref500748416 \h </w:instrText>
      </w:r>
      <w:r w:rsidR="00A90214">
        <w:rPr>
          <w:lang w:val="en-AU"/>
        </w:rPr>
      </w:r>
      <w:r w:rsidR="00A90214">
        <w:rPr>
          <w:lang w:val="en-AU"/>
        </w:rPr>
        <w:fldChar w:fldCharType="separate"/>
      </w:r>
      <w:r w:rsidR="00A75175">
        <w:t xml:space="preserve">Figure </w:t>
      </w:r>
      <w:r w:rsidR="00A75175">
        <w:rPr>
          <w:noProof/>
        </w:rPr>
        <w:t>24</w:t>
      </w:r>
      <w:r w:rsidR="00A90214">
        <w:rPr>
          <w:lang w:val="en-AU"/>
        </w:rPr>
        <w:fldChar w:fldCharType="end"/>
      </w:r>
      <w:r w:rsidR="00A90214">
        <w:rPr>
          <w:lang w:val="en-AU"/>
        </w:rPr>
        <w:t>).</w:t>
      </w:r>
      <w:r>
        <w:rPr>
          <w:lang w:val="en-AU"/>
        </w:rPr>
        <w:t xml:space="preserve"> </w:t>
      </w:r>
    </w:p>
    <w:p w14:paraId="72EEFDEB" w14:textId="77777777" w:rsidR="00721969" w:rsidRDefault="00721969" w:rsidP="00322E52">
      <w:pPr>
        <w:autoSpaceDE w:val="0"/>
        <w:autoSpaceDN w:val="0"/>
        <w:adjustRightInd w:val="0"/>
        <w:spacing w:after="0"/>
        <w:jc w:val="center"/>
        <w:rPr>
          <w:rFonts w:cstheme="minorHAnsi"/>
        </w:rPr>
      </w:pPr>
      <w:r>
        <w:rPr>
          <w:rFonts w:cstheme="minorHAnsi"/>
          <w:noProof/>
          <w:lang w:val="en-AU" w:eastAsia="en-AU"/>
        </w:rPr>
        <w:drawing>
          <wp:inline distT="0" distB="0" distL="0" distR="0" wp14:anchorId="124B6B4A" wp14:editId="0657223E">
            <wp:extent cx="5731510" cy="4163060"/>
            <wp:effectExtent l="0" t="0" r="2540" b="8890"/>
            <wp:docPr id="6" name="Picture 6" descr="Summary of aerial survey results conducted by JCU that identifies most severe bleaching was north of Townsville in 2016 with the exclusion of some outer areas in the far north. In 2017 the bleachin was focused between Townsville and Princess Charlotte Bay" title="Distribution of coral bleaching in 2016 and 2017 on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JCU_2016-2017_GBRbleaching_hi_res.jp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731510" cy="4163060"/>
                    </a:xfrm>
                    <a:prstGeom prst="rect">
                      <a:avLst/>
                    </a:prstGeom>
                  </pic:spPr>
                </pic:pic>
              </a:graphicData>
            </a:graphic>
          </wp:inline>
        </w:drawing>
      </w:r>
    </w:p>
    <w:p w14:paraId="55901C3A" w14:textId="3D10E549" w:rsidR="00721969" w:rsidRPr="00F13696" w:rsidRDefault="00A90214" w:rsidP="00606A50">
      <w:pPr>
        <w:pStyle w:val="Caption"/>
      </w:pPr>
      <w:bookmarkStart w:id="287" w:name="_Ref500748416"/>
      <w:bookmarkStart w:id="288" w:name="_Ref501094585"/>
      <w:bookmarkStart w:id="289" w:name="_Toc514335669"/>
      <w:r>
        <w:t xml:space="preserve">Figure </w:t>
      </w:r>
      <w:r>
        <w:fldChar w:fldCharType="begin"/>
      </w:r>
      <w:r>
        <w:instrText xml:space="preserve"> SEQ Figure \* ARABIC </w:instrText>
      </w:r>
      <w:r>
        <w:fldChar w:fldCharType="separate"/>
      </w:r>
      <w:r w:rsidR="00A75175">
        <w:rPr>
          <w:noProof/>
        </w:rPr>
        <w:t>24</w:t>
      </w:r>
      <w:r>
        <w:fldChar w:fldCharType="end"/>
      </w:r>
      <w:bookmarkEnd w:id="287"/>
      <w:r>
        <w:rPr>
          <w:shd w:val="clear" w:color="auto" w:fill="FFFFFF"/>
        </w:rPr>
        <w:t xml:space="preserve"> </w:t>
      </w:r>
      <w:r w:rsidR="00721969" w:rsidRPr="00F13696">
        <w:rPr>
          <w:shd w:val="clear" w:color="auto" w:fill="FFFFFF"/>
        </w:rPr>
        <w:t xml:space="preserve">Composite map of surveyed corals across the 2016 and 2017 bleaching events. Only reefs at either end of the bleaching spectrum are shown: Red circles indicate reefs undergoing most severe bleaching (60% or more of corals </w:t>
      </w:r>
      <w:r w:rsidR="00322E52">
        <w:rPr>
          <w:shd w:val="clear" w:color="auto" w:fill="FFFFFF"/>
        </w:rPr>
        <w:t xml:space="preserve">visible to aerial surveys </w:t>
      </w:r>
      <w:r w:rsidR="00721969" w:rsidRPr="00F13696">
        <w:rPr>
          <w:shd w:val="clear" w:color="auto" w:fill="FFFFFF"/>
        </w:rPr>
        <w:t>bleaching) Green circles indicate reefs with no or only minimal bleaching (10% or less of corals bleaching).</w:t>
      </w:r>
      <w:r w:rsidR="00721969">
        <w:rPr>
          <w:shd w:val="clear" w:color="auto" w:fill="FFFFFF"/>
        </w:rPr>
        <w:t>Courtesy ARC Centre of Excellence Coral Reef Studies.</w:t>
      </w:r>
      <w:bookmarkEnd w:id="288"/>
      <w:bookmarkEnd w:id="289"/>
    </w:p>
    <w:p w14:paraId="1497C0A7" w14:textId="77777777" w:rsidR="00721969" w:rsidRDefault="00721969" w:rsidP="00721969">
      <w:pPr>
        <w:autoSpaceDE w:val="0"/>
        <w:autoSpaceDN w:val="0"/>
        <w:adjustRightInd w:val="0"/>
        <w:spacing w:after="0"/>
        <w:rPr>
          <w:rFonts w:cstheme="minorHAnsi"/>
        </w:rPr>
      </w:pPr>
    </w:p>
    <w:p w14:paraId="1CC68982" w14:textId="5C33EBD5" w:rsidR="00557225" w:rsidRDefault="00396206" w:rsidP="00A564CC">
      <w:pPr>
        <w:rPr>
          <w:lang w:val="en-AU"/>
        </w:rPr>
      </w:pPr>
      <w:r>
        <w:rPr>
          <w:lang w:val="en-AU"/>
        </w:rPr>
        <w:t>In Inshore areas monitored by the MMP b</w:t>
      </w:r>
      <w:r w:rsidR="00DE107E">
        <w:rPr>
          <w:lang w:val="en-AU"/>
        </w:rPr>
        <w:t xml:space="preserve">oth ReefTemp and </w:t>
      </w:r>
      <w:r w:rsidR="00036C05">
        <w:rPr>
          <w:lang w:val="en-AU"/>
        </w:rPr>
        <w:t>in situ</w:t>
      </w:r>
      <w:r w:rsidR="005F5139">
        <w:rPr>
          <w:lang w:val="en-AU"/>
        </w:rPr>
        <w:t xml:space="preserve"> </w:t>
      </w:r>
      <w:r w:rsidR="00015C5C">
        <w:rPr>
          <w:lang w:val="en-AU"/>
        </w:rPr>
        <w:t xml:space="preserve">DHD estimates suggest temperature anomalies in 2016 </w:t>
      </w:r>
      <w:r>
        <w:rPr>
          <w:lang w:val="en-AU"/>
        </w:rPr>
        <w:t xml:space="preserve">were </w:t>
      </w:r>
      <w:r w:rsidR="00322E52">
        <w:rPr>
          <w:lang w:val="en-AU"/>
        </w:rPr>
        <w:t xml:space="preserve">in the range </w:t>
      </w:r>
      <w:r>
        <w:rPr>
          <w:lang w:val="en-AU"/>
        </w:rPr>
        <w:t>60 to 100 that would be expected to result in h</w:t>
      </w:r>
      <w:r w:rsidR="00322E52">
        <w:rPr>
          <w:lang w:val="en-AU"/>
        </w:rPr>
        <w:t xml:space="preserve">eat stress </w:t>
      </w:r>
      <w:r>
        <w:rPr>
          <w:lang w:val="en-AU"/>
        </w:rPr>
        <w:t xml:space="preserve">(Garde </w:t>
      </w:r>
      <w:r w:rsidRPr="00396206">
        <w:rPr>
          <w:i/>
          <w:lang w:val="en-AU"/>
        </w:rPr>
        <w:t>et al</w:t>
      </w:r>
      <w:r>
        <w:rPr>
          <w:lang w:val="en-AU"/>
        </w:rPr>
        <w:t xml:space="preserve">. 2014) </w:t>
      </w:r>
      <w:r w:rsidR="00322E52">
        <w:rPr>
          <w:lang w:val="en-AU"/>
        </w:rPr>
        <w:t xml:space="preserve">but fell short of the &gt; 100 </w:t>
      </w:r>
      <w:r>
        <w:rPr>
          <w:lang w:val="en-AU"/>
        </w:rPr>
        <w:t>DHD</w:t>
      </w:r>
      <w:r w:rsidR="00015C5C">
        <w:rPr>
          <w:lang w:val="en-AU"/>
        </w:rPr>
        <w:t xml:space="preserve"> likely to cause severe bleaching</w:t>
      </w:r>
      <w:r w:rsidR="0024084A">
        <w:rPr>
          <w:lang w:val="en-AU"/>
        </w:rPr>
        <w:t xml:space="preserve"> </w:t>
      </w:r>
      <w:r w:rsidR="00015C5C">
        <w:rPr>
          <w:lang w:val="en-AU"/>
        </w:rPr>
        <w:t>(</w:t>
      </w:r>
      <w:r w:rsidR="0024084A">
        <w:rPr>
          <w:lang w:val="en-AU"/>
        </w:rPr>
        <w:fldChar w:fldCharType="begin"/>
      </w:r>
      <w:r w:rsidR="0024084A">
        <w:rPr>
          <w:lang w:val="en-AU"/>
        </w:rPr>
        <w:instrText xml:space="preserve"> REF _Ref500749742 \h </w:instrText>
      </w:r>
      <w:r w:rsidR="0024084A">
        <w:rPr>
          <w:lang w:val="en-AU"/>
        </w:rPr>
      </w:r>
      <w:r w:rsidR="0024084A">
        <w:rPr>
          <w:lang w:val="en-AU"/>
        </w:rPr>
        <w:fldChar w:fldCharType="separate"/>
      </w:r>
      <w:r w:rsidR="00A75175">
        <w:t xml:space="preserve">Table </w:t>
      </w:r>
      <w:r w:rsidR="00A75175">
        <w:rPr>
          <w:noProof/>
        </w:rPr>
        <w:t>16</w:t>
      </w:r>
      <w:r w:rsidR="0024084A">
        <w:rPr>
          <w:lang w:val="en-AU"/>
        </w:rPr>
        <w:fldChar w:fldCharType="end"/>
      </w:r>
      <w:r w:rsidR="00015C5C">
        <w:rPr>
          <w:lang w:val="en-AU"/>
        </w:rPr>
        <w:t>). In contrast, temperature anomalies were clearly higher in 2017</w:t>
      </w:r>
      <w:r w:rsidR="00055AD0">
        <w:rPr>
          <w:lang w:val="en-AU"/>
        </w:rPr>
        <w:t>,</w:t>
      </w:r>
      <w:r w:rsidR="00015C5C">
        <w:rPr>
          <w:lang w:val="en-AU"/>
        </w:rPr>
        <w:t xml:space="preserve"> </w:t>
      </w:r>
      <w:r w:rsidR="000A19C4">
        <w:rPr>
          <w:lang w:val="en-AU"/>
        </w:rPr>
        <w:t>with</w:t>
      </w:r>
      <w:r w:rsidR="00015C5C">
        <w:rPr>
          <w:lang w:val="en-AU"/>
        </w:rPr>
        <w:t xml:space="preserve"> severe bleaching expectations indicted for all Regions</w:t>
      </w:r>
      <w:r w:rsidR="000A19C4">
        <w:rPr>
          <w:lang w:val="en-AU"/>
        </w:rPr>
        <w:t xml:space="preserve"> (</w:t>
      </w:r>
      <w:r w:rsidR="0024084A">
        <w:rPr>
          <w:lang w:val="en-AU"/>
        </w:rPr>
        <w:fldChar w:fldCharType="begin"/>
      </w:r>
      <w:r w:rsidR="0024084A">
        <w:rPr>
          <w:lang w:val="en-AU"/>
        </w:rPr>
        <w:instrText xml:space="preserve"> REF _Ref500749742 \h </w:instrText>
      </w:r>
      <w:r w:rsidR="0024084A">
        <w:rPr>
          <w:lang w:val="en-AU"/>
        </w:rPr>
      </w:r>
      <w:r w:rsidR="0024084A">
        <w:rPr>
          <w:lang w:val="en-AU"/>
        </w:rPr>
        <w:fldChar w:fldCharType="separate"/>
      </w:r>
      <w:r w:rsidR="00A75175">
        <w:t xml:space="preserve">Table </w:t>
      </w:r>
      <w:r w:rsidR="00A75175">
        <w:rPr>
          <w:noProof/>
        </w:rPr>
        <w:t>16</w:t>
      </w:r>
      <w:r w:rsidR="0024084A">
        <w:rPr>
          <w:lang w:val="en-AU"/>
        </w:rPr>
        <w:fldChar w:fldCharType="end"/>
      </w:r>
      <w:r w:rsidR="000A19C4">
        <w:rPr>
          <w:lang w:val="en-AU"/>
        </w:rPr>
        <w:t>)</w:t>
      </w:r>
      <w:r w:rsidR="00015C5C">
        <w:rPr>
          <w:lang w:val="en-AU"/>
        </w:rPr>
        <w:t xml:space="preserve">. </w:t>
      </w:r>
      <w:r w:rsidR="00557225">
        <w:rPr>
          <w:lang w:val="en-AU"/>
        </w:rPr>
        <w:t xml:space="preserve">Cross-referencing with the </w:t>
      </w:r>
      <w:r w:rsidR="00036C05">
        <w:rPr>
          <w:lang w:val="en-AU"/>
        </w:rPr>
        <w:t>in situ</w:t>
      </w:r>
      <w:r w:rsidR="00557225">
        <w:rPr>
          <w:lang w:val="en-AU"/>
        </w:rPr>
        <w:t xml:space="preserve"> temperature logger data (</w:t>
      </w:r>
      <w:r w:rsidR="00A564CC">
        <w:rPr>
          <w:lang w:val="en-AU"/>
        </w:rPr>
        <w:fldChar w:fldCharType="begin"/>
      </w:r>
      <w:r w:rsidR="00A564CC">
        <w:rPr>
          <w:lang w:val="en-AU"/>
        </w:rPr>
        <w:instrText xml:space="preserve"> REF _Ref500880411 \h </w:instrText>
      </w:r>
      <w:r w:rsidR="00A564CC">
        <w:rPr>
          <w:lang w:val="en-AU"/>
        </w:rPr>
      </w:r>
      <w:r w:rsidR="00A564CC">
        <w:rPr>
          <w:lang w:val="en-AU"/>
        </w:rPr>
        <w:fldChar w:fldCharType="separate"/>
      </w:r>
      <w:r w:rsidR="00A75175">
        <w:t xml:space="preserve">Figure </w:t>
      </w:r>
      <w:r w:rsidR="00A75175">
        <w:rPr>
          <w:noProof/>
        </w:rPr>
        <w:t>25</w:t>
      </w:r>
      <w:r w:rsidR="00A564CC">
        <w:rPr>
          <w:lang w:val="en-AU"/>
        </w:rPr>
        <w:fldChar w:fldCharType="end"/>
      </w:r>
      <w:r w:rsidR="00557225">
        <w:rPr>
          <w:lang w:val="en-AU"/>
        </w:rPr>
        <w:t xml:space="preserve">) shows daily </w:t>
      </w:r>
      <w:r w:rsidR="004211F5">
        <w:rPr>
          <w:lang w:val="en-AU"/>
        </w:rPr>
        <w:t>anomalies</w:t>
      </w:r>
      <w:r w:rsidR="00557225">
        <w:rPr>
          <w:lang w:val="en-AU"/>
        </w:rPr>
        <w:t xml:space="preserve"> were consistently higher, frequently in excess of 1</w:t>
      </w:r>
      <w:r w:rsidR="00557225" w:rsidRPr="007E63BA">
        <w:rPr>
          <w:vertAlign w:val="superscript"/>
          <w:lang w:val="en-AU"/>
        </w:rPr>
        <w:t>0</w:t>
      </w:r>
      <w:r w:rsidR="00557225">
        <w:rPr>
          <w:lang w:val="en-AU"/>
        </w:rPr>
        <w:t xml:space="preserve">C, during the austral spring and summer of 2017 than for a similar period in 2016. </w:t>
      </w:r>
    </w:p>
    <w:p w14:paraId="0795F49B" w14:textId="77777777" w:rsidR="00801D0C" w:rsidRDefault="000A19C4" w:rsidP="00A564CC">
      <w:pPr>
        <w:rPr>
          <w:lang w:val="en-AU"/>
        </w:rPr>
      </w:pPr>
      <w:r>
        <w:rPr>
          <w:lang w:val="en-AU"/>
        </w:rPr>
        <w:t>With the exception of the Barron Daintree sub</w:t>
      </w:r>
      <w:r w:rsidR="00870F3B">
        <w:rPr>
          <w:lang w:val="en-AU"/>
        </w:rPr>
        <w:t>-</w:t>
      </w:r>
      <w:r>
        <w:rPr>
          <w:lang w:val="en-AU"/>
        </w:rPr>
        <w:t>region</w:t>
      </w:r>
      <w:r w:rsidR="00DC044D">
        <w:rPr>
          <w:lang w:val="en-AU"/>
        </w:rPr>
        <w:t>,</w:t>
      </w:r>
      <w:r>
        <w:rPr>
          <w:lang w:val="en-AU"/>
        </w:rPr>
        <w:t xml:space="preserve"> ReefTemp DHD estimates </w:t>
      </w:r>
      <w:r w:rsidR="000D4D2B">
        <w:rPr>
          <w:lang w:val="en-AU"/>
        </w:rPr>
        <w:t>in recent years were</w:t>
      </w:r>
      <w:r>
        <w:rPr>
          <w:lang w:val="en-AU"/>
        </w:rPr>
        <w:t xml:space="preserve"> consistently higher than those based on </w:t>
      </w:r>
      <w:r w:rsidR="00036C05">
        <w:rPr>
          <w:lang w:val="en-AU"/>
        </w:rPr>
        <w:t>in situ</w:t>
      </w:r>
      <w:r>
        <w:rPr>
          <w:lang w:val="en-AU"/>
        </w:rPr>
        <w:t xml:space="preserve"> data</w:t>
      </w:r>
      <w:r w:rsidR="00E21030">
        <w:rPr>
          <w:lang w:val="en-AU"/>
        </w:rPr>
        <w:t xml:space="preserve">. This discrepancy may arise in two ways. The satellite derived ReefTemp estimates </w:t>
      </w:r>
      <w:r w:rsidR="008D2CA5">
        <w:rPr>
          <w:lang w:val="en-AU"/>
        </w:rPr>
        <w:t>are confined to d</w:t>
      </w:r>
      <w:r w:rsidR="00E21030">
        <w:rPr>
          <w:lang w:val="en-AU"/>
        </w:rPr>
        <w:t>ays with little cloud cover</w:t>
      </w:r>
      <w:r w:rsidR="004935BB">
        <w:rPr>
          <w:lang w:val="en-AU"/>
        </w:rPr>
        <w:t>. Wh</w:t>
      </w:r>
      <w:r w:rsidR="000D4D2B">
        <w:rPr>
          <w:lang w:val="en-AU"/>
        </w:rPr>
        <w:t>ere clouds obscure an area</w:t>
      </w:r>
      <w:r w:rsidR="00055AD0">
        <w:rPr>
          <w:lang w:val="en-AU"/>
        </w:rPr>
        <w:t xml:space="preserve"> sea-surface temperature estimates are </w:t>
      </w:r>
      <w:r w:rsidR="00E21030">
        <w:rPr>
          <w:lang w:val="en-AU"/>
        </w:rPr>
        <w:t>infill</w:t>
      </w:r>
      <w:r w:rsidR="00055AD0">
        <w:rPr>
          <w:lang w:val="en-AU"/>
        </w:rPr>
        <w:t>ed</w:t>
      </w:r>
      <w:r w:rsidR="00E21030">
        <w:rPr>
          <w:lang w:val="en-AU"/>
        </w:rPr>
        <w:t xml:space="preserve"> </w:t>
      </w:r>
      <w:r w:rsidR="00055AD0">
        <w:rPr>
          <w:lang w:val="en-AU"/>
        </w:rPr>
        <w:t>with the last valid observation for that location</w:t>
      </w:r>
      <w:r w:rsidR="00E21030">
        <w:rPr>
          <w:lang w:val="en-AU"/>
        </w:rPr>
        <w:t xml:space="preserve">, potentially inflating estimates as cooling beneath clouds is not accounted for. The longer baseline period for ReefTemp may also have resulted in lower mean temperature profiles </w:t>
      </w:r>
      <w:r w:rsidR="00EE0297">
        <w:rPr>
          <w:lang w:val="en-AU"/>
        </w:rPr>
        <w:t>contributing to the baseline compared to the i</w:t>
      </w:r>
      <w:r w:rsidR="004935BB">
        <w:rPr>
          <w:lang w:val="en-AU"/>
        </w:rPr>
        <w:t xml:space="preserve">n situ </w:t>
      </w:r>
      <w:r w:rsidR="00E21030">
        <w:rPr>
          <w:lang w:val="en-AU"/>
        </w:rPr>
        <w:t xml:space="preserve">observations </w:t>
      </w:r>
      <w:r w:rsidR="004211F5">
        <w:rPr>
          <w:lang w:val="en-AU"/>
        </w:rPr>
        <w:t xml:space="preserve">that </w:t>
      </w:r>
      <w:r w:rsidR="00EE0297">
        <w:rPr>
          <w:lang w:val="en-AU"/>
        </w:rPr>
        <w:t>dat</w:t>
      </w:r>
      <w:r w:rsidR="004211F5">
        <w:rPr>
          <w:lang w:val="en-AU"/>
        </w:rPr>
        <w:t>e</w:t>
      </w:r>
      <w:r w:rsidR="00EE0297">
        <w:rPr>
          <w:lang w:val="en-AU"/>
        </w:rPr>
        <w:t xml:space="preserve"> back to </w:t>
      </w:r>
      <w:r w:rsidR="00E21030">
        <w:rPr>
          <w:lang w:val="en-AU"/>
        </w:rPr>
        <w:t xml:space="preserve">2005. </w:t>
      </w:r>
      <w:r w:rsidR="00055AD0">
        <w:rPr>
          <w:lang w:val="en-AU"/>
        </w:rPr>
        <w:t>Conversely</w:t>
      </w:r>
      <w:r w:rsidR="00DC044D">
        <w:rPr>
          <w:lang w:val="en-AU"/>
        </w:rPr>
        <w:t>,</w:t>
      </w:r>
      <w:r w:rsidR="00055AD0">
        <w:rPr>
          <w:lang w:val="en-AU"/>
        </w:rPr>
        <w:t xml:space="preserve"> </w:t>
      </w:r>
      <w:r w:rsidR="00EE0297">
        <w:rPr>
          <w:lang w:val="en-AU"/>
        </w:rPr>
        <w:t>one possible explanation for the compa</w:t>
      </w:r>
      <w:r w:rsidR="00055AD0">
        <w:rPr>
          <w:lang w:val="en-AU"/>
        </w:rPr>
        <w:t xml:space="preserve">ratively high estimates for the Barron Daintree sub-region </w:t>
      </w:r>
      <w:r w:rsidR="00EE0297">
        <w:rPr>
          <w:lang w:val="en-AU"/>
        </w:rPr>
        <w:t xml:space="preserve">is that they </w:t>
      </w:r>
      <w:r w:rsidR="00055AD0">
        <w:rPr>
          <w:lang w:val="en-AU"/>
        </w:rPr>
        <w:t xml:space="preserve">reflect local conditions </w:t>
      </w:r>
      <w:r w:rsidR="00D82441">
        <w:rPr>
          <w:lang w:val="en-AU"/>
        </w:rPr>
        <w:t xml:space="preserve">that promote higher heating </w:t>
      </w:r>
      <w:r w:rsidR="004211F5">
        <w:rPr>
          <w:lang w:val="en-AU"/>
        </w:rPr>
        <w:t xml:space="preserve">at the </w:t>
      </w:r>
      <w:r w:rsidR="00EE0297">
        <w:rPr>
          <w:lang w:val="en-AU"/>
        </w:rPr>
        <w:t xml:space="preserve">logger location (on the sheltered northern side of Snapper Island) than occurs in the deeper surrounding </w:t>
      </w:r>
      <w:r w:rsidR="00FA4F6B">
        <w:rPr>
          <w:lang w:val="en-AU"/>
        </w:rPr>
        <w:t>waters</w:t>
      </w:r>
      <w:r w:rsidR="00D82441">
        <w:rPr>
          <w:lang w:val="en-AU"/>
        </w:rPr>
        <w:t>.</w:t>
      </w:r>
      <w:r w:rsidR="00055AD0">
        <w:rPr>
          <w:lang w:val="en-AU"/>
        </w:rPr>
        <w:t xml:space="preserve"> </w:t>
      </w:r>
      <w:r w:rsidR="00E21030">
        <w:rPr>
          <w:lang w:val="en-AU"/>
        </w:rPr>
        <w:t xml:space="preserve">Despite the inherent biases, </w:t>
      </w:r>
      <w:r w:rsidR="008D2CA5">
        <w:rPr>
          <w:lang w:val="en-AU"/>
        </w:rPr>
        <w:t>both methods compare relatively well, tracking the rise and fall of DHD throughout the monitoring period (</w:t>
      </w:r>
      <w:r w:rsidR="00A564CC">
        <w:rPr>
          <w:lang w:val="en-AU"/>
        </w:rPr>
        <w:fldChar w:fldCharType="begin"/>
      </w:r>
      <w:r w:rsidR="00A564CC">
        <w:rPr>
          <w:lang w:val="en-AU"/>
        </w:rPr>
        <w:instrText xml:space="preserve"> REF _Ref500880411 \h </w:instrText>
      </w:r>
      <w:r w:rsidR="00A564CC">
        <w:rPr>
          <w:lang w:val="en-AU"/>
        </w:rPr>
      </w:r>
      <w:r w:rsidR="00A564CC">
        <w:rPr>
          <w:lang w:val="en-AU"/>
        </w:rPr>
        <w:fldChar w:fldCharType="separate"/>
      </w:r>
      <w:r w:rsidR="00A75175">
        <w:t xml:space="preserve">Figure </w:t>
      </w:r>
      <w:r w:rsidR="00A75175">
        <w:rPr>
          <w:noProof/>
        </w:rPr>
        <w:t>25</w:t>
      </w:r>
      <w:r w:rsidR="00A564CC">
        <w:rPr>
          <w:lang w:val="en-AU"/>
        </w:rPr>
        <w:fldChar w:fldCharType="end"/>
      </w:r>
      <w:r w:rsidR="008D2CA5">
        <w:rPr>
          <w:lang w:val="en-AU"/>
        </w:rPr>
        <w:t xml:space="preserve">). </w:t>
      </w:r>
      <w:r w:rsidR="007103DA">
        <w:rPr>
          <w:lang w:val="en-AU"/>
        </w:rPr>
        <w:t>Marked deviations between the estimates do</w:t>
      </w:r>
      <w:r w:rsidR="00FA4F6B">
        <w:rPr>
          <w:lang w:val="en-AU"/>
        </w:rPr>
        <w:t>,</w:t>
      </w:r>
      <w:r w:rsidR="007103DA">
        <w:rPr>
          <w:lang w:val="en-AU"/>
        </w:rPr>
        <w:t xml:space="preserve"> </w:t>
      </w:r>
      <w:r w:rsidR="00DC044D">
        <w:rPr>
          <w:lang w:val="en-AU"/>
        </w:rPr>
        <w:t>however</w:t>
      </w:r>
      <w:r w:rsidR="00FA4F6B">
        <w:rPr>
          <w:lang w:val="en-AU"/>
        </w:rPr>
        <w:t>,</w:t>
      </w:r>
      <w:r w:rsidR="00DC044D">
        <w:rPr>
          <w:lang w:val="en-AU"/>
        </w:rPr>
        <w:t xml:space="preserve"> </w:t>
      </w:r>
      <w:r w:rsidR="00DF0EBB">
        <w:rPr>
          <w:lang w:val="en-AU"/>
        </w:rPr>
        <w:t>occur.</w:t>
      </w:r>
      <w:r w:rsidR="007103DA">
        <w:rPr>
          <w:lang w:val="en-AU"/>
        </w:rPr>
        <w:t xml:space="preserve"> </w:t>
      </w:r>
      <w:r w:rsidR="00DF0EBB">
        <w:rPr>
          <w:lang w:val="en-AU"/>
        </w:rPr>
        <w:t>T</w:t>
      </w:r>
      <w:r w:rsidR="007103DA">
        <w:rPr>
          <w:lang w:val="en-AU"/>
        </w:rPr>
        <w:t xml:space="preserve">he most notable being </w:t>
      </w:r>
      <w:r w:rsidR="008D2CA5">
        <w:rPr>
          <w:lang w:val="en-AU"/>
        </w:rPr>
        <w:t xml:space="preserve">in the Fitzroy </w:t>
      </w:r>
      <w:r w:rsidR="007103DA">
        <w:rPr>
          <w:lang w:val="en-AU"/>
        </w:rPr>
        <w:t xml:space="preserve">Region </w:t>
      </w:r>
      <w:r w:rsidR="008D2CA5">
        <w:rPr>
          <w:lang w:val="en-AU"/>
        </w:rPr>
        <w:t>during the 2005-2006 s</w:t>
      </w:r>
      <w:r w:rsidR="007103DA">
        <w:rPr>
          <w:lang w:val="en-AU"/>
        </w:rPr>
        <w:t>ummer where a minimal anomaly was estimated by ReefTem</w:t>
      </w:r>
      <w:r w:rsidR="000D4D2B">
        <w:rPr>
          <w:lang w:val="en-AU"/>
        </w:rPr>
        <w:t xml:space="preserve">p in contrast to that recorded </w:t>
      </w:r>
      <w:r w:rsidR="00036C05">
        <w:rPr>
          <w:lang w:val="en-AU"/>
        </w:rPr>
        <w:t>in situ</w:t>
      </w:r>
      <w:r w:rsidR="004211F5">
        <w:rPr>
          <w:lang w:val="en-AU"/>
        </w:rPr>
        <w:t xml:space="preserve">. The extensive </w:t>
      </w:r>
      <w:r w:rsidR="007103DA">
        <w:rPr>
          <w:lang w:val="en-AU"/>
        </w:rPr>
        <w:t>bleaching and loss of coral</w:t>
      </w:r>
      <w:r w:rsidR="000D4D2B">
        <w:rPr>
          <w:lang w:val="en-AU"/>
        </w:rPr>
        <w:t xml:space="preserve"> cover</w:t>
      </w:r>
      <w:r w:rsidR="007103DA">
        <w:rPr>
          <w:lang w:val="en-AU"/>
        </w:rPr>
        <w:t xml:space="preserve"> </w:t>
      </w:r>
      <w:r w:rsidR="004211F5">
        <w:rPr>
          <w:lang w:val="en-AU"/>
        </w:rPr>
        <w:t xml:space="preserve">in the Fitzroy Region in 2006 reflect the in situ observations </w:t>
      </w:r>
      <w:r w:rsidR="007103DA">
        <w:rPr>
          <w:lang w:val="en-AU"/>
        </w:rPr>
        <w:t>(</w:t>
      </w:r>
      <w:r w:rsidR="00A564CC">
        <w:rPr>
          <w:lang w:val="en-AU"/>
        </w:rPr>
        <w:fldChar w:fldCharType="begin"/>
      </w:r>
      <w:r w:rsidR="00A564CC">
        <w:rPr>
          <w:lang w:val="en-AU"/>
        </w:rPr>
        <w:instrText xml:space="preserve"> REF _Ref491345321 \h </w:instrText>
      </w:r>
      <w:r w:rsidR="00A564CC">
        <w:rPr>
          <w:lang w:val="en-AU"/>
        </w:rPr>
      </w:r>
      <w:r w:rsidR="00A564CC">
        <w:rPr>
          <w:lang w:val="en-AU"/>
        </w:rPr>
        <w:fldChar w:fldCharType="separate"/>
      </w:r>
      <w:r w:rsidR="00A75175" w:rsidRPr="00F352E1">
        <w:t xml:space="preserve">Figure </w:t>
      </w:r>
      <w:r w:rsidR="00A75175">
        <w:rPr>
          <w:noProof/>
        </w:rPr>
        <w:t>22</w:t>
      </w:r>
      <w:r w:rsidR="00A564CC">
        <w:rPr>
          <w:lang w:val="en-AU"/>
        </w:rPr>
        <w:fldChar w:fldCharType="end"/>
      </w:r>
      <w:r w:rsidR="00A564CC">
        <w:rPr>
          <w:lang w:val="en-AU"/>
        </w:rPr>
        <w:t>c</w:t>
      </w:r>
      <w:r w:rsidR="00557225">
        <w:rPr>
          <w:lang w:val="en-AU"/>
        </w:rPr>
        <w:t xml:space="preserve">, </w:t>
      </w:r>
      <w:r w:rsidR="007103DA">
        <w:rPr>
          <w:lang w:val="en-AU"/>
        </w:rPr>
        <w:t>Table A</w:t>
      </w:r>
      <w:r w:rsidR="00557225">
        <w:rPr>
          <w:lang w:val="en-AU"/>
        </w:rPr>
        <w:t>1.4</w:t>
      </w:r>
      <w:r w:rsidR="00A564CC">
        <w:rPr>
          <w:lang w:val="en-AU"/>
        </w:rPr>
        <w:t xml:space="preserve">, see also </w:t>
      </w:r>
      <w:r w:rsidR="00A564CC" w:rsidRPr="000E2680">
        <w:rPr>
          <w:rFonts w:eastAsia="MS Mincho"/>
          <w:lang w:eastAsia="ja-JP"/>
        </w:rPr>
        <w:t>Diaz-Pulido</w:t>
      </w:r>
      <w:r w:rsidR="00A564CC">
        <w:rPr>
          <w:rFonts w:eastAsia="MS Mincho"/>
          <w:lang w:eastAsia="ja-JP"/>
        </w:rPr>
        <w:t xml:space="preserve"> </w:t>
      </w:r>
      <w:r w:rsidR="00A564CC" w:rsidRPr="00A564CC">
        <w:rPr>
          <w:rFonts w:eastAsia="MS Mincho"/>
          <w:i/>
          <w:lang w:eastAsia="ja-JP"/>
        </w:rPr>
        <w:t>et al.</w:t>
      </w:r>
      <w:r w:rsidR="00A564CC">
        <w:rPr>
          <w:rFonts w:eastAsia="MS Mincho"/>
          <w:lang w:eastAsia="ja-JP"/>
        </w:rPr>
        <w:t xml:space="preserve"> 2009</w:t>
      </w:r>
      <w:r w:rsidR="00557225">
        <w:rPr>
          <w:lang w:val="en-AU"/>
        </w:rPr>
        <w:t>).</w:t>
      </w:r>
      <w:r w:rsidR="00DC044D">
        <w:rPr>
          <w:lang w:val="en-AU"/>
        </w:rPr>
        <w:t xml:space="preserve"> For each region</w:t>
      </w:r>
      <w:r w:rsidR="000D4D2B">
        <w:rPr>
          <w:lang w:val="en-AU"/>
        </w:rPr>
        <w:t>,</w:t>
      </w:r>
      <w:r w:rsidR="00DC044D">
        <w:rPr>
          <w:lang w:val="en-AU"/>
        </w:rPr>
        <w:t xml:space="preserve"> the ReefTemp DHD estimates </w:t>
      </w:r>
      <w:r w:rsidR="000D4D2B">
        <w:rPr>
          <w:lang w:val="en-AU"/>
        </w:rPr>
        <w:t>in 2017</w:t>
      </w:r>
      <w:r w:rsidR="00A564CC">
        <w:rPr>
          <w:lang w:val="en-AU"/>
        </w:rPr>
        <w:t xml:space="preserve"> </w:t>
      </w:r>
      <w:r w:rsidR="00DC044D">
        <w:rPr>
          <w:lang w:val="en-AU"/>
        </w:rPr>
        <w:t xml:space="preserve">were the highest recorded over the 13 years of the MMP. </w:t>
      </w:r>
      <w:r w:rsidR="00036C05">
        <w:rPr>
          <w:lang w:val="en-AU"/>
        </w:rPr>
        <w:t>In situ</w:t>
      </w:r>
      <w:r w:rsidR="00DC044D">
        <w:rPr>
          <w:lang w:val="en-AU"/>
        </w:rPr>
        <w:t xml:space="preserve"> estimates showed highest DHD estimates in the Wet Tropics subregions and Mackay Whitsunday region, with 2017 estimates in the Burdekin and Fitzroy Region second only to those observed in 2006.</w:t>
      </w:r>
    </w:p>
    <w:p w14:paraId="1ED59083" w14:textId="77777777" w:rsidR="00801D0C" w:rsidRPr="002A11D5" w:rsidRDefault="00801D0C" w:rsidP="00606A50">
      <w:pPr>
        <w:pStyle w:val="Caption"/>
      </w:pPr>
      <w:bookmarkStart w:id="290" w:name="_Ref500749742"/>
      <w:bookmarkStart w:id="291" w:name="_Toc514407864"/>
      <w:r>
        <w:t xml:space="preserve">Table </w:t>
      </w:r>
      <w:r>
        <w:fldChar w:fldCharType="begin"/>
      </w:r>
      <w:r>
        <w:instrText xml:space="preserve"> SEQ Table \* ARABIC </w:instrText>
      </w:r>
      <w:r>
        <w:fldChar w:fldCharType="separate"/>
      </w:r>
      <w:r w:rsidR="00A75175">
        <w:rPr>
          <w:noProof/>
        </w:rPr>
        <w:t>16</w:t>
      </w:r>
      <w:r>
        <w:fldChar w:fldCharType="end"/>
      </w:r>
      <w:bookmarkEnd w:id="290"/>
      <w:r>
        <w:t xml:space="preserve"> </w:t>
      </w:r>
      <w:r w:rsidRPr="002A11D5">
        <w:t>Degree Heating Days (DHD) for 2016 and 2017 MMP (sub) regions.</w:t>
      </w:r>
      <w:bookmarkStart w:id="292" w:name="_Toc471373135"/>
      <w:r w:rsidRPr="002A11D5">
        <w:t xml:space="preserve"> </w:t>
      </w:r>
      <w:r>
        <w:t>Estimates based on data downloaded from Bureau of Meteorology (</w:t>
      </w:r>
      <w:r w:rsidRPr="00721969">
        <w:t xml:space="preserve">ReefTemp) based on IMOS 14day mosaic baseline temperatures and </w:t>
      </w:r>
      <w:r w:rsidR="00036C05">
        <w:t>In situ</w:t>
      </w:r>
      <w:r w:rsidRPr="00721969">
        <w:t xml:space="preserve"> temperature loggers at the reef sites.</w:t>
      </w:r>
      <w:bookmarkEnd w:id="292"/>
      <w:r w:rsidRPr="00721969">
        <w:t xml:space="preserve">  Note that ReefTemp estimates for 2016 do not concur with those reported previously by this program due to adjustment of methodology applied by BoM.</w:t>
      </w:r>
      <w:bookmarkEnd w:id="291"/>
    </w:p>
    <w:tbl>
      <w:tblPr>
        <w:tblStyle w:val="TableGrid4"/>
        <w:tblW w:w="0" w:type="auto"/>
        <w:tblInd w:w="392" w:type="dxa"/>
        <w:tblLook w:val="04A0" w:firstRow="1" w:lastRow="0" w:firstColumn="1" w:lastColumn="0" w:noHBand="0" w:noVBand="1"/>
        <w:tblCaption w:val="Regional degree heating day summaries for 2016 and 2017"/>
        <w:tblDescription w:val="A table summarising the degree heating day averages at reefs within each region afor 2016 and 2017. estimates based on the ReefTemp product and insitu loggers are presented. Salient points are discussed in the main text"/>
      </w:tblPr>
      <w:tblGrid>
        <w:gridCol w:w="2228"/>
        <w:gridCol w:w="1276"/>
        <w:gridCol w:w="1276"/>
        <w:gridCol w:w="1276"/>
        <w:gridCol w:w="1276"/>
      </w:tblGrid>
      <w:tr w:rsidR="00801D0C" w:rsidRPr="0015120A" w14:paraId="3F49FC87" w14:textId="77777777" w:rsidTr="001E472C">
        <w:trPr>
          <w:trHeight w:val="288"/>
          <w:tblHeader/>
        </w:trPr>
        <w:tc>
          <w:tcPr>
            <w:tcW w:w="2228" w:type="dxa"/>
            <w:noWrap/>
          </w:tcPr>
          <w:p w14:paraId="0215BFE5" w14:textId="77777777" w:rsidR="00801D0C" w:rsidRPr="0015120A" w:rsidRDefault="00801D0C" w:rsidP="00F327BA">
            <w:pPr>
              <w:rPr>
                <w:rFonts w:ascii="Arial Narrow" w:hAnsi="Arial Narrow"/>
                <w:bCs/>
                <w:color w:val="000000" w:themeColor="text1"/>
                <w:sz w:val="20"/>
              </w:rPr>
            </w:pPr>
          </w:p>
        </w:tc>
        <w:tc>
          <w:tcPr>
            <w:tcW w:w="2552" w:type="dxa"/>
            <w:gridSpan w:val="2"/>
            <w:vAlign w:val="center"/>
          </w:tcPr>
          <w:p w14:paraId="176F608D" w14:textId="77777777" w:rsidR="00801D0C" w:rsidRPr="0015120A" w:rsidRDefault="00801D0C" w:rsidP="00F327BA">
            <w:pPr>
              <w:jc w:val="center"/>
              <w:rPr>
                <w:rFonts w:ascii="Arial Narrow" w:hAnsi="Arial Narrow"/>
                <w:bCs/>
                <w:color w:val="000000" w:themeColor="text1"/>
                <w:sz w:val="20"/>
              </w:rPr>
            </w:pPr>
            <w:r>
              <w:rPr>
                <w:rFonts w:ascii="Arial Narrow" w:hAnsi="Arial Narrow"/>
                <w:bCs/>
                <w:color w:val="000000" w:themeColor="text1"/>
                <w:sz w:val="20"/>
              </w:rPr>
              <w:t>DHD 2016</w:t>
            </w:r>
          </w:p>
        </w:tc>
        <w:tc>
          <w:tcPr>
            <w:tcW w:w="2552" w:type="dxa"/>
            <w:gridSpan w:val="2"/>
            <w:vAlign w:val="center"/>
          </w:tcPr>
          <w:p w14:paraId="26D7C915" w14:textId="77777777" w:rsidR="00801D0C" w:rsidRPr="0015120A" w:rsidRDefault="00801D0C" w:rsidP="00F327BA">
            <w:pPr>
              <w:jc w:val="center"/>
              <w:rPr>
                <w:rFonts w:ascii="Arial Narrow" w:hAnsi="Arial Narrow"/>
                <w:bCs/>
                <w:color w:val="000000" w:themeColor="text1"/>
                <w:sz w:val="20"/>
              </w:rPr>
            </w:pPr>
            <w:r>
              <w:rPr>
                <w:rFonts w:ascii="Arial Narrow" w:hAnsi="Arial Narrow"/>
                <w:bCs/>
                <w:color w:val="000000" w:themeColor="text1"/>
                <w:sz w:val="20"/>
              </w:rPr>
              <w:t>DHD 2017</w:t>
            </w:r>
          </w:p>
        </w:tc>
      </w:tr>
      <w:tr w:rsidR="00801D0C" w:rsidRPr="0015120A" w14:paraId="796F6797" w14:textId="77777777" w:rsidTr="001E472C">
        <w:trPr>
          <w:trHeight w:val="288"/>
          <w:tblHeader/>
        </w:trPr>
        <w:tc>
          <w:tcPr>
            <w:tcW w:w="2228" w:type="dxa"/>
            <w:noWrap/>
            <w:hideMark/>
          </w:tcPr>
          <w:p w14:paraId="14698EFA" w14:textId="77777777" w:rsidR="00801D0C" w:rsidRPr="0015120A" w:rsidRDefault="00801D0C" w:rsidP="00F327BA">
            <w:pPr>
              <w:rPr>
                <w:rFonts w:ascii="Arial Narrow" w:hAnsi="Arial Narrow"/>
                <w:bCs/>
                <w:color w:val="000000" w:themeColor="text1"/>
                <w:sz w:val="20"/>
              </w:rPr>
            </w:pPr>
            <w:r w:rsidRPr="0015120A">
              <w:rPr>
                <w:rFonts w:ascii="Arial Narrow" w:hAnsi="Arial Narrow"/>
                <w:bCs/>
                <w:color w:val="000000" w:themeColor="text1"/>
                <w:sz w:val="20"/>
              </w:rPr>
              <w:t>MMP (sub) region</w:t>
            </w:r>
          </w:p>
        </w:tc>
        <w:tc>
          <w:tcPr>
            <w:tcW w:w="1276" w:type="dxa"/>
            <w:vAlign w:val="center"/>
          </w:tcPr>
          <w:p w14:paraId="309ECEAF" w14:textId="77777777" w:rsidR="00801D0C" w:rsidRPr="0015120A" w:rsidRDefault="00801D0C" w:rsidP="00F327BA">
            <w:pPr>
              <w:jc w:val="center"/>
              <w:rPr>
                <w:rFonts w:ascii="Arial Narrow" w:hAnsi="Arial Narrow"/>
                <w:bCs/>
                <w:color w:val="000000" w:themeColor="text1"/>
                <w:sz w:val="20"/>
              </w:rPr>
            </w:pPr>
            <w:r>
              <w:rPr>
                <w:rFonts w:ascii="Arial Narrow" w:hAnsi="Arial Narrow"/>
                <w:bCs/>
                <w:color w:val="000000" w:themeColor="text1"/>
                <w:sz w:val="20"/>
              </w:rPr>
              <w:t>ReefTemp</w:t>
            </w:r>
          </w:p>
        </w:tc>
        <w:tc>
          <w:tcPr>
            <w:tcW w:w="1276" w:type="dxa"/>
          </w:tcPr>
          <w:p w14:paraId="576BDC73" w14:textId="77777777" w:rsidR="00801D0C" w:rsidRPr="0015120A" w:rsidRDefault="00036C05" w:rsidP="00F327BA">
            <w:pPr>
              <w:jc w:val="center"/>
              <w:rPr>
                <w:rFonts w:ascii="Arial Narrow" w:hAnsi="Arial Narrow"/>
                <w:bCs/>
                <w:color w:val="000000" w:themeColor="text1"/>
                <w:sz w:val="20"/>
              </w:rPr>
            </w:pPr>
            <w:r>
              <w:rPr>
                <w:rFonts w:ascii="Arial Narrow" w:hAnsi="Arial Narrow"/>
                <w:bCs/>
                <w:color w:val="000000" w:themeColor="text1"/>
                <w:sz w:val="20"/>
              </w:rPr>
              <w:t>In situ</w:t>
            </w:r>
          </w:p>
        </w:tc>
        <w:tc>
          <w:tcPr>
            <w:tcW w:w="1276" w:type="dxa"/>
            <w:vAlign w:val="center"/>
          </w:tcPr>
          <w:p w14:paraId="5FF50F8D" w14:textId="77777777" w:rsidR="00801D0C" w:rsidRPr="0015120A" w:rsidRDefault="00801D0C" w:rsidP="00F327BA">
            <w:pPr>
              <w:jc w:val="center"/>
              <w:rPr>
                <w:rFonts w:ascii="Arial Narrow" w:hAnsi="Arial Narrow"/>
                <w:bCs/>
                <w:color w:val="000000" w:themeColor="text1"/>
                <w:sz w:val="20"/>
              </w:rPr>
            </w:pPr>
            <w:r>
              <w:rPr>
                <w:rFonts w:ascii="Arial Narrow" w:hAnsi="Arial Narrow"/>
                <w:bCs/>
                <w:color w:val="000000" w:themeColor="text1"/>
                <w:sz w:val="20"/>
              </w:rPr>
              <w:t>ReefTemp</w:t>
            </w:r>
          </w:p>
        </w:tc>
        <w:tc>
          <w:tcPr>
            <w:tcW w:w="1276" w:type="dxa"/>
          </w:tcPr>
          <w:p w14:paraId="57628404" w14:textId="77777777" w:rsidR="00801D0C" w:rsidRPr="0015120A" w:rsidRDefault="00036C05" w:rsidP="00F327BA">
            <w:pPr>
              <w:jc w:val="center"/>
              <w:rPr>
                <w:rFonts w:ascii="Arial Narrow" w:hAnsi="Arial Narrow"/>
                <w:bCs/>
                <w:color w:val="000000" w:themeColor="text1"/>
                <w:sz w:val="20"/>
              </w:rPr>
            </w:pPr>
            <w:r>
              <w:rPr>
                <w:rFonts w:ascii="Arial Narrow" w:hAnsi="Arial Narrow"/>
                <w:bCs/>
                <w:color w:val="000000" w:themeColor="text1"/>
                <w:sz w:val="20"/>
              </w:rPr>
              <w:t>In situ</w:t>
            </w:r>
          </w:p>
        </w:tc>
      </w:tr>
      <w:tr w:rsidR="00801D0C" w:rsidRPr="0015120A" w14:paraId="732F9DCB" w14:textId="77777777" w:rsidTr="001E472C">
        <w:trPr>
          <w:trHeight w:val="288"/>
          <w:tblHeader/>
        </w:trPr>
        <w:tc>
          <w:tcPr>
            <w:tcW w:w="2228" w:type="dxa"/>
            <w:noWrap/>
            <w:hideMark/>
          </w:tcPr>
          <w:p w14:paraId="41E5F967" w14:textId="77777777" w:rsidR="00801D0C" w:rsidRPr="0015120A" w:rsidRDefault="00801D0C" w:rsidP="00F327BA">
            <w:pPr>
              <w:rPr>
                <w:rFonts w:ascii="Arial Narrow" w:hAnsi="Arial Narrow"/>
                <w:bCs/>
                <w:color w:val="000000" w:themeColor="text1"/>
                <w:sz w:val="20"/>
              </w:rPr>
            </w:pPr>
            <w:r w:rsidRPr="0015120A">
              <w:rPr>
                <w:rFonts w:ascii="Arial Narrow" w:hAnsi="Arial Narrow"/>
                <w:bCs/>
                <w:color w:val="000000" w:themeColor="text1"/>
                <w:sz w:val="20"/>
              </w:rPr>
              <w:t>Baron Daintree</w:t>
            </w:r>
          </w:p>
        </w:tc>
        <w:tc>
          <w:tcPr>
            <w:tcW w:w="1276" w:type="dxa"/>
            <w:vAlign w:val="center"/>
          </w:tcPr>
          <w:p w14:paraId="2E9DAD79" w14:textId="77777777" w:rsidR="00801D0C" w:rsidRPr="00A564CC" w:rsidRDefault="00801D0C" w:rsidP="00F327BA">
            <w:pPr>
              <w:jc w:val="center"/>
              <w:rPr>
                <w:rStyle w:val="IntenseReference"/>
              </w:rPr>
            </w:pPr>
            <w:r w:rsidRPr="00A564CC">
              <w:rPr>
                <w:rStyle w:val="IntenseReference"/>
              </w:rPr>
              <w:t>35</w:t>
            </w:r>
          </w:p>
        </w:tc>
        <w:tc>
          <w:tcPr>
            <w:tcW w:w="1276" w:type="dxa"/>
          </w:tcPr>
          <w:p w14:paraId="7214D89D" w14:textId="77777777" w:rsidR="00801D0C" w:rsidRPr="00A564CC" w:rsidRDefault="00801D0C" w:rsidP="00F327BA">
            <w:pPr>
              <w:jc w:val="center"/>
              <w:rPr>
                <w:rStyle w:val="IntenseReference"/>
              </w:rPr>
            </w:pPr>
            <w:r w:rsidRPr="00A564CC">
              <w:rPr>
                <w:rStyle w:val="IntenseReference"/>
              </w:rPr>
              <w:t>57</w:t>
            </w:r>
          </w:p>
        </w:tc>
        <w:tc>
          <w:tcPr>
            <w:tcW w:w="1276" w:type="dxa"/>
            <w:vAlign w:val="center"/>
          </w:tcPr>
          <w:p w14:paraId="24C70130" w14:textId="77777777" w:rsidR="00801D0C" w:rsidRPr="00A564CC" w:rsidRDefault="00801D0C" w:rsidP="00F327BA">
            <w:pPr>
              <w:jc w:val="center"/>
              <w:rPr>
                <w:rStyle w:val="IntenseReference"/>
              </w:rPr>
            </w:pPr>
            <w:r w:rsidRPr="00A564CC">
              <w:rPr>
                <w:rStyle w:val="IntenseReference"/>
              </w:rPr>
              <w:t>98</w:t>
            </w:r>
          </w:p>
        </w:tc>
        <w:tc>
          <w:tcPr>
            <w:tcW w:w="1276" w:type="dxa"/>
          </w:tcPr>
          <w:p w14:paraId="0185558C" w14:textId="77777777" w:rsidR="00801D0C" w:rsidRPr="00A564CC" w:rsidRDefault="00801D0C" w:rsidP="00F327BA">
            <w:pPr>
              <w:jc w:val="center"/>
              <w:rPr>
                <w:rStyle w:val="IntenseReference"/>
              </w:rPr>
            </w:pPr>
            <w:r w:rsidRPr="00A564CC">
              <w:rPr>
                <w:rStyle w:val="IntenseReference"/>
              </w:rPr>
              <w:t>105</w:t>
            </w:r>
          </w:p>
        </w:tc>
      </w:tr>
      <w:tr w:rsidR="00801D0C" w:rsidRPr="0015120A" w14:paraId="5DA32BA6" w14:textId="77777777" w:rsidTr="001E472C">
        <w:trPr>
          <w:trHeight w:val="288"/>
          <w:tblHeader/>
        </w:trPr>
        <w:tc>
          <w:tcPr>
            <w:tcW w:w="2228" w:type="dxa"/>
            <w:noWrap/>
            <w:hideMark/>
          </w:tcPr>
          <w:p w14:paraId="04C56EF6" w14:textId="77777777" w:rsidR="00801D0C" w:rsidRPr="0015120A" w:rsidRDefault="00801D0C" w:rsidP="00F327BA">
            <w:pPr>
              <w:rPr>
                <w:rFonts w:ascii="Arial Narrow" w:hAnsi="Arial Narrow"/>
                <w:bCs/>
                <w:color w:val="000000" w:themeColor="text1"/>
                <w:sz w:val="20"/>
              </w:rPr>
            </w:pPr>
            <w:r w:rsidRPr="0015120A">
              <w:rPr>
                <w:rFonts w:ascii="Arial Narrow" w:hAnsi="Arial Narrow"/>
                <w:bCs/>
                <w:color w:val="000000" w:themeColor="text1"/>
                <w:sz w:val="20"/>
              </w:rPr>
              <w:t>Russell Mulgrave</w:t>
            </w:r>
          </w:p>
        </w:tc>
        <w:tc>
          <w:tcPr>
            <w:tcW w:w="1276" w:type="dxa"/>
            <w:vAlign w:val="center"/>
          </w:tcPr>
          <w:p w14:paraId="253E75E9" w14:textId="77777777" w:rsidR="00801D0C" w:rsidRPr="00A564CC" w:rsidRDefault="00801D0C" w:rsidP="00F327BA">
            <w:pPr>
              <w:jc w:val="center"/>
              <w:rPr>
                <w:rStyle w:val="IntenseReference"/>
              </w:rPr>
            </w:pPr>
            <w:r w:rsidRPr="00A564CC">
              <w:rPr>
                <w:rStyle w:val="IntenseReference"/>
              </w:rPr>
              <w:t>40</w:t>
            </w:r>
          </w:p>
        </w:tc>
        <w:tc>
          <w:tcPr>
            <w:tcW w:w="1276" w:type="dxa"/>
          </w:tcPr>
          <w:p w14:paraId="683E3B5E" w14:textId="77777777" w:rsidR="00801D0C" w:rsidRPr="00A564CC" w:rsidRDefault="00801D0C" w:rsidP="00F327BA">
            <w:pPr>
              <w:jc w:val="center"/>
              <w:rPr>
                <w:rStyle w:val="IntenseReference"/>
              </w:rPr>
            </w:pPr>
            <w:r w:rsidRPr="00A564CC">
              <w:rPr>
                <w:rStyle w:val="IntenseReference"/>
              </w:rPr>
              <w:t>21</w:t>
            </w:r>
          </w:p>
        </w:tc>
        <w:tc>
          <w:tcPr>
            <w:tcW w:w="1276" w:type="dxa"/>
            <w:vAlign w:val="center"/>
          </w:tcPr>
          <w:p w14:paraId="3678692E" w14:textId="77777777" w:rsidR="00801D0C" w:rsidRPr="00A564CC" w:rsidRDefault="00801D0C" w:rsidP="00F327BA">
            <w:pPr>
              <w:jc w:val="center"/>
              <w:rPr>
                <w:rStyle w:val="IntenseReference"/>
              </w:rPr>
            </w:pPr>
            <w:r w:rsidRPr="00A564CC">
              <w:rPr>
                <w:rStyle w:val="IntenseReference"/>
              </w:rPr>
              <w:t>112</w:t>
            </w:r>
          </w:p>
        </w:tc>
        <w:tc>
          <w:tcPr>
            <w:tcW w:w="1276" w:type="dxa"/>
          </w:tcPr>
          <w:p w14:paraId="4467CFFE" w14:textId="77777777" w:rsidR="00801D0C" w:rsidRPr="00A564CC" w:rsidRDefault="00801D0C" w:rsidP="00F327BA">
            <w:pPr>
              <w:jc w:val="center"/>
              <w:rPr>
                <w:rStyle w:val="IntenseReference"/>
              </w:rPr>
            </w:pPr>
            <w:r w:rsidRPr="00A564CC">
              <w:rPr>
                <w:rStyle w:val="IntenseReference"/>
              </w:rPr>
              <w:t>86</w:t>
            </w:r>
          </w:p>
        </w:tc>
      </w:tr>
      <w:tr w:rsidR="00801D0C" w:rsidRPr="0015120A" w14:paraId="5A35EDE9" w14:textId="77777777" w:rsidTr="001E472C">
        <w:trPr>
          <w:trHeight w:val="288"/>
          <w:tblHeader/>
        </w:trPr>
        <w:tc>
          <w:tcPr>
            <w:tcW w:w="2228" w:type="dxa"/>
            <w:noWrap/>
            <w:hideMark/>
          </w:tcPr>
          <w:p w14:paraId="57CE5A1E" w14:textId="77777777" w:rsidR="00801D0C" w:rsidRPr="0015120A" w:rsidRDefault="00801D0C" w:rsidP="00F327BA">
            <w:pPr>
              <w:rPr>
                <w:rFonts w:ascii="Arial Narrow" w:hAnsi="Arial Narrow"/>
                <w:bCs/>
                <w:color w:val="000000" w:themeColor="text1"/>
                <w:sz w:val="20"/>
              </w:rPr>
            </w:pPr>
            <w:r w:rsidRPr="0015120A">
              <w:rPr>
                <w:rFonts w:ascii="Arial Narrow" w:hAnsi="Arial Narrow"/>
                <w:bCs/>
                <w:color w:val="000000" w:themeColor="text1"/>
                <w:sz w:val="20"/>
              </w:rPr>
              <w:t>Tully</w:t>
            </w:r>
            <w:r>
              <w:rPr>
                <w:rFonts w:ascii="Arial Narrow" w:hAnsi="Arial Narrow"/>
                <w:bCs/>
                <w:color w:val="000000" w:themeColor="text1"/>
                <w:sz w:val="20"/>
              </w:rPr>
              <w:t xml:space="preserve"> Herbert</w:t>
            </w:r>
          </w:p>
        </w:tc>
        <w:tc>
          <w:tcPr>
            <w:tcW w:w="1276" w:type="dxa"/>
            <w:vAlign w:val="center"/>
          </w:tcPr>
          <w:p w14:paraId="2264106F" w14:textId="77777777" w:rsidR="00801D0C" w:rsidRPr="00A564CC" w:rsidRDefault="00801D0C" w:rsidP="00F327BA">
            <w:pPr>
              <w:jc w:val="center"/>
              <w:rPr>
                <w:rStyle w:val="IntenseReference"/>
              </w:rPr>
            </w:pPr>
            <w:r w:rsidRPr="00A564CC">
              <w:rPr>
                <w:rStyle w:val="IntenseReference"/>
              </w:rPr>
              <w:t>46</w:t>
            </w:r>
          </w:p>
        </w:tc>
        <w:tc>
          <w:tcPr>
            <w:tcW w:w="1276" w:type="dxa"/>
          </w:tcPr>
          <w:p w14:paraId="73D73C80" w14:textId="77777777" w:rsidR="00801D0C" w:rsidRPr="00A564CC" w:rsidRDefault="00801D0C" w:rsidP="00F327BA">
            <w:pPr>
              <w:jc w:val="center"/>
              <w:rPr>
                <w:rStyle w:val="IntenseReference"/>
              </w:rPr>
            </w:pPr>
            <w:r w:rsidRPr="00A564CC">
              <w:rPr>
                <w:rStyle w:val="IntenseReference"/>
              </w:rPr>
              <w:t>32</w:t>
            </w:r>
          </w:p>
        </w:tc>
        <w:tc>
          <w:tcPr>
            <w:tcW w:w="1276" w:type="dxa"/>
            <w:vAlign w:val="center"/>
          </w:tcPr>
          <w:p w14:paraId="2338F3F6" w14:textId="77777777" w:rsidR="00801D0C" w:rsidRPr="00A564CC" w:rsidRDefault="00801D0C" w:rsidP="00F327BA">
            <w:pPr>
              <w:jc w:val="center"/>
              <w:rPr>
                <w:rStyle w:val="IntenseReference"/>
              </w:rPr>
            </w:pPr>
            <w:r w:rsidRPr="00A564CC">
              <w:rPr>
                <w:rStyle w:val="IntenseReference"/>
              </w:rPr>
              <w:t>122</w:t>
            </w:r>
          </w:p>
        </w:tc>
        <w:tc>
          <w:tcPr>
            <w:tcW w:w="1276" w:type="dxa"/>
          </w:tcPr>
          <w:p w14:paraId="5AF3E8C7" w14:textId="77777777" w:rsidR="00801D0C" w:rsidRPr="00A564CC" w:rsidRDefault="00801D0C" w:rsidP="00F327BA">
            <w:pPr>
              <w:jc w:val="center"/>
              <w:rPr>
                <w:rStyle w:val="IntenseReference"/>
              </w:rPr>
            </w:pPr>
            <w:r w:rsidRPr="00A564CC">
              <w:rPr>
                <w:rStyle w:val="IntenseReference"/>
              </w:rPr>
              <w:t>97</w:t>
            </w:r>
          </w:p>
        </w:tc>
      </w:tr>
      <w:tr w:rsidR="00801D0C" w:rsidRPr="0015120A" w14:paraId="576332BF" w14:textId="77777777" w:rsidTr="001E472C">
        <w:trPr>
          <w:trHeight w:val="288"/>
          <w:tblHeader/>
        </w:trPr>
        <w:tc>
          <w:tcPr>
            <w:tcW w:w="2228" w:type="dxa"/>
            <w:noWrap/>
            <w:hideMark/>
          </w:tcPr>
          <w:p w14:paraId="61F4F8C1" w14:textId="77777777" w:rsidR="00801D0C" w:rsidRPr="0015120A" w:rsidRDefault="00801D0C" w:rsidP="00F327BA">
            <w:pPr>
              <w:rPr>
                <w:rFonts w:ascii="Arial Narrow" w:hAnsi="Arial Narrow"/>
                <w:bCs/>
                <w:color w:val="000000" w:themeColor="text1"/>
                <w:sz w:val="20"/>
              </w:rPr>
            </w:pPr>
            <w:r w:rsidRPr="0015120A">
              <w:rPr>
                <w:rFonts w:ascii="Arial Narrow" w:hAnsi="Arial Narrow"/>
                <w:bCs/>
                <w:color w:val="000000" w:themeColor="text1"/>
                <w:sz w:val="20"/>
              </w:rPr>
              <w:t>Burdekin</w:t>
            </w:r>
          </w:p>
        </w:tc>
        <w:tc>
          <w:tcPr>
            <w:tcW w:w="1276" w:type="dxa"/>
            <w:vAlign w:val="center"/>
          </w:tcPr>
          <w:p w14:paraId="0DF800A6" w14:textId="77777777" w:rsidR="00801D0C" w:rsidRPr="00A564CC" w:rsidRDefault="00801D0C" w:rsidP="00F327BA">
            <w:pPr>
              <w:jc w:val="center"/>
              <w:rPr>
                <w:rStyle w:val="IntenseReference"/>
              </w:rPr>
            </w:pPr>
            <w:r w:rsidRPr="00A564CC">
              <w:rPr>
                <w:rStyle w:val="IntenseReference"/>
              </w:rPr>
              <w:t>87</w:t>
            </w:r>
          </w:p>
        </w:tc>
        <w:tc>
          <w:tcPr>
            <w:tcW w:w="1276" w:type="dxa"/>
          </w:tcPr>
          <w:p w14:paraId="7E3D8F6E" w14:textId="77777777" w:rsidR="00801D0C" w:rsidRPr="00A564CC" w:rsidRDefault="00801D0C" w:rsidP="00F327BA">
            <w:pPr>
              <w:jc w:val="center"/>
              <w:rPr>
                <w:rStyle w:val="IntenseReference"/>
              </w:rPr>
            </w:pPr>
            <w:r w:rsidRPr="00A564CC">
              <w:rPr>
                <w:rStyle w:val="IntenseReference"/>
              </w:rPr>
              <w:t>37</w:t>
            </w:r>
          </w:p>
        </w:tc>
        <w:tc>
          <w:tcPr>
            <w:tcW w:w="1276" w:type="dxa"/>
            <w:vAlign w:val="center"/>
          </w:tcPr>
          <w:p w14:paraId="1AB478D5" w14:textId="77777777" w:rsidR="00801D0C" w:rsidRPr="00A564CC" w:rsidRDefault="00801D0C" w:rsidP="00F327BA">
            <w:pPr>
              <w:jc w:val="center"/>
              <w:rPr>
                <w:rStyle w:val="IntenseReference"/>
              </w:rPr>
            </w:pPr>
            <w:r w:rsidRPr="00A564CC">
              <w:rPr>
                <w:rStyle w:val="IntenseReference"/>
              </w:rPr>
              <w:t>133</w:t>
            </w:r>
          </w:p>
        </w:tc>
        <w:tc>
          <w:tcPr>
            <w:tcW w:w="1276" w:type="dxa"/>
          </w:tcPr>
          <w:p w14:paraId="188C3F40" w14:textId="77777777" w:rsidR="00801D0C" w:rsidRPr="00A564CC" w:rsidRDefault="00801D0C" w:rsidP="00F327BA">
            <w:pPr>
              <w:jc w:val="center"/>
              <w:rPr>
                <w:rStyle w:val="IntenseReference"/>
              </w:rPr>
            </w:pPr>
            <w:r w:rsidRPr="00A564CC">
              <w:rPr>
                <w:rStyle w:val="IntenseReference"/>
              </w:rPr>
              <w:t>75</w:t>
            </w:r>
          </w:p>
        </w:tc>
      </w:tr>
      <w:tr w:rsidR="00801D0C" w:rsidRPr="0015120A" w14:paraId="79B9E9C1" w14:textId="77777777" w:rsidTr="001E472C">
        <w:trPr>
          <w:trHeight w:val="288"/>
          <w:tblHeader/>
        </w:trPr>
        <w:tc>
          <w:tcPr>
            <w:tcW w:w="2228" w:type="dxa"/>
            <w:noWrap/>
            <w:hideMark/>
          </w:tcPr>
          <w:p w14:paraId="139EA195" w14:textId="77777777" w:rsidR="00801D0C" w:rsidRPr="0015120A" w:rsidRDefault="00801D0C" w:rsidP="00F327BA">
            <w:pPr>
              <w:rPr>
                <w:rFonts w:ascii="Arial Narrow" w:hAnsi="Arial Narrow"/>
                <w:bCs/>
                <w:color w:val="000000" w:themeColor="text1"/>
                <w:sz w:val="20"/>
              </w:rPr>
            </w:pPr>
            <w:r>
              <w:rPr>
                <w:rFonts w:ascii="Arial Narrow" w:hAnsi="Arial Narrow"/>
                <w:bCs/>
                <w:color w:val="000000" w:themeColor="text1"/>
                <w:sz w:val="20"/>
              </w:rPr>
              <w:t xml:space="preserve">Mackay </w:t>
            </w:r>
            <w:r w:rsidRPr="0015120A">
              <w:rPr>
                <w:rFonts w:ascii="Arial Narrow" w:hAnsi="Arial Narrow"/>
                <w:bCs/>
                <w:color w:val="000000" w:themeColor="text1"/>
                <w:sz w:val="20"/>
              </w:rPr>
              <w:t>Whitsundays</w:t>
            </w:r>
          </w:p>
        </w:tc>
        <w:tc>
          <w:tcPr>
            <w:tcW w:w="1276" w:type="dxa"/>
            <w:vAlign w:val="center"/>
          </w:tcPr>
          <w:p w14:paraId="47A97C96" w14:textId="77777777" w:rsidR="00801D0C" w:rsidRPr="00A564CC" w:rsidRDefault="00801D0C" w:rsidP="00F327BA">
            <w:pPr>
              <w:jc w:val="center"/>
              <w:rPr>
                <w:rStyle w:val="IntenseReference"/>
              </w:rPr>
            </w:pPr>
            <w:r w:rsidRPr="00A564CC">
              <w:rPr>
                <w:rStyle w:val="IntenseReference"/>
              </w:rPr>
              <w:t>74</w:t>
            </w:r>
          </w:p>
        </w:tc>
        <w:tc>
          <w:tcPr>
            <w:tcW w:w="1276" w:type="dxa"/>
          </w:tcPr>
          <w:p w14:paraId="4C1D6DD1" w14:textId="77777777" w:rsidR="00801D0C" w:rsidRPr="00A564CC" w:rsidRDefault="00801D0C" w:rsidP="00F327BA">
            <w:pPr>
              <w:jc w:val="center"/>
              <w:rPr>
                <w:rStyle w:val="IntenseReference"/>
              </w:rPr>
            </w:pPr>
            <w:r w:rsidRPr="00A564CC">
              <w:rPr>
                <w:rStyle w:val="IntenseReference"/>
              </w:rPr>
              <w:t>63</w:t>
            </w:r>
          </w:p>
        </w:tc>
        <w:tc>
          <w:tcPr>
            <w:tcW w:w="1276" w:type="dxa"/>
            <w:vAlign w:val="center"/>
          </w:tcPr>
          <w:p w14:paraId="200AD746" w14:textId="77777777" w:rsidR="00801D0C" w:rsidRPr="00A564CC" w:rsidRDefault="00801D0C" w:rsidP="00F327BA">
            <w:pPr>
              <w:jc w:val="center"/>
              <w:rPr>
                <w:rStyle w:val="IntenseReference"/>
              </w:rPr>
            </w:pPr>
            <w:r w:rsidRPr="00A564CC">
              <w:rPr>
                <w:rStyle w:val="IntenseReference"/>
              </w:rPr>
              <w:t>131</w:t>
            </w:r>
          </w:p>
        </w:tc>
        <w:tc>
          <w:tcPr>
            <w:tcW w:w="1276" w:type="dxa"/>
          </w:tcPr>
          <w:p w14:paraId="5AF164EE" w14:textId="77777777" w:rsidR="00801D0C" w:rsidRPr="00A564CC" w:rsidRDefault="00801D0C" w:rsidP="00F327BA">
            <w:pPr>
              <w:jc w:val="center"/>
              <w:rPr>
                <w:rStyle w:val="IntenseReference"/>
              </w:rPr>
            </w:pPr>
            <w:r w:rsidRPr="00A564CC">
              <w:rPr>
                <w:rStyle w:val="IntenseReference"/>
              </w:rPr>
              <w:t>83</w:t>
            </w:r>
          </w:p>
        </w:tc>
      </w:tr>
      <w:tr w:rsidR="00801D0C" w:rsidRPr="0015120A" w14:paraId="5A88C353" w14:textId="77777777" w:rsidTr="001E472C">
        <w:trPr>
          <w:trHeight w:val="288"/>
          <w:tblHeader/>
        </w:trPr>
        <w:tc>
          <w:tcPr>
            <w:tcW w:w="2228" w:type="dxa"/>
            <w:noWrap/>
            <w:hideMark/>
          </w:tcPr>
          <w:p w14:paraId="6C499582" w14:textId="77777777" w:rsidR="00801D0C" w:rsidRPr="0015120A" w:rsidRDefault="00801D0C" w:rsidP="00F327BA">
            <w:pPr>
              <w:rPr>
                <w:rFonts w:ascii="Arial Narrow" w:hAnsi="Arial Narrow"/>
                <w:bCs/>
                <w:color w:val="000000" w:themeColor="text1"/>
                <w:sz w:val="20"/>
              </w:rPr>
            </w:pPr>
            <w:r w:rsidRPr="0015120A">
              <w:rPr>
                <w:rFonts w:ascii="Arial Narrow" w:hAnsi="Arial Narrow"/>
                <w:bCs/>
                <w:color w:val="000000" w:themeColor="text1"/>
                <w:sz w:val="20"/>
              </w:rPr>
              <w:t>Fitzroy</w:t>
            </w:r>
            <w:r>
              <w:rPr>
                <w:rFonts w:ascii="Arial Narrow" w:hAnsi="Arial Narrow"/>
                <w:bCs/>
                <w:color w:val="000000" w:themeColor="text1"/>
                <w:sz w:val="20"/>
              </w:rPr>
              <w:t xml:space="preserve"> Basin</w:t>
            </w:r>
          </w:p>
        </w:tc>
        <w:tc>
          <w:tcPr>
            <w:tcW w:w="1276" w:type="dxa"/>
            <w:vAlign w:val="center"/>
          </w:tcPr>
          <w:p w14:paraId="5DF99AEE" w14:textId="77777777" w:rsidR="00801D0C" w:rsidRPr="00A564CC" w:rsidRDefault="00801D0C" w:rsidP="00F327BA">
            <w:pPr>
              <w:jc w:val="center"/>
              <w:rPr>
                <w:rStyle w:val="IntenseReference"/>
              </w:rPr>
            </w:pPr>
            <w:r w:rsidRPr="00A564CC">
              <w:rPr>
                <w:rStyle w:val="IntenseReference"/>
              </w:rPr>
              <w:t>61</w:t>
            </w:r>
          </w:p>
        </w:tc>
        <w:tc>
          <w:tcPr>
            <w:tcW w:w="1276" w:type="dxa"/>
          </w:tcPr>
          <w:p w14:paraId="4BB97C4B" w14:textId="77777777" w:rsidR="00801D0C" w:rsidRPr="00A564CC" w:rsidRDefault="00801D0C" w:rsidP="00F327BA">
            <w:pPr>
              <w:jc w:val="center"/>
              <w:rPr>
                <w:rStyle w:val="IntenseReference"/>
              </w:rPr>
            </w:pPr>
            <w:r w:rsidRPr="00A564CC">
              <w:rPr>
                <w:rStyle w:val="IntenseReference"/>
              </w:rPr>
              <w:t>50</w:t>
            </w:r>
          </w:p>
        </w:tc>
        <w:tc>
          <w:tcPr>
            <w:tcW w:w="1276" w:type="dxa"/>
            <w:vAlign w:val="center"/>
          </w:tcPr>
          <w:p w14:paraId="25E22F4D" w14:textId="77777777" w:rsidR="00801D0C" w:rsidRPr="00A564CC" w:rsidRDefault="00801D0C" w:rsidP="00F327BA">
            <w:pPr>
              <w:jc w:val="center"/>
              <w:rPr>
                <w:rStyle w:val="IntenseReference"/>
              </w:rPr>
            </w:pPr>
            <w:r w:rsidRPr="00A564CC">
              <w:rPr>
                <w:rStyle w:val="IntenseReference"/>
              </w:rPr>
              <w:t>120</w:t>
            </w:r>
          </w:p>
        </w:tc>
        <w:tc>
          <w:tcPr>
            <w:tcW w:w="1276" w:type="dxa"/>
          </w:tcPr>
          <w:p w14:paraId="713D5F95" w14:textId="77777777" w:rsidR="00801D0C" w:rsidRPr="00A564CC" w:rsidRDefault="00801D0C" w:rsidP="00F327BA">
            <w:pPr>
              <w:jc w:val="center"/>
              <w:rPr>
                <w:rStyle w:val="IntenseReference"/>
              </w:rPr>
            </w:pPr>
            <w:r w:rsidRPr="00A564CC">
              <w:rPr>
                <w:rStyle w:val="IntenseReference"/>
              </w:rPr>
              <w:t>107</w:t>
            </w:r>
          </w:p>
        </w:tc>
      </w:tr>
    </w:tbl>
    <w:p w14:paraId="4BBA2C15" w14:textId="77777777" w:rsidR="00801D0C" w:rsidRDefault="00801D0C" w:rsidP="00801D0C">
      <w:pPr>
        <w:autoSpaceDE w:val="0"/>
        <w:autoSpaceDN w:val="0"/>
        <w:adjustRightInd w:val="0"/>
        <w:spacing w:after="0"/>
        <w:rPr>
          <w:rFonts w:cstheme="minorHAnsi"/>
        </w:rPr>
      </w:pPr>
    </w:p>
    <w:p w14:paraId="4039EECE" w14:textId="4D71A2FD" w:rsidR="00CA60B2" w:rsidRDefault="00557225" w:rsidP="00557225">
      <w:pPr>
        <w:rPr>
          <w:rFonts w:cstheme="minorHAnsi"/>
          <w:lang w:val="en-AU"/>
        </w:rPr>
      </w:pPr>
      <w:r>
        <w:rPr>
          <w:rFonts w:cstheme="minorHAnsi"/>
          <w:lang w:val="en-AU"/>
        </w:rPr>
        <w:t xml:space="preserve">The greater temperature anomalies described by DHD estimates </w:t>
      </w:r>
      <w:r w:rsidR="000D4D2B">
        <w:rPr>
          <w:rFonts w:cstheme="minorHAnsi"/>
          <w:lang w:val="en-AU"/>
        </w:rPr>
        <w:t xml:space="preserve">in 2017 compared to 2016, </w:t>
      </w:r>
      <w:r>
        <w:rPr>
          <w:rFonts w:cstheme="minorHAnsi"/>
          <w:lang w:val="en-AU"/>
        </w:rPr>
        <w:t>was reflected in the loss of coral and exte</w:t>
      </w:r>
      <w:r w:rsidR="00A564CC">
        <w:rPr>
          <w:rFonts w:cstheme="minorHAnsi"/>
          <w:lang w:val="en-AU"/>
        </w:rPr>
        <w:t>nt of bleaching observed</w:t>
      </w:r>
      <w:r>
        <w:rPr>
          <w:rFonts w:cstheme="minorHAnsi"/>
          <w:lang w:val="en-AU"/>
        </w:rPr>
        <w:t xml:space="preserve">. </w:t>
      </w:r>
      <w:r w:rsidRPr="000007C9">
        <w:rPr>
          <w:rFonts w:cstheme="minorHAnsi"/>
          <w:lang w:val="en-AU"/>
        </w:rPr>
        <w:t xml:space="preserve">However, while </w:t>
      </w:r>
      <w:r>
        <w:rPr>
          <w:rFonts w:cstheme="minorHAnsi"/>
          <w:lang w:val="en-AU"/>
        </w:rPr>
        <w:t xml:space="preserve">coral </w:t>
      </w:r>
      <w:r w:rsidRPr="000007C9">
        <w:rPr>
          <w:rFonts w:cstheme="minorHAnsi"/>
          <w:lang w:val="en-AU"/>
        </w:rPr>
        <w:t xml:space="preserve">bleaching was observed </w:t>
      </w:r>
      <w:r>
        <w:rPr>
          <w:rFonts w:cstheme="minorHAnsi"/>
          <w:lang w:val="en-AU"/>
        </w:rPr>
        <w:t>within all four NRM regions</w:t>
      </w:r>
      <w:r w:rsidRPr="000007C9">
        <w:rPr>
          <w:rFonts w:cstheme="minorHAnsi"/>
          <w:lang w:val="en-AU"/>
        </w:rPr>
        <w:t xml:space="preserve"> </w:t>
      </w:r>
      <w:r>
        <w:rPr>
          <w:rFonts w:cstheme="minorHAnsi"/>
          <w:lang w:val="en-AU"/>
        </w:rPr>
        <w:t>the impacts varied both among regions, between reefs in close proximity to each other</w:t>
      </w:r>
      <w:r w:rsidR="00CA60B2">
        <w:rPr>
          <w:rFonts w:cstheme="minorHAnsi"/>
          <w:lang w:val="en-AU"/>
        </w:rPr>
        <w:t>,</w:t>
      </w:r>
      <w:r>
        <w:rPr>
          <w:rFonts w:cstheme="minorHAnsi"/>
          <w:lang w:val="en-AU"/>
        </w:rPr>
        <w:t xml:space="preserve"> and between the 2</w:t>
      </w:r>
      <w:r w:rsidR="00CA60B2">
        <w:rPr>
          <w:rFonts w:cstheme="minorHAnsi"/>
          <w:lang w:val="en-AU"/>
        </w:rPr>
        <w:t xml:space="preserve"> </w:t>
      </w:r>
      <w:r>
        <w:rPr>
          <w:rFonts w:cstheme="minorHAnsi"/>
          <w:lang w:val="en-AU"/>
        </w:rPr>
        <w:t xml:space="preserve">m and 5 m depth sites within reefs </w:t>
      </w:r>
      <w:r w:rsidR="001F3D58">
        <w:rPr>
          <w:rFonts w:cstheme="minorHAnsi"/>
          <w:lang w:val="en-AU"/>
        </w:rPr>
        <w:t>(</w:t>
      </w:r>
      <w:r w:rsidR="001F3D58" w:rsidRPr="001F3D58">
        <w:rPr>
          <w:rFonts w:cs="Arial"/>
          <w:szCs w:val="22"/>
          <w:lang w:val="en-AU"/>
        </w:rPr>
        <w:fldChar w:fldCharType="begin"/>
      </w:r>
      <w:r w:rsidR="001F3D58" w:rsidRPr="001F3D58">
        <w:rPr>
          <w:rFonts w:cs="Arial"/>
          <w:szCs w:val="22"/>
          <w:lang w:val="en-AU"/>
        </w:rPr>
        <w:instrText xml:space="preserve"> REF _Ref500764021 \h  \* MERGEFORMAT </w:instrText>
      </w:r>
      <w:r w:rsidR="001F3D58" w:rsidRPr="001F3D58">
        <w:rPr>
          <w:rFonts w:cs="Arial"/>
          <w:szCs w:val="22"/>
          <w:lang w:val="en-AU"/>
        </w:rPr>
      </w:r>
      <w:r w:rsidR="001F3D58" w:rsidRPr="001F3D58">
        <w:rPr>
          <w:rFonts w:cs="Arial"/>
          <w:szCs w:val="22"/>
          <w:lang w:val="en-AU"/>
        </w:rPr>
        <w:fldChar w:fldCharType="separate"/>
      </w:r>
      <w:r w:rsidR="00A75175" w:rsidRPr="00A75175">
        <w:rPr>
          <w:rFonts w:eastAsia="SimSun" w:cs="Arial"/>
          <w:szCs w:val="22"/>
        </w:rPr>
        <w:t>Table 17</w:t>
      </w:r>
      <w:r w:rsidR="001F3D58" w:rsidRPr="001F3D58">
        <w:rPr>
          <w:rFonts w:cs="Arial"/>
          <w:szCs w:val="22"/>
          <w:lang w:val="en-AU"/>
        </w:rPr>
        <w:fldChar w:fldCharType="end"/>
      </w:r>
      <w:r>
        <w:rPr>
          <w:rFonts w:cstheme="minorHAnsi"/>
          <w:lang w:val="en-AU"/>
        </w:rPr>
        <w:t>)</w:t>
      </w:r>
      <w:r w:rsidR="001F3D58">
        <w:rPr>
          <w:rFonts w:cstheme="minorHAnsi"/>
          <w:lang w:val="en-AU"/>
        </w:rPr>
        <w:t>.</w:t>
      </w:r>
      <w:r>
        <w:rPr>
          <w:rFonts w:cstheme="minorHAnsi"/>
          <w:lang w:val="en-AU"/>
        </w:rPr>
        <w:t xml:space="preserve"> </w:t>
      </w:r>
      <w:r w:rsidR="001F3D58">
        <w:rPr>
          <w:rFonts w:cstheme="minorHAnsi"/>
          <w:lang w:val="en-AU"/>
        </w:rPr>
        <w:t>The m</w:t>
      </w:r>
      <w:r w:rsidRPr="000007C9">
        <w:rPr>
          <w:rFonts w:cstheme="minorHAnsi"/>
          <w:lang w:val="en-AU"/>
        </w:rPr>
        <w:t xml:space="preserve">ost </w:t>
      </w:r>
      <w:r w:rsidR="001F3D58">
        <w:rPr>
          <w:rFonts w:cstheme="minorHAnsi"/>
          <w:lang w:val="en-AU"/>
        </w:rPr>
        <w:t xml:space="preserve">impacted reefs were in the Wet Tropics and Burdekin </w:t>
      </w:r>
      <w:r w:rsidR="00870F3B">
        <w:rPr>
          <w:rFonts w:cstheme="minorHAnsi"/>
          <w:lang w:val="en-AU"/>
        </w:rPr>
        <w:t>Regions</w:t>
      </w:r>
      <w:r w:rsidR="007A3BA8">
        <w:rPr>
          <w:rFonts w:cstheme="minorHAnsi"/>
          <w:lang w:val="en-AU"/>
        </w:rPr>
        <w:t>.</w:t>
      </w:r>
    </w:p>
    <w:p w14:paraId="098B3220" w14:textId="2FB00F4C" w:rsidR="00CA60B2" w:rsidRDefault="007A3BA8" w:rsidP="00557225">
      <w:pPr>
        <w:rPr>
          <w:rFonts w:cstheme="minorHAnsi"/>
          <w:lang w:val="en-AU"/>
        </w:rPr>
      </w:pPr>
      <w:r>
        <w:rPr>
          <w:rFonts w:cstheme="minorHAnsi"/>
          <w:lang w:val="en-AU"/>
        </w:rPr>
        <w:t>In the Wet Tropics, the impacts varied markedly over small spatial scales. The most severely impacted reef was Snapper North where 41% of the coral cover at 2</w:t>
      </w:r>
      <w:r w:rsidR="00A564CC">
        <w:rPr>
          <w:rFonts w:cstheme="minorHAnsi"/>
          <w:lang w:val="en-AU"/>
        </w:rPr>
        <w:t xml:space="preserve"> </w:t>
      </w:r>
      <w:r>
        <w:rPr>
          <w:rFonts w:cstheme="minorHAnsi"/>
          <w:lang w:val="en-AU"/>
        </w:rPr>
        <w:t xml:space="preserve">m sites and 33% at 5 m sites was lost over the 2017 beaching event. These losses contrasted </w:t>
      </w:r>
      <w:r w:rsidR="00DF0EBB">
        <w:rPr>
          <w:rFonts w:cstheme="minorHAnsi"/>
          <w:lang w:val="en-AU"/>
        </w:rPr>
        <w:t xml:space="preserve">with </w:t>
      </w:r>
      <w:r>
        <w:rPr>
          <w:rFonts w:cstheme="minorHAnsi"/>
          <w:lang w:val="en-AU"/>
        </w:rPr>
        <w:t>increases in coral cover observed at Snapper South</w:t>
      </w:r>
      <w:r w:rsidR="00CA60B2">
        <w:rPr>
          <w:rFonts w:cstheme="minorHAnsi"/>
          <w:lang w:val="en-AU"/>
        </w:rPr>
        <w:t xml:space="preserve"> </w:t>
      </w:r>
      <w:r w:rsidR="00CA60B2" w:rsidRPr="00CA60B2">
        <w:rPr>
          <w:rFonts w:cs="Arial"/>
          <w:szCs w:val="22"/>
          <w:lang w:val="en-AU"/>
        </w:rPr>
        <w:t>(</w:t>
      </w:r>
      <w:r w:rsidR="0024084A" w:rsidRPr="0024084A">
        <w:rPr>
          <w:rFonts w:cs="Arial"/>
          <w:szCs w:val="22"/>
          <w:lang w:val="en-AU"/>
        </w:rPr>
        <w:fldChar w:fldCharType="begin"/>
      </w:r>
      <w:r w:rsidR="0024084A" w:rsidRPr="0024084A">
        <w:rPr>
          <w:rFonts w:cs="Arial"/>
          <w:szCs w:val="22"/>
          <w:lang w:val="en-AU"/>
        </w:rPr>
        <w:instrText xml:space="preserve"> REF _Ref500764021 \h  \* MERGEFORMAT </w:instrText>
      </w:r>
      <w:r w:rsidR="0024084A" w:rsidRPr="0024084A">
        <w:rPr>
          <w:rFonts w:cs="Arial"/>
          <w:szCs w:val="22"/>
          <w:lang w:val="en-AU"/>
        </w:rPr>
      </w:r>
      <w:r w:rsidR="0024084A" w:rsidRPr="0024084A">
        <w:rPr>
          <w:rFonts w:cs="Arial"/>
          <w:szCs w:val="22"/>
          <w:lang w:val="en-AU"/>
        </w:rPr>
        <w:fldChar w:fldCharType="separate"/>
      </w:r>
      <w:r w:rsidR="00A75175" w:rsidRPr="00A75175">
        <w:rPr>
          <w:rFonts w:eastAsia="SimSun" w:cs="Arial"/>
          <w:szCs w:val="22"/>
        </w:rPr>
        <w:t xml:space="preserve">Table </w:t>
      </w:r>
      <w:r w:rsidR="00A75175" w:rsidRPr="00A75175">
        <w:rPr>
          <w:rFonts w:eastAsia="SimSun" w:cs="Arial"/>
          <w:noProof/>
          <w:szCs w:val="22"/>
        </w:rPr>
        <w:t>17</w:t>
      </w:r>
      <w:r w:rsidR="0024084A" w:rsidRPr="0024084A">
        <w:rPr>
          <w:rFonts w:cs="Arial"/>
          <w:szCs w:val="22"/>
          <w:lang w:val="en-AU"/>
        </w:rPr>
        <w:fldChar w:fldCharType="end"/>
      </w:r>
      <w:r w:rsidR="00CA60B2" w:rsidRPr="00CA60B2">
        <w:rPr>
          <w:rFonts w:cs="Arial"/>
          <w:szCs w:val="22"/>
          <w:lang w:val="en-AU"/>
        </w:rPr>
        <w:t>)</w:t>
      </w:r>
      <w:r w:rsidRPr="00CA60B2">
        <w:rPr>
          <w:rFonts w:cs="Arial"/>
          <w:szCs w:val="22"/>
          <w:lang w:val="en-AU"/>
        </w:rPr>
        <w:t>.</w:t>
      </w:r>
      <w:r>
        <w:rPr>
          <w:rFonts w:cstheme="minorHAnsi"/>
          <w:lang w:val="en-AU"/>
        </w:rPr>
        <w:t xml:space="preserve"> Within reefs</w:t>
      </w:r>
      <w:r w:rsidR="006C302E">
        <w:rPr>
          <w:rFonts w:cstheme="minorHAnsi"/>
          <w:lang w:val="en-AU"/>
        </w:rPr>
        <w:t>,</w:t>
      </w:r>
      <w:r>
        <w:rPr>
          <w:rFonts w:cstheme="minorHAnsi"/>
          <w:lang w:val="en-AU"/>
        </w:rPr>
        <w:t xml:space="preserve"> similar discrepancies were observed</w:t>
      </w:r>
      <w:r w:rsidR="00CA60B2">
        <w:rPr>
          <w:rFonts w:cstheme="minorHAnsi"/>
          <w:lang w:val="en-AU"/>
        </w:rPr>
        <w:t>, at</w:t>
      </w:r>
      <w:r>
        <w:rPr>
          <w:rFonts w:cstheme="minorHAnsi"/>
          <w:lang w:val="en-AU"/>
        </w:rPr>
        <w:t xml:space="preserve"> Dunk South, for example, the 2 m depth lost 31% of coral cover contrasting </w:t>
      </w:r>
      <w:r w:rsidR="00DF0EBB">
        <w:rPr>
          <w:rFonts w:cstheme="minorHAnsi"/>
          <w:lang w:val="en-AU"/>
        </w:rPr>
        <w:t xml:space="preserve">with </w:t>
      </w:r>
      <w:r>
        <w:rPr>
          <w:rFonts w:cstheme="minorHAnsi"/>
          <w:lang w:val="en-AU"/>
        </w:rPr>
        <w:t xml:space="preserve">a slight </w:t>
      </w:r>
      <w:r w:rsidR="00CA60B2">
        <w:rPr>
          <w:rFonts w:cstheme="minorHAnsi"/>
          <w:lang w:val="en-AU"/>
        </w:rPr>
        <w:t xml:space="preserve">increase </w:t>
      </w:r>
      <w:r>
        <w:rPr>
          <w:rFonts w:cstheme="minorHAnsi"/>
          <w:lang w:val="en-AU"/>
        </w:rPr>
        <w:t>at 5 m depth</w:t>
      </w:r>
      <w:r w:rsidR="006959FD">
        <w:rPr>
          <w:rFonts w:cstheme="minorHAnsi"/>
          <w:lang w:val="en-AU"/>
        </w:rPr>
        <w:t>. Overall</w:t>
      </w:r>
      <w:r w:rsidR="00F3438A">
        <w:rPr>
          <w:rFonts w:cstheme="minorHAnsi"/>
          <w:lang w:val="en-AU"/>
        </w:rPr>
        <w:t>,</w:t>
      </w:r>
      <w:r w:rsidR="006959FD">
        <w:rPr>
          <w:rFonts w:cstheme="minorHAnsi"/>
          <w:lang w:val="en-AU"/>
        </w:rPr>
        <w:t xml:space="preserve"> </w:t>
      </w:r>
      <w:r w:rsidR="006C302E">
        <w:rPr>
          <w:rFonts w:cstheme="minorHAnsi"/>
          <w:lang w:val="en-AU"/>
        </w:rPr>
        <w:t>sixteen</w:t>
      </w:r>
      <w:r w:rsidR="006959FD">
        <w:rPr>
          <w:rFonts w:cstheme="minorHAnsi"/>
          <w:lang w:val="en-AU"/>
        </w:rPr>
        <w:t xml:space="preserve"> of the </w:t>
      </w:r>
      <w:r w:rsidR="006C302E">
        <w:rPr>
          <w:rFonts w:cstheme="minorHAnsi"/>
          <w:lang w:val="en-AU"/>
        </w:rPr>
        <w:t xml:space="preserve">twenty-two </w:t>
      </w:r>
      <w:r w:rsidR="006959FD">
        <w:rPr>
          <w:rFonts w:cstheme="minorHAnsi"/>
          <w:lang w:val="en-AU"/>
        </w:rPr>
        <w:t>reef</w:t>
      </w:r>
      <w:r w:rsidR="00F3438A">
        <w:rPr>
          <w:rFonts w:cstheme="minorHAnsi"/>
          <w:lang w:val="en-AU"/>
        </w:rPr>
        <w:t xml:space="preserve"> and depth combinations</w:t>
      </w:r>
      <w:r w:rsidR="006959FD">
        <w:rPr>
          <w:rFonts w:cstheme="minorHAnsi"/>
          <w:lang w:val="en-AU"/>
        </w:rPr>
        <w:t xml:space="preserve"> surveyed </w:t>
      </w:r>
      <w:r w:rsidR="00F3438A">
        <w:rPr>
          <w:rFonts w:cstheme="minorHAnsi"/>
          <w:lang w:val="en-AU"/>
        </w:rPr>
        <w:t xml:space="preserve">in </w:t>
      </w:r>
      <w:r w:rsidR="006C302E">
        <w:rPr>
          <w:rFonts w:cstheme="minorHAnsi"/>
          <w:lang w:val="en-AU"/>
        </w:rPr>
        <w:t xml:space="preserve">2017 in </w:t>
      </w:r>
      <w:r w:rsidR="00F3438A">
        <w:rPr>
          <w:rFonts w:cstheme="minorHAnsi"/>
          <w:lang w:val="en-AU"/>
        </w:rPr>
        <w:t>the Wet Tropics</w:t>
      </w:r>
      <w:r w:rsidR="006959FD">
        <w:rPr>
          <w:rFonts w:cstheme="minorHAnsi"/>
          <w:lang w:val="en-AU"/>
        </w:rPr>
        <w:t xml:space="preserve"> record</w:t>
      </w:r>
      <w:r w:rsidR="00CA60B2">
        <w:rPr>
          <w:rFonts w:cstheme="minorHAnsi"/>
          <w:lang w:val="en-AU"/>
        </w:rPr>
        <w:t xml:space="preserve">ed reduced coral cover </w:t>
      </w:r>
      <w:r w:rsidR="00F3438A">
        <w:rPr>
          <w:rFonts w:cstheme="minorHAnsi"/>
          <w:lang w:val="en-AU"/>
        </w:rPr>
        <w:t xml:space="preserve">compared to the previous survey. </w:t>
      </w:r>
      <w:r w:rsidR="006C302E">
        <w:rPr>
          <w:rFonts w:cstheme="minorHAnsi"/>
          <w:lang w:val="en-AU"/>
        </w:rPr>
        <w:t>In contrast, only two of the twenty reef depth combinations surveyed in 2016 recorded a decline (</w:t>
      </w:r>
      <w:r w:rsidR="0024084A" w:rsidRPr="0024084A">
        <w:rPr>
          <w:rFonts w:cs="Arial"/>
          <w:szCs w:val="22"/>
          <w:lang w:val="en-AU"/>
        </w:rPr>
        <w:fldChar w:fldCharType="begin"/>
      </w:r>
      <w:r w:rsidR="0024084A" w:rsidRPr="0024084A">
        <w:rPr>
          <w:rFonts w:cs="Arial"/>
          <w:szCs w:val="22"/>
          <w:lang w:val="en-AU"/>
        </w:rPr>
        <w:instrText xml:space="preserve"> REF _Ref500764021 \h  \* MERGEFORMAT </w:instrText>
      </w:r>
      <w:r w:rsidR="0024084A" w:rsidRPr="0024084A">
        <w:rPr>
          <w:rFonts w:cs="Arial"/>
          <w:szCs w:val="22"/>
          <w:lang w:val="en-AU"/>
        </w:rPr>
      </w:r>
      <w:r w:rsidR="0024084A" w:rsidRPr="0024084A">
        <w:rPr>
          <w:rFonts w:cs="Arial"/>
          <w:szCs w:val="22"/>
          <w:lang w:val="en-AU"/>
        </w:rPr>
        <w:fldChar w:fldCharType="separate"/>
      </w:r>
      <w:r w:rsidR="00A75175" w:rsidRPr="00A75175">
        <w:rPr>
          <w:rFonts w:eastAsia="SimSun" w:cs="Arial"/>
          <w:szCs w:val="22"/>
        </w:rPr>
        <w:t xml:space="preserve">Table </w:t>
      </w:r>
      <w:r w:rsidR="00A75175" w:rsidRPr="00A75175">
        <w:rPr>
          <w:rFonts w:eastAsia="SimSun" w:cs="Arial"/>
          <w:noProof/>
          <w:szCs w:val="22"/>
        </w:rPr>
        <w:t>17</w:t>
      </w:r>
      <w:r w:rsidR="0024084A" w:rsidRPr="0024084A">
        <w:rPr>
          <w:rFonts w:cs="Arial"/>
          <w:szCs w:val="22"/>
          <w:lang w:val="en-AU"/>
        </w:rPr>
        <w:fldChar w:fldCharType="end"/>
      </w:r>
      <w:r w:rsidR="006C302E">
        <w:rPr>
          <w:rFonts w:cstheme="minorHAnsi"/>
          <w:lang w:val="en-AU"/>
        </w:rPr>
        <w:t xml:space="preserve">), one of which is likely to have included impacts associated with </w:t>
      </w:r>
      <w:r w:rsidR="00FA4F6B">
        <w:rPr>
          <w:rFonts w:cstheme="minorHAnsi"/>
          <w:lang w:val="en-AU"/>
        </w:rPr>
        <w:t xml:space="preserve">crown-of-thorns </w:t>
      </w:r>
      <w:r w:rsidR="00870F3B">
        <w:rPr>
          <w:rFonts w:cstheme="minorHAnsi"/>
          <w:lang w:val="en-AU"/>
        </w:rPr>
        <w:t>s</w:t>
      </w:r>
      <w:r w:rsidR="00E73B0C">
        <w:rPr>
          <w:rFonts w:cstheme="minorHAnsi"/>
          <w:lang w:val="en-AU"/>
        </w:rPr>
        <w:t>tarfish</w:t>
      </w:r>
      <w:r w:rsidR="00870F3B">
        <w:rPr>
          <w:rFonts w:cstheme="minorHAnsi"/>
          <w:lang w:val="en-AU"/>
        </w:rPr>
        <w:t xml:space="preserve"> </w:t>
      </w:r>
      <w:r w:rsidR="006C302E">
        <w:rPr>
          <w:rFonts w:cstheme="minorHAnsi"/>
          <w:lang w:val="en-AU"/>
        </w:rPr>
        <w:t xml:space="preserve">(Thompson </w:t>
      </w:r>
      <w:r w:rsidR="006C302E" w:rsidRPr="006C302E">
        <w:rPr>
          <w:rFonts w:cstheme="minorHAnsi"/>
          <w:i/>
          <w:lang w:val="en-AU"/>
        </w:rPr>
        <w:t>et al.</w:t>
      </w:r>
      <w:r w:rsidR="006C302E">
        <w:rPr>
          <w:rFonts w:cstheme="minorHAnsi"/>
          <w:lang w:val="en-AU"/>
        </w:rPr>
        <w:t xml:space="preserve"> 2017). </w:t>
      </w:r>
      <w:r w:rsidR="00F3438A">
        <w:rPr>
          <w:rFonts w:cstheme="minorHAnsi"/>
          <w:lang w:val="en-AU"/>
        </w:rPr>
        <w:t>O</w:t>
      </w:r>
      <w:r w:rsidR="00CA60B2">
        <w:rPr>
          <w:rFonts w:cstheme="minorHAnsi"/>
          <w:lang w:val="en-AU"/>
        </w:rPr>
        <w:t xml:space="preserve">f the </w:t>
      </w:r>
      <w:r w:rsidR="006C302E">
        <w:rPr>
          <w:rFonts w:cstheme="minorHAnsi"/>
          <w:lang w:val="en-AU"/>
        </w:rPr>
        <w:t xml:space="preserve">twenty reef and depth </w:t>
      </w:r>
      <w:r w:rsidR="00F3438A">
        <w:rPr>
          <w:rFonts w:cstheme="minorHAnsi"/>
          <w:lang w:val="en-AU"/>
        </w:rPr>
        <w:t xml:space="preserve">combinations </w:t>
      </w:r>
      <w:r w:rsidR="00CA60B2">
        <w:rPr>
          <w:rFonts w:cstheme="minorHAnsi"/>
          <w:lang w:val="en-AU"/>
        </w:rPr>
        <w:t xml:space="preserve">reefs surveyed in both 2016 and 2017 mean coral cover declined from </w:t>
      </w:r>
      <w:r w:rsidR="00F3438A">
        <w:rPr>
          <w:rFonts w:cstheme="minorHAnsi"/>
          <w:lang w:val="en-AU"/>
        </w:rPr>
        <w:t>32.8</w:t>
      </w:r>
      <w:r w:rsidR="00CA60B2">
        <w:rPr>
          <w:rFonts w:cstheme="minorHAnsi"/>
          <w:lang w:val="en-AU"/>
        </w:rPr>
        <w:t xml:space="preserve">% to </w:t>
      </w:r>
      <w:r w:rsidR="00F3438A">
        <w:rPr>
          <w:rFonts w:cstheme="minorHAnsi"/>
          <w:lang w:val="en-AU"/>
        </w:rPr>
        <w:t>28.4</w:t>
      </w:r>
      <w:r w:rsidR="00CA60B2">
        <w:rPr>
          <w:rFonts w:cstheme="minorHAnsi"/>
          <w:lang w:val="en-AU"/>
        </w:rPr>
        <w:t>%</w:t>
      </w:r>
      <w:r w:rsidR="006C302E">
        <w:rPr>
          <w:rFonts w:cstheme="minorHAnsi"/>
          <w:lang w:val="en-AU"/>
        </w:rPr>
        <w:t xml:space="preserve"> </w:t>
      </w:r>
      <w:r w:rsidR="00F3438A">
        <w:rPr>
          <w:rFonts w:cstheme="minorHAnsi"/>
          <w:lang w:val="en-AU"/>
        </w:rPr>
        <w:t>representing a loss of 13</w:t>
      </w:r>
      <w:r w:rsidR="00CB3BE3">
        <w:rPr>
          <w:rFonts w:cstheme="minorHAnsi"/>
          <w:lang w:val="en-AU"/>
        </w:rPr>
        <w:t>.3</w:t>
      </w:r>
      <w:r w:rsidR="00F3438A">
        <w:rPr>
          <w:rFonts w:cstheme="minorHAnsi"/>
          <w:lang w:val="en-AU"/>
        </w:rPr>
        <w:t>% of the Region</w:t>
      </w:r>
      <w:r w:rsidR="006C302E">
        <w:rPr>
          <w:rFonts w:cstheme="minorHAnsi"/>
          <w:lang w:val="en-AU"/>
        </w:rPr>
        <w:t>’</w:t>
      </w:r>
      <w:r w:rsidR="00F3438A">
        <w:rPr>
          <w:rFonts w:cstheme="minorHAnsi"/>
          <w:lang w:val="en-AU"/>
        </w:rPr>
        <w:t xml:space="preserve">s coral. </w:t>
      </w:r>
    </w:p>
    <w:p w14:paraId="3C0EAE92" w14:textId="19C737CA" w:rsidR="00557225" w:rsidRDefault="00DC044D" w:rsidP="00557225">
      <w:pPr>
        <w:rPr>
          <w:lang w:val="en-AU"/>
        </w:rPr>
      </w:pPr>
      <w:r>
        <w:rPr>
          <w:rFonts w:cstheme="minorHAnsi"/>
          <w:lang w:val="en-AU"/>
        </w:rPr>
        <w:t xml:space="preserve">In the Burdekin </w:t>
      </w:r>
      <w:r w:rsidR="00DF0EBB">
        <w:rPr>
          <w:rFonts w:cstheme="minorHAnsi"/>
          <w:lang w:val="en-AU"/>
        </w:rPr>
        <w:t>R</w:t>
      </w:r>
      <w:r>
        <w:rPr>
          <w:rFonts w:cstheme="minorHAnsi"/>
          <w:lang w:val="en-AU"/>
        </w:rPr>
        <w:t xml:space="preserve">egion </w:t>
      </w:r>
      <w:r w:rsidR="00CB3BE3">
        <w:rPr>
          <w:rFonts w:cstheme="minorHAnsi"/>
          <w:lang w:val="en-AU"/>
        </w:rPr>
        <w:t>losses of coral cover in 2</w:t>
      </w:r>
      <w:r w:rsidR="00FA4F6B">
        <w:rPr>
          <w:rFonts w:cstheme="minorHAnsi"/>
          <w:lang w:val="en-AU"/>
        </w:rPr>
        <w:t>0</w:t>
      </w:r>
      <w:r w:rsidR="00CB3BE3">
        <w:rPr>
          <w:rFonts w:cstheme="minorHAnsi"/>
          <w:lang w:val="en-AU"/>
        </w:rPr>
        <w:t>17 at 2 m depths were consistently higher than those at 5</w:t>
      </w:r>
      <w:r w:rsidR="006C302E">
        <w:rPr>
          <w:rFonts w:cstheme="minorHAnsi"/>
          <w:lang w:val="en-AU"/>
        </w:rPr>
        <w:t xml:space="preserve"> </w:t>
      </w:r>
      <w:r w:rsidR="00CB3BE3">
        <w:rPr>
          <w:rFonts w:cstheme="minorHAnsi"/>
          <w:lang w:val="en-AU"/>
        </w:rPr>
        <w:t>m depth</w:t>
      </w:r>
      <w:r w:rsidR="006C302E">
        <w:rPr>
          <w:rFonts w:cstheme="minorHAnsi"/>
          <w:lang w:val="en-AU"/>
        </w:rPr>
        <w:t>s</w:t>
      </w:r>
      <w:r w:rsidR="00CB3BE3">
        <w:rPr>
          <w:rFonts w:cstheme="minorHAnsi"/>
          <w:lang w:val="en-AU"/>
        </w:rPr>
        <w:t xml:space="preserve"> where cover increased at both Pandora and Magnetic </w:t>
      </w:r>
      <w:r w:rsidR="00CB3BE3" w:rsidRPr="0024084A">
        <w:rPr>
          <w:rFonts w:cs="Arial"/>
          <w:szCs w:val="22"/>
          <w:lang w:val="en-AU"/>
        </w:rPr>
        <w:t>(</w:t>
      </w:r>
      <w:r w:rsidR="0024084A" w:rsidRPr="0024084A">
        <w:rPr>
          <w:rFonts w:cs="Arial"/>
          <w:szCs w:val="22"/>
          <w:lang w:val="en-AU"/>
        </w:rPr>
        <w:fldChar w:fldCharType="begin"/>
      </w:r>
      <w:r w:rsidR="0024084A" w:rsidRPr="0024084A">
        <w:rPr>
          <w:rFonts w:cs="Arial"/>
          <w:szCs w:val="22"/>
          <w:lang w:val="en-AU"/>
        </w:rPr>
        <w:instrText xml:space="preserve"> REF _Ref500764021 \h  \* MERGEFORMAT </w:instrText>
      </w:r>
      <w:r w:rsidR="0024084A" w:rsidRPr="0024084A">
        <w:rPr>
          <w:rFonts w:cs="Arial"/>
          <w:szCs w:val="22"/>
          <w:lang w:val="en-AU"/>
        </w:rPr>
      </w:r>
      <w:r w:rsidR="0024084A" w:rsidRPr="0024084A">
        <w:rPr>
          <w:rFonts w:cs="Arial"/>
          <w:szCs w:val="22"/>
          <w:lang w:val="en-AU"/>
        </w:rPr>
        <w:fldChar w:fldCharType="separate"/>
      </w:r>
      <w:r w:rsidR="00A75175" w:rsidRPr="00A75175">
        <w:rPr>
          <w:rFonts w:eastAsia="SimSun" w:cs="Arial"/>
          <w:szCs w:val="22"/>
        </w:rPr>
        <w:t xml:space="preserve">Table </w:t>
      </w:r>
      <w:r w:rsidR="00A75175" w:rsidRPr="00A75175">
        <w:rPr>
          <w:rFonts w:eastAsia="SimSun" w:cs="Arial"/>
          <w:noProof/>
          <w:szCs w:val="22"/>
        </w:rPr>
        <w:t>17</w:t>
      </w:r>
      <w:r w:rsidR="0024084A" w:rsidRPr="0024084A">
        <w:rPr>
          <w:rFonts w:cs="Arial"/>
          <w:szCs w:val="22"/>
          <w:lang w:val="en-AU"/>
        </w:rPr>
        <w:fldChar w:fldCharType="end"/>
      </w:r>
      <w:r w:rsidR="00CB3BE3" w:rsidRPr="0024084A">
        <w:rPr>
          <w:rFonts w:cs="Arial"/>
          <w:szCs w:val="22"/>
          <w:lang w:val="en-AU"/>
        </w:rPr>
        <w:t>).</w:t>
      </w:r>
      <w:r w:rsidR="00CB3BE3">
        <w:rPr>
          <w:rFonts w:cstheme="minorHAnsi"/>
          <w:lang w:val="en-AU"/>
        </w:rPr>
        <w:t xml:space="preserve"> Comparing the regional mean </w:t>
      </w:r>
      <w:r w:rsidR="00293087">
        <w:rPr>
          <w:rFonts w:cstheme="minorHAnsi"/>
          <w:lang w:val="en-AU"/>
        </w:rPr>
        <w:t>coral cover for reefs surveyed in</w:t>
      </w:r>
      <w:r w:rsidR="00CB3BE3">
        <w:rPr>
          <w:rFonts w:cstheme="minorHAnsi"/>
          <w:lang w:val="en-AU"/>
        </w:rPr>
        <w:t xml:space="preserve"> both 2016 and 2017 </w:t>
      </w:r>
      <w:r w:rsidR="00DF0EBB">
        <w:rPr>
          <w:rFonts w:cstheme="minorHAnsi"/>
          <w:lang w:val="en-AU"/>
        </w:rPr>
        <w:t>reveals a loss of 12.8% of the R</w:t>
      </w:r>
      <w:r w:rsidR="00CB3BE3">
        <w:rPr>
          <w:rFonts w:cstheme="minorHAnsi"/>
          <w:lang w:val="en-AU"/>
        </w:rPr>
        <w:t>egion</w:t>
      </w:r>
      <w:r w:rsidR="00DF0EBB">
        <w:rPr>
          <w:rFonts w:cstheme="minorHAnsi"/>
          <w:lang w:val="en-AU"/>
        </w:rPr>
        <w:t>’</w:t>
      </w:r>
      <w:r w:rsidR="00CB3BE3">
        <w:rPr>
          <w:rFonts w:cstheme="minorHAnsi"/>
          <w:lang w:val="en-AU"/>
        </w:rPr>
        <w:t>s corals, with the mean cover d</w:t>
      </w:r>
      <w:r w:rsidR="00293087">
        <w:rPr>
          <w:rFonts w:cstheme="minorHAnsi"/>
          <w:lang w:val="en-AU"/>
        </w:rPr>
        <w:t>eclining from 20.6 % to 18.0%.</w:t>
      </w:r>
      <w:r w:rsidR="00557225">
        <w:rPr>
          <w:lang w:val="en-AU"/>
        </w:rPr>
        <w:t xml:space="preserve"> </w:t>
      </w:r>
    </w:p>
    <w:p w14:paraId="1A4BF2AE" w14:textId="684C4A57" w:rsidR="006127E2" w:rsidRDefault="00293087" w:rsidP="006127E2">
      <w:pPr>
        <w:rPr>
          <w:rFonts w:cstheme="minorHAnsi"/>
        </w:rPr>
      </w:pPr>
      <w:r>
        <w:rPr>
          <w:lang w:val="en-AU"/>
        </w:rPr>
        <w:t xml:space="preserve">The timing of surveys between May and </w:t>
      </w:r>
      <w:r w:rsidR="00F42B6C">
        <w:rPr>
          <w:lang w:val="en-AU"/>
        </w:rPr>
        <w:t>September</w:t>
      </w:r>
      <w:r>
        <w:rPr>
          <w:lang w:val="en-AU"/>
        </w:rPr>
        <w:t xml:space="preserve"> meant that the majority of mortality directly linked to lethal levels of heat stress will have been captured. The occurrence of bleached corals at the time of surveys (</w:t>
      </w:r>
      <w:r w:rsidR="0024084A" w:rsidRPr="0024084A">
        <w:rPr>
          <w:rFonts w:cs="Arial"/>
          <w:szCs w:val="22"/>
          <w:lang w:val="en-AU"/>
        </w:rPr>
        <w:fldChar w:fldCharType="begin"/>
      </w:r>
      <w:r w:rsidR="0024084A" w:rsidRPr="0024084A">
        <w:rPr>
          <w:rFonts w:cs="Arial"/>
          <w:szCs w:val="22"/>
          <w:lang w:val="en-AU"/>
        </w:rPr>
        <w:instrText xml:space="preserve"> REF _Ref500764021 \h  \* MERGEFORMAT </w:instrText>
      </w:r>
      <w:r w:rsidR="0024084A" w:rsidRPr="0024084A">
        <w:rPr>
          <w:rFonts w:cs="Arial"/>
          <w:szCs w:val="22"/>
          <w:lang w:val="en-AU"/>
        </w:rPr>
      </w:r>
      <w:r w:rsidR="0024084A" w:rsidRPr="0024084A">
        <w:rPr>
          <w:rFonts w:cs="Arial"/>
          <w:szCs w:val="22"/>
          <w:lang w:val="en-AU"/>
        </w:rPr>
        <w:fldChar w:fldCharType="separate"/>
      </w:r>
      <w:r w:rsidR="00A75175" w:rsidRPr="00A75175">
        <w:rPr>
          <w:rFonts w:eastAsia="SimSun" w:cs="Arial"/>
          <w:szCs w:val="22"/>
        </w:rPr>
        <w:t xml:space="preserve">Table </w:t>
      </w:r>
      <w:r w:rsidR="00A75175" w:rsidRPr="00A75175">
        <w:rPr>
          <w:rFonts w:eastAsia="SimSun" w:cs="Arial"/>
          <w:noProof/>
          <w:szCs w:val="22"/>
        </w:rPr>
        <w:t>17</w:t>
      </w:r>
      <w:r w:rsidR="0024084A" w:rsidRPr="0024084A">
        <w:rPr>
          <w:rFonts w:cs="Arial"/>
          <w:szCs w:val="22"/>
          <w:lang w:val="en-AU"/>
        </w:rPr>
        <w:fldChar w:fldCharType="end"/>
      </w:r>
      <w:r>
        <w:rPr>
          <w:lang w:val="en-AU"/>
        </w:rPr>
        <w:t>), especially those surveyed in early May</w:t>
      </w:r>
      <w:r w:rsidR="00F42B6C">
        <w:rPr>
          <w:lang w:val="en-AU"/>
        </w:rPr>
        <w:t>:</w:t>
      </w:r>
      <w:r>
        <w:rPr>
          <w:lang w:val="en-AU"/>
        </w:rPr>
        <w:t xml:space="preserve"> North Barnard, Dunk South and Bedarra </w:t>
      </w:r>
      <w:r w:rsidR="00F42B6C">
        <w:rPr>
          <w:lang w:val="en-AU"/>
        </w:rPr>
        <w:t>in the Tully Daintree sub</w:t>
      </w:r>
      <w:r w:rsidR="00870F3B">
        <w:rPr>
          <w:lang w:val="en-AU"/>
        </w:rPr>
        <w:t>-</w:t>
      </w:r>
      <w:r w:rsidR="00642D13">
        <w:rPr>
          <w:lang w:val="en-AU"/>
        </w:rPr>
        <w:t>region</w:t>
      </w:r>
      <w:r w:rsidR="00F42B6C">
        <w:rPr>
          <w:lang w:val="en-AU"/>
        </w:rPr>
        <w:t xml:space="preserve"> and a</w:t>
      </w:r>
      <w:r w:rsidR="0092694F">
        <w:rPr>
          <w:lang w:val="en-AU"/>
        </w:rPr>
        <w:t>ll reefs in the Burdekin Region</w:t>
      </w:r>
      <w:r w:rsidR="00F42B6C">
        <w:rPr>
          <w:lang w:val="en-AU"/>
        </w:rPr>
        <w:t xml:space="preserve"> </w:t>
      </w:r>
      <w:r w:rsidR="0092694F">
        <w:rPr>
          <w:lang w:val="en-AU"/>
        </w:rPr>
        <w:t xml:space="preserve">does, however, </w:t>
      </w:r>
      <w:r w:rsidR="00F42B6C">
        <w:rPr>
          <w:lang w:val="en-AU"/>
        </w:rPr>
        <w:t xml:space="preserve">suggest the potential for subsequent losses prior to corals recovering. </w:t>
      </w:r>
      <w:r w:rsidR="004E420E">
        <w:rPr>
          <w:lang w:val="en-AU"/>
        </w:rPr>
        <w:t>In early May</w:t>
      </w:r>
      <w:r w:rsidR="0092694F">
        <w:rPr>
          <w:lang w:val="en-AU"/>
        </w:rPr>
        <w:t>,</w:t>
      </w:r>
      <w:r w:rsidR="004E420E">
        <w:rPr>
          <w:lang w:val="en-AU"/>
        </w:rPr>
        <w:t xml:space="preserve"> </w:t>
      </w:r>
      <w:r w:rsidR="00F42B6C">
        <w:rPr>
          <w:lang w:val="en-AU"/>
        </w:rPr>
        <w:t>the</w:t>
      </w:r>
      <w:r w:rsidR="00092506">
        <w:rPr>
          <w:lang w:val="en-AU"/>
        </w:rPr>
        <w:t xml:space="preserve"> mean</w:t>
      </w:r>
      <w:r w:rsidR="00F42B6C">
        <w:rPr>
          <w:lang w:val="en-AU"/>
        </w:rPr>
        <w:t xml:space="preserve"> proportion of bleached</w:t>
      </w:r>
      <w:r w:rsidR="00E0461C">
        <w:rPr>
          <w:lang w:val="en-AU"/>
        </w:rPr>
        <w:t xml:space="preserve"> (though surviving)</w:t>
      </w:r>
      <w:r w:rsidR="00092506">
        <w:rPr>
          <w:lang w:val="en-AU"/>
        </w:rPr>
        <w:t xml:space="preserve"> corals </w:t>
      </w:r>
      <w:r w:rsidR="00F42B6C">
        <w:rPr>
          <w:lang w:val="en-AU"/>
        </w:rPr>
        <w:t>ob</w:t>
      </w:r>
      <w:r w:rsidR="00092506">
        <w:rPr>
          <w:lang w:val="en-AU"/>
        </w:rPr>
        <w:t xml:space="preserve">served at 5 m (33%) </w:t>
      </w:r>
      <w:r w:rsidR="004E420E">
        <w:rPr>
          <w:lang w:val="en-AU"/>
        </w:rPr>
        <w:t xml:space="preserve">was higher than at </w:t>
      </w:r>
      <w:r w:rsidR="00092506">
        <w:rPr>
          <w:lang w:val="en-AU"/>
        </w:rPr>
        <w:t>2 m (23%)</w:t>
      </w:r>
      <w:r w:rsidR="004E420E">
        <w:rPr>
          <w:lang w:val="en-AU"/>
        </w:rPr>
        <w:t>, contrasting the higher losses of cover observed at 2</w:t>
      </w:r>
      <w:r w:rsidR="006C302E">
        <w:rPr>
          <w:lang w:val="en-AU"/>
        </w:rPr>
        <w:t xml:space="preserve"> </w:t>
      </w:r>
      <w:r w:rsidR="004E420E">
        <w:rPr>
          <w:lang w:val="en-AU"/>
        </w:rPr>
        <w:t xml:space="preserve">m depth compared to 5 m depth at each reef. </w:t>
      </w:r>
      <w:r w:rsidR="00092506">
        <w:rPr>
          <w:lang w:val="en-AU"/>
        </w:rPr>
        <w:t>This comparison points to the more lethal influence of the bleaching event in shallower waters</w:t>
      </w:r>
      <w:r w:rsidR="004E420E">
        <w:rPr>
          <w:lang w:val="en-AU"/>
        </w:rPr>
        <w:t>, a result that may reflect either higher exposure to heat stress due to warmer surface waters</w:t>
      </w:r>
      <w:r w:rsidR="00092506">
        <w:rPr>
          <w:lang w:val="en-AU"/>
        </w:rPr>
        <w:t>, the protection offered by lower light</w:t>
      </w:r>
      <w:r w:rsidR="005A4282">
        <w:rPr>
          <w:lang w:val="en-AU"/>
        </w:rPr>
        <w:t xml:space="preserve"> intensity</w:t>
      </w:r>
      <w:r w:rsidR="00092506">
        <w:rPr>
          <w:lang w:val="en-AU"/>
        </w:rPr>
        <w:t xml:space="preserve"> at greater depth (</w:t>
      </w:r>
      <w:r w:rsidR="009B08E0">
        <w:rPr>
          <w:lang w:val="en-AU"/>
        </w:rPr>
        <w:t xml:space="preserve">Gustafsson </w:t>
      </w:r>
      <w:r w:rsidR="009B08E0" w:rsidRPr="009B08E0">
        <w:rPr>
          <w:i/>
          <w:lang w:val="en-AU"/>
        </w:rPr>
        <w:t>et al</w:t>
      </w:r>
      <w:r w:rsidR="009B08E0">
        <w:rPr>
          <w:lang w:val="en-AU"/>
        </w:rPr>
        <w:t>. 2014</w:t>
      </w:r>
      <w:r w:rsidR="00092506">
        <w:rPr>
          <w:lang w:val="en-AU"/>
        </w:rPr>
        <w:t>)</w:t>
      </w:r>
      <w:r w:rsidR="0092694F">
        <w:rPr>
          <w:lang w:val="en-AU"/>
        </w:rPr>
        <w:t>, or simply the differential tolerance as a result of differing taxonomic composition of communities</w:t>
      </w:r>
      <w:r w:rsidR="00092506">
        <w:rPr>
          <w:lang w:val="en-AU"/>
        </w:rPr>
        <w:t xml:space="preserve">. </w:t>
      </w:r>
      <w:r w:rsidR="002B7FC6">
        <w:rPr>
          <w:lang w:val="en-AU"/>
        </w:rPr>
        <w:t>Despite the high level of bleaching observed in May at the 5 m depths it was noted that ongoing partial mortality was rare</w:t>
      </w:r>
      <w:r w:rsidR="00E0461C">
        <w:rPr>
          <w:lang w:val="en-AU"/>
        </w:rPr>
        <w:t>,</w:t>
      </w:r>
      <w:r w:rsidR="00801D0C">
        <w:rPr>
          <w:lang w:val="en-AU"/>
        </w:rPr>
        <w:t xml:space="preserve"> </w:t>
      </w:r>
      <w:r w:rsidR="005E616B">
        <w:rPr>
          <w:lang w:val="en-AU"/>
        </w:rPr>
        <w:t>suggesting that</w:t>
      </w:r>
      <w:r w:rsidR="00801D0C">
        <w:rPr>
          <w:lang w:val="en-AU"/>
        </w:rPr>
        <w:t xml:space="preserve"> corals had either not yet exhausted stored energy reserves or were deriving energy through feeding</w:t>
      </w:r>
      <w:r w:rsidR="00E0461C">
        <w:rPr>
          <w:lang w:val="en-AU"/>
        </w:rPr>
        <w:t>;</w:t>
      </w:r>
      <w:r w:rsidR="00801D0C">
        <w:rPr>
          <w:lang w:val="en-AU"/>
        </w:rPr>
        <w:t xml:space="preserve"> a capability demonstrated to improve survival and recovery following bleaching (Connolly </w:t>
      </w:r>
      <w:r w:rsidR="00801D0C" w:rsidRPr="00801D0C">
        <w:rPr>
          <w:i/>
          <w:lang w:val="en-AU"/>
        </w:rPr>
        <w:t>et al.</w:t>
      </w:r>
      <w:r w:rsidR="00801D0C">
        <w:rPr>
          <w:lang w:val="en-AU"/>
        </w:rPr>
        <w:t xml:space="preserve"> 2012)</w:t>
      </w:r>
      <w:r w:rsidR="004E420E">
        <w:rPr>
          <w:lang w:val="en-AU"/>
        </w:rPr>
        <w:t>. The fate of these bleached corals will become evident in subsequent surveys. In later surveys</w:t>
      </w:r>
      <w:r w:rsidR="006127E2">
        <w:rPr>
          <w:lang w:val="en-AU"/>
        </w:rPr>
        <w:t>, late</w:t>
      </w:r>
      <w:r w:rsidR="004E420E">
        <w:rPr>
          <w:lang w:val="en-AU"/>
        </w:rPr>
        <w:t xml:space="preserve"> June through to </w:t>
      </w:r>
      <w:r w:rsidR="006127E2">
        <w:rPr>
          <w:lang w:val="en-AU"/>
        </w:rPr>
        <w:t>e</w:t>
      </w:r>
      <w:r w:rsidR="004E420E">
        <w:rPr>
          <w:lang w:val="en-AU"/>
        </w:rPr>
        <w:t>arly September</w:t>
      </w:r>
      <w:r w:rsidR="0092694F">
        <w:rPr>
          <w:lang w:val="en-AU"/>
        </w:rPr>
        <w:t>,</w:t>
      </w:r>
      <w:r w:rsidR="006127E2">
        <w:rPr>
          <w:lang w:val="en-AU"/>
        </w:rPr>
        <w:t xml:space="preserve"> the proportion of corals bleached </w:t>
      </w:r>
      <w:r w:rsidR="0059137E">
        <w:rPr>
          <w:lang w:val="en-AU"/>
        </w:rPr>
        <w:t xml:space="preserve">was markedly reduced suggesting effected </w:t>
      </w:r>
      <w:r w:rsidR="006127E2">
        <w:rPr>
          <w:lang w:val="en-AU"/>
        </w:rPr>
        <w:t>corals had either died or recovered.</w:t>
      </w:r>
      <w:r w:rsidR="002B7FC6">
        <w:rPr>
          <w:lang w:val="en-AU"/>
        </w:rPr>
        <w:t xml:space="preserve"> </w:t>
      </w:r>
    </w:p>
    <w:p w14:paraId="6EA9B64E" w14:textId="1DF64FA6" w:rsidR="006127E2" w:rsidRDefault="00245FB4" w:rsidP="006127E2">
      <w:pPr>
        <w:rPr>
          <w:lang w:val="en-AU"/>
        </w:rPr>
      </w:pPr>
      <w:r>
        <w:rPr>
          <w:lang w:val="en-AU"/>
        </w:rPr>
        <w:t xml:space="preserve">In addition to </w:t>
      </w:r>
      <w:r w:rsidR="0063331E">
        <w:rPr>
          <w:lang w:val="en-AU"/>
        </w:rPr>
        <w:t xml:space="preserve">probable </w:t>
      </w:r>
      <w:r>
        <w:rPr>
          <w:lang w:val="en-AU"/>
        </w:rPr>
        <w:t>variability in thermal anomalies</w:t>
      </w:r>
      <w:r w:rsidR="00732CD8">
        <w:rPr>
          <w:lang w:val="en-AU"/>
        </w:rPr>
        <w:t>,</w:t>
      </w:r>
      <w:r>
        <w:rPr>
          <w:lang w:val="en-AU"/>
        </w:rPr>
        <w:t xml:space="preserve"> difference</w:t>
      </w:r>
      <w:r w:rsidR="006C302E">
        <w:rPr>
          <w:lang w:val="en-AU"/>
        </w:rPr>
        <w:t xml:space="preserve"> among sites</w:t>
      </w:r>
      <w:r>
        <w:rPr>
          <w:lang w:val="en-AU"/>
        </w:rPr>
        <w:t xml:space="preserve"> in the impact of the 2017 bleaching event is likely to have been influenced by </w:t>
      </w:r>
      <w:r w:rsidR="006C302E">
        <w:rPr>
          <w:lang w:val="en-AU"/>
        </w:rPr>
        <w:t xml:space="preserve">the </w:t>
      </w:r>
      <w:r>
        <w:rPr>
          <w:lang w:val="en-AU"/>
        </w:rPr>
        <w:t>composition</w:t>
      </w:r>
      <w:r w:rsidR="006C302E">
        <w:rPr>
          <w:lang w:val="en-AU"/>
        </w:rPr>
        <w:t xml:space="preserve"> of the coral communities</w:t>
      </w:r>
      <w:r>
        <w:rPr>
          <w:lang w:val="en-AU"/>
        </w:rPr>
        <w:t>.</w:t>
      </w:r>
      <w:r w:rsidR="006127E2">
        <w:rPr>
          <w:lang w:val="en-AU"/>
        </w:rPr>
        <w:t xml:space="preserve"> </w:t>
      </w:r>
      <w:r w:rsidR="00015113">
        <w:rPr>
          <w:lang w:val="en-AU"/>
        </w:rPr>
        <w:t xml:space="preserve">The majority of reefs at which &gt;20% of the cover was lost </w:t>
      </w:r>
      <w:r w:rsidR="0047455F">
        <w:rPr>
          <w:lang w:val="en-AU"/>
        </w:rPr>
        <w:t>had communities dominated by Acroporidae (</w:t>
      </w:r>
      <w:r w:rsidR="0024084A" w:rsidRPr="0024084A">
        <w:rPr>
          <w:rFonts w:cs="Arial"/>
          <w:szCs w:val="22"/>
          <w:lang w:val="en-AU"/>
        </w:rPr>
        <w:fldChar w:fldCharType="begin"/>
      </w:r>
      <w:r w:rsidR="0024084A" w:rsidRPr="0024084A">
        <w:rPr>
          <w:rFonts w:cs="Arial"/>
          <w:szCs w:val="22"/>
          <w:lang w:val="en-AU"/>
        </w:rPr>
        <w:instrText xml:space="preserve"> REF _Ref500764021 \h  \* MERGEFORMAT </w:instrText>
      </w:r>
      <w:r w:rsidR="0024084A" w:rsidRPr="0024084A">
        <w:rPr>
          <w:rFonts w:cs="Arial"/>
          <w:szCs w:val="22"/>
          <w:lang w:val="en-AU"/>
        </w:rPr>
      </w:r>
      <w:r w:rsidR="0024084A" w:rsidRPr="0024084A">
        <w:rPr>
          <w:rFonts w:cs="Arial"/>
          <w:szCs w:val="22"/>
          <w:lang w:val="en-AU"/>
        </w:rPr>
        <w:fldChar w:fldCharType="separate"/>
      </w:r>
      <w:r w:rsidR="00A75175" w:rsidRPr="00A75175">
        <w:rPr>
          <w:rFonts w:eastAsia="SimSun" w:cs="Arial"/>
          <w:szCs w:val="22"/>
        </w:rPr>
        <w:t xml:space="preserve">Table </w:t>
      </w:r>
      <w:r w:rsidR="00A75175" w:rsidRPr="00A75175">
        <w:rPr>
          <w:rFonts w:eastAsia="SimSun" w:cs="Arial"/>
          <w:noProof/>
          <w:szCs w:val="22"/>
        </w:rPr>
        <w:t>17</w:t>
      </w:r>
      <w:r w:rsidR="0024084A" w:rsidRPr="0024084A">
        <w:rPr>
          <w:rFonts w:cs="Arial"/>
          <w:szCs w:val="22"/>
          <w:lang w:val="en-AU"/>
        </w:rPr>
        <w:fldChar w:fldCharType="end"/>
      </w:r>
      <w:r w:rsidR="0047455F">
        <w:rPr>
          <w:lang w:val="en-AU"/>
        </w:rPr>
        <w:t xml:space="preserve">, </w:t>
      </w:r>
      <w:r w:rsidR="0047455F">
        <w:rPr>
          <w:lang w:val="en-AU"/>
        </w:rPr>
        <w:fldChar w:fldCharType="begin"/>
      </w:r>
      <w:r w:rsidR="0047455F">
        <w:rPr>
          <w:lang w:val="en-AU"/>
        </w:rPr>
        <w:instrText xml:space="preserve"> REF _Ref501095809 \h </w:instrText>
      </w:r>
      <w:r w:rsidR="0047455F">
        <w:rPr>
          <w:lang w:val="en-AU"/>
        </w:rPr>
      </w:r>
      <w:r w:rsidR="0047455F">
        <w:rPr>
          <w:lang w:val="en-AU"/>
        </w:rPr>
        <w:fldChar w:fldCharType="separate"/>
      </w:r>
      <w:r w:rsidR="00A75175">
        <w:t xml:space="preserve">Figure A1. </w:t>
      </w:r>
      <w:r w:rsidR="00A75175">
        <w:rPr>
          <w:noProof/>
        </w:rPr>
        <w:t>1</w:t>
      </w:r>
      <w:r w:rsidR="0047455F">
        <w:rPr>
          <w:lang w:val="en-AU"/>
        </w:rPr>
        <w:fldChar w:fldCharType="end"/>
      </w:r>
      <w:r w:rsidR="0047455F">
        <w:rPr>
          <w:lang w:val="en-AU"/>
        </w:rPr>
        <w:t>-4).</w:t>
      </w:r>
      <w:r w:rsidR="006127E2">
        <w:rPr>
          <w:lang w:val="en-AU"/>
        </w:rPr>
        <w:t xml:space="preserve"> </w:t>
      </w:r>
      <w:r w:rsidR="0047455F">
        <w:rPr>
          <w:lang w:val="en-AU"/>
        </w:rPr>
        <w:t xml:space="preserve">Of the </w:t>
      </w:r>
      <w:r w:rsidR="006127E2">
        <w:rPr>
          <w:lang w:val="en-AU"/>
        </w:rPr>
        <w:t>5</w:t>
      </w:r>
      <w:r w:rsidR="00EA7EC1">
        <w:rPr>
          <w:lang w:val="en-AU"/>
        </w:rPr>
        <w:t>3</w:t>
      </w:r>
      <w:r w:rsidR="006127E2">
        <w:rPr>
          <w:lang w:val="en-AU"/>
        </w:rPr>
        <w:t xml:space="preserve"> genera identified </w:t>
      </w:r>
      <w:r w:rsidR="0063331E">
        <w:rPr>
          <w:lang w:val="en-AU"/>
        </w:rPr>
        <w:t>in photo-</w:t>
      </w:r>
      <w:r>
        <w:rPr>
          <w:lang w:val="en-AU"/>
        </w:rPr>
        <w:t xml:space="preserve">transects </w:t>
      </w:r>
      <w:r w:rsidR="0092694F">
        <w:rPr>
          <w:lang w:val="en-AU"/>
        </w:rPr>
        <w:t>undertaken prior to the</w:t>
      </w:r>
      <w:r>
        <w:rPr>
          <w:lang w:val="en-AU"/>
        </w:rPr>
        <w:t xml:space="preserve"> 2017</w:t>
      </w:r>
      <w:r w:rsidR="00EA7EC1">
        <w:rPr>
          <w:lang w:val="en-AU"/>
        </w:rPr>
        <w:t xml:space="preserve"> bleaching event</w:t>
      </w:r>
      <w:r w:rsidR="0063331E">
        <w:rPr>
          <w:lang w:val="en-AU"/>
        </w:rPr>
        <w:t>,</w:t>
      </w:r>
      <w:r w:rsidR="00EA7EC1">
        <w:rPr>
          <w:lang w:val="en-AU"/>
        </w:rPr>
        <w:t xml:space="preserve"> only five: </w:t>
      </w:r>
      <w:r w:rsidR="00EA7EC1" w:rsidRPr="00EA7EC1">
        <w:rPr>
          <w:i/>
          <w:lang w:val="en-AU"/>
        </w:rPr>
        <w:t>Astreopora</w:t>
      </w:r>
      <w:r w:rsidR="00EA7EC1">
        <w:rPr>
          <w:lang w:val="en-AU"/>
        </w:rPr>
        <w:t xml:space="preserve">, </w:t>
      </w:r>
      <w:r w:rsidR="00EA7EC1" w:rsidRPr="00EA7EC1">
        <w:rPr>
          <w:i/>
          <w:lang w:val="en-AU"/>
        </w:rPr>
        <w:t>Diploastrea</w:t>
      </w:r>
      <w:r w:rsidR="00EA7EC1">
        <w:rPr>
          <w:lang w:val="en-AU"/>
        </w:rPr>
        <w:t xml:space="preserve">, </w:t>
      </w:r>
      <w:r w:rsidR="00EA7EC1" w:rsidRPr="00EA7EC1">
        <w:rPr>
          <w:i/>
          <w:lang w:val="en-AU"/>
        </w:rPr>
        <w:t>Moseleya</w:t>
      </w:r>
      <w:r w:rsidR="00EA7EC1">
        <w:rPr>
          <w:lang w:val="en-AU"/>
        </w:rPr>
        <w:t xml:space="preserve">, </w:t>
      </w:r>
      <w:r w:rsidR="00EA7EC1" w:rsidRPr="00EA7EC1">
        <w:rPr>
          <w:i/>
          <w:lang w:val="en-AU"/>
        </w:rPr>
        <w:t>Podobacia</w:t>
      </w:r>
      <w:r w:rsidR="00EA7EC1">
        <w:rPr>
          <w:lang w:val="en-AU"/>
        </w:rPr>
        <w:t xml:space="preserve">, and </w:t>
      </w:r>
      <w:r w:rsidR="00EA7EC1" w:rsidRPr="00EA7EC1">
        <w:rPr>
          <w:i/>
          <w:lang w:val="en-AU"/>
        </w:rPr>
        <w:t>Polyphyllia</w:t>
      </w:r>
      <w:r w:rsidR="00EA7EC1">
        <w:rPr>
          <w:lang w:val="en-AU"/>
        </w:rPr>
        <w:t>, showed no evidence of bleaching impact</w:t>
      </w:r>
      <w:r w:rsidR="00E0461C">
        <w:rPr>
          <w:lang w:val="en-AU"/>
        </w:rPr>
        <w:t>,</w:t>
      </w:r>
      <w:r w:rsidR="00EA7EC1">
        <w:rPr>
          <w:lang w:val="en-AU"/>
        </w:rPr>
        <w:t xml:space="preserve"> with mean cover </w:t>
      </w:r>
      <w:r w:rsidR="00E0461C">
        <w:rPr>
          <w:lang w:val="en-AU"/>
        </w:rPr>
        <w:t xml:space="preserve">of these genera </w:t>
      </w:r>
      <w:r w:rsidR="00EA7EC1">
        <w:rPr>
          <w:lang w:val="en-AU"/>
        </w:rPr>
        <w:t xml:space="preserve">increasing </w:t>
      </w:r>
      <w:r w:rsidR="0063331E">
        <w:rPr>
          <w:lang w:val="en-AU"/>
        </w:rPr>
        <w:t>and n</w:t>
      </w:r>
      <w:r w:rsidR="00EA7EC1">
        <w:rPr>
          <w:lang w:val="en-AU"/>
        </w:rPr>
        <w:t xml:space="preserve">o colonies showing signs of bleaching during </w:t>
      </w:r>
      <w:r w:rsidR="0063331E">
        <w:rPr>
          <w:lang w:val="en-AU"/>
        </w:rPr>
        <w:t>s</w:t>
      </w:r>
      <w:r w:rsidR="00EA7EC1">
        <w:rPr>
          <w:lang w:val="en-AU"/>
        </w:rPr>
        <w:t>urveys</w:t>
      </w:r>
      <w:r w:rsidR="0063331E">
        <w:rPr>
          <w:lang w:val="en-AU"/>
        </w:rPr>
        <w:t xml:space="preserve"> in 2017</w:t>
      </w:r>
      <w:r w:rsidR="00EA7EC1">
        <w:rPr>
          <w:lang w:val="en-AU"/>
        </w:rPr>
        <w:t xml:space="preserve">. </w:t>
      </w:r>
      <w:r w:rsidR="00430552">
        <w:rPr>
          <w:lang w:val="en-AU"/>
        </w:rPr>
        <w:t xml:space="preserve">Many genera </w:t>
      </w:r>
      <w:r w:rsidR="0063331E">
        <w:rPr>
          <w:lang w:val="en-AU"/>
        </w:rPr>
        <w:t xml:space="preserve">were rare prior to the </w:t>
      </w:r>
      <w:r w:rsidR="00430552">
        <w:rPr>
          <w:lang w:val="en-AU"/>
        </w:rPr>
        <w:t xml:space="preserve">2017 </w:t>
      </w:r>
      <w:r w:rsidR="0063331E">
        <w:rPr>
          <w:lang w:val="en-AU"/>
        </w:rPr>
        <w:t>bleaching event making estimates of susceptibility difficult as proportional changes can be high based on chance observation</w:t>
      </w:r>
      <w:r w:rsidR="006C302E">
        <w:rPr>
          <w:lang w:val="en-AU"/>
        </w:rPr>
        <w:t xml:space="preserve"> alone</w:t>
      </w:r>
      <w:r w:rsidR="0063331E">
        <w:rPr>
          <w:lang w:val="en-AU"/>
        </w:rPr>
        <w:t>. Considering only the genera for which mean abundance was &gt; 0.1%, a value achieved by ~ 50 point observations</w:t>
      </w:r>
      <w:r w:rsidR="00430552">
        <w:rPr>
          <w:lang w:val="en-AU"/>
        </w:rPr>
        <w:t xml:space="preserve"> on photo-transects across the two regions</w:t>
      </w:r>
      <w:r w:rsidR="0063331E">
        <w:rPr>
          <w:lang w:val="en-AU"/>
        </w:rPr>
        <w:t xml:space="preserve">, there were clear differences in susceptibility </w:t>
      </w:r>
      <w:r w:rsidR="008D2E4A">
        <w:rPr>
          <w:lang w:val="en-AU"/>
        </w:rPr>
        <w:t xml:space="preserve">to </w:t>
      </w:r>
      <w:r w:rsidR="0063331E">
        <w:rPr>
          <w:lang w:val="en-AU"/>
        </w:rPr>
        <w:t>the bleaching event (</w:t>
      </w:r>
      <w:r w:rsidR="0024084A">
        <w:rPr>
          <w:lang w:val="en-AU"/>
        </w:rPr>
        <w:fldChar w:fldCharType="begin"/>
      </w:r>
      <w:r w:rsidR="0024084A">
        <w:rPr>
          <w:lang w:val="en-AU"/>
        </w:rPr>
        <w:instrText xml:space="preserve"> REF _Ref500847535 \h </w:instrText>
      </w:r>
      <w:r w:rsidR="0024084A">
        <w:rPr>
          <w:lang w:val="en-AU"/>
        </w:rPr>
      </w:r>
      <w:r w:rsidR="0024084A">
        <w:rPr>
          <w:lang w:val="en-AU"/>
        </w:rPr>
        <w:fldChar w:fldCharType="separate"/>
      </w:r>
      <w:r w:rsidR="00A75175">
        <w:t xml:space="preserve">Table </w:t>
      </w:r>
      <w:r w:rsidR="00A75175">
        <w:rPr>
          <w:noProof/>
        </w:rPr>
        <w:t>18</w:t>
      </w:r>
      <w:r w:rsidR="0024084A">
        <w:rPr>
          <w:lang w:val="en-AU"/>
        </w:rPr>
        <w:fldChar w:fldCharType="end"/>
      </w:r>
      <w:r w:rsidR="0063331E">
        <w:rPr>
          <w:lang w:val="en-AU"/>
        </w:rPr>
        <w:t>)</w:t>
      </w:r>
      <w:r w:rsidR="00660E06">
        <w:rPr>
          <w:lang w:val="en-AU"/>
        </w:rPr>
        <w:t xml:space="preserve">. </w:t>
      </w:r>
      <w:r w:rsidR="004731EC">
        <w:rPr>
          <w:lang w:val="en-AU"/>
        </w:rPr>
        <w:t xml:space="preserve">The level of impact observed for the more common genera in 2017 </w:t>
      </w:r>
      <w:r w:rsidR="008D2E4A">
        <w:rPr>
          <w:lang w:val="en-AU"/>
        </w:rPr>
        <w:t>(</w:t>
      </w:r>
      <w:r w:rsidR="0024084A" w:rsidRPr="0024084A">
        <w:rPr>
          <w:rFonts w:cs="Arial"/>
          <w:szCs w:val="22"/>
          <w:lang w:val="en-AU"/>
        </w:rPr>
        <w:fldChar w:fldCharType="begin"/>
      </w:r>
      <w:r w:rsidR="0024084A" w:rsidRPr="0024084A">
        <w:rPr>
          <w:rFonts w:cs="Arial"/>
          <w:szCs w:val="22"/>
          <w:lang w:val="en-AU"/>
        </w:rPr>
        <w:instrText xml:space="preserve"> REF _Ref500764021 \h  \* MERGEFORMAT </w:instrText>
      </w:r>
      <w:r w:rsidR="0024084A" w:rsidRPr="0024084A">
        <w:rPr>
          <w:rFonts w:cs="Arial"/>
          <w:szCs w:val="22"/>
          <w:lang w:val="en-AU"/>
        </w:rPr>
      </w:r>
      <w:r w:rsidR="0024084A" w:rsidRPr="0024084A">
        <w:rPr>
          <w:rFonts w:cs="Arial"/>
          <w:szCs w:val="22"/>
          <w:lang w:val="en-AU"/>
        </w:rPr>
        <w:fldChar w:fldCharType="separate"/>
      </w:r>
      <w:r w:rsidR="00A75175" w:rsidRPr="00A75175">
        <w:rPr>
          <w:rFonts w:eastAsia="SimSun" w:cs="Arial"/>
          <w:szCs w:val="22"/>
        </w:rPr>
        <w:t xml:space="preserve">Table </w:t>
      </w:r>
      <w:r w:rsidR="00A75175" w:rsidRPr="00A75175">
        <w:rPr>
          <w:rFonts w:eastAsia="SimSun" w:cs="Arial"/>
          <w:noProof/>
          <w:szCs w:val="22"/>
        </w:rPr>
        <w:t>17</w:t>
      </w:r>
      <w:r w:rsidR="0024084A" w:rsidRPr="0024084A">
        <w:rPr>
          <w:rFonts w:cs="Arial"/>
          <w:szCs w:val="22"/>
          <w:lang w:val="en-AU"/>
        </w:rPr>
        <w:fldChar w:fldCharType="end"/>
      </w:r>
      <w:r w:rsidR="008D2E4A">
        <w:rPr>
          <w:lang w:val="en-AU"/>
        </w:rPr>
        <w:t>) w</w:t>
      </w:r>
      <w:r w:rsidR="004731EC">
        <w:rPr>
          <w:lang w:val="en-AU"/>
        </w:rPr>
        <w:t xml:space="preserve">as broadly consistent with observations reported by </w:t>
      </w:r>
      <w:r w:rsidR="001D1CD5">
        <w:rPr>
          <w:lang w:val="en-AU"/>
        </w:rPr>
        <w:t xml:space="preserve">Marshall </w:t>
      </w:r>
      <w:r w:rsidR="008D2E4A">
        <w:rPr>
          <w:lang w:val="en-AU"/>
        </w:rPr>
        <w:t>&amp;</w:t>
      </w:r>
      <w:r w:rsidR="004731EC">
        <w:rPr>
          <w:lang w:val="en-AU"/>
        </w:rPr>
        <w:t xml:space="preserve"> Baird (2000)</w:t>
      </w:r>
      <w:r w:rsidR="002F5B74">
        <w:rPr>
          <w:lang w:val="en-AU"/>
        </w:rPr>
        <w:t>,</w:t>
      </w:r>
      <w:r w:rsidR="00F327BA">
        <w:rPr>
          <w:lang w:val="en-AU"/>
        </w:rPr>
        <w:t xml:space="preserve"> with the following nota</w:t>
      </w:r>
      <w:r w:rsidR="00783654">
        <w:rPr>
          <w:lang w:val="en-AU"/>
        </w:rPr>
        <w:t>ble exceptions.</w:t>
      </w:r>
      <w:r w:rsidR="00F327BA">
        <w:rPr>
          <w:lang w:val="en-AU"/>
        </w:rPr>
        <w:t xml:space="preserve"> </w:t>
      </w:r>
      <w:r w:rsidR="00F327BA" w:rsidRPr="00113263">
        <w:rPr>
          <w:i/>
          <w:lang w:val="en-AU"/>
        </w:rPr>
        <w:t>Cyphastrea</w:t>
      </w:r>
      <w:r w:rsidR="00F327BA">
        <w:rPr>
          <w:lang w:val="en-AU"/>
        </w:rPr>
        <w:t xml:space="preserve"> and </w:t>
      </w:r>
      <w:r w:rsidR="00F327BA" w:rsidRPr="00113263">
        <w:rPr>
          <w:i/>
          <w:lang w:val="en-AU"/>
        </w:rPr>
        <w:t>Psammocora</w:t>
      </w:r>
      <w:r w:rsidR="00F327BA">
        <w:rPr>
          <w:lang w:val="en-AU"/>
        </w:rPr>
        <w:t xml:space="preserve"> were largely resistant to bleaching in 1998, contrasting observed declines over the 2017 bleaching event</w:t>
      </w:r>
      <w:r w:rsidR="00113263">
        <w:rPr>
          <w:lang w:val="en-AU"/>
        </w:rPr>
        <w:t xml:space="preserve">. </w:t>
      </w:r>
      <w:r w:rsidR="00113263" w:rsidRPr="00113263">
        <w:rPr>
          <w:i/>
          <w:lang w:val="en-AU"/>
        </w:rPr>
        <w:t>Pocillopora</w:t>
      </w:r>
      <w:r w:rsidR="00113263">
        <w:rPr>
          <w:lang w:val="en-AU"/>
        </w:rPr>
        <w:t xml:space="preserve"> was </w:t>
      </w:r>
      <w:r w:rsidR="0092694F">
        <w:rPr>
          <w:lang w:val="en-AU"/>
        </w:rPr>
        <w:t>second only to</w:t>
      </w:r>
      <w:r w:rsidR="00113263">
        <w:rPr>
          <w:lang w:val="en-AU"/>
        </w:rPr>
        <w:t xml:space="preserve"> plate </w:t>
      </w:r>
      <w:r w:rsidR="00113263" w:rsidRPr="00113263">
        <w:rPr>
          <w:i/>
          <w:lang w:val="en-AU"/>
        </w:rPr>
        <w:t>Acropora</w:t>
      </w:r>
      <w:r w:rsidR="00113263">
        <w:rPr>
          <w:lang w:val="en-AU"/>
        </w:rPr>
        <w:t xml:space="preserve"> and </w:t>
      </w:r>
      <w:r w:rsidR="00113263" w:rsidRPr="00113263">
        <w:rPr>
          <w:i/>
          <w:lang w:val="en-AU"/>
        </w:rPr>
        <w:t>Isopora</w:t>
      </w:r>
      <w:r w:rsidR="00113263">
        <w:rPr>
          <w:lang w:val="en-AU"/>
        </w:rPr>
        <w:t xml:space="preserve"> in the proportion of colonies dyin</w:t>
      </w:r>
      <w:r w:rsidR="002C0B70">
        <w:rPr>
          <w:lang w:val="en-AU"/>
        </w:rPr>
        <w:t>g in 1998 compared to 2017</w:t>
      </w:r>
      <w:r w:rsidR="0092694F">
        <w:rPr>
          <w:lang w:val="en-AU"/>
        </w:rPr>
        <w:t>,</w:t>
      </w:r>
      <w:r w:rsidR="002C0B70">
        <w:rPr>
          <w:lang w:val="en-AU"/>
        </w:rPr>
        <w:t xml:space="preserve"> when eleven </w:t>
      </w:r>
      <w:r w:rsidR="00113263">
        <w:rPr>
          <w:lang w:val="en-AU"/>
        </w:rPr>
        <w:t xml:space="preserve">genera </w:t>
      </w:r>
      <w:r w:rsidR="002C0B70">
        <w:rPr>
          <w:lang w:val="en-AU"/>
        </w:rPr>
        <w:t xml:space="preserve">had higher </w:t>
      </w:r>
      <w:r w:rsidR="00113263">
        <w:rPr>
          <w:lang w:val="en-AU"/>
        </w:rPr>
        <w:t xml:space="preserve">proportional losses in cover </w:t>
      </w:r>
      <w:r w:rsidR="00113263" w:rsidRPr="0024084A">
        <w:rPr>
          <w:rFonts w:cs="Arial"/>
          <w:szCs w:val="22"/>
          <w:lang w:val="en-AU"/>
        </w:rPr>
        <w:t>(</w:t>
      </w:r>
      <w:r w:rsidR="0024084A" w:rsidRPr="0024084A">
        <w:rPr>
          <w:rFonts w:cs="Arial"/>
          <w:szCs w:val="22"/>
          <w:lang w:val="en-AU"/>
        </w:rPr>
        <w:fldChar w:fldCharType="begin"/>
      </w:r>
      <w:r w:rsidR="0024084A" w:rsidRPr="0024084A">
        <w:rPr>
          <w:rFonts w:cs="Arial"/>
          <w:szCs w:val="22"/>
          <w:lang w:val="en-AU"/>
        </w:rPr>
        <w:instrText xml:space="preserve"> REF _Ref500764021 \h  \* MERGEFORMAT </w:instrText>
      </w:r>
      <w:r w:rsidR="0024084A" w:rsidRPr="0024084A">
        <w:rPr>
          <w:rFonts w:cs="Arial"/>
          <w:szCs w:val="22"/>
          <w:lang w:val="en-AU"/>
        </w:rPr>
      </w:r>
      <w:r w:rsidR="0024084A" w:rsidRPr="0024084A">
        <w:rPr>
          <w:rFonts w:cs="Arial"/>
          <w:szCs w:val="22"/>
          <w:lang w:val="en-AU"/>
        </w:rPr>
        <w:fldChar w:fldCharType="separate"/>
      </w:r>
      <w:r w:rsidR="00A75175" w:rsidRPr="00A75175">
        <w:rPr>
          <w:rFonts w:eastAsia="SimSun" w:cs="Arial"/>
          <w:szCs w:val="22"/>
        </w:rPr>
        <w:t xml:space="preserve">Table </w:t>
      </w:r>
      <w:r w:rsidR="00A75175" w:rsidRPr="00A75175">
        <w:rPr>
          <w:rFonts w:eastAsia="SimSun" w:cs="Arial"/>
          <w:noProof/>
          <w:szCs w:val="22"/>
        </w:rPr>
        <w:t>17</w:t>
      </w:r>
      <w:r w:rsidR="0024084A" w:rsidRPr="0024084A">
        <w:rPr>
          <w:rFonts w:cs="Arial"/>
          <w:szCs w:val="22"/>
          <w:lang w:val="en-AU"/>
        </w:rPr>
        <w:fldChar w:fldCharType="end"/>
      </w:r>
      <w:r w:rsidR="00113263">
        <w:rPr>
          <w:lang w:val="en-AU"/>
        </w:rPr>
        <w:t xml:space="preserve">). </w:t>
      </w:r>
      <w:r w:rsidR="002C0B70">
        <w:rPr>
          <w:lang w:val="en-AU"/>
        </w:rPr>
        <w:t xml:space="preserve">It remains difficult to interpret the </w:t>
      </w:r>
      <w:r w:rsidR="006127E2">
        <w:rPr>
          <w:lang w:val="en-AU"/>
        </w:rPr>
        <w:t>variability in bleaching response within genera</w:t>
      </w:r>
      <w:r w:rsidR="002C0B70">
        <w:rPr>
          <w:lang w:val="en-AU"/>
        </w:rPr>
        <w:t xml:space="preserve"> at different locations as interactions between</w:t>
      </w:r>
      <w:r w:rsidR="0092694F">
        <w:rPr>
          <w:lang w:val="en-AU"/>
        </w:rPr>
        <w:t>:</w:t>
      </w:r>
      <w:r w:rsidR="002C0B70">
        <w:rPr>
          <w:lang w:val="en-AU"/>
        </w:rPr>
        <w:t xml:space="preserve"> locational differences in exposure to thermal stress, other environmental variables</w:t>
      </w:r>
      <w:r w:rsidR="0092694F">
        <w:rPr>
          <w:lang w:val="en-AU"/>
        </w:rPr>
        <w:t>,</w:t>
      </w:r>
      <w:r w:rsidR="002C0B70">
        <w:rPr>
          <w:lang w:val="en-AU"/>
        </w:rPr>
        <w:t xml:space="preserve"> and </w:t>
      </w:r>
      <w:r w:rsidR="008D2E4A">
        <w:rPr>
          <w:lang w:val="en-AU"/>
        </w:rPr>
        <w:t xml:space="preserve">site specific </w:t>
      </w:r>
      <w:r w:rsidR="002C0B70">
        <w:rPr>
          <w:lang w:val="en-AU"/>
        </w:rPr>
        <w:t xml:space="preserve">selection of species or genotypes </w:t>
      </w:r>
      <w:r w:rsidR="008D2E4A">
        <w:rPr>
          <w:lang w:val="en-AU"/>
        </w:rPr>
        <w:t xml:space="preserve">(van Oppen </w:t>
      </w:r>
      <w:r w:rsidR="008D2E4A" w:rsidRPr="008D2E4A">
        <w:rPr>
          <w:i/>
          <w:lang w:val="en-AU"/>
        </w:rPr>
        <w:t>et al</w:t>
      </w:r>
      <w:r w:rsidR="008D2E4A">
        <w:rPr>
          <w:lang w:val="en-AU"/>
        </w:rPr>
        <w:t xml:space="preserve">. 2015) </w:t>
      </w:r>
      <w:r w:rsidR="002C0B70">
        <w:rPr>
          <w:lang w:val="en-AU"/>
        </w:rPr>
        <w:t xml:space="preserve">are all unknown. </w:t>
      </w:r>
      <w:r w:rsidR="008D2E4A">
        <w:rPr>
          <w:lang w:val="en-AU"/>
        </w:rPr>
        <w:t>One remarkable observation during surveys in May was the response at Dunk South 5 m</w:t>
      </w:r>
      <w:r w:rsidR="00A52687">
        <w:rPr>
          <w:lang w:val="en-AU"/>
        </w:rPr>
        <w:t xml:space="preserve"> where, although cover had increased slightly from that observed in 2016, 66% of corals were bleached including individuals from 25 of the 33 genus recorded.</w:t>
      </w:r>
      <w:r w:rsidR="008D2E4A">
        <w:rPr>
          <w:lang w:val="en-AU"/>
        </w:rPr>
        <w:t xml:space="preserve"> </w:t>
      </w:r>
    </w:p>
    <w:p w14:paraId="7FC3B7E8" w14:textId="179FF61B" w:rsidR="00EA7EC1" w:rsidRPr="00744D22" w:rsidRDefault="00EA7EC1" w:rsidP="00EA7EC1">
      <w:pPr>
        <w:rPr>
          <w:color w:val="000000" w:themeColor="text1"/>
        </w:rPr>
      </w:pPr>
      <w:r>
        <w:t xml:space="preserve">The passage of </w:t>
      </w:r>
      <w:r w:rsidR="003E6ABE">
        <w:t xml:space="preserve">tropical cyclone </w:t>
      </w:r>
      <w:r>
        <w:t>Debbie severely damaged</w:t>
      </w:r>
      <w:r w:rsidR="0059137E">
        <w:t xml:space="preserve"> reefs in the Mackay Whitsunday</w:t>
      </w:r>
      <w:r>
        <w:t xml:space="preserve"> Region</w:t>
      </w:r>
      <w:r w:rsidR="00783654">
        <w:t>,</w:t>
      </w:r>
      <w:r>
        <w:t xml:space="preserve"> confounding the ability to assess bleaching impacts</w:t>
      </w:r>
      <w:r w:rsidR="00A52687">
        <w:t xml:space="preserve"> (see section 5.2.5)</w:t>
      </w:r>
      <w:r>
        <w:t xml:space="preserve">. Compared to previous surveys reductions in coral cover ranged between 18.5% and 98.3%. </w:t>
      </w:r>
      <w:r w:rsidR="00A52687">
        <w:t xml:space="preserve">Despite high DHD estimates for the </w:t>
      </w:r>
      <w:r>
        <w:t xml:space="preserve">Fitzroy Region </w:t>
      </w:r>
      <w:r w:rsidR="00A52687">
        <w:t>there was little evidence for a strong bleaching response.</w:t>
      </w:r>
      <w:r w:rsidR="00263D48">
        <w:t xml:space="preserve"> Minor reductions in coral cover at the 5m depths of Peak and Keppels South contrasted increases in cover at all other locations. At the time of surveys in May</w:t>
      </w:r>
      <w:r w:rsidR="00783654">
        <w:t>,</w:t>
      </w:r>
      <w:r w:rsidR="00263D48">
        <w:t xml:space="preserve"> a low proportion of coral was bleached (&lt;8% at any one reef). </w:t>
      </w:r>
      <w:r w:rsidR="00263D48" w:rsidRPr="00744D22">
        <w:rPr>
          <w:color w:val="000000" w:themeColor="text1"/>
        </w:rPr>
        <w:t xml:space="preserve">This result contrasts </w:t>
      </w:r>
      <w:r w:rsidR="00783654">
        <w:rPr>
          <w:color w:val="000000" w:themeColor="text1"/>
        </w:rPr>
        <w:t xml:space="preserve">with </w:t>
      </w:r>
      <w:r w:rsidR="00263D48" w:rsidRPr="00744D22">
        <w:rPr>
          <w:color w:val="000000" w:themeColor="text1"/>
        </w:rPr>
        <w:t xml:space="preserve">the moderate bleaching, </w:t>
      </w:r>
      <w:r w:rsidR="00783654">
        <w:rPr>
          <w:color w:val="000000" w:themeColor="text1"/>
        </w:rPr>
        <w:t>al</w:t>
      </w:r>
      <w:r w:rsidR="00263D48" w:rsidRPr="00744D22">
        <w:rPr>
          <w:color w:val="000000" w:themeColor="text1"/>
        </w:rPr>
        <w:t>though little evidence for substantial mortality</w:t>
      </w:r>
      <w:r w:rsidR="00744D22">
        <w:rPr>
          <w:color w:val="000000" w:themeColor="text1"/>
        </w:rPr>
        <w:t>,</w:t>
      </w:r>
      <w:r w:rsidR="00263D48" w:rsidRPr="00744D22">
        <w:rPr>
          <w:color w:val="000000" w:themeColor="text1"/>
        </w:rPr>
        <w:t xml:space="preserve"> reported over </w:t>
      </w:r>
      <w:r w:rsidR="00744D22">
        <w:rPr>
          <w:color w:val="000000" w:themeColor="text1"/>
        </w:rPr>
        <w:t xml:space="preserve">the </w:t>
      </w:r>
      <w:r w:rsidR="00263D48" w:rsidRPr="00744D22">
        <w:rPr>
          <w:color w:val="000000" w:themeColor="text1"/>
        </w:rPr>
        <w:t>2016</w:t>
      </w:r>
      <w:r w:rsidR="00744D22">
        <w:rPr>
          <w:color w:val="000000" w:themeColor="text1"/>
        </w:rPr>
        <w:t>/17 summer</w:t>
      </w:r>
      <w:r w:rsidR="00263D48" w:rsidRPr="00744D22">
        <w:rPr>
          <w:color w:val="000000" w:themeColor="text1"/>
        </w:rPr>
        <w:t xml:space="preserve"> (Kennedy </w:t>
      </w:r>
      <w:r w:rsidR="00263D48" w:rsidRPr="00744D22">
        <w:rPr>
          <w:i/>
          <w:color w:val="000000" w:themeColor="text1"/>
        </w:rPr>
        <w:t>et al.</w:t>
      </w:r>
      <w:r w:rsidR="00744D22" w:rsidRPr="00744D22">
        <w:rPr>
          <w:color w:val="000000" w:themeColor="text1"/>
        </w:rPr>
        <w:t xml:space="preserve"> 2017), when temperatures were lower</w:t>
      </w:r>
      <w:r w:rsidR="00744D22">
        <w:rPr>
          <w:color w:val="000000" w:themeColor="text1"/>
        </w:rPr>
        <w:t xml:space="preserve"> (</w:t>
      </w:r>
      <w:r w:rsidR="00744D22">
        <w:rPr>
          <w:color w:val="000000" w:themeColor="text1"/>
        </w:rPr>
        <w:fldChar w:fldCharType="begin"/>
      </w:r>
      <w:r w:rsidR="00744D22">
        <w:rPr>
          <w:color w:val="000000" w:themeColor="text1"/>
        </w:rPr>
        <w:instrText xml:space="preserve"> REF _Ref500880411 \h </w:instrText>
      </w:r>
      <w:r w:rsidR="00744D22">
        <w:rPr>
          <w:color w:val="000000" w:themeColor="text1"/>
        </w:rPr>
      </w:r>
      <w:r w:rsidR="00744D22">
        <w:rPr>
          <w:color w:val="000000" w:themeColor="text1"/>
        </w:rPr>
        <w:fldChar w:fldCharType="separate"/>
      </w:r>
      <w:r w:rsidR="00A75175">
        <w:t xml:space="preserve">Figure </w:t>
      </w:r>
      <w:r w:rsidR="00A75175">
        <w:rPr>
          <w:noProof/>
        </w:rPr>
        <w:t>25</w:t>
      </w:r>
      <w:r w:rsidR="00744D22">
        <w:rPr>
          <w:color w:val="000000" w:themeColor="text1"/>
        </w:rPr>
        <w:fldChar w:fldCharType="end"/>
      </w:r>
      <w:r w:rsidR="00744D22">
        <w:rPr>
          <w:color w:val="000000" w:themeColor="text1"/>
        </w:rPr>
        <w:t>)</w:t>
      </w:r>
      <w:r w:rsidR="00744D22" w:rsidRPr="00744D22">
        <w:rPr>
          <w:color w:val="000000" w:themeColor="text1"/>
        </w:rPr>
        <w:t>.</w:t>
      </w:r>
    </w:p>
    <w:p w14:paraId="12733CF0" w14:textId="77777777" w:rsidR="00BB7890" w:rsidRPr="00114B53" w:rsidRDefault="00607BCA" w:rsidP="00607BCA">
      <w:pPr>
        <w:pStyle w:val="Heading2"/>
        <w:spacing w:before="240" w:after="240"/>
      </w:pPr>
      <w:bookmarkStart w:id="293" w:name="_Toc514408437"/>
      <w:r>
        <w:t xml:space="preserve">7.3 </w:t>
      </w:r>
      <w:r w:rsidR="0075701E">
        <w:t>Conclusion</w:t>
      </w:r>
      <w:bookmarkEnd w:id="293"/>
    </w:p>
    <w:p w14:paraId="69F58E30" w14:textId="77777777" w:rsidR="006127E2" w:rsidRPr="00114B53" w:rsidRDefault="00642D13" w:rsidP="00607BCA">
      <w:pPr>
        <w:rPr>
          <w:color w:val="000000" w:themeColor="text1"/>
          <w:lang w:val="en-AU"/>
        </w:rPr>
      </w:pPr>
      <w:r>
        <w:rPr>
          <w:color w:val="000000" w:themeColor="text1"/>
          <w:lang w:val="en-AU"/>
        </w:rPr>
        <w:t>T</w:t>
      </w:r>
      <w:r w:rsidR="00DA5B95" w:rsidRPr="00114B53">
        <w:rPr>
          <w:color w:val="000000" w:themeColor="text1"/>
          <w:lang w:val="en-AU"/>
        </w:rPr>
        <w:t>he combined impacts of the 2016 and 2017 bleaching events were not as severe on the inshore reefs monitored by the MMP as the single response to the 20</w:t>
      </w:r>
      <w:r w:rsidR="005E608C" w:rsidRPr="00114B53">
        <w:rPr>
          <w:color w:val="000000" w:themeColor="text1"/>
          <w:lang w:val="en-AU"/>
        </w:rPr>
        <w:t>1</w:t>
      </w:r>
      <w:r w:rsidR="00DA5B95" w:rsidRPr="00114B53">
        <w:rPr>
          <w:color w:val="000000" w:themeColor="text1"/>
          <w:lang w:val="en-AU"/>
        </w:rPr>
        <w:t xml:space="preserve">6 event on reefs further offshore and to the north (Hughes </w:t>
      </w:r>
      <w:r w:rsidR="00DA5B95" w:rsidRPr="00114B53">
        <w:rPr>
          <w:i/>
          <w:color w:val="000000" w:themeColor="text1"/>
          <w:lang w:val="en-AU"/>
        </w:rPr>
        <w:t>et al.</w:t>
      </w:r>
      <w:r w:rsidR="00DA5B95" w:rsidRPr="00114B53">
        <w:rPr>
          <w:color w:val="000000" w:themeColor="text1"/>
          <w:lang w:val="en-AU"/>
        </w:rPr>
        <w:t xml:space="preserve"> 2017)</w:t>
      </w:r>
      <w:r>
        <w:rPr>
          <w:color w:val="000000" w:themeColor="text1"/>
          <w:lang w:val="en-AU"/>
        </w:rPr>
        <w:t>. However,</w:t>
      </w:r>
      <w:r w:rsidR="00DA5B95" w:rsidRPr="00114B53">
        <w:rPr>
          <w:color w:val="000000" w:themeColor="text1"/>
          <w:lang w:val="en-AU"/>
        </w:rPr>
        <w:t xml:space="preserve"> the</w:t>
      </w:r>
      <w:r>
        <w:rPr>
          <w:color w:val="000000" w:themeColor="text1"/>
          <w:lang w:val="en-AU"/>
        </w:rPr>
        <w:t>se</w:t>
      </w:r>
      <w:r w:rsidR="00DA5B95" w:rsidRPr="00114B53">
        <w:rPr>
          <w:color w:val="000000" w:themeColor="text1"/>
          <w:lang w:val="en-AU"/>
        </w:rPr>
        <w:t xml:space="preserve"> events need to be considered in context </w:t>
      </w:r>
      <w:r w:rsidR="005E608C" w:rsidRPr="00114B53">
        <w:rPr>
          <w:color w:val="000000" w:themeColor="text1"/>
          <w:lang w:val="en-AU"/>
        </w:rPr>
        <w:t>of</w:t>
      </w:r>
      <w:r w:rsidR="00DA5B95" w:rsidRPr="00114B53">
        <w:rPr>
          <w:color w:val="000000" w:themeColor="text1"/>
          <w:lang w:val="en-AU"/>
        </w:rPr>
        <w:t xml:space="preserve"> the cumulative pressures facing these reefs. The persistence of coral reefs requires a long-term balance between </w:t>
      </w:r>
      <w:r w:rsidR="007C2979" w:rsidRPr="00114B53">
        <w:rPr>
          <w:color w:val="000000" w:themeColor="text1"/>
          <w:lang w:val="en-AU"/>
        </w:rPr>
        <w:t>losses of coral as a result of disturbance events and subsequent recovery. The emerging pattern from the MMP is that the rate of coral recovery is higher during relatively low rainfall periods (</w:t>
      </w:r>
      <w:r w:rsidR="00F74624">
        <w:rPr>
          <w:color w:val="000000" w:themeColor="text1"/>
          <w:lang w:val="en-AU"/>
        </w:rPr>
        <w:t>s</w:t>
      </w:r>
      <w:r w:rsidR="007C2979" w:rsidRPr="00114B53">
        <w:rPr>
          <w:color w:val="000000" w:themeColor="text1"/>
          <w:lang w:val="en-AU"/>
        </w:rPr>
        <w:t xml:space="preserve">ection </w:t>
      </w:r>
      <w:r w:rsidR="00642EBA" w:rsidRPr="00114B53">
        <w:rPr>
          <w:color w:val="000000" w:themeColor="text1"/>
          <w:lang w:val="en-AU"/>
        </w:rPr>
        <w:t>5.1.4)</w:t>
      </w:r>
      <w:r w:rsidR="005E608C" w:rsidRPr="00114B53">
        <w:rPr>
          <w:color w:val="000000" w:themeColor="text1"/>
          <w:lang w:val="en-AU"/>
        </w:rPr>
        <w:t>. B</w:t>
      </w:r>
      <w:r w:rsidR="00642EBA" w:rsidRPr="00114B53">
        <w:rPr>
          <w:color w:val="000000" w:themeColor="text1"/>
          <w:lang w:val="en-AU"/>
        </w:rPr>
        <w:t xml:space="preserve">oth the 2016 and 2017 bleaching events occurred in relatively dry years when coral communities </w:t>
      </w:r>
      <w:r w:rsidR="0059137E">
        <w:rPr>
          <w:color w:val="000000" w:themeColor="text1"/>
          <w:lang w:val="en-AU"/>
        </w:rPr>
        <w:t>were</w:t>
      </w:r>
      <w:r w:rsidR="00642EBA" w:rsidRPr="00114B53">
        <w:rPr>
          <w:color w:val="000000" w:themeColor="text1"/>
          <w:lang w:val="en-AU"/>
        </w:rPr>
        <w:t xml:space="preserve"> expected to be recovering</w:t>
      </w:r>
      <w:r w:rsidR="005E608C" w:rsidRPr="00114B53">
        <w:rPr>
          <w:color w:val="000000" w:themeColor="text1"/>
          <w:lang w:val="en-AU"/>
        </w:rPr>
        <w:t xml:space="preserve"> f</w:t>
      </w:r>
      <w:r w:rsidR="00783654">
        <w:rPr>
          <w:color w:val="000000" w:themeColor="text1"/>
          <w:lang w:val="en-AU"/>
        </w:rPr>
        <w:t>rom recent impacts of tropical c</w:t>
      </w:r>
      <w:r w:rsidR="005E608C" w:rsidRPr="00114B53">
        <w:rPr>
          <w:color w:val="000000" w:themeColor="text1"/>
          <w:lang w:val="en-AU"/>
        </w:rPr>
        <w:t xml:space="preserve">yclones and crown-of-thorns </w:t>
      </w:r>
      <w:r w:rsidR="00870F3B" w:rsidRPr="00114B53">
        <w:rPr>
          <w:color w:val="000000" w:themeColor="text1"/>
          <w:lang w:val="en-AU"/>
        </w:rPr>
        <w:t>s</w:t>
      </w:r>
      <w:r w:rsidR="00E73B0C">
        <w:rPr>
          <w:color w:val="000000" w:themeColor="text1"/>
          <w:lang w:val="en-AU"/>
        </w:rPr>
        <w:t>tarfish</w:t>
      </w:r>
      <w:r w:rsidR="00642EBA" w:rsidRPr="00114B53">
        <w:rPr>
          <w:color w:val="000000" w:themeColor="text1"/>
          <w:lang w:val="en-AU"/>
        </w:rPr>
        <w:t xml:space="preserve">. </w:t>
      </w:r>
      <w:r w:rsidR="00744D22" w:rsidRPr="00114B53">
        <w:rPr>
          <w:color w:val="000000" w:themeColor="text1"/>
          <w:lang w:val="en-AU"/>
        </w:rPr>
        <w:t>This interruption of the recovery process for inshore reefs has the potential to severely alter the balance between impacts to communities and their subsequent recovery. The addition of thermal anomalies as an acute disturbance to coral reefs is p</w:t>
      </w:r>
      <w:r w:rsidR="005E608C" w:rsidRPr="00114B53">
        <w:rPr>
          <w:color w:val="000000" w:themeColor="text1"/>
          <w:lang w:val="en-AU"/>
        </w:rPr>
        <w:t>articularly concerning given eviden</w:t>
      </w:r>
      <w:r w:rsidR="00744D22" w:rsidRPr="00114B53">
        <w:rPr>
          <w:color w:val="000000" w:themeColor="text1"/>
          <w:lang w:val="en-AU"/>
        </w:rPr>
        <w:t>ce for a global increase in the</w:t>
      </w:r>
      <w:r w:rsidR="005E608C" w:rsidRPr="00114B53">
        <w:rPr>
          <w:color w:val="000000" w:themeColor="text1"/>
          <w:lang w:val="en-AU"/>
        </w:rPr>
        <w:t xml:space="preserve"> frequency of </w:t>
      </w:r>
      <w:r w:rsidR="00744D22" w:rsidRPr="00114B53">
        <w:rPr>
          <w:color w:val="000000" w:themeColor="text1"/>
          <w:lang w:val="en-AU"/>
        </w:rPr>
        <w:t>these</w:t>
      </w:r>
      <w:r w:rsidR="005E608C" w:rsidRPr="00114B53">
        <w:rPr>
          <w:color w:val="000000" w:themeColor="text1"/>
          <w:lang w:val="en-AU"/>
        </w:rPr>
        <w:t xml:space="preserve"> events</w:t>
      </w:r>
      <w:r w:rsidR="00642EBA" w:rsidRPr="00114B53">
        <w:rPr>
          <w:color w:val="000000" w:themeColor="text1"/>
          <w:lang w:val="en-AU"/>
        </w:rPr>
        <w:t xml:space="preserve"> </w:t>
      </w:r>
      <w:r w:rsidR="00783654">
        <w:rPr>
          <w:color w:val="000000" w:themeColor="text1"/>
          <w:lang w:val="en-AU"/>
        </w:rPr>
        <w:t>(</w:t>
      </w:r>
      <w:r w:rsidR="007C2979" w:rsidRPr="00114B53">
        <w:rPr>
          <w:color w:val="000000" w:themeColor="text1"/>
          <w:lang w:val="en-AU"/>
        </w:rPr>
        <w:t xml:space="preserve">Hughes </w:t>
      </w:r>
      <w:r w:rsidR="007C2979" w:rsidRPr="00114B53">
        <w:rPr>
          <w:i/>
          <w:color w:val="000000" w:themeColor="text1"/>
          <w:lang w:val="en-AU"/>
        </w:rPr>
        <w:t>et al.</w:t>
      </w:r>
      <w:r w:rsidR="00783654">
        <w:rPr>
          <w:color w:val="000000" w:themeColor="text1"/>
          <w:lang w:val="en-AU"/>
        </w:rPr>
        <w:t xml:space="preserve"> </w:t>
      </w:r>
      <w:r w:rsidR="007C2979" w:rsidRPr="00114B53">
        <w:rPr>
          <w:color w:val="000000" w:themeColor="text1"/>
          <w:lang w:val="en-AU"/>
        </w:rPr>
        <w:t>2018)</w:t>
      </w:r>
      <w:r w:rsidR="005E608C" w:rsidRPr="00114B53">
        <w:rPr>
          <w:color w:val="000000" w:themeColor="text1"/>
          <w:lang w:val="en-AU"/>
        </w:rPr>
        <w:t>.</w:t>
      </w:r>
      <w:r w:rsidR="00DA5B95" w:rsidRPr="00114B53">
        <w:rPr>
          <w:color w:val="000000" w:themeColor="text1"/>
          <w:lang w:val="en-AU"/>
        </w:rPr>
        <w:t xml:space="preserve">   </w:t>
      </w:r>
    </w:p>
    <w:p w14:paraId="0C5CC0D3" w14:textId="77777777" w:rsidR="00744D22" w:rsidRPr="00114B53" w:rsidRDefault="005E608C" w:rsidP="00607BCA">
      <w:pPr>
        <w:rPr>
          <w:color w:val="000000" w:themeColor="text1"/>
          <w:lang w:val="en-AU"/>
        </w:rPr>
      </w:pPr>
      <w:r w:rsidRPr="00114B53">
        <w:rPr>
          <w:color w:val="000000" w:themeColor="text1"/>
          <w:lang w:val="en-AU"/>
        </w:rPr>
        <w:t xml:space="preserve">Cross-shelf aerial surveillance of the 2017 bleaching event </w:t>
      </w:r>
      <w:r w:rsidR="0059137E">
        <w:rPr>
          <w:color w:val="000000" w:themeColor="text1"/>
          <w:lang w:val="en-AU"/>
        </w:rPr>
        <w:t>documented</w:t>
      </w:r>
      <w:r w:rsidRPr="00114B53">
        <w:rPr>
          <w:color w:val="000000" w:themeColor="text1"/>
          <w:lang w:val="en-AU"/>
        </w:rPr>
        <w:t xml:space="preserve"> extensive bleaching </w:t>
      </w:r>
      <w:r w:rsidR="0059137E">
        <w:rPr>
          <w:color w:val="000000" w:themeColor="text1"/>
          <w:lang w:val="en-AU"/>
        </w:rPr>
        <w:t>in the mid and outer-</w:t>
      </w:r>
      <w:r w:rsidRPr="00114B53">
        <w:rPr>
          <w:color w:val="000000" w:themeColor="text1"/>
          <w:lang w:val="en-AU"/>
        </w:rPr>
        <w:t xml:space="preserve">shelf areas of the Wet Tropics and Burdekin Regions. Our surveys through winter of 2017 demonstrated relatively moderate losses of cover on the inshore reefs. </w:t>
      </w:r>
      <w:r w:rsidR="00642D13">
        <w:rPr>
          <w:color w:val="000000" w:themeColor="text1"/>
          <w:lang w:val="en-AU"/>
        </w:rPr>
        <w:t>While</w:t>
      </w:r>
      <w:r w:rsidRPr="00114B53">
        <w:rPr>
          <w:color w:val="000000" w:themeColor="text1"/>
          <w:lang w:val="en-AU"/>
        </w:rPr>
        <w:t xml:space="preserve"> the family Acroporidae accounted for a large proportion of the coral lost, we did not see substantial shifts in community composition. Where Acroporidae constituted a high proportion of the coral community, although losses were moderate, the surviving communities continued to include a high proportion of this group. This is not to say that individual species within the family were not disproportionately impacted. </w:t>
      </w:r>
      <w:r w:rsidR="00744D22" w:rsidRPr="00114B53">
        <w:rPr>
          <w:color w:val="000000" w:themeColor="text1"/>
          <w:lang w:val="en-AU"/>
        </w:rPr>
        <w:t xml:space="preserve">Importantly the impacts of bleaching demonstrated substantial variability over small spatial scales, such as observed at Snapper Island North </w:t>
      </w:r>
      <w:r w:rsidR="00783654">
        <w:rPr>
          <w:color w:val="000000" w:themeColor="text1"/>
          <w:lang w:val="en-AU"/>
        </w:rPr>
        <w:t xml:space="preserve">compared with </w:t>
      </w:r>
      <w:r w:rsidR="00744D22" w:rsidRPr="00114B53">
        <w:rPr>
          <w:color w:val="000000" w:themeColor="text1"/>
          <w:lang w:val="en-AU"/>
        </w:rPr>
        <w:t>Snapper Island South, or between depths at several reefs</w:t>
      </w:r>
      <w:r w:rsidR="00783654">
        <w:rPr>
          <w:color w:val="000000" w:themeColor="text1"/>
          <w:lang w:val="en-AU"/>
        </w:rPr>
        <w:t xml:space="preserve">. </w:t>
      </w:r>
      <w:r w:rsidR="003F4D6B">
        <w:rPr>
          <w:color w:val="000000" w:themeColor="text1"/>
          <w:lang w:val="en-AU"/>
        </w:rPr>
        <w:t xml:space="preserve">Such localised variability, indicates </w:t>
      </w:r>
      <w:r w:rsidR="00744D22" w:rsidRPr="00114B53">
        <w:rPr>
          <w:color w:val="000000" w:themeColor="text1"/>
          <w:lang w:val="en-AU"/>
        </w:rPr>
        <w:t xml:space="preserve">the importance of small scale processes that either vary exposure to thermal stress or have selected for communities with </w:t>
      </w:r>
      <w:r w:rsidR="007A54D3" w:rsidRPr="00114B53">
        <w:rPr>
          <w:color w:val="000000" w:themeColor="text1"/>
          <w:lang w:val="en-AU"/>
        </w:rPr>
        <w:t>varying</w:t>
      </w:r>
      <w:r w:rsidR="00744D22" w:rsidRPr="00114B53">
        <w:rPr>
          <w:color w:val="000000" w:themeColor="text1"/>
          <w:lang w:val="en-AU"/>
        </w:rPr>
        <w:t xml:space="preserve"> </w:t>
      </w:r>
      <w:r w:rsidR="007A54D3" w:rsidRPr="00114B53">
        <w:rPr>
          <w:color w:val="000000" w:themeColor="text1"/>
          <w:lang w:val="en-AU"/>
        </w:rPr>
        <w:t>tolerances</w:t>
      </w:r>
      <w:r w:rsidR="003F4D6B">
        <w:rPr>
          <w:color w:val="000000" w:themeColor="text1"/>
          <w:lang w:val="en-AU"/>
        </w:rPr>
        <w:t xml:space="preserve"> in the realised impact to communities</w:t>
      </w:r>
      <w:r w:rsidR="00744D22" w:rsidRPr="00114B53">
        <w:rPr>
          <w:color w:val="000000" w:themeColor="text1"/>
          <w:lang w:val="en-AU"/>
        </w:rPr>
        <w:t>.</w:t>
      </w:r>
      <w:r w:rsidR="007A54D3" w:rsidRPr="00114B53">
        <w:rPr>
          <w:color w:val="000000" w:themeColor="text1"/>
          <w:lang w:val="en-AU"/>
        </w:rPr>
        <w:t xml:space="preserve"> It is beyond the scope of this report to more fully explore the parameters conferring differential tolerance</w:t>
      </w:r>
      <w:r w:rsidR="003F4D6B">
        <w:rPr>
          <w:color w:val="000000" w:themeColor="text1"/>
          <w:lang w:val="en-AU"/>
        </w:rPr>
        <w:t>,</w:t>
      </w:r>
      <w:r w:rsidR="007A54D3" w:rsidRPr="00114B53">
        <w:rPr>
          <w:color w:val="000000" w:themeColor="text1"/>
          <w:lang w:val="en-AU"/>
        </w:rPr>
        <w:t xml:space="preserve"> </w:t>
      </w:r>
      <w:r w:rsidR="00783654">
        <w:rPr>
          <w:color w:val="000000" w:themeColor="text1"/>
          <w:lang w:val="en-AU"/>
        </w:rPr>
        <w:t>however</w:t>
      </w:r>
      <w:r w:rsidR="003F4D6B">
        <w:rPr>
          <w:color w:val="000000" w:themeColor="text1"/>
          <w:lang w:val="en-AU"/>
        </w:rPr>
        <w:t xml:space="preserve"> the</w:t>
      </w:r>
      <w:r w:rsidR="007A54D3" w:rsidRPr="00114B53">
        <w:rPr>
          <w:color w:val="000000" w:themeColor="text1"/>
          <w:lang w:val="en-AU"/>
        </w:rPr>
        <w:t xml:space="preserve"> data </w:t>
      </w:r>
      <w:r w:rsidR="003F4D6B">
        <w:rPr>
          <w:color w:val="000000" w:themeColor="text1"/>
          <w:lang w:val="en-AU"/>
        </w:rPr>
        <w:t xml:space="preserve">included herein </w:t>
      </w:r>
      <w:r w:rsidR="007A54D3" w:rsidRPr="00114B53">
        <w:rPr>
          <w:color w:val="000000" w:themeColor="text1"/>
          <w:lang w:val="en-AU"/>
        </w:rPr>
        <w:t xml:space="preserve">could aid further investigations. </w:t>
      </w:r>
    </w:p>
    <w:p w14:paraId="5D5E1C04" w14:textId="77777777" w:rsidR="006127E2" w:rsidRDefault="007A54D3" w:rsidP="00607BCA">
      <w:pPr>
        <w:rPr>
          <w:color w:val="548DD4" w:themeColor="text2" w:themeTint="99"/>
          <w:lang w:val="en-AU"/>
        </w:rPr>
      </w:pPr>
      <w:r w:rsidRPr="00114B53">
        <w:rPr>
          <w:color w:val="000000" w:themeColor="text1"/>
        </w:rPr>
        <w:t>The losses observed in 2017 were comparable to those recorded in 1998 and 2002</w:t>
      </w:r>
      <w:r w:rsidR="00783654">
        <w:rPr>
          <w:color w:val="000000" w:themeColor="text1"/>
        </w:rPr>
        <w:t xml:space="preserve">. In the </w:t>
      </w:r>
      <w:r w:rsidRPr="00114B53">
        <w:rPr>
          <w:color w:val="000000" w:themeColor="text1"/>
        </w:rPr>
        <w:t>Burdekin Region</w:t>
      </w:r>
      <w:r w:rsidR="00783654">
        <w:rPr>
          <w:color w:val="000000" w:themeColor="text1"/>
        </w:rPr>
        <w:t xml:space="preserve"> recovery from these previous bleaching events was </w:t>
      </w:r>
      <w:r w:rsidR="00B87AC2" w:rsidRPr="00114B53">
        <w:rPr>
          <w:color w:val="000000" w:themeColor="text1"/>
        </w:rPr>
        <w:t>relatively slow</w:t>
      </w:r>
      <w:r w:rsidR="00783654">
        <w:rPr>
          <w:color w:val="000000" w:themeColor="text1"/>
        </w:rPr>
        <w:t>,</w:t>
      </w:r>
      <w:r w:rsidR="00642D13">
        <w:rPr>
          <w:color w:val="000000" w:themeColor="text1"/>
        </w:rPr>
        <w:t xml:space="preserve"> </w:t>
      </w:r>
      <w:r w:rsidR="00B87AC2" w:rsidRPr="00114B53">
        <w:rPr>
          <w:color w:val="000000" w:themeColor="text1"/>
        </w:rPr>
        <w:t xml:space="preserve">potentially </w:t>
      </w:r>
      <w:r w:rsidR="007636B9">
        <w:rPr>
          <w:color w:val="000000" w:themeColor="text1"/>
        </w:rPr>
        <w:t>due to the</w:t>
      </w:r>
      <w:r w:rsidR="00B87AC2" w:rsidRPr="00114B53">
        <w:rPr>
          <w:color w:val="000000" w:themeColor="text1"/>
        </w:rPr>
        <w:t xml:space="preserve"> reduced supply of larvae </w:t>
      </w:r>
      <w:r w:rsidR="007636B9">
        <w:rPr>
          <w:color w:val="000000" w:themeColor="text1"/>
        </w:rPr>
        <w:t xml:space="preserve">as a result of </w:t>
      </w:r>
      <w:r w:rsidR="00B87AC2" w:rsidRPr="00114B53">
        <w:rPr>
          <w:color w:val="000000" w:themeColor="text1"/>
        </w:rPr>
        <w:t>severe</w:t>
      </w:r>
      <w:r w:rsidR="00642D13">
        <w:rPr>
          <w:color w:val="000000" w:themeColor="text1"/>
        </w:rPr>
        <w:t xml:space="preserve"> reduction</w:t>
      </w:r>
      <w:r w:rsidR="007636B9">
        <w:rPr>
          <w:color w:val="000000" w:themeColor="text1"/>
        </w:rPr>
        <w:t>s</w:t>
      </w:r>
      <w:r w:rsidR="00642D13">
        <w:rPr>
          <w:color w:val="000000" w:themeColor="text1"/>
        </w:rPr>
        <w:t xml:space="preserve"> in</w:t>
      </w:r>
      <w:r w:rsidR="00B87AC2" w:rsidRPr="00114B53">
        <w:rPr>
          <w:color w:val="000000" w:themeColor="text1"/>
        </w:rPr>
        <w:t xml:space="preserve"> local populations of some species</w:t>
      </w:r>
      <w:r w:rsidR="007636B9">
        <w:rPr>
          <w:color w:val="000000" w:themeColor="text1"/>
        </w:rPr>
        <w:t xml:space="preserve"> -</w:t>
      </w:r>
      <w:r w:rsidR="00B87AC2" w:rsidRPr="00114B53">
        <w:rPr>
          <w:color w:val="000000" w:themeColor="text1"/>
        </w:rPr>
        <w:t xml:space="preserve"> in particular branching forms of </w:t>
      </w:r>
      <w:r w:rsidR="00B87AC2" w:rsidRPr="00114B53">
        <w:rPr>
          <w:i/>
          <w:color w:val="000000" w:themeColor="text1"/>
        </w:rPr>
        <w:t>Acropora</w:t>
      </w:r>
      <w:r w:rsidR="00B87AC2" w:rsidRPr="00114B53">
        <w:rPr>
          <w:color w:val="000000" w:themeColor="text1"/>
        </w:rPr>
        <w:t xml:space="preserve"> (Done </w:t>
      </w:r>
      <w:r w:rsidR="00B87AC2" w:rsidRPr="00114B53">
        <w:rPr>
          <w:i/>
          <w:color w:val="000000" w:themeColor="text1"/>
        </w:rPr>
        <w:t>et al</w:t>
      </w:r>
      <w:r w:rsidR="00B87AC2" w:rsidRPr="00114B53">
        <w:rPr>
          <w:color w:val="000000" w:themeColor="text1"/>
        </w:rPr>
        <w:t>. 2007). These species were again susceptible to bleaching</w:t>
      </w:r>
      <w:r w:rsidR="003F4D6B">
        <w:rPr>
          <w:color w:val="000000" w:themeColor="text1"/>
        </w:rPr>
        <w:t>. S</w:t>
      </w:r>
      <w:r w:rsidR="003F4D6B" w:rsidRPr="00114B53">
        <w:rPr>
          <w:color w:val="000000" w:themeColor="text1"/>
        </w:rPr>
        <w:t xml:space="preserve">urviving colonies </w:t>
      </w:r>
      <w:r w:rsidR="003F4D6B">
        <w:rPr>
          <w:color w:val="000000" w:themeColor="text1"/>
        </w:rPr>
        <w:t xml:space="preserve">of branching </w:t>
      </w:r>
      <w:r w:rsidR="003F4D6B" w:rsidRPr="003F4D6B">
        <w:rPr>
          <w:i/>
          <w:color w:val="000000" w:themeColor="text1"/>
        </w:rPr>
        <w:t>Acropora</w:t>
      </w:r>
      <w:r w:rsidR="003F4D6B">
        <w:rPr>
          <w:color w:val="000000" w:themeColor="text1"/>
        </w:rPr>
        <w:t xml:space="preserve"> </w:t>
      </w:r>
      <w:r w:rsidR="003F4D6B" w:rsidRPr="00114B53">
        <w:rPr>
          <w:color w:val="000000" w:themeColor="text1"/>
        </w:rPr>
        <w:t>were observed</w:t>
      </w:r>
      <w:r w:rsidR="007636B9">
        <w:rPr>
          <w:color w:val="000000" w:themeColor="text1"/>
        </w:rPr>
        <w:t xml:space="preserve"> at</w:t>
      </w:r>
      <w:r w:rsidR="00B87AC2" w:rsidRPr="00114B53">
        <w:rPr>
          <w:color w:val="000000" w:themeColor="text1"/>
        </w:rPr>
        <w:t xml:space="preserve"> all reefs where these species </w:t>
      </w:r>
      <w:r w:rsidR="003F4D6B">
        <w:rPr>
          <w:color w:val="000000" w:themeColor="text1"/>
        </w:rPr>
        <w:t xml:space="preserve">were preciously common </w:t>
      </w:r>
      <w:r w:rsidR="00B87AC2" w:rsidRPr="00114B53">
        <w:rPr>
          <w:color w:val="000000" w:themeColor="text1"/>
        </w:rPr>
        <w:t xml:space="preserve">potentially indicating the presence of tolerant genotypes that will contribute to future recovery.  </w:t>
      </w:r>
    </w:p>
    <w:p w14:paraId="7E65BC96" w14:textId="77777777" w:rsidR="00FA4F6B" w:rsidRDefault="00FA4F6B" w:rsidP="00607BCA">
      <w:pPr>
        <w:rPr>
          <w:color w:val="548DD4" w:themeColor="text2" w:themeTint="99"/>
          <w:lang w:val="en-AU"/>
        </w:rPr>
      </w:pPr>
    </w:p>
    <w:p w14:paraId="2000BF5B" w14:textId="77777777" w:rsidR="006127E2" w:rsidRDefault="006127E2" w:rsidP="006127E2">
      <w:pPr>
        <w:jc w:val="left"/>
        <w:rPr>
          <w:b/>
          <w:i/>
          <w:lang w:val="en-AU"/>
        </w:rPr>
      </w:pPr>
      <w:r>
        <w:rPr>
          <w:b/>
          <w:i/>
          <w:lang w:val="en-AU"/>
        </w:rPr>
        <w:br w:type="page"/>
      </w:r>
    </w:p>
    <w:p w14:paraId="57B9B915" w14:textId="77777777" w:rsidR="00393380" w:rsidRDefault="00393380" w:rsidP="00606A50">
      <w:pPr>
        <w:pStyle w:val="Caption"/>
      </w:pPr>
      <w:bookmarkStart w:id="294" w:name="_Ref500762938"/>
      <w:bookmarkStart w:id="295" w:name="_Ref500762817"/>
    </w:p>
    <w:bookmarkEnd w:id="294"/>
    <w:p w14:paraId="0AFE4F39" w14:textId="77777777" w:rsidR="0039351B" w:rsidRDefault="00E21030" w:rsidP="00606A50">
      <w:pPr>
        <w:pStyle w:val="Caption"/>
      </w:pPr>
      <w:r>
        <w:rPr>
          <w:noProof/>
          <w:lang w:val="en-AU" w:eastAsia="en-AU"/>
        </w:rPr>
        <w:drawing>
          <wp:anchor distT="0" distB="0" distL="114300" distR="114300" simplePos="0" relativeHeight="251682816" behindDoc="0" locked="0" layoutInCell="1" allowOverlap="1" wp14:anchorId="5E43D9D0" wp14:editId="6CED5C0C">
            <wp:simplePos x="723900" y="914400"/>
            <wp:positionH relativeFrom="column">
              <wp:align>left</wp:align>
            </wp:positionH>
            <wp:positionV relativeFrom="paragraph">
              <wp:align>top</wp:align>
            </wp:positionV>
            <wp:extent cx="6120765" cy="7533005"/>
            <wp:effectExtent l="0" t="0" r="0" b="0"/>
            <wp:wrapSquare wrapText="bothSides"/>
            <wp:docPr id="9" name="Picture 9" descr="A panel of figures presenting the time-series of temperature anomalies for each region. Degree Heating day estimates for each year are also plotted. Salient points are discussed in the main text." title="Regional temperature anomaly time-seri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ll_Temp.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6120765" cy="7533005"/>
                    </a:xfrm>
                    <a:prstGeom prst="rect">
                      <a:avLst/>
                    </a:prstGeom>
                  </pic:spPr>
                </pic:pic>
              </a:graphicData>
            </a:graphic>
          </wp:anchor>
        </w:drawing>
      </w:r>
      <w:bookmarkEnd w:id="295"/>
    </w:p>
    <w:p w14:paraId="5931E318" w14:textId="0D5A5ACA" w:rsidR="00393380" w:rsidRDefault="00393380" w:rsidP="00606A50">
      <w:pPr>
        <w:pStyle w:val="Caption"/>
      </w:pPr>
      <w:bookmarkStart w:id="296" w:name="_Ref500880411"/>
      <w:bookmarkStart w:id="297" w:name="_Toc514335670"/>
      <w:r>
        <w:t xml:space="preserve">Figure </w:t>
      </w:r>
      <w:r>
        <w:fldChar w:fldCharType="begin"/>
      </w:r>
      <w:r>
        <w:instrText xml:space="preserve"> SEQ Figure \* ARABIC </w:instrText>
      </w:r>
      <w:r>
        <w:fldChar w:fldCharType="separate"/>
      </w:r>
      <w:r w:rsidR="00A75175">
        <w:rPr>
          <w:noProof/>
        </w:rPr>
        <w:t>25</w:t>
      </w:r>
      <w:r>
        <w:fldChar w:fldCharType="end"/>
      </w:r>
      <w:bookmarkEnd w:id="296"/>
      <w:r>
        <w:t xml:space="preserve"> </w:t>
      </w:r>
      <w:r w:rsidR="004762CF">
        <w:t>Regional t</w:t>
      </w:r>
      <w:r>
        <w:t>emperat</w:t>
      </w:r>
      <w:r w:rsidR="004762CF">
        <w:t xml:space="preserve">ure anomalies from the 2005-2017. Plotted are mean deviations from </w:t>
      </w:r>
      <w:r>
        <w:t>climatology described by temperature loggers deployed at reef sites in each (sub)</w:t>
      </w:r>
      <w:r w:rsidR="001D1CD5">
        <w:t xml:space="preserve"> </w:t>
      </w:r>
      <w:r>
        <w:t xml:space="preserve">region. DHD from ReefTemp (black dots) and </w:t>
      </w:r>
      <w:r w:rsidR="00036C05">
        <w:t>In situ</w:t>
      </w:r>
      <w:r>
        <w:t xml:space="preserve"> loggers (grey dots) align with the right axis. Event of Cyclones are marked by arrows.</w:t>
      </w:r>
      <w:bookmarkEnd w:id="297"/>
    </w:p>
    <w:p w14:paraId="69E2020F" w14:textId="77777777" w:rsidR="00557225" w:rsidRDefault="00557225">
      <w:pPr>
        <w:jc w:val="left"/>
      </w:pPr>
      <w:r>
        <w:br w:type="page"/>
      </w:r>
    </w:p>
    <w:p w14:paraId="1E75DA55" w14:textId="50B34D6A" w:rsidR="0039351B" w:rsidRDefault="0039351B" w:rsidP="0039351B">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ind w:right="232"/>
        <w:rPr>
          <w:rFonts w:ascii="Arial Narrow" w:eastAsia="SimSun" w:hAnsi="Arial Narrow"/>
          <w:bCs/>
          <w:color w:val="000000"/>
          <w:sz w:val="20"/>
        </w:rPr>
      </w:pPr>
      <w:bookmarkStart w:id="298" w:name="_Ref500764021"/>
      <w:bookmarkStart w:id="299" w:name="_Ref500831488"/>
      <w:bookmarkStart w:id="300" w:name="_Toc514407865"/>
      <w:r>
        <w:rPr>
          <w:rFonts w:ascii="Arial Narrow" w:eastAsia="SimSun" w:hAnsi="Arial Narrow"/>
          <w:sz w:val="20"/>
          <w:szCs w:val="24"/>
        </w:rPr>
        <w:t>T</w:t>
      </w:r>
      <w:r w:rsidRPr="003C7E38">
        <w:rPr>
          <w:rFonts w:ascii="Arial Narrow" w:eastAsia="SimSun" w:hAnsi="Arial Narrow"/>
          <w:sz w:val="20"/>
          <w:szCs w:val="24"/>
        </w:rPr>
        <w:t xml:space="preserve">able </w:t>
      </w:r>
      <w:r w:rsidRPr="003C7E38">
        <w:rPr>
          <w:rFonts w:ascii="Arial Narrow" w:eastAsia="SimSun" w:hAnsi="Arial Narrow"/>
          <w:sz w:val="20"/>
          <w:szCs w:val="24"/>
        </w:rPr>
        <w:fldChar w:fldCharType="begin"/>
      </w:r>
      <w:r w:rsidRPr="003C7E38">
        <w:rPr>
          <w:rFonts w:ascii="Arial Narrow" w:eastAsia="SimSun" w:hAnsi="Arial Narrow"/>
          <w:sz w:val="20"/>
          <w:szCs w:val="24"/>
        </w:rPr>
        <w:instrText xml:space="preserve"> SEQ Table \* ARABIC </w:instrText>
      </w:r>
      <w:r w:rsidRPr="003C7E38">
        <w:rPr>
          <w:rFonts w:ascii="Arial Narrow" w:eastAsia="SimSun" w:hAnsi="Arial Narrow"/>
          <w:sz w:val="20"/>
          <w:szCs w:val="24"/>
        </w:rPr>
        <w:fldChar w:fldCharType="separate"/>
      </w:r>
      <w:r w:rsidR="00A75175">
        <w:rPr>
          <w:rFonts w:ascii="Arial Narrow" w:eastAsia="SimSun" w:hAnsi="Arial Narrow"/>
          <w:noProof/>
          <w:sz w:val="20"/>
          <w:szCs w:val="24"/>
        </w:rPr>
        <w:t>17</w:t>
      </w:r>
      <w:r w:rsidRPr="003C7E38">
        <w:rPr>
          <w:rFonts w:ascii="Arial Narrow" w:eastAsia="SimSun" w:hAnsi="Arial Narrow"/>
          <w:sz w:val="20"/>
          <w:szCs w:val="24"/>
        </w:rPr>
        <w:fldChar w:fldCharType="end"/>
      </w:r>
      <w:bookmarkEnd w:id="298"/>
      <w:r w:rsidRPr="003C7E38">
        <w:rPr>
          <w:rFonts w:ascii="Arial Narrow" w:eastAsia="SimSun" w:hAnsi="Arial Narrow"/>
          <w:sz w:val="20"/>
          <w:szCs w:val="24"/>
        </w:rPr>
        <w:t xml:space="preserve"> Bleaching </w:t>
      </w:r>
      <w:r w:rsidR="00C62849">
        <w:rPr>
          <w:rFonts w:ascii="Arial Narrow" w:eastAsia="SimSun" w:hAnsi="Arial Narrow"/>
          <w:sz w:val="20"/>
          <w:szCs w:val="24"/>
        </w:rPr>
        <w:t>impacts at MMP reefs 2016</w:t>
      </w:r>
      <w:r w:rsidR="00C976D1">
        <w:rPr>
          <w:rFonts w:ascii="Arial Narrow" w:eastAsia="SimSun" w:hAnsi="Arial Narrow"/>
          <w:sz w:val="20"/>
          <w:szCs w:val="24"/>
        </w:rPr>
        <w:softHyphen/>
      </w:r>
      <w:r w:rsidR="00C976D1">
        <w:rPr>
          <w:rFonts w:cs="Arial"/>
          <w:color w:val="333333"/>
          <w:sz w:val="18"/>
          <w:szCs w:val="18"/>
          <w:lang w:val="en"/>
        </w:rPr>
        <w:t>–</w:t>
      </w:r>
      <w:r w:rsidR="00C976D1" w:rsidDel="00C976D1">
        <w:rPr>
          <w:rFonts w:ascii="Arial Narrow" w:eastAsia="SimSun" w:hAnsi="Arial Narrow"/>
          <w:sz w:val="20"/>
          <w:szCs w:val="24"/>
        </w:rPr>
        <w:t xml:space="preserve"> </w:t>
      </w:r>
      <w:r w:rsidR="00C976D1">
        <w:rPr>
          <w:rFonts w:ascii="Arial Narrow" w:eastAsia="SimSun" w:hAnsi="Arial Narrow"/>
          <w:sz w:val="20"/>
          <w:szCs w:val="24"/>
        </w:rPr>
        <w:t>17</w:t>
      </w:r>
      <w:r w:rsidRPr="003C7E38">
        <w:rPr>
          <w:rFonts w:ascii="Arial Narrow" w:eastAsia="SimSun" w:hAnsi="Arial Narrow"/>
          <w:sz w:val="20"/>
          <w:szCs w:val="24"/>
        </w:rPr>
        <w:t xml:space="preserve">. </w:t>
      </w:r>
      <w:r w:rsidR="00C62849">
        <w:rPr>
          <w:rFonts w:ascii="Arial Narrow" w:eastAsia="SimSun" w:hAnsi="Arial Narrow"/>
          <w:sz w:val="20"/>
          <w:szCs w:val="24"/>
        </w:rPr>
        <w:t>Proportion bleached indicates the proportion of hard corals in photo transects that were either partially bleached or totally whit at time of survey</w:t>
      </w:r>
      <w:r>
        <w:rPr>
          <w:rFonts w:ascii="Arial Narrow" w:eastAsia="SimSun" w:hAnsi="Arial Narrow"/>
          <w:bCs/>
          <w:color w:val="000000"/>
          <w:sz w:val="20"/>
        </w:rPr>
        <w:t xml:space="preserve">. </w:t>
      </w:r>
      <w:r w:rsidRPr="003C7E38">
        <w:rPr>
          <w:rFonts w:ascii="Arial Narrow" w:eastAsia="SimSun" w:hAnsi="Arial Narrow"/>
          <w:bCs/>
          <w:color w:val="000000"/>
          <w:sz w:val="20"/>
        </w:rPr>
        <w:t xml:space="preserve">The </w:t>
      </w:r>
      <w:r>
        <w:rPr>
          <w:rFonts w:ascii="Arial Narrow" w:eastAsia="SimSun" w:hAnsi="Arial Narrow"/>
          <w:bCs/>
          <w:color w:val="000000"/>
          <w:sz w:val="20"/>
        </w:rPr>
        <w:t>proportional</w:t>
      </w:r>
      <w:r w:rsidRPr="003C7E38">
        <w:rPr>
          <w:rFonts w:ascii="Arial Narrow" w:eastAsia="SimSun" w:hAnsi="Arial Narrow"/>
          <w:bCs/>
          <w:color w:val="000000"/>
          <w:sz w:val="20"/>
        </w:rPr>
        <w:t xml:space="preserve"> </w:t>
      </w:r>
      <w:r>
        <w:rPr>
          <w:rFonts w:ascii="Arial Narrow" w:eastAsia="SimSun" w:hAnsi="Arial Narrow"/>
          <w:bCs/>
          <w:color w:val="000000"/>
          <w:sz w:val="20"/>
        </w:rPr>
        <w:t>change in total coral cover is</w:t>
      </w:r>
      <w:r w:rsidRPr="003C7E38">
        <w:rPr>
          <w:rFonts w:ascii="Arial Narrow" w:eastAsia="SimSun" w:hAnsi="Arial Narrow"/>
          <w:bCs/>
          <w:color w:val="000000"/>
          <w:sz w:val="20"/>
        </w:rPr>
        <w:t xml:space="preserve"> recorded between the last two surveys for each reef in the MMP</w:t>
      </w:r>
      <w:r w:rsidR="00C62849">
        <w:rPr>
          <w:rFonts w:ascii="Arial Narrow" w:eastAsia="SimSun" w:hAnsi="Arial Narrow"/>
          <w:bCs/>
          <w:color w:val="000000"/>
          <w:sz w:val="20"/>
        </w:rPr>
        <w:t>.</w:t>
      </w:r>
      <w:r w:rsidRPr="003C7E38">
        <w:rPr>
          <w:rFonts w:ascii="Arial Narrow" w:eastAsia="SimSun" w:hAnsi="Arial Narrow"/>
          <w:bCs/>
          <w:color w:val="000000"/>
          <w:sz w:val="20"/>
        </w:rPr>
        <w:t xml:space="preserve"> </w:t>
      </w:r>
      <w:r w:rsidR="000A19C4">
        <w:rPr>
          <w:rFonts w:ascii="Arial Narrow" w:eastAsia="SimSun" w:hAnsi="Arial Narrow"/>
          <w:bCs/>
          <w:color w:val="000000"/>
          <w:sz w:val="20"/>
        </w:rPr>
        <w:t>Cases where the period between surveys was 2yr are denoted with *, all other periods are 1 year. R</w:t>
      </w:r>
      <w:r>
        <w:rPr>
          <w:rFonts w:ascii="Arial Narrow" w:eastAsia="SimSun" w:hAnsi="Arial Narrow"/>
          <w:bCs/>
          <w:color w:val="000000"/>
          <w:sz w:val="20"/>
        </w:rPr>
        <w:t>eefs not visited in 2016</w:t>
      </w:r>
      <w:r w:rsidR="000A19C4">
        <w:rPr>
          <w:rFonts w:ascii="Arial Narrow" w:eastAsia="SimSun" w:hAnsi="Arial Narrow"/>
          <w:bCs/>
          <w:color w:val="000000"/>
          <w:sz w:val="20"/>
        </w:rPr>
        <w:t xml:space="preserve"> are left blank</w:t>
      </w:r>
      <w:r w:rsidR="00193182">
        <w:rPr>
          <w:rFonts w:ascii="Arial Narrow" w:eastAsia="SimSun" w:hAnsi="Arial Narrow"/>
          <w:bCs/>
          <w:color w:val="000000"/>
          <w:sz w:val="20"/>
        </w:rPr>
        <w:t>.</w:t>
      </w:r>
      <w:r w:rsidRPr="003C7E38">
        <w:rPr>
          <w:rFonts w:ascii="Arial Narrow" w:eastAsia="SimSun" w:hAnsi="Arial Narrow"/>
          <w:bCs/>
          <w:color w:val="000000"/>
          <w:sz w:val="20"/>
        </w:rPr>
        <w:t xml:space="preserve"> </w:t>
      </w:r>
      <w:r>
        <w:rPr>
          <w:rFonts w:ascii="Arial Narrow" w:eastAsia="SimSun" w:hAnsi="Arial Narrow"/>
          <w:bCs/>
          <w:color w:val="000000"/>
          <w:sz w:val="20"/>
        </w:rPr>
        <w:t xml:space="preserve">Declines in coral cover attributed to cyclone damage </w:t>
      </w:r>
      <w:r w:rsidR="00193182">
        <w:rPr>
          <w:rFonts w:ascii="Arial Narrow" w:eastAsia="SimSun" w:hAnsi="Arial Narrow"/>
          <w:bCs/>
          <w:color w:val="000000"/>
          <w:sz w:val="20"/>
        </w:rPr>
        <w:t xml:space="preserve">are </w:t>
      </w:r>
      <w:r>
        <w:rPr>
          <w:rFonts w:ascii="Arial Narrow" w:eastAsia="SimSun" w:hAnsi="Arial Narrow"/>
          <w:bCs/>
          <w:color w:val="000000"/>
          <w:sz w:val="20"/>
        </w:rPr>
        <w:t xml:space="preserve">donated by </w:t>
      </w:r>
      <w:r w:rsidR="000A19C4" w:rsidRPr="000A19C4">
        <w:rPr>
          <w:rFonts w:ascii="Arial Narrow" w:eastAsia="SimSun" w:hAnsi="Arial Narrow"/>
          <w:bCs/>
          <w:color w:val="000000"/>
          <w:sz w:val="20"/>
          <w:vertAlign w:val="superscript"/>
        </w:rPr>
        <w:t>TC</w:t>
      </w:r>
      <w:r w:rsidRPr="001D1B16">
        <w:rPr>
          <w:rFonts w:ascii="Arial Narrow" w:eastAsia="SimSun" w:hAnsi="Arial Narrow"/>
          <w:bCs/>
          <w:color w:val="000000"/>
          <w:sz w:val="20"/>
        </w:rPr>
        <w:t>.</w:t>
      </w:r>
      <w:r>
        <w:rPr>
          <w:rFonts w:ascii="Arial Narrow" w:eastAsia="SimSun" w:hAnsi="Arial Narrow"/>
          <w:bCs/>
          <w:color w:val="000000"/>
          <w:sz w:val="20"/>
        </w:rPr>
        <w:t xml:space="preserve"> All other coral declin</w:t>
      </w:r>
      <w:r w:rsidR="00193182">
        <w:rPr>
          <w:rFonts w:ascii="Arial Narrow" w:eastAsia="SimSun" w:hAnsi="Arial Narrow"/>
          <w:bCs/>
          <w:color w:val="000000"/>
          <w:sz w:val="20"/>
        </w:rPr>
        <w:t>es are attributed to bleaching</w:t>
      </w:r>
      <w:r>
        <w:rPr>
          <w:rFonts w:ascii="Arial Narrow" w:eastAsia="SimSun" w:hAnsi="Arial Narrow"/>
          <w:bCs/>
          <w:color w:val="000000"/>
          <w:sz w:val="20"/>
        </w:rPr>
        <w:t>.</w:t>
      </w:r>
      <w:bookmarkEnd w:id="299"/>
      <w:bookmarkEnd w:id="300"/>
    </w:p>
    <w:p w14:paraId="2A45C366" w14:textId="77777777" w:rsidR="0090167C" w:rsidRDefault="0090167C" w:rsidP="0039351B">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ind w:right="232"/>
        <w:rPr>
          <w:rFonts w:ascii="Arial Narrow" w:eastAsia="SimSun" w:hAnsi="Arial Narrow"/>
          <w:bCs/>
          <w:color w:val="000000"/>
          <w:sz w:val="20"/>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Impact of bleaching on monitored reefs"/>
        <w:tblDescription w:val="A table listing the proportion of coral cover lost at each reef monitored over the 2016 and 2017 events. Salient points are raised in the main text."/>
      </w:tblPr>
      <w:tblGrid>
        <w:gridCol w:w="831"/>
        <w:gridCol w:w="1007"/>
        <w:gridCol w:w="1843"/>
        <w:gridCol w:w="654"/>
        <w:gridCol w:w="1041"/>
        <w:gridCol w:w="993"/>
        <w:gridCol w:w="997"/>
        <w:gridCol w:w="987"/>
        <w:gridCol w:w="998"/>
      </w:tblGrid>
      <w:tr w:rsidR="00293087" w:rsidRPr="0090167C" w14:paraId="337D8480" w14:textId="77777777" w:rsidTr="00293087">
        <w:trPr>
          <w:trHeight w:val="300"/>
        </w:trPr>
        <w:tc>
          <w:tcPr>
            <w:tcW w:w="831" w:type="dxa"/>
            <w:vMerge w:val="restart"/>
            <w:shd w:val="clear" w:color="auto" w:fill="auto"/>
            <w:noWrap/>
            <w:vAlign w:val="bottom"/>
          </w:tcPr>
          <w:p w14:paraId="5165F5B2" w14:textId="77777777" w:rsidR="00293087" w:rsidRPr="00015C5C" w:rsidRDefault="00293087" w:rsidP="0090167C">
            <w:pPr>
              <w:spacing w:after="0"/>
              <w:jc w:val="left"/>
              <w:rPr>
                <w:rStyle w:val="IntenseReference"/>
              </w:rPr>
            </w:pPr>
            <w:r w:rsidRPr="00015C5C">
              <w:rPr>
                <w:rStyle w:val="IntenseReference"/>
              </w:rPr>
              <w:t>Region</w:t>
            </w:r>
          </w:p>
        </w:tc>
        <w:tc>
          <w:tcPr>
            <w:tcW w:w="1007" w:type="dxa"/>
            <w:vMerge w:val="restart"/>
            <w:shd w:val="clear" w:color="auto" w:fill="auto"/>
            <w:noWrap/>
            <w:vAlign w:val="bottom"/>
          </w:tcPr>
          <w:p w14:paraId="4F8F9F1B" w14:textId="77777777" w:rsidR="00293087" w:rsidRPr="00015C5C" w:rsidRDefault="00293087" w:rsidP="0090167C">
            <w:pPr>
              <w:spacing w:after="0"/>
              <w:jc w:val="left"/>
              <w:rPr>
                <w:rStyle w:val="IntenseReference"/>
              </w:rPr>
            </w:pPr>
            <w:r w:rsidRPr="00015C5C">
              <w:rPr>
                <w:rStyle w:val="IntenseReference"/>
              </w:rPr>
              <w:t>Sub region</w:t>
            </w:r>
          </w:p>
        </w:tc>
        <w:tc>
          <w:tcPr>
            <w:tcW w:w="1843" w:type="dxa"/>
            <w:vMerge w:val="restart"/>
            <w:shd w:val="clear" w:color="auto" w:fill="auto"/>
            <w:noWrap/>
            <w:vAlign w:val="bottom"/>
          </w:tcPr>
          <w:p w14:paraId="53D7A8CC" w14:textId="77777777" w:rsidR="00293087" w:rsidRPr="00015C5C" w:rsidRDefault="00293087" w:rsidP="0090167C">
            <w:pPr>
              <w:spacing w:after="0"/>
              <w:jc w:val="left"/>
              <w:rPr>
                <w:rStyle w:val="IntenseReference"/>
              </w:rPr>
            </w:pPr>
            <w:r w:rsidRPr="00015C5C">
              <w:rPr>
                <w:rStyle w:val="IntenseReference"/>
              </w:rPr>
              <w:t>Reef</w:t>
            </w:r>
          </w:p>
        </w:tc>
        <w:tc>
          <w:tcPr>
            <w:tcW w:w="654" w:type="dxa"/>
            <w:vMerge w:val="restart"/>
            <w:shd w:val="clear" w:color="auto" w:fill="auto"/>
            <w:noWrap/>
            <w:vAlign w:val="bottom"/>
          </w:tcPr>
          <w:p w14:paraId="137379B9" w14:textId="77777777" w:rsidR="00293087" w:rsidRPr="00015C5C" w:rsidRDefault="00293087" w:rsidP="00293087">
            <w:pPr>
              <w:spacing w:after="0"/>
              <w:jc w:val="center"/>
              <w:rPr>
                <w:rStyle w:val="IntenseReference"/>
              </w:rPr>
            </w:pPr>
            <w:r w:rsidRPr="00015C5C">
              <w:rPr>
                <w:rStyle w:val="IntenseReference"/>
              </w:rPr>
              <w:t>Depth</w:t>
            </w:r>
          </w:p>
        </w:tc>
        <w:tc>
          <w:tcPr>
            <w:tcW w:w="1041" w:type="dxa"/>
            <w:vMerge w:val="restart"/>
          </w:tcPr>
          <w:p w14:paraId="501158FE" w14:textId="77777777" w:rsidR="00293087" w:rsidRPr="00015C5C" w:rsidRDefault="00293087" w:rsidP="0090167C">
            <w:pPr>
              <w:spacing w:after="0"/>
              <w:jc w:val="left"/>
              <w:rPr>
                <w:rStyle w:val="IntenseReference"/>
              </w:rPr>
            </w:pPr>
            <w:r>
              <w:rPr>
                <w:rStyle w:val="IntenseReference"/>
              </w:rPr>
              <w:t>Survey Date 2017</w:t>
            </w:r>
          </w:p>
        </w:tc>
        <w:tc>
          <w:tcPr>
            <w:tcW w:w="1990" w:type="dxa"/>
            <w:gridSpan w:val="2"/>
            <w:shd w:val="clear" w:color="auto" w:fill="auto"/>
            <w:noWrap/>
            <w:vAlign w:val="bottom"/>
          </w:tcPr>
          <w:p w14:paraId="448FD73F" w14:textId="77777777" w:rsidR="00293087" w:rsidRPr="00015C5C" w:rsidRDefault="00293087" w:rsidP="0090167C">
            <w:pPr>
              <w:spacing w:after="0"/>
              <w:jc w:val="left"/>
              <w:rPr>
                <w:rStyle w:val="IntenseReference"/>
              </w:rPr>
            </w:pPr>
            <w:r w:rsidRPr="00015C5C">
              <w:rPr>
                <w:rStyle w:val="IntenseReference"/>
              </w:rPr>
              <w:t>Proportion bleached at time of survey (%)</w:t>
            </w:r>
          </w:p>
        </w:tc>
        <w:tc>
          <w:tcPr>
            <w:tcW w:w="1985" w:type="dxa"/>
            <w:gridSpan w:val="2"/>
            <w:shd w:val="clear" w:color="auto" w:fill="auto"/>
            <w:noWrap/>
            <w:vAlign w:val="bottom"/>
          </w:tcPr>
          <w:p w14:paraId="5D4176F5" w14:textId="77777777" w:rsidR="00293087" w:rsidRPr="00015C5C" w:rsidRDefault="00293087" w:rsidP="0090167C">
            <w:pPr>
              <w:spacing w:after="0"/>
              <w:jc w:val="left"/>
              <w:rPr>
                <w:rStyle w:val="IntenseReference"/>
              </w:rPr>
            </w:pPr>
            <w:r w:rsidRPr="00015C5C">
              <w:rPr>
                <w:rStyle w:val="IntenseReference"/>
              </w:rPr>
              <w:t>Proportional change in cover (%)</w:t>
            </w:r>
          </w:p>
        </w:tc>
      </w:tr>
      <w:tr w:rsidR="00293087" w:rsidRPr="0090167C" w14:paraId="1AA39E0E" w14:textId="77777777" w:rsidTr="00293087">
        <w:trPr>
          <w:trHeight w:hRule="exact" w:val="255"/>
        </w:trPr>
        <w:tc>
          <w:tcPr>
            <w:tcW w:w="831" w:type="dxa"/>
            <w:vMerge/>
            <w:shd w:val="clear" w:color="auto" w:fill="auto"/>
            <w:noWrap/>
            <w:vAlign w:val="bottom"/>
            <w:hideMark/>
          </w:tcPr>
          <w:p w14:paraId="7150E0C3" w14:textId="77777777" w:rsidR="00293087" w:rsidRPr="00015C5C" w:rsidRDefault="00293087" w:rsidP="0090167C">
            <w:pPr>
              <w:spacing w:after="0"/>
              <w:jc w:val="left"/>
              <w:rPr>
                <w:rStyle w:val="IntenseReference"/>
              </w:rPr>
            </w:pPr>
          </w:p>
        </w:tc>
        <w:tc>
          <w:tcPr>
            <w:tcW w:w="1007" w:type="dxa"/>
            <w:vMerge/>
            <w:shd w:val="clear" w:color="auto" w:fill="auto"/>
            <w:noWrap/>
            <w:vAlign w:val="bottom"/>
            <w:hideMark/>
          </w:tcPr>
          <w:p w14:paraId="46CB96DF" w14:textId="77777777" w:rsidR="00293087" w:rsidRPr="00015C5C" w:rsidRDefault="00293087" w:rsidP="0090167C">
            <w:pPr>
              <w:spacing w:after="0"/>
              <w:jc w:val="left"/>
              <w:rPr>
                <w:rStyle w:val="IntenseReference"/>
              </w:rPr>
            </w:pPr>
          </w:p>
        </w:tc>
        <w:tc>
          <w:tcPr>
            <w:tcW w:w="1843" w:type="dxa"/>
            <w:vMerge/>
            <w:shd w:val="clear" w:color="auto" w:fill="auto"/>
            <w:noWrap/>
            <w:vAlign w:val="bottom"/>
            <w:hideMark/>
          </w:tcPr>
          <w:p w14:paraId="0B67B092" w14:textId="77777777" w:rsidR="00293087" w:rsidRPr="00015C5C" w:rsidRDefault="00293087" w:rsidP="0090167C">
            <w:pPr>
              <w:spacing w:after="0"/>
              <w:jc w:val="left"/>
              <w:rPr>
                <w:rStyle w:val="IntenseReference"/>
              </w:rPr>
            </w:pPr>
          </w:p>
        </w:tc>
        <w:tc>
          <w:tcPr>
            <w:tcW w:w="654" w:type="dxa"/>
            <w:vMerge/>
            <w:shd w:val="clear" w:color="auto" w:fill="auto"/>
            <w:noWrap/>
            <w:vAlign w:val="bottom"/>
            <w:hideMark/>
          </w:tcPr>
          <w:p w14:paraId="23ED966D" w14:textId="77777777" w:rsidR="00293087" w:rsidRPr="00015C5C" w:rsidRDefault="00293087" w:rsidP="00293087">
            <w:pPr>
              <w:spacing w:after="0"/>
              <w:jc w:val="center"/>
              <w:rPr>
                <w:rStyle w:val="IntenseReference"/>
              </w:rPr>
            </w:pPr>
          </w:p>
        </w:tc>
        <w:tc>
          <w:tcPr>
            <w:tcW w:w="1041" w:type="dxa"/>
            <w:vMerge/>
          </w:tcPr>
          <w:p w14:paraId="6CB08EB7" w14:textId="77777777" w:rsidR="00293087" w:rsidRPr="00015C5C" w:rsidRDefault="00293087" w:rsidP="0090167C">
            <w:pPr>
              <w:spacing w:after="0"/>
              <w:jc w:val="left"/>
              <w:rPr>
                <w:rStyle w:val="IntenseReference"/>
              </w:rPr>
            </w:pPr>
          </w:p>
        </w:tc>
        <w:tc>
          <w:tcPr>
            <w:tcW w:w="993" w:type="dxa"/>
            <w:shd w:val="clear" w:color="auto" w:fill="auto"/>
            <w:noWrap/>
            <w:vAlign w:val="bottom"/>
            <w:hideMark/>
          </w:tcPr>
          <w:p w14:paraId="4C5FE862" w14:textId="77777777" w:rsidR="00293087" w:rsidRPr="00015C5C" w:rsidRDefault="00293087" w:rsidP="0090167C">
            <w:pPr>
              <w:spacing w:after="0"/>
              <w:jc w:val="left"/>
              <w:rPr>
                <w:rStyle w:val="IntenseReference"/>
              </w:rPr>
            </w:pPr>
            <w:r w:rsidRPr="00015C5C">
              <w:rPr>
                <w:rStyle w:val="IntenseReference"/>
              </w:rPr>
              <w:t>2016</w:t>
            </w:r>
          </w:p>
        </w:tc>
        <w:tc>
          <w:tcPr>
            <w:tcW w:w="997" w:type="dxa"/>
            <w:shd w:val="clear" w:color="auto" w:fill="auto"/>
            <w:noWrap/>
            <w:vAlign w:val="bottom"/>
            <w:hideMark/>
          </w:tcPr>
          <w:p w14:paraId="1662D2A4" w14:textId="77777777" w:rsidR="00293087" w:rsidRPr="00015C5C" w:rsidRDefault="00293087" w:rsidP="0090167C">
            <w:pPr>
              <w:spacing w:after="0"/>
              <w:jc w:val="left"/>
              <w:rPr>
                <w:rStyle w:val="IntenseReference"/>
              </w:rPr>
            </w:pPr>
            <w:r w:rsidRPr="00015C5C">
              <w:rPr>
                <w:rStyle w:val="IntenseReference"/>
              </w:rPr>
              <w:t>2017</w:t>
            </w:r>
          </w:p>
        </w:tc>
        <w:tc>
          <w:tcPr>
            <w:tcW w:w="987" w:type="dxa"/>
            <w:shd w:val="clear" w:color="auto" w:fill="auto"/>
            <w:noWrap/>
            <w:vAlign w:val="bottom"/>
            <w:hideMark/>
          </w:tcPr>
          <w:p w14:paraId="6837ABA7" w14:textId="77777777" w:rsidR="00293087" w:rsidRPr="00015C5C" w:rsidRDefault="00293087" w:rsidP="0090167C">
            <w:pPr>
              <w:spacing w:after="0"/>
              <w:jc w:val="left"/>
              <w:rPr>
                <w:rStyle w:val="IntenseReference"/>
              </w:rPr>
            </w:pPr>
            <w:r w:rsidRPr="00015C5C">
              <w:rPr>
                <w:rStyle w:val="IntenseReference"/>
              </w:rPr>
              <w:t>2016</w:t>
            </w:r>
          </w:p>
        </w:tc>
        <w:tc>
          <w:tcPr>
            <w:tcW w:w="998" w:type="dxa"/>
            <w:shd w:val="clear" w:color="auto" w:fill="auto"/>
            <w:noWrap/>
            <w:vAlign w:val="bottom"/>
            <w:hideMark/>
          </w:tcPr>
          <w:p w14:paraId="3AC109D9" w14:textId="77777777" w:rsidR="00293087" w:rsidRPr="00015C5C" w:rsidRDefault="00293087" w:rsidP="0090167C">
            <w:pPr>
              <w:spacing w:after="0"/>
              <w:jc w:val="left"/>
              <w:rPr>
                <w:rStyle w:val="IntenseReference"/>
              </w:rPr>
            </w:pPr>
            <w:r w:rsidRPr="00015C5C">
              <w:rPr>
                <w:rStyle w:val="IntenseReference"/>
              </w:rPr>
              <w:t>2017</w:t>
            </w:r>
          </w:p>
        </w:tc>
      </w:tr>
      <w:tr w:rsidR="00293087" w:rsidRPr="0090167C" w14:paraId="44329CEC" w14:textId="77777777" w:rsidTr="00293087">
        <w:trPr>
          <w:trHeight w:hRule="exact" w:val="227"/>
        </w:trPr>
        <w:tc>
          <w:tcPr>
            <w:tcW w:w="831" w:type="dxa"/>
            <w:vMerge w:val="restart"/>
            <w:shd w:val="clear" w:color="auto" w:fill="auto"/>
            <w:noWrap/>
            <w:textDirection w:val="btLr"/>
            <w:vAlign w:val="bottom"/>
            <w:hideMark/>
          </w:tcPr>
          <w:p w14:paraId="11F338DC" w14:textId="77777777" w:rsidR="00293087" w:rsidRPr="00015C5C" w:rsidRDefault="00293087" w:rsidP="0090167C">
            <w:pPr>
              <w:spacing w:after="0"/>
              <w:ind w:left="113" w:right="113"/>
              <w:jc w:val="left"/>
              <w:rPr>
                <w:rStyle w:val="IntenseReference"/>
              </w:rPr>
            </w:pPr>
            <w:r w:rsidRPr="00015C5C">
              <w:rPr>
                <w:rStyle w:val="IntenseReference"/>
              </w:rPr>
              <w:t>Wet Tropics</w:t>
            </w:r>
          </w:p>
        </w:tc>
        <w:tc>
          <w:tcPr>
            <w:tcW w:w="1007" w:type="dxa"/>
            <w:vMerge w:val="restart"/>
            <w:shd w:val="clear" w:color="auto" w:fill="auto"/>
            <w:noWrap/>
            <w:textDirection w:val="btLr"/>
            <w:vAlign w:val="bottom"/>
            <w:hideMark/>
          </w:tcPr>
          <w:p w14:paraId="3AD9051F" w14:textId="77777777" w:rsidR="00293087" w:rsidRPr="00015C5C" w:rsidRDefault="00293087" w:rsidP="0090167C">
            <w:pPr>
              <w:spacing w:after="0"/>
              <w:ind w:left="113" w:right="113"/>
              <w:jc w:val="left"/>
              <w:rPr>
                <w:rStyle w:val="IntenseReference"/>
              </w:rPr>
            </w:pPr>
            <w:r w:rsidRPr="00015C5C">
              <w:rPr>
                <w:rStyle w:val="IntenseReference"/>
              </w:rPr>
              <w:t>Barron Daintree</w:t>
            </w:r>
          </w:p>
        </w:tc>
        <w:tc>
          <w:tcPr>
            <w:tcW w:w="1843" w:type="dxa"/>
            <w:vMerge w:val="restart"/>
            <w:shd w:val="clear" w:color="auto" w:fill="auto"/>
            <w:noWrap/>
            <w:vAlign w:val="center"/>
            <w:hideMark/>
          </w:tcPr>
          <w:p w14:paraId="32A64EC1" w14:textId="77777777" w:rsidR="00293087" w:rsidRPr="00015C5C" w:rsidRDefault="00293087" w:rsidP="0090167C">
            <w:pPr>
              <w:spacing w:after="0"/>
              <w:jc w:val="left"/>
              <w:rPr>
                <w:rStyle w:val="IntenseReference"/>
              </w:rPr>
            </w:pPr>
            <w:r w:rsidRPr="00015C5C">
              <w:rPr>
                <w:rStyle w:val="IntenseReference"/>
              </w:rPr>
              <w:t>Snapper North</w:t>
            </w:r>
          </w:p>
        </w:tc>
        <w:tc>
          <w:tcPr>
            <w:tcW w:w="654" w:type="dxa"/>
            <w:shd w:val="clear" w:color="auto" w:fill="auto"/>
            <w:noWrap/>
            <w:vAlign w:val="center"/>
            <w:hideMark/>
          </w:tcPr>
          <w:p w14:paraId="31280972" w14:textId="77777777" w:rsidR="00293087" w:rsidRPr="00015C5C" w:rsidRDefault="00293087" w:rsidP="00293087">
            <w:pPr>
              <w:spacing w:after="0"/>
              <w:jc w:val="center"/>
              <w:rPr>
                <w:rStyle w:val="IntenseReference"/>
              </w:rPr>
            </w:pPr>
            <w:r w:rsidRPr="00015C5C">
              <w:rPr>
                <w:rStyle w:val="IntenseReference"/>
              </w:rPr>
              <w:t>2</w:t>
            </w:r>
          </w:p>
        </w:tc>
        <w:tc>
          <w:tcPr>
            <w:tcW w:w="1041" w:type="dxa"/>
          </w:tcPr>
          <w:p w14:paraId="67FF3141" w14:textId="77777777" w:rsidR="00293087" w:rsidRPr="00015C5C" w:rsidRDefault="00F91616" w:rsidP="00F91616">
            <w:pPr>
              <w:spacing w:after="0"/>
              <w:jc w:val="center"/>
              <w:rPr>
                <w:rStyle w:val="IntenseReference"/>
              </w:rPr>
            </w:pPr>
            <w:r>
              <w:rPr>
                <w:rStyle w:val="IntenseReference"/>
              </w:rPr>
              <w:t>5-Sep</w:t>
            </w:r>
          </w:p>
        </w:tc>
        <w:tc>
          <w:tcPr>
            <w:tcW w:w="993" w:type="dxa"/>
            <w:shd w:val="clear" w:color="auto" w:fill="auto"/>
            <w:noWrap/>
            <w:vAlign w:val="center"/>
            <w:hideMark/>
          </w:tcPr>
          <w:p w14:paraId="44117875" w14:textId="77777777" w:rsidR="00293087" w:rsidRPr="00015C5C" w:rsidRDefault="00293087" w:rsidP="0090167C">
            <w:pPr>
              <w:spacing w:after="0"/>
              <w:jc w:val="right"/>
              <w:rPr>
                <w:rStyle w:val="IntenseReference"/>
              </w:rPr>
            </w:pPr>
            <w:r w:rsidRPr="00015C5C">
              <w:rPr>
                <w:rStyle w:val="IntenseReference"/>
              </w:rPr>
              <w:t>0</w:t>
            </w:r>
          </w:p>
        </w:tc>
        <w:tc>
          <w:tcPr>
            <w:tcW w:w="997" w:type="dxa"/>
            <w:shd w:val="clear" w:color="auto" w:fill="auto"/>
            <w:noWrap/>
            <w:vAlign w:val="center"/>
            <w:hideMark/>
          </w:tcPr>
          <w:p w14:paraId="6D470548" w14:textId="77777777" w:rsidR="00293087" w:rsidRPr="00015C5C" w:rsidRDefault="00293087" w:rsidP="0090167C">
            <w:pPr>
              <w:spacing w:after="0"/>
              <w:jc w:val="right"/>
              <w:rPr>
                <w:rStyle w:val="IntenseReference"/>
              </w:rPr>
            </w:pPr>
            <w:r w:rsidRPr="00015C5C">
              <w:rPr>
                <w:rStyle w:val="IntenseReference"/>
              </w:rPr>
              <w:t>0</w:t>
            </w:r>
          </w:p>
        </w:tc>
        <w:tc>
          <w:tcPr>
            <w:tcW w:w="987" w:type="dxa"/>
            <w:shd w:val="clear" w:color="auto" w:fill="auto"/>
            <w:noWrap/>
            <w:vAlign w:val="center"/>
            <w:hideMark/>
          </w:tcPr>
          <w:p w14:paraId="58A280C2" w14:textId="77777777" w:rsidR="00293087" w:rsidRPr="00015C5C" w:rsidRDefault="00293087" w:rsidP="0090167C">
            <w:pPr>
              <w:spacing w:after="0"/>
              <w:jc w:val="right"/>
              <w:rPr>
                <w:rStyle w:val="IntenseReference"/>
              </w:rPr>
            </w:pPr>
            <w:r w:rsidRPr="00015C5C">
              <w:rPr>
                <w:rStyle w:val="IntenseReference"/>
              </w:rPr>
              <w:t>62.9</w:t>
            </w:r>
          </w:p>
        </w:tc>
        <w:tc>
          <w:tcPr>
            <w:tcW w:w="998" w:type="dxa"/>
            <w:shd w:val="clear" w:color="auto" w:fill="auto"/>
            <w:noWrap/>
            <w:vAlign w:val="center"/>
            <w:hideMark/>
          </w:tcPr>
          <w:p w14:paraId="6D327801" w14:textId="77777777" w:rsidR="00293087" w:rsidRPr="00015C5C" w:rsidRDefault="00293087" w:rsidP="0090167C">
            <w:pPr>
              <w:spacing w:after="0"/>
              <w:jc w:val="right"/>
              <w:rPr>
                <w:rStyle w:val="IntenseReference"/>
              </w:rPr>
            </w:pPr>
            <w:r w:rsidRPr="00015C5C">
              <w:rPr>
                <w:rStyle w:val="IntenseReference"/>
              </w:rPr>
              <w:t>-41.2</w:t>
            </w:r>
          </w:p>
        </w:tc>
      </w:tr>
      <w:tr w:rsidR="00293087" w:rsidRPr="0090167C" w14:paraId="4F2F3487" w14:textId="77777777" w:rsidTr="00293087">
        <w:trPr>
          <w:trHeight w:hRule="exact" w:val="227"/>
        </w:trPr>
        <w:tc>
          <w:tcPr>
            <w:tcW w:w="831" w:type="dxa"/>
            <w:vMerge/>
            <w:shd w:val="clear" w:color="auto" w:fill="auto"/>
            <w:noWrap/>
            <w:vAlign w:val="bottom"/>
            <w:hideMark/>
          </w:tcPr>
          <w:p w14:paraId="64BAEC90" w14:textId="77777777" w:rsidR="00293087" w:rsidRPr="00015C5C" w:rsidRDefault="00293087" w:rsidP="0090167C">
            <w:pPr>
              <w:spacing w:after="0"/>
              <w:jc w:val="left"/>
              <w:rPr>
                <w:rStyle w:val="IntenseReference"/>
              </w:rPr>
            </w:pPr>
          </w:p>
        </w:tc>
        <w:tc>
          <w:tcPr>
            <w:tcW w:w="1007" w:type="dxa"/>
            <w:vMerge/>
            <w:shd w:val="clear" w:color="auto" w:fill="auto"/>
            <w:noWrap/>
            <w:textDirection w:val="btLr"/>
            <w:vAlign w:val="bottom"/>
            <w:hideMark/>
          </w:tcPr>
          <w:p w14:paraId="7212408D" w14:textId="77777777" w:rsidR="00293087" w:rsidRPr="00015C5C" w:rsidRDefault="00293087" w:rsidP="0090167C">
            <w:pPr>
              <w:spacing w:after="0"/>
              <w:ind w:left="113" w:right="113"/>
              <w:jc w:val="left"/>
              <w:rPr>
                <w:rStyle w:val="IntenseReference"/>
              </w:rPr>
            </w:pPr>
          </w:p>
        </w:tc>
        <w:tc>
          <w:tcPr>
            <w:tcW w:w="1843" w:type="dxa"/>
            <w:vMerge/>
            <w:shd w:val="clear" w:color="auto" w:fill="auto"/>
            <w:noWrap/>
            <w:vAlign w:val="center"/>
            <w:hideMark/>
          </w:tcPr>
          <w:p w14:paraId="4143652C" w14:textId="77777777" w:rsidR="00293087" w:rsidRPr="00015C5C" w:rsidRDefault="00293087" w:rsidP="0090167C">
            <w:pPr>
              <w:spacing w:after="0"/>
              <w:jc w:val="left"/>
              <w:rPr>
                <w:rStyle w:val="IntenseReference"/>
              </w:rPr>
            </w:pPr>
          </w:p>
        </w:tc>
        <w:tc>
          <w:tcPr>
            <w:tcW w:w="654" w:type="dxa"/>
            <w:shd w:val="clear" w:color="auto" w:fill="auto"/>
            <w:noWrap/>
            <w:vAlign w:val="center"/>
            <w:hideMark/>
          </w:tcPr>
          <w:p w14:paraId="518D1DE1" w14:textId="77777777" w:rsidR="00293087" w:rsidRPr="00015C5C" w:rsidRDefault="00293087" w:rsidP="00293087">
            <w:pPr>
              <w:spacing w:after="0"/>
              <w:jc w:val="center"/>
              <w:rPr>
                <w:rStyle w:val="IntenseReference"/>
              </w:rPr>
            </w:pPr>
            <w:r w:rsidRPr="00015C5C">
              <w:rPr>
                <w:rStyle w:val="IntenseReference"/>
              </w:rPr>
              <w:t>5</w:t>
            </w:r>
          </w:p>
        </w:tc>
        <w:tc>
          <w:tcPr>
            <w:tcW w:w="1041" w:type="dxa"/>
          </w:tcPr>
          <w:p w14:paraId="2DC012DC" w14:textId="77777777" w:rsidR="00293087" w:rsidRPr="00015C5C" w:rsidRDefault="00F91616" w:rsidP="00F91616">
            <w:pPr>
              <w:spacing w:after="0"/>
              <w:jc w:val="center"/>
              <w:rPr>
                <w:rStyle w:val="IntenseReference"/>
              </w:rPr>
            </w:pPr>
            <w:r>
              <w:rPr>
                <w:rStyle w:val="IntenseReference"/>
              </w:rPr>
              <w:t>5-Sep</w:t>
            </w:r>
          </w:p>
        </w:tc>
        <w:tc>
          <w:tcPr>
            <w:tcW w:w="993" w:type="dxa"/>
            <w:shd w:val="clear" w:color="auto" w:fill="auto"/>
            <w:noWrap/>
            <w:vAlign w:val="center"/>
            <w:hideMark/>
          </w:tcPr>
          <w:p w14:paraId="3CA05EC2" w14:textId="77777777" w:rsidR="00293087" w:rsidRPr="00015C5C" w:rsidRDefault="00293087" w:rsidP="0090167C">
            <w:pPr>
              <w:spacing w:after="0"/>
              <w:jc w:val="right"/>
              <w:rPr>
                <w:rStyle w:val="IntenseReference"/>
              </w:rPr>
            </w:pPr>
            <w:r w:rsidRPr="00015C5C">
              <w:rPr>
                <w:rStyle w:val="IntenseReference"/>
              </w:rPr>
              <w:t>1.7</w:t>
            </w:r>
          </w:p>
        </w:tc>
        <w:tc>
          <w:tcPr>
            <w:tcW w:w="997" w:type="dxa"/>
            <w:shd w:val="clear" w:color="auto" w:fill="auto"/>
            <w:noWrap/>
            <w:vAlign w:val="center"/>
            <w:hideMark/>
          </w:tcPr>
          <w:p w14:paraId="6F601456" w14:textId="77777777" w:rsidR="00293087" w:rsidRPr="00015C5C" w:rsidRDefault="00293087" w:rsidP="0090167C">
            <w:pPr>
              <w:spacing w:after="0"/>
              <w:jc w:val="right"/>
              <w:rPr>
                <w:rStyle w:val="IntenseReference"/>
              </w:rPr>
            </w:pPr>
            <w:r w:rsidRPr="00015C5C">
              <w:rPr>
                <w:rStyle w:val="IntenseReference"/>
              </w:rPr>
              <w:t>12.0</w:t>
            </w:r>
          </w:p>
        </w:tc>
        <w:tc>
          <w:tcPr>
            <w:tcW w:w="987" w:type="dxa"/>
            <w:shd w:val="clear" w:color="auto" w:fill="auto"/>
            <w:noWrap/>
            <w:vAlign w:val="center"/>
            <w:hideMark/>
          </w:tcPr>
          <w:p w14:paraId="53F91B9B" w14:textId="77777777" w:rsidR="00293087" w:rsidRPr="00015C5C" w:rsidRDefault="00293087" w:rsidP="0090167C">
            <w:pPr>
              <w:spacing w:after="0"/>
              <w:jc w:val="right"/>
              <w:rPr>
                <w:rStyle w:val="IntenseReference"/>
              </w:rPr>
            </w:pPr>
            <w:r w:rsidRPr="00015C5C">
              <w:rPr>
                <w:rStyle w:val="IntenseReference"/>
              </w:rPr>
              <w:t>13.4</w:t>
            </w:r>
          </w:p>
        </w:tc>
        <w:tc>
          <w:tcPr>
            <w:tcW w:w="998" w:type="dxa"/>
            <w:shd w:val="clear" w:color="auto" w:fill="auto"/>
            <w:noWrap/>
            <w:vAlign w:val="center"/>
            <w:hideMark/>
          </w:tcPr>
          <w:p w14:paraId="16A4E699" w14:textId="77777777" w:rsidR="00293087" w:rsidRPr="00015C5C" w:rsidRDefault="00293087" w:rsidP="0090167C">
            <w:pPr>
              <w:spacing w:after="0"/>
              <w:jc w:val="right"/>
              <w:rPr>
                <w:rStyle w:val="IntenseReference"/>
              </w:rPr>
            </w:pPr>
            <w:r w:rsidRPr="00015C5C">
              <w:rPr>
                <w:rStyle w:val="IntenseReference"/>
              </w:rPr>
              <w:t>-32.9</w:t>
            </w:r>
          </w:p>
        </w:tc>
      </w:tr>
      <w:tr w:rsidR="00293087" w:rsidRPr="0090167C" w14:paraId="7ED60DCD" w14:textId="77777777" w:rsidTr="00293087">
        <w:trPr>
          <w:trHeight w:hRule="exact" w:val="227"/>
        </w:trPr>
        <w:tc>
          <w:tcPr>
            <w:tcW w:w="831" w:type="dxa"/>
            <w:vMerge/>
            <w:shd w:val="clear" w:color="auto" w:fill="auto"/>
            <w:noWrap/>
            <w:vAlign w:val="bottom"/>
            <w:hideMark/>
          </w:tcPr>
          <w:p w14:paraId="60FEFAAE" w14:textId="77777777" w:rsidR="00293087" w:rsidRPr="00015C5C" w:rsidRDefault="00293087" w:rsidP="0090167C">
            <w:pPr>
              <w:spacing w:after="0"/>
              <w:jc w:val="left"/>
              <w:rPr>
                <w:rStyle w:val="IntenseReference"/>
              </w:rPr>
            </w:pPr>
          </w:p>
        </w:tc>
        <w:tc>
          <w:tcPr>
            <w:tcW w:w="1007" w:type="dxa"/>
            <w:vMerge/>
            <w:shd w:val="clear" w:color="auto" w:fill="auto"/>
            <w:noWrap/>
            <w:textDirection w:val="btLr"/>
            <w:vAlign w:val="bottom"/>
            <w:hideMark/>
          </w:tcPr>
          <w:p w14:paraId="30E3C4AC" w14:textId="77777777" w:rsidR="00293087" w:rsidRPr="00015C5C" w:rsidRDefault="00293087" w:rsidP="0090167C">
            <w:pPr>
              <w:spacing w:after="0"/>
              <w:ind w:left="113" w:right="113"/>
              <w:jc w:val="left"/>
              <w:rPr>
                <w:rStyle w:val="IntenseReference"/>
              </w:rPr>
            </w:pPr>
          </w:p>
        </w:tc>
        <w:tc>
          <w:tcPr>
            <w:tcW w:w="1843" w:type="dxa"/>
            <w:vMerge w:val="restart"/>
            <w:shd w:val="clear" w:color="auto" w:fill="auto"/>
            <w:noWrap/>
            <w:vAlign w:val="center"/>
            <w:hideMark/>
          </w:tcPr>
          <w:p w14:paraId="2CFCBDB2" w14:textId="77777777" w:rsidR="00293087" w:rsidRPr="00015C5C" w:rsidRDefault="00293087" w:rsidP="0090167C">
            <w:pPr>
              <w:spacing w:after="0"/>
              <w:jc w:val="left"/>
              <w:rPr>
                <w:rStyle w:val="IntenseReference"/>
              </w:rPr>
            </w:pPr>
            <w:r w:rsidRPr="00015C5C">
              <w:rPr>
                <w:rStyle w:val="IntenseReference"/>
              </w:rPr>
              <w:t>Snapper South</w:t>
            </w:r>
          </w:p>
        </w:tc>
        <w:tc>
          <w:tcPr>
            <w:tcW w:w="654" w:type="dxa"/>
            <w:shd w:val="clear" w:color="auto" w:fill="auto"/>
            <w:noWrap/>
            <w:vAlign w:val="center"/>
            <w:hideMark/>
          </w:tcPr>
          <w:p w14:paraId="77062CE1" w14:textId="77777777" w:rsidR="00293087" w:rsidRPr="00015C5C" w:rsidRDefault="00293087" w:rsidP="00293087">
            <w:pPr>
              <w:spacing w:after="0"/>
              <w:jc w:val="center"/>
              <w:rPr>
                <w:rStyle w:val="IntenseReference"/>
              </w:rPr>
            </w:pPr>
            <w:r w:rsidRPr="00015C5C">
              <w:rPr>
                <w:rStyle w:val="IntenseReference"/>
              </w:rPr>
              <w:t>2</w:t>
            </w:r>
          </w:p>
        </w:tc>
        <w:tc>
          <w:tcPr>
            <w:tcW w:w="1041" w:type="dxa"/>
          </w:tcPr>
          <w:p w14:paraId="42F49E10" w14:textId="77777777" w:rsidR="00293087" w:rsidRPr="00015C5C" w:rsidRDefault="00F91616" w:rsidP="00F91616">
            <w:pPr>
              <w:spacing w:after="0"/>
              <w:jc w:val="center"/>
              <w:rPr>
                <w:rStyle w:val="IntenseReference"/>
              </w:rPr>
            </w:pPr>
            <w:r>
              <w:rPr>
                <w:rStyle w:val="IntenseReference"/>
              </w:rPr>
              <w:t>4-Sep</w:t>
            </w:r>
          </w:p>
        </w:tc>
        <w:tc>
          <w:tcPr>
            <w:tcW w:w="993" w:type="dxa"/>
            <w:shd w:val="clear" w:color="auto" w:fill="auto"/>
            <w:noWrap/>
            <w:vAlign w:val="center"/>
            <w:hideMark/>
          </w:tcPr>
          <w:p w14:paraId="3D609C10" w14:textId="77777777" w:rsidR="00293087" w:rsidRPr="00015C5C" w:rsidRDefault="00293087" w:rsidP="0090167C">
            <w:pPr>
              <w:spacing w:after="0"/>
              <w:jc w:val="right"/>
              <w:rPr>
                <w:rStyle w:val="IntenseReference"/>
              </w:rPr>
            </w:pPr>
            <w:r w:rsidRPr="00015C5C">
              <w:rPr>
                <w:rStyle w:val="IntenseReference"/>
              </w:rPr>
              <w:t>0</w:t>
            </w:r>
          </w:p>
        </w:tc>
        <w:tc>
          <w:tcPr>
            <w:tcW w:w="997" w:type="dxa"/>
            <w:shd w:val="clear" w:color="auto" w:fill="auto"/>
            <w:noWrap/>
            <w:vAlign w:val="center"/>
            <w:hideMark/>
          </w:tcPr>
          <w:p w14:paraId="3E4FD9E5" w14:textId="77777777" w:rsidR="00293087" w:rsidRPr="00015C5C" w:rsidRDefault="00293087" w:rsidP="0090167C">
            <w:pPr>
              <w:spacing w:after="0"/>
              <w:jc w:val="right"/>
              <w:rPr>
                <w:rStyle w:val="IntenseReference"/>
              </w:rPr>
            </w:pPr>
            <w:r w:rsidRPr="00015C5C">
              <w:rPr>
                <w:rStyle w:val="IntenseReference"/>
              </w:rPr>
              <w:t>0.4</w:t>
            </w:r>
          </w:p>
        </w:tc>
        <w:tc>
          <w:tcPr>
            <w:tcW w:w="987" w:type="dxa"/>
            <w:shd w:val="clear" w:color="auto" w:fill="auto"/>
            <w:noWrap/>
            <w:vAlign w:val="center"/>
            <w:hideMark/>
          </w:tcPr>
          <w:p w14:paraId="1866F5FE" w14:textId="77777777" w:rsidR="00293087" w:rsidRPr="00015C5C" w:rsidRDefault="00293087" w:rsidP="0090167C">
            <w:pPr>
              <w:spacing w:after="0"/>
              <w:jc w:val="right"/>
              <w:rPr>
                <w:rStyle w:val="IntenseReference"/>
              </w:rPr>
            </w:pPr>
            <w:r w:rsidRPr="00015C5C">
              <w:rPr>
                <w:rStyle w:val="IntenseReference"/>
              </w:rPr>
              <w:t>12.9</w:t>
            </w:r>
          </w:p>
        </w:tc>
        <w:tc>
          <w:tcPr>
            <w:tcW w:w="998" w:type="dxa"/>
            <w:shd w:val="clear" w:color="auto" w:fill="auto"/>
            <w:noWrap/>
            <w:vAlign w:val="center"/>
            <w:hideMark/>
          </w:tcPr>
          <w:p w14:paraId="40F7D5E8" w14:textId="77777777" w:rsidR="00293087" w:rsidRPr="00015C5C" w:rsidRDefault="00293087" w:rsidP="0090167C">
            <w:pPr>
              <w:spacing w:after="0"/>
              <w:jc w:val="right"/>
              <w:rPr>
                <w:rStyle w:val="IntenseReference"/>
              </w:rPr>
            </w:pPr>
            <w:r w:rsidRPr="00015C5C">
              <w:rPr>
                <w:rStyle w:val="IntenseReference"/>
              </w:rPr>
              <w:t>6.8</w:t>
            </w:r>
          </w:p>
        </w:tc>
      </w:tr>
      <w:tr w:rsidR="00293087" w:rsidRPr="0090167C" w14:paraId="145B632B" w14:textId="77777777" w:rsidTr="00293087">
        <w:trPr>
          <w:trHeight w:hRule="exact" w:val="227"/>
        </w:trPr>
        <w:tc>
          <w:tcPr>
            <w:tcW w:w="831" w:type="dxa"/>
            <w:vMerge/>
            <w:shd w:val="clear" w:color="auto" w:fill="auto"/>
            <w:noWrap/>
            <w:vAlign w:val="bottom"/>
            <w:hideMark/>
          </w:tcPr>
          <w:p w14:paraId="74DC8095" w14:textId="77777777" w:rsidR="00293087" w:rsidRPr="00015C5C" w:rsidRDefault="00293087" w:rsidP="0090167C">
            <w:pPr>
              <w:spacing w:after="0"/>
              <w:jc w:val="left"/>
              <w:rPr>
                <w:rStyle w:val="IntenseReference"/>
              </w:rPr>
            </w:pPr>
          </w:p>
        </w:tc>
        <w:tc>
          <w:tcPr>
            <w:tcW w:w="1007" w:type="dxa"/>
            <w:vMerge/>
            <w:shd w:val="clear" w:color="auto" w:fill="auto"/>
            <w:noWrap/>
            <w:textDirection w:val="btLr"/>
            <w:vAlign w:val="bottom"/>
            <w:hideMark/>
          </w:tcPr>
          <w:p w14:paraId="4A3DD1EF" w14:textId="77777777" w:rsidR="00293087" w:rsidRPr="00015C5C" w:rsidRDefault="00293087" w:rsidP="0090167C">
            <w:pPr>
              <w:spacing w:after="0"/>
              <w:ind w:left="113" w:right="113"/>
              <w:jc w:val="left"/>
              <w:rPr>
                <w:rStyle w:val="IntenseReference"/>
              </w:rPr>
            </w:pPr>
          </w:p>
        </w:tc>
        <w:tc>
          <w:tcPr>
            <w:tcW w:w="1843" w:type="dxa"/>
            <w:vMerge/>
            <w:shd w:val="clear" w:color="auto" w:fill="auto"/>
            <w:noWrap/>
            <w:vAlign w:val="center"/>
            <w:hideMark/>
          </w:tcPr>
          <w:p w14:paraId="40AB96C4" w14:textId="77777777" w:rsidR="00293087" w:rsidRPr="00015C5C" w:rsidRDefault="00293087" w:rsidP="0090167C">
            <w:pPr>
              <w:spacing w:after="0"/>
              <w:jc w:val="left"/>
              <w:rPr>
                <w:rStyle w:val="IntenseReference"/>
              </w:rPr>
            </w:pPr>
          </w:p>
        </w:tc>
        <w:tc>
          <w:tcPr>
            <w:tcW w:w="654" w:type="dxa"/>
            <w:shd w:val="clear" w:color="auto" w:fill="auto"/>
            <w:noWrap/>
            <w:vAlign w:val="center"/>
            <w:hideMark/>
          </w:tcPr>
          <w:p w14:paraId="11C3A7FC" w14:textId="77777777" w:rsidR="00293087" w:rsidRPr="00015C5C" w:rsidRDefault="00293087" w:rsidP="00293087">
            <w:pPr>
              <w:spacing w:after="0"/>
              <w:jc w:val="center"/>
              <w:rPr>
                <w:rStyle w:val="IntenseReference"/>
              </w:rPr>
            </w:pPr>
            <w:r w:rsidRPr="00015C5C">
              <w:rPr>
                <w:rStyle w:val="IntenseReference"/>
              </w:rPr>
              <w:t>5</w:t>
            </w:r>
          </w:p>
        </w:tc>
        <w:tc>
          <w:tcPr>
            <w:tcW w:w="1041" w:type="dxa"/>
          </w:tcPr>
          <w:p w14:paraId="1A102CAA" w14:textId="77777777" w:rsidR="00293087" w:rsidRPr="00015C5C" w:rsidRDefault="00F91616" w:rsidP="00F91616">
            <w:pPr>
              <w:spacing w:after="0"/>
              <w:jc w:val="center"/>
              <w:rPr>
                <w:rStyle w:val="IntenseReference"/>
              </w:rPr>
            </w:pPr>
            <w:r>
              <w:rPr>
                <w:rStyle w:val="IntenseReference"/>
              </w:rPr>
              <w:t>4-Sep</w:t>
            </w:r>
          </w:p>
        </w:tc>
        <w:tc>
          <w:tcPr>
            <w:tcW w:w="993" w:type="dxa"/>
            <w:shd w:val="clear" w:color="auto" w:fill="auto"/>
            <w:noWrap/>
            <w:vAlign w:val="center"/>
            <w:hideMark/>
          </w:tcPr>
          <w:p w14:paraId="798E3F7C" w14:textId="77777777" w:rsidR="00293087" w:rsidRPr="00015C5C" w:rsidRDefault="00293087" w:rsidP="0090167C">
            <w:pPr>
              <w:spacing w:after="0"/>
              <w:jc w:val="right"/>
              <w:rPr>
                <w:rStyle w:val="IntenseReference"/>
              </w:rPr>
            </w:pPr>
            <w:r w:rsidRPr="00015C5C">
              <w:rPr>
                <w:rStyle w:val="IntenseReference"/>
              </w:rPr>
              <w:t>0.4</w:t>
            </w:r>
          </w:p>
        </w:tc>
        <w:tc>
          <w:tcPr>
            <w:tcW w:w="997" w:type="dxa"/>
            <w:shd w:val="clear" w:color="auto" w:fill="auto"/>
            <w:noWrap/>
            <w:vAlign w:val="center"/>
            <w:hideMark/>
          </w:tcPr>
          <w:p w14:paraId="61266E0F" w14:textId="77777777" w:rsidR="00293087" w:rsidRPr="00015C5C" w:rsidRDefault="00293087" w:rsidP="0090167C">
            <w:pPr>
              <w:spacing w:after="0"/>
              <w:jc w:val="right"/>
              <w:rPr>
                <w:rStyle w:val="IntenseReference"/>
              </w:rPr>
            </w:pPr>
            <w:r w:rsidRPr="00015C5C">
              <w:rPr>
                <w:rStyle w:val="IntenseReference"/>
              </w:rPr>
              <w:t>0.3</w:t>
            </w:r>
          </w:p>
        </w:tc>
        <w:tc>
          <w:tcPr>
            <w:tcW w:w="987" w:type="dxa"/>
            <w:shd w:val="clear" w:color="auto" w:fill="auto"/>
            <w:noWrap/>
            <w:vAlign w:val="center"/>
            <w:hideMark/>
          </w:tcPr>
          <w:p w14:paraId="1A591296" w14:textId="77777777" w:rsidR="00293087" w:rsidRPr="00015C5C" w:rsidRDefault="00293087" w:rsidP="0090167C">
            <w:pPr>
              <w:spacing w:after="0"/>
              <w:jc w:val="right"/>
              <w:rPr>
                <w:rStyle w:val="IntenseReference"/>
              </w:rPr>
            </w:pPr>
            <w:r w:rsidRPr="00015C5C">
              <w:rPr>
                <w:rStyle w:val="IntenseReference"/>
              </w:rPr>
              <w:t>5.6</w:t>
            </w:r>
          </w:p>
        </w:tc>
        <w:tc>
          <w:tcPr>
            <w:tcW w:w="998" w:type="dxa"/>
            <w:shd w:val="clear" w:color="auto" w:fill="auto"/>
            <w:noWrap/>
            <w:vAlign w:val="center"/>
            <w:hideMark/>
          </w:tcPr>
          <w:p w14:paraId="662AD5DD" w14:textId="77777777" w:rsidR="00293087" w:rsidRPr="00015C5C" w:rsidRDefault="00293087" w:rsidP="0090167C">
            <w:pPr>
              <w:spacing w:after="0"/>
              <w:jc w:val="right"/>
              <w:rPr>
                <w:rStyle w:val="IntenseReference"/>
              </w:rPr>
            </w:pPr>
            <w:r w:rsidRPr="00015C5C">
              <w:rPr>
                <w:rStyle w:val="IntenseReference"/>
              </w:rPr>
              <w:t>0.3</w:t>
            </w:r>
          </w:p>
        </w:tc>
      </w:tr>
      <w:tr w:rsidR="00293087" w:rsidRPr="0090167C" w14:paraId="3B94CFC9" w14:textId="77777777" w:rsidTr="00293087">
        <w:trPr>
          <w:trHeight w:hRule="exact" w:val="227"/>
        </w:trPr>
        <w:tc>
          <w:tcPr>
            <w:tcW w:w="831" w:type="dxa"/>
            <w:vMerge/>
            <w:shd w:val="clear" w:color="auto" w:fill="auto"/>
            <w:noWrap/>
            <w:vAlign w:val="bottom"/>
            <w:hideMark/>
          </w:tcPr>
          <w:p w14:paraId="10F820F8" w14:textId="77777777" w:rsidR="00293087" w:rsidRPr="00015C5C" w:rsidRDefault="00293087" w:rsidP="0090167C">
            <w:pPr>
              <w:spacing w:after="0"/>
              <w:jc w:val="left"/>
              <w:rPr>
                <w:rStyle w:val="IntenseReference"/>
              </w:rPr>
            </w:pPr>
          </w:p>
        </w:tc>
        <w:tc>
          <w:tcPr>
            <w:tcW w:w="1007" w:type="dxa"/>
            <w:vMerge w:val="restart"/>
            <w:shd w:val="clear" w:color="auto" w:fill="auto"/>
            <w:noWrap/>
            <w:textDirection w:val="btLr"/>
            <w:vAlign w:val="bottom"/>
            <w:hideMark/>
          </w:tcPr>
          <w:p w14:paraId="1A15945A" w14:textId="77777777" w:rsidR="00293087" w:rsidRPr="00015C5C" w:rsidRDefault="00293087" w:rsidP="0090167C">
            <w:pPr>
              <w:spacing w:after="0"/>
              <w:ind w:left="113" w:right="113"/>
              <w:jc w:val="left"/>
              <w:rPr>
                <w:rStyle w:val="IntenseReference"/>
              </w:rPr>
            </w:pPr>
            <w:r w:rsidRPr="00015C5C">
              <w:rPr>
                <w:rStyle w:val="IntenseReference"/>
              </w:rPr>
              <w:t>Johnstone Russell-Mulgrave</w:t>
            </w:r>
          </w:p>
        </w:tc>
        <w:tc>
          <w:tcPr>
            <w:tcW w:w="1843" w:type="dxa"/>
            <w:vMerge w:val="restart"/>
            <w:shd w:val="clear" w:color="auto" w:fill="auto"/>
            <w:noWrap/>
            <w:vAlign w:val="center"/>
            <w:hideMark/>
          </w:tcPr>
          <w:p w14:paraId="48E8F465" w14:textId="77777777" w:rsidR="00293087" w:rsidRPr="00015C5C" w:rsidRDefault="00293087" w:rsidP="0090167C">
            <w:pPr>
              <w:spacing w:after="0"/>
              <w:jc w:val="left"/>
              <w:rPr>
                <w:rStyle w:val="IntenseReference"/>
              </w:rPr>
            </w:pPr>
            <w:r w:rsidRPr="00015C5C">
              <w:rPr>
                <w:rStyle w:val="IntenseReference"/>
              </w:rPr>
              <w:t>Fitzroy West</w:t>
            </w:r>
          </w:p>
        </w:tc>
        <w:tc>
          <w:tcPr>
            <w:tcW w:w="654" w:type="dxa"/>
            <w:shd w:val="clear" w:color="auto" w:fill="auto"/>
            <w:noWrap/>
            <w:vAlign w:val="center"/>
            <w:hideMark/>
          </w:tcPr>
          <w:p w14:paraId="2BF4AD45" w14:textId="77777777" w:rsidR="00293087" w:rsidRPr="00015C5C" w:rsidRDefault="00293087" w:rsidP="00293087">
            <w:pPr>
              <w:spacing w:after="0"/>
              <w:jc w:val="center"/>
              <w:rPr>
                <w:rStyle w:val="IntenseReference"/>
              </w:rPr>
            </w:pPr>
            <w:r w:rsidRPr="00015C5C">
              <w:rPr>
                <w:rStyle w:val="IntenseReference"/>
              </w:rPr>
              <w:t>2</w:t>
            </w:r>
          </w:p>
        </w:tc>
        <w:tc>
          <w:tcPr>
            <w:tcW w:w="1041" w:type="dxa"/>
          </w:tcPr>
          <w:p w14:paraId="64A7FD17" w14:textId="77777777" w:rsidR="00293087" w:rsidRPr="00015C5C" w:rsidRDefault="00F91616" w:rsidP="00F91616">
            <w:pPr>
              <w:spacing w:after="0"/>
              <w:jc w:val="center"/>
              <w:rPr>
                <w:rStyle w:val="IntenseReference"/>
              </w:rPr>
            </w:pPr>
            <w:r>
              <w:rPr>
                <w:rStyle w:val="IntenseReference"/>
              </w:rPr>
              <w:t>26-Jun</w:t>
            </w:r>
          </w:p>
        </w:tc>
        <w:tc>
          <w:tcPr>
            <w:tcW w:w="993" w:type="dxa"/>
            <w:shd w:val="clear" w:color="auto" w:fill="auto"/>
            <w:noWrap/>
            <w:vAlign w:val="center"/>
            <w:hideMark/>
          </w:tcPr>
          <w:p w14:paraId="1BA55112" w14:textId="77777777" w:rsidR="00293087" w:rsidRPr="00015C5C" w:rsidRDefault="00293087" w:rsidP="0090167C">
            <w:pPr>
              <w:spacing w:after="0"/>
              <w:jc w:val="right"/>
              <w:rPr>
                <w:rStyle w:val="IntenseReference"/>
              </w:rPr>
            </w:pPr>
            <w:r w:rsidRPr="00015C5C">
              <w:rPr>
                <w:rStyle w:val="IntenseReference"/>
              </w:rPr>
              <w:t>0.9</w:t>
            </w:r>
          </w:p>
        </w:tc>
        <w:tc>
          <w:tcPr>
            <w:tcW w:w="997" w:type="dxa"/>
            <w:shd w:val="clear" w:color="auto" w:fill="auto"/>
            <w:noWrap/>
            <w:vAlign w:val="center"/>
            <w:hideMark/>
          </w:tcPr>
          <w:p w14:paraId="3023E0BA" w14:textId="77777777" w:rsidR="00293087" w:rsidRPr="00015C5C" w:rsidRDefault="00293087" w:rsidP="0090167C">
            <w:pPr>
              <w:spacing w:after="0"/>
              <w:jc w:val="right"/>
              <w:rPr>
                <w:rStyle w:val="IntenseReference"/>
              </w:rPr>
            </w:pPr>
            <w:r w:rsidRPr="00015C5C">
              <w:rPr>
                <w:rStyle w:val="IntenseReference"/>
              </w:rPr>
              <w:t>2.5</w:t>
            </w:r>
          </w:p>
        </w:tc>
        <w:tc>
          <w:tcPr>
            <w:tcW w:w="987" w:type="dxa"/>
            <w:shd w:val="clear" w:color="auto" w:fill="auto"/>
            <w:noWrap/>
            <w:vAlign w:val="center"/>
            <w:hideMark/>
          </w:tcPr>
          <w:p w14:paraId="6B711A75" w14:textId="77777777" w:rsidR="00293087" w:rsidRPr="00015C5C" w:rsidRDefault="00293087" w:rsidP="0090167C">
            <w:pPr>
              <w:spacing w:after="0"/>
              <w:jc w:val="right"/>
              <w:rPr>
                <w:rStyle w:val="IntenseReference"/>
              </w:rPr>
            </w:pPr>
            <w:r w:rsidRPr="00015C5C">
              <w:rPr>
                <w:rStyle w:val="IntenseReference"/>
              </w:rPr>
              <w:t>8.6</w:t>
            </w:r>
          </w:p>
        </w:tc>
        <w:tc>
          <w:tcPr>
            <w:tcW w:w="998" w:type="dxa"/>
            <w:shd w:val="clear" w:color="auto" w:fill="auto"/>
            <w:noWrap/>
            <w:vAlign w:val="center"/>
            <w:hideMark/>
          </w:tcPr>
          <w:p w14:paraId="6D10E101" w14:textId="77777777" w:rsidR="00293087" w:rsidRPr="00015C5C" w:rsidRDefault="00293087" w:rsidP="0090167C">
            <w:pPr>
              <w:spacing w:after="0"/>
              <w:jc w:val="right"/>
              <w:rPr>
                <w:rStyle w:val="IntenseReference"/>
              </w:rPr>
            </w:pPr>
            <w:r w:rsidRPr="00015C5C">
              <w:rPr>
                <w:rStyle w:val="IntenseReference"/>
              </w:rPr>
              <w:t>-17.5</w:t>
            </w:r>
          </w:p>
        </w:tc>
      </w:tr>
      <w:tr w:rsidR="00293087" w:rsidRPr="0090167C" w14:paraId="17CC0752" w14:textId="77777777" w:rsidTr="00293087">
        <w:trPr>
          <w:trHeight w:hRule="exact" w:val="227"/>
        </w:trPr>
        <w:tc>
          <w:tcPr>
            <w:tcW w:w="831" w:type="dxa"/>
            <w:vMerge/>
            <w:shd w:val="clear" w:color="auto" w:fill="auto"/>
            <w:noWrap/>
            <w:vAlign w:val="bottom"/>
            <w:hideMark/>
          </w:tcPr>
          <w:p w14:paraId="56F42590" w14:textId="77777777" w:rsidR="00293087" w:rsidRPr="00015C5C" w:rsidRDefault="00293087" w:rsidP="0090167C">
            <w:pPr>
              <w:spacing w:after="0"/>
              <w:jc w:val="left"/>
              <w:rPr>
                <w:rStyle w:val="IntenseReference"/>
              </w:rPr>
            </w:pPr>
          </w:p>
        </w:tc>
        <w:tc>
          <w:tcPr>
            <w:tcW w:w="1007" w:type="dxa"/>
            <w:vMerge/>
            <w:shd w:val="clear" w:color="auto" w:fill="auto"/>
            <w:noWrap/>
            <w:textDirection w:val="btLr"/>
            <w:vAlign w:val="bottom"/>
            <w:hideMark/>
          </w:tcPr>
          <w:p w14:paraId="6F51F374" w14:textId="77777777" w:rsidR="00293087" w:rsidRPr="00015C5C" w:rsidRDefault="00293087" w:rsidP="0090167C">
            <w:pPr>
              <w:spacing w:after="0"/>
              <w:ind w:left="113" w:right="113"/>
              <w:jc w:val="left"/>
              <w:rPr>
                <w:rStyle w:val="IntenseReference"/>
              </w:rPr>
            </w:pPr>
          </w:p>
        </w:tc>
        <w:tc>
          <w:tcPr>
            <w:tcW w:w="1843" w:type="dxa"/>
            <w:vMerge/>
            <w:shd w:val="clear" w:color="auto" w:fill="auto"/>
            <w:noWrap/>
            <w:vAlign w:val="center"/>
            <w:hideMark/>
          </w:tcPr>
          <w:p w14:paraId="35F5A9CB" w14:textId="77777777" w:rsidR="00293087" w:rsidRPr="00015C5C" w:rsidRDefault="00293087" w:rsidP="0090167C">
            <w:pPr>
              <w:spacing w:after="0"/>
              <w:jc w:val="left"/>
              <w:rPr>
                <w:rStyle w:val="IntenseReference"/>
              </w:rPr>
            </w:pPr>
          </w:p>
        </w:tc>
        <w:tc>
          <w:tcPr>
            <w:tcW w:w="654" w:type="dxa"/>
            <w:shd w:val="clear" w:color="auto" w:fill="auto"/>
            <w:noWrap/>
            <w:vAlign w:val="center"/>
            <w:hideMark/>
          </w:tcPr>
          <w:p w14:paraId="2C7FA5F1" w14:textId="77777777" w:rsidR="00293087" w:rsidRPr="00015C5C" w:rsidRDefault="00293087" w:rsidP="00293087">
            <w:pPr>
              <w:spacing w:after="0"/>
              <w:jc w:val="center"/>
              <w:rPr>
                <w:rStyle w:val="IntenseReference"/>
              </w:rPr>
            </w:pPr>
            <w:r w:rsidRPr="00015C5C">
              <w:rPr>
                <w:rStyle w:val="IntenseReference"/>
              </w:rPr>
              <w:t>5</w:t>
            </w:r>
          </w:p>
        </w:tc>
        <w:tc>
          <w:tcPr>
            <w:tcW w:w="1041" w:type="dxa"/>
          </w:tcPr>
          <w:p w14:paraId="380DD62F" w14:textId="77777777" w:rsidR="00293087" w:rsidRPr="00015C5C" w:rsidRDefault="00F91616" w:rsidP="00F91616">
            <w:pPr>
              <w:spacing w:after="0"/>
              <w:jc w:val="center"/>
              <w:rPr>
                <w:rStyle w:val="IntenseReference"/>
              </w:rPr>
            </w:pPr>
            <w:r>
              <w:rPr>
                <w:rStyle w:val="IntenseReference"/>
              </w:rPr>
              <w:t>26-Jun</w:t>
            </w:r>
          </w:p>
        </w:tc>
        <w:tc>
          <w:tcPr>
            <w:tcW w:w="993" w:type="dxa"/>
            <w:shd w:val="clear" w:color="auto" w:fill="auto"/>
            <w:noWrap/>
            <w:vAlign w:val="center"/>
            <w:hideMark/>
          </w:tcPr>
          <w:p w14:paraId="05DE956E" w14:textId="77777777" w:rsidR="00293087" w:rsidRPr="00015C5C" w:rsidRDefault="00293087" w:rsidP="0090167C">
            <w:pPr>
              <w:spacing w:after="0"/>
              <w:jc w:val="right"/>
              <w:rPr>
                <w:rStyle w:val="IntenseReference"/>
              </w:rPr>
            </w:pPr>
            <w:r w:rsidRPr="00015C5C">
              <w:rPr>
                <w:rStyle w:val="IntenseReference"/>
              </w:rPr>
              <w:t>0.3</w:t>
            </w:r>
          </w:p>
        </w:tc>
        <w:tc>
          <w:tcPr>
            <w:tcW w:w="997" w:type="dxa"/>
            <w:shd w:val="clear" w:color="auto" w:fill="auto"/>
            <w:noWrap/>
            <w:vAlign w:val="center"/>
            <w:hideMark/>
          </w:tcPr>
          <w:p w14:paraId="471753F5" w14:textId="77777777" w:rsidR="00293087" w:rsidRPr="00015C5C" w:rsidRDefault="00293087" w:rsidP="0090167C">
            <w:pPr>
              <w:spacing w:after="0"/>
              <w:jc w:val="right"/>
              <w:rPr>
                <w:rStyle w:val="IntenseReference"/>
              </w:rPr>
            </w:pPr>
            <w:r w:rsidRPr="00015C5C">
              <w:rPr>
                <w:rStyle w:val="IntenseReference"/>
              </w:rPr>
              <w:t>4.4</w:t>
            </w:r>
          </w:p>
        </w:tc>
        <w:tc>
          <w:tcPr>
            <w:tcW w:w="987" w:type="dxa"/>
            <w:shd w:val="clear" w:color="auto" w:fill="auto"/>
            <w:noWrap/>
            <w:vAlign w:val="center"/>
            <w:hideMark/>
          </w:tcPr>
          <w:p w14:paraId="64FCC447" w14:textId="77777777" w:rsidR="00293087" w:rsidRPr="00015C5C" w:rsidRDefault="00293087" w:rsidP="0090167C">
            <w:pPr>
              <w:spacing w:after="0"/>
              <w:jc w:val="right"/>
              <w:rPr>
                <w:rStyle w:val="IntenseReference"/>
              </w:rPr>
            </w:pPr>
            <w:r w:rsidRPr="00015C5C">
              <w:rPr>
                <w:rStyle w:val="IntenseReference"/>
              </w:rPr>
              <w:t>13.9</w:t>
            </w:r>
          </w:p>
        </w:tc>
        <w:tc>
          <w:tcPr>
            <w:tcW w:w="998" w:type="dxa"/>
            <w:shd w:val="clear" w:color="auto" w:fill="auto"/>
            <w:noWrap/>
            <w:vAlign w:val="center"/>
            <w:hideMark/>
          </w:tcPr>
          <w:p w14:paraId="5002D5AC" w14:textId="77777777" w:rsidR="00293087" w:rsidRPr="00015C5C" w:rsidRDefault="00293087" w:rsidP="0090167C">
            <w:pPr>
              <w:spacing w:after="0"/>
              <w:jc w:val="right"/>
              <w:rPr>
                <w:rStyle w:val="IntenseReference"/>
              </w:rPr>
            </w:pPr>
            <w:r w:rsidRPr="00015C5C">
              <w:rPr>
                <w:rStyle w:val="IntenseReference"/>
              </w:rPr>
              <w:t>-20.6</w:t>
            </w:r>
          </w:p>
        </w:tc>
      </w:tr>
      <w:tr w:rsidR="00293087" w:rsidRPr="0090167C" w14:paraId="22E56F5F" w14:textId="77777777" w:rsidTr="00293087">
        <w:trPr>
          <w:trHeight w:hRule="exact" w:val="227"/>
        </w:trPr>
        <w:tc>
          <w:tcPr>
            <w:tcW w:w="831" w:type="dxa"/>
            <w:vMerge/>
            <w:shd w:val="clear" w:color="auto" w:fill="auto"/>
            <w:noWrap/>
            <w:vAlign w:val="bottom"/>
            <w:hideMark/>
          </w:tcPr>
          <w:p w14:paraId="0941947B" w14:textId="77777777" w:rsidR="00293087" w:rsidRPr="00015C5C" w:rsidRDefault="00293087" w:rsidP="0090167C">
            <w:pPr>
              <w:spacing w:after="0"/>
              <w:jc w:val="left"/>
              <w:rPr>
                <w:rStyle w:val="IntenseReference"/>
              </w:rPr>
            </w:pPr>
          </w:p>
        </w:tc>
        <w:tc>
          <w:tcPr>
            <w:tcW w:w="1007" w:type="dxa"/>
            <w:vMerge/>
            <w:shd w:val="clear" w:color="auto" w:fill="auto"/>
            <w:noWrap/>
            <w:textDirection w:val="btLr"/>
            <w:vAlign w:val="bottom"/>
            <w:hideMark/>
          </w:tcPr>
          <w:p w14:paraId="33E9F54C" w14:textId="77777777" w:rsidR="00293087" w:rsidRPr="00015C5C" w:rsidRDefault="00293087" w:rsidP="0090167C">
            <w:pPr>
              <w:spacing w:after="0"/>
              <w:ind w:left="113" w:right="113"/>
              <w:jc w:val="left"/>
              <w:rPr>
                <w:rStyle w:val="IntenseReference"/>
              </w:rPr>
            </w:pPr>
          </w:p>
        </w:tc>
        <w:tc>
          <w:tcPr>
            <w:tcW w:w="1843" w:type="dxa"/>
            <w:vMerge w:val="restart"/>
            <w:shd w:val="clear" w:color="auto" w:fill="auto"/>
            <w:noWrap/>
            <w:vAlign w:val="center"/>
            <w:hideMark/>
          </w:tcPr>
          <w:p w14:paraId="31742A72" w14:textId="77777777" w:rsidR="00293087" w:rsidRPr="00015C5C" w:rsidRDefault="00293087" w:rsidP="0090167C">
            <w:pPr>
              <w:spacing w:after="0"/>
              <w:jc w:val="left"/>
              <w:rPr>
                <w:rStyle w:val="IntenseReference"/>
              </w:rPr>
            </w:pPr>
            <w:r w:rsidRPr="00015C5C">
              <w:rPr>
                <w:rStyle w:val="IntenseReference"/>
              </w:rPr>
              <w:t>Franklands East</w:t>
            </w:r>
          </w:p>
        </w:tc>
        <w:tc>
          <w:tcPr>
            <w:tcW w:w="654" w:type="dxa"/>
            <w:shd w:val="clear" w:color="auto" w:fill="auto"/>
            <w:noWrap/>
            <w:vAlign w:val="center"/>
            <w:hideMark/>
          </w:tcPr>
          <w:p w14:paraId="508D15FA" w14:textId="77777777" w:rsidR="00293087" w:rsidRPr="00015C5C" w:rsidRDefault="00293087" w:rsidP="00293087">
            <w:pPr>
              <w:spacing w:after="0"/>
              <w:jc w:val="center"/>
              <w:rPr>
                <w:rStyle w:val="IntenseReference"/>
              </w:rPr>
            </w:pPr>
            <w:r w:rsidRPr="00015C5C">
              <w:rPr>
                <w:rStyle w:val="IntenseReference"/>
              </w:rPr>
              <w:t>2</w:t>
            </w:r>
          </w:p>
        </w:tc>
        <w:tc>
          <w:tcPr>
            <w:tcW w:w="1041" w:type="dxa"/>
          </w:tcPr>
          <w:p w14:paraId="4F910B5C" w14:textId="77777777" w:rsidR="00293087" w:rsidRPr="00015C5C" w:rsidRDefault="00F91616" w:rsidP="00F91616">
            <w:pPr>
              <w:spacing w:after="0"/>
              <w:jc w:val="center"/>
              <w:rPr>
                <w:rStyle w:val="IntenseReference"/>
              </w:rPr>
            </w:pPr>
            <w:r>
              <w:rPr>
                <w:rStyle w:val="IntenseReference"/>
              </w:rPr>
              <w:t>6-Aug</w:t>
            </w:r>
          </w:p>
        </w:tc>
        <w:tc>
          <w:tcPr>
            <w:tcW w:w="993" w:type="dxa"/>
            <w:shd w:val="clear" w:color="auto" w:fill="auto"/>
            <w:noWrap/>
            <w:vAlign w:val="center"/>
            <w:hideMark/>
          </w:tcPr>
          <w:p w14:paraId="0A6DA5B6" w14:textId="77777777" w:rsidR="00293087" w:rsidRPr="00015C5C" w:rsidRDefault="00293087" w:rsidP="0090167C">
            <w:pPr>
              <w:spacing w:after="0"/>
              <w:jc w:val="right"/>
              <w:rPr>
                <w:rStyle w:val="IntenseReference"/>
              </w:rPr>
            </w:pPr>
            <w:r w:rsidRPr="00015C5C">
              <w:rPr>
                <w:rStyle w:val="IntenseReference"/>
              </w:rPr>
              <w:t>0</w:t>
            </w:r>
          </w:p>
        </w:tc>
        <w:tc>
          <w:tcPr>
            <w:tcW w:w="997" w:type="dxa"/>
            <w:shd w:val="clear" w:color="auto" w:fill="auto"/>
            <w:noWrap/>
            <w:vAlign w:val="center"/>
            <w:hideMark/>
          </w:tcPr>
          <w:p w14:paraId="2B7AF010" w14:textId="77777777" w:rsidR="00293087" w:rsidRPr="00015C5C" w:rsidRDefault="00293087" w:rsidP="0090167C">
            <w:pPr>
              <w:spacing w:after="0"/>
              <w:jc w:val="right"/>
              <w:rPr>
                <w:rStyle w:val="IntenseReference"/>
              </w:rPr>
            </w:pPr>
            <w:r w:rsidRPr="00015C5C">
              <w:rPr>
                <w:rStyle w:val="IntenseReference"/>
              </w:rPr>
              <w:t>0.4</w:t>
            </w:r>
          </w:p>
        </w:tc>
        <w:tc>
          <w:tcPr>
            <w:tcW w:w="987" w:type="dxa"/>
            <w:shd w:val="clear" w:color="auto" w:fill="auto"/>
            <w:noWrap/>
            <w:vAlign w:val="center"/>
            <w:hideMark/>
          </w:tcPr>
          <w:p w14:paraId="26587174" w14:textId="77777777" w:rsidR="00293087" w:rsidRPr="00015C5C" w:rsidRDefault="00293087" w:rsidP="0090167C">
            <w:pPr>
              <w:spacing w:after="0"/>
              <w:jc w:val="right"/>
              <w:rPr>
                <w:rStyle w:val="IntenseReference"/>
              </w:rPr>
            </w:pPr>
            <w:r w:rsidRPr="00015C5C">
              <w:rPr>
                <w:rStyle w:val="IntenseReference"/>
              </w:rPr>
              <w:t>32.1</w:t>
            </w:r>
          </w:p>
        </w:tc>
        <w:tc>
          <w:tcPr>
            <w:tcW w:w="998" w:type="dxa"/>
            <w:shd w:val="clear" w:color="auto" w:fill="auto"/>
            <w:noWrap/>
            <w:vAlign w:val="center"/>
            <w:hideMark/>
          </w:tcPr>
          <w:p w14:paraId="2A05283D" w14:textId="77777777" w:rsidR="00293087" w:rsidRPr="00015C5C" w:rsidRDefault="00293087" w:rsidP="0090167C">
            <w:pPr>
              <w:spacing w:after="0"/>
              <w:jc w:val="right"/>
              <w:rPr>
                <w:rStyle w:val="IntenseReference"/>
              </w:rPr>
            </w:pPr>
            <w:r w:rsidRPr="00015C5C">
              <w:rPr>
                <w:rStyle w:val="IntenseReference"/>
              </w:rPr>
              <w:t>-5.9</w:t>
            </w:r>
          </w:p>
        </w:tc>
      </w:tr>
      <w:tr w:rsidR="00293087" w:rsidRPr="0090167C" w14:paraId="38F5F4A2" w14:textId="77777777" w:rsidTr="00293087">
        <w:trPr>
          <w:trHeight w:hRule="exact" w:val="227"/>
        </w:trPr>
        <w:tc>
          <w:tcPr>
            <w:tcW w:w="831" w:type="dxa"/>
            <w:vMerge/>
            <w:shd w:val="clear" w:color="auto" w:fill="auto"/>
            <w:noWrap/>
            <w:vAlign w:val="bottom"/>
            <w:hideMark/>
          </w:tcPr>
          <w:p w14:paraId="56EE66BA" w14:textId="77777777" w:rsidR="00293087" w:rsidRPr="00015C5C" w:rsidRDefault="00293087" w:rsidP="0090167C">
            <w:pPr>
              <w:spacing w:after="0"/>
              <w:jc w:val="left"/>
              <w:rPr>
                <w:rStyle w:val="IntenseReference"/>
              </w:rPr>
            </w:pPr>
          </w:p>
        </w:tc>
        <w:tc>
          <w:tcPr>
            <w:tcW w:w="1007" w:type="dxa"/>
            <w:vMerge/>
            <w:shd w:val="clear" w:color="auto" w:fill="auto"/>
            <w:noWrap/>
            <w:textDirection w:val="btLr"/>
            <w:vAlign w:val="bottom"/>
            <w:hideMark/>
          </w:tcPr>
          <w:p w14:paraId="12E7D7E6" w14:textId="77777777" w:rsidR="00293087" w:rsidRPr="00015C5C" w:rsidRDefault="00293087" w:rsidP="0090167C">
            <w:pPr>
              <w:spacing w:after="0"/>
              <w:ind w:left="113" w:right="113"/>
              <w:jc w:val="left"/>
              <w:rPr>
                <w:rStyle w:val="IntenseReference"/>
              </w:rPr>
            </w:pPr>
          </w:p>
        </w:tc>
        <w:tc>
          <w:tcPr>
            <w:tcW w:w="1843" w:type="dxa"/>
            <w:vMerge/>
            <w:shd w:val="clear" w:color="auto" w:fill="auto"/>
            <w:noWrap/>
            <w:vAlign w:val="center"/>
            <w:hideMark/>
          </w:tcPr>
          <w:p w14:paraId="63523C5D" w14:textId="77777777" w:rsidR="00293087" w:rsidRPr="00015C5C" w:rsidRDefault="00293087" w:rsidP="0090167C">
            <w:pPr>
              <w:spacing w:after="0"/>
              <w:jc w:val="left"/>
              <w:rPr>
                <w:rStyle w:val="IntenseReference"/>
              </w:rPr>
            </w:pPr>
          </w:p>
        </w:tc>
        <w:tc>
          <w:tcPr>
            <w:tcW w:w="654" w:type="dxa"/>
            <w:shd w:val="clear" w:color="auto" w:fill="auto"/>
            <w:noWrap/>
            <w:vAlign w:val="center"/>
            <w:hideMark/>
          </w:tcPr>
          <w:p w14:paraId="64E2A342" w14:textId="77777777" w:rsidR="00293087" w:rsidRPr="00015C5C" w:rsidRDefault="00293087" w:rsidP="00293087">
            <w:pPr>
              <w:spacing w:after="0"/>
              <w:jc w:val="center"/>
              <w:rPr>
                <w:rStyle w:val="IntenseReference"/>
              </w:rPr>
            </w:pPr>
            <w:r w:rsidRPr="00015C5C">
              <w:rPr>
                <w:rStyle w:val="IntenseReference"/>
              </w:rPr>
              <w:t>5</w:t>
            </w:r>
          </w:p>
        </w:tc>
        <w:tc>
          <w:tcPr>
            <w:tcW w:w="1041" w:type="dxa"/>
          </w:tcPr>
          <w:p w14:paraId="659E1542" w14:textId="77777777" w:rsidR="00293087" w:rsidRPr="00015C5C" w:rsidRDefault="00F91616" w:rsidP="00F91616">
            <w:pPr>
              <w:spacing w:after="0"/>
              <w:jc w:val="center"/>
              <w:rPr>
                <w:rStyle w:val="IntenseReference"/>
              </w:rPr>
            </w:pPr>
            <w:r>
              <w:rPr>
                <w:rStyle w:val="IntenseReference"/>
              </w:rPr>
              <w:t>6-Aug</w:t>
            </w:r>
          </w:p>
        </w:tc>
        <w:tc>
          <w:tcPr>
            <w:tcW w:w="993" w:type="dxa"/>
            <w:shd w:val="clear" w:color="auto" w:fill="auto"/>
            <w:noWrap/>
            <w:vAlign w:val="center"/>
            <w:hideMark/>
          </w:tcPr>
          <w:p w14:paraId="7CA26F99" w14:textId="77777777" w:rsidR="00293087" w:rsidRPr="00015C5C" w:rsidRDefault="00293087" w:rsidP="0090167C">
            <w:pPr>
              <w:spacing w:after="0"/>
              <w:jc w:val="right"/>
              <w:rPr>
                <w:rStyle w:val="IntenseReference"/>
              </w:rPr>
            </w:pPr>
            <w:r w:rsidRPr="00015C5C">
              <w:rPr>
                <w:rStyle w:val="IntenseReference"/>
              </w:rPr>
              <w:t>0.7</w:t>
            </w:r>
          </w:p>
        </w:tc>
        <w:tc>
          <w:tcPr>
            <w:tcW w:w="997" w:type="dxa"/>
            <w:shd w:val="clear" w:color="auto" w:fill="auto"/>
            <w:noWrap/>
            <w:vAlign w:val="center"/>
            <w:hideMark/>
          </w:tcPr>
          <w:p w14:paraId="7EA02CA0" w14:textId="77777777" w:rsidR="00293087" w:rsidRPr="00015C5C" w:rsidRDefault="00293087" w:rsidP="0090167C">
            <w:pPr>
              <w:spacing w:after="0"/>
              <w:jc w:val="right"/>
              <w:rPr>
                <w:rStyle w:val="IntenseReference"/>
              </w:rPr>
            </w:pPr>
            <w:r w:rsidRPr="00015C5C">
              <w:rPr>
                <w:rStyle w:val="IntenseReference"/>
              </w:rPr>
              <w:t>4.4</w:t>
            </w:r>
          </w:p>
        </w:tc>
        <w:tc>
          <w:tcPr>
            <w:tcW w:w="987" w:type="dxa"/>
            <w:shd w:val="clear" w:color="auto" w:fill="auto"/>
            <w:noWrap/>
            <w:vAlign w:val="center"/>
            <w:hideMark/>
          </w:tcPr>
          <w:p w14:paraId="61DCF3A1" w14:textId="77777777" w:rsidR="00293087" w:rsidRPr="00015C5C" w:rsidRDefault="00293087" w:rsidP="0090167C">
            <w:pPr>
              <w:spacing w:after="0"/>
              <w:jc w:val="right"/>
              <w:rPr>
                <w:rStyle w:val="IntenseReference"/>
              </w:rPr>
            </w:pPr>
            <w:r w:rsidRPr="00015C5C">
              <w:rPr>
                <w:rStyle w:val="IntenseReference"/>
              </w:rPr>
              <w:t>10.9</w:t>
            </w:r>
            <w:r>
              <w:rPr>
                <w:rStyle w:val="IntenseReference"/>
              </w:rPr>
              <w:t>*</w:t>
            </w:r>
          </w:p>
        </w:tc>
        <w:tc>
          <w:tcPr>
            <w:tcW w:w="998" w:type="dxa"/>
            <w:shd w:val="clear" w:color="auto" w:fill="auto"/>
            <w:noWrap/>
            <w:vAlign w:val="center"/>
            <w:hideMark/>
          </w:tcPr>
          <w:p w14:paraId="747B4AEA" w14:textId="77777777" w:rsidR="00293087" w:rsidRPr="00015C5C" w:rsidRDefault="00293087" w:rsidP="0090167C">
            <w:pPr>
              <w:spacing w:after="0"/>
              <w:jc w:val="right"/>
              <w:rPr>
                <w:rStyle w:val="IntenseReference"/>
              </w:rPr>
            </w:pPr>
            <w:r w:rsidRPr="00015C5C">
              <w:rPr>
                <w:rStyle w:val="IntenseReference"/>
              </w:rPr>
              <w:t>-23.4</w:t>
            </w:r>
          </w:p>
        </w:tc>
      </w:tr>
      <w:tr w:rsidR="00F91616" w:rsidRPr="0090167C" w14:paraId="61F7820D" w14:textId="77777777" w:rsidTr="00293087">
        <w:trPr>
          <w:trHeight w:hRule="exact" w:val="227"/>
        </w:trPr>
        <w:tc>
          <w:tcPr>
            <w:tcW w:w="831" w:type="dxa"/>
            <w:vMerge/>
            <w:shd w:val="clear" w:color="auto" w:fill="auto"/>
            <w:noWrap/>
            <w:vAlign w:val="bottom"/>
            <w:hideMark/>
          </w:tcPr>
          <w:p w14:paraId="4EB6CDFB" w14:textId="77777777" w:rsidR="00F91616" w:rsidRPr="00015C5C" w:rsidRDefault="00F91616" w:rsidP="00F91616">
            <w:pPr>
              <w:spacing w:after="0"/>
              <w:jc w:val="left"/>
              <w:rPr>
                <w:rStyle w:val="IntenseReference"/>
              </w:rPr>
            </w:pPr>
          </w:p>
        </w:tc>
        <w:tc>
          <w:tcPr>
            <w:tcW w:w="1007" w:type="dxa"/>
            <w:vMerge/>
            <w:shd w:val="clear" w:color="auto" w:fill="auto"/>
            <w:noWrap/>
            <w:textDirection w:val="btLr"/>
            <w:vAlign w:val="bottom"/>
            <w:hideMark/>
          </w:tcPr>
          <w:p w14:paraId="5608FBEF" w14:textId="77777777" w:rsidR="00F91616" w:rsidRPr="00015C5C" w:rsidRDefault="00F91616" w:rsidP="00F91616">
            <w:pPr>
              <w:spacing w:after="0"/>
              <w:ind w:left="113" w:right="113"/>
              <w:jc w:val="left"/>
              <w:rPr>
                <w:rStyle w:val="IntenseReference"/>
              </w:rPr>
            </w:pPr>
          </w:p>
        </w:tc>
        <w:tc>
          <w:tcPr>
            <w:tcW w:w="1843" w:type="dxa"/>
            <w:vMerge w:val="restart"/>
            <w:shd w:val="clear" w:color="auto" w:fill="auto"/>
            <w:noWrap/>
            <w:vAlign w:val="center"/>
            <w:hideMark/>
          </w:tcPr>
          <w:p w14:paraId="31B5F34A" w14:textId="77777777" w:rsidR="00F91616" w:rsidRPr="00015C5C" w:rsidRDefault="00F91616" w:rsidP="00F91616">
            <w:pPr>
              <w:spacing w:after="0"/>
              <w:jc w:val="left"/>
              <w:rPr>
                <w:rStyle w:val="IntenseReference"/>
              </w:rPr>
            </w:pPr>
            <w:r w:rsidRPr="00015C5C">
              <w:rPr>
                <w:rStyle w:val="IntenseReference"/>
              </w:rPr>
              <w:t>Franklands West</w:t>
            </w:r>
          </w:p>
        </w:tc>
        <w:tc>
          <w:tcPr>
            <w:tcW w:w="654" w:type="dxa"/>
            <w:shd w:val="clear" w:color="auto" w:fill="auto"/>
            <w:noWrap/>
            <w:vAlign w:val="center"/>
            <w:hideMark/>
          </w:tcPr>
          <w:p w14:paraId="2C433434"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29366BF5" w14:textId="77777777" w:rsidR="00F91616" w:rsidRPr="00015C5C" w:rsidRDefault="00F91616" w:rsidP="00F91616">
            <w:pPr>
              <w:spacing w:after="0"/>
              <w:jc w:val="center"/>
              <w:rPr>
                <w:rStyle w:val="IntenseReference"/>
              </w:rPr>
            </w:pPr>
            <w:r>
              <w:rPr>
                <w:rStyle w:val="IntenseReference"/>
              </w:rPr>
              <w:t>6-Aug</w:t>
            </w:r>
          </w:p>
        </w:tc>
        <w:tc>
          <w:tcPr>
            <w:tcW w:w="993" w:type="dxa"/>
            <w:shd w:val="clear" w:color="auto" w:fill="auto"/>
            <w:noWrap/>
            <w:vAlign w:val="center"/>
            <w:hideMark/>
          </w:tcPr>
          <w:p w14:paraId="27D87145" w14:textId="77777777" w:rsidR="00F91616" w:rsidRPr="00015C5C" w:rsidRDefault="00F91616" w:rsidP="00F91616">
            <w:pPr>
              <w:spacing w:after="0"/>
              <w:jc w:val="right"/>
              <w:rPr>
                <w:rStyle w:val="IntenseReference"/>
              </w:rPr>
            </w:pPr>
            <w:r w:rsidRPr="00015C5C">
              <w:rPr>
                <w:rStyle w:val="IntenseReference"/>
              </w:rPr>
              <w:t>0</w:t>
            </w:r>
          </w:p>
        </w:tc>
        <w:tc>
          <w:tcPr>
            <w:tcW w:w="997" w:type="dxa"/>
            <w:shd w:val="clear" w:color="auto" w:fill="auto"/>
            <w:noWrap/>
            <w:vAlign w:val="center"/>
            <w:hideMark/>
          </w:tcPr>
          <w:p w14:paraId="357E20AF" w14:textId="77777777" w:rsidR="00F91616" w:rsidRPr="00015C5C" w:rsidRDefault="00F91616" w:rsidP="00F91616">
            <w:pPr>
              <w:spacing w:after="0"/>
              <w:jc w:val="right"/>
              <w:rPr>
                <w:rStyle w:val="IntenseReference"/>
              </w:rPr>
            </w:pPr>
            <w:r w:rsidRPr="00015C5C">
              <w:rPr>
                <w:rStyle w:val="IntenseReference"/>
              </w:rPr>
              <w:t>1.1</w:t>
            </w:r>
          </w:p>
        </w:tc>
        <w:tc>
          <w:tcPr>
            <w:tcW w:w="987" w:type="dxa"/>
            <w:shd w:val="clear" w:color="auto" w:fill="auto"/>
            <w:noWrap/>
            <w:vAlign w:val="center"/>
            <w:hideMark/>
          </w:tcPr>
          <w:p w14:paraId="42B8B164" w14:textId="77777777" w:rsidR="00F91616" w:rsidRPr="00015C5C" w:rsidRDefault="00F91616" w:rsidP="00F91616">
            <w:pPr>
              <w:spacing w:after="0"/>
              <w:jc w:val="right"/>
              <w:rPr>
                <w:rStyle w:val="IntenseReference"/>
              </w:rPr>
            </w:pPr>
            <w:r w:rsidRPr="00015C5C">
              <w:rPr>
                <w:rStyle w:val="IntenseReference"/>
              </w:rPr>
              <w:t>25.4</w:t>
            </w:r>
            <w:r>
              <w:rPr>
                <w:rStyle w:val="IntenseReference"/>
              </w:rPr>
              <w:t>*</w:t>
            </w:r>
          </w:p>
        </w:tc>
        <w:tc>
          <w:tcPr>
            <w:tcW w:w="998" w:type="dxa"/>
            <w:shd w:val="clear" w:color="auto" w:fill="auto"/>
            <w:noWrap/>
            <w:vAlign w:val="center"/>
            <w:hideMark/>
          </w:tcPr>
          <w:p w14:paraId="427A1EAC" w14:textId="77777777" w:rsidR="00F91616" w:rsidRPr="00015C5C" w:rsidRDefault="00F91616" w:rsidP="00F91616">
            <w:pPr>
              <w:spacing w:after="0"/>
              <w:jc w:val="right"/>
              <w:rPr>
                <w:rStyle w:val="IntenseReference"/>
              </w:rPr>
            </w:pPr>
            <w:r w:rsidRPr="00015C5C">
              <w:rPr>
                <w:rStyle w:val="IntenseReference"/>
              </w:rPr>
              <w:t>-14.8</w:t>
            </w:r>
          </w:p>
        </w:tc>
      </w:tr>
      <w:tr w:rsidR="00F91616" w:rsidRPr="0090167C" w14:paraId="72F0B7B5" w14:textId="77777777" w:rsidTr="00293087">
        <w:trPr>
          <w:trHeight w:hRule="exact" w:val="227"/>
        </w:trPr>
        <w:tc>
          <w:tcPr>
            <w:tcW w:w="831" w:type="dxa"/>
            <w:vMerge/>
            <w:shd w:val="clear" w:color="auto" w:fill="auto"/>
            <w:noWrap/>
            <w:vAlign w:val="bottom"/>
            <w:hideMark/>
          </w:tcPr>
          <w:p w14:paraId="6F451731" w14:textId="77777777" w:rsidR="00F91616" w:rsidRPr="00015C5C" w:rsidRDefault="00F91616" w:rsidP="00F91616">
            <w:pPr>
              <w:spacing w:after="0"/>
              <w:jc w:val="left"/>
              <w:rPr>
                <w:rStyle w:val="IntenseReference"/>
              </w:rPr>
            </w:pPr>
          </w:p>
        </w:tc>
        <w:tc>
          <w:tcPr>
            <w:tcW w:w="1007" w:type="dxa"/>
            <w:vMerge/>
            <w:shd w:val="clear" w:color="auto" w:fill="auto"/>
            <w:noWrap/>
            <w:textDirection w:val="btLr"/>
            <w:vAlign w:val="bottom"/>
            <w:hideMark/>
          </w:tcPr>
          <w:p w14:paraId="4897B746" w14:textId="77777777" w:rsidR="00F91616" w:rsidRPr="00015C5C" w:rsidRDefault="00F91616" w:rsidP="00F91616">
            <w:pPr>
              <w:spacing w:after="0"/>
              <w:ind w:left="113" w:right="113"/>
              <w:jc w:val="left"/>
              <w:rPr>
                <w:rStyle w:val="IntenseReference"/>
              </w:rPr>
            </w:pPr>
          </w:p>
        </w:tc>
        <w:tc>
          <w:tcPr>
            <w:tcW w:w="1843" w:type="dxa"/>
            <w:vMerge/>
            <w:shd w:val="clear" w:color="auto" w:fill="auto"/>
            <w:noWrap/>
            <w:vAlign w:val="center"/>
            <w:hideMark/>
          </w:tcPr>
          <w:p w14:paraId="7F5ED7A9"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7484696D"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16CD5E54" w14:textId="77777777" w:rsidR="00F91616" w:rsidRPr="00015C5C" w:rsidRDefault="00F91616" w:rsidP="00F91616">
            <w:pPr>
              <w:spacing w:after="0"/>
              <w:jc w:val="center"/>
              <w:rPr>
                <w:rStyle w:val="IntenseReference"/>
              </w:rPr>
            </w:pPr>
            <w:r>
              <w:rPr>
                <w:rStyle w:val="IntenseReference"/>
              </w:rPr>
              <w:t>6-Aug</w:t>
            </w:r>
          </w:p>
        </w:tc>
        <w:tc>
          <w:tcPr>
            <w:tcW w:w="993" w:type="dxa"/>
            <w:shd w:val="clear" w:color="auto" w:fill="auto"/>
            <w:noWrap/>
            <w:vAlign w:val="center"/>
            <w:hideMark/>
          </w:tcPr>
          <w:p w14:paraId="5FA88D5D" w14:textId="77777777" w:rsidR="00F91616" w:rsidRPr="00015C5C" w:rsidRDefault="00F91616" w:rsidP="00F91616">
            <w:pPr>
              <w:spacing w:after="0"/>
              <w:jc w:val="right"/>
              <w:rPr>
                <w:rStyle w:val="IntenseReference"/>
              </w:rPr>
            </w:pPr>
            <w:r w:rsidRPr="00015C5C">
              <w:rPr>
                <w:rStyle w:val="IntenseReference"/>
              </w:rPr>
              <w:t>0</w:t>
            </w:r>
          </w:p>
        </w:tc>
        <w:tc>
          <w:tcPr>
            <w:tcW w:w="997" w:type="dxa"/>
            <w:shd w:val="clear" w:color="auto" w:fill="auto"/>
            <w:noWrap/>
            <w:vAlign w:val="center"/>
            <w:hideMark/>
          </w:tcPr>
          <w:p w14:paraId="6044023F" w14:textId="77777777" w:rsidR="00F91616" w:rsidRPr="00015C5C" w:rsidRDefault="00F91616" w:rsidP="00F91616">
            <w:pPr>
              <w:spacing w:after="0"/>
              <w:jc w:val="right"/>
              <w:rPr>
                <w:rStyle w:val="IntenseReference"/>
              </w:rPr>
            </w:pPr>
            <w:r w:rsidRPr="00015C5C">
              <w:rPr>
                <w:rStyle w:val="IntenseReference"/>
              </w:rPr>
              <w:t>0</w:t>
            </w:r>
          </w:p>
        </w:tc>
        <w:tc>
          <w:tcPr>
            <w:tcW w:w="987" w:type="dxa"/>
            <w:shd w:val="clear" w:color="auto" w:fill="auto"/>
            <w:noWrap/>
            <w:vAlign w:val="center"/>
            <w:hideMark/>
          </w:tcPr>
          <w:p w14:paraId="2C172672" w14:textId="77777777" w:rsidR="00F91616" w:rsidRPr="00015C5C" w:rsidRDefault="00F91616" w:rsidP="00F91616">
            <w:pPr>
              <w:spacing w:after="0"/>
              <w:jc w:val="right"/>
              <w:rPr>
                <w:rStyle w:val="IntenseReference"/>
              </w:rPr>
            </w:pPr>
            <w:r w:rsidRPr="00015C5C">
              <w:rPr>
                <w:rStyle w:val="IntenseReference"/>
              </w:rPr>
              <w:t>32.0</w:t>
            </w:r>
          </w:p>
        </w:tc>
        <w:tc>
          <w:tcPr>
            <w:tcW w:w="998" w:type="dxa"/>
            <w:shd w:val="clear" w:color="auto" w:fill="auto"/>
            <w:noWrap/>
            <w:vAlign w:val="center"/>
            <w:hideMark/>
          </w:tcPr>
          <w:p w14:paraId="0F2AAB0C" w14:textId="77777777" w:rsidR="00F91616" w:rsidRPr="00015C5C" w:rsidRDefault="00F91616" w:rsidP="00F91616">
            <w:pPr>
              <w:spacing w:after="0"/>
              <w:jc w:val="right"/>
              <w:rPr>
                <w:rStyle w:val="IntenseReference"/>
              </w:rPr>
            </w:pPr>
            <w:r w:rsidRPr="00015C5C">
              <w:rPr>
                <w:rStyle w:val="IntenseReference"/>
              </w:rPr>
              <w:t>-18.4</w:t>
            </w:r>
          </w:p>
        </w:tc>
      </w:tr>
      <w:tr w:rsidR="00F91616" w:rsidRPr="0090167C" w14:paraId="2EA44CB4" w14:textId="77777777" w:rsidTr="00293087">
        <w:trPr>
          <w:trHeight w:hRule="exact" w:val="227"/>
        </w:trPr>
        <w:tc>
          <w:tcPr>
            <w:tcW w:w="831" w:type="dxa"/>
            <w:vMerge/>
            <w:shd w:val="clear" w:color="auto" w:fill="auto"/>
            <w:noWrap/>
            <w:vAlign w:val="bottom"/>
            <w:hideMark/>
          </w:tcPr>
          <w:p w14:paraId="17C49E7B" w14:textId="77777777" w:rsidR="00F91616" w:rsidRPr="00015C5C" w:rsidRDefault="00F91616" w:rsidP="00F91616">
            <w:pPr>
              <w:spacing w:after="0"/>
              <w:jc w:val="left"/>
              <w:rPr>
                <w:rStyle w:val="IntenseReference"/>
              </w:rPr>
            </w:pPr>
          </w:p>
        </w:tc>
        <w:tc>
          <w:tcPr>
            <w:tcW w:w="1007" w:type="dxa"/>
            <w:vMerge/>
            <w:shd w:val="clear" w:color="auto" w:fill="auto"/>
            <w:noWrap/>
            <w:textDirection w:val="btLr"/>
            <w:vAlign w:val="bottom"/>
            <w:hideMark/>
          </w:tcPr>
          <w:p w14:paraId="6D0094BF" w14:textId="77777777" w:rsidR="00F91616" w:rsidRPr="00015C5C" w:rsidRDefault="00F91616" w:rsidP="00F91616">
            <w:pPr>
              <w:spacing w:after="0"/>
              <w:ind w:left="113" w:right="113"/>
              <w:jc w:val="left"/>
              <w:rPr>
                <w:rStyle w:val="IntenseReference"/>
              </w:rPr>
            </w:pPr>
          </w:p>
        </w:tc>
        <w:tc>
          <w:tcPr>
            <w:tcW w:w="1843" w:type="dxa"/>
            <w:vMerge w:val="restart"/>
            <w:shd w:val="clear" w:color="auto" w:fill="auto"/>
            <w:noWrap/>
            <w:vAlign w:val="center"/>
            <w:hideMark/>
          </w:tcPr>
          <w:p w14:paraId="4A5748D7" w14:textId="77777777" w:rsidR="00F91616" w:rsidRPr="00015C5C" w:rsidRDefault="00F91616" w:rsidP="00F91616">
            <w:pPr>
              <w:spacing w:after="0"/>
              <w:jc w:val="left"/>
              <w:rPr>
                <w:rStyle w:val="IntenseReference"/>
              </w:rPr>
            </w:pPr>
            <w:r w:rsidRPr="00015C5C">
              <w:rPr>
                <w:rStyle w:val="IntenseReference"/>
              </w:rPr>
              <w:t>High East</w:t>
            </w:r>
          </w:p>
        </w:tc>
        <w:tc>
          <w:tcPr>
            <w:tcW w:w="654" w:type="dxa"/>
            <w:shd w:val="clear" w:color="auto" w:fill="auto"/>
            <w:noWrap/>
            <w:vAlign w:val="center"/>
            <w:hideMark/>
          </w:tcPr>
          <w:p w14:paraId="119237DA"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31754E35" w14:textId="77777777" w:rsidR="00F91616" w:rsidRPr="00015C5C" w:rsidRDefault="00F91616" w:rsidP="00F91616">
            <w:pPr>
              <w:spacing w:after="0"/>
              <w:jc w:val="center"/>
              <w:rPr>
                <w:rStyle w:val="IntenseReference"/>
              </w:rPr>
            </w:pPr>
            <w:r>
              <w:rPr>
                <w:rStyle w:val="IntenseReference"/>
              </w:rPr>
              <w:t>25-Jun</w:t>
            </w:r>
          </w:p>
        </w:tc>
        <w:tc>
          <w:tcPr>
            <w:tcW w:w="993" w:type="dxa"/>
            <w:shd w:val="clear" w:color="auto" w:fill="auto"/>
            <w:noWrap/>
            <w:vAlign w:val="center"/>
            <w:hideMark/>
          </w:tcPr>
          <w:p w14:paraId="7C4620F1" w14:textId="77777777" w:rsidR="00F91616" w:rsidRPr="00015C5C" w:rsidRDefault="00F91616" w:rsidP="00F91616">
            <w:pPr>
              <w:spacing w:after="0"/>
              <w:jc w:val="right"/>
              <w:rPr>
                <w:rStyle w:val="IntenseReference"/>
              </w:rPr>
            </w:pPr>
            <w:r w:rsidRPr="00015C5C">
              <w:rPr>
                <w:rStyle w:val="IntenseReference"/>
              </w:rPr>
              <w:t>0.5</w:t>
            </w:r>
          </w:p>
        </w:tc>
        <w:tc>
          <w:tcPr>
            <w:tcW w:w="997" w:type="dxa"/>
            <w:shd w:val="clear" w:color="auto" w:fill="auto"/>
            <w:noWrap/>
            <w:vAlign w:val="center"/>
            <w:hideMark/>
          </w:tcPr>
          <w:p w14:paraId="296AA7A7" w14:textId="77777777" w:rsidR="00F91616" w:rsidRPr="00015C5C" w:rsidRDefault="00F91616" w:rsidP="00F91616">
            <w:pPr>
              <w:spacing w:after="0"/>
              <w:jc w:val="right"/>
              <w:rPr>
                <w:rStyle w:val="IntenseReference"/>
              </w:rPr>
            </w:pPr>
            <w:r w:rsidRPr="00015C5C">
              <w:rPr>
                <w:rStyle w:val="IntenseReference"/>
              </w:rPr>
              <w:t>2.6</w:t>
            </w:r>
          </w:p>
        </w:tc>
        <w:tc>
          <w:tcPr>
            <w:tcW w:w="987" w:type="dxa"/>
            <w:shd w:val="clear" w:color="auto" w:fill="auto"/>
            <w:noWrap/>
            <w:vAlign w:val="center"/>
            <w:hideMark/>
          </w:tcPr>
          <w:p w14:paraId="7BAE6CEF" w14:textId="77777777" w:rsidR="00F91616" w:rsidRPr="00015C5C" w:rsidRDefault="00F91616" w:rsidP="00F91616">
            <w:pPr>
              <w:spacing w:after="0"/>
              <w:jc w:val="right"/>
              <w:rPr>
                <w:rStyle w:val="IntenseReference"/>
              </w:rPr>
            </w:pPr>
            <w:r w:rsidRPr="00015C5C">
              <w:rPr>
                <w:rStyle w:val="IntenseReference"/>
              </w:rPr>
              <w:t>28.9</w:t>
            </w:r>
          </w:p>
        </w:tc>
        <w:tc>
          <w:tcPr>
            <w:tcW w:w="998" w:type="dxa"/>
            <w:shd w:val="clear" w:color="auto" w:fill="auto"/>
            <w:noWrap/>
            <w:vAlign w:val="center"/>
            <w:hideMark/>
          </w:tcPr>
          <w:p w14:paraId="6D9600A9" w14:textId="77777777" w:rsidR="00F91616" w:rsidRPr="00015C5C" w:rsidRDefault="00F91616" w:rsidP="00F91616">
            <w:pPr>
              <w:spacing w:after="0"/>
              <w:jc w:val="right"/>
              <w:rPr>
                <w:rStyle w:val="IntenseReference"/>
              </w:rPr>
            </w:pPr>
            <w:r w:rsidRPr="00015C5C">
              <w:rPr>
                <w:rStyle w:val="IntenseReference"/>
              </w:rPr>
              <w:t>-23.1</w:t>
            </w:r>
          </w:p>
        </w:tc>
      </w:tr>
      <w:tr w:rsidR="00F91616" w:rsidRPr="0090167C" w14:paraId="2C4738F1" w14:textId="77777777" w:rsidTr="00293087">
        <w:trPr>
          <w:trHeight w:hRule="exact" w:val="227"/>
        </w:trPr>
        <w:tc>
          <w:tcPr>
            <w:tcW w:w="831" w:type="dxa"/>
            <w:vMerge/>
            <w:shd w:val="clear" w:color="auto" w:fill="auto"/>
            <w:noWrap/>
            <w:vAlign w:val="bottom"/>
            <w:hideMark/>
          </w:tcPr>
          <w:p w14:paraId="701F7239" w14:textId="77777777" w:rsidR="00F91616" w:rsidRPr="00015C5C" w:rsidRDefault="00F91616" w:rsidP="00F91616">
            <w:pPr>
              <w:spacing w:after="0"/>
              <w:jc w:val="left"/>
              <w:rPr>
                <w:rStyle w:val="IntenseReference"/>
              </w:rPr>
            </w:pPr>
          </w:p>
        </w:tc>
        <w:tc>
          <w:tcPr>
            <w:tcW w:w="1007" w:type="dxa"/>
            <w:vMerge/>
            <w:shd w:val="clear" w:color="auto" w:fill="auto"/>
            <w:noWrap/>
            <w:textDirection w:val="btLr"/>
            <w:vAlign w:val="bottom"/>
            <w:hideMark/>
          </w:tcPr>
          <w:p w14:paraId="016DF6F0" w14:textId="77777777" w:rsidR="00F91616" w:rsidRPr="00015C5C" w:rsidRDefault="00F91616" w:rsidP="00F91616">
            <w:pPr>
              <w:spacing w:after="0"/>
              <w:ind w:left="113" w:right="113"/>
              <w:jc w:val="left"/>
              <w:rPr>
                <w:rStyle w:val="IntenseReference"/>
              </w:rPr>
            </w:pPr>
          </w:p>
        </w:tc>
        <w:tc>
          <w:tcPr>
            <w:tcW w:w="1843" w:type="dxa"/>
            <w:vMerge/>
            <w:shd w:val="clear" w:color="auto" w:fill="auto"/>
            <w:noWrap/>
            <w:vAlign w:val="center"/>
            <w:hideMark/>
          </w:tcPr>
          <w:p w14:paraId="72A6FCF9"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0B43C79C"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424D60F2" w14:textId="77777777" w:rsidR="00F91616" w:rsidRPr="00015C5C" w:rsidRDefault="00F91616" w:rsidP="00F91616">
            <w:pPr>
              <w:spacing w:after="0"/>
              <w:jc w:val="center"/>
              <w:rPr>
                <w:rStyle w:val="IntenseReference"/>
              </w:rPr>
            </w:pPr>
            <w:r>
              <w:rPr>
                <w:rStyle w:val="IntenseReference"/>
              </w:rPr>
              <w:t>25-Jun</w:t>
            </w:r>
          </w:p>
        </w:tc>
        <w:tc>
          <w:tcPr>
            <w:tcW w:w="993" w:type="dxa"/>
            <w:shd w:val="clear" w:color="auto" w:fill="auto"/>
            <w:noWrap/>
            <w:vAlign w:val="center"/>
            <w:hideMark/>
          </w:tcPr>
          <w:p w14:paraId="2D8D0360" w14:textId="77777777" w:rsidR="00F91616" w:rsidRPr="00015C5C" w:rsidRDefault="00F91616" w:rsidP="00F91616">
            <w:pPr>
              <w:spacing w:after="0"/>
              <w:jc w:val="right"/>
              <w:rPr>
                <w:rStyle w:val="IntenseReference"/>
              </w:rPr>
            </w:pPr>
            <w:r w:rsidRPr="00015C5C">
              <w:rPr>
                <w:rStyle w:val="IntenseReference"/>
              </w:rPr>
              <w:t>0.7</w:t>
            </w:r>
          </w:p>
        </w:tc>
        <w:tc>
          <w:tcPr>
            <w:tcW w:w="997" w:type="dxa"/>
            <w:shd w:val="clear" w:color="auto" w:fill="auto"/>
            <w:noWrap/>
            <w:vAlign w:val="center"/>
            <w:hideMark/>
          </w:tcPr>
          <w:p w14:paraId="15C73D17" w14:textId="77777777" w:rsidR="00F91616" w:rsidRPr="00015C5C" w:rsidRDefault="00F91616" w:rsidP="00F91616">
            <w:pPr>
              <w:spacing w:after="0"/>
              <w:jc w:val="right"/>
              <w:rPr>
                <w:rStyle w:val="IntenseReference"/>
              </w:rPr>
            </w:pPr>
            <w:r w:rsidRPr="00015C5C">
              <w:rPr>
                <w:rStyle w:val="IntenseReference"/>
              </w:rPr>
              <w:t>7.3</w:t>
            </w:r>
          </w:p>
        </w:tc>
        <w:tc>
          <w:tcPr>
            <w:tcW w:w="987" w:type="dxa"/>
            <w:shd w:val="clear" w:color="auto" w:fill="auto"/>
            <w:noWrap/>
            <w:vAlign w:val="center"/>
            <w:hideMark/>
          </w:tcPr>
          <w:p w14:paraId="177F4C36" w14:textId="77777777" w:rsidR="00F91616" w:rsidRPr="00015C5C" w:rsidRDefault="00F91616" w:rsidP="00F91616">
            <w:pPr>
              <w:spacing w:after="0"/>
              <w:jc w:val="right"/>
              <w:rPr>
                <w:rStyle w:val="IntenseReference"/>
              </w:rPr>
            </w:pPr>
            <w:r w:rsidRPr="00015C5C">
              <w:rPr>
                <w:rStyle w:val="IntenseReference"/>
              </w:rPr>
              <w:t>-2.7</w:t>
            </w:r>
          </w:p>
        </w:tc>
        <w:tc>
          <w:tcPr>
            <w:tcW w:w="998" w:type="dxa"/>
            <w:shd w:val="clear" w:color="auto" w:fill="auto"/>
            <w:noWrap/>
            <w:vAlign w:val="center"/>
            <w:hideMark/>
          </w:tcPr>
          <w:p w14:paraId="099B7795" w14:textId="77777777" w:rsidR="00F91616" w:rsidRPr="00015C5C" w:rsidRDefault="00F91616" w:rsidP="00F91616">
            <w:pPr>
              <w:spacing w:after="0"/>
              <w:jc w:val="right"/>
              <w:rPr>
                <w:rStyle w:val="IntenseReference"/>
              </w:rPr>
            </w:pPr>
            <w:r w:rsidRPr="00015C5C">
              <w:rPr>
                <w:rStyle w:val="IntenseReference"/>
              </w:rPr>
              <w:t>-5.4</w:t>
            </w:r>
          </w:p>
        </w:tc>
      </w:tr>
      <w:tr w:rsidR="00F91616" w:rsidRPr="0090167C" w14:paraId="30854D83" w14:textId="77777777" w:rsidTr="00293087">
        <w:trPr>
          <w:trHeight w:hRule="exact" w:val="227"/>
        </w:trPr>
        <w:tc>
          <w:tcPr>
            <w:tcW w:w="831" w:type="dxa"/>
            <w:vMerge/>
            <w:shd w:val="clear" w:color="auto" w:fill="auto"/>
            <w:noWrap/>
            <w:vAlign w:val="bottom"/>
            <w:hideMark/>
          </w:tcPr>
          <w:p w14:paraId="436036AA" w14:textId="77777777" w:rsidR="00F91616" w:rsidRPr="00015C5C" w:rsidRDefault="00F91616" w:rsidP="00F91616">
            <w:pPr>
              <w:spacing w:after="0"/>
              <w:jc w:val="left"/>
              <w:rPr>
                <w:rStyle w:val="IntenseReference"/>
              </w:rPr>
            </w:pPr>
          </w:p>
        </w:tc>
        <w:tc>
          <w:tcPr>
            <w:tcW w:w="1007" w:type="dxa"/>
            <w:vMerge/>
            <w:shd w:val="clear" w:color="auto" w:fill="auto"/>
            <w:noWrap/>
            <w:textDirection w:val="btLr"/>
            <w:vAlign w:val="bottom"/>
            <w:hideMark/>
          </w:tcPr>
          <w:p w14:paraId="5D1DEBAD" w14:textId="77777777" w:rsidR="00F91616" w:rsidRPr="00015C5C" w:rsidRDefault="00F91616" w:rsidP="00F91616">
            <w:pPr>
              <w:spacing w:after="0"/>
              <w:ind w:left="113" w:right="113"/>
              <w:jc w:val="left"/>
              <w:rPr>
                <w:rStyle w:val="IntenseReference"/>
              </w:rPr>
            </w:pPr>
          </w:p>
        </w:tc>
        <w:tc>
          <w:tcPr>
            <w:tcW w:w="1843" w:type="dxa"/>
            <w:vMerge w:val="restart"/>
            <w:shd w:val="clear" w:color="auto" w:fill="auto"/>
            <w:noWrap/>
            <w:vAlign w:val="center"/>
            <w:hideMark/>
          </w:tcPr>
          <w:p w14:paraId="5FE73678" w14:textId="77777777" w:rsidR="00F91616" w:rsidRPr="00015C5C" w:rsidRDefault="00F91616" w:rsidP="00F91616">
            <w:pPr>
              <w:spacing w:after="0"/>
              <w:jc w:val="left"/>
              <w:rPr>
                <w:rStyle w:val="IntenseReference"/>
              </w:rPr>
            </w:pPr>
            <w:r w:rsidRPr="00015C5C">
              <w:rPr>
                <w:rStyle w:val="IntenseReference"/>
              </w:rPr>
              <w:t>High West</w:t>
            </w:r>
          </w:p>
        </w:tc>
        <w:tc>
          <w:tcPr>
            <w:tcW w:w="654" w:type="dxa"/>
            <w:shd w:val="clear" w:color="auto" w:fill="auto"/>
            <w:noWrap/>
            <w:vAlign w:val="center"/>
            <w:hideMark/>
          </w:tcPr>
          <w:p w14:paraId="442185A4"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5510BB92" w14:textId="77777777" w:rsidR="00F91616" w:rsidRPr="00015C5C" w:rsidRDefault="00F91616" w:rsidP="00F91616">
            <w:pPr>
              <w:spacing w:after="0"/>
              <w:jc w:val="center"/>
              <w:rPr>
                <w:rStyle w:val="IntenseReference"/>
              </w:rPr>
            </w:pPr>
            <w:r>
              <w:rPr>
                <w:rStyle w:val="IntenseReference"/>
              </w:rPr>
              <w:t>25-Jun</w:t>
            </w:r>
          </w:p>
        </w:tc>
        <w:tc>
          <w:tcPr>
            <w:tcW w:w="993" w:type="dxa"/>
            <w:shd w:val="clear" w:color="auto" w:fill="auto"/>
            <w:noWrap/>
            <w:vAlign w:val="center"/>
            <w:hideMark/>
          </w:tcPr>
          <w:p w14:paraId="7DF8A574" w14:textId="77777777" w:rsidR="00F91616" w:rsidRPr="00015C5C" w:rsidRDefault="00F91616" w:rsidP="00F91616">
            <w:pPr>
              <w:spacing w:after="0"/>
              <w:jc w:val="right"/>
              <w:rPr>
                <w:rStyle w:val="IntenseReference"/>
              </w:rPr>
            </w:pPr>
            <w:r w:rsidRPr="00015C5C">
              <w:rPr>
                <w:rStyle w:val="IntenseReference"/>
              </w:rPr>
              <w:t>0.1</w:t>
            </w:r>
          </w:p>
        </w:tc>
        <w:tc>
          <w:tcPr>
            <w:tcW w:w="997" w:type="dxa"/>
            <w:shd w:val="clear" w:color="auto" w:fill="auto"/>
            <w:noWrap/>
            <w:vAlign w:val="center"/>
            <w:hideMark/>
          </w:tcPr>
          <w:p w14:paraId="46F0560A" w14:textId="77777777" w:rsidR="00F91616" w:rsidRPr="00015C5C" w:rsidRDefault="00F91616" w:rsidP="00F91616">
            <w:pPr>
              <w:spacing w:after="0"/>
              <w:jc w:val="right"/>
              <w:rPr>
                <w:rStyle w:val="IntenseReference"/>
              </w:rPr>
            </w:pPr>
            <w:r w:rsidRPr="00015C5C">
              <w:rPr>
                <w:rStyle w:val="IntenseReference"/>
              </w:rPr>
              <w:t>1.0</w:t>
            </w:r>
          </w:p>
        </w:tc>
        <w:tc>
          <w:tcPr>
            <w:tcW w:w="987" w:type="dxa"/>
            <w:shd w:val="clear" w:color="auto" w:fill="auto"/>
            <w:noWrap/>
            <w:vAlign w:val="center"/>
            <w:hideMark/>
          </w:tcPr>
          <w:p w14:paraId="0D21A410" w14:textId="77777777" w:rsidR="00F91616" w:rsidRPr="00015C5C" w:rsidRDefault="00F91616" w:rsidP="00F91616">
            <w:pPr>
              <w:spacing w:after="0"/>
              <w:jc w:val="right"/>
              <w:rPr>
                <w:rStyle w:val="IntenseReference"/>
              </w:rPr>
            </w:pPr>
            <w:r w:rsidRPr="00015C5C">
              <w:rPr>
                <w:rStyle w:val="IntenseReference"/>
              </w:rPr>
              <w:t>5.3</w:t>
            </w:r>
            <w:r>
              <w:rPr>
                <w:rStyle w:val="IntenseReference"/>
              </w:rPr>
              <w:t>*</w:t>
            </w:r>
          </w:p>
        </w:tc>
        <w:tc>
          <w:tcPr>
            <w:tcW w:w="998" w:type="dxa"/>
            <w:shd w:val="clear" w:color="auto" w:fill="auto"/>
            <w:noWrap/>
            <w:vAlign w:val="center"/>
            <w:hideMark/>
          </w:tcPr>
          <w:p w14:paraId="5E9FB8E7" w14:textId="77777777" w:rsidR="00F91616" w:rsidRPr="00015C5C" w:rsidRDefault="00F91616" w:rsidP="00F91616">
            <w:pPr>
              <w:spacing w:after="0"/>
              <w:jc w:val="right"/>
              <w:rPr>
                <w:rStyle w:val="IntenseReference"/>
              </w:rPr>
            </w:pPr>
            <w:r w:rsidRPr="00015C5C">
              <w:rPr>
                <w:rStyle w:val="IntenseReference"/>
              </w:rPr>
              <w:t>-15.1</w:t>
            </w:r>
          </w:p>
        </w:tc>
      </w:tr>
      <w:tr w:rsidR="00F91616" w:rsidRPr="0090167C" w14:paraId="3F31B939" w14:textId="77777777" w:rsidTr="00293087">
        <w:trPr>
          <w:trHeight w:hRule="exact" w:val="227"/>
        </w:trPr>
        <w:tc>
          <w:tcPr>
            <w:tcW w:w="831" w:type="dxa"/>
            <w:vMerge/>
            <w:shd w:val="clear" w:color="auto" w:fill="auto"/>
            <w:noWrap/>
            <w:vAlign w:val="bottom"/>
            <w:hideMark/>
          </w:tcPr>
          <w:p w14:paraId="04FB5B08" w14:textId="77777777" w:rsidR="00F91616" w:rsidRPr="00015C5C" w:rsidRDefault="00F91616" w:rsidP="00F91616">
            <w:pPr>
              <w:spacing w:after="0"/>
              <w:jc w:val="left"/>
              <w:rPr>
                <w:rStyle w:val="IntenseReference"/>
              </w:rPr>
            </w:pPr>
          </w:p>
        </w:tc>
        <w:tc>
          <w:tcPr>
            <w:tcW w:w="1007" w:type="dxa"/>
            <w:vMerge/>
            <w:shd w:val="clear" w:color="auto" w:fill="auto"/>
            <w:noWrap/>
            <w:textDirection w:val="btLr"/>
            <w:vAlign w:val="bottom"/>
            <w:hideMark/>
          </w:tcPr>
          <w:p w14:paraId="39DFFD7A" w14:textId="77777777" w:rsidR="00F91616" w:rsidRPr="00015C5C" w:rsidRDefault="00F91616" w:rsidP="00F91616">
            <w:pPr>
              <w:spacing w:after="0"/>
              <w:ind w:left="113" w:right="113"/>
              <w:jc w:val="left"/>
              <w:rPr>
                <w:rStyle w:val="IntenseReference"/>
              </w:rPr>
            </w:pPr>
          </w:p>
        </w:tc>
        <w:tc>
          <w:tcPr>
            <w:tcW w:w="1843" w:type="dxa"/>
            <w:vMerge/>
            <w:shd w:val="clear" w:color="auto" w:fill="auto"/>
            <w:noWrap/>
            <w:vAlign w:val="center"/>
            <w:hideMark/>
          </w:tcPr>
          <w:p w14:paraId="610BF44E"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22A83D03"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2B396C6A" w14:textId="77777777" w:rsidR="00F91616" w:rsidRPr="00015C5C" w:rsidRDefault="00F91616" w:rsidP="00F91616">
            <w:pPr>
              <w:spacing w:after="0"/>
              <w:jc w:val="center"/>
              <w:rPr>
                <w:rStyle w:val="IntenseReference"/>
              </w:rPr>
            </w:pPr>
            <w:r>
              <w:rPr>
                <w:rStyle w:val="IntenseReference"/>
              </w:rPr>
              <w:t>25-Jun</w:t>
            </w:r>
          </w:p>
        </w:tc>
        <w:tc>
          <w:tcPr>
            <w:tcW w:w="993" w:type="dxa"/>
            <w:shd w:val="clear" w:color="auto" w:fill="auto"/>
            <w:noWrap/>
            <w:vAlign w:val="center"/>
            <w:hideMark/>
          </w:tcPr>
          <w:p w14:paraId="5500ED8E" w14:textId="77777777" w:rsidR="00F91616" w:rsidRPr="00015C5C" w:rsidRDefault="00F91616" w:rsidP="00F91616">
            <w:pPr>
              <w:spacing w:after="0"/>
              <w:jc w:val="right"/>
              <w:rPr>
                <w:rStyle w:val="IntenseReference"/>
              </w:rPr>
            </w:pPr>
            <w:r w:rsidRPr="00015C5C">
              <w:rPr>
                <w:rStyle w:val="IntenseReference"/>
              </w:rPr>
              <w:t>0</w:t>
            </w:r>
          </w:p>
        </w:tc>
        <w:tc>
          <w:tcPr>
            <w:tcW w:w="997" w:type="dxa"/>
            <w:shd w:val="clear" w:color="auto" w:fill="auto"/>
            <w:noWrap/>
            <w:vAlign w:val="center"/>
            <w:hideMark/>
          </w:tcPr>
          <w:p w14:paraId="1FA652A1" w14:textId="77777777" w:rsidR="00F91616" w:rsidRPr="00015C5C" w:rsidRDefault="00F91616" w:rsidP="00F91616">
            <w:pPr>
              <w:spacing w:after="0"/>
              <w:jc w:val="right"/>
              <w:rPr>
                <w:rStyle w:val="IntenseReference"/>
              </w:rPr>
            </w:pPr>
            <w:r w:rsidRPr="00015C5C">
              <w:rPr>
                <w:rStyle w:val="IntenseReference"/>
              </w:rPr>
              <w:t>1.2</w:t>
            </w:r>
          </w:p>
        </w:tc>
        <w:tc>
          <w:tcPr>
            <w:tcW w:w="987" w:type="dxa"/>
            <w:shd w:val="clear" w:color="auto" w:fill="auto"/>
            <w:noWrap/>
            <w:vAlign w:val="center"/>
            <w:hideMark/>
          </w:tcPr>
          <w:p w14:paraId="4ABCAF7F" w14:textId="77777777" w:rsidR="00F91616" w:rsidRPr="00015C5C" w:rsidRDefault="00F91616" w:rsidP="00F91616">
            <w:pPr>
              <w:spacing w:after="0"/>
              <w:jc w:val="right"/>
              <w:rPr>
                <w:rStyle w:val="IntenseReference"/>
              </w:rPr>
            </w:pPr>
            <w:r w:rsidRPr="00015C5C">
              <w:rPr>
                <w:rStyle w:val="IntenseReference"/>
              </w:rPr>
              <w:t>28.1</w:t>
            </w:r>
            <w:r>
              <w:rPr>
                <w:rStyle w:val="IntenseReference"/>
              </w:rPr>
              <w:t>*</w:t>
            </w:r>
          </w:p>
        </w:tc>
        <w:tc>
          <w:tcPr>
            <w:tcW w:w="998" w:type="dxa"/>
            <w:shd w:val="clear" w:color="auto" w:fill="auto"/>
            <w:noWrap/>
            <w:vAlign w:val="center"/>
            <w:hideMark/>
          </w:tcPr>
          <w:p w14:paraId="43A58024" w14:textId="77777777" w:rsidR="00F91616" w:rsidRPr="00015C5C" w:rsidRDefault="00F91616" w:rsidP="00F91616">
            <w:pPr>
              <w:spacing w:after="0"/>
              <w:jc w:val="right"/>
              <w:rPr>
                <w:rStyle w:val="IntenseReference"/>
              </w:rPr>
            </w:pPr>
            <w:r w:rsidRPr="00015C5C">
              <w:rPr>
                <w:rStyle w:val="IntenseReference"/>
              </w:rPr>
              <w:t>-22.9</w:t>
            </w:r>
          </w:p>
        </w:tc>
      </w:tr>
      <w:tr w:rsidR="00F91616" w:rsidRPr="0090167C" w14:paraId="7BB1AAD5" w14:textId="77777777" w:rsidTr="00293087">
        <w:trPr>
          <w:trHeight w:hRule="exact" w:val="227"/>
        </w:trPr>
        <w:tc>
          <w:tcPr>
            <w:tcW w:w="831" w:type="dxa"/>
            <w:vMerge/>
            <w:shd w:val="clear" w:color="auto" w:fill="auto"/>
            <w:noWrap/>
            <w:vAlign w:val="bottom"/>
            <w:hideMark/>
          </w:tcPr>
          <w:p w14:paraId="719B98DE" w14:textId="77777777" w:rsidR="00F91616" w:rsidRPr="00015C5C" w:rsidRDefault="00F91616" w:rsidP="00F91616">
            <w:pPr>
              <w:spacing w:after="0"/>
              <w:jc w:val="left"/>
              <w:rPr>
                <w:rStyle w:val="IntenseReference"/>
              </w:rPr>
            </w:pPr>
          </w:p>
        </w:tc>
        <w:tc>
          <w:tcPr>
            <w:tcW w:w="1007" w:type="dxa"/>
            <w:vMerge w:val="restart"/>
            <w:shd w:val="clear" w:color="auto" w:fill="auto"/>
            <w:noWrap/>
            <w:textDirection w:val="btLr"/>
            <w:vAlign w:val="bottom"/>
            <w:hideMark/>
          </w:tcPr>
          <w:p w14:paraId="794482B1" w14:textId="77777777" w:rsidR="00F91616" w:rsidRPr="00015C5C" w:rsidRDefault="00F91616" w:rsidP="00F91616">
            <w:pPr>
              <w:spacing w:after="0"/>
              <w:ind w:left="113" w:right="113"/>
              <w:jc w:val="left"/>
              <w:rPr>
                <w:rStyle w:val="IntenseReference"/>
              </w:rPr>
            </w:pPr>
            <w:r w:rsidRPr="00015C5C">
              <w:rPr>
                <w:rStyle w:val="IntenseReference"/>
              </w:rPr>
              <w:t>Tully Herbert</w:t>
            </w:r>
          </w:p>
        </w:tc>
        <w:tc>
          <w:tcPr>
            <w:tcW w:w="1843" w:type="dxa"/>
            <w:vMerge w:val="restart"/>
            <w:shd w:val="clear" w:color="auto" w:fill="auto"/>
            <w:noWrap/>
            <w:vAlign w:val="center"/>
            <w:hideMark/>
          </w:tcPr>
          <w:p w14:paraId="5456BEDB" w14:textId="77777777" w:rsidR="00F91616" w:rsidRPr="00015C5C" w:rsidRDefault="00F91616" w:rsidP="00F91616">
            <w:pPr>
              <w:spacing w:after="0"/>
              <w:jc w:val="left"/>
              <w:rPr>
                <w:rStyle w:val="IntenseReference"/>
              </w:rPr>
            </w:pPr>
            <w:r w:rsidRPr="00015C5C">
              <w:rPr>
                <w:rStyle w:val="IntenseReference"/>
              </w:rPr>
              <w:t>Barnards</w:t>
            </w:r>
          </w:p>
        </w:tc>
        <w:tc>
          <w:tcPr>
            <w:tcW w:w="654" w:type="dxa"/>
            <w:shd w:val="clear" w:color="auto" w:fill="auto"/>
            <w:noWrap/>
            <w:vAlign w:val="center"/>
            <w:hideMark/>
          </w:tcPr>
          <w:p w14:paraId="1EE4A975"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4545B56F" w14:textId="77777777" w:rsidR="00F91616" w:rsidRPr="00015C5C" w:rsidRDefault="00F91616" w:rsidP="00F91616">
            <w:pPr>
              <w:spacing w:after="0"/>
              <w:jc w:val="center"/>
              <w:rPr>
                <w:rStyle w:val="IntenseReference"/>
              </w:rPr>
            </w:pPr>
            <w:r>
              <w:rPr>
                <w:rStyle w:val="IntenseReference"/>
              </w:rPr>
              <w:t>2-May</w:t>
            </w:r>
          </w:p>
        </w:tc>
        <w:tc>
          <w:tcPr>
            <w:tcW w:w="993" w:type="dxa"/>
            <w:shd w:val="clear" w:color="auto" w:fill="auto"/>
            <w:noWrap/>
            <w:vAlign w:val="center"/>
            <w:hideMark/>
          </w:tcPr>
          <w:p w14:paraId="1E4E4B8D" w14:textId="77777777" w:rsidR="00F91616" w:rsidRPr="00015C5C" w:rsidRDefault="00F91616" w:rsidP="00F91616">
            <w:pPr>
              <w:spacing w:after="0"/>
              <w:jc w:val="right"/>
              <w:rPr>
                <w:rStyle w:val="IntenseReference"/>
              </w:rPr>
            </w:pPr>
          </w:p>
        </w:tc>
        <w:tc>
          <w:tcPr>
            <w:tcW w:w="997" w:type="dxa"/>
            <w:shd w:val="clear" w:color="auto" w:fill="auto"/>
            <w:noWrap/>
            <w:vAlign w:val="center"/>
            <w:hideMark/>
          </w:tcPr>
          <w:p w14:paraId="3CB52D1A" w14:textId="77777777" w:rsidR="00F91616" w:rsidRPr="00015C5C" w:rsidRDefault="00F91616" w:rsidP="00F91616">
            <w:pPr>
              <w:spacing w:after="0"/>
              <w:jc w:val="right"/>
              <w:rPr>
                <w:rStyle w:val="IntenseReference"/>
              </w:rPr>
            </w:pPr>
            <w:r w:rsidRPr="00015C5C">
              <w:rPr>
                <w:rStyle w:val="IntenseReference"/>
              </w:rPr>
              <w:t>23.4</w:t>
            </w:r>
          </w:p>
        </w:tc>
        <w:tc>
          <w:tcPr>
            <w:tcW w:w="987" w:type="dxa"/>
            <w:shd w:val="clear" w:color="auto" w:fill="auto"/>
            <w:noWrap/>
            <w:vAlign w:val="center"/>
            <w:hideMark/>
          </w:tcPr>
          <w:p w14:paraId="0D8FFFDC" w14:textId="77777777" w:rsidR="00F91616" w:rsidRPr="00015C5C" w:rsidRDefault="00F91616" w:rsidP="00F91616">
            <w:pPr>
              <w:spacing w:after="0"/>
              <w:jc w:val="right"/>
              <w:rPr>
                <w:rStyle w:val="IntenseReference"/>
              </w:rPr>
            </w:pPr>
          </w:p>
        </w:tc>
        <w:tc>
          <w:tcPr>
            <w:tcW w:w="998" w:type="dxa"/>
            <w:shd w:val="clear" w:color="auto" w:fill="auto"/>
            <w:noWrap/>
            <w:vAlign w:val="center"/>
            <w:hideMark/>
          </w:tcPr>
          <w:p w14:paraId="68576459" w14:textId="77777777" w:rsidR="00F91616" w:rsidRPr="00015C5C" w:rsidRDefault="00F91616" w:rsidP="00F91616">
            <w:pPr>
              <w:spacing w:after="0"/>
              <w:jc w:val="right"/>
              <w:rPr>
                <w:rStyle w:val="IntenseReference"/>
              </w:rPr>
            </w:pPr>
            <w:r w:rsidRPr="00015C5C">
              <w:rPr>
                <w:rStyle w:val="IntenseReference"/>
              </w:rPr>
              <w:t>1.5</w:t>
            </w:r>
            <w:r>
              <w:rPr>
                <w:rStyle w:val="IntenseReference"/>
              </w:rPr>
              <w:t>*</w:t>
            </w:r>
          </w:p>
        </w:tc>
      </w:tr>
      <w:tr w:rsidR="00F91616" w:rsidRPr="0090167C" w14:paraId="3B4177A6" w14:textId="77777777" w:rsidTr="00293087">
        <w:trPr>
          <w:trHeight w:hRule="exact" w:val="227"/>
        </w:trPr>
        <w:tc>
          <w:tcPr>
            <w:tcW w:w="831" w:type="dxa"/>
            <w:vMerge/>
            <w:shd w:val="clear" w:color="auto" w:fill="auto"/>
            <w:noWrap/>
            <w:vAlign w:val="bottom"/>
            <w:hideMark/>
          </w:tcPr>
          <w:p w14:paraId="69F39AEC" w14:textId="77777777" w:rsidR="00F91616" w:rsidRPr="00015C5C" w:rsidRDefault="00F91616" w:rsidP="00F91616">
            <w:pPr>
              <w:spacing w:after="0"/>
              <w:jc w:val="left"/>
              <w:rPr>
                <w:rStyle w:val="IntenseReference"/>
              </w:rPr>
            </w:pPr>
          </w:p>
        </w:tc>
        <w:tc>
          <w:tcPr>
            <w:tcW w:w="1007" w:type="dxa"/>
            <w:vMerge/>
            <w:shd w:val="clear" w:color="auto" w:fill="auto"/>
            <w:noWrap/>
            <w:vAlign w:val="bottom"/>
            <w:hideMark/>
          </w:tcPr>
          <w:p w14:paraId="418B3F27" w14:textId="77777777" w:rsidR="00F91616" w:rsidRPr="00015C5C" w:rsidRDefault="00F91616" w:rsidP="00F91616">
            <w:pPr>
              <w:spacing w:after="0"/>
              <w:jc w:val="left"/>
              <w:rPr>
                <w:rStyle w:val="IntenseReference"/>
              </w:rPr>
            </w:pPr>
          </w:p>
        </w:tc>
        <w:tc>
          <w:tcPr>
            <w:tcW w:w="1843" w:type="dxa"/>
            <w:vMerge/>
            <w:shd w:val="clear" w:color="auto" w:fill="auto"/>
            <w:noWrap/>
            <w:vAlign w:val="center"/>
            <w:hideMark/>
          </w:tcPr>
          <w:p w14:paraId="160298D5"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7CADD8CD"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34631DDE" w14:textId="77777777" w:rsidR="00F91616" w:rsidRPr="00015C5C" w:rsidRDefault="00F91616" w:rsidP="00F91616">
            <w:pPr>
              <w:spacing w:after="0"/>
              <w:jc w:val="center"/>
              <w:rPr>
                <w:rStyle w:val="IntenseReference"/>
              </w:rPr>
            </w:pPr>
            <w:r>
              <w:rPr>
                <w:rStyle w:val="IntenseReference"/>
              </w:rPr>
              <w:t>2-May</w:t>
            </w:r>
          </w:p>
        </w:tc>
        <w:tc>
          <w:tcPr>
            <w:tcW w:w="993" w:type="dxa"/>
            <w:shd w:val="clear" w:color="auto" w:fill="auto"/>
            <w:noWrap/>
            <w:vAlign w:val="center"/>
            <w:hideMark/>
          </w:tcPr>
          <w:p w14:paraId="597DAEFB" w14:textId="77777777" w:rsidR="00F91616" w:rsidRPr="00015C5C" w:rsidRDefault="00F91616" w:rsidP="00F91616">
            <w:pPr>
              <w:spacing w:after="0"/>
              <w:jc w:val="right"/>
              <w:rPr>
                <w:rStyle w:val="IntenseReference"/>
              </w:rPr>
            </w:pPr>
          </w:p>
        </w:tc>
        <w:tc>
          <w:tcPr>
            <w:tcW w:w="997" w:type="dxa"/>
            <w:shd w:val="clear" w:color="auto" w:fill="auto"/>
            <w:noWrap/>
            <w:vAlign w:val="center"/>
            <w:hideMark/>
          </w:tcPr>
          <w:p w14:paraId="45AEAB26" w14:textId="77777777" w:rsidR="00F91616" w:rsidRPr="00015C5C" w:rsidRDefault="00F91616" w:rsidP="00F91616">
            <w:pPr>
              <w:spacing w:after="0"/>
              <w:jc w:val="right"/>
              <w:rPr>
                <w:rStyle w:val="IntenseReference"/>
              </w:rPr>
            </w:pPr>
            <w:r w:rsidRPr="00015C5C">
              <w:rPr>
                <w:rStyle w:val="IntenseReference"/>
              </w:rPr>
              <w:t>35.0</w:t>
            </w:r>
          </w:p>
        </w:tc>
        <w:tc>
          <w:tcPr>
            <w:tcW w:w="987" w:type="dxa"/>
            <w:shd w:val="clear" w:color="auto" w:fill="auto"/>
            <w:noWrap/>
            <w:vAlign w:val="center"/>
            <w:hideMark/>
          </w:tcPr>
          <w:p w14:paraId="58E8B415" w14:textId="77777777" w:rsidR="00F91616" w:rsidRPr="00015C5C" w:rsidRDefault="00F91616" w:rsidP="00F91616">
            <w:pPr>
              <w:spacing w:after="0"/>
              <w:jc w:val="right"/>
              <w:rPr>
                <w:rStyle w:val="IntenseReference"/>
              </w:rPr>
            </w:pPr>
          </w:p>
        </w:tc>
        <w:tc>
          <w:tcPr>
            <w:tcW w:w="998" w:type="dxa"/>
            <w:shd w:val="clear" w:color="auto" w:fill="auto"/>
            <w:noWrap/>
            <w:vAlign w:val="center"/>
            <w:hideMark/>
          </w:tcPr>
          <w:p w14:paraId="72517D51" w14:textId="77777777" w:rsidR="00F91616" w:rsidRPr="00015C5C" w:rsidRDefault="00F91616" w:rsidP="00F91616">
            <w:pPr>
              <w:spacing w:after="0"/>
              <w:jc w:val="right"/>
              <w:rPr>
                <w:rStyle w:val="IntenseReference"/>
              </w:rPr>
            </w:pPr>
            <w:r w:rsidRPr="00015C5C">
              <w:rPr>
                <w:rStyle w:val="IntenseReference"/>
              </w:rPr>
              <w:t>26.1</w:t>
            </w:r>
            <w:r>
              <w:rPr>
                <w:rStyle w:val="IntenseReference"/>
              </w:rPr>
              <w:t>*</w:t>
            </w:r>
          </w:p>
        </w:tc>
      </w:tr>
      <w:tr w:rsidR="00F91616" w:rsidRPr="0090167C" w14:paraId="3D4D3EA1" w14:textId="77777777" w:rsidTr="00293087">
        <w:trPr>
          <w:trHeight w:hRule="exact" w:val="227"/>
        </w:trPr>
        <w:tc>
          <w:tcPr>
            <w:tcW w:w="831" w:type="dxa"/>
            <w:vMerge/>
            <w:shd w:val="clear" w:color="auto" w:fill="auto"/>
            <w:noWrap/>
            <w:vAlign w:val="bottom"/>
            <w:hideMark/>
          </w:tcPr>
          <w:p w14:paraId="5997F272" w14:textId="77777777" w:rsidR="00F91616" w:rsidRPr="00015C5C" w:rsidRDefault="00F91616" w:rsidP="00F91616">
            <w:pPr>
              <w:spacing w:after="0"/>
              <w:jc w:val="left"/>
              <w:rPr>
                <w:rStyle w:val="IntenseReference"/>
              </w:rPr>
            </w:pPr>
          </w:p>
        </w:tc>
        <w:tc>
          <w:tcPr>
            <w:tcW w:w="1007" w:type="dxa"/>
            <w:vMerge/>
            <w:shd w:val="clear" w:color="auto" w:fill="auto"/>
            <w:noWrap/>
            <w:vAlign w:val="bottom"/>
            <w:hideMark/>
          </w:tcPr>
          <w:p w14:paraId="353CE2C5" w14:textId="77777777" w:rsidR="00F91616" w:rsidRPr="00015C5C" w:rsidRDefault="00F91616" w:rsidP="00F91616">
            <w:pPr>
              <w:spacing w:after="0"/>
              <w:jc w:val="left"/>
              <w:rPr>
                <w:rStyle w:val="IntenseReference"/>
              </w:rPr>
            </w:pPr>
          </w:p>
        </w:tc>
        <w:tc>
          <w:tcPr>
            <w:tcW w:w="1843" w:type="dxa"/>
            <w:vMerge w:val="restart"/>
            <w:shd w:val="clear" w:color="auto" w:fill="auto"/>
            <w:noWrap/>
            <w:vAlign w:val="center"/>
            <w:hideMark/>
          </w:tcPr>
          <w:p w14:paraId="7BD473DB" w14:textId="77777777" w:rsidR="00F91616" w:rsidRPr="00015C5C" w:rsidRDefault="00F91616" w:rsidP="00F91616">
            <w:pPr>
              <w:spacing w:after="0"/>
              <w:jc w:val="left"/>
              <w:rPr>
                <w:rStyle w:val="IntenseReference"/>
              </w:rPr>
            </w:pPr>
            <w:r w:rsidRPr="00015C5C">
              <w:rPr>
                <w:rStyle w:val="IntenseReference"/>
              </w:rPr>
              <w:t>Bedarra</w:t>
            </w:r>
          </w:p>
        </w:tc>
        <w:tc>
          <w:tcPr>
            <w:tcW w:w="654" w:type="dxa"/>
            <w:shd w:val="clear" w:color="auto" w:fill="auto"/>
            <w:noWrap/>
            <w:vAlign w:val="center"/>
            <w:hideMark/>
          </w:tcPr>
          <w:p w14:paraId="206DA607"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29870B9F" w14:textId="77777777" w:rsidR="00F91616" w:rsidRPr="00015C5C" w:rsidRDefault="00F91616" w:rsidP="00F91616">
            <w:pPr>
              <w:spacing w:after="0"/>
              <w:jc w:val="center"/>
              <w:rPr>
                <w:rStyle w:val="IntenseReference"/>
              </w:rPr>
            </w:pPr>
            <w:r>
              <w:rPr>
                <w:rStyle w:val="IntenseReference"/>
              </w:rPr>
              <w:t>3-May</w:t>
            </w:r>
          </w:p>
        </w:tc>
        <w:tc>
          <w:tcPr>
            <w:tcW w:w="993" w:type="dxa"/>
            <w:shd w:val="clear" w:color="auto" w:fill="auto"/>
            <w:noWrap/>
            <w:vAlign w:val="center"/>
            <w:hideMark/>
          </w:tcPr>
          <w:p w14:paraId="3CD5ABA1" w14:textId="77777777" w:rsidR="00F91616" w:rsidRPr="00015C5C" w:rsidRDefault="00F91616" w:rsidP="00F91616">
            <w:pPr>
              <w:spacing w:after="0"/>
              <w:jc w:val="right"/>
              <w:rPr>
                <w:rStyle w:val="IntenseReference"/>
              </w:rPr>
            </w:pPr>
            <w:r w:rsidRPr="00015C5C">
              <w:rPr>
                <w:rStyle w:val="IntenseReference"/>
              </w:rPr>
              <w:t>2.6</w:t>
            </w:r>
          </w:p>
        </w:tc>
        <w:tc>
          <w:tcPr>
            <w:tcW w:w="997" w:type="dxa"/>
            <w:shd w:val="clear" w:color="auto" w:fill="auto"/>
            <w:noWrap/>
            <w:vAlign w:val="center"/>
            <w:hideMark/>
          </w:tcPr>
          <w:p w14:paraId="6C26034C" w14:textId="77777777" w:rsidR="00F91616" w:rsidRPr="00015C5C" w:rsidRDefault="00F91616" w:rsidP="00F91616">
            <w:pPr>
              <w:spacing w:after="0"/>
              <w:jc w:val="right"/>
              <w:rPr>
                <w:rStyle w:val="IntenseReference"/>
              </w:rPr>
            </w:pPr>
            <w:r w:rsidRPr="00015C5C">
              <w:rPr>
                <w:rStyle w:val="IntenseReference"/>
              </w:rPr>
              <w:t>22.9</w:t>
            </w:r>
          </w:p>
        </w:tc>
        <w:tc>
          <w:tcPr>
            <w:tcW w:w="987" w:type="dxa"/>
            <w:shd w:val="clear" w:color="auto" w:fill="auto"/>
            <w:noWrap/>
            <w:vAlign w:val="center"/>
            <w:hideMark/>
          </w:tcPr>
          <w:p w14:paraId="09596337" w14:textId="77777777" w:rsidR="00F91616" w:rsidRPr="00015C5C" w:rsidRDefault="00F91616" w:rsidP="00F91616">
            <w:pPr>
              <w:spacing w:after="0"/>
              <w:jc w:val="right"/>
              <w:rPr>
                <w:rStyle w:val="IntenseReference"/>
              </w:rPr>
            </w:pPr>
            <w:r w:rsidRPr="00015C5C">
              <w:rPr>
                <w:rStyle w:val="IntenseReference"/>
              </w:rPr>
              <w:t>-5.3</w:t>
            </w:r>
          </w:p>
        </w:tc>
        <w:tc>
          <w:tcPr>
            <w:tcW w:w="998" w:type="dxa"/>
            <w:shd w:val="clear" w:color="auto" w:fill="auto"/>
            <w:noWrap/>
            <w:vAlign w:val="center"/>
            <w:hideMark/>
          </w:tcPr>
          <w:p w14:paraId="453FD7F9" w14:textId="77777777" w:rsidR="00F91616" w:rsidRPr="00015C5C" w:rsidRDefault="00F91616" w:rsidP="00F91616">
            <w:pPr>
              <w:spacing w:after="0"/>
              <w:jc w:val="right"/>
              <w:rPr>
                <w:rStyle w:val="IntenseReference"/>
              </w:rPr>
            </w:pPr>
            <w:r w:rsidRPr="00015C5C">
              <w:rPr>
                <w:rStyle w:val="IntenseReference"/>
              </w:rPr>
              <w:t>-21.9</w:t>
            </w:r>
          </w:p>
        </w:tc>
      </w:tr>
      <w:tr w:rsidR="00F91616" w:rsidRPr="0090167C" w14:paraId="432E6F46" w14:textId="77777777" w:rsidTr="00293087">
        <w:trPr>
          <w:trHeight w:hRule="exact" w:val="227"/>
        </w:trPr>
        <w:tc>
          <w:tcPr>
            <w:tcW w:w="831" w:type="dxa"/>
            <w:vMerge/>
            <w:shd w:val="clear" w:color="auto" w:fill="auto"/>
            <w:noWrap/>
            <w:vAlign w:val="bottom"/>
            <w:hideMark/>
          </w:tcPr>
          <w:p w14:paraId="576871CA" w14:textId="77777777" w:rsidR="00F91616" w:rsidRPr="00015C5C" w:rsidRDefault="00F91616" w:rsidP="00F91616">
            <w:pPr>
              <w:spacing w:after="0"/>
              <w:jc w:val="left"/>
              <w:rPr>
                <w:rStyle w:val="IntenseReference"/>
              </w:rPr>
            </w:pPr>
          </w:p>
        </w:tc>
        <w:tc>
          <w:tcPr>
            <w:tcW w:w="1007" w:type="dxa"/>
            <w:vMerge/>
            <w:shd w:val="clear" w:color="auto" w:fill="auto"/>
            <w:noWrap/>
            <w:vAlign w:val="bottom"/>
            <w:hideMark/>
          </w:tcPr>
          <w:p w14:paraId="5CE24146" w14:textId="77777777" w:rsidR="00F91616" w:rsidRPr="00015C5C" w:rsidRDefault="00F91616" w:rsidP="00F91616">
            <w:pPr>
              <w:spacing w:after="0"/>
              <w:jc w:val="left"/>
              <w:rPr>
                <w:rStyle w:val="IntenseReference"/>
              </w:rPr>
            </w:pPr>
          </w:p>
        </w:tc>
        <w:tc>
          <w:tcPr>
            <w:tcW w:w="1843" w:type="dxa"/>
            <w:vMerge/>
            <w:shd w:val="clear" w:color="auto" w:fill="auto"/>
            <w:noWrap/>
            <w:vAlign w:val="center"/>
            <w:hideMark/>
          </w:tcPr>
          <w:p w14:paraId="6EEF1409"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64E095E7"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16E3A9D8" w14:textId="77777777" w:rsidR="00F91616" w:rsidRPr="00015C5C" w:rsidRDefault="00F91616" w:rsidP="00F91616">
            <w:pPr>
              <w:spacing w:after="0"/>
              <w:jc w:val="center"/>
              <w:rPr>
                <w:rStyle w:val="IntenseReference"/>
              </w:rPr>
            </w:pPr>
            <w:r>
              <w:rPr>
                <w:rStyle w:val="IntenseReference"/>
              </w:rPr>
              <w:t>3-May</w:t>
            </w:r>
          </w:p>
        </w:tc>
        <w:tc>
          <w:tcPr>
            <w:tcW w:w="993" w:type="dxa"/>
            <w:shd w:val="clear" w:color="auto" w:fill="auto"/>
            <w:noWrap/>
            <w:vAlign w:val="center"/>
            <w:hideMark/>
          </w:tcPr>
          <w:p w14:paraId="36F77EAA" w14:textId="77777777" w:rsidR="00F91616" w:rsidRPr="00015C5C" w:rsidRDefault="00F91616" w:rsidP="00F91616">
            <w:pPr>
              <w:spacing w:after="0"/>
              <w:jc w:val="right"/>
              <w:rPr>
                <w:rStyle w:val="IntenseReference"/>
              </w:rPr>
            </w:pPr>
            <w:r w:rsidRPr="00015C5C">
              <w:rPr>
                <w:rStyle w:val="IntenseReference"/>
              </w:rPr>
              <w:t>0.4</w:t>
            </w:r>
          </w:p>
        </w:tc>
        <w:tc>
          <w:tcPr>
            <w:tcW w:w="997" w:type="dxa"/>
            <w:shd w:val="clear" w:color="auto" w:fill="auto"/>
            <w:noWrap/>
            <w:vAlign w:val="center"/>
            <w:hideMark/>
          </w:tcPr>
          <w:p w14:paraId="4FC30644" w14:textId="77777777" w:rsidR="00F91616" w:rsidRPr="00015C5C" w:rsidRDefault="00F91616" w:rsidP="00F91616">
            <w:pPr>
              <w:spacing w:after="0"/>
              <w:jc w:val="right"/>
              <w:rPr>
                <w:rStyle w:val="IntenseReference"/>
              </w:rPr>
            </w:pPr>
            <w:r w:rsidRPr="00015C5C">
              <w:rPr>
                <w:rStyle w:val="IntenseReference"/>
              </w:rPr>
              <w:t>26.7</w:t>
            </w:r>
          </w:p>
        </w:tc>
        <w:tc>
          <w:tcPr>
            <w:tcW w:w="987" w:type="dxa"/>
            <w:shd w:val="clear" w:color="auto" w:fill="auto"/>
            <w:noWrap/>
            <w:vAlign w:val="center"/>
            <w:hideMark/>
          </w:tcPr>
          <w:p w14:paraId="07D435A0" w14:textId="77777777" w:rsidR="00F91616" w:rsidRPr="00015C5C" w:rsidRDefault="00F91616" w:rsidP="00F91616">
            <w:pPr>
              <w:spacing w:after="0"/>
              <w:jc w:val="right"/>
              <w:rPr>
                <w:rStyle w:val="IntenseReference"/>
              </w:rPr>
            </w:pPr>
            <w:r w:rsidRPr="00015C5C">
              <w:rPr>
                <w:rStyle w:val="IntenseReference"/>
              </w:rPr>
              <w:t>22.8</w:t>
            </w:r>
          </w:p>
        </w:tc>
        <w:tc>
          <w:tcPr>
            <w:tcW w:w="998" w:type="dxa"/>
            <w:shd w:val="clear" w:color="auto" w:fill="auto"/>
            <w:noWrap/>
            <w:vAlign w:val="center"/>
            <w:hideMark/>
          </w:tcPr>
          <w:p w14:paraId="7319E335" w14:textId="77777777" w:rsidR="00F91616" w:rsidRPr="00015C5C" w:rsidRDefault="00F91616" w:rsidP="00F91616">
            <w:pPr>
              <w:spacing w:after="0"/>
              <w:jc w:val="right"/>
              <w:rPr>
                <w:rStyle w:val="IntenseReference"/>
              </w:rPr>
            </w:pPr>
            <w:r w:rsidRPr="00015C5C">
              <w:rPr>
                <w:rStyle w:val="IntenseReference"/>
              </w:rPr>
              <w:t>-2.6</w:t>
            </w:r>
          </w:p>
        </w:tc>
      </w:tr>
      <w:tr w:rsidR="00F91616" w:rsidRPr="0090167C" w14:paraId="57436E55" w14:textId="77777777" w:rsidTr="00293087">
        <w:trPr>
          <w:trHeight w:hRule="exact" w:val="227"/>
        </w:trPr>
        <w:tc>
          <w:tcPr>
            <w:tcW w:w="831" w:type="dxa"/>
            <w:vMerge/>
            <w:shd w:val="clear" w:color="auto" w:fill="auto"/>
            <w:noWrap/>
            <w:vAlign w:val="bottom"/>
            <w:hideMark/>
          </w:tcPr>
          <w:p w14:paraId="676FB68E" w14:textId="77777777" w:rsidR="00F91616" w:rsidRPr="00015C5C" w:rsidRDefault="00F91616" w:rsidP="00F91616">
            <w:pPr>
              <w:spacing w:after="0"/>
              <w:jc w:val="left"/>
              <w:rPr>
                <w:rStyle w:val="IntenseReference"/>
              </w:rPr>
            </w:pPr>
          </w:p>
        </w:tc>
        <w:tc>
          <w:tcPr>
            <w:tcW w:w="1007" w:type="dxa"/>
            <w:vMerge/>
            <w:shd w:val="clear" w:color="auto" w:fill="auto"/>
            <w:noWrap/>
            <w:vAlign w:val="bottom"/>
            <w:hideMark/>
          </w:tcPr>
          <w:p w14:paraId="43BB5587" w14:textId="77777777" w:rsidR="00F91616" w:rsidRPr="00015C5C" w:rsidRDefault="00F91616" w:rsidP="00F91616">
            <w:pPr>
              <w:spacing w:after="0"/>
              <w:jc w:val="left"/>
              <w:rPr>
                <w:rStyle w:val="IntenseReference"/>
              </w:rPr>
            </w:pPr>
          </w:p>
        </w:tc>
        <w:tc>
          <w:tcPr>
            <w:tcW w:w="1843" w:type="dxa"/>
            <w:vMerge w:val="restart"/>
            <w:shd w:val="clear" w:color="auto" w:fill="auto"/>
            <w:noWrap/>
            <w:vAlign w:val="center"/>
            <w:hideMark/>
          </w:tcPr>
          <w:p w14:paraId="04CD041F" w14:textId="77777777" w:rsidR="00F91616" w:rsidRPr="00015C5C" w:rsidRDefault="00F91616" w:rsidP="00F91616">
            <w:pPr>
              <w:spacing w:after="0"/>
              <w:jc w:val="left"/>
              <w:rPr>
                <w:rStyle w:val="IntenseReference"/>
              </w:rPr>
            </w:pPr>
            <w:r w:rsidRPr="00015C5C">
              <w:rPr>
                <w:rStyle w:val="IntenseReference"/>
              </w:rPr>
              <w:t>Dunk North</w:t>
            </w:r>
          </w:p>
        </w:tc>
        <w:tc>
          <w:tcPr>
            <w:tcW w:w="654" w:type="dxa"/>
            <w:shd w:val="clear" w:color="auto" w:fill="auto"/>
            <w:noWrap/>
            <w:vAlign w:val="center"/>
            <w:hideMark/>
          </w:tcPr>
          <w:p w14:paraId="4823D834"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222A0C8C" w14:textId="77777777" w:rsidR="00F91616" w:rsidRPr="00015C5C" w:rsidRDefault="00F91616" w:rsidP="00F91616">
            <w:pPr>
              <w:spacing w:after="0"/>
              <w:jc w:val="center"/>
              <w:rPr>
                <w:rStyle w:val="IntenseReference"/>
              </w:rPr>
            </w:pPr>
            <w:r>
              <w:rPr>
                <w:rStyle w:val="IntenseReference"/>
              </w:rPr>
              <w:t>7-Aug</w:t>
            </w:r>
          </w:p>
        </w:tc>
        <w:tc>
          <w:tcPr>
            <w:tcW w:w="993" w:type="dxa"/>
            <w:shd w:val="clear" w:color="auto" w:fill="auto"/>
            <w:noWrap/>
            <w:vAlign w:val="center"/>
            <w:hideMark/>
          </w:tcPr>
          <w:p w14:paraId="42301F8A" w14:textId="77777777" w:rsidR="00F91616" w:rsidRPr="00015C5C" w:rsidRDefault="00F91616" w:rsidP="00F91616">
            <w:pPr>
              <w:spacing w:after="0"/>
              <w:jc w:val="right"/>
              <w:rPr>
                <w:rStyle w:val="IntenseReference"/>
              </w:rPr>
            </w:pPr>
            <w:r w:rsidRPr="00015C5C">
              <w:rPr>
                <w:rStyle w:val="IntenseReference"/>
              </w:rPr>
              <w:t>0.3</w:t>
            </w:r>
          </w:p>
        </w:tc>
        <w:tc>
          <w:tcPr>
            <w:tcW w:w="997" w:type="dxa"/>
            <w:shd w:val="clear" w:color="auto" w:fill="auto"/>
            <w:noWrap/>
            <w:vAlign w:val="center"/>
            <w:hideMark/>
          </w:tcPr>
          <w:p w14:paraId="4B36D250" w14:textId="77777777" w:rsidR="00F91616" w:rsidRPr="00015C5C" w:rsidRDefault="00F91616" w:rsidP="00F91616">
            <w:pPr>
              <w:spacing w:after="0"/>
              <w:jc w:val="right"/>
              <w:rPr>
                <w:rStyle w:val="IntenseReference"/>
              </w:rPr>
            </w:pPr>
            <w:r w:rsidRPr="00015C5C">
              <w:rPr>
                <w:rStyle w:val="IntenseReference"/>
              </w:rPr>
              <w:t>1.7</w:t>
            </w:r>
          </w:p>
        </w:tc>
        <w:tc>
          <w:tcPr>
            <w:tcW w:w="987" w:type="dxa"/>
            <w:shd w:val="clear" w:color="auto" w:fill="auto"/>
            <w:noWrap/>
            <w:vAlign w:val="center"/>
            <w:hideMark/>
          </w:tcPr>
          <w:p w14:paraId="112F3775" w14:textId="77777777" w:rsidR="00F91616" w:rsidRPr="00015C5C" w:rsidRDefault="00F91616" w:rsidP="00F91616">
            <w:pPr>
              <w:spacing w:after="0"/>
              <w:jc w:val="right"/>
              <w:rPr>
                <w:rStyle w:val="IntenseReference"/>
              </w:rPr>
            </w:pPr>
            <w:r w:rsidRPr="00015C5C">
              <w:rPr>
                <w:rStyle w:val="IntenseReference"/>
              </w:rPr>
              <w:t>112.9</w:t>
            </w:r>
            <w:r>
              <w:rPr>
                <w:rStyle w:val="IntenseReference"/>
              </w:rPr>
              <w:t>*</w:t>
            </w:r>
          </w:p>
        </w:tc>
        <w:tc>
          <w:tcPr>
            <w:tcW w:w="998" w:type="dxa"/>
            <w:shd w:val="clear" w:color="auto" w:fill="auto"/>
            <w:noWrap/>
            <w:vAlign w:val="center"/>
            <w:hideMark/>
          </w:tcPr>
          <w:p w14:paraId="5B6F48A9" w14:textId="77777777" w:rsidR="00F91616" w:rsidRPr="00015C5C" w:rsidRDefault="00F91616" w:rsidP="00F91616">
            <w:pPr>
              <w:spacing w:after="0"/>
              <w:jc w:val="right"/>
              <w:rPr>
                <w:rStyle w:val="IntenseReference"/>
              </w:rPr>
            </w:pPr>
            <w:r w:rsidRPr="00015C5C">
              <w:rPr>
                <w:rStyle w:val="IntenseReference"/>
              </w:rPr>
              <w:t>3.1</w:t>
            </w:r>
          </w:p>
        </w:tc>
      </w:tr>
      <w:tr w:rsidR="00F91616" w:rsidRPr="0090167C" w14:paraId="1B6BA9F1" w14:textId="77777777" w:rsidTr="00293087">
        <w:trPr>
          <w:trHeight w:hRule="exact" w:val="227"/>
        </w:trPr>
        <w:tc>
          <w:tcPr>
            <w:tcW w:w="831" w:type="dxa"/>
            <w:vMerge/>
            <w:shd w:val="clear" w:color="auto" w:fill="auto"/>
            <w:noWrap/>
            <w:vAlign w:val="bottom"/>
            <w:hideMark/>
          </w:tcPr>
          <w:p w14:paraId="50ECA525" w14:textId="77777777" w:rsidR="00F91616" w:rsidRPr="00015C5C" w:rsidRDefault="00F91616" w:rsidP="00F91616">
            <w:pPr>
              <w:spacing w:after="0"/>
              <w:jc w:val="left"/>
              <w:rPr>
                <w:rStyle w:val="IntenseReference"/>
              </w:rPr>
            </w:pPr>
          </w:p>
        </w:tc>
        <w:tc>
          <w:tcPr>
            <w:tcW w:w="1007" w:type="dxa"/>
            <w:vMerge/>
            <w:shd w:val="clear" w:color="auto" w:fill="auto"/>
            <w:noWrap/>
            <w:vAlign w:val="bottom"/>
            <w:hideMark/>
          </w:tcPr>
          <w:p w14:paraId="2188565C" w14:textId="77777777" w:rsidR="00F91616" w:rsidRPr="00015C5C" w:rsidRDefault="00F91616" w:rsidP="00F91616">
            <w:pPr>
              <w:spacing w:after="0"/>
              <w:jc w:val="left"/>
              <w:rPr>
                <w:rStyle w:val="IntenseReference"/>
              </w:rPr>
            </w:pPr>
          </w:p>
        </w:tc>
        <w:tc>
          <w:tcPr>
            <w:tcW w:w="1843" w:type="dxa"/>
            <w:vMerge/>
            <w:shd w:val="clear" w:color="auto" w:fill="auto"/>
            <w:noWrap/>
            <w:vAlign w:val="center"/>
            <w:hideMark/>
          </w:tcPr>
          <w:p w14:paraId="0665B9B4"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0791DD4D"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01E37B37" w14:textId="77777777" w:rsidR="00F91616" w:rsidRPr="00015C5C" w:rsidRDefault="00F91616" w:rsidP="00F91616">
            <w:pPr>
              <w:spacing w:after="0"/>
              <w:jc w:val="center"/>
              <w:rPr>
                <w:rStyle w:val="IntenseReference"/>
              </w:rPr>
            </w:pPr>
            <w:r>
              <w:rPr>
                <w:rStyle w:val="IntenseReference"/>
              </w:rPr>
              <w:t>7-Aug</w:t>
            </w:r>
          </w:p>
        </w:tc>
        <w:tc>
          <w:tcPr>
            <w:tcW w:w="993" w:type="dxa"/>
            <w:shd w:val="clear" w:color="auto" w:fill="auto"/>
            <w:noWrap/>
            <w:vAlign w:val="center"/>
            <w:hideMark/>
          </w:tcPr>
          <w:p w14:paraId="0EFA8EDA" w14:textId="77777777" w:rsidR="00F91616" w:rsidRPr="00015C5C" w:rsidRDefault="00F91616" w:rsidP="00F91616">
            <w:pPr>
              <w:spacing w:after="0"/>
              <w:jc w:val="right"/>
              <w:rPr>
                <w:rStyle w:val="IntenseReference"/>
              </w:rPr>
            </w:pPr>
            <w:r w:rsidRPr="00015C5C">
              <w:rPr>
                <w:rStyle w:val="IntenseReference"/>
              </w:rPr>
              <w:t>0.7</w:t>
            </w:r>
          </w:p>
        </w:tc>
        <w:tc>
          <w:tcPr>
            <w:tcW w:w="997" w:type="dxa"/>
            <w:shd w:val="clear" w:color="auto" w:fill="auto"/>
            <w:noWrap/>
            <w:vAlign w:val="center"/>
            <w:hideMark/>
          </w:tcPr>
          <w:p w14:paraId="3D46F892" w14:textId="77777777" w:rsidR="00F91616" w:rsidRPr="00015C5C" w:rsidRDefault="00F91616" w:rsidP="00F91616">
            <w:pPr>
              <w:spacing w:after="0"/>
              <w:jc w:val="right"/>
              <w:rPr>
                <w:rStyle w:val="IntenseReference"/>
              </w:rPr>
            </w:pPr>
            <w:r w:rsidRPr="00015C5C">
              <w:rPr>
                <w:rStyle w:val="IntenseReference"/>
              </w:rPr>
              <w:t>0</w:t>
            </w:r>
          </w:p>
        </w:tc>
        <w:tc>
          <w:tcPr>
            <w:tcW w:w="987" w:type="dxa"/>
            <w:shd w:val="clear" w:color="auto" w:fill="auto"/>
            <w:noWrap/>
            <w:vAlign w:val="center"/>
            <w:hideMark/>
          </w:tcPr>
          <w:p w14:paraId="66BACC6F" w14:textId="77777777" w:rsidR="00F91616" w:rsidRPr="00015C5C" w:rsidRDefault="00F91616" w:rsidP="00F91616">
            <w:pPr>
              <w:spacing w:after="0"/>
              <w:jc w:val="right"/>
              <w:rPr>
                <w:rStyle w:val="IntenseReference"/>
              </w:rPr>
            </w:pPr>
            <w:r w:rsidRPr="00015C5C">
              <w:rPr>
                <w:rStyle w:val="IntenseReference"/>
              </w:rPr>
              <w:t>71.6</w:t>
            </w:r>
            <w:r>
              <w:rPr>
                <w:rStyle w:val="IntenseReference"/>
              </w:rPr>
              <w:t>*</w:t>
            </w:r>
          </w:p>
        </w:tc>
        <w:tc>
          <w:tcPr>
            <w:tcW w:w="998" w:type="dxa"/>
            <w:shd w:val="clear" w:color="auto" w:fill="auto"/>
            <w:noWrap/>
            <w:vAlign w:val="center"/>
            <w:hideMark/>
          </w:tcPr>
          <w:p w14:paraId="27419E89" w14:textId="77777777" w:rsidR="00F91616" w:rsidRPr="00015C5C" w:rsidRDefault="00F91616" w:rsidP="00F91616">
            <w:pPr>
              <w:spacing w:after="0"/>
              <w:jc w:val="right"/>
              <w:rPr>
                <w:rStyle w:val="IntenseReference"/>
              </w:rPr>
            </w:pPr>
            <w:r w:rsidRPr="00015C5C">
              <w:rPr>
                <w:rStyle w:val="IntenseReference"/>
              </w:rPr>
              <w:t>-5.9</w:t>
            </w:r>
          </w:p>
        </w:tc>
      </w:tr>
      <w:tr w:rsidR="00F91616" w:rsidRPr="0090167C" w14:paraId="09C5A67B" w14:textId="77777777" w:rsidTr="00293087">
        <w:trPr>
          <w:trHeight w:hRule="exact" w:val="227"/>
        </w:trPr>
        <w:tc>
          <w:tcPr>
            <w:tcW w:w="831" w:type="dxa"/>
            <w:vMerge/>
            <w:shd w:val="clear" w:color="auto" w:fill="auto"/>
            <w:noWrap/>
            <w:vAlign w:val="bottom"/>
            <w:hideMark/>
          </w:tcPr>
          <w:p w14:paraId="0C63308F" w14:textId="77777777" w:rsidR="00F91616" w:rsidRPr="00015C5C" w:rsidRDefault="00F91616" w:rsidP="00F91616">
            <w:pPr>
              <w:spacing w:after="0"/>
              <w:jc w:val="left"/>
              <w:rPr>
                <w:rStyle w:val="IntenseReference"/>
              </w:rPr>
            </w:pPr>
          </w:p>
        </w:tc>
        <w:tc>
          <w:tcPr>
            <w:tcW w:w="1007" w:type="dxa"/>
            <w:vMerge/>
            <w:shd w:val="clear" w:color="auto" w:fill="auto"/>
            <w:noWrap/>
            <w:vAlign w:val="bottom"/>
            <w:hideMark/>
          </w:tcPr>
          <w:p w14:paraId="544AA5A8" w14:textId="77777777" w:rsidR="00F91616" w:rsidRPr="00015C5C" w:rsidRDefault="00F91616" w:rsidP="00F91616">
            <w:pPr>
              <w:spacing w:after="0"/>
              <w:jc w:val="left"/>
              <w:rPr>
                <w:rStyle w:val="IntenseReference"/>
              </w:rPr>
            </w:pPr>
          </w:p>
        </w:tc>
        <w:tc>
          <w:tcPr>
            <w:tcW w:w="1843" w:type="dxa"/>
            <w:vMerge w:val="restart"/>
            <w:shd w:val="clear" w:color="auto" w:fill="auto"/>
            <w:noWrap/>
            <w:vAlign w:val="center"/>
            <w:hideMark/>
          </w:tcPr>
          <w:p w14:paraId="4EC1F15A" w14:textId="77777777" w:rsidR="00F91616" w:rsidRPr="00015C5C" w:rsidRDefault="00F91616" w:rsidP="00F91616">
            <w:pPr>
              <w:spacing w:after="0"/>
              <w:jc w:val="left"/>
              <w:rPr>
                <w:rStyle w:val="IntenseReference"/>
              </w:rPr>
            </w:pPr>
            <w:r w:rsidRPr="00015C5C">
              <w:rPr>
                <w:rStyle w:val="IntenseReference"/>
              </w:rPr>
              <w:t>Dunk South</w:t>
            </w:r>
          </w:p>
        </w:tc>
        <w:tc>
          <w:tcPr>
            <w:tcW w:w="654" w:type="dxa"/>
            <w:shd w:val="clear" w:color="auto" w:fill="auto"/>
            <w:noWrap/>
            <w:vAlign w:val="center"/>
            <w:hideMark/>
          </w:tcPr>
          <w:p w14:paraId="0154E2F0"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3092D17A" w14:textId="77777777" w:rsidR="00F91616" w:rsidRPr="00015C5C" w:rsidRDefault="00F91616" w:rsidP="00F91616">
            <w:pPr>
              <w:spacing w:after="0"/>
              <w:jc w:val="center"/>
              <w:rPr>
                <w:rStyle w:val="IntenseReference"/>
              </w:rPr>
            </w:pPr>
            <w:r>
              <w:rPr>
                <w:rStyle w:val="IntenseReference"/>
              </w:rPr>
              <w:t>2-May</w:t>
            </w:r>
          </w:p>
        </w:tc>
        <w:tc>
          <w:tcPr>
            <w:tcW w:w="993" w:type="dxa"/>
            <w:shd w:val="clear" w:color="auto" w:fill="auto"/>
            <w:noWrap/>
            <w:vAlign w:val="center"/>
            <w:hideMark/>
          </w:tcPr>
          <w:p w14:paraId="0B7B0952" w14:textId="77777777" w:rsidR="00F91616" w:rsidRPr="00015C5C" w:rsidRDefault="00F91616" w:rsidP="00F91616">
            <w:pPr>
              <w:spacing w:after="0"/>
              <w:jc w:val="right"/>
              <w:rPr>
                <w:rStyle w:val="IntenseReference"/>
              </w:rPr>
            </w:pPr>
            <w:r w:rsidRPr="00015C5C">
              <w:rPr>
                <w:rStyle w:val="IntenseReference"/>
              </w:rPr>
              <w:t>0.7</w:t>
            </w:r>
          </w:p>
        </w:tc>
        <w:tc>
          <w:tcPr>
            <w:tcW w:w="997" w:type="dxa"/>
            <w:shd w:val="clear" w:color="auto" w:fill="auto"/>
            <w:noWrap/>
            <w:vAlign w:val="center"/>
            <w:hideMark/>
          </w:tcPr>
          <w:p w14:paraId="0A213F29" w14:textId="77777777" w:rsidR="00F91616" w:rsidRPr="00015C5C" w:rsidRDefault="00F91616" w:rsidP="00F91616">
            <w:pPr>
              <w:spacing w:after="0"/>
              <w:jc w:val="right"/>
              <w:rPr>
                <w:rStyle w:val="IntenseReference"/>
              </w:rPr>
            </w:pPr>
            <w:r w:rsidRPr="00015C5C">
              <w:rPr>
                <w:rStyle w:val="IntenseReference"/>
              </w:rPr>
              <w:t>6.8</w:t>
            </w:r>
          </w:p>
        </w:tc>
        <w:tc>
          <w:tcPr>
            <w:tcW w:w="987" w:type="dxa"/>
            <w:shd w:val="clear" w:color="auto" w:fill="auto"/>
            <w:noWrap/>
            <w:vAlign w:val="center"/>
            <w:hideMark/>
          </w:tcPr>
          <w:p w14:paraId="3880B1BE" w14:textId="77777777" w:rsidR="00F91616" w:rsidRPr="00015C5C" w:rsidRDefault="00F91616" w:rsidP="00F91616">
            <w:pPr>
              <w:spacing w:after="0"/>
              <w:jc w:val="right"/>
              <w:rPr>
                <w:rStyle w:val="IntenseReference"/>
              </w:rPr>
            </w:pPr>
            <w:r w:rsidRPr="00015C5C">
              <w:rPr>
                <w:rStyle w:val="IntenseReference"/>
              </w:rPr>
              <w:t>70.1</w:t>
            </w:r>
            <w:r>
              <w:rPr>
                <w:rStyle w:val="IntenseReference"/>
              </w:rPr>
              <w:t>*</w:t>
            </w:r>
          </w:p>
        </w:tc>
        <w:tc>
          <w:tcPr>
            <w:tcW w:w="998" w:type="dxa"/>
            <w:shd w:val="clear" w:color="auto" w:fill="auto"/>
            <w:noWrap/>
            <w:vAlign w:val="center"/>
            <w:hideMark/>
          </w:tcPr>
          <w:p w14:paraId="3C2F9DCD" w14:textId="77777777" w:rsidR="00F91616" w:rsidRPr="00015C5C" w:rsidRDefault="00F91616" w:rsidP="00F91616">
            <w:pPr>
              <w:spacing w:after="0"/>
              <w:jc w:val="right"/>
              <w:rPr>
                <w:rStyle w:val="IntenseReference"/>
              </w:rPr>
            </w:pPr>
            <w:r w:rsidRPr="00015C5C">
              <w:rPr>
                <w:rStyle w:val="IntenseReference"/>
              </w:rPr>
              <w:t>-30.8</w:t>
            </w:r>
          </w:p>
        </w:tc>
      </w:tr>
      <w:tr w:rsidR="00F91616" w:rsidRPr="0090167C" w14:paraId="3F9F1669" w14:textId="77777777" w:rsidTr="00293087">
        <w:trPr>
          <w:trHeight w:hRule="exact" w:val="227"/>
        </w:trPr>
        <w:tc>
          <w:tcPr>
            <w:tcW w:w="831" w:type="dxa"/>
            <w:vMerge/>
            <w:shd w:val="clear" w:color="auto" w:fill="auto"/>
            <w:noWrap/>
            <w:vAlign w:val="bottom"/>
            <w:hideMark/>
          </w:tcPr>
          <w:p w14:paraId="7E906A76" w14:textId="77777777" w:rsidR="00F91616" w:rsidRPr="00015C5C" w:rsidRDefault="00F91616" w:rsidP="00F91616">
            <w:pPr>
              <w:spacing w:after="0"/>
              <w:jc w:val="left"/>
              <w:rPr>
                <w:rStyle w:val="IntenseReference"/>
              </w:rPr>
            </w:pPr>
          </w:p>
        </w:tc>
        <w:tc>
          <w:tcPr>
            <w:tcW w:w="1007" w:type="dxa"/>
            <w:vMerge/>
            <w:shd w:val="clear" w:color="auto" w:fill="auto"/>
            <w:noWrap/>
            <w:vAlign w:val="bottom"/>
            <w:hideMark/>
          </w:tcPr>
          <w:p w14:paraId="05513066" w14:textId="77777777" w:rsidR="00F91616" w:rsidRPr="00015C5C" w:rsidRDefault="00F91616" w:rsidP="00F91616">
            <w:pPr>
              <w:spacing w:after="0"/>
              <w:jc w:val="left"/>
              <w:rPr>
                <w:rStyle w:val="IntenseReference"/>
              </w:rPr>
            </w:pPr>
          </w:p>
        </w:tc>
        <w:tc>
          <w:tcPr>
            <w:tcW w:w="1843" w:type="dxa"/>
            <w:vMerge/>
            <w:shd w:val="clear" w:color="auto" w:fill="auto"/>
            <w:noWrap/>
            <w:vAlign w:val="center"/>
            <w:hideMark/>
          </w:tcPr>
          <w:p w14:paraId="16BA7287"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09C864BC"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67CD42E8" w14:textId="77777777" w:rsidR="00F91616" w:rsidRPr="00015C5C" w:rsidRDefault="00F91616" w:rsidP="00F91616">
            <w:pPr>
              <w:spacing w:after="0"/>
              <w:jc w:val="center"/>
              <w:rPr>
                <w:rStyle w:val="IntenseReference"/>
              </w:rPr>
            </w:pPr>
            <w:r>
              <w:rPr>
                <w:rStyle w:val="IntenseReference"/>
              </w:rPr>
              <w:t>2-May</w:t>
            </w:r>
          </w:p>
        </w:tc>
        <w:tc>
          <w:tcPr>
            <w:tcW w:w="993" w:type="dxa"/>
            <w:shd w:val="clear" w:color="auto" w:fill="auto"/>
            <w:noWrap/>
            <w:vAlign w:val="center"/>
            <w:hideMark/>
          </w:tcPr>
          <w:p w14:paraId="488CAA7A" w14:textId="77777777" w:rsidR="00F91616" w:rsidRPr="00015C5C" w:rsidRDefault="00F91616" w:rsidP="00F91616">
            <w:pPr>
              <w:spacing w:after="0"/>
              <w:jc w:val="right"/>
              <w:rPr>
                <w:rStyle w:val="IntenseReference"/>
              </w:rPr>
            </w:pPr>
            <w:r w:rsidRPr="00015C5C">
              <w:rPr>
                <w:rStyle w:val="IntenseReference"/>
              </w:rPr>
              <w:t>1.2</w:t>
            </w:r>
          </w:p>
        </w:tc>
        <w:tc>
          <w:tcPr>
            <w:tcW w:w="997" w:type="dxa"/>
            <w:shd w:val="clear" w:color="auto" w:fill="auto"/>
            <w:noWrap/>
            <w:vAlign w:val="center"/>
            <w:hideMark/>
          </w:tcPr>
          <w:p w14:paraId="5774EF3F" w14:textId="77777777" w:rsidR="00F91616" w:rsidRPr="00015C5C" w:rsidRDefault="00F91616" w:rsidP="00F91616">
            <w:pPr>
              <w:spacing w:after="0"/>
              <w:jc w:val="right"/>
              <w:rPr>
                <w:rStyle w:val="IntenseReference"/>
              </w:rPr>
            </w:pPr>
            <w:r w:rsidRPr="00015C5C">
              <w:rPr>
                <w:rStyle w:val="IntenseReference"/>
              </w:rPr>
              <w:t>66.1</w:t>
            </w:r>
          </w:p>
        </w:tc>
        <w:tc>
          <w:tcPr>
            <w:tcW w:w="987" w:type="dxa"/>
            <w:shd w:val="clear" w:color="auto" w:fill="auto"/>
            <w:noWrap/>
            <w:vAlign w:val="center"/>
            <w:hideMark/>
          </w:tcPr>
          <w:p w14:paraId="3C0B376D" w14:textId="77777777" w:rsidR="00F91616" w:rsidRPr="00015C5C" w:rsidRDefault="00F91616" w:rsidP="00F91616">
            <w:pPr>
              <w:spacing w:after="0"/>
              <w:jc w:val="right"/>
              <w:rPr>
                <w:rStyle w:val="IntenseReference"/>
              </w:rPr>
            </w:pPr>
            <w:r w:rsidRPr="00015C5C">
              <w:rPr>
                <w:rStyle w:val="IntenseReference"/>
              </w:rPr>
              <w:t>7.8</w:t>
            </w:r>
            <w:r>
              <w:rPr>
                <w:rStyle w:val="IntenseReference"/>
              </w:rPr>
              <w:t>*</w:t>
            </w:r>
          </w:p>
        </w:tc>
        <w:tc>
          <w:tcPr>
            <w:tcW w:w="998" w:type="dxa"/>
            <w:shd w:val="clear" w:color="auto" w:fill="auto"/>
            <w:noWrap/>
            <w:vAlign w:val="center"/>
            <w:hideMark/>
          </w:tcPr>
          <w:p w14:paraId="155A2DE3" w14:textId="77777777" w:rsidR="00F91616" w:rsidRPr="00015C5C" w:rsidRDefault="00F91616" w:rsidP="00F91616">
            <w:pPr>
              <w:spacing w:after="0"/>
              <w:jc w:val="right"/>
              <w:rPr>
                <w:rStyle w:val="IntenseReference"/>
              </w:rPr>
            </w:pPr>
            <w:r w:rsidRPr="00015C5C">
              <w:rPr>
                <w:rStyle w:val="IntenseReference"/>
              </w:rPr>
              <w:t>0.6</w:t>
            </w:r>
          </w:p>
        </w:tc>
      </w:tr>
      <w:tr w:rsidR="00F91616" w:rsidRPr="0090167C" w14:paraId="7C4B0289" w14:textId="77777777" w:rsidTr="00293087">
        <w:trPr>
          <w:trHeight w:hRule="exact" w:val="227"/>
        </w:trPr>
        <w:tc>
          <w:tcPr>
            <w:tcW w:w="831" w:type="dxa"/>
            <w:vMerge w:val="restart"/>
            <w:shd w:val="clear" w:color="auto" w:fill="auto"/>
            <w:noWrap/>
            <w:textDirection w:val="btLr"/>
            <w:vAlign w:val="bottom"/>
            <w:hideMark/>
          </w:tcPr>
          <w:p w14:paraId="552B95C8" w14:textId="77777777" w:rsidR="00F91616" w:rsidRPr="00015C5C" w:rsidRDefault="00F91616" w:rsidP="00F91616">
            <w:pPr>
              <w:spacing w:after="0"/>
              <w:ind w:left="113" w:right="113"/>
              <w:jc w:val="left"/>
              <w:rPr>
                <w:rStyle w:val="IntenseReference"/>
              </w:rPr>
            </w:pPr>
            <w:r w:rsidRPr="00015C5C">
              <w:rPr>
                <w:rStyle w:val="IntenseReference"/>
              </w:rPr>
              <w:t>Burdekin</w:t>
            </w:r>
          </w:p>
        </w:tc>
        <w:tc>
          <w:tcPr>
            <w:tcW w:w="1007" w:type="dxa"/>
            <w:vMerge w:val="restart"/>
            <w:shd w:val="clear" w:color="auto" w:fill="auto"/>
            <w:noWrap/>
            <w:vAlign w:val="bottom"/>
          </w:tcPr>
          <w:p w14:paraId="041DF91E" w14:textId="77777777" w:rsidR="00F91616" w:rsidRPr="00015C5C" w:rsidRDefault="00F91616" w:rsidP="00F91616">
            <w:pPr>
              <w:spacing w:after="0"/>
              <w:jc w:val="left"/>
              <w:rPr>
                <w:rStyle w:val="IntenseReference"/>
              </w:rPr>
            </w:pPr>
          </w:p>
        </w:tc>
        <w:tc>
          <w:tcPr>
            <w:tcW w:w="1843" w:type="dxa"/>
            <w:vMerge w:val="restart"/>
            <w:shd w:val="clear" w:color="auto" w:fill="auto"/>
            <w:noWrap/>
            <w:vAlign w:val="center"/>
            <w:hideMark/>
          </w:tcPr>
          <w:p w14:paraId="0CEAB71D" w14:textId="77777777" w:rsidR="00F91616" w:rsidRPr="00015C5C" w:rsidRDefault="00F91616" w:rsidP="00F91616">
            <w:pPr>
              <w:spacing w:after="0"/>
              <w:jc w:val="left"/>
              <w:rPr>
                <w:rStyle w:val="IntenseReference"/>
              </w:rPr>
            </w:pPr>
            <w:r w:rsidRPr="00015C5C">
              <w:rPr>
                <w:rStyle w:val="IntenseReference"/>
              </w:rPr>
              <w:t>Havannah</w:t>
            </w:r>
          </w:p>
        </w:tc>
        <w:tc>
          <w:tcPr>
            <w:tcW w:w="654" w:type="dxa"/>
            <w:shd w:val="clear" w:color="auto" w:fill="auto"/>
            <w:noWrap/>
            <w:vAlign w:val="center"/>
            <w:hideMark/>
          </w:tcPr>
          <w:p w14:paraId="237F8464"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6E06B449" w14:textId="77777777" w:rsidR="00F91616" w:rsidRPr="00015C5C" w:rsidRDefault="00F91616" w:rsidP="00F91616">
            <w:pPr>
              <w:spacing w:after="0"/>
              <w:jc w:val="center"/>
              <w:rPr>
                <w:rStyle w:val="IntenseReference"/>
              </w:rPr>
            </w:pPr>
            <w:r>
              <w:rPr>
                <w:rStyle w:val="IntenseReference"/>
              </w:rPr>
              <w:t>9-May</w:t>
            </w:r>
          </w:p>
        </w:tc>
        <w:tc>
          <w:tcPr>
            <w:tcW w:w="993" w:type="dxa"/>
            <w:shd w:val="clear" w:color="auto" w:fill="auto"/>
            <w:noWrap/>
            <w:vAlign w:val="center"/>
            <w:hideMark/>
          </w:tcPr>
          <w:p w14:paraId="123F4B0F" w14:textId="77777777" w:rsidR="00F91616" w:rsidRPr="00015C5C" w:rsidRDefault="00F91616" w:rsidP="00F91616">
            <w:pPr>
              <w:spacing w:after="0"/>
              <w:jc w:val="right"/>
              <w:rPr>
                <w:rStyle w:val="IntenseReference"/>
              </w:rPr>
            </w:pPr>
            <w:r w:rsidRPr="00015C5C">
              <w:rPr>
                <w:rStyle w:val="IntenseReference"/>
              </w:rPr>
              <w:t>1.3</w:t>
            </w:r>
          </w:p>
        </w:tc>
        <w:tc>
          <w:tcPr>
            <w:tcW w:w="997" w:type="dxa"/>
            <w:shd w:val="clear" w:color="auto" w:fill="auto"/>
            <w:noWrap/>
            <w:vAlign w:val="center"/>
            <w:hideMark/>
          </w:tcPr>
          <w:p w14:paraId="212F3FB7" w14:textId="77777777" w:rsidR="00F91616" w:rsidRPr="00015C5C" w:rsidRDefault="00F91616" w:rsidP="00F91616">
            <w:pPr>
              <w:spacing w:after="0"/>
              <w:jc w:val="right"/>
              <w:rPr>
                <w:rStyle w:val="IntenseReference"/>
              </w:rPr>
            </w:pPr>
            <w:r w:rsidRPr="00015C5C">
              <w:rPr>
                <w:rStyle w:val="IntenseReference"/>
              </w:rPr>
              <w:t>44.0</w:t>
            </w:r>
          </w:p>
        </w:tc>
        <w:tc>
          <w:tcPr>
            <w:tcW w:w="987" w:type="dxa"/>
            <w:shd w:val="clear" w:color="auto" w:fill="auto"/>
            <w:noWrap/>
            <w:vAlign w:val="center"/>
            <w:hideMark/>
          </w:tcPr>
          <w:p w14:paraId="2CAC0AFA" w14:textId="77777777" w:rsidR="00F91616" w:rsidRPr="00015C5C" w:rsidRDefault="00F91616" w:rsidP="00F91616">
            <w:pPr>
              <w:spacing w:after="0"/>
              <w:jc w:val="right"/>
              <w:rPr>
                <w:rStyle w:val="IntenseReference"/>
              </w:rPr>
            </w:pPr>
            <w:r w:rsidRPr="00015C5C">
              <w:rPr>
                <w:rStyle w:val="IntenseReference"/>
              </w:rPr>
              <w:t>-0.6</w:t>
            </w:r>
          </w:p>
        </w:tc>
        <w:tc>
          <w:tcPr>
            <w:tcW w:w="998" w:type="dxa"/>
            <w:shd w:val="clear" w:color="auto" w:fill="auto"/>
            <w:noWrap/>
            <w:vAlign w:val="center"/>
            <w:hideMark/>
          </w:tcPr>
          <w:p w14:paraId="5F2DD4D6" w14:textId="77777777" w:rsidR="00F91616" w:rsidRPr="00015C5C" w:rsidRDefault="00F91616" w:rsidP="00F91616">
            <w:pPr>
              <w:spacing w:after="0"/>
              <w:jc w:val="right"/>
              <w:rPr>
                <w:rStyle w:val="IntenseReference"/>
              </w:rPr>
            </w:pPr>
            <w:r w:rsidRPr="00015C5C">
              <w:rPr>
                <w:rStyle w:val="IntenseReference"/>
              </w:rPr>
              <w:t>-31.4</w:t>
            </w:r>
          </w:p>
        </w:tc>
      </w:tr>
      <w:tr w:rsidR="00F91616" w:rsidRPr="0090167C" w14:paraId="125DDA4E" w14:textId="77777777" w:rsidTr="00293087">
        <w:trPr>
          <w:trHeight w:hRule="exact" w:val="227"/>
        </w:trPr>
        <w:tc>
          <w:tcPr>
            <w:tcW w:w="831" w:type="dxa"/>
            <w:vMerge/>
            <w:shd w:val="clear" w:color="auto" w:fill="auto"/>
            <w:noWrap/>
            <w:vAlign w:val="bottom"/>
            <w:hideMark/>
          </w:tcPr>
          <w:p w14:paraId="64AD3814"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644D5046" w14:textId="77777777" w:rsidR="00F91616" w:rsidRPr="00015C5C" w:rsidRDefault="00F91616" w:rsidP="00F91616">
            <w:pPr>
              <w:spacing w:after="0"/>
              <w:jc w:val="left"/>
              <w:rPr>
                <w:rStyle w:val="IntenseReference"/>
              </w:rPr>
            </w:pPr>
          </w:p>
        </w:tc>
        <w:tc>
          <w:tcPr>
            <w:tcW w:w="1843" w:type="dxa"/>
            <w:vMerge/>
            <w:shd w:val="clear" w:color="auto" w:fill="auto"/>
            <w:noWrap/>
            <w:vAlign w:val="center"/>
            <w:hideMark/>
          </w:tcPr>
          <w:p w14:paraId="050D74AF"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70421C96"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334F9D7B" w14:textId="77777777" w:rsidR="00F91616" w:rsidRPr="00015C5C" w:rsidRDefault="00F91616" w:rsidP="00F91616">
            <w:pPr>
              <w:spacing w:after="0"/>
              <w:jc w:val="center"/>
              <w:rPr>
                <w:rStyle w:val="IntenseReference"/>
              </w:rPr>
            </w:pPr>
            <w:r>
              <w:rPr>
                <w:rStyle w:val="IntenseReference"/>
              </w:rPr>
              <w:t>9-May</w:t>
            </w:r>
          </w:p>
        </w:tc>
        <w:tc>
          <w:tcPr>
            <w:tcW w:w="993" w:type="dxa"/>
            <w:shd w:val="clear" w:color="auto" w:fill="auto"/>
            <w:noWrap/>
            <w:vAlign w:val="center"/>
            <w:hideMark/>
          </w:tcPr>
          <w:p w14:paraId="10593C3F" w14:textId="77777777" w:rsidR="00F91616" w:rsidRPr="00015C5C" w:rsidRDefault="00F91616" w:rsidP="00F91616">
            <w:pPr>
              <w:spacing w:after="0"/>
              <w:jc w:val="right"/>
              <w:rPr>
                <w:rStyle w:val="IntenseReference"/>
              </w:rPr>
            </w:pPr>
            <w:r w:rsidRPr="00015C5C">
              <w:rPr>
                <w:rStyle w:val="IntenseReference"/>
              </w:rPr>
              <w:t>0.9</w:t>
            </w:r>
          </w:p>
        </w:tc>
        <w:tc>
          <w:tcPr>
            <w:tcW w:w="997" w:type="dxa"/>
            <w:shd w:val="clear" w:color="auto" w:fill="auto"/>
            <w:noWrap/>
            <w:vAlign w:val="center"/>
            <w:hideMark/>
          </w:tcPr>
          <w:p w14:paraId="4A68F814" w14:textId="77777777" w:rsidR="00F91616" w:rsidRPr="00015C5C" w:rsidRDefault="00F91616" w:rsidP="00F91616">
            <w:pPr>
              <w:spacing w:after="0"/>
              <w:jc w:val="right"/>
              <w:rPr>
                <w:rStyle w:val="IntenseReference"/>
              </w:rPr>
            </w:pPr>
            <w:r w:rsidRPr="00015C5C">
              <w:rPr>
                <w:rStyle w:val="IntenseReference"/>
              </w:rPr>
              <w:t>27.6</w:t>
            </w:r>
          </w:p>
        </w:tc>
        <w:tc>
          <w:tcPr>
            <w:tcW w:w="987" w:type="dxa"/>
            <w:shd w:val="clear" w:color="auto" w:fill="auto"/>
            <w:noWrap/>
            <w:vAlign w:val="center"/>
            <w:hideMark/>
          </w:tcPr>
          <w:p w14:paraId="38020423" w14:textId="77777777" w:rsidR="00F91616" w:rsidRPr="00015C5C" w:rsidRDefault="00F91616" w:rsidP="00F91616">
            <w:pPr>
              <w:spacing w:after="0"/>
              <w:jc w:val="right"/>
              <w:rPr>
                <w:rStyle w:val="IntenseReference"/>
              </w:rPr>
            </w:pPr>
            <w:r w:rsidRPr="00015C5C">
              <w:rPr>
                <w:rStyle w:val="IntenseReference"/>
              </w:rPr>
              <w:t>32.4</w:t>
            </w:r>
          </w:p>
        </w:tc>
        <w:tc>
          <w:tcPr>
            <w:tcW w:w="998" w:type="dxa"/>
            <w:shd w:val="clear" w:color="auto" w:fill="auto"/>
            <w:noWrap/>
            <w:vAlign w:val="center"/>
            <w:hideMark/>
          </w:tcPr>
          <w:p w14:paraId="406589A2" w14:textId="77777777" w:rsidR="00F91616" w:rsidRPr="00015C5C" w:rsidRDefault="00F91616" w:rsidP="00F91616">
            <w:pPr>
              <w:spacing w:after="0"/>
              <w:jc w:val="right"/>
              <w:rPr>
                <w:rStyle w:val="IntenseReference"/>
              </w:rPr>
            </w:pPr>
            <w:r w:rsidRPr="00015C5C">
              <w:rPr>
                <w:rStyle w:val="IntenseReference"/>
              </w:rPr>
              <w:t>-2.8</w:t>
            </w:r>
          </w:p>
        </w:tc>
      </w:tr>
      <w:tr w:rsidR="00F91616" w:rsidRPr="0090167C" w14:paraId="27CB8A60" w14:textId="77777777" w:rsidTr="00293087">
        <w:trPr>
          <w:trHeight w:hRule="exact" w:val="227"/>
        </w:trPr>
        <w:tc>
          <w:tcPr>
            <w:tcW w:w="831" w:type="dxa"/>
            <w:vMerge/>
            <w:shd w:val="clear" w:color="auto" w:fill="auto"/>
            <w:noWrap/>
            <w:vAlign w:val="bottom"/>
            <w:hideMark/>
          </w:tcPr>
          <w:p w14:paraId="358C9CA2"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6E61B277" w14:textId="77777777" w:rsidR="00F91616" w:rsidRPr="00015C5C" w:rsidRDefault="00F91616" w:rsidP="00F91616">
            <w:pPr>
              <w:spacing w:after="0"/>
              <w:jc w:val="left"/>
              <w:rPr>
                <w:rStyle w:val="IntenseReference"/>
              </w:rPr>
            </w:pPr>
          </w:p>
        </w:tc>
        <w:tc>
          <w:tcPr>
            <w:tcW w:w="1843" w:type="dxa"/>
            <w:vMerge w:val="restart"/>
            <w:shd w:val="clear" w:color="auto" w:fill="auto"/>
            <w:noWrap/>
            <w:vAlign w:val="center"/>
            <w:hideMark/>
          </w:tcPr>
          <w:p w14:paraId="3508613D" w14:textId="77777777" w:rsidR="00F91616" w:rsidRPr="00015C5C" w:rsidRDefault="00F91616" w:rsidP="00F91616">
            <w:pPr>
              <w:spacing w:after="0"/>
              <w:jc w:val="left"/>
              <w:rPr>
                <w:rStyle w:val="IntenseReference"/>
              </w:rPr>
            </w:pPr>
            <w:r w:rsidRPr="00015C5C">
              <w:rPr>
                <w:rStyle w:val="IntenseReference"/>
              </w:rPr>
              <w:t>Magnetic</w:t>
            </w:r>
          </w:p>
        </w:tc>
        <w:tc>
          <w:tcPr>
            <w:tcW w:w="654" w:type="dxa"/>
            <w:shd w:val="clear" w:color="auto" w:fill="auto"/>
            <w:noWrap/>
            <w:vAlign w:val="center"/>
            <w:hideMark/>
          </w:tcPr>
          <w:p w14:paraId="1D872B1E"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658DDC16" w14:textId="77777777" w:rsidR="00F91616" w:rsidRPr="00015C5C" w:rsidRDefault="00F91616" w:rsidP="00F91616">
            <w:pPr>
              <w:spacing w:after="0"/>
              <w:jc w:val="center"/>
              <w:rPr>
                <w:rStyle w:val="IntenseReference"/>
              </w:rPr>
            </w:pPr>
            <w:r>
              <w:rPr>
                <w:rStyle w:val="IntenseReference"/>
              </w:rPr>
              <w:t>1-May</w:t>
            </w:r>
          </w:p>
        </w:tc>
        <w:tc>
          <w:tcPr>
            <w:tcW w:w="993" w:type="dxa"/>
            <w:shd w:val="clear" w:color="auto" w:fill="auto"/>
            <w:noWrap/>
            <w:vAlign w:val="center"/>
            <w:hideMark/>
          </w:tcPr>
          <w:p w14:paraId="0E412F0E" w14:textId="77777777" w:rsidR="00F91616" w:rsidRPr="00015C5C" w:rsidRDefault="00F91616" w:rsidP="00F91616">
            <w:pPr>
              <w:spacing w:after="0"/>
              <w:jc w:val="right"/>
              <w:rPr>
                <w:rStyle w:val="IntenseReference"/>
              </w:rPr>
            </w:pPr>
            <w:r w:rsidRPr="00015C5C">
              <w:rPr>
                <w:rStyle w:val="IntenseReference"/>
              </w:rPr>
              <w:t>0.3</w:t>
            </w:r>
          </w:p>
        </w:tc>
        <w:tc>
          <w:tcPr>
            <w:tcW w:w="997" w:type="dxa"/>
            <w:shd w:val="clear" w:color="auto" w:fill="auto"/>
            <w:noWrap/>
            <w:vAlign w:val="center"/>
            <w:hideMark/>
          </w:tcPr>
          <w:p w14:paraId="75B6F79C" w14:textId="77777777" w:rsidR="00F91616" w:rsidRPr="00015C5C" w:rsidRDefault="00F91616" w:rsidP="00F91616">
            <w:pPr>
              <w:spacing w:after="0"/>
              <w:jc w:val="right"/>
              <w:rPr>
                <w:rStyle w:val="IntenseReference"/>
              </w:rPr>
            </w:pPr>
            <w:r w:rsidRPr="00015C5C">
              <w:rPr>
                <w:rStyle w:val="IntenseReference"/>
              </w:rPr>
              <w:t>0</w:t>
            </w:r>
          </w:p>
        </w:tc>
        <w:tc>
          <w:tcPr>
            <w:tcW w:w="987" w:type="dxa"/>
            <w:shd w:val="clear" w:color="auto" w:fill="auto"/>
            <w:noWrap/>
            <w:vAlign w:val="center"/>
            <w:hideMark/>
          </w:tcPr>
          <w:p w14:paraId="07461F79" w14:textId="77777777" w:rsidR="00F91616" w:rsidRPr="00015C5C" w:rsidRDefault="00F91616" w:rsidP="00F91616">
            <w:pPr>
              <w:spacing w:after="0"/>
              <w:jc w:val="right"/>
              <w:rPr>
                <w:rStyle w:val="IntenseReference"/>
              </w:rPr>
            </w:pPr>
            <w:r w:rsidRPr="00015C5C">
              <w:rPr>
                <w:rStyle w:val="IntenseReference"/>
              </w:rPr>
              <w:t>33.3</w:t>
            </w:r>
          </w:p>
        </w:tc>
        <w:tc>
          <w:tcPr>
            <w:tcW w:w="998" w:type="dxa"/>
            <w:shd w:val="clear" w:color="auto" w:fill="auto"/>
            <w:noWrap/>
            <w:vAlign w:val="center"/>
            <w:hideMark/>
          </w:tcPr>
          <w:p w14:paraId="28322BEA" w14:textId="77777777" w:rsidR="00F91616" w:rsidRPr="00015C5C" w:rsidRDefault="00F91616" w:rsidP="00F91616">
            <w:pPr>
              <w:spacing w:after="0"/>
              <w:jc w:val="right"/>
              <w:rPr>
                <w:rStyle w:val="IntenseReference"/>
              </w:rPr>
            </w:pPr>
            <w:r w:rsidRPr="00015C5C">
              <w:rPr>
                <w:rStyle w:val="IntenseReference"/>
              </w:rPr>
              <w:t>-15.2</w:t>
            </w:r>
          </w:p>
        </w:tc>
      </w:tr>
      <w:tr w:rsidR="00F91616" w:rsidRPr="0090167C" w14:paraId="5B2E4551" w14:textId="77777777" w:rsidTr="00293087">
        <w:trPr>
          <w:trHeight w:hRule="exact" w:val="227"/>
        </w:trPr>
        <w:tc>
          <w:tcPr>
            <w:tcW w:w="831" w:type="dxa"/>
            <w:vMerge/>
            <w:shd w:val="clear" w:color="auto" w:fill="auto"/>
            <w:noWrap/>
            <w:vAlign w:val="bottom"/>
            <w:hideMark/>
          </w:tcPr>
          <w:p w14:paraId="46883A99"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733CE27C" w14:textId="77777777" w:rsidR="00F91616" w:rsidRPr="00015C5C" w:rsidRDefault="00F91616" w:rsidP="00F91616">
            <w:pPr>
              <w:spacing w:after="0"/>
              <w:jc w:val="left"/>
              <w:rPr>
                <w:rStyle w:val="IntenseReference"/>
              </w:rPr>
            </w:pPr>
          </w:p>
        </w:tc>
        <w:tc>
          <w:tcPr>
            <w:tcW w:w="1843" w:type="dxa"/>
            <w:vMerge/>
            <w:shd w:val="clear" w:color="auto" w:fill="auto"/>
            <w:noWrap/>
            <w:vAlign w:val="center"/>
            <w:hideMark/>
          </w:tcPr>
          <w:p w14:paraId="01C9A643"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2FFC0B84"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7352A31D" w14:textId="77777777" w:rsidR="00F91616" w:rsidRPr="00015C5C" w:rsidRDefault="00F91616" w:rsidP="00F91616">
            <w:pPr>
              <w:spacing w:after="0"/>
              <w:jc w:val="center"/>
              <w:rPr>
                <w:rStyle w:val="IntenseReference"/>
              </w:rPr>
            </w:pPr>
            <w:r>
              <w:rPr>
                <w:rStyle w:val="IntenseReference"/>
              </w:rPr>
              <w:t>1May</w:t>
            </w:r>
          </w:p>
        </w:tc>
        <w:tc>
          <w:tcPr>
            <w:tcW w:w="993" w:type="dxa"/>
            <w:shd w:val="clear" w:color="auto" w:fill="auto"/>
            <w:noWrap/>
            <w:vAlign w:val="center"/>
            <w:hideMark/>
          </w:tcPr>
          <w:p w14:paraId="44489069" w14:textId="77777777" w:rsidR="00F91616" w:rsidRPr="00015C5C" w:rsidRDefault="00F91616" w:rsidP="00F91616">
            <w:pPr>
              <w:spacing w:after="0"/>
              <w:jc w:val="right"/>
              <w:rPr>
                <w:rStyle w:val="IntenseReference"/>
              </w:rPr>
            </w:pPr>
            <w:r w:rsidRPr="00015C5C">
              <w:rPr>
                <w:rStyle w:val="IntenseReference"/>
              </w:rPr>
              <w:t>2.5</w:t>
            </w:r>
          </w:p>
        </w:tc>
        <w:tc>
          <w:tcPr>
            <w:tcW w:w="997" w:type="dxa"/>
            <w:shd w:val="clear" w:color="auto" w:fill="auto"/>
            <w:noWrap/>
            <w:vAlign w:val="center"/>
            <w:hideMark/>
          </w:tcPr>
          <w:p w14:paraId="2ED8F62B" w14:textId="77777777" w:rsidR="00F91616" w:rsidRPr="00015C5C" w:rsidRDefault="00F91616" w:rsidP="00F91616">
            <w:pPr>
              <w:spacing w:after="0"/>
              <w:jc w:val="right"/>
              <w:rPr>
                <w:rStyle w:val="IntenseReference"/>
              </w:rPr>
            </w:pPr>
            <w:r w:rsidRPr="00015C5C">
              <w:rPr>
                <w:rStyle w:val="IntenseReference"/>
              </w:rPr>
              <w:t>14.2</w:t>
            </w:r>
          </w:p>
        </w:tc>
        <w:tc>
          <w:tcPr>
            <w:tcW w:w="987" w:type="dxa"/>
            <w:shd w:val="clear" w:color="auto" w:fill="auto"/>
            <w:noWrap/>
            <w:vAlign w:val="center"/>
            <w:hideMark/>
          </w:tcPr>
          <w:p w14:paraId="5468AA49" w14:textId="77777777" w:rsidR="00F91616" w:rsidRPr="00015C5C" w:rsidRDefault="00F91616" w:rsidP="00F91616">
            <w:pPr>
              <w:spacing w:after="0"/>
              <w:jc w:val="right"/>
              <w:rPr>
                <w:rStyle w:val="IntenseReference"/>
              </w:rPr>
            </w:pPr>
            <w:r w:rsidRPr="00015C5C">
              <w:rPr>
                <w:rStyle w:val="IntenseReference"/>
              </w:rPr>
              <w:t>9.9</w:t>
            </w:r>
          </w:p>
        </w:tc>
        <w:tc>
          <w:tcPr>
            <w:tcW w:w="998" w:type="dxa"/>
            <w:shd w:val="clear" w:color="auto" w:fill="auto"/>
            <w:noWrap/>
            <w:vAlign w:val="center"/>
            <w:hideMark/>
          </w:tcPr>
          <w:p w14:paraId="4E59841E" w14:textId="77777777" w:rsidR="00F91616" w:rsidRPr="00015C5C" w:rsidRDefault="00F91616" w:rsidP="00F91616">
            <w:pPr>
              <w:spacing w:after="0"/>
              <w:jc w:val="right"/>
              <w:rPr>
                <w:rStyle w:val="IntenseReference"/>
              </w:rPr>
            </w:pPr>
            <w:r w:rsidRPr="00015C5C">
              <w:rPr>
                <w:rStyle w:val="IntenseReference"/>
              </w:rPr>
              <w:t>2.5</w:t>
            </w:r>
          </w:p>
        </w:tc>
      </w:tr>
      <w:tr w:rsidR="00F91616" w:rsidRPr="0090167C" w14:paraId="3E6D603B" w14:textId="77777777" w:rsidTr="00293087">
        <w:trPr>
          <w:trHeight w:hRule="exact" w:val="227"/>
        </w:trPr>
        <w:tc>
          <w:tcPr>
            <w:tcW w:w="831" w:type="dxa"/>
            <w:vMerge/>
            <w:shd w:val="clear" w:color="auto" w:fill="auto"/>
            <w:noWrap/>
            <w:vAlign w:val="bottom"/>
            <w:hideMark/>
          </w:tcPr>
          <w:p w14:paraId="19262D23"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689E6317" w14:textId="77777777" w:rsidR="00F91616" w:rsidRPr="00015C5C" w:rsidRDefault="00F91616" w:rsidP="00F91616">
            <w:pPr>
              <w:spacing w:after="0"/>
              <w:jc w:val="left"/>
              <w:rPr>
                <w:rStyle w:val="IntenseReference"/>
              </w:rPr>
            </w:pPr>
          </w:p>
        </w:tc>
        <w:tc>
          <w:tcPr>
            <w:tcW w:w="1843" w:type="dxa"/>
            <w:vMerge w:val="restart"/>
            <w:shd w:val="clear" w:color="auto" w:fill="auto"/>
            <w:noWrap/>
            <w:vAlign w:val="center"/>
            <w:hideMark/>
          </w:tcPr>
          <w:p w14:paraId="1F4C5F38" w14:textId="77777777" w:rsidR="00F91616" w:rsidRPr="00015C5C" w:rsidRDefault="00F91616" w:rsidP="00F91616">
            <w:pPr>
              <w:spacing w:after="0"/>
              <w:jc w:val="left"/>
              <w:rPr>
                <w:rStyle w:val="IntenseReference"/>
              </w:rPr>
            </w:pPr>
            <w:r w:rsidRPr="00015C5C">
              <w:rPr>
                <w:rStyle w:val="IntenseReference"/>
              </w:rPr>
              <w:t>Palms West</w:t>
            </w:r>
          </w:p>
        </w:tc>
        <w:tc>
          <w:tcPr>
            <w:tcW w:w="654" w:type="dxa"/>
            <w:shd w:val="clear" w:color="auto" w:fill="auto"/>
            <w:noWrap/>
            <w:vAlign w:val="center"/>
            <w:hideMark/>
          </w:tcPr>
          <w:p w14:paraId="4FEDB678"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6D7DEC3D" w14:textId="77777777" w:rsidR="00F91616" w:rsidRPr="00015C5C" w:rsidRDefault="00F91616" w:rsidP="00F91616">
            <w:pPr>
              <w:spacing w:after="0"/>
              <w:jc w:val="center"/>
              <w:rPr>
                <w:rStyle w:val="IntenseReference"/>
              </w:rPr>
            </w:pPr>
            <w:r>
              <w:rPr>
                <w:rStyle w:val="IntenseReference"/>
              </w:rPr>
              <w:t>10-May</w:t>
            </w:r>
          </w:p>
        </w:tc>
        <w:tc>
          <w:tcPr>
            <w:tcW w:w="993" w:type="dxa"/>
            <w:shd w:val="clear" w:color="auto" w:fill="auto"/>
            <w:noWrap/>
            <w:vAlign w:val="center"/>
            <w:hideMark/>
          </w:tcPr>
          <w:p w14:paraId="12DCC76A" w14:textId="77777777" w:rsidR="00F91616" w:rsidRPr="00015C5C" w:rsidRDefault="00F91616" w:rsidP="00F91616">
            <w:pPr>
              <w:spacing w:after="0"/>
              <w:jc w:val="right"/>
              <w:rPr>
                <w:rStyle w:val="IntenseReference"/>
              </w:rPr>
            </w:pPr>
            <w:r w:rsidRPr="00015C5C">
              <w:rPr>
                <w:rStyle w:val="IntenseReference"/>
              </w:rPr>
              <w:t>11.2</w:t>
            </w:r>
          </w:p>
        </w:tc>
        <w:tc>
          <w:tcPr>
            <w:tcW w:w="997" w:type="dxa"/>
            <w:shd w:val="clear" w:color="auto" w:fill="auto"/>
            <w:noWrap/>
            <w:vAlign w:val="center"/>
            <w:hideMark/>
          </w:tcPr>
          <w:p w14:paraId="3ADAECAC" w14:textId="77777777" w:rsidR="00F91616" w:rsidRPr="00015C5C" w:rsidRDefault="00F91616" w:rsidP="00F91616">
            <w:pPr>
              <w:spacing w:after="0"/>
              <w:jc w:val="right"/>
              <w:rPr>
                <w:rStyle w:val="IntenseReference"/>
              </w:rPr>
            </w:pPr>
            <w:r w:rsidRPr="00015C5C">
              <w:rPr>
                <w:rStyle w:val="IntenseReference"/>
              </w:rPr>
              <w:t>55.2</w:t>
            </w:r>
          </w:p>
        </w:tc>
        <w:tc>
          <w:tcPr>
            <w:tcW w:w="987" w:type="dxa"/>
            <w:shd w:val="clear" w:color="auto" w:fill="auto"/>
            <w:noWrap/>
            <w:vAlign w:val="center"/>
            <w:hideMark/>
          </w:tcPr>
          <w:p w14:paraId="7BB6610A" w14:textId="77777777" w:rsidR="00F91616" w:rsidRPr="00015C5C" w:rsidRDefault="00F91616" w:rsidP="00F91616">
            <w:pPr>
              <w:spacing w:after="0"/>
              <w:jc w:val="right"/>
              <w:rPr>
                <w:rStyle w:val="IntenseReference"/>
              </w:rPr>
            </w:pPr>
            <w:r w:rsidRPr="00015C5C">
              <w:rPr>
                <w:rStyle w:val="IntenseReference"/>
              </w:rPr>
              <w:t>20.3</w:t>
            </w:r>
          </w:p>
        </w:tc>
        <w:tc>
          <w:tcPr>
            <w:tcW w:w="998" w:type="dxa"/>
            <w:shd w:val="clear" w:color="auto" w:fill="auto"/>
            <w:noWrap/>
            <w:vAlign w:val="center"/>
            <w:hideMark/>
          </w:tcPr>
          <w:p w14:paraId="1EB5C5AE" w14:textId="77777777" w:rsidR="00F91616" w:rsidRPr="00015C5C" w:rsidRDefault="00F91616" w:rsidP="00F91616">
            <w:pPr>
              <w:spacing w:after="0"/>
              <w:jc w:val="right"/>
              <w:rPr>
                <w:rStyle w:val="IntenseReference"/>
              </w:rPr>
            </w:pPr>
            <w:r w:rsidRPr="00015C5C">
              <w:rPr>
                <w:rStyle w:val="IntenseReference"/>
              </w:rPr>
              <w:t>-24.7</w:t>
            </w:r>
          </w:p>
        </w:tc>
      </w:tr>
      <w:tr w:rsidR="00F91616" w:rsidRPr="0090167C" w14:paraId="5F7C37A1" w14:textId="77777777" w:rsidTr="00293087">
        <w:trPr>
          <w:trHeight w:hRule="exact" w:val="227"/>
        </w:trPr>
        <w:tc>
          <w:tcPr>
            <w:tcW w:w="831" w:type="dxa"/>
            <w:vMerge/>
            <w:shd w:val="clear" w:color="auto" w:fill="auto"/>
            <w:noWrap/>
            <w:vAlign w:val="bottom"/>
            <w:hideMark/>
          </w:tcPr>
          <w:p w14:paraId="05117DDF"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0B167D9A" w14:textId="77777777" w:rsidR="00F91616" w:rsidRPr="00015C5C" w:rsidRDefault="00F91616" w:rsidP="00F91616">
            <w:pPr>
              <w:spacing w:after="0"/>
              <w:jc w:val="left"/>
              <w:rPr>
                <w:rStyle w:val="IntenseReference"/>
              </w:rPr>
            </w:pPr>
          </w:p>
        </w:tc>
        <w:tc>
          <w:tcPr>
            <w:tcW w:w="1843" w:type="dxa"/>
            <w:vMerge/>
            <w:shd w:val="clear" w:color="auto" w:fill="auto"/>
            <w:noWrap/>
            <w:vAlign w:val="center"/>
            <w:hideMark/>
          </w:tcPr>
          <w:p w14:paraId="78DD2926"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57809D73"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7C252E59" w14:textId="77777777" w:rsidR="00F91616" w:rsidRPr="00015C5C" w:rsidRDefault="00F91616" w:rsidP="00F91616">
            <w:pPr>
              <w:spacing w:after="0"/>
              <w:jc w:val="center"/>
              <w:rPr>
                <w:rStyle w:val="IntenseReference"/>
              </w:rPr>
            </w:pPr>
            <w:r>
              <w:rPr>
                <w:rStyle w:val="IntenseReference"/>
              </w:rPr>
              <w:t>10-May</w:t>
            </w:r>
          </w:p>
        </w:tc>
        <w:tc>
          <w:tcPr>
            <w:tcW w:w="993" w:type="dxa"/>
            <w:shd w:val="clear" w:color="auto" w:fill="auto"/>
            <w:noWrap/>
            <w:vAlign w:val="center"/>
            <w:hideMark/>
          </w:tcPr>
          <w:p w14:paraId="397009EA" w14:textId="77777777" w:rsidR="00F91616" w:rsidRPr="00015C5C" w:rsidRDefault="00F91616" w:rsidP="00F91616">
            <w:pPr>
              <w:spacing w:after="0"/>
              <w:jc w:val="right"/>
              <w:rPr>
                <w:rStyle w:val="IntenseReference"/>
              </w:rPr>
            </w:pPr>
            <w:r w:rsidRPr="00015C5C">
              <w:rPr>
                <w:rStyle w:val="IntenseReference"/>
              </w:rPr>
              <w:t>1.5</w:t>
            </w:r>
          </w:p>
        </w:tc>
        <w:tc>
          <w:tcPr>
            <w:tcW w:w="997" w:type="dxa"/>
            <w:shd w:val="clear" w:color="auto" w:fill="auto"/>
            <w:noWrap/>
            <w:vAlign w:val="center"/>
            <w:hideMark/>
          </w:tcPr>
          <w:p w14:paraId="1A3919F8" w14:textId="77777777" w:rsidR="00F91616" w:rsidRPr="00015C5C" w:rsidRDefault="00F91616" w:rsidP="00F91616">
            <w:pPr>
              <w:spacing w:after="0"/>
              <w:jc w:val="right"/>
              <w:rPr>
                <w:rStyle w:val="IntenseReference"/>
              </w:rPr>
            </w:pPr>
            <w:r w:rsidRPr="00015C5C">
              <w:rPr>
                <w:rStyle w:val="IntenseReference"/>
              </w:rPr>
              <w:t>36.9</w:t>
            </w:r>
          </w:p>
        </w:tc>
        <w:tc>
          <w:tcPr>
            <w:tcW w:w="987" w:type="dxa"/>
            <w:shd w:val="clear" w:color="auto" w:fill="auto"/>
            <w:noWrap/>
            <w:vAlign w:val="center"/>
            <w:hideMark/>
          </w:tcPr>
          <w:p w14:paraId="1BA60F45" w14:textId="77777777" w:rsidR="00F91616" w:rsidRPr="00015C5C" w:rsidRDefault="00F91616" w:rsidP="00F91616">
            <w:pPr>
              <w:spacing w:after="0"/>
              <w:jc w:val="right"/>
              <w:rPr>
                <w:rStyle w:val="IntenseReference"/>
              </w:rPr>
            </w:pPr>
            <w:r w:rsidRPr="00015C5C">
              <w:rPr>
                <w:rStyle w:val="IntenseReference"/>
              </w:rPr>
              <w:t>35.8</w:t>
            </w:r>
          </w:p>
        </w:tc>
        <w:tc>
          <w:tcPr>
            <w:tcW w:w="998" w:type="dxa"/>
            <w:shd w:val="clear" w:color="auto" w:fill="auto"/>
            <w:noWrap/>
            <w:vAlign w:val="center"/>
            <w:hideMark/>
          </w:tcPr>
          <w:p w14:paraId="4CA48B2E" w14:textId="77777777" w:rsidR="00F91616" w:rsidRPr="00015C5C" w:rsidRDefault="00F91616" w:rsidP="00F91616">
            <w:pPr>
              <w:spacing w:after="0"/>
              <w:jc w:val="right"/>
              <w:rPr>
                <w:rStyle w:val="IntenseReference"/>
              </w:rPr>
            </w:pPr>
            <w:r w:rsidRPr="00015C5C">
              <w:rPr>
                <w:rStyle w:val="IntenseReference"/>
              </w:rPr>
              <w:t>-8.8</w:t>
            </w:r>
          </w:p>
        </w:tc>
      </w:tr>
      <w:tr w:rsidR="00F91616" w:rsidRPr="0090167C" w14:paraId="32E4E92F" w14:textId="77777777" w:rsidTr="00293087">
        <w:trPr>
          <w:trHeight w:hRule="exact" w:val="227"/>
        </w:trPr>
        <w:tc>
          <w:tcPr>
            <w:tcW w:w="831" w:type="dxa"/>
            <w:vMerge/>
            <w:shd w:val="clear" w:color="auto" w:fill="auto"/>
            <w:noWrap/>
            <w:vAlign w:val="bottom"/>
            <w:hideMark/>
          </w:tcPr>
          <w:p w14:paraId="3B6F061D"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2D4A4C38" w14:textId="77777777" w:rsidR="00F91616" w:rsidRPr="00015C5C" w:rsidRDefault="00F91616" w:rsidP="00F91616">
            <w:pPr>
              <w:spacing w:after="0"/>
              <w:jc w:val="left"/>
              <w:rPr>
                <w:rStyle w:val="IntenseReference"/>
              </w:rPr>
            </w:pPr>
          </w:p>
        </w:tc>
        <w:tc>
          <w:tcPr>
            <w:tcW w:w="1843" w:type="dxa"/>
            <w:vMerge w:val="restart"/>
            <w:shd w:val="clear" w:color="auto" w:fill="auto"/>
            <w:noWrap/>
            <w:vAlign w:val="center"/>
            <w:hideMark/>
          </w:tcPr>
          <w:p w14:paraId="165AD757" w14:textId="77777777" w:rsidR="00F91616" w:rsidRPr="00015C5C" w:rsidRDefault="00F91616" w:rsidP="00F91616">
            <w:pPr>
              <w:spacing w:after="0"/>
              <w:jc w:val="left"/>
              <w:rPr>
                <w:rStyle w:val="IntenseReference"/>
              </w:rPr>
            </w:pPr>
            <w:r w:rsidRPr="00015C5C">
              <w:rPr>
                <w:rStyle w:val="IntenseReference"/>
              </w:rPr>
              <w:t>Pandora</w:t>
            </w:r>
          </w:p>
        </w:tc>
        <w:tc>
          <w:tcPr>
            <w:tcW w:w="654" w:type="dxa"/>
            <w:shd w:val="clear" w:color="auto" w:fill="auto"/>
            <w:noWrap/>
            <w:vAlign w:val="center"/>
            <w:hideMark/>
          </w:tcPr>
          <w:p w14:paraId="3603D3A9"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4BDBD6EE" w14:textId="77777777" w:rsidR="00F91616" w:rsidRPr="00015C5C" w:rsidRDefault="00F91616" w:rsidP="00F91616">
            <w:pPr>
              <w:spacing w:after="0"/>
              <w:jc w:val="center"/>
              <w:rPr>
                <w:rStyle w:val="IntenseReference"/>
              </w:rPr>
            </w:pPr>
            <w:r>
              <w:rPr>
                <w:rStyle w:val="IntenseReference"/>
              </w:rPr>
              <w:t>9-May</w:t>
            </w:r>
          </w:p>
        </w:tc>
        <w:tc>
          <w:tcPr>
            <w:tcW w:w="993" w:type="dxa"/>
            <w:shd w:val="clear" w:color="auto" w:fill="auto"/>
            <w:noWrap/>
            <w:vAlign w:val="center"/>
            <w:hideMark/>
          </w:tcPr>
          <w:p w14:paraId="4BD14ED0" w14:textId="77777777" w:rsidR="00F91616" w:rsidRPr="00015C5C" w:rsidRDefault="00F91616" w:rsidP="00F91616">
            <w:pPr>
              <w:spacing w:after="0"/>
              <w:jc w:val="right"/>
              <w:rPr>
                <w:rStyle w:val="IntenseReference"/>
              </w:rPr>
            </w:pPr>
            <w:r w:rsidRPr="00015C5C">
              <w:rPr>
                <w:rStyle w:val="IntenseReference"/>
              </w:rPr>
              <w:t>0</w:t>
            </w:r>
          </w:p>
        </w:tc>
        <w:tc>
          <w:tcPr>
            <w:tcW w:w="997" w:type="dxa"/>
            <w:shd w:val="clear" w:color="auto" w:fill="auto"/>
            <w:noWrap/>
            <w:vAlign w:val="center"/>
            <w:hideMark/>
          </w:tcPr>
          <w:p w14:paraId="37C9600C" w14:textId="77777777" w:rsidR="00F91616" w:rsidRPr="00015C5C" w:rsidRDefault="00F91616" w:rsidP="00F91616">
            <w:pPr>
              <w:spacing w:after="0"/>
              <w:jc w:val="right"/>
              <w:rPr>
                <w:rStyle w:val="IntenseReference"/>
              </w:rPr>
            </w:pPr>
            <w:r w:rsidRPr="00015C5C">
              <w:rPr>
                <w:rStyle w:val="IntenseReference"/>
              </w:rPr>
              <w:t>9.9</w:t>
            </w:r>
          </w:p>
        </w:tc>
        <w:tc>
          <w:tcPr>
            <w:tcW w:w="987" w:type="dxa"/>
            <w:shd w:val="clear" w:color="auto" w:fill="auto"/>
            <w:noWrap/>
            <w:vAlign w:val="center"/>
            <w:hideMark/>
          </w:tcPr>
          <w:p w14:paraId="43768812" w14:textId="77777777" w:rsidR="00F91616" w:rsidRPr="00015C5C" w:rsidRDefault="00F91616" w:rsidP="00F91616">
            <w:pPr>
              <w:spacing w:after="0"/>
              <w:jc w:val="right"/>
              <w:rPr>
                <w:rStyle w:val="IntenseReference"/>
              </w:rPr>
            </w:pPr>
            <w:r w:rsidRPr="00015C5C">
              <w:rPr>
                <w:rStyle w:val="IntenseReference"/>
              </w:rPr>
              <w:t>85.1</w:t>
            </w:r>
            <w:r>
              <w:rPr>
                <w:rStyle w:val="IntenseReference"/>
              </w:rPr>
              <w:t>*</w:t>
            </w:r>
          </w:p>
        </w:tc>
        <w:tc>
          <w:tcPr>
            <w:tcW w:w="998" w:type="dxa"/>
            <w:shd w:val="clear" w:color="auto" w:fill="auto"/>
            <w:noWrap/>
            <w:vAlign w:val="center"/>
            <w:hideMark/>
          </w:tcPr>
          <w:p w14:paraId="354F00F8" w14:textId="77777777" w:rsidR="00F91616" w:rsidRPr="00015C5C" w:rsidRDefault="00F91616" w:rsidP="00F91616">
            <w:pPr>
              <w:spacing w:after="0"/>
              <w:jc w:val="right"/>
              <w:rPr>
                <w:rStyle w:val="IntenseReference"/>
              </w:rPr>
            </w:pPr>
            <w:r w:rsidRPr="00015C5C">
              <w:rPr>
                <w:rStyle w:val="IntenseReference"/>
              </w:rPr>
              <w:t>-9.0</w:t>
            </w:r>
          </w:p>
        </w:tc>
      </w:tr>
      <w:tr w:rsidR="00F91616" w:rsidRPr="0090167C" w14:paraId="2A3B7D31" w14:textId="77777777" w:rsidTr="00293087">
        <w:trPr>
          <w:trHeight w:hRule="exact" w:val="227"/>
        </w:trPr>
        <w:tc>
          <w:tcPr>
            <w:tcW w:w="831" w:type="dxa"/>
            <w:vMerge/>
            <w:shd w:val="clear" w:color="auto" w:fill="auto"/>
            <w:noWrap/>
            <w:vAlign w:val="bottom"/>
            <w:hideMark/>
          </w:tcPr>
          <w:p w14:paraId="12D287AB"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31AB6B90" w14:textId="77777777" w:rsidR="00F91616" w:rsidRPr="00015C5C" w:rsidRDefault="00F91616" w:rsidP="00F91616">
            <w:pPr>
              <w:spacing w:after="0"/>
              <w:jc w:val="left"/>
              <w:rPr>
                <w:rStyle w:val="IntenseReference"/>
              </w:rPr>
            </w:pPr>
          </w:p>
        </w:tc>
        <w:tc>
          <w:tcPr>
            <w:tcW w:w="1843" w:type="dxa"/>
            <w:vMerge/>
            <w:shd w:val="clear" w:color="auto" w:fill="auto"/>
            <w:noWrap/>
            <w:vAlign w:val="center"/>
            <w:hideMark/>
          </w:tcPr>
          <w:p w14:paraId="184A2EE2"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70F55716"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0F1ACFAC" w14:textId="77777777" w:rsidR="00F91616" w:rsidRPr="00015C5C" w:rsidRDefault="00F91616" w:rsidP="00F91616">
            <w:pPr>
              <w:spacing w:after="0"/>
              <w:jc w:val="center"/>
              <w:rPr>
                <w:rStyle w:val="IntenseReference"/>
              </w:rPr>
            </w:pPr>
            <w:r>
              <w:rPr>
                <w:rStyle w:val="IntenseReference"/>
              </w:rPr>
              <w:t>9-May</w:t>
            </w:r>
          </w:p>
        </w:tc>
        <w:tc>
          <w:tcPr>
            <w:tcW w:w="993" w:type="dxa"/>
            <w:shd w:val="clear" w:color="auto" w:fill="auto"/>
            <w:noWrap/>
            <w:vAlign w:val="center"/>
            <w:hideMark/>
          </w:tcPr>
          <w:p w14:paraId="129DA386" w14:textId="77777777" w:rsidR="00F91616" w:rsidRPr="00015C5C" w:rsidRDefault="00F91616" w:rsidP="00F91616">
            <w:pPr>
              <w:spacing w:after="0"/>
              <w:jc w:val="right"/>
              <w:rPr>
                <w:rStyle w:val="IntenseReference"/>
              </w:rPr>
            </w:pPr>
            <w:r w:rsidRPr="00015C5C">
              <w:rPr>
                <w:rStyle w:val="IntenseReference"/>
              </w:rPr>
              <w:t>0.8</w:t>
            </w:r>
          </w:p>
        </w:tc>
        <w:tc>
          <w:tcPr>
            <w:tcW w:w="997" w:type="dxa"/>
            <w:shd w:val="clear" w:color="auto" w:fill="auto"/>
            <w:noWrap/>
            <w:vAlign w:val="center"/>
            <w:hideMark/>
          </w:tcPr>
          <w:p w14:paraId="4496FB56" w14:textId="77777777" w:rsidR="00F91616" w:rsidRPr="00015C5C" w:rsidRDefault="00F91616" w:rsidP="00F91616">
            <w:pPr>
              <w:spacing w:after="0"/>
              <w:jc w:val="right"/>
              <w:rPr>
                <w:rStyle w:val="IntenseReference"/>
              </w:rPr>
            </w:pPr>
            <w:r w:rsidRPr="00015C5C">
              <w:rPr>
                <w:rStyle w:val="IntenseReference"/>
              </w:rPr>
              <w:t>24.8</w:t>
            </w:r>
          </w:p>
        </w:tc>
        <w:tc>
          <w:tcPr>
            <w:tcW w:w="987" w:type="dxa"/>
            <w:shd w:val="clear" w:color="auto" w:fill="auto"/>
            <w:noWrap/>
            <w:vAlign w:val="center"/>
            <w:hideMark/>
          </w:tcPr>
          <w:p w14:paraId="6F34D9CC" w14:textId="77777777" w:rsidR="00F91616" w:rsidRPr="00015C5C" w:rsidRDefault="00F91616" w:rsidP="00F91616">
            <w:pPr>
              <w:spacing w:after="0"/>
              <w:jc w:val="right"/>
              <w:rPr>
                <w:rStyle w:val="IntenseReference"/>
              </w:rPr>
            </w:pPr>
            <w:r w:rsidRPr="00015C5C">
              <w:rPr>
                <w:rStyle w:val="IntenseReference"/>
              </w:rPr>
              <w:t>16.7</w:t>
            </w:r>
            <w:r>
              <w:rPr>
                <w:rStyle w:val="IntenseReference"/>
              </w:rPr>
              <w:t>*</w:t>
            </w:r>
          </w:p>
        </w:tc>
        <w:tc>
          <w:tcPr>
            <w:tcW w:w="998" w:type="dxa"/>
            <w:shd w:val="clear" w:color="auto" w:fill="auto"/>
            <w:noWrap/>
            <w:vAlign w:val="center"/>
            <w:hideMark/>
          </w:tcPr>
          <w:p w14:paraId="599452DB" w14:textId="77777777" w:rsidR="00F91616" w:rsidRPr="00015C5C" w:rsidRDefault="00F91616" w:rsidP="00F91616">
            <w:pPr>
              <w:spacing w:after="0"/>
              <w:jc w:val="right"/>
              <w:rPr>
                <w:rStyle w:val="IntenseReference"/>
              </w:rPr>
            </w:pPr>
            <w:r w:rsidRPr="00015C5C">
              <w:rPr>
                <w:rStyle w:val="IntenseReference"/>
              </w:rPr>
              <w:t>38.7</w:t>
            </w:r>
          </w:p>
        </w:tc>
      </w:tr>
      <w:tr w:rsidR="00F91616" w:rsidRPr="0090167C" w14:paraId="7348AF37" w14:textId="77777777" w:rsidTr="00293087">
        <w:trPr>
          <w:trHeight w:hRule="exact" w:val="227"/>
        </w:trPr>
        <w:tc>
          <w:tcPr>
            <w:tcW w:w="831" w:type="dxa"/>
            <w:vMerge w:val="restart"/>
            <w:shd w:val="clear" w:color="auto" w:fill="auto"/>
            <w:noWrap/>
            <w:textDirection w:val="btLr"/>
            <w:vAlign w:val="bottom"/>
          </w:tcPr>
          <w:p w14:paraId="473E8E47" w14:textId="77777777" w:rsidR="00F91616" w:rsidRPr="00015C5C" w:rsidRDefault="00F91616" w:rsidP="00F91616">
            <w:pPr>
              <w:spacing w:after="0"/>
              <w:ind w:left="113" w:right="113"/>
              <w:jc w:val="left"/>
              <w:rPr>
                <w:rStyle w:val="IntenseReference"/>
              </w:rPr>
            </w:pPr>
            <w:r w:rsidRPr="00015C5C">
              <w:rPr>
                <w:rStyle w:val="IntenseReference"/>
              </w:rPr>
              <w:t>Mackay Whitsunday</w:t>
            </w:r>
          </w:p>
        </w:tc>
        <w:tc>
          <w:tcPr>
            <w:tcW w:w="1007" w:type="dxa"/>
            <w:vMerge w:val="restart"/>
            <w:shd w:val="clear" w:color="auto" w:fill="auto"/>
            <w:noWrap/>
            <w:vAlign w:val="bottom"/>
          </w:tcPr>
          <w:p w14:paraId="45E50C97" w14:textId="77777777" w:rsidR="00F91616" w:rsidRPr="00015C5C" w:rsidRDefault="00F91616" w:rsidP="00F91616">
            <w:pPr>
              <w:spacing w:after="0"/>
              <w:jc w:val="left"/>
              <w:rPr>
                <w:rStyle w:val="IntenseReference"/>
              </w:rPr>
            </w:pPr>
          </w:p>
        </w:tc>
        <w:tc>
          <w:tcPr>
            <w:tcW w:w="1843" w:type="dxa"/>
            <w:vMerge w:val="restart"/>
            <w:shd w:val="clear" w:color="auto" w:fill="auto"/>
            <w:noWrap/>
            <w:vAlign w:val="center"/>
            <w:hideMark/>
          </w:tcPr>
          <w:p w14:paraId="7F20CBAD" w14:textId="77777777" w:rsidR="00F91616" w:rsidRPr="00015C5C" w:rsidRDefault="00F91616" w:rsidP="00F91616">
            <w:pPr>
              <w:spacing w:after="0"/>
              <w:jc w:val="left"/>
              <w:rPr>
                <w:rStyle w:val="IntenseReference"/>
              </w:rPr>
            </w:pPr>
            <w:r w:rsidRPr="00015C5C">
              <w:rPr>
                <w:rStyle w:val="IntenseReference"/>
              </w:rPr>
              <w:t>Daydream</w:t>
            </w:r>
          </w:p>
        </w:tc>
        <w:tc>
          <w:tcPr>
            <w:tcW w:w="654" w:type="dxa"/>
            <w:shd w:val="clear" w:color="auto" w:fill="auto"/>
            <w:noWrap/>
            <w:vAlign w:val="center"/>
            <w:hideMark/>
          </w:tcPr>
          <w:p w14:paraId="2832AF59"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3B7DBAC8" w14:textId="77777777" w:rsidR="00F91616" w:rsidRPr="00015C5C" w:rsidRDefault="00F91616" w:rsidP="00F91616">
            <w:pPr>
              <w:spacing w:after="0"/>
              <w:jc w:val="center"/>
              <w:rPr>
                <w:rStyle w:val="IntenseReference"/>
              </w:rPr>
            </w:pPr>
            <w:r>
              <w:rPr>
                <w:rStyle w:val="IntenseReference"/>
              </w:rPr>
              <w:t>6-Jul</w:t>
            </w:r>
          </w:p>
        </w:tc>
        <w:tc>
          <w:tcPr>
            <w:tcW w:w="993" w:type="dxa"/>
            <w:shd w:val="clear" w:color="auto" w:fill="auto"/>
            <w:noWrap/>
            <w:vAlign w:val="center"/>
            <w:hideMark/>
          </w:tcPr>
          <w:p w14:paraId="61734F24" w14:textId="77777777" w:rsidR="00F91616" w:rsidRPr="00015C5C" w:rsidRDefault="00F91616" w:rsidP="00F91616">
            <w:pPr>
              <w:spacing w:after="0"/>
              <w:jc w:val="right"/>
              <w:rPr>
                <w:rStyle w:val="IntenseReference"/>
              </w:rPr>
            </w:pPr>
            <w:r w:rsidRPr="00015C5C">
              <w:rPr>
                <w:rStyle w:val="IntenseReference"/>
              </w:rPr>
              <w:t>1.2</w:t>
            </w:r>
          </w:p>
        </w:tc>
        <w:tc>
          <w:tcPr>
            <w:tcW w:w="997" w:type="dxa"/>
            <w:shd w:val="clear" w:color="auto" w:fill="auto"/>
            <w:noWrap/>
            <w:vAlign w:val="center"/>
            <w:hideMark/>
          </w:tcPr>
          <w:p w14:paraId="1FAFF2AB" w14:textId="77777777" w:rsidR="00F91616" w:rsidRPr="00015C5C" w:rsidRDefault="00F91616" w:rsidP="00F91616">
            <w:pPr>
              <w:spacing w:after="0"/>
              <w:jc w:val="right"/>
              <w:rPr>
                <w:rStyle w:val="IntenseReference"/>
              </w:rPr>
            </w:pPr>
            <w:r w:rsidRPr="00015C5C">
              <w:rPr>
                <w:rStyle w:val="IntenseReference"/>
              </w:rPr>
              <w:t>0</w:t>
            </w:r>
          </w:p>
        </w:tc>
        <w:tc>
          <w:tcPr>
            <w:tcW w:w="987" w:type="dxa"/>
            <w:shd w:val="clear" w:color="auto" w:fill="auto"/>
            <w:noWrap/>
            <w:vAlign w:val="center"/>
            <w:hideMark/>
          </w:tcPr>
          <w:p w14:paraId="3BFD54C0" w14:textId="77777777" w:rsidR="00F91616" w:rsidRPr="00015C5C" w:rsidRDefault="00F91616" w:rsidP="00F91616">
            <w:pPr>
              <w:spacing w:after="0"/>
              <w:jc w:val="right"/>
              <w:rPr>
                <w:rStyle w:val="IntenseReference"/>
              </w:rPr>
            </w:pPr>
            <w:r w:rsidRPr="00015C5C">
              <w:rPr>
                <w:rStyle w:val="IntenseReference"/>
              </w:rPr>
              <w:t>64.5</w:t>
            </w:r>
          </w:p>
        </w:tc>
        <w:tc>
          <w:tcPr>
            <w:tcW w:w="998" w:type="dxa"/>
            <w:shd w:val="clear" w:color="auto" w:fill="auto"/>
            <w:noWrap/>
            <w:vAlign w:val="center"/>
            <w:hideMark/>
          </w:tcPr>
          <w:p w14:paraId="00A9204C" w14:textId="77777777" w:rsidR="00F91616" w:rsidRPr="00015C5C" w:rsidRDefault="00F91616" w:rsidP="00F91616">
            <w:pPr>
              <w:spacing w:after="0"/>
              <w:jc w:val="right"/>
              <w:rPr>
                <w:rStyle w:val="IntenseReference"/>
              </w:rPr>
            </w:pPr>
            <w:r w:rsidRPr="00015C5C">
              <w:rPr>
                <w:rStyle w:val="IntenseReference"/>
              </w:rPr>
              <w:t>-98.3</w:t>
            </w:r>
          </w:p>
        </w:tc>
      </w:tr>
      <w:tr w:rsidR="00F91616" w:rsidRPr="0090167C" w14:paraId="0EE628CA" w14:textId="77777777" w:rsidTr="00293087">
        <w:trPr>
          <w:trHeight w:hRule="exact" w:val="227"/>
        </w:trPr>
        <w:tc>
          <w:tcPr>
            <w:tcW w:w="831" w:type="dxa"/>
            <w:vMerge/>
            <w:shd w:val="clear" w:color="auto" w:fill="auto"/>
            <w:noWrap/>
            <w:vAlign w:val="bottom"/>
          </w:tcPr>
          <w:p w14:paraId="4676C63F"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55A0283E" w14:textId="77777777" w:rsidR="00F91616" w:rsidRPr="00015C5C" w:rsidRDefault="00F91616" w:rsidP="00F91616">
            <w:pPr>
              <w:spacing w:after="0"/>
              <w:jc w:val="left"/>
              <w:rPr>
                <w:rStyle w:val="IntenseReference"/>
              </w:rPr>
            </w:pPr>
          </w:p>
        </w:tc>
        <w:tc>
          <w:tcPr>
            <w:tcW w:w="1843" w:type="dxa"/>
            <w:vMerge/>
            <w:shd w:val="clear" w:color="auto" w:fill="auto"/>
            <w:noWrap/>
            <w:vAlign w:val="center"/>
            <w:hideMark/>
          </w:tcPr>
          <w:p w14:paraId="7C34A5B1"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0AC568F8"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5258BAB3" w14:textId="77777777" w:rsidR="00F91616" w:rsidRPr="00015C5C" w:rsidRDefault="00F91616" w:rsidP="00F91616">
            <w:pPr>
              <w:spacing w:after="0"/>
              <w:jc w:val="center"/>
              <w:rPr>
                <w:rStyle w:val="IntenseReference"/>
              </w:rPr>
            </w:pPr>
            <w:r>
              <w:rPr>
                <w:rStyle w:val="IntenseReference"/>
              </w:rPr>
              <w:t>6-Jul</w:t>
            </w:r>
          </w:p>
        </w:tc>
        <w:tc>
          <w:tcPr>
            <w:tcW w:w="993" w:type="dxa"/>
            <w:shd w:val="clear" w:color="auto" w:fill="auto"/>
            <w:noWrap/>
            <w:vAlign w:val="center"/>
            <w:hideMark/>
          </w:tcPr>
          <w:p w14:paraId="30FF3F3E" w14:textId="77777777" w:rsidR="00F91616" w:rsidRPr="00015C5C" w:rsidRDefault="00F91616" w:rsidP="00F91616">
            <w:pPr>
              <w:spacing w:after="0"/>
              <w:jc w:val="right"/>
              <w:rPr>
                <w:rStyle w:val="IntenseReference"/>
              </w:rPr>
            </w:pPr>
            <w:r w:rsidRPr="00015C5C">
              <w:rPr>
                <w:rStyle w:val="IntenseReference"/>
              </w:rPr>
              <w:t>0</w:t>
            </w:r>
          </w:p>
        </w:tc>
        <w:tc>
          <w:tcPr>
            <w:tcW w:w="997" w:type="dxa"/>
            <w:shd w:val="clear" w:color="auto" w:fill="auto"/>
            <w:noWrap/>
            <w:vAlign w:val="center"/>
            <w:hideMark/>
          </w:tcPr>
          <w:p w14:paraId="4B29FBAC" w14:textId="77777777" w:rsidR="00F91616" w:rsidRPr="00015C5C" w:rsidRDefault="00F91616" w:rsidP="00F91616">
            <w:pPr>
              <w:spacing w:after="0"/>
              <w:jc w:val="right"/>
              <w:rPr>
                <w:rStyle w:val="IntenseReference"/>
              </w:rPr>
            </w:pPr>
            <w:r w:rsidRPr="00015C5C">
              <w:rPr>
                <w:rStyle w:val="IntenseReference"/>
              </w:rPr>
              <w:t>7.4</w:t>
            </w:r>
          </w:p>
        </w:tc>
        <w:tc>
          <w:tcPr>
            <w:tcW w:w="987" w:type="dxa"/>
            <w:shd w:val="clear" w:color="auto" w:fill="auto"/>
            <w:noWrap/>
            <w:vAlign w:val="center"/>
            <w:hideMark/>
          </w:tcPr>
          <w:p w14:paraId="24A8E0A2" w14:textId="77777777" w:rsidR="00F91616" w:rsidRPr="00015C5C" w:rsidRDefault="00F91616" w:rsidP="00F91616">
            <w:pPr>
              <w:spacing w:after="0"/>
              <w:jc w:val="right"/>
              <w:rPr>
                <w:rStyle w:val="IntenseReference"/>
              </w:rPr>
            </w:pPr>
            <w:r w:rsidRPr="00015C5C">
              <w:rPr>
                <w:rStyle w:val="IntenseReference"/>
              </w:rPr>
              <w:t>44.4</w:t>
            </w:r>
          </w:p>
        </w:tc>
        <w:tc>
          <w:tcPr>
            <w:tcW w:w="998" w:type="dxa"/>
            <w:shd w:val="clear" w:color="auto" w:fill="auto"/>
            <w:noWrap/>
            <w:vAlign w:val="center"/>
            <w:hideMark/>
          </w:tcPr>
          <w:p w14:paraId="7DBE76F2" w14:textId="77777777" w:rsidR="00F91616" w:rsidRPr="00015C5C" w:rsidRDefault="00F91616" w:rsidP="00F91616">
            <w:pPr>
              <w:spacing w:after="0"/>
              <w:jc w:val="right"/>
              <w:rPr>
                <w:rStyle w:val="IntenseReference"/>
              </w:rPr>
            </w:pPr>
            <w:r w:rsidRPr="00015C5C">
              <w:rPr>
                <w:rStyle w:val="IntenseReference"/>
              </w:rPr>
              <w:t>-89.6</w:t>
            </w:r>
          </w:p>
        </w:tc>
      </w:tr>
      <w:tr w:rsidR="00F91616" w:rsidRPr="0090167C" w14:paraId="4013B4C3" w14:textId="77777777" w:rsidTr="00293087">
        <w:trPr>
          <w:trHeight w:hRule="exact" w:val="227"/>
        </w:trPr>
        <w:tc>
          <w:tcPr>
            <w:tcW w:w="831" w:type="dxa"/>
            <w:vMerge/>
            <w:shd w:val="clear" w:color="auto" w:fill="auto"/>
            <w:noWrap/>
            <w:vAlign w:val="bottom"/>
          </w:tcPr>
          <w:p w14:paraId="2EB77F10"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50924CB2" w14:textId="77777777" w:rsidR="00F91616" w:rsidRPr="00015C5C" w:rsidRDefault="00F91616" w:rsidP="00F91616">
            <w:pPr>
              <w:spacing w:after="0"/>
              <w:jc w:val="left"/>
              <w:rPr>
                <w:rStyle w:val="IntenseReference"/>
              </w:rPr>
            </w:pPr>
          </w:p>
        </w:tc>
        <w:tc>
          <w:tcPr>
            <w:tcW w:w="1843" w:type="dxa"/>
            <w:vMerge w:val="restart"/>
            <w:shd w:val="clear" w:color="auto" w:fill="auto"/>
            <w:noWrap/>
            <w:vAlign w:val="center"/>
            <w:hideMark/>
          </w:tcPr>
          <w:p w14:paraId="1795383C" w14:textId="77777777" w:rsidR="00F91616" w:rsidRPr="00015C5C" w:rsidRDefault="00F91616" w:rsidP="00F91616">
            <w:pPr>
              <w:spacing w:after="0"/>
              <w:jc w:val="left"/>
              <w:rPr>
                <w:rStyle w:val="IntenseReference"/>
              </w:rPr>
            </w:pPr>
            <w:r w:rsidRPr="00015C5C">
              <w:rPr>
                <w:rStyle w:val="IntenseReference"/>
              </w:rPr>
              <w:t>Dent</w:t>
            </w:r>
          </w:p>
        </w:tc>
        <w:tc>
          <w:tcPr>
            <w:tcW w:w="654" w:type="dxa"/>
            <w:shd w:val="clear" w:color="auto" w:fill="auto"/>
            <w:noWrap/>
            <w:vAlign w:val="center"/>
            <w:hideMark/>
          </w:tcPr>
          <w:p w14:paraId="529B1B08"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2368D574" w14:textId="77777777" w:rsidR="00F91616" w:rsidRPr="00015C5C" w:rsidRDefault="00F91616" w:rsidP="00F91616">
            <w:pPr>
              <w:spacing w:after="0"/>
              <w:jc w:val="center"/>
              <w:rPr>
                <w:rStyle w:val="IntenseReference"/>
              </w:rPr>
            </w:pPr>
            <w:r>
              <w:rPr>
                <w:rStyle w:val="IntenseReference"/>
              </w:rPr>
              <w:t>5-Jul</w:t>
            </w:r>
          </w:p>
        </w:tc>
        <w:tc>
          <w:tcPr>
            <w:tcW w:w="993" w:type="dxa"/>
            <w:shd w:val="clear" w:color="auto" w:fill="auto"/>
            <w:noWrap/>
            <w:vAlign w:val="center"/>
          </w:tcPr>
          <w:p w14:paraId="07D18AED" w14:textId="77777777" w:rsidR="00F91616" w:rsidRPr="00015C5C" w:rsidRDefault="00F91616" w:rsidP="00F91616">
            <w:pPr>
              <w:spacing w:after="0"/>
              <w:jc w:val="right"/>
              <w:rPr>
                <w:rStyle w:val="IntenseReference"/>
              </w:rPr>
            </w:pPr>
          </w:p>
        </w:tc>
        <w:tc>
          <w:tcPr>
            <w:tcW w:w="997" w:type="dxa"/>
            <w:shd w:val="clear" w:color="auto" w:fill="auto"/>
            <w:noWrap/>
            <w:vAlign w:val="center"/>
            <w:hideMark/>
          </w:tcPr>
          <w:p w14:paraId="0CCB5A07" w14:textId="77777777" w:rsidR="00F91616" w:rsidRPr="00015C5C" w:rsidRDefault="00F91616" w:rsidP="00F91616">
            <w:pPr>
              <w:spacing w:after="0"/>
              <w:jc w:val="right"/>
              <w:rPr>
                <w:rStyle w:val="IntenseReference"/>
              </w:rPr>
            </w:pPr>
            <w:r w:rsidRPr="00015C5C">
              <w:rPr>
                <w:rStyle w:val="IntenseReference"/>
              </w:rPr>
              <w:t>0</w:t>
            </w:r>
          </w:p>
        </w:tc>
        <w:tc>
          <w:tcPr>
            <w:tcW w:w="987" w:type="dxa"/>
            <w:shd w:val="clear" w:color="auto" w:fill="auto"/>
            <w:noWrap/>
            <w:vAlign w:val="center"/>
            <w:hideMark/>
          </w:tcPr>
          <w:p w14:paraId="70496D4C" w14:textId="77777777" w:rsidR="00F91616" w:rsidRPr="00015C5C" w:rsidRDefault="00F91616" w:rsidP="00F91616">
            <w:pPr>
              <w:spacing w:after="0"/>
              <w:jc w:val="right"/>
              <w:rPr>
                <w:rStyle w:val="IntenseReference"/>
              </w:rPr>
            </w:pPr>
          </w:p>
        </w:tc>
        <w:tc>
          <w:tcPr>
            <w:tcW w:w="998" w:type="dxa"/>
            <w:shd w:val="clear" w:color="auto" w:fill="auto"/>
            <w:noWrap/>
            <w:vAlign w:val="center"/>
            <w:hideMark/>
          </w:tcPr>
          <w:p w14:paraId="4BF2E3A3" w14:textId="77777777" w:rsidR="00F91616" w:rsidRPr="00015C5C" w:rsidRDefault="00F91616" w:rsidP="00F91616">
            <w:pPr>
              <w:spacing w:after="0"/>
              <w:jc w:val="right"/>
              <w:rPr>
                <w:rStyle w:val="IntenseReference"/>
              </w:rPr>
            </w:pPr>
            <w:r w:rsidRPr="00015C5C">
              <w:rPr>
                <w:rStyle w:val="IntenseReference"/>
              </w:rPr>
              <w:t>-45.6</w:t>
            </w:r>
            <w:r>
              <w:rPr>
                <w:rStyle w:val="IntenseReference"/>
              </w:rPr>
              <w:t>*</w:t>
            </w:r>
            <w:r w:rsidRPr="000A19C4">
              <w:rPr>
                <w:rStyle w:val="IntenseReference"/>
                <w:vertAlign w:val="superscript"/>
              </w:rPr>
              <w:t>TC</w:t>
            </w:r>
          </w:p>
        </w:tc>
      </w:tr>
      <w:tr w:rsidR="00F91616" w:rsidRPr="0090167C" w14:paraId="3F946BD1" w14:textId="77777777" w:rsidTr="00293087">
        <w:trPr>
          <w:trHeight w:hRule="exact" w:val="227"/>
        </w:trPr>
        <w:tc>
          <w:tcPr>
            <w:tcW w:w="831" w:type="dxa"/>
            <w:vMerge/>
            <w:shd w:val="clear" w:color="auto" w:fill="auto"/>
            <w:noWrap/>
            <w:vAlign w:val="bottom"/>
          </w:tcPr>
          <w:p w14:paraId="4F0A80CB"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60FBD16C" w14:textId="77777777" w:rsidR="00F91616" w:rsidRPr="00015C5C" w:rsidRDefault="00F91616" w:rsidP="00F91616">
            <w:pPr>
              <w:spacing w:after="0"/>
              <w:jc w:val="left"/>
              <w:rPr>
                <w:rStyle w:val="IntenseReference"/>
              </w:rPr>
            </w:pPr>
          </w:p>
        </w:tc>
        <w:tc>
          <w:tcPr>
            <w:tcW w:w="1843" w:type="dxa"/>
            <w:vMerge/>
            <w:shd w:val="clear" w:color="auto" w:fill="auto"/>
            <w:noWrap/>
            <w:vAlign w:val="center"/>
            <w:hideMark/>
          </w:tcPr>
          <w:p w14:paraId="379E08BB"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44C1C85F"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5930C791" w14:textId="77777777" w:rsidR="00F91616" w:rsidRPr="00015C5C" w:rsidRDefault="00F91616" w:rsidP="00F91616">
            <w:pPr>
              <w:spacing w:after="0"/>
              <w:jc w:val="center"/>
              <w:rPr>
                <w:rStyle w:val="IntenseReference"/>
              </w:rPr>
            </w:pPr>
            <w:r>
              <w:rPr>
                <w:rStyle w:val="IntenseReference"/>
              </w:rPr>
              <w:t>5-Jul</w:t>
            </w:r>
          </w:p>
        </w:tc>
        <w:tc>
          <w:tcPr>
            <w:tcW w:w="993" w:type="dxa"/>
            <w:shd w:val="clear" w:color="auto" w:fill="auto"/>
            <w:noWrap/>
            <w:vAlign w:val="center"/>
          </w:tcPr>
          <w:p w14:paraId="3F64E476" w14:textId="77777777" w:rsidR="00F91616" w:rsidRPr="00015C5C" w:rsidRDefault="00F91616" w:rsidP="00F91616">
            <w:pPr>
              <w:spacing w:after="0"/>
              <w:jc w:val="right"/>
              <w:rPr>
                <w:rStyle w:val="IntenseReference"/>
              </w:rPr>
            </w:pPr>
          </w:p>
        </w:tc>
        <w:tc>
          <w:tcPr>
            <w:tcW w:w="997" w:type="dxa"/>
            <w:shd w:val="clear" w:color="auto" w:fill="auto"/>
            <w:noWrap/>
            <w:vAlign w:val="center"/>
            <w:hideMark/>
          </w:tcPr>
          <w:p w14:paraId="1C9D5418" w14:textId="77777777" w:rsidR="00F91616" w:rsidRPr="00015C5C" w:rsidRDefault="00F91616" w:rsidP="00F91616">
            <w:pPr>
              <w:spacing w:after="0"/>
              <w:jc w:val="right"/>
              <w:rPr>
                <w:rStyle w:val="IntenseReference"/>
              </w:rPr>
            </w:pPr>
            <w:r w:rsidRPr="00015C5C">
              <w:rPr>
                <w:rStyle w:val="IntenseReference"/>
              </w:rPr>
              <w:t>2.5</w:t>
            </w:r>
          </w:p>
        </w:tc>
        <w:tc>
          <w:tcPr>
            <w:tcW w:w="987" w:type="dxa"/>
            <w:shd w:val="clear" w:color="auto" w:fill="auto"/>
            <w:noWrap/>
            <w:vAlign w:val="center"/>
            <w:hideMark/>
          </w:tcPr>
          <w:p w14:paraId="5AAFCC4C" w14:textId="77777777" w:rsidR="00F91616" w:rsidRPr="00015C5C" w:rsidRDefault="00F91616" w:rsidP="00F91616">
            <w:pPr>
              <w:spacing w:after="0"/>
              <w:jc w:val="right"/>
              <w:rPr>
                <w:rStyle w:val="IntenseReference"/>
              </w:rPr>
            </w:pPr>
          </w:p>
        </w:tc>
        <w:tc>
          <w:tcPr>
            <w:tcW w:w="998" w:type="dxa"/>
            <w:shd w:val="clear" w:color="auto" w:fill="auto"/>
            <w:noWrap/>
            <w:vAlign w:val="center"/>
            <w:hideMark/>
          </w:tcPr>
          <w:p w14:paraId="253D6690" w14:textId="77777777" w:rsidR="00F91616" w:rsidRPr="00015C5C" w:rsidRDefault="00F91616" w:rsidP="00F91616">
            <w:pPr>
              <w:spacing w:after="0"/>
              <w:jc w:val="right"/>
              <w:rPr>
                <w:rStyle w:val="IntenseReference"/>
              </w:rPr>
            </w:pPr>
            <w:r w:rsidRPr="00015C5C">
              <w:rPr>
                <w:rStyle w:val="IntenseReference"/>
              </w:rPr>
              <w:t>-34.3</w:t>
            </w:r>
            <w:r>
              <w:rPr>
                <w:rStyle w:val="IntenseReference"/>
              </w:rPr>
              <w:t>*</w:t>
            </w:r>
            <w:r w:rsidRPr="000A19C4">
              <w:rPr>
                <w:rStyle w:val="IntenseReference"/>
                <w:vertAlign w:val="superscript"/>
              </w:rPr>
              <w:t xml:space="preserve"> TC</w:t>
            </w:r>
          </w:p>
        </w:tc>
      </w:tr>
      <w:tr w:rsidR="00F91616" w:rsidRPr="0090167C" w14:paraId="6137B366" w14:textId="77777777" w:rsidTr="00293087">
        <w:trPr>
          <w:trHeight w:hRule="exact" w:val="227"/>
        </w:trPr>
        <w:tc>
          <w:tcPr>
            <w:tcW w:w="831" w:type="dxa"/>
            <w:vMerge/>
            <w:shd w:val="clear" w:color="auto" w:fill="auto"/>
            <w:noWrap/>
            <w:vAlign w:val="bottom"/>
          </w:tcPr>
          <w:p w14:paraId="3BF91209"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5D35A654" w14:textId="77777777" w:rsidR="00F91616" w:rsidRPr="00015C5C" w:rsidRDefault="00F91616" w:rsidP="00F91616">
            <w:pPr>
              <w:spacing w:after="0"/>
              <w:jc w:val="left"/>
              <w:rPr>
                <w:rStyle w:val="IntenseReference"/>
              </w:rPr>
            </w:pPr>
          </w:p>
        </w:tc>
        <w:tc>
          <w:tcPr>
            <w:tcW w:w="1843" w:type="dxa"/>
            <w:vMerge w:val="restart"/>
            <w:shd w:val="clear" w:color="auto" w:fill="auto"/>
            <w:noWrap/>
            <w:vAlign w:val="center"/>
            <w:hideMark/>
          </w:tcPr>
          <w:p w14:paraId="6E3AD428" w14:textId="77777777" w:rsidR="00F91616" w:rsidRPr="00015C5C" w:rsidRDefault="00F91616" w:rsidP="00F91616">
            <w:pPr>
              <w:spacing w:after="0"/>
              <w:jc w:val="left"/>
              <w:rPr>
                <w:rStyle w:val="IntenseReference"/>
              </w:rPr>
            </w:pPr>
            <w:r w:rsidRPr="00015C5C">
              <w:rPr>
                <w:rStyle w:val="IntenseReference"/>
              </w:rPr>
              <w:t>Double Cone</w:t>
            </w:r>
          </w:p>
        </w:tc>
        <w:tc>
          <w:tcPr>
            <w:tcW w:w="654" w:type="dxa"/>
            <w:shd w:val="clear" w:color="auto" w:fill="auto"/>
            <w:noWrap/>
            <w:vAlign w:val="center"/>
            <w:hideMark/>
          </w:tcPr>
          <w:p w14:paraId="61E9F518"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676C8F94" w14:textId="77777777" w:rsidR="00F91616" w:rsidRPr="00015C5C" w:rsidRDefault="00F91616" w:rsidP="00F91616">
            <w:pPr>
              <w:spacing w:after="0"/>
              <w:jc w:val="center"/>
              <w:rPr>
                <w:rStyle w:val="IntenseReference"/>
              </w:rPr>
            </w:pPr>
            <w:r>
              <w:rPr>
                <w:rStyle w:val="IntenseReference"/>
              </w:rPr>
              <w:t>30-Jun</w:t>
            </w:r>
          </w:p>
        </w:tc>
        <w:tc>
          <w:tcPr>
            <w:tcW w:w="993" w:type="dxa"/>
            <w:shd w:val="clear" w:color="auto" w:fill="auto"/>
            <w:noWrap/>
            <w:vAlign w:val="center"/>
            <w:hideMark/>
          </w:tcPr>
          <w:p w14:paraId="4ACD1641" w14:textId="77777777" w:rsidR="00F91616" w:rsidRPr="00015C5C" w:rsidRDefault="00F91616" w:rsidP="00F91616">
            <w:pPr>
              <w:spacing w:after="0"/>
              <w:jc w:val="right"/>
              <w:rPr>
                <w:rStyle w:val="IntenseReference"/>
              </w:rPr>
            </w:pPr>
            <w:r w:rsidRPr="00015C5C">
              <w:rPr>
                <w:rStyle w:val="IntenseReference"/>
              </w:rPr>
              <w:t>1.7</w:t>
            </w:r>
          </w:p>
        </w:tc>
        <w:tc>
          <w:tcPr>
            <w:tcW w:w="997" w:type="dxa"/>
            <w:shd w:val="clear" w:color="auto" w:fill="auto"/>
            <w:noWrap/>
            <w:vAlign w:val="center"/>
            <w:hideMark/>
          </w:tcPr>
          <w:p w14:paraId="38DB8E43" w14:textId="77777777" w:rsidR="00F91616" w:rsidRPr="00015C5C" w:rsidRDefault="00F91616" w:rsidP="00F91616">
            <w:pPr>
              <w:spacing w:after="0"/>
              <w:jc w:val="right"/>
              <w:rPr>
                <w:rStyle w:val="IntenseReference"/>
              </w:rPr>
            </w:pPr>
            <w:r w:rsidRPr="00015C5C">
              <w:rPr>
                <w:rStyle w:val="IntenseReference"/>
              </w:rPr>
              <w:t>0</w:t>
            </w:r>
          </w:p>
        </w:tc>
        <w:tc>
          <w:tcPr>
            <w:tcW w:w="987" w:type="dxa"/>
            <w:shd w:val="clear" w:color="auto" w:fill="auto"/>
            <w:noWrap/>
            <w:vAlign w:val="center"/>
            <w:hideMark/>
          </w:tcPr>
          <w:p w14:paraId="59ED613A" w14:textId="77777777" w:rsidR="00F91616" w:rsidRPr="00015C5C" w:rsidRDefault="00F91616" w:rsidP="00F91616">
            <w:pPr>
              <w:spacing w:after="0"/>
              <w:jc w:val="right"/>
              <w:rPr>
                <w:rStyle w:val="IntenseReference"/>
              </w:rPr>
            </w:pPr>
            <w:r w:rsidRPr="00015C5C">
              <w:rPr>
                <w:rStyle w:val="IntenseReference"/>
              </w:rPr>
              <w:t>15.2</w:t>
            </w:r>
            <w:r>
              <w:rPr>
                <w:rStyle w:val="IntenseReference"/>
              </w:rPr>
              <w:t>*</w:t>
            </w:r>
          </w:p>
        </w:tc>
        <w:tc>
          <w:tcPr>
            <w:tcW w:w="998" w:type="dxa"/>
            <w:shd w:val="clear" w:color="auto" w:fill="auto"/>
            <w:noWrap/>
            <w:vAlign w:val="center"/>
            <w:hideMark/>
          </w:tcPr>
          <w:p w14:paraId="02B7D374" w14:textId="77777777" w:rsidR="00F91616" w:rsidRPr="00015C5C" w:rsidRDefault="00F91616" w:rsidP="00F91616">
            <w:pPr>
              <w:spacing w:after="0"/>
              <w:jc w:val="right"/>
              <w:rPr>
                <w:rStyle w:val="IntenseReference"/>
              </w:rPr>
            </w:pPr>
            <w:r w:rsidRPr="00015C5C">
              <w:rPr>
                <w:rStyle w:val="IntenseReference"/>
              </w:rPr>
              <w:t>-97.3</w:t>
            </w:r>
            <w:r w:rsidRPr="000A19C4">
              <w:rPr>
                <w:rStyle w:val="IntenseReference"/>
                <w:vertAlign w:val="superscript"/>
              </w:rPr>
              <w:t xml:space="preserve"> TC</w:t>
            </w:r>
          </w:p>
        </w:tc>
      </w:tr>
      <w:tr w:rsidR="00F91616" w:rsidRPr="0090167C" w14:paraId="761571D1" w14:textId="77777777" w:rsidTr="00293087">
        <w:trPr>
          <w:trHeight w:hRule="exact" w:val="227"/>
        </w:trPr>
        <w:tc>
          <w:tcPr>
            <w:tcW w:w="831" w:type="dxa"/>
            <w:vMerge/>
            <w:shd w:val="clear" w:color="auto" w:fill="auto"/>
            <w:noWrap/>
            <w:vAlign w:val="bottom"/>
          </w:tcPr>
          <w:p w14:paraId="30EA3AFB"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24E58162" w14:textId="77777777" w:rsidR="00F91616" w:rsidRPr="00015C5C" w:rsidRDefault="00F91616" w:rsidP="00F91616">
            <w:pPr>
              <w:spacing w:after="0"/>
              <w:jc w:val="left"/>
              <w:rPr>
                <w:rStyle w:val="IntenseReference"/>
              </w:rPr>
            </w:pPr>
          </w:p>
        </w:tc>
        <w:tc>
          <w:tcPr>
            <w:tcW w:w="1843" w:type="dxa"/>
            <w:vMerge/>
            <w:shd w:val="clear" w:color="auto" w:fill="auto"/>
            <w:noWrap/>
            <w:vAlign w:val="center"/>
            <w:hideMark/>
          </w:tcPr>
          <w:p w14:paraId="13A14A0C"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2DA25FBD"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493FA409" w14:textId="77777777" w:rsidR="00F91616" w:rsidRPr="00015C5C" w:rsidRDefault="00F91616" w:rsidP="00F91616">
            <w:pPr>
              <w:spacing w:after="0"/>
              <w:jc w:val="center"/>
              <w:rPr>
                <w:rStyle w:val="IntenseReference"/>
              </w:rPr>
            </w:pPr>
            <w:r>
              <w:rPr>
                <w:rStyle w:val="IntenseReference"/>
              </w:rPr>
              <w:t>30-Jun</w:t>
            </w:r>
          </w:p>
        </w:tc>
        <w:tc>
          <w:tcPr>
            <w:tcW w:w="993" w:type="dxa"/>
            <w:shd w:val="clear" w:color="auto" w:fill="auto"/>
            <w:noWrap/>
            <w:vAlign w:val="center"/>
            <w:hideMark/>
          </w:tcPr>
          <w:p w14:paraId="2984C6F6" w14:textId="77777777" w:rsidR="00F91616" w:rsidRPr="00015C5C" w:rsidRDefault="00F91616" w:rsidP="00F91616">
            <w:pPr>
              <w:spacing w:after="0"/>
              <w:jc w:val="right"/>
              <w:rPr>
                <w:rStyle w:val="IntenseReference"/>
              </w:rPr>
            </w:pPr>
            <w:r w:rsidRPr="00015C5C">
              <w:rPr>
                <w:rStyle w:val="IntenseReference"/>
              </w:rPr>
              <w:t>9.5</w:t>
            </w:r>
          </w:p>
        </w:tc>
        <w:tc>
          <w:tcPr>
            <w:tcW w:w="997" w:type="dxa"/>
            <w:shd w:val="clear" w:color="auto" w:fill="auto"/>
            <w:noWrap/>
            <w:vAlign w:val="center"/>
            <w:hideMark/>
          </w:tcPr>
          <w:p w14:paraId="65D18F1A" w14:textId="77777777" w:rsidR="00F91616" w:rsidRPr="00015C5C" w:rsidRDefault="00F91616" w:rsidP="00F91616">
            <w:pPr>
              <w:spacing w:after="0"/>
              <w:jc w:val="right"/>
              <w:rPr>
                <w:rStyle w:val="IntenseReference"/>
              </w:rPr>
            </w:pPr>
            <w:r w:rsidRPr="00015C5C">
              <w:rPr>
                <w:rStyle w:val="IntenseReference"/>
              </w:rPr>
              <w:t>1.6</w:t>
            </w:r>
          </w:p>
        </w:tc>
        <w:tc>
          <w:tcPr>
            <w:tcW w:w="987" w:type="dxa"/>
            <w:shd w:val="clear" w:color="auto" w:fill="auto"/>
            <w:noWrap/>
            <w:vAlign w:val="center"/>
            <w:hideMark/>
          </w:tcPr>
          <w:p w14:paraId="336BBA14" w14:textId="77777777" w:rsidR="00F91616" w:rsidRPr="00015C5C" w:rsidRDefault="00F91616" w:rsidP="00F91616">
            <w:pPr>
              <w:spacing w:after="0"/>
              <w:jc w:val="right"/>
              <w:rPr>
                <w:rStyle w:val="IntenseReference"/>
              </w:rPr>
            </w:pPr>
            <w:r w:rsidRPr="00015C5C">
              <w:rPr>
                <w:rStyle w:val="IntenseReference"/>
              </w:rPr>
              <w:t>5.5</w:t>
            </w:r>
            <w:r>
              <w:rPr>
                <w:rStyle w:val="IntenseReference"/>
              </w:rPr>
              <w:t>*</w:t>
            </w:r>
          </w:p>
        </w:tc>
        <w:tc>
          <w:tcPr>
            <w:tcW w:w="998" w:type="dxa"/>
            <w:shd w:val="clear" w:color="auto" w:fill="auto"/>
            <w:noWrap/>
            <w:vAlign w:val="center"/>
            <w:hideMark/>
          </w:tcPr>
          <w:p w14:paraId="46CE5EBE" w14:textId="77777777" w:rsidR="00F91616" w:rsidRPr="00015C5C" w:rsidRDefault="00F91616" w:rsidP="00F91616">
            <w:pPr>
              <w:spacing w:after="0"/>
              <w:jc w:val="right"/>
              <w:rPr>
                <w:rStyle w:val="IntenseReference"/>
              </w:rPr>
            </w:pPr>
            <w:r w:rsidRPr="00015C5C">
              <w:rPr>
                <w:rStyle w:val="IntenseReference"/>
              </w:rPr>
              <w:t>-72.9</w:t>
            </w:r>
            <w:r w:rsidRPr="000A19C4">
              <w:rPr>
                <w:rStyle w:val="IntenseReference"/>
                <w:vertAlign w:val="superscript"/>
              </w:rPr>
              <w:t xml:space="preserve"> TC</w:t>
            </w:r>
          </w:p>
        </w:tc>
      </w:tr>
      <w:tr w:rsidR="00F91616" w:rsidRPr="0090167C" w14:paraId="068BD5C7" w14:textId="77777777" w:rsidTr="00293087">
        <w:trPr>
          <w:trHeight w:hRule="exact" w:val="227"/>
        </w:trPr>
        <w:tc>
          <w:tcPr>
            <w:tcW w:w="831" w:type="dxa"/>
            <w:vMerge/>
            <w:shd w:val="clear" w:color="auto" w:fill="auto"/>
            <w:noWrap/>
            <w:vAlign w:val="bottom"/>
          </w:tcPr>
          <w:p w14:paraId="2FBC541D"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66F3B9AB" w14:textId="77777777" w:rsidR="00F91616" w:rsidRPr="00015C5C" w:rsidRDefault="00F91616" w:rsidP="00F91616">
            <w:pPr>
              <w:spacing w:after="0"/>
              <w:jc w:val="left"/>
              <w:rPr>
                <w:rStyle w:val="IntenseReference"/>
              </w:rPr>
            </w:pPr>
          </w:p>
        </w:tc>
        <w:tc>
          <w:tcPr>
            <w:tcW w:w="1843" w:type="dxa"/>
            <w:vMerge w:val="restart"/>
            <w:shd w:val="clear" w:color="auto" w:fill="auto"/>
            <w:noWrap/>
            <w:vAlign w:val="center"/>
            <w:hideMark/>
          </w:tcPr>
          <w:p w14:paraId="2F26CCDC" w14:textId="77777777" w:rsidR="00F91616" w:rsidRPr="00015C5C" w:rsidRDefault="00F91616" w:rsidP="00F91616">
            <w:pPr>
              <w:spacing w:after="0"/>
              <w:jc w:val="left"/>
              <w:rPr>
                <w:rStyle w:val="IntenseReference"/>
              </w:rPr>
            </w:pPr>
            <w:r w:rsidRPr="00015C5C">
              <w:rPr>
                <w:rStyle w:val="IntenseReference"/>
              </w:rPr>
              <w:t>Pine</w:t>
            </w:r>
          </w:p>
        </w:tc>
        <w:tc>
          <w:tcPr>
            <w:tcW w:w="654" w:type="dxa"/>
            <w:shd w:val="clear" w:color="auto" w:fill="auto"/>
            <w:noWrap/>
            <w:vAlign w:val="center"/>
            <w:hideMark/>
          </w:tcPr>
          <w:p w14:paraId="7E8DD16F"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21A89466" w14:textId="77777777" w:rsidR="00F91616" w:rsidRPr="00015C5C" w:rsidRDefault="00F91616" w:rsidP="00F91616">
            <w:pPr>
              <w:spacing w:after="0"/>
              <w:jc w:val="center"/>
              <w:rPr>
                <w:rStyle w:val="IntenseReference"/>
              </w:rPr>
            </w:pPr>
            <w:r>
              <w:rPr>
                <w:rStyle w:val="IntenseReference"/>
              </w:rPr>
              <w:t>5-Jul</w:t>
            </w:r>
          </w:p>
        </w:tc>
        <w:tc>
          <w:tcPr>
            <w:tcW w:w="993" w:type="dxa"/>
            <w:shd w:val="clear" w:color="auto" w:fill="auto"/>
            <w:noWrap/>
            <w:vAlign w:val="center"/>
          </w:tcPr>
          <w:p w14:paraId="5B51D74F" w14:textId="77777777" w:rsidR="00F91616" w:rsidRPr="00015C5C" w:rsidRDefault="00F91616" w:rsidP="00F91616">
            <w:pPr>
              <w:spacing w:after="0"/>
              <w:jc w:val="right"/>
              <w:rPr>
                <w:rStyle w:val="IntenseReference"/>
              </w:rPr>
            </w:pPr>
          </w:p>
        </w:tc>
        <w:tc>
          <w:tcPr>
            <w:tcW w:w="997" w:type="dxa"/>
            <w:shd w:val="clear" w:color="auto" w:fill="auto"/>
            <w:noWrap/>
            <w:vAlign w:val="center"/>
            <w:hideMark/>
          </w:tcPr>
          <w:p w14:paraId="6DBDCBC3" w14:textId="77777777" w:rsidR="00F91616" w:rsidRPr="00015C5C" w:rsidRDefault="00F91616" w:rsidP="00F91616">
            <w:pPr>
              <w:spacing w:after="0"/>
              <w:jc w:val="right"/>
              <w:rPr>
                <w:rStyle w:val="IntenseReference"/>
              </w:rPr>
            </w:pPr>
            <w:r w:rsidRPr="00015C5C">
              <w:rPr>
                <w:rStyle w:val="IntenseReference"/>
              </w:rPr>
              <w:t>0</w:t>
            </w:r>
          </w:p>
        </w:tc>
        <w:tc>
          <w:tcPr>
            <w:tcW w:w="987" w:type="dxa"/>
            <w:shd w:val="clear" w:color="auto" w:fill="auto"/>
            <w:noWrap/>
            <w:vAlign w:val="center"/>
            <w:hideMark/>
          </w:tcPr>
          <w:p w14:paraId="253EDE6B" w14:textId="77777777" w:rsidR="00F91616" w:rsidRPr="00015C5C" w:rsidRDefault="00F91616" w:rsidP="00F91616">
            <w:pPr>
              <w:spacing w:after="0"/>
              <w:jc w:val="right"/>
              <w:rPr>
                <w:rStyle w:val="IntenseReference"/>
              </w:rPr>
            </w:pPr>
          </w:p>
        </w:tc>
        <w:tc>
          <w:tcPr>
            <w:tcW w:w="998" w:type="dxa"/>
            <w:shd w:val="clear" w:color="auto" w:fill="auto"/>
            <w:noWrap/>
            <w:vAlign w:val="center"/>
            <w:hideMark/>
          </w:tcPr>
          <w:p w14:paraId="77E77BF8" w14:textId="77777777" w:rsidR="00F91616" w:rsidRPr="00015C5C" w:rsidRDefault="00F91616" w:rsidP="00F91616">
            <w:pPr>
              <w:spacing w:after="0"/>
              <w:jc w:val="right"/>
              <w:rPr>
                <w:rStyle w:val="IntenseReference"/>
              </w:rPr>
            </w:pPr>
            <w:r w:rsidRPr="00015C5C">
              <w:rPr>
                <w:rStyle w:val="IntenseReference"/>
              </w:rPr>
              <w:t>-72.8</w:t>
            </w:r>
            <w:r>
              <w:rPr>
                <w:rStyle w:val="IntenseReference"/>
              </w:rPr>
              <w:t>*</w:t>
            </w:r>
            <w:r w:rsidRPr="000A19C4">
              <w:rPr>
                <w:rStyle w:val="IntenseReference"/>
                <w:vertAlign w:val="superscript"/>
              </w:rPr>
              <w:t xml:space="preserve"> TC</w:t>
            </w:r>
          </w:p>
        </w:tc>
      </w:tr>
      <w:tr w:rsidR="00F91616" w:rsidRPr="0090167C" w14:paraId="78960F16" w14:textId="77777777" w:rsidTr="00293087">
        <w:trPr>
          <w:trHeight w:hRule="exact" w:val="227"/>
        </w:trPr>
        <w:tc>
          <w:tcPr>
            <w:tcW w:w="831" w:type="dxa"/>
            <w:vMerge/>
            <w:shd w:val="clear" w:color="auto" w:fill="auto"/>
            <w:noWrap/>
            <w:vAlign w:val="bottom"/>
          </w:tcPr>
          <w:p w14:paraId="3D94F05C"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15D5D4B0" w14:textId="77777777" w:rsidR="00F91616" w:rsidRPr="00015C5C" w:rsidRDefault="00F91616" w:rsidP="00F91616">
            <w:pPr>
              <w:spacing w:after="0"/>
              <w:jc w:val="left"/>
              <w:rPr>
                <w:rStyle w:val="IntenseReference"/>
              </w:rPr>
            </w:pPr>
          </w:p>
        </w:tc>
        <w:tc>
          <w:tcPr>
            <w:tcW w:w="1843" w:type="dxa"/>
            <w:vMerge/>
            <w:shd w:val="clear" w:color="auto" w:fill="auto"/>
            <w:noWrap/>
            <w:vAlign w:val="center"/>
            <w:hideMark/>
          </w:tcPr>
          <w:p w14:paraId="474D208E"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74E6BF66"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5349A7C3" w14:textId="77777777" w:rsidR="00F91616" w:rsidRPr="00015C5C" w:rsidRDefault="00F91616" w:rsidP="00F91616">
            <w:pPr>
              <w:spacing w:after="0"/>
              <w:jc w:val="center"/>
              <w:rPr>
                <w:rStyle w:val="IntenseReference"/>
              </w:rPr>
            </w:pPr>
            <w:r>
              <w:rPr>
                <w:rStyle w:val="IntenseReference"/>
              </w:rPr>
              <w:t>5-Jul</w:t>
            </w:r>
          </w:p>
        </w:tc>
        <w:tc>
          <w:tcPr>
            <w:tcW w:w="993" w:type="dxa"/>
            <w:shd w:val="clear" w:color="auto" w:fill="auto"/>
            <w:noWrap/>
            <w:vAlign w:val="center"/>
          </w:tcPr>
          <w:p w14:paraId="4BB5B97C" w14:textId="77777777" w:rsidR="00F91616" w:rsidRPr="00015C5C" w:rsidRDefault="00F91616" w:rsidP="00F91616">
            <w:pPr>
              <w:spacing w:after="0"/>
              <w:jc w:val="right"/>
              <w:rPr>
                <w:rStyle w:val="IntenseReference"/>
              </w:rPr>
            </w:pPr>
          </w:p>
        </w:tc>
        <w:tc>
          <w:tcPr>
            <w:tcW w:w="997" w:type="dxa"/>
            <w:shd w:val="clear" w:color="auto" w:fill="auto"/>
            <w:noWrap/>
            <w:vAlign w:val="center"/>
            <w:hideMark/>
          </w:tcPr>
          <w:p w14:paraId="15999521" w14:textId="77777777" w:rsidR="00F91616" w:rsidRPr="00015C5C" w:rsidRDefault="00F91616" w:rsidP="00F91616">
            <w:pPr>
              <w:spacing w:after="0"/>
              <w:jc w:val="right"/>
              <w:rPr>
                <w:rStyle w:val="IntenseReference"/>
              </w:rPr>
            </w:pPr>
            <w:r w:rsidRPr="00015C5C">
              <w:rPr>
                <w:rStyle w:val="IntenseReference"/>
              </w:rPr>
              <w:t>17.3</w:t>
            </w:r>
          </w:p>
        </w:tc>
        <w:tc>
          <w:tcPr>
            <w:tcW w:w="987" w:type="dxa"/>
            <w:shd w:val="clear" w:color="auto" w:fill="auto"/>
            <w:noWrap/>
            <w:vAlign w:val="center"/>
            <w:hideMark/>
          </w:tcPr>
          <w:p w14:paraId="3FFAC69D" w14:textId="77777777" w:rsidR="00F91616" w:rsidRPr="00015C5C" w:rsidRDefault="00F91616" w:rsidP="00F91616">
            <w:pPr>
              <w:spacing w:after="0"/>
              <w:jc w:val="right"/>
              <w:rPr>
                <w:rStyle w:val="IntenseReference"/>
              </w:rPr>
            </w:pPr>
          </w:p>
        </w:tc>
        <w:tc>
          <w:tcPr>
            <w:tcW w:w="998" w:type="dxa"/>
            <w:shd w:val="clear" w:color="auto" w:fill="auto"/>
            <w:noWrap/>
            <w:vAlign w:val="center"/>
            <w:hideMark/>
          </w:tcPr>
          <w:p w14:paraId="12A254A6" w14:textId="77777777" w:rsidR="00F91616" w:rsidRPr="00015C5C" w:rsidRDefault="00F91616" w:rsidP="00F91616">
            <w:pPr>
              <w:spacing w:after="0"/>
              <w:jc w:val="right"/>
              <w:rPr>
                <w:rStyle w:val="IntenseReference"/>
              </w:rPr>
            </w:pPr>
            <w:r w:rsidRPr="00015C5C">
              <w:rPr>
                <w:rStyle w:val="IntenseReference"/>
              </w:rPr>
              <w:t>-53.2</w:t>
            </w:r>
            <w:r>
              <w:rPr>
                <w:rStyle w:val="IntenseReference"/>
              </w:rPr>
              <w:t>*</w:t>
            </w:r>
            <w:r w:rsidRPr="000A19C4">
              <w:rPr>
                <w:rStyle w:val="IntenseReference"/>
                <w:vertAlign w:val="superscript"/>
              </w:rPr>
              <w:t xml:space="preserve"> TC</w:t>
            </w:r>
          </w:p>
        </w:tc>
      </w:tr>
      <w:tr w:rsidR="00F91616" w:rsidRPr="0090167C" w14:paraId="2B86B49F" w14:textId="77777777" w:rsidTr="00293087">
        <w:trPr>
          <w:trHeight w:hRule="exact" w:val="227"/>
        </w:trPr>
        <w:tc>
          <w:tcPr>
            <w:tcW w:w="831" w:type="dxa"/>
            <w:vMerge/>
            <w:shd w:val="clear" w:color="auto" w:fill="auto"/>
            <w:noWrap/>
            <w:vAlign w:val="bottom"/>
          </w:tcPr>
          <w:p w14:paraId="2FCDB455"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018BE5BE" w14:textId="77777777" w:rsidR="00F91616" w:rsidRPr="00015C5C" w:rsidRDefault="00F91616" w:rsidP="00F91616">
            <w:pPr>
              <w:spacing w:after="0"/>
              <w:jc w:val="left"/>
              <w:rPr>
                <w:rStyle w:val="IntenseReference"/>
              </w:rPr>
            </w:pPr>
          </w:p>
        </w:tc>
        <w:tc>
          <w:tcPr>
            <w:tcW w:w="1843" w:type="dxa"/>
            <w:vMerge w:val="restart"/>
            <w:shd w:val="clear" w:color="auto" w:fill="auto"/>
            <w:noWrap/>
            <w:vAlign w:val="center"/>
            <w:hideMark/>
          </w:tcPr>
          <w:p w14:paraId="6EF95AB9" w14:textId="77777777" w:rsidR="00F91616" w:rsidRPr="00015C5C" w:rsidRDefault="00F91616" w:rsidP="00F91616">
            <w:pPr>
              <w:spacing w:after="0"/>
              <w:jc w:val="left"/>
              <w:rPr>
                <w:rStyle w:val="IntenseReference"/>
              </w:rPr>
            </w:pPr>
            <w:r w:rsidRPr="00015C5C">
              <w:rPr>
                <w:rStyle w:val="IntenseReference"/>
              </w:rPr>
              <w:t>Seaforth</w:t>
            </w:r>
          </w:p>
        </w:tc>
        <w:tc>
          <w:tcPr>
            <w:tcW w:w="654" w:type="dxa"/>
            <w:shd w:val="clear" w:color="auto" w:fill="auto"/>
            <w:noWrap/>
            <w:vAlign w:val="center"/>
            <w:hideMark/>
          </w:tcPr>
          <w:p w14:paraId="6F1A6DF5"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63F93408" w14:textId="77777777" w:rsidR="00F91616" w:rsidRPr="00015C5C" w:rsidRDefault="00F91616" w:rsidP="00F91616">
            <w:pPr>
              <w:spacing w:after="0"/>
              <w:jc w:val="center"/>
              <w:rPr>
                <w:rStyle w:val="IntenseReference"/>
              </w:rPr>
            </w:pPr>
            <w:r>
              <w:rPr>
                <w:rStyle w:val="IntenseReference"/>
              </w:rPr>
              <w:t>29-Jun</w:t>
            </w:r>
          </w:p>
        </w:tc>
        <w:tc>
          <w:tcPr>
            <w:tcW w:w="993" w:type="dxa"/>
            <w:shd w:val="clear" w:color="auto" w:fill="auto"/>
            <w:noWrap/>
            <w:vAlign w:val="center"/>
          </w:tcPr>
          <w:p w14:paraId="6A4E03A0" w14:textId="77777777" w:rsidR="00F91616" w:rsidRPr="00015C5C" w:rsidRDefault="00F91616" w:rsidP="00F91616">
            <w:pPr>
              <w:spacing w:after="0"/>
              <w:jc w:val="right"/>
              <w:rPr>
                <w:rStyle w:val="IntenseReference"/>
              </w:rPr>
            </w:pPr>
          </w:p>
        </w:tc>
        <w:tc>
          <w:tcPr>
            <w:tcW w:w="997" w:type="dxa"/>
            <w:shd w:val="clear" w:color="auto" w:fill="auto"/>
            <w:noWrap/>
            <w:vAlign w:val="center"/>
            <w:hideMark/>
          </w:tcPr>
          <w:p w14:paraId="4DEE0078" w14:textId="77777777" w:rsidR="00F91616" w:rsidRPr="00015C5C" w:rsidRDefault="00F91616" w:rsidP="00F91616">
            <w:pPr>
              <w:spacing w:after="0"/>
              <w:jc w:val="right"/>
              <w:rPr>
                <w:rStyle w:val="IntenseReference"/>
              </w:rPr>
            </w:pPr>
            <w:r w:rsidRPr="00015C5C">
              <w:rPr>
                <w:rStyle w:val="IntenseReference"/>
              </w:rPr>
              <w:t>0</w:t>
            </w:r>
          </w:p>
        </w:tc>
        <w:tc>
          <w:tcPr>
            <w:tcW w:w="987" w:type="dxa"/>
            <w:shd w:val="clear" w:color="auto" w:fill="auto"/>
            <w:noWrap/>
            <w:vAlign w:val="center"/>
            <w:hideMark/>
          </w:tcPr>
          <w:p w14:paraId="3E94D249" w14:textId="77777777" w:rsidR="00F91616" w:rsidRPr="00015C5C" w:rsidRDefault="00F91616" w:rsidP="00F91616">
            <w:pPr>
              <w:spacing w:after="0"/>
              <w:jc w:val="right"/>
              <w:rPr>
                <w:rStyle w:val="IntenseReference"/>
              </w:rPr>
            </w:pPr>
          </w:p>
        </w:tc>
        <w:tc>
          <w:tcPr>
            <w:tcW w:w="998" w:type="dxa"/>
            <w:shd w:val="clear" w:color="auto" w:fill="auto"/>
            <w:noWrap/>
            <w:vAlign w:val="center"/>
            <w:hideMark/>
          </w:tcPr>
          <w:p w14:paraId="6E541A6D" w14:textId="77777777" w:rsidR="00F91616" w:rsidRPr="00015C5C" w:rsidRDefault="00F91616" w:rsidP="00F91616">
            <w:pPr>
              <w:spacing w:after="0"/>
              <w:jc w:val="right"/>
              <w:rPr>
                <w:rStyle w:val="IntenseReference"/>
              </w:rPr>
            </w:pPr>
            <w:r w:rsidRPr="00015C5C">
              <w:rPr>
                <w:rStyle w:val="IntenseReference"/>
              </w:rPr>
              <w:t>-40.5</w:t>
            </w:r>
            <w:r>
              <w:rPr>
                <w:rStyle w:val="IntenseReference"/>
              </w:rPr>
              <w:t>*</w:t>
            </w:r>
            <w:r w:rsidRPr="000A19C4">
              <w:rPr>
                <w:rStyle w:val="IntenseReference"/>
                <w:vertAlign w:val="superscript"/>
              </w:rPr>
              <w:t xml:space="preserve"> TC</w:t>
            </w:r>
          </w:p>
        </w:tc>
      </w:tr>
      <w:tr w:rsidR="00F91616" w:rsidRPr="0090167C" w14:paraId="43CD9FD2" w14:textId="77777777" w:rsidTr="00293087">
        <w:trPr>
          <w:trHeight w:hRule="exact" w:val="227"/>
        </w:trPr>
        <w:tc>
          <w:tcPr>
            <w:tcW w:w="831" w:type="dxa"/>
            <w:vMerge/>
            <w:shd w:val="clear" w:color="auto" w:fill="auto"/>
            <w:noWrap/>
            <w:vAlign w:val="bottom"/>
          </w:tcPr>
          <w:p w14:paraId="69CBF653"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50B5C1B1" w14:textId="77777777" w:rsidR="00F91616" w:rsidRPr="00015C5C" w:rsidRDefault="00F91616" w:rsidP="00F91616">
            <w:pPr>
              <w:spacing w:after="0"/>
              <w:jc w:val="left"/>
              <w:rPr>
                <w:rStyle w:val="IntenseReference"/>
              </w:rPr>
            </w:pPr>
          </w:p>
        </w:tc>
        <w:tc>
          <w:tcPr>
            <w:tcW w:w="1843" w:type="dxa"/>
            <w:vMerge/>
            <w:shd w:val="clear" w:color="auto" w:fill="auto"/>
            <w:noWrap/>
            <w:vAlign w:val="center"/>
            <w:hideMark/>
          </w:tcPr>
          <w:p w14:paraId="67D48096"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5E55D9CD"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1E91691D" w14:textId="77777777" w:rsidR="00F91616" w:rsidRPr="00015C5C" w:rsidRDefault="00F91616" w:rsidP="00F91616">
            <w:pPr>
              <w:spacing w:after="0"/>
              <w:jc w:val="center"/>
              <w:rPr>
                <w:rStyle w:val="IntenseReference"/>
              </w:rPr>
            </w:pPr>
            <w:r>
              <w:rPr>
                <w:rStyle w:val="IntenseReference"/>
              </w:rPr>
              <w:t>29-Jun</w:t>
            </w:r>
          </w:p>
        </w:tc>
        <w:tc>
          <w:tcPr>
            <w:tcW w:w="993" w:type="dxa"/>
            <w:shd w:val="clear" w:color="auto" w:fill="auto"/>
            <w:noWrap/>
            <w:vAlign w:val="center"/>
          </w:tcPr>
          <w:p w14:paraId="4B7A36A1" w14:textId="77777777" w:rsidR="00F91616" w:rsidRPr="00015C5C" w:rsidRDefault="00F91616" w:rsidP="00F91616">
            <w:pPr>
              <w:spacing w:after="0"/>
              <w:jc w:val="right"/>
              <w:rPr>
                <w:rStyle w:val="IntenseReference"/>
              </w:rPr>
            </w:pPr>
          </w:p>
        </w:tc>
        <w:tc>
          <w:tcPr>
            <w:tcW w:w="997" w:type="dxa"/>
            <w:shd w:val="clear" w:color="auto" w:fill="auto"/>
            <w:noWrap/>
            <w:vAlign w:val="center"/>
            <w:hideMark/>
          </w:tcPr>
          <w:p w14:paraId="2A8EA810" w14:textId="77777777" w:rsidR="00F91616" w:rsidRPr="00015C5C" w:rsidRDefault="00F91616" w:rsidP="00F91616">
            <w:pPr>
              <w:spacing w:after="0"/>
              <w:jc w:val="right"/>
              <w:rPr>
                <w:rStyle w:val="IntenseReference"/>
              </w:rPr>
            </w:pPr>
            <w:r w:rsidRPr="00015C5C">
              <w:rPr>
                <w:rStyle w:val="IntenseReference"/>
              </w:rPr>
              <w:t>0.6</w:t>
            </w:r>
          </w:p>
        </w:tc>
        <w:tc>
          <w:tcPr>
            <w:tcW w:w="987" w:type="dxa"/>
            <w:shd w:val="clear" w:color="auto" w:fill="auto"/>
            <w:noWrap/>
            <w:vAlign w:val="center"/>
            <w:hideMark/>
          </w:tcPr>
          <w:p w14:paraId="3DD24508" w14:textId="77777777" w:rsidR="00F91616" w:rsidRPr="00015C5C" w:rsidRDefault="00F91616" w:rsidP="00F91616">
            <w:pPr>
              <w:spacing w:after="0"/>
              <w:jc w:val="right"/>
              <w:rPr>
                <w:rStyle w:val="IntenseReference"/>
              </w:rPr>
            </w:pPr>
          </w:p>
        </w:tc>
        <w:tc>
          <w:tcPr>
            <w:tcW w:w="998" w:type="dxa"/>
            <w:shd w:val="clear" w:color="auto" w:fill="auto"/>
            <w:noWrap/>
            <w:vAlign w:val="center"/>
            <w:hideMark/>
          </w:tcPr>
          <w:p w14:paraId="46AF07DE" w14:textId="77777777" w:rsidR="00F91616" w:rsidRPr="00015C5C" w:rsidRDefault="00F91616" w:rsidP="00F91616">
            <w:pPr>
              <w:spacing w:after="0"/>
              <w:jc w:val="right"/>
              <w:rPr>
                <w:rStyle w:val="IntenseReference"/>
              </w:rPr>
            </w:pPr>
            <w:r w:rsidRPr="00015C5C">
              <w:rPr>
                <w:rStyle w:val="IntenseReference"/>
              </w:rPr>
              <w:t>-18.5</w:t>
            </w:r>
            <w:r>
              <w:rPr>
                <w:rStyle w:val="IntenseReference"/>
              </w:rPr>
              <w:t>*</w:t>
            </w:r>
            <w:r w:rsidRPr="000A19C4">
              <w:rPr>
                <w:rStyle w:val="IntenseReference"/>
                <w:vertAlign w:val="superscript"/>
              </w:rPr>
              <w:t xml:space="preserve"> TC</w:t>
            </w:r>
          </w:p>
        </w:tc>
      </w:tr>
      <w:tr w:rsidR="00F91616" w:rsidRPr="0090167C" w14:paraId="20379C51" w14:textId="77777777" w:rsidTr="00293087">
        <w:trPr>
          <w:trHeight w:hRule="exact" w:val="227"/>
        </w:trPr>
        <w:tc>
          <w:tcPr>
            <w:tcW w:w="831" w:type="dxa"/>
            <w:vMerge/>
            <w:shd w:val="clear" w:color="auto" w:fill="auto"/>
            <w:noWrap/>
            <w:vAlign w:val="bottom"/>
          </w:tcPr>
          <w:p w14:paraId="427922C4"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3C378D20" w14:textId="77777777" w:rsidR="00F91616" w:rsidRPr="00015C5C" w:rsidRDefault="00F91616" w:rsidP="00F91616">
            <w:pPr>
              <w:spacing w:after="0"/>
              <w:jc w:val="left"/>
              <w:rPr>
                <w:rStyle w:val="IntenseReference"/>
              </w:rPr>
            </w:pPr>
          </w:p>
        </w:tc>
        <w:tc>
          <w:tcPr>
            <w:tcW w:w="1843" w:type="dxa"/>
            <w:vMerge w:val="restart"/>
            <w:shd w:val="clear" w:color="auto" w:fill="auto"/>
            <w:noWrap/>
            <w:vAlign w:val="center"/>
            <w:hideMark/>
          </w:tcPr>
          <w:p w14:paraId="3A2DC8E3" w14:textId="77777777" w:rsidR="00F91616" w:rsidRPr="00015C5C" w:rsidRDefault="00F91616" w:rsidP="00F91616">
            <w:pPr>
              <w:spacing w:after="0"/>
              <w:jc w:val="left"/>
              <w:rPr>
                <w:rStyle w:val="IntenseReference"/>
              </w:rPr>
            </w:pPr>
            <w:r w:rsidRPr="00015C5C">
              <w:rPr>
                <w:rStyle w:val="IntenseReference"/>
              </w:rPr>
              <w:t>Shute Harbour</w:t>
            </w:r>
          </w:p>
        </w:tc>
        <w:tc>
          <w:tcPr>
            <w:tcW w:w="654" w:type="dxa"/>
            <w:shd w:val="clear" w:color="auto" w:fill="auto"/>
            <w:noWrap/>
            <w:vAlign w:val="center"/>
            <w:hideMark/>
          </w:tcPr>
          <w:p w14:paraId="09807227"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1FA7F2CC" w14:textId="77777777" w:rsidR="00F91616" w:rsidRPr="00015C5C" w:rsidRDefault="00F91616" w:rsidP="00F91616">
            <w:pPr>
              <w:spacing w:after="0"/>
              <w:jc w:val="center"/>
              <w:rPr>
                <w:rStyle w:val="IntenseReference"/>
              </w:rPr>
            </w:pPr>
            <w:r>
              <w:rPr>
                <w:rStyle w:val="IntenseReference"/>
              </w:rPr>
              <w:t>6-Jul</w:t>
            </w:r>
          </w:p>
        </w:tc>
        <w:tc>
          <w:tcPr>
            <w:tcW w:w="993" w:type="dxa"/>
            <w:shd w:val="clear" w:color="auto" w:fill="auto"/>
            <w:noWrap/>
            <w:vAlign w:val="center"/>
            <w:hideMark/>
          </w:tcPr>
          <w:p w14:paraId="091A5188" w14:textId="77777777" w:rsidR="00F91616" w:rsidRPr="00015C5C" w:rsidRDefault="00F91616" w:rsidP="00F91616">
            <w:pPr>
              <w:spacing w:after="0"/>
              <w:jc w:val="right"/>
              <w:rPr>
                <w:rStyle w:val="IntenseReference"/>
              </w:rPr>
            </w:pPr>
            <w:r w:rsidRPr="00015C5C">
              <w:rPr>
                <w:rStyle w:val="IntenseReference"/>
              </w:rPr>
              <w:t>0.3</w:t>
            </w:r>
          </w:p>
        </w:tc>
        <w:tc>
          <w:tcPr>
            <w:tcW w:w="997" w:type="dxa"/>
            <w:shd w:val="clear" w:color="auto" w:fill="auto"/>
            <w:noWrap/>
            <w:vAlign w:val="center"/>
            <w:hideMark/>
          </w:tcPr>
          <w:p w14:paraId="51B68494" w14:textId="77777777" w:rsidR="00F91616" w:rsidRPr="00015C5C" w:rsidRDefault="00F91616" w:rsidP="00F91616">
            <w:pPr>
              <w:spacing w:after="0"/>
              <w:jc w:val="right"/>
              <w:rPr>
                <w:rStyle w:val="IntenseReference"/>
              </w:rPr>
            </w:pPr>
            <w:r w:rsidRPr="00015C5C">
              <w:rPr>
                <w:rStyle w:val="IntenseReference"/>
              </w:rPr>
              <w:t>0.2</w:t>
            </w:r>
          </w:p>
        </w:tc>
        <w:tc>
          <w:tcPr>
            <w:tcW w:w="987" w:type="dxa"/>
            <w:shd w:val="clear" w:color="auto" w:fill="auto"/>
            <w:noWrap/>
            <w:vAlign w:val="center"/>
            <w:hideMark/>
          </w:tcPr>
          <w:p w14:paraId="6209081E" w14:textId="77777777" w:rsidR="00F91616" w:rsidRPr="00015C5C" w:rsidRDefault="00F91616" w:rsidP="00F91616">
            <w:pPr>
              <w:spacing w:after="0"/>
              <w:jc w:val="right"/>
              <w:rPr>
                <w:rStyle w:val="IntenseReference"/>
              </w:rPr>
            </w:pPr>
            <w:r w:rsidRPr="00015C5C">
              <w:rPr>
                <w:rStyle w:val="IntenseReference"/>
              </w:rPr>
              <w:t>29.6</w:t>
            </w:r>
            <w:r>
              <w:rPr>
                <w:rStyle w:val="IntenseReference"/>
              </w:rPr>
              <w:t>*</w:t>
            </w:r>
          </w:p>
        </w:tc>
        <w:tc>
          <w:tcPr>
            <w:tcW w:w="998" w:type="dxa"/>
            <w:shd w:val="clear" w:color="auto" w:fill="auto"/>
            <w:noWrap/>
            <w:vAlign w:val="center"/>
            <w:hideMark/>
          </w:tcPr>
          <w:p w14:paraId="0F894563" w14:textId="77777777" w:rsidR="00F91616" w:rsidRPr="00015C5C" w:rsidRDefault="00F91616" w:rsidP="00F91616">
            <w:pPr>
              <w:spacing w:after="0"/>
              <w:jc w:val="right"/>
              <w:rPr>
                <w:rStyle w:val="IntenseReference"/>
              </w:rPr>
            </w:pPr>
            <w:r w:rsidRPr="00015C5C">
              <w:rPr>
                <w:rStyle w:val="IntenseReference"/>
              </w:rPr>
              <w:t>-46.3</w:t>
            </w:r>
            <w:r w:rsidRPr="000A19C4">
              <w:rPr>
                <w:rStyle w:val="IntenseReference"/>
                <w:vertAlign w:val="superscript"/>
              </w:rPr>
              <w:t xml:space="preserve"> TC</w:t>
            </w:r>
          </w:p>
        </w:tc>
      </w:tr>
      <w:tr w:rsidR="00F91616" w:rsidRPr="0090167C" w14:paraId="29269757" w14:textId="77777777" w:rsidTr="00293087">
        <w:trPr>
          <w:trHeight w:hRule="exact" w:val="227"/>
        </w:trPr>
        <w:tc>
          <w:tcPr>
            <w:tcW w:w="831" w:type="dxa"/>
            <w:vMerge/>
            <w:shd w:val="clear" w:color="auto" w:fill="auto"/>
            <w:noWrap/>
            <w:vAlign w:val="bottom"/>
          </w:tcPr>
          <w:p w14:paraId="10748F7E"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62B193DC" w14:textId="77777777" w:rsidR="00F91616" w:rsidRPr="00015C5C" w:rsidRDefault="00F91616" w:rsidP="00F91616">
            <w:pPr>
              <w:spacing w:after="0"/>
              <w:jc w:val="left"/>
              <w:rPr>
                <w:rStyle w:val="IntenseReference"/>
              </w:rPr>
            </w:pPr>
          </w:p>
        </w:tc>
        <w:tc>
          <w:tcPr>
            <w:tcW w:w="1843" w:type="dxa"/>
            <w:vMerge/>
            <w:shd w:val="clear" w:color="auto" w:fill="auto"/>
            <w:noWrap/>
            <w:vAlign w:val="center"/>
            <w:hideMark/>
          </w:tcPr>
          <w:p w14:paraId="51825CE0"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1131E42E"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420B7447" w14:textId="77777777" w:rsidR="00F91616" w:rsidRPr="00015C5C" w:rsidRDefault="00F91616" w:rsidP="00F91616">
            <w:pPr>
              <w:spacing w:after="0"/>
              <w:jc w:val="center"/>
              <w:rPr>
                <w:rStyle w:val="IntenseReference"/>
              </w:rPr>
            </w:pPr>
            <w:r>
              <w:rPr>
                <w:rStyle w:val="IntenseReference"/>
              </w:rPr>
              <w:t>6-Jul</w:t>
            </w:r>
          </w:p>
        </w:tc>
        <w:tc>
          <w:tcPr>
            <w:tcW w:w="993" w:type="dxa"/>
            <w:shd w:val="clear" w:color="auto" w:fill="auto"/>
            <w:noWrap/>
            <w:vAlign w:val="center"/>
            <w:hideMark/>
          </w:tcPr>
          <w:p w14:paraId="4C78B124" w14:textId="77777777" w:rsidR="00F91616" w:rsidRPr="00015C5C" w:rsidRDefault="00F91616" w:rsidP="00F91616">
            <w:pPr>
              <w:spacing w:after="0"/>
              <w:jc w:val="right"/>
              <w:rPr>
                <w:rStyle w:val="IntenseReference"/>
              </w:rPr>
            </w:pPr>
            <w:r w:rsidRPr="00015C5C">
              <w:rPr>
                <w:rStyle w:val="IntenseReference"/>
              </w:rPr>
              <w:t>0</w:t>
            </w:r>
          </w:p>
        </w:tc>
        <w:tc>
          <w:tcPr>
            <w:tcW w:w="997" w:type="dxa"/>
            <w:shd w:val="clear" w:color="auto" w:fill="auto"/>
            <w:noWrap/>
            <w:vAlign w:val="center"/>
            <w:hideMark/>
          </w:tcPr>
          <w:p w14:paraId="4D309AC1" w14:textId="77777777" w:rsidR="00F91616" w:rsidRPr="00015C5C" w:rsidRDefault="00F91616" w:rsidP="00F91616">
            <w:pPr>
              <w:spacing w:after="0"/>
              <w:jc w:val="right"/>
              <w:rPr>
                <w:rStyle w:val="IntenseReference"/>
              </w:rPr>
            </w:pPr>
            <w:r w:rsidRPr="00015C5C">
              <w:rPr>
                <w:rStyle w:val="IntenseReference"/>
              </w:rPr>
              <w:t>3.6</w:t>
            </w:r>
          </w:p>
        </w:tc>
        <w:tc>
          <w:tcPr>
            <w:tcW w:w="987" w:type="dxa"/>
            <w:shd w:val="clear" w:color="auto" w:fill="auto"/>
            <w:noWrap/>
            <w:vAlign w:val="center"/>
            <w:hideMark/>
          </w:tcPr>
          <w:p w14:paraId="5CADAE6F" w14:textId="77777777" w:rsidR="00F91616" w:rsidRPr="00015C5C" w:rsidRDefault="00F91616" w:rsidP="00F91616">
            <w:pPr>
              <w:spacing w:after="0"/>
              <w:jc w:val="right"/>
              <w:rPr>
                <w:rStyle w:val="IntenseReference"/>
              </w:rPr>
            </w:pPr>
            <w:r w:rsidRPr="00015C5C">
              <w:rPr>
                <w:rStyle w:val="IntenseReference"/>
              </w:rPr>
              <w:t>10.4</w:t>
            </w:r>
            <w:r>
              <w:rPr>
                <w:rStyle w:val="IntenseReference"/>
              </w:rPr>
              <w:t>*</w:t>
            </w:r>
          </w:p>
        </w:tc>
        <w:tc>
          <w:tcPr>
            <w:tcW w:w="998" w:type="dxa"/>
            <w:shd w:val="clear" w:color="auto" w:fill="auto"/>
            <w:noWrap/>
            <w:vAlign w:val="center"/>
            <w:hideMark/>
          </w:tcPr>
          <w:p w14:paraId="0E09CDBD" w14:textId="77777777" w:rsidR="00F91616" w:rsidRPr="00015C5C" w:rsidRDefault="00F91616" w:rsidP="00F91616">
            <w:pPr>
              <w:spacing w:after="0"/>
              <w:jc w:val="right"/>
              <w:rPr>
                <w:rStyle w:val="IntenseReference"/>
              </w:rPr>
            </w:pPr>
            <w:r w:rsidRPr="00015C5C">
              <w:rPr>
                <w:rStyle w:val="IntenseReference"/>
              </w:rPr>
              <w:t>-51.7</w:t>
            </w:r>
            <w:r w:rsidRPr="000A19C4">
              <w:rPr>
                <w:rStyle w:val="IntenseReference"/>
                <w:vertAlign w:val="superscript"/>
              </w:rPr>
              <w:t xml:space="preserve"> TC</w:t>
            </w:r>
          </w:p>
        </w:tc>
      </w:tr>
      <w:tr w:rsidR="00F91616" w:rsidRPr="0090167C" w14:paraId="3FB2B5FE" w14:textId="77777777" w:rsidTr="00293087">
        <w:trPr>
          <w:trHeight w:hRule="exact" w:val="227"/>
        </w:trPr>
        <w:tc>
          <w:tcPr>
            <w:tcW w:w="831" w:type="dxa"/>
            <w:vMerge w:val="restart"/>
            <w:shd w:val="clear" w:color="auto" w:fill="auto"/>
            <w:noWrap/>
            <w:textDirection w:val="btLr"/>
            <w:vAlign w:val="bottom"/>
            <w:hideMark/>
          </w:tcPr>
          <w:p w14:paraId="4888A99D" w14:textId="77777777" w:rsidR="00F91616" w:rsidRPr="00015C5C" w:rsidRDefault="00F91616" w:rsidP="00F91616">
            <w:pPr>
              <w:spacing w:after="0"/>
              <w:ind w:left="113" w:right="113"/>
              <w:jc w:val="left"/>
              <w:rPr>
                <w:rStyle w:val="IntenseReference"/>
              </w:rPr>
            </w:pPr>
            <w:r w:rsidRPr="00015C5C">
              <w:rPr>
                <w:rStyle w:val="IntenseReference"/>
              </w:rPr>
              <w:t>Fitzroy</w:t>
            </w:r>
          </w:p>
        </w:tc>
        <w:tc>
          <w:tcPr>
            <w:tcW w:w="1007" w:type="dxa"/>
            <w:vMerge w:val="restart"/>
            <w:shd w:val="clear" w:color="auto" w:fill="auto"/>
            <w:noWrap/>
            <w:vAlign w:val="bottom"/>
          </w:tcPr>
          <w:p w14:paraId="3DDFD10A" w14:textId="77777777" w:rsidR="00F91616" w:rsidRPr="00015C5C" w:rsidRDefault="00F91616" w:rsidP="00F91616">
            <w:pPr>
              <w:spacing w:after="0"/>
              <w:jc w:val="left"/>
              <w:rPr>
                <w:rStyle w:val="IntenseReference"/>
              </w:rPr>
            </w:pPr>
          </w:p>
        </w:tc>
        <w:tc>
          <w:tcPr>
            <w:tcW w:w="1843" w:type="dxa"/>
            <w:vMerge w:val="restart"/>
            <w:shd w:val="clear" w:color="auto" w:fill="auto"/>
            <w:noWrap/>
            <w:vAlign w:val="center"/>
            <w:hideMark/>
          </w:tcPr>
          <w:p w14:paraId="4E6340C7" w14:textId="77777777" w:rsidR="00F91616" w:rsidRPr="00015C5C" w:rsidRDefault="00F91616" w:rsidP="00F91616">
            <w:pPr>
              <w:spacing w:after="0"/>
              <w:jc w:val="left"/>
              <w:rPr>
                <w:rStyle w:val="IntenseReference"/>
              </w:rPr>
            </w:pPr>
            <w:r w:rsidRPr="00015C5C">
              <w:rPr>
                <w:rStyle w:val="IntenseReference"/>
              </w:rPr>
              <w:t>Barren</w:t>
            </w:r>
          </w:p>
        </w:tc>
        <w:tc>
          <w:tcPr>
            <w:tcW w:w="654" w:type="dxa"/>
            <w:shd w:val="clear" w:color="auto" w:fill="auto"/>
            <w:noWrap/>
            <w:vAlign w:val="center"/>
            <w:hideMark/>
          </w:tcPr>
          <w:p w14:paraId="50B8EB75"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612DC730" w14:textId="77777777" w:rsidR="00F91616" w:rsidRPr="00015C5C" w:rsidRDefault="00F91616" w:rsidP="00F91616">
            <w:pPr>
              <w:spacing w:after="0"/>
              <w:jc w:val="center"/>
              <w:rPr>
                <w:rStyle w:val="IntenseReference"/>
              </w:rPr>
            </w:pPr>
            <w:r>
              <w:rPr>
                <w:rStyle w:val="IntenseReference"/>
              </w:rPr>
              <w:t>14-May</w:t>
            </w:r>
          </w:p>
        </w:tc>
        <w:tc>
          <w:tcPr>
            <w:tcW w:w="993" w:type="dxa"/>
            <w:shd w:val="clear" w:color="auto" w:fill="auto"/>
            <w:noWrap/>
            <w:vAlign w:val="center"/>
          </w:tcPr>
          <w:p w14:paraId="343F548E" w14:textId="77777777" w:rsidR="00F91616" w:rsidRPr="00015C5C" w:rsidRDefault="00F91616" w:rsidP="00F91616">
            <w:pPr>
              <w:spacing w:after="0"/>
              <w:jc w:val="right"/>
              <w:rPr>
                <w:rStyle w:val="IntenseReference"/>
              </w:rPr>
            </w:pPr>
          </w:p>
        </w:tc>
        <w:tc>
          <w:tcPr>
            <w:tcW w:w="997" w:type="dxa"/>
            <w:shd w:val="clear" w:color="auto" w:fill="auto"/>
            <w:noWrap/>
            <w:vAlign w:val="center"/>
            <w:hideMark/>
          </w:tcPr>
          <w:p w14:paraId="7C9B9670" w14:textId="77777777" w:rsidR="00F91616" w:rsidRPr="00015C5C" w:rsidRDefault="00F91616" w:rsidP="00F91616">
            <w:pPr>
              <w:spacing w:after="0"/>
              <w:jc w:val="right"/>
              <w:rPr>
                <w:rStyle w:val="IntenseReference"/>
              </w:rPr>
            </w:pPr>
            <w:r w:rsidRPr="00015C5C">
              <w:rPr>
                <w:rStyle w:val="IntenseReference"/>
              </w:rPr>
              <w:t>5.5</w:t>
            </w:r>
          </w:p>
        </w:tc>
        <w:tc>
          <w:tcPr>
            <w:tcW w:w="987" w:type="dxa"/>
            <w:shd w:val="clear" w:color="auto" w:fill="auto"/>
            <w:noWrap/>
            <w:vAlign w:val="center"/>
            <w:hideMark/>
          </w:tcPr>
          <w:p w14:paraId="77E73222" w14:textId="77777777" w:rsidR="00F91616" w:rsidRPr="00015C5C" w:rsidRDefault="00F91616" w:rsidP="00F91616">
            <w:pPr>
              <w:spacing w:after="0"/>
              <w:jc w:val="right"/>
              <w:rPr>
                <w:rStyle w:val="IntenseReference"/>
              </w:rPr>
            </w:pPr>
          </w:p>
        </w:tc>
        <w:tc>
          <w:tcPr>
            <w:tcW w:w="998" w:type="dxa"/>
            <w:shd w:val="clear" w:color="auto" w:fill="auto"/>
            <w:noWrap/>
            <w:vAlign w:val="center"/>
            <w:hideMark/>
          </w:tcPr>
          <w:p w14:paraId="7B7B2E78" w14:textId="77777777" w:rsidR="00F91616" w:rsidRPr="00015C5C" w:rsidRDefault="00F91616" w:rsidP="00F91616">
            <w:pPr>
              <w:spacing w:after="0"/>
              <w:jc w:val="right"/>
              <w:rPr>
                <w:rStyle w:val="IntenseReference"/>
              </w:rPr>
            </w:pPr>
            <w:r w:rsidRPr="00015C5C">
              <w:rPr>
                <w:rStyle w:val="IntenseReference"/>
              </w:rPr>
              <w:t>33.7</w:t>
            </w:r>
            <w:r>
              <w:rPr>
                <w:rStyle w:val="IntenseReference"/>
              </w:rPr>
              <w:t>*</w:t>
            </w:r>
          </w:p>
        </w:tc>
      </w:tr>
      <w:tr w:rsidR="00F91616" w:rsidRPr="0090167C" w14:paraId="37EA2054" w14:textId="77777777" w:rsidTr="00293087">
        <w:trPr>
          <w:trHeight w:hRule="exact" w:val="227"/>
        </w:trPr>
        <w:tc>
          <w:tcPr>
            <w:tcW w:w="831" w:type="dxa"/>
            <w:vMerge/>
            <w:shd w:val="clear" w:color="auto" w:fill="auto"/>
            <w:noWrap/>
            <w:vAlign w:val="bottom"/>
            <w:hideMark/>
          </w:tcPr>
          <w:p w14:paraId="45FCA99D"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0903CBCC" w14:textId="77777777" w:rsidR="00F91616" w:rsidRPr="00015C5C" w:rsidRDefault="00F91616" w:rsidP="00F91616">
            <w:pPr>
              <w:spacing w:after="0"/>
              <w:jc w:val="left"/>
              <w:rPr>
                <w:rStyle w:val="IntenseReference"/>
              </w:rPr>
            </w:pPr>
          </w:p>
        </w:tc>
        <w:tc>
          <w:tcPr>
            <w:tcW w:w="1843" w:type="dxa"/>
            <w:vMerge/>
            <w:shd w:val="clear" w:color="auto" w:fill="auto"/>
            <w:noWrap/>
            <w:vAlign w:val="center"/>
            <w:hideMark/>
          </w:tcPr>
          <w:p w14:paraId="71AE09D4"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3CBBF71D"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1203D8FF" w14:textId="77777777" w:rsidR="00F91616" w:rsidRPr="00015C5C" w:rsidRDefault="00F91616" w:rsidP="00F91616">
            <w:pPr>
              <w:spacing w:after="0"/>
              <w:jc w:val="center"/>
              <w:rPr>
                <w:rStyle w:val="IntenseReference"/>
              </w:rPr>
            </w:pPr>
            <w:r>
              <w:rPr>
                <w:rStyle w:val="IntenseReference"/>
              </w:rPr>
              <w:t>14-May</w:t>
            </w:r>
          </w:p>
        </w:tc>
        <w:tc>
          <w:tcPr>
            <w:tcW w:w="993" w:type="dxa"/>
            <w:shd w:val="clear" w:color="auto" w:fill="auto"/>
            <w:noWrap/>
            <w:vAlign w:val="center"/>
          </w:tcPr>
          <w:p w14:paraId="38A870B9" w14:textId="77777777" w:rsidR="00F91616" w:rsidRPr="00015C5C" w:rsidRDefault="00F91616" w:rsidP="00F91616">
            <w:pPr>
              <w:spacing w:after="0"/>
              <w:jc w:val="right"/>
              <w:rPr>
                <w:rStyle w:val="IntenseReference"/>
              </w:rPr>
            </w:pPr>
          </w:p>
        </w:tc>
        <w:tc>
          <w:tcPr>
            <w:tcW w:w="997" w:type="dxa"/>
            <w:shd w:val="clear" w:color="auto" w:fill="auto"/>
            <w:noWrap/>
            <w:vAlign w:val="center"/>
            <w:hideMark/>
          </w:tcPr>
          <w:p w14:paraId="30F94AFD" w14:textId="77777777" w:rsidR="00F91616" w:rsidRPr="00015C5C" w:rsidRDefault="00F91616" w:rsidP="00F91616">
            <w:pPr>
              <w:spacing w:after="0"/>
              <w:jc w:val="right"/>
              <w:rPr>
                <w:rStyle w:val="IntenseReference"/>
              </w:rPr>
            </w:pPr>
            <w:r w:rsidRPr="00015C5C">
              <w:rPr>
                <w:rStyle w:val="IntenseReference"/>
              </w:rPr>
              <w:t>2.1</w:t>
            </w:r>
          </w:p>
        </w:tc>
        <w:tc>
          <w:tcPr>
            <w:tcW w:w="987" w:type="dxa"/>
            <w:shd w:val="clear" w:color="auto" w:fill="auto"/>
            <w:noWrap/>
            <w:vAlign w:val="center"/>
            <w:hideMark/>
          </w:tcPr>
          <w:p w14:paraId="66BEA752" w14:textId="77777777" w:rsidR="00F91616" w:rsidRPr="00015C5C" w:rsidRDefault="00F91616" w:rsidP="00F91616">
            <w:pPr>
              <w:spacing w:after="0"/>
              <w:jc w:val="right"/>
              <w:rPr>
                <w:rStyle w:val="IntenseReference"/>
              </w:rPr>
            </w:pPr>
          </w:p>
        </w:tc>
        <w:tc>
          <w:tcPr>
            <w:tcW w:w="998" w:type="dxa"/>
            <w:shd w:val="clear" w:color="auto" w:fill="auto"/>
            <w:noWrap/>
            <w:vAlign w:val="center"/>
            <w:hideMark/>
          </w:tcPr>
          <w:p w14:paraId="3B25E5B5" w14:textId="77777777" w:rsidR="00F91616" w:rsidRPr="00015C5C" w:rsidRDefault="00F91616" w:rsidP="00F91616">
            <w:pPr>
              <w:spacing w:after="0"/>
              <w:jc w:val="right"/>
              <w:rPr>
                <w:rStyle w:val="IntenseReference"/>
              </w:rPr>
            </w:pPr>
            <w:r w:rsidRPr="00015C5C">
              <w:rPr>
                <w:rStyle w:val="IntenseReference"/>
              </w:rPr>
              <w:t>32.3</w:t>
            </w:r>
            <w:r>
              <w:rPr>
                <w:rStyle w:val="IntenseReference"/>
              </w:rPr>
              <w:t>*</w:t>
            </w:r>
          </w:p>
        </w:tc>
      </w:tr>
      <w:tr w:rsidR="00F91616" w:rsidRPr="0090167C" w14:paraId="09E26958" w14:textId="77777777" w:rsidTr="00293087">
        <w:trPr>
          <w:trHeight w:hRule="exact" w:val="227"/>
        </w:trPr>
        <w:tc>
          <w:tcPr>
            <w:tcW w:w="831" w:type="dxa"/>
            <w:vMerge/>
            <w:shd w:val="clear" w:color="auto" w:fill="auto"/>
            <w:noWrap/>
            <w:vAlign w:val="bottom"/>
            <w:hideMark/>
          </w:tcPr>
          <w:p w14:paraId="2BE70C9C"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59DB8B32" w14:textId="77777777" w:rsidR="00F91616" w:rsidRPr="00015C5C" w:rsidRDefault="00F91616" w:rsidP="00F91616">
            <w:pPr>
              <w:spacing w:after="0"/>
              <w:jc w:val="left"/>
              <w:rPr>
                <w:rStyle w:val="IntenseReference"/>
              </w:rPr>
            </w:pPr>
          </w:p>
        </w:tc>
        <w:tc>
          <w:tcPr>
            <w:tcW w:w="1843" w:type="dxa"/>
            <w:vMerge w:val="restart"/>
            <w:shd w:val="clear" w:color="auto" w:fill="auto"/>
            <w:noWrap/>
            <w:vAlign w:val="center"/>
            <w:hideMark/>
          </w:tcPr>
          <w:p w14:paraId="5677E4CA" w14:textId="77777777" w:rsidR="00F91616" w:rsidRPr="00015C5C" w:rsidRDefault="00F91616" w:rsidP="00F91616">
            <w:pPr>
              <w:spacing w:after="0"/>
              <w:jc w:val="left"/>
              <w:rPr>
                <w:rStyle w:val="IntenseReference"/>
              </w:rPr>
            </w:pPr>
            <w:r w:rsidRPr="00015C5C">
              <w:rPr>
                <w:rStyle w:val="IntenseReference"/>
              </w:rPr>
              <w:t>Keppels South</w:t>
            </w:r>
          </w:p>
        </w:tc>
        <w:tc>
          <w:tcPr>
            <w:tcW w:w="654" w:type="dxa"/>
            <w:shd w:val="clear" w:color="auto" w:fill="auto"/>
            <w:noWrap/>
            <w:vAlign w:val="center"/>
            <w:hideMark/>
          </w:tcPr>
          <w:p w14:paraId="5090FB3D"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6503358A" w14:textId="77777777" w:rsidR="00F91616" w:rsidRPr="00015C5C" w:rsidRDefault="00F91616" w:rsidP="00F91616">
            <w:pPr>
              <w:spacing w:after="0"/>
              <w:jc w:val="center"/>
              <w:rPr>
                <w:rStyle w:val="IntenseReference"/>
              </w:rPr>
            </w:pPr>
            <w:r>
              <w:rPr>
                <w:rStyle w:val="IntenseReference"/>
              </w:rPr>
              <w:t>14-May</w:t>
            </w:r>
          </w:p>
        </w:tc>
        <w:tc>
          <w:tcPr>
            <w:tcW w:w="993" w:type="dxa"/>
            <w:shd w:val="clear" w:color="auto" w:fill="auto"/>
            <w:noWrap/>
            <w:vAlign w:val="center"/>
            <w:hideMark/>
          </w:tcPr>
          <w:p w14:paraId="4729DBEE" w14:textId="77777777" w:rsidR="00F91616" w:rsidRPr="00015C5C" w:rsidRDefault="00F91616" w:rsidP="00F91616">
            <w:pPr>
              <w:spacing w:after="0"/>
              <w:jc w:val="right"/>
              <w:rPr>
                <w:rStyle w:val="IntenseReference"/>
              </w:rPr>
            </w:pPr>
            <w:r w:rsidRPr="00015C5C">
              <w:rPr>
                <w:rStyle w:val="IntenseReference"/>
              </w:rPr>
              <w:t>0.5</w:t>
            </w:r>
          </w:p>
        </w:tc>
        <w:tc>
          <w:tcPr>
            <w:tcW w:w="997" w:type="dxa"/>
            <w:shd w:val="clear" w:color="auto" w:fill="auto"/>
            <w:noWrap/>
            <w:vAlign w:val="center"/>
            <w:hideMark/>
          </w:tcPr>
          <w:p w14:paraId="2BE70969" w14:textId="77777777" w:rsidR="00F91616" w:rsidRPr="00015C5C" w:rsidRDefault="00F91616" w:rsidP="00F91616">
            <w:pPr>
              <w:spacing w:after="0"/>
              <w:jc w:val="right"/>
              <w:rPr>
                <w:rStyle w:val="IntenseReference"/>
              </w:rPr>
            </w:pPr>
            <w:r w:rsidRPr="00015C5C">
              <w:rPr>
                <w:rStyle w:val="IntenseReference"/>
              </w:rPr>
              <w:t>7.3</w:t>
            </w:r>
          </w:p>
        </w:tc>
        <w:tc>
          <w:tcPr>
            <w:tcW w:w="987" w:type="dxa"/>
            <w:shd w:val="clear" w:color="auto" w:fill="auto"/>
            <w:noWrap/>
            <w:vAlign w:val="center"/>
            <w:hideMark/>
          </w:tcPr>
          <w:p w14:paraId="5960D3B7" w14:textId="77777777" w:rsidR="00F91616" w:rsidRPr="00015C5C" w:rsidRDefault="00F91616" w:rsidP="00F91616">
            <w:pPr>
              <w:spacing w:after="0"/>
              <w:jc w:val="right"/>
              <w:rPr>
                <w:rStyle w:val="IntenseReference"/>
              </w:rPr>
            </w:pPr>
            <w:r w:rsidRPr="00015C5C">
              <w:rPr>
                <w:rStyle w:val="IntenseReference"/>
              </w:rPr>
              <w:t>49.3</w:t>
            </w:r>
          </w:p>
        </w:tc>
        <w:tc>
          <w:tcPr>
            <w:tcW w:w="998" w:type="dxa"/>
            <w:shd w:val="clear" w:color="auto" w:fill="auto"/>
            <w:noWrap/>
            <w:vAlign w:val="center"/>
            <w:hideMark/>
          </w:tcPr>
          <w:p w14:paraId="72A6F3C3" w14:textId="77777777" w:rsidR="00F91616" w:rsidRPr="00015C5C" w:rsidRDefault="00F91616" w:rsidP="00F91616">
            <w:pPr>
              <w:spacing w:after="0"/>
              <w:jc w:val="right"/>
              <w:rPr>
                <w:rStyle w:val="IntenseReference"/>
              </w:rPr>
            </w:pPr>
            <w:r w:rsidRPr="00015C5C">
              <w:rPr>
                <w:rStyle w:val="IntenseReference"/>
              </w:rPr>
              <w:t>47.4</w:t>
            </w:r>
          </w:p>
        </w:tc>
      </w:tr>
      <w:tr w:rsidR="00F91616" w:rsidRPr="0090167C" w14:paraId="6E7447A2" w14:textId="77777777" w:rsidTr="00293087">
        <w:trPr>
          <w:trHeight w:hRule="exact" w:val="227"/>
        </w:trPr>
        <w:tc>
          <w:tcPr>
            <w:tcW w:w="831" w:type="dxa"/>
            <w:vMerge/>
            <w:shd w:val="clear" w:color="auto" w:fill="auto"/>
            <w:noWrap/>
            <w:vAlign w:val="bottom"/>
            <w:hideMark/>
          </w:tcPr>
          <w:p w14:paraId="4DEFFEDA"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0B10DFA5" w14:textId="77777777" w:rsidR="00F91616" w:rsidRPr="00015C5C" w:rsidRDefault="00F91616" w:rsidP="00F91616">
            <w:pPr>
              <w:spacing w:after="0"/>
              <w:jc w:val="left"/>
              <w:rPr>
                <w:rStyle w:val="IntenseReference"/>
              </w:rPr>
            </w:pPr>
          </w:p>
        </w:tc>
        <w:tc>
          <w:tcPr>
            <w:tcW w:w="1843" w:type="dxa"/>
            <w:vMerge/>
            <w:shd w:val="clear" w:color="auto" w:fill="auto"/>
            <w:noWrap/>
            <w:vAlign w:val="center"/>
            <w:hideMark/>
          </w:tcPr>
          <w:p w14:paraId="21606661"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0A445BE0"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7B856289" w14:textId="77777777" w:rsidR="00F91616" w:rsidRPr="00015C5C" w:rsidRDefault="00F91616" w:rsidP="00F91616">
            <w:pPr>
              <w:spacing w:after="0"/>
              <w:jc w:val="center"/>
              <w:rPr>
                <w:rStyle w:val="IntenseReference"/>
              </w:rPr>
            </w:pPr>
            <w:r>
              <w:rPr>
                <w:rStyle w:val="IntenseReference"/>
              </w:rPr>
              <w:t>14-May</w:t>
            </w:r>
          </w:p>
        </w:tc>
        <w:tc>
          <w:tcPr>
            <w:tcW w:w="993" w:type="dxa"/>
            <w:shd w:val="clear" w:color="auto" w:fill="auto"/>
            <w:noWrap/>
            <w:vAlign w:val="center"/>
            <w:hideMark/>
          </w:tcPr>
          <w:p w14:paraId="47220A85" w14:textId="77777777" w:rsidR="00F91616" w:rsidRPr="00015C5C" w:rsidRDefault="00F91616" w:rsidP="00F91616">
            <w:pPr>
              <w:spacing w:after="0"/>
              <w:jc w:val="right"/>
              <w:rPr>
                <w:rStyle w:val="IntenseReference"/>
              </w:rPr>
            </w:pPr>
            <w:r w:rsidRPr="00015C5C">
              <w:rPr>
                <w:rStyle w:val="IntenseReference"/>
              </w:rPr>
              <w:t>0</w:t>
            </w:r>
          </w:p>
        </w:tc>
        <w:tc>
          <w:tcPr>
            <w:tcW w:w="997" w:type="dxa"/>
            <w:shd w:val="clear" w:color="auto" w:fill="auto"/>
            <w:noWrap/>
            <w:vAlign w:val="center"/>
            <w:hideMark/>
          </w:tcPr>
          <w:p w14:paraId="7FFA67C1" w14:textId="77777777" w:rsidR="00F91616" w:rsidRPr="00015C5C" w:rsidRDefault="00F91616" w:rsidP="00F91616">
            <w:pPr>
              <w:spacing w:after="0"/>
              <w:jc w:val="right"/>
              <w:rPr>
                <w:rStyle w:val="IntenseReference"/>
              </w:rPr>
            </w:pPr>
            <w:r w:rsidRPr="00015C5C">
              <w:rPr>
                <w:rStyle w:val="IntenseReference"/>
              </w:rPr>
              <w:t>4.2</w:t>
            </w:r>
          </w:p>
        </w:tc>
        <w:tc>
          <w:tcPr>
            <w:tcW w:w="987" w:type="dxa"/>
            <w:shd w:val="clear" w:color="auto" w:fill="auto"/>
            <w:noWrap/>
            <w:vAlign w:val="center"/>
            <w:hideMark/>
          </w:tcPr>
          <w:p w14:paraId="446B5657" w14:textId="77777777" w:rsidR="00F91616" w:rsidRPr="00015C5C" w:rsidRDefault="00F91616" w:rsidP="00F91616">
            <w:pPr>
              <w:spacing w:after="0"/>
              <w:jc w:val="right"/>
              <w:rPr>
                <w:rStyle w:val="IntenseReference"/>
              </w:rPr>
            </w:pPr>
            <w:r w:rsidRPr="00015C5C">
              <w:rPr>
                <w:rStyle w:val="IntenseReference"/>
              </w:rPr>
              <w:t>16.6</w:t>
            </w:r>
          </w:p>
        </w:tc>
        <w:tc>
          <w:tcPr>
            <w:tcW w:w="998" w:type="dxa"/>
            <w:shd w:val="clear" w:color="auto" w:fill="auto"/>
            <w:noWrap/>
            <w:vAlign w:val="center"/>
            <w:hideMark/>
          </w:tcPr>
          <w:p w14:paraId="64DC31ED" w14:textId="77777777" w:rsidR="00F91616" w:rsidRPr="00015C5C" w:rsidRDefault="00F91616" w:rsidP="00F91616">
            <w:pPr>
              <w:spacing w:after="0"/>
              <w:jc w:val="right"/>
              <w:rPr>
                <w:rStyle w:val="IntenseReference"/>
              </w:rPr>
            </w:pPr>
            <w:r w:rsidRPr="00015C5C">
              <w:rPr>
                <w:rStyle w:val="IntenseReference"/>
              </w:rPr>
              <w:t>-4.3</w:t>
            </w:r>
          </w:p>
        </w:tc>
      </w:tr>
      <w:tr w:rsidR="00F91616" w:rsidRPr="0090167C" w14:paraId="06C9735A" w14:textId="77777777" w:rsidTr="00293087">
        <w:trPr>
          <w:trHeight w:hRule="exact" w:val="227"/>
        </w:trPr>
        <w:tc>
          <w:tcPr>
            <w:tcW w:w="831" w:type="dxa"/>
            <w:vMerge/>
            <w:shd w:val="clear" w:color="auto" w:fill="auto"/>
            <w:noWrap/>
            <w:vAlign w:val="bottom"/>
            <w:hideMark/>
          </w:tcPr>
          <w:p w14:paraId="7DECF953"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0725DF84" w14:textId="77777777" w:rsidR="00F91616" w:rsidRPr="00015C5C" w:rsidRDefault="00F91616" w:rsidP="00F91616">
            <w:pPr>
              <w:spacing w:after="0"/>
              <w:jc w:val="left"/>
              <w:rPr>
                <w:rStyle w:val="IntenseReference"/>
              </w:rPr>
            </w:pPr>
          </w:p>
        </w:tc>
        <w:tc>
          <w:tcPr>
            <w:tcW w:w="1843" w:type="dxa"/>
            <w:vMerge w:val="restart"/>
            <w:shd w:val="clear" w:color="auto" w:fill="auto"/>
            <w:noWrap/>
            <w:vAlign w:val="center"/>
            <w:hideMark/>
          </w:tcPr>
          <w:p w14:paraId="52FC6FE4" w14:textId="77777777" w:rsidR="00F91616" w:rsidRPr="00015C5C" w:rsidRDefault="00F91616" w:rsidP="00F91616">
            <w:pPr>
              <w:spacing w:after="0"/>
              <w:jc w:val="left"/>
              <w:rPr>
                <w:rStyle w:val="IntenseReference"/>
              </w:rPr>
            </w:pPr>
            <w:r w:rsidRPr="00015C5C">
              <w:rPr>
                <w:rStyle w:val="IntenseReference"/>
              </w:rPr>
              <w:t>North Keppel</w:t>
            </w:r>
          </w:p>
        </w:tc>
        <w:tc>
          <w:tcPr>
            <w:tcW w:w="654" w:type="dxa"/>
            <w:shd w:val="clear" w:color="auto" w:fill="auto"/>
            <w:noWrap/>
            <w:vAlign w:val="center"/>
            <w:hideMark/>
          </w:tcPr>
          <w:p w14:paraId="395D6CB9"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5020C874" w14:textId="77777777" w:rsidR="00F91616" w:rsidRPr="00015C5C" w:rsidRDefault="00F91616" w:rsidP="00F91616">
            <w:pPr>
              <w:spacing w:after="0"/>
              <w:jc w:val="center"/>
              <w:rPr>
                <w:rStyle w:val="IntenseReference"/>
              </w:rPr>
            </w:pPr>
            <w:r>
              <w:rPr>
                <w:rStyle w:val="IntenseReference"/>
              </w:rPr>
              <w:t>15-May</w:t>
            </w:r>
          </w:p>
        </w:tc>
        <w:tc>
          <w:tcPr>
            <w:tcW w:w="993" w:type="dxa"/>
            <w:shd w:val="clear" w:color="auto" w:fill="auto"/>
            <w:noWrap/>
            <w:vAlign w:val="center"/>
          </w:tcPr>
          <w:p w14:paraId="14B6DC6A" w14:textId="77777777" w:rsidR="00F91616" w:rsidRPr="00015C5C" w:rsidRDefault="00F91616" w:rsidP="00F91616">
            <w:pPr>
              <w:spacing w:after="0"/>
              <w:jc w:val="right"/>
              <w:rPr>
                <w:rStyle w:val="IntenseReference"/>
              </w:rPr>
            </w:pPr>
          </w:p>
        </w:tc>
        <w:tc>
          <w:tcPr>
            <w:tcW w:w="997" w:type="dxa"/>
            <w:shd w:val="clear" w:color="auto" w:fill="auto"/>
            <w:noWrap/>
            <w:vAlign w:val="center"/>
            <w:hideMark/>
          </w:tcPr>
          <w:p w14:paraId="463292EB" w14:textId="77777777" w:rsidR="00F91616" w:rsidRPr="00015C5C" w:rsidRDefault="00F91616" w:rsidP="00F91616">
            <w:pPr>
              <w:spacing w:after="0"/>
              <w:jc w:val="right"/>
              <w:rPr>
                <w:rStyle w:val="IntenseReference"/>
              </w:rPr>
            </w:pPr>
            <w:r w:rsidRPr="00015C5C">
              <w:rPr>
                <w:rStyle w:val="IntenseReference"/>
              </w:rPr>
              <w:t>2.7</w:t>
            </w:r>
          </w:p>
        </w:tc>
        <w:tc>
          <w:tcPr>
            <w:tcW w:w="987" w:type="dxa"/>
            <w:shd w:val="clear" w:color="auto" w:fill="auto"/>
            <w:noWrap/>
            <w:vAlign w:val="center"/>
            <w:hideMark/>
          </w:tcPr>
          <w:p w14:paraId="1D3B14FE" w14:textId="77777777" w:rsidR="00F91616" w:rsidRPr="00015C5C" w:rsidRDefault="00F91616" w:rsidP="00F91616">
            <w:pPr>
              <w:spacing w:after="0"/>
              <w:jc w:val="right"/>
              <w:rPr>
                <w:rStyle w:val="IntenseReference"/>
              </w:rPr>
            </w:pPr>
          </w:p>
        </w:tc>
        <w:tc>
          <w:tcPr>
            <w:tcW w:w="998" w:type="dxa"/>
            <w:shd w:val="clear" w:color="auto" w:fill="auto"/>
            <w:noWrap/>
            <w:vAlign w:val="center"/>
            <w:hideMark/>
          </w:tcPr>
          <w:p w14:paraId="7EA12305" w14:textId="77777777" w:rsidR="00F91616" w:rsidRPr="00015C5C" w:rsidRDefault="00F91616" w:rsidP="00F91616">
            <w:pPr>
              <w:spacing w:after="0"/>
              <w:jc w:val="right"/>
              <w:rPr>
                <w:rStyle w:val="IntenseReference"/>
              </w:rPr>
            </w:pPr>
            <w:r w:rsidRPr="00015C5C">
              <w:rPr>
                <w:rStyle w:val="IntenseReference"/>
              </w:rPr>
              <w:t>20.0</w:t>
            </w:r>
            <w:r>
              <w:rPr>
                <w:rStyle w:val="IntenseReference"/>
              </w:rPr>
              <w:t>*</w:t>
            </w:r>
          </w:p>
        </w:tc>
      </w:tr>
      <w:tr w:rsidR="00F91616" w:rsidRPr="0090167C" w14:paraId="0D064A33" w14:textId="77777777" w:rsidTr="00293087">
        <w:trPr>
          <w:trHeight w:hRule="exact" w:val="227"/>
        </w:trPr>
        <w:tc>
          <w:tcPr>
            <w:tcW w:w="831" w:type="dxa"/>
            <w:vMerge/>
            <w:shd w:val="clear" w:color="auto" w:fill="auto"/>
            <w:noWrap/>
            <w:vAlign w:val="bottom"/>
            <w:hideMark/>
          </w:tcPr>
          <w:p w14:paraId="795AF2F9"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31282BE6" w14:textId="77777777" w:rsidR="00F91616" w:rsidRPr="00015C5C" w:rsidRDefault="00F91616" w:rsidP="00F91616">
            <w:pPr>
              <w:spacing w:after="0"/>
              <w:jc w:val="left"/>
              <w:rPr>
                <w:rStyle w:val="IntenseReference"/>
              </w:rPr>
            </w:pPr>
          </w:p>
        </w:tc>
        <w:tc>
          <w:tcPr>
            <w:tcW w:w="1843" w:type="dxa"/>
            <w:vMerge/>
            <w:shd w:val="clear" w:color="auto" w:fill="auto"/>
            <w:noWrap/>
            <w:vAlign w:val="center"/>
            <w:hideMark/>
          </w:tcPr>
          <w:p w14:paraId="6D28F0B1"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56A6A3D8"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51E884E3" w14:textId="77777777" w:rsidR="00F91616" w:rsidRPr="00015C5C" w:rsidRDefault="00F91616" w:rsidP="00F91616">
            <w:pPr>
              <w:spacing w:after="0"/>
              <w:jc w:val="center"/>
              <w:rPr>
                <w:rStyle w:val="IntenseReference"/>
              </w:rPr>
            </w:pPr>
            <w:r>
              <w:rPr>
                <w:rStyle w:val="IntenseReference"/>
              </w:rPr>
              <w:t>15-May</w:t>
            </w:r>
          </w:p>
        </w:tc>
        <w:tc>
          <w:tcPr>
            <w:tcW w:w="993" w:type="dxa"/>
            <w:shd w:val="clear" w:color="auto" w:fill="auto"/>
            <w:noWrap/>
            <w:vAlign w:val="center"/>
          </w:tcPr>
          <w:p w14:paraId="603ED620" w14:textId="77777777" w:rsidR="00F91616" w:rsidRPr="00015C5C" w:rsidRDefault="00F91616" w:rsidP="00F91616">
            <w:pPr>
              <w:spacing w:after="0"/>
              <w:jc w:val="right"/>
              <w:rPr>
                <w:rStyle w:val="IntenseReference"/>
              </w:rPr>
            </w:pPr>
          </w:p>
        </w:tc>
        <w:tc>
          <w:tcPr>
            <w:tcW w:w="997" w:type="dxa"/>
            <w:shd w:val="clear" w:color="auto" w:fill="auto"/>
            <w:noWrap/>
            <w:vAlign w:val="center"/>
            <w:hideMark/>
          </w:tcPr>
          <w:p w14:paraId="65A96569" w14:textId="77777777" w:rsidR="00F91616" w:rsidRPr="00015C5C" w:rsidRDefault="00F91616" w:rsidP="00F91616">
            <w:pPr>
              <w:spacing w:after="0"/>
              <w:jc w:val="right"/>
              <w:rPr>
                <w:rStyle w:val="IntenseReference"/>
              </w:rPr>
            </w:pPr>
            <w:r w:rsidRPr="00015C5C">
              <w:rPr>
                <w:rStyle w:val="IntenseReference"/>
              </w:rPr>
              <w:t>0.7</w:t>
            </w:r>
          </w:p>
        </w:tc>
        <w:tc>
          <w:tcPr>
            <w:tcW w:w="987" w:type="dxa"/>
            <w:shd w:val="clear" w:color="auto" w:fill="auto"/>
            <w:noWrap/>
            <w:vAlign w:val="center"/>
            <w:hideMark/>
          </w:tcPr>
          <w:p w14:paraId="2EA45A8B" w14:textId="77777777" w:rsidR="00F91616" w:rsidRPr="00015C5C" w:rsidRDefault="00F91616" w:rsidP="00F91616">
            <w:pPr>
              <w:spacing w:after="0"/>
              <w:jc w:val="right"/>
              <w:rPr>
                <w:rStyle w:val="IntenseReference"/>
              </w:rPr>
            </w:pPr>
          </w:p>
        </w:tc>
        <w:tc>
          <w:tcPr>
            <w:tcW w:w="998" w:type="dxa"/>
            <w:shd w:val="clear" w:color="auto" w:fill="auto"/>
            <w:noWrap/>
            <w:vAlign w:val="center"/>
            <w:hideMark/>
          </w:tcPr>
          <w:p w14:paraId="72324176" w14:textId="77777777" w:rsidR="00F91616" w:rsidRPr="00015C5C" w:rsidRDefault="00F91616" w:rsidP="00F91616">
            <w:pPr>
              <w:spacing w:after="0"/>
              <w:jc w:val="right"/>
              <w:rPr>
                <w:rStyle w:val="IntenseReference"/>
              </w:rPr>
            </w:pPr>
            <w:r w:rsidRPr="00015C5C">
              <w:rPr>
                <w:rStyle w:val="IntenseReference"/>
              </w:rPr>
              <w:t>63.7</w:t>
            </w:r>
            <w:r>
              <w:rPr>
                <w:rStyle w:val="IntenseReference"/>
              </w:rPr>
              <w:t>*</w:t>
            </w:r>
          </w:p>
        </w:tc>
      </w:tr>
      <w:tr w:rsidR="00F91616" w:rsidRPr="0090167C" w14:paraId="1917E5E9" w14:textId="77777777" w:rsidTr="00293087">
        <w:trPr>
          <w:trHeight w:hRule="exact" w:val="227"/>
        </w:trPr>
        <w:tc>
          <w:tcPr>
            <w:tcW w:w="831" w:type="dxa"/>
            <w:vMerge/>
            <w:shd w:val="clear" w:color="auto" w:fill="auto"/>
            <w:noWrap/>
            <w:vAlign w:val="bottom"/>
            <w:hideMark/>
          </w:tcPr>
          <w:p w14:paraId="45594398"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0C82F97C" w14:textId="77777777" w:rsidR="00F91616" w:rsidRPr="00015C5C" w:rsidRDefault="00F91616" w:rsidP="00F91616">
            <w:pPr>
              <w:spacing w:after="0"/>
              <w:jc w:val="left"/>
              <w:rPr>
                <w:rStyle w:val="IntenseReference"/>
              </w:rPr>
            </w:pPr>
          </w:p>
        </w:tc>
        <w:tc>
          <w:tcPr>
            <w:tcW w:w="1843" w:type="dxa"/>
            <w:vMerge w:val="restart"/>
            <w:shd w:val="clear" w:color="auto" w:fill="auto"/>
            <w:noWrap/>
            <w:vAlign w:val="center"/>
            <w:hideMark/>
          </w:tcPr>
          <w:p w14:paraId="17A9C6AB" w14:textId="77777777" w:rsidR="00F91616" w:rsidRPr="00015C5C" w:rsidRDefault="00F91616" w:rsidP="00F91616">
            <w:pPr>
              <w:spacing w:after="0"/>
              <w:jc w:val="left"/>
              <w:rPr>
                <w:rStyle w:val="IntenseReference"/>
              </w:rPr>
            </w:pPr>
            <w:r w:rsidRPr="00015C5C">
              <w:rPr>
                <w:rStyle w:val="IntenseReference"/>
              </w:rPr>
              <w:t>Peak</w:t>
            </w:r>
          </w:p>
        </w:tc>
        <w:tc>
          <w:tcPr>
            <w:tcW w:w="654" w:type="dxa"/>
            <w:shd w:val="clear" w:color="auto" w:fill="auto"/>
            <w:noWrap/>
            <w:vAlign w:val="center"/>
            <w:hideMark/>
          </w:tcPr>
          <w:p w14:paraId="67373F92" w14:textId="77777777" w:rsidR="00F91616" w:rsidRPr="00015C5C" w:rsidRDefault="00F91616" w:rsidP="00F91616">
            <w:pPr>
              <w:spacing w:after="0"/>
              <w:jc w:val="center"/>
              <w:rPr>
                <w:rStyle w:val="IntenseReference"/>
              </w:rPr>
            </w:pPr>
            <w:r w:rsidRPr="00015C5C">
              <w:rPr>
                <w:rStyle w:val="IntenseReference"/>
              </w:rPr>
              <w:t>2</w:t>
            </w:r>
          </w:p>
        </w:tc>
        <w:tc>
          <w:tcPr>
            <w:tcW w:w="1041" w:type="dxa"/>
          </w:tcPr>
          <w:p w14:paraId="4D8EBFBF" w14:textId="77777777" w:rsidR="00F91616" w:rsidRPr="00015C5C" w:rsidRDefault="00F91616" w:rsidP="00F91616">
            <w:pPr>
              <w:spacing w:after="0"/>
              <w:jc w:val="center"/>
              <w:rPr>
                <w:rStyle w:val="IntenseReference"/>
              </w:rPr>
            </w:pPr>
            <w:r>
              <w:rPr>
                <w:rStyle w:val="IntenseReference"/>
              </w:rPr>
              <w:t>17-May</w:t>
            </w:r>
          </w:p>
        </w:tc>
        <w:tc>
          <w:tcPr>
            <w:tcW w:w="993" w:type="dxa"/>
            <w:shd w:val="clear" w:color="auto" w:fill="auto"/>
            <w:noWrap/>
            <w:vAlign w:val="center"/>
          </w:tcPr>
          <w:p w14:paraId="785ED7F4" w14:textId="77777777" w:rsidR="00F91616" w:rsidRPr="00015C5C" w:rsidRDefault="00F91616" w:rsidP="00F91616">
            <w:pPr>
              <w:spacing w:after="0"/>
              <w:jc w:val="right"/>
              <w:rPr>
                <w:rStyle w:val="IntenseReference"/>
              </w:rPr>
            </w:pPr>
          </w:p>
        </w:tc>
        <w:tc>
          <w:tcPr>
            <w:tcW w:w="997" w:type="dxa"/>
            <w:shd w:val="clear" w:color="auto" w:fill="auto"/>
            <w:noWrap/>
            <w:vAlign w:val="center"/>
            <w:hideMark/>
          </w:tcPr>
          <w:p w14:paraId="698F961D" w14:textId="77777777" w:rsidR="00F91616" w:rsidRPr="00015C5C" w:rsidRDefault="00F91616" w:rsidP="00F91616">
            <w:pPr>
              <w:spacing w:after="0"/>
              <w:jc w:val="right"/>
              <w:rPr>
                <w:rStyle w:val="IntenseReference"/>
              </w:rPr>
            </w:pPr>
            <w:r w:rsidRPr="00015C5C">
              <w:rPr>
                <w:rStyle w:val="IntenseReference"/>
              </w:rPr>
              <w:t>0.0</w:t>
            </w:r>
          </w:p>
        </w:tc>
        <w:tc>
          <w:tcPr>
            <w:tcW w:w="987" w:type="dxa"/>
            <w:shd w:val="clear" w:color="auto" w:fill="auto"/>
            <w:noWrap/>
            <w:vAlign w:val="center"/>
            <w:hideMark/>
          </w:tcPr>
          <w:p w14:paraId="447EB4B8" w14:textId="77777777" w:rsidR="00F91616" w:rsidRPr="00015C5C" w:rsidRDefault="00F91616" w:rsidP="00F91616">
            <w:pPr>
              <w:spacing w:after="0"/>
              <w:jc w:val="right"/>
              <w:rPr>
                <w:rStyle w:val="IntenseReference"/>
              </w:rPr>
            </w:pPr>
          </w:p>
        </w:tc>
        <w:tc>
          <w:tcPr>
            <w:tcW w:w="998" w:type="dxa"/>
            <w:shd w:val="clear" w:color="auto" w:fill="auto"/>
            <w:noWrap/>
            <w:vAlign w:val="center"/>
            <w:hideMark/>
          </w:tcPr>
          <w:p w14:paraId="4BE7DD0C" w14:textId="77777777" w:rsidR="00F91616" w:rsidRPr="00015C5C" w:rsidRDefault="00F91616" w:rsidP="00F91616">
            <w:pPr>
              <w:spacing w:after="0"/>
              <w:jc w:val="right"/>
              <w:rPr>
                <w:rStyle w:val="IntenseReference"/>
              </w:rPr>
            </w:pPr>
            <w:r w:rsidRPr="00015C5C">
              <w:rPr>
                <w:rStyle w:val="IntenseReference"/>
              </w:rPr>
              <w:t>17.3</w:t>
            </w:r>
            <w:r>
              <w:rPr>
                <w:rStyle w:val="IntenseReference"/>
              </w:rPr>
              <w:t>*</w:t>
            </w:r>
          </w:p>
        </w:tc>
      </w:tr>
      <w:tr w:rsidR="00F91616" w:rsidRPr="0090167C" w14:paraId="2650F5FA" w14:textId="77777777" w:rsidTr="00293087">
        <w:trPr>
          <w:trHeight w:hRule="exact" w:val="227"/>
        </w:trPr>
        <w:tc>
          <w:tcPr>
            <w:tcW w:w="831" w:type="dxa"/>
            <w:vMerge/>
            <w:shd w:val="clear" w:color="auto" w:fill="auto"/>
            <w:noWrap/>
            <w:vAlign w:val="bottom"/>
            <w:hideMark/>
          </w:tcPr>
          <w:p w14:paraId="44DBD93C" w14:textId="77777777" w:rsidR="00F91616" w:rsidRPr="00015C5C" w:rsidRDefault="00F91616" w:rsidP="00F91616">
            <w:pPr>
              <w:spacing w:after="0"/>
              <w:jc w:val="left"/>
              <w:rPr>
                <w:rStyle w:val="IntenseReference"/>
              </w:rPr>
            </w:pPr>
          </w:p>
        </w:tc>
        <w:tc>
          <w:tcPr>
            <w:tcW w:w="1007" w:type="dxa"/>
            <w:vMerge/>
            <w:shd w:val="clear" w:color="auto" w:fill="auto"/>
            <w:noWrap/>
            <w:vAlign w:val="bottom"/>
          </w:tcPr>
          <w:p w14:paraId="4129B87A" w14:textId="77777777" w:rsidR="00F91616" w:rsidRPr="00015C5C" w:rsidRDefault="00F91616" w:rsidP="00F91616">
            <w:pPr>
              <w:spacing w:after="0"/>
              <w:jc w:val="left"/>
              <w:rPr>
                <w:rStyle w:val="IntenseReference"/>
              </w:rPr>
            </w:pPr>
          </w:p>
        </w:tc>
        <w:tc>
          <w:tcPr>
            <w:tcW w:w="1843" w:type="dxa"/>
            <w:vMerge/>
            <w:shd w:val="clear" w:color="auto" w:fill="auto"/>
            <w:noWrap/>
            <w:vAlign w:val="center"/>
            <w:hideMark/>
          </w:tcPr>
          <w:p w14:paraId="7896E673" w14:textId="77777777" w:rsidR="00F91616" w:rsidRPr="00015C5C" w:rsidRDefault="00F91616" w:rsidP="00F91616">
            <w:pPr>
              <w:spacing w:after="0"/>
              <w:jc w:val="left"/>
              <w:rPr>
                <w:rStyle w:val="IntenseReference"/>
              </w:rPr>
            </w:pPr>
          </w:p>
        </w:tc>
        <w:tc>
          <w:tcPr>
            <w:tcW w:w="654" w:type="dxa"/>
            <w:shd w:val="clear" w:color="auto" w:fill="auto"/>
            <w:noWrap/>
            <w:vAlign w:val="center"/>
            <w:hideMark/>
          </w:tcPr>
          <w:p w14:paraId="5013CA94" w14:textId="77777777" w:rsidR="00F91616" w:rsidRPr="00015C5C" w:rsidRDefault="00F91616" w:rsidP="00F91616">
            <w:pPr>
              <w:spacing w:after="0"/>
              <w:jc w:val="center"/>
              <w:rPr>
                <w:rStyle w:val="IntenseReference"/>
              </w:rPr>
            </w:pPr>
            <w:r w:rsidRPr="00015C5C">
              <w:rPr>
                <w:rStyle w:val="IntenseReference"/>
              </w:rPr>
              <w:t>5</w:t>
            </w:r>
          </w:p>
        </w:tc>
        <w:tc>
          <w:tcPr>
            <w:tcW w:w="1041" w:type="dxa"/>
          </w:tcPr>
          <w:p w14:paraId="224F72E6" w14:textId="77777777" w:rsidR="00F91616" w:rsidRPr="00015C5C" w:rsidRDefault="00F91616" w:rsidP="00F91616">
            <w:pPr>
              <w:spacing w:after="0"/>
              <w:jc w:val="center"/>
              <w:rPr>
                <w:rStyle w:val="IntenseReference"/>
              </w:rPr>
            </w:pPr>
            <w:r>
              <w:rPr>
                <w:rStyle w:val="IntenseReference"/>
              </w:rPr>
              <w:t>17-May</w:t>
            </w:r>
          </w:p>
        </w:tc>
        <w:tc>
          <w:tcPr>
            <w:tcW w:w="993" w:type="dxa"/>
            <w:shd w:val="clear" w:color="auto" w:fill="auto"/>
            <w:noWrap/>
            <w:vAlign w:val="center"/>
          </w:tcPr>
          <w:p w14:paraId="5CF7A0F1" w14:textId="77777777" w:rsidR="00F91616" w:rsidRPr="00015C5C" w:rsidRDefault="00F91616" w:rsidP="00F91616">
            <w:pPr>
              <w:spacing w:after="0"/>
              <w:jc w:val="right"/>
              <w:rPr>
                <w:rStyle w:val="IntenseReference"/>
              </w:rPr>
            </w:pPr>
          </w:p>
        </w:tc>
        <w:tc>
          <w:tcPr>
            <w:tcW w:w="997" w:type="dxa"/>
            <w:shd w:val="clear" w:color="auto" w:fill="auto"/>
            <w:noWrap/>
            <w:vAlign w:val="center"/>
            <w:hideMark/>
          </w:tcPr>
          <w:p w14:paraId="22E63104" w14:textId="77777777" w:rsidR="00F91616" w:rsidRPr="00015C5C" w:rsidRDefault="00F91616" w:rsidP="00F91616">
            <w:pPr>
              <w:spacing w:after="0"/>
              <w:jc w:val="right"/>
              <w:rPr>
                <w:rStyle w:val="IntenseReference"/>
              </w:rPr>
            </w:pPr>
            <w:r w:rsidRPr="00015C5C">
              <w:rPr>
                <w:rStyle w:val="IntenseReference"/>
              </w:rPr>
              <w:t>1.8</w:t>
            </w:r>
          </w:p>
        </w:tc>
        <w:tc>
          <w:tcPr>
            <w:tcW w:w="987" w:type="dxa"/>
            <w:shd w:val="clear" w:color="auto" w:fill="auto"/>
            <w:noWrap/>
            <w:vAlign w:val="center"/>
            <w:hideMark/>
          </w:tcPr>
          <w:p w14:paraId="73F33CC5" w14:textId="77777777" w:rsidR="00F91616" w:rsidRPr="00015C5C" w:rsidRDefault="00F91616" w:rsidP="00F91616">
            <w:pPr>
              <w:spacing w:after="0"/>
              <w:jc w:val="right"/>
              <w:rPr>
                <w:rStyle w:val="IntenseReference"/>
              </w:rPr>
            </w:pPr>
          </w:p>
        </w:tc>
        <w:tc>
          <w:tcPr>
            <w:tcW w:w="998" w:type="dxa"/>
            <w:shd w:val="clear" w:color="auto" w:fill="auto"/>
            <w:noWrap/>
            <w:vAlign w:val="center"/>
            <w:hideMark/>
          </w:tcPr>
          <w:p w14:paraId="556F34FF" w14:textId="77777777" w:rsidR="00F91616" w:rsidRPr="00015C5C" w:rsidRDefault="00F91616" w:rsidP="00F91616">
            <w:pPr>
              <w:spacing w:after="0"/>
              <w:jc w:val="right"/>
              <w:rPr>
                <w:rStyle w:val="IntenseReference"/>
              </w:rPr>
            </w:pPr>
            <w:r w:rsidRPr="00015C5C">
              <w:rPr>
                <w:rStyle w:val="IntenseReference"/>
              </w:rPr>
              <w:t>-4.6</w:t>
            </w:r>
            <w:r>
              <w:rPr>
                <w:rStyle w:val="IntenseReference"/>
              </w:rPr>
              <w:t>*</w:t>
            </w:r>
          </w:p>
        </w:tc>
      </w:tr>
    </w:tbl>
    <w:p w14:paraId="0AF93B69" w14:textId="77777777" w:rsidR="0090167C" w:rsidRDefault="0090167C" w:rsidP="0039351B">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ind w:right="232"/>
        <w:rPr>
          <w:rFonts w:ascii="Arial Narrow" w:eastAsia="SimSun" w:hAnsi="Arial Narrow"/>
          <w:bCs/>
          <w:color w:val="000000"/>
          <w:sz w:val="20"/>
        </w:rPr>
      </w:pPr>
    </w:p>
    <w:p w14:paraId="1668D87B" w14:textId="77777777" w:rsidR="0039351B" w:rsidRDefault="0039351B" w:rsidP="0039351B">
      <w:pPr>
        <w:rPr>
          <w:rFonts w:cstheme="minorHAnsi"/>
        </w:rPr>
      </w:pPr>
    </w:p>
    <w:p w14:paraId="4F45960A" w14:textId="77777777" w:rsidR="0039351B" w:rsidRDefault="002A6D6E" w:rsidP="00606A50">
      <w:pPr>
        <w:pStyle w:val="Caption"/>
      </w:pPr>
      <w:bookmarkStart w:id="301" w:name="_Ref500847535"/>
      <w:bookmarkStart w:id="302" w:name="_Toc514407866"/>
      <w:r>
        <w:t xml:space="preserve">Table </w:t>
      </w:r>
      <w:r>
        <w:fldChar w:fldCharType="begin"/>
      </w:r>
      <w:r>
        <w:instrText xml:space="preserve"> SEQ Table \* ARABIC </w:instrText>
      </w:r>
      <w:r>
        <w:fldChar w:fldCharType="separate"/>
      </w:r>
      <w:r w:rsidR="00A75175">
        <w:rPr>
          <w:noProof/>
        </w:rPr>
        <w:t>18</w:t>
      </w:r>
      <w:r>
        <w:fldChar w:fldCharType="end"/>
      </w:r>
      <w:bookmarkEnd w:id="301"/>
      <w:r>
        <w:t xml:space="preserve"> </w:t>
      </w:r>
      <w:r w:rsidR="0039351B">
        <w:t xml:space="preserve">Sensitivity of common </w:t>
      </w:r>
      <w:r w:rsidR="00426597">
        <w:t xml:space="preserve">coral genera to bleaching. </w:t>
      </w:r>
      <w:r w:rsidR="0039351B">
        <w:t xml:space="preserve"> </w:t>
      </w:r>
      <w:r w:rsidR="00426597">
        <w:t xml:space="preserve">General included were had and average cover across all Wet Tropics and Burdekin reefs of </w:t>
      </w:r>
      <w:r w:rsidR="0039351B">
        <w:t>&gt;0.1%</w:t>
      </w:r>
      <w:r w:rsidR="00426597">
        <w:t xml:space="preserve"> prior to </w:t>
      </w:r>
      <w:r w:rsidR="00FB2713">
        <w:t xml:space="preserve">or during </w:t>
      </w:r>
      <w:r w:rsidR="00426597">
        <w:t>2017 surveys</w:t>
      </w:r>
      <w:r w:rsidR="0039351B">
        <w:t xml:space="preserve">. </w:t>
      </w:r>
      <w:r w:rsidR="00426597">
        <w:t xml:space="preserve">Values for proportion bleached and proportional change in cover were estimated from phot transect data as described for total coral cover. </w:t>
      </w:r>
      <w:r w:rsidR="0028011D">
        <w:t>Categorisation of bleaching susceptibility observed by Marshall &amp; Baird (2000) are included for comparative purpose.</w:t>
      </w:r>
      <w:bookmarkEnd w:id="302"/>
    </w:p>
    <w:tbl>
      <w:tblPr>
        <w:tblStyle w:val="TableGrid"/>
        <w:tblW w:w="0" w:type="auto"/>
        <w:tblLook w:val="04A0" w:firstRow="1" w:lastRow="0" w:firstColumn="1" w:lastColumn="0" w:noHBand="0" w:noVBand="1"/>
        <w:tblCaption w:val="Sensitivity to bleaching among coral genera"/>
        <w:tblDescription w:val="A table listing the proportion of cover lost for each genus over the 2017 bleaching event. Estimates are averaged over reefs in the Wet Tropics and Burdekin Regions. Salient points are discussed in the main text. "/>
      </w:tblPr>
      <w:tblGrid>
        <w:gridCol w:w="1485"/>
        <w:gridCol w:w="1213"/>
        <w:gridCol w:w="1570"/>
        <w:gridCol w:w="1887"/>
        <w:gridCol w:w="1511"/>
        <w:gridCol w:w="1511"/>
      </w:tblGrid>
      <w:tr w:rsidR="00430552" w:rsidRPr="00327E13" w14:paraId="50DC4CD9" w14:textId="77777777" w:rsidTr="001E472C">
        <w:trPr>
          <w:trHeight w:val="290"/>
          <w:tblHeader/>
        </w:trPr>
        <w:tc>
          <w:tcPr>
            <w:tcW w:w="1485" w:type="dxa"/>
            <w:noWrap/>
            <w:vAlign w:val="center"/>
            <w:hideMark/>
          </w:tcPr>
          <w:p w14:paraId="3B99CFAE" w14:textId="77777777" w:rsidR="00430552" w:rsidRPr="002A6D6E" w:rsidRDefault="00430552" w:rsidP="00CB3BE3">
            <w:pPr>
              <w:jc w:val="center"/>
              <w:rPr>
                <w:rStyle w:val="IntenseReference"/>
              </w:rPr>
            </w:pPr>
            <w:r w:rsidRPr="002A6D6E">
              <w:rPr>
                <w:rStyle w:val="IntenseReference"/>
              </w:rPr>
              <w:t>Genus</w:t>
            </w:r>
          </w:p>
        </w:tc>
        <w:tc>
          <w:tcPr>
            <w:tcW w:w="1213" w:type="dxa"/>
            <w:noWrap/>
            <w:vAlign w:val="center"/>
            <w:hideMark/>
          </w:tcPr>
          <w:p w14:paraId="16C11C15" w14:textId="77777777" w:rsidR="00430552" w:rsidRPr="002A6D6E" w:rsidRDefault="00430552" w:rsidP="0039351B">
            <w:pPr>
              <w:jc w:val="center"/>
              <w:rPr>
                <w:rStyle w:val="IntenseReference"/>
              </w:rPr>
            </w:pPr>
            <w:r w:rsidRPr="002A6D6E">
              <w:rPr>
                <w:rStyle w:val="IntenseReference"/>
              </w:rPr>
              <w:t>Average cover in 2017</w:t>
            </w:r>
          </w:p>
          <w:p w14:paraId="095F0B41" w14:textId="77777777" w:rsidR="00430552" w:rsidRPr="002A6D6E" w:rsidRDefault="00430552" w:rsidP="0039351B">
            <w:pPr>
              <w:jc w:val="center"/>
              <w:rPr>
                <w:rStyle w:val="IntenseReference"/>
              </w:rPr>
            </w:pPr>
            <w:r w:rsidRPr="002A6D6E">
              <w:rPr>
                <w:rStyle w:val="IntenseReference"/>
              </w:rPr>
              <w:t>(%)</w:t>
            </w:r>
          </w:p>
        </w:tc>
        <w:tc>
          <w:tcPr>
            <w:tcW w:w="1570" w:type="dxa"/>
            <w:noWrap/>
            <w:vAlign w:val="center"/>
            <w:hideMark/>
          </w:tcPr>
          <w:p w14:paraId="1E3F63E1" w14:textId="77777777" w:rsidR="00430552" w:rsidRPr="002A6D6E" w:rsidRDefault="00430552" w:rsidP="0039351B">
            <w:pPr>
              <w:jc w:val="center"/>
              <w:rPr>
                <w:rStyle w:val="IntenseReference"/>
              </w:rPr>
            </w:pPr>
            <w:r w:rsidRPr="002A6D6E">
              <w:rPr>
                <w:rStyle w:val="IntenseReference"/>
              </w:rPr>
              <w:t>Average cover  from previous survey</w:t>
            </w:r>
          </w:p>
          <w:p w14:paraId="00E7691D" w14:textId="77777777" w:rsidR="00430552" w:rsidRPr="002A6D6E" w:rsidRDefault="00430552" w:rsidP="0039351B">
            <w:pPr>
              <w:jc w:val="center"/>
              <w:rPr>
                <w:rStyle w:val="IntenseReference"/>
              </w:rPr>
            </w:pPr>
            <w:r w:rsidRPr="002A6D6E">
              <w:rPr>
                <w:rStyle w:val="IntenseReference"/>
              </w:rPr>
              <w:t>(%)</w:t>
            </w:r>
          </w:p>
        </w:tc>
        <w:tc>
          <w:tcPr>
            <w:tcW w:w="1887" w:type="dxa"/>
            <w:noWrap/>
            <w:vAlign w:val="center"/>
            <w:hideMark/>
          </w:tcPr>
          <w:p w14:paraId="48B81DC1" w14:textId="77777777" w:rsidR="00430552" w:rsidRPr="002A6D6E" w:rsidRDefault="00430552" w:rsidP="0039351B">
            <w:pPr>
              <w:jc w:val="center"/>
              <w:rPr>
                <w:rStyle w:val="IntenseReference"/>
              </w:rPr>
            </w:pPr>
            <w:r w:rsidRPr="002A6D6E">
              <w:rPr>
                <w:rStyle w:val="IntenseReference"/>
              </w:rPr>
              <w:t>Proportional change in cover</w:t>
            </w:r>
          </w:p>
          <w:p w14:paraId="5A5A5300" w14:textId="77777777" w:rsidR="00430552" w:rsidRPr="002A6D6E" w:rsidRDefault="00430552" w:rsidP="0039351B">
            <w:pPr>
              <w:jc w:val="center"/>
              <w:rPr>
                <w:rStyle w:val="IntenseReference"/>
              </w:rPr>
            </w:pPr>
            <w:r w:rsidRPr="002A6D6E">
              <w:rPr>
                <w:rStyle w:val="IntenseReference"/>
              </w:rPr>
              <w:t>(%)</w:t>
            </w:r>
          </w:p>
        </w:tc>
        <w:tc>
          <w:tcPr>
            <w:tcW w:w="1511" w:type="dxa"/>
            <w:noWrap/>
            <w:vAlign w:val="center"/>
            <w:hideMark/>
          </w:tcPr>
          <w:p w14:paraId="562EFCCB" w14:textId="77777777" w:rsidR="00430552" w:rsidRPr="002A6D6E" w:rsidRDefault="00430552" w:rsidP="0039351B">
            <w:pPr>
              <w:jc w:val="center"/>
              <w:rPr>
                <w:rStyle w:val="IntenseReference"/>
              </w:rPr>
            </w:pPr>
            <w:r w:rsidRPr="002A6D6E">
              <w:rPr>
                <w:rStyle w:val="IntenseReference"/>
              </w:rPr>
              <w:t>Proportion bleached</w:t>
            </w:r>
          </w:p>
          <w:p w14:paraId="63A4D0C2" w14:textId="77777777" w:rsidR="00430552" w:rsidRPr="002A6D6E" w:rsidRDefault="00430552" w:rsidP="0039351B">
            <w:pPr>
              <w:jc w:val="center"/>
              <w:rPr>
                <w:rStyle w:val="IntenseReference"/>
              </w:rPr>
            </w:pPr>
            <w:r w:rsidRPr="002A6D6E">
              <w:rPr>
                <w:rStyle w:val="IntenseReference"/>
              </w:rPr>
              <w:t>(%)</w:t>
            </w:r>
          </w:p>
        </w:tc>
        <w:tc>
          <w:tcPr>
            <w:tcW w:w="1511" w:type="dxa"/>
          </w:tcPr>
          <w:p w14:paraId="44E99A96" w14:textId="77777777" w:rsidR="00430552" w:rsidRPr="002A6D6E" w:rsidRDefault="00881579" w:rsidP="0039351B">
            <w:pPr>
              <w:jc w:val="center"/>
              <w:rPr>
                <w:rStyle w:val="IntenseReference"/>
              </w:rPr>
            </w:pPr>
            <w:r>
              <w:rPr>
                <w:rStyle w:val="IntenseReference"/>
              </w:rPr>
              <w:t>Susceptibility Marshall &amp; Baird 2000</w:t>
            </w:r>
          </w:p>
        </w:tc>
      </w:tr>
      <w:tr w:rsidR="00430552" w:rsidRPr="00327E13" w14:paraId="3F8CD1A2" w14:textId="77777777" w:rsidTr="001E472C">
        <w:trPr>
          <w:trHeight w:val="255"/>
          <w:tblHeader/>
        </w:trPr>
        <w:tc>
          <w:tcPr>
            <w:tcW w:w="1485" w:type="dxa"/>
            <w:noWrap/>
            <w:vAlign w:val="center"/>
          </w:tcPr>
          <w:p w14:paraId="2E7D114D" w14:textId="77777777" w:rsidR="00430552" w:rsidRPr="00FB2713" w:rsidRDefault="00430552" w:rsidP="00FB2713">
            <w:pPr>
              <w:rPr>
                <w:rStyle w:val="IntenseReference"/>
                <w:i/>
              </w:rPr>
            </w:pPr>
            <w:r>
              <w:rPr>
                <w:rStyle w:val="IntenseReference"/>
                <w:i/>
              </w:rPr>
              <w:t>Seriatopora</w:t>
            </w:r>
          </w:p>
        </w:tc>
        <w:tc>
          <w:tcPr>
            <w:tcW w:w="1213" w:type="dxa"/>
            <w:noWrap/>
            <w:vAlign w:val="center"/>
          </w:tcPr>
          <w:p w14:paraId="0F0D831A" w14:textId="77777777" w:rsidR="00430552" w:rsidRPr="002A6D6E" w:rsidRDefault="00430552" w:rsidP="00426597">
            <w:pPr>
              <w:jc w:val="center"/>
              <w:rPr>
                <w:rStyle w:val="IntenseReference"/>
              </w:rPr>
            </w:pPr>
            <w:r>
              <w:rPr>
                <w:rStyle w:val="IntenseReference"/>
              </w:rPr>
              <w:t>0.06</w:t>
            </w:r>
          </w:p>
        </w:tc>
        <w:tc>
          <w:tcPr>
            <w:tcW w:w="1570" w:type="dxa"/>
            <w:noWrap/>
            <w:vAlign w:val="center"/>
          </w:tcPr>
          <w:p w14:paraId="146B44E7" w14:textId="77777777" w:rsidR="00430552" w:rsidRPr="002A6D6E" w:rsidRDefault="00430552" w:rsidP="00426597">
            <w:pPr>
              <w:jc w:val="center"/>
              <w:rPr>
                <w:rStyle w:val="IntenseReference"/>
              </w:rPr>
            </w:pPr>
            <w:r>
              <w:rPr>
                <w:rStyle w:val="IntenseReference"/>
              </w:rPr>
              <w:t>0.25</w:t>
            </w:r>
          </w:p>
        </w:tc>
        <w:tc>
          <w:tcPr>
            <w:tcW w:w="1887" w:type="dxa"/>
            <w:noWrap/>
            <w:vAlign w:val="center"/>
          </w:tcPr>
          <w:p w14:paraId="723F1E31" w14:textId="77777777" w:rsidR="00430552" w:rsidRPr="002A6D6E" w:rsidRDefault="00430552" w:rsidP="00426597">
            <w:pPr>
              <w:jc w:val="center"/>
              <w:rPr>
                <w:rStyle w:val="IntenseReference"/>
              </w:rPr>
            </w:pPr>
            <w:r>
              <w:rPr>
                <w:rStyle w:val="IntenseReference"/>
              </w:rPr>
              <w:t>-76.3</w:t>
            </w:r>
          </w:p>
        </w:tc>
        <w:tc>
          <w:tcPr>
            <w:tcW w:w="1511" w:type="dxa"/>
            <w:noWrap/>
            <w:vAlign w:val="center"/>
          </w:tcPr>
          <w:p w14:paraId="7A763A8E" w14:textId="77777777" w:rsidR="00430552" w:rsidRPr="002A6D6E" w:rsidRDefault="00430552" w:rsidP="00426597">
            <w:pPr>
              <w:jc w:val="center"/>
              <w:rPr>
                <w:rStyle w:val="IntenseReference"/>
              </w:rPr>
            </w:pPr>
            <w:r>
              <w:rPr>
                <w:rStyle w:val="IntenseReference"/>
              </w:rPr>
              <w:t>89.3</w:t>
            </w:r>
          </w:p>
        </w:tc>
        <w:tc>
          <w:tcPr>
            <w:tcW w:w="1511" w:type="dxa"/>
          </w:tcPr>
          <w:p w14:paraId="24B14410" w14:textId="77777777" w:rsidR="00430552" w:rsidRDefault="00881579" w:rsidP="00426597">
            <w:pPr>
              <w:jc w:val="center"/>
              <w:rPr>
                <w:rStyle w:val="IntenseReference"/>
              </w:rPr>
            </w:pPr>
            <w:r>
              <w:rPr>
                <w:rStyle w:val="IntenseReference"/>
              </w:rPr>
              <w:t>Severe</w:t>
            </w:r>
          </w:p>
        </w:tc>
      </w:tr>
      <w:tr w:rsidR="00430552" w:rsidRPr="00327E13" w14:paraId="72AA71E7" w14:textId="77777777" w:rsidTr="001E472C">
        <w:trPr>
          <w:trHeight w:val="255"/>
          <w:tblHeader/>
        </w:trPr>
        <w:tc>
          <w:tcPr>
            <w:tcW w:w="1485" w:type="dxa"/>
            <w:noWrap/>
            <w:vAlign w:val="center"/>
          </w:tcPr>
          <w:p w14:paraId="18531A0E" w14:textId="77777777" w:rsidR="00430552" w:rsidRPr="00FB2713" w:rsidRDefault="00430552" w:rsidP="00FB2713">
            <w:pPr>
              <w:rPr>
                <w:rStyle w:val="IntenseReference"/>
                <w:i/>
              </w:rPr>
            </w:pPr>
            <w:r>
              <w:rPr>
                <w:rStyle w:val="IntenseReference"/>
                <w:i/>
              </w:rPr>
              <w:t>Goniastrea</w:t>
            </w:r>
          </w:p>
        </w:tc>
        <w:tc>
          <w:tcPr>
            <w:tcW w:w="1213" w:type="dxa"/>
            <w:noWrap/>
            <w:vAlign w:val="center"/>
          </w:tcPr>
          <w:p w14:paraId="471B5BA2" w14:textId="77777777" w:rsidR="00430552" w:rsidRDefault="00430552" w:rsidP="00FB2713">
            <w:pPr>
              <w:jc w:val="center"/>
              <w:rPr>
                <w:rStyle w:val="IntenseReference"/>
              </w:rPr>
            </w:pPr>
            <w:r>
              <w:rPr>
                <w:rStyle w:val="IntenseReference"/>
              </w:rPr>
              <w:t>0.11</w:t>
            </w:r>
          </w:p>
        </w:tc>
        <w:tc>
          <w:tcPr>
            <w:tcW w:w="1570" w:type="dxa"/>
            <w:noWrap/>
            <w:vAlign w:val="center"/>
          </w:tcPr>
          <w:p w14:paraId="7F9739CD" w14:textId="77777777" w:rsidR="00430552" w:rsidRDefault="00430552" w:rsidP="00FB2713">
            <w:pPr>
              <w:jc w:val="center"/>
              <w:rPr>
                <w:rStyle w:val="IntenseReference"/>
              </w:rPr>
            </w:pPr>
            <w:r>
              <w:rPr>
                <w:rStyle w:val="IntenseReference"/>
              </w:rPr>
              <w:t>0.21</w:t>
            </w:r>
          </w:p>
        </w:tc>
        <w:tc>
          <w:tcPr>
            <w:tcW w:w="1887" w:type="dxa"/>
            <w:noWrap/>
            <w:vAlign w:val="center"/>
          </w:tcPr>
          <w:p w14:paraId="67917983" w14:textId="77777777" w:rsidR="00430552" w:rsidRDefault="00430552" w:rsidP="00FB2713">
            <w:pPr>
              <w:jc w:val="center"/>
              <w:rPr>
                <w:rStyle w:val="IntenseReference"/>
              </w:rPr>
            </w:pPr>
            <w:r>
              <w:rPr>
                <w:rStyle w:val="IntenseReference"/>
              </w:rPr>
              <w:t>-48.0</w:t>
            </w:r>
          </w:p>
        </w:tc>
        <w:tc>
          <w:tcPr>
            <w:tcW w:w="1511" w:type="dxa"/>
            <w:noWrap/>
            <w:vAlign w:val="center"/>
          </w:tcPr>
          <w:p w14:paraId="52EF8329" w14:textId="77777777" w:rsidR="00430552" w:rsidRDefault="00430552" w:rsidP="00FB2713">
            <w:pPr>
              <w:jc w:val="center"/>
              <w:rPr>
                <w:rStyle w:val="IntenseReference"/>
              </w:rPr>
            </w:pPr>
            <w:r>
              <w:rPr>
                <w:rStyle w:val="IntenseReference"/>
              </w:rPr>
              <w:t>19.0</w:t>
            </w:r>
          </w:p>
        </w:tc>
        <w:tc>
          <w:tcPr>
            <w:tcW w:w="1511" w:type="dxa"/>
          </w:tcPr>
          <w:p w14:paraId="49879D4D" w14:textId="77777777" w:rsidR="00430552" w:rsidRDefault="00881579" w:rsidP="00FB2713">
            <w:pPr>
              <w:jc w:val="center"/>
              <w:rPr>
                <w:rStyle w:val="IntenseReference"/>
              </w:rPr>
            </w:pPr>
            <w:r>
              <w:rPr>
                <w:rStyle w:val="IntenseReference"/>
              </w:rPr>
              <w:t>Moderate</w:t>
            </w:r>
          </w:p>
        </w:tc>
      </w:tr>
      <w:tr w:rsidR="00430552" w:rsidRPr="00327E13" w14:paraId="1275BF0E" w14:textId="77777777" w:rsidTr="001E472C">
        <w:trPr>
          <w:trHeight w:val="255"/>
          <w:tblHeader/>
        </w:trPr>
        <w:tc>
          <w:tcPr>
            <w:tcW w:w="1485" w:type="dxa"/>
            <w:noWrap/>
            <w:vAlign w:val="center"/>
          </w:tcPr>
          <w:p w14:paraId="0FE0B072" w14:textId="77777777" w:rsidR="00430552" w:rsidRPr="00FB2713" w:rsidRDefault="00430552" w:rsidP="00FB2713">
            <w:pPr>
              <w:rPr>
                <w:rStyle w:val="IntenseReference"/>
                <w:i/>
              </w:rPr>
            </w:pPr>
            <w:r w:rsidRPr="00FB2713">
              <w:rPr>
                <w:rStyle w:val="IntenseReference"/>
                <w:i/>
              </w:rPr>
              <w:t>Cyp</w:t>
            </w:r>
            <w:r>
              <w:rPr>
                <w:rStyle w:val="IntenseReference"/>
                <w:i/>
              </w:rPr>
              <w:t>h</w:t>
            </w:r>
            <w:r w:rsidRPr="00FB2713">
              <w:rPr>
                <w:rStyle w:val="IntenseReference"/>
                <w:i/>
              </w:rPr>
              <w:t>astrea</w:t>
            </w:r>
          </w:p>
        </w:tc>
        <w:tc>
          <w:tcPr>
            <w:tcW w:w="1213" w:type="dxa"/>
            <w:noWrap/>
            <w:vAlign w:val="center"/>
          </w:tcPr>
          <w:p w14:paraId="39DDACE7" w14:textId="77777777" w:rsidR="00430552" w:rsidRDefault="00430552" w:rsidP="00FB2713">
            <w:pPr>
              <w:jc w:val="center"/>
              <w:rPr>
                <w:rStyle w:val="IntenseReference"/>
              </w:rPr>
            </w:pPr>
            <w:r>
              <w:rPr>
                <w:rStyle w:val="IntenseReference"/>
              </w:rPr>
              <w:t>0.17</w:t>
            </w:r>
          </w:p>
        </w:tc>
        <w:tc>
          <w:tcPr>
            <w:tcW w:w="1570" w:type="dxa"/>
            <w:noWrap/>
            <w:vAlign w:val="center"/>
          </w:tcPr>
          <w:p w14:paraId="083EE932" w14:textId="77777777" w:rsidR="00430552" w:rsidRDefault="00430552" w:rsidP="00FB2713">
            <w:pPr>
              <w:jc w:val="center"/>
              <w:rPr>
                <w:rStyle w:val="IntenseReference"/>
              </w:rPr>
            </w:pPr>
            <w:r>
              <w:rPr>
                <w:rStyle w:val="IntenseReference"/>
              </w:rPr>
              <w:t>0.26</w:t>
            </w:r>
          </w:p>
        </w:tc>
        <w:tc>
          <w:tcPr>
            <w:tcW w:w="1887" w:type="dxa"/>
            <w:noWrap/>
            <w:vAlign w:val="center"/>
          </w:tcPr>
          <w:p w14:paraId="7084DD61" w14:textId="77777777" w:rsidR="00430552" w:rsidRDefault="00430552" w:rsidP="00FB2713">
            <w:pPr>
              <w:jc w:val="center"/>
              <w:rPr>
                <w:rStyle w:val="IntenseReference"/>
              </w:rPr>
            </w:pPr>
            <w:r>
              <w:rPr>
                <w:rStyle w:val="IntenseReference"/>
              </w:rPr>
              <w:t>-35.5</w:t>
            </w:r>
          </w:p>
        </w:tc>
        <w:tc>
          <w:tcPr>
            <w:tcW w:w="1511" w:type="dxa"/>
            <w:noWrap/>
            <w:vAlign w:val="center"/>
          </w:tcPr>
          <w:p w14:paraId="342DD79D" w14:textId="77777777" w:rsidR="00430552" w:rsidRDefault="00430552" w:rsidP="00FB2713">
            <w:pPr>
              <w:jc w:val="center"/>
              <w:rPr>
                <w:rStyle w:val="IntenseReference"/>
              </w:rPr>
            </w:pPr>
            <w:r>
              <w:rPr>
                <w:rStyle w:val="IntenseReference"/>
              </w:rPr>
              <w:t>2.5</w:t>
            </w:r>
          </w:p>
        </w:tc>
        <w:tc>
          <w:tcPr>
            <w:tcW w:w="1511" w:type="dxa"/>
          </w:tcPr>
          <w:p w14:paraId="5DB561CC" w14:textId="77777777" w:rsidR="00430552" w:rsidRDefault="00881579" w:rsidP="00FB2713">
            <w:pPr>
              <w:jc w:val="center"/>
              <w:rPr>
                <w:rStyle w:val="IntenseReference"/>
              </w:rPr>
            </w:pPr>
            <w:r>
              <w:rPr>
                <w:rStyle w:val="IntenseReference"/>
              </w:rPr>
              <w:t>Low</w:t>
            </w:r>
          </w:p>
        </w:tc>
      </w:tr>
      <w:tr w:rsidR="00430552" w:rsidRPr="00327E13" w14:paraId="104A4AA8" w14:textId="77777777" w:rsidTr="001E472C">
        <w:trPr>
          <w:trHeight w:val="255"/>
          <w:tblHeader/>
        </w:trPr>
        <w:tc>
          <w:tcPr>
            <w:tcW w:w="1485" w:type="dxa"/>
            <w:noWrap/>
            <w:vAlign w:val="center"/>
            <w:hideMark/>
          </w:tcPr>
          <w:p w14:paraId="4A2F3DCC" w14:textId="77777777" w:rsidR="00430552" w:rsidRPr="00FB2713" w:rsidRDefault="00430552" w:rsidP="00FB2713">
            <w:pPr>
              <w:rPr>
                <w:rStyle w:val="IntenseReference"/>
                <w:i/>
              </w:rPr>
            </w:pPr>
            <w:r w:rsidRPr="00FB2713">
              <w:rPr>
                <w:rStyle w:val="IntenseReference"/>
                <w:i/>
              </w:rPr>
              <w:t>Favites</w:t>
            </w:r>
          </w:p>
        </w:tc>
        <w:tc>
          <w:tcPr>
            <w:tcW w:w="1213" w:type="dxa"/>
            <w:noWrap/>
            <w:vAlign w:val="center"/>
            <w:hideMark/>
          </w:tcPr>
          <w:p w14:paraId="1162A06A" w14:textId="77777777" w:rsidR="00430552" w:rsidRPr="002A6D6E" w:rsidRDefault="00430552" w:rsidP="00FB2713">
            <w:pPr>
              <w:jc w:val="center"/>
              <w:rPr>
                <w:rStyle w:val="IntenseReference"/>
              </w:rPr>
            </w:pPr>
            <w:r w:rsidRPr="002A6D6E">
              <w:rPr>
                <w:rStyle w:val="IntenseReference"/>
              </w:rPr>
              <w:t>0.24</w:t>
            </w:r>
          </w:p>
        </w:tc>
        <w:tc>
          <w:tcPr>
            <w:tcW w:w="1570" w:type="dxa"/>
            <w:noWrap/>
            <w:vAlign w:val="center"/>
            <w:hideMark/>
          </w:tcPr>
          <w:p w14:paraId="0FB0CC2A" w14:textId="77777777" w:rsidR="00430552" w:rsidRPr="002A6D6E" w:rsidRDefault="00430552" w:rsidP="00FB2713">
            <w:pPr>
              <w:jc w:val="center"/>
              <w:rPr>
                <w:rStyle w:val="IntenseReference"/>
              </w:rPr>
            </w:pPr>
            <w:r w:rsidRPr="002A6D6E">
              <w:rPr>
                <w:rStyle w:val="IntenseReference"/>
              </w:rPr>
              <w:t>0.34</w:t>
            </w:r>
          </w:p>
        </w:tc>
        <w:tc>
          <w:tcPr>
            <w:tcW w:w="1887" w:type="dxa"/>
            <w:noWrap/>
            <w:vAlign w:val="center"/>
            <w:hideMark/>
          </w:tcPr>
          <w:p w14:paraId="0C952FF1" w14:textId="77777777" w:rsidR="00430552" w:rsidRPr="002A6D6E" w:rsidRDefault="00430552" w:rsidP="00FB2713">
            <w:pPr>
              <w:jc w:val="center"/>
              <w:rPr>
                <w:rStyle w:val="IntenseReference"/>
              </w:rPr>
            </w:pPr>
            <w:r w:rsidRPr="002A6D6E">
              <w:rPr>
                <w:rStyle w:val="IntenseReference"/>
              </w:rPr>
              <w:t>-29.5</w:t>
            </w:r>
          </w:p>
        </w:tc>
        <w:tc>
          <w:tcPr>
            <w:tcW w:w="1511" w:type="dxa"/>
            <w:noWrap/>
            <w:vAlign w:val="center"/>
            <w:hideMark/>
          </w:tcPr>
          <w:p w14:paraId="525CEB5E" w14:textId="77777777" w:rsidR="00430552" w:rsidRPr="002A6D6E" w:rsidRDefault="00430552" w:rsidP="00FB2713">
            <w:pPr>
              <w:jc w:val="center"/>
              <w:rPr>
                <w:rStyle w:val="IntenseReference"/>
              </w:rPr>
            </w:pPr>
            <w:r w:rsidRPr="002A6D6E">
              <w:rPr>
                <w:rStyle w:val="IntenseReference"/>
              </w:rPr>
              <w:t>25.1</w:t>
            </w:r>
          </w:p>
        </w:tc>
        <w:tc>
          <w:tcPr>
            <w:tcW w:w="1511" w:type="dxa"/>
          </w:tcPr>
          <w:p w14:paraId="51BE658A" w14:textId="77777777" w:rsidR="00430552" w:rsidRPr="002A6D6E" w:rsidRDefault="00881579" w:rsidP="00FB2713">
            <w:pPr>
              <w:jc w:val="center"/>
              <w:rPr>
                <w:rStyle w:val="IntenseReference"/>
              </w:rPr>
            </w:pPr>
            <w:r>
              <w:rPr>
                <w:rStyle w:val="IntenseReference"/>
              </w:rPr>
              <w:t>Moderate</w:t>
            </w:r>
          </w:p>
        </w:tc>
      </w:tr>
      <w:tr w:rsidR="00430552" w:rsidRPr="00327E13" w14:paraId="278F1AB0" w14:textId="77777777" w:rsidTr="001E472C">
        <w:trPr>
          <w:trHeight w:val="255"/>
          <w:tblHeader/>
        </w:trPr>
        <w:tc>
          <w:tcPr>
            <w:tcW w:w="1485" w:type="dxa"/>
            <w:noWrap/>
            <w:vAlign w:val="center"/>
            <w:hideMark/>
          </w:tcPr>
          <w:p w14:paraId="0D1EDB9D" w14:textId="77777777" w:rsidR="00430552" w:rsidRPr="00FB2713" w:rsidRDefault="00430552" w:rsidP="00FB2713">
            <w:pPr>
              <w:rPr>
                <w:rStyle w:val="IntenseReference"/>
                <w:i/>
              </w:rPr>
            </w:pPr>
            <w:r w:rsidRPr="00FB2713">
              <w:rPr>
                <w:rStyle w:val="IntenseReference"/>
                <w:i/>
              </w:rPr>
              <w:t>Pachyseris</w:t>
            </w:r>
          </w:p>
        </w:tc>
        <w:tc>
          <w:tcPr>
            <w:tcW w:w="1213" w:type="dxa"/>
            <w:noWrap/>
            <w:vAlign w:val="center"/>
            <w:hideMark/>
          </w:tcPr>
          <w:p w14:paraId="73DBBB92" w14:textId="77777777" w:rsidR="00430552" w:rsidRPr="002A6D6E" w:rsidRDefault="00430552" w:rsidP="00FB2713">
            <w:pPr>
              <w:jc w:val="center"/>
              <w:rPr>
                <w:rStyle w:val="IntenseReference"/>
              </w:rPr>
            </w:pPr>
            <w:r w:rsidRPr="002A6D6E">
              <w:rPr>
                <w:rStyle w:val="IntenseReference"/>
              </w:rPr>
              <w:t>0.75</w:t>
            </w:r>
          </w:p>
        </w:tc>
        <w:tc>
          <w:tcPr>
            <w:tcW w:w="1570" w:type="dxa"/>
            <w:noWrap/>
            <w:vAlign w:val="center"/>
            <w:hideMark/>
          </w:tcPr>
          <w:p w14:paraId="4FB7D051" w14:textId="77777777" w:rsidR="00430552" w:rsidRPr="002A6D6E" w:rsidRDefault="00430552" w:rsidP="00FB2713">
            <w:pPr>
              <w:jc w:val="center"/>
              <w:rPr>
                <w:rStyle w:val="IntenseReference"/>
              </w:rPr>
            </w:pPr>
            <w:r w:rsidRPr="002A6D6E">
              <w:rPr>
                <w:rStyle w:val="IntenseReference"/>
              </w:rPr>
              <w:t>1.03</w:t>
            </w:r>
          </w:p>
        </w:tc>
        <w:tc>
          <w:tcPr>
            <w:tcW w:w="1887" w:type="dxa"/>
            <w:noWrap/>
            <w:vAlign w:val="center"/>
            <w:hideMark/>
          </w:tcPr>
          <w:p w14:paraId="59BF8C11" w14:textId="77777777" w:rsidR="00430552" w:rsidRPr="002A6D6E" w:rsidRDefault="00430552" w:rsidP="00FB2713">
            <w:pPr>
              <w:jc w:val="center"/>
              <w:rPr>
                <w:rStyle w:val="IntenseReference"/>
              </w:rPr>
            </w:pPr>
            <w:r>
              <w:rPr>
                <w:rStyle w:val="IntenseReference"/>
              </w:rPr>
              <w:t>-27.6</w:t>
            </w:r>
          </w:p>
        </w:tc>
        <w:tc>
          <w:tcPr>
            <w:tcW w:w="1511" w:type="dxa"/>
            <w:noWrap/>
            <w:vAlign w:val="center"/>
            <w:hideMark/>
          </w:tcPr>
          <w:p w14:paraId="246D3D72" w14:textId="77777777" w:rsidR="00430552" w:rsidRPr="002A6D6E" w:rsidRDefault="00430552" w:rsidP="00FB2713">
            <w:pPr>
              <w:jc w:val="center"/>
              <w:rPr>
                <w:rStyle w:val="IntenseReference"/>
              </w:rPr>
            </w:pPr>
            <w:r w:rsidRPr="002A6D6E">
              <w:rPr>
                <w:rStyle w:val="IntenseReference"/>
              </w:rPr>
              <w:t>33.8</w:t>
            </w:r>
          </w:p>
        </w:tc>
        <w:tc>
          <w:tcPr>
            <w:tcW w:w="1511" w:type="dxa"/>
          </w:tcPr>
          <w:p w14:paraId="0DDB0D04" w14:textId="77777777" w:rsidR="00430552" w:rsidRPr="002A6D6E" w:rsidRDefault="00881579" w:rsidP="00FB2713">
            <w:pPr>
              <w:jc w:val="center"/>
              <w:rPr>
                <w:rStyle w:val="IntenseReference"/>
              </w:rPr>
            </w:pPr>
            <w:r>
              <w:rPr>
                <w:rStyle w:val="IntenseReference"/>
              </w:rPr>
              <w:t>High</w:t>
            </w:r>
          </w:p>
        </w:tc>
      </w:tr>
      <w:tr w:rsidR="00430552" w:rsidRPr="00327E13" w14:paraId="087637A2" w14:textId="77777777" w:rsidTr="001E472C">
        <w:trPr>
          <w:trHeight w:val="255"/>
          <w:tblHeader/>
        </w:trPr>
        <w:tc>
          <w:tcPr>
            <w:tcW w:w="1485" w:type="dxa"/>
            <w:noWrap/>
            <w:vAlign w:val="center"/>
            <w:hideMark/>
          </w:tcPr>
          <w:p w14:paraId="37FF894F" w14:textId="77777777" w:rsidR="00430552" w:rsidRPr="00FB2713" w:rsidRDefault="00430552" w:rsidP="00FB2713">
            <w:pPr>
              <w:rPr>
                <w:rStyle w:val="IntenseReference"/>
                <w:i/>
              </w:rPr>
            </w:pPr>
            <w:r w:rsidRPr="00FB2713">
              <w:rPr>
                <w:rStyle w:val="IntenseReference"/>
                <w:i/>
              </w:rPr>
              <w:t>Lobophyllia</w:t>
            </w:r>
          </w:p>
        </w:tc>
        <w:tc>
          <w:tcPr>
            <w:tcW w:w="1213" w:type="dxa"/>
            <w:noWrap/>
            <w:vAlign w:val="center"/>
            <w:hideMark/>
          </w:tcPr>
          <w:p w14:paraId="61437E74" w14:textId="77777777" w:rsidR="00430552" w:rsidRPr="002A6D6E" w:rsidRDefault="00430552" w:rsidP="00FB2713">
            <w:pPr>
              <w:jc w:val="center"/>
              <w:rPr>
                <w:rStyle w:val="IntenseReference"/>
              </w:rPr>
            </w:pPr>
            <w:r w:rsidRPr="002A6D6E">
              <w:rPr>
                <w:rStyle w:val="IntenseReference"/>
              </w:rPr>
              <w:t>0.21</w:t>
            </w:r>
          </w:p>
        </w:tc>
        <w:tc>
          <w:tcPr>
            <w:tcW w:w="1570" w:type="dxa"/>
            <w:noWrap/>
            <w:vAlign w:val="center"/>
            <w:hideMark/>
          </w:tcPr>
          <w:p w14:paraId="75571169" w14:textId="77777777" w:rsidR="00430552" w:rsidRPr="002A6D6E" w:rsidRDefault="00430552" w:rsidP="00FB2713">
            <w:pPr>
              <w:jc w:val="center"/>
              <w:rPr>
                <w:rStyle w:val="IntenseReference"/>
              </w:rPr>
            </w:pPr>
            <w:r w:rsidRPr="002A6D6E">
              <w:rPr>
                <w:rStyle w:val="IntenseReference"/>
              </w:rPr>
              <w:t>0.29</w:t>
            </w:r>
          </w:p>
        </w:tc>
        <w:tc>
          <w:tcPr>
            <w:tcW w:w="1887" w:type="dxa"/>
            <w:noWrap/>
            <w:vAlign w:val="center"/>
            <w:hideMark/>
          </w:tcPr>
          <w:p w14:paraId="2843F137" w14:textId="77777777" w:rsidR="00430552" w:rsidRPr="002A6D6E" w:rsidRDefault="00430552" w:rsidP="00FB2713">
            <w:pPr>
              <w:jc w:val="center"/>
              <w:rPr>
                <w:rStyle w:val="IntenseReference"/>
              </w:rPr>
            </w:pPr>
            <w:r>
              <w:rPr>
                <w:rStyle w:val="IntenseReference"/>
              </w:rPr>
              <w:t>-27.5</w:t>
            </w:r>
          </w:p>
        </w:tc>
        <w:tc>
          <w:tcPr>
            <w:tcW w:w="1511" w:type="dxa"/>
            <w:noWrap/>
            <w:vAlign w:val="center"/>
            <w:hideMark/>
          </w:tcPr>
          <w:p w14:paraId="51899F6D" w14:textId="77777777" w:rsidR="00430552" w:rsidRPr="002A6D6E" w:rsidRDefault="00430552" w:rsidP="00FB2713">
            <w:pPr>
              <w:jc w:val="center"/>
              <w:rPr>
                <w:rStyle w:val="IntenseReference"/>
              </w:rPr>
            </w:pPr>
            <w:r>
              <w:rPr>
                <w:rStyle w:val="IntenseReference"/>
              </w:rPr>
              <w:t>15.1</w:t>
            </w:r>
          </w:p>
        </w:tc>
        <w:tc>
          <w:tcPr>
            <w:tcW w:w="1511" w:type="dxa"/>
          </w:tcPr>
          <w:p w14:paraId="27B5E746" w14:textId="77777777" w:rsidR="00430552" w:rsidRDefault="00881579" w:rsidP="00FB2713">
            <w:pPr>
              <w:jc w:val="center"/>
              <w:rPr>
                <w:rStyle w:val="IntenseReference"/>
              </w:rPr>
            </w:pPr>
            <w:r>
              <w:rPr>
                <w:rStyle w:val="IntenseReference"/>
              </w:rPr>
              <w:t>Moderate</w:t>
            </w:r>
          </w:p>
        </w:tc>
      </w:tr>
      <w:tr w:rsidR="00430552" w:rsidRPr="00327E13" w14:paraId="052B66E1" w14:textId="77777777" w:rsidTr="001E472C">
        <w:trPr>
          <w:trHeight w:val="255"/>
          <w:tblHeader/>
        </w:trPr>
        <w:tc>
          <w:tcPr>
            <w:tcW w:w="1485" w:type="dxa"/>
            <w:noWrap/>
            <w:vAlign w:val="center"/>
            <w:hideMark/>
          </w:tcPr>
          <w:p w14:paraId="3A40F51A" w14:textId="77777777" w:rsidR="00430552" w:rsidRPr="00FB2713" w:rsidRDefault="00430552" w:rsidP="00FB2713">
            <w:pPr>
              <w:rPr>
                <w:rStyle w:val="IntenseReference"/>
                <w:i/>
              </w:rPr>
            </w:pPr>
            <w:r w:rsidRPr="00FB2713">
              <w:rPr>
                <w:rStyle w:val="IntenseReference"/>
                <w:i/>
              </w:rPr>
              <w:t>Acropora</w:t>
            </w:r>
          </w:p>
        </w:tc>
        <w:tc>
          <w:tcPr>
            <w:tcW w:w="1213" w:type="dxa"/>
            <w:noWrap/>
            <w:vAlign w:val="center"/>
            <w:hideMark/>
          </w:tcPr>
          <w:p w14:paraId="6907C993" w14:textId="77777777" w:rsidR="00430552" w:rsidRPr="002A6D6E" w:rsidRDefault="00430552" w:rsidP="00FB2713">
            <w:pPr>
              <w:jc w:val="center"/>
              <w:rPr>
                <w:rStyle w:val="IntenseReference"/>
              </w:rPr>
            </w:pPr>
            <w:r w:rsidRPr="002A6D6E">
              <w:rPr>
                <w:rStyle w:val="IntenseReference"/>
              </w:rPr>
              <w:t>6.19</w:t>
            </w:r>
          </w:p>
        </w:tc>
        <w:tc>
          <w:tcPr>
            <w:tcW w:w="1570" w:type="dxa"/>
            <w:noWrap/>
            <w:vAlign w:val="center"/>
            <w:hideMark/>
          </w:tcPr>
          <w:p w14:paraId="6ACCF227" w14:textId="77777777" w:rsidR="00430552" w:rsidRPr="002A6D6E" w:rsidRDefault="00430552" w:rsidP="00FB2713">
            <w:pPr>
              <w:jc w:val="center"/>
              <w:rPr>
                <w:rStyle w:val="IntenseReference"/>
              </w:rPr>
            </w:pPr>
            <w:r w:rsidRPr="002A6D6E">
              <w:rPr>
                <w:rStyle w:val="IntenseReference"/>
              </w:rPr>
              <w:t>8.24</w:t>
            </w:r>
          </w:p>
        </w:tc>
        <w:tc>
          <w:tcPr>
            <w:tcW w:w="1887" w:type="dxa"/>
            <w:noWrap/>
            <w:vAlign w:val="center"/>
            <w:hideMark/>
          </w:tcPr>
          <w:p w14:paraId="5372B5A2" w14:textId="77777777" w:rsidR="00430552" w:rsidRPr="002A6D6E" w:rsidRDefault="00430552" w:rsidP="00FB2713">
            <w:pPr>
              <w:jc w:val="center"/>
              <w:rPr>
                <w:rStyle w:val="IntenseReference"/>
              </w:rPr>
            </w:pPr>
            <w:r w:rsidRPr="002A6D6E">
              <w:rPr>
                <w:rStyle w:val="IntenseReference"/>
              </w:rPr>
              <w:t>-24.8</w:t>
            </w:r>
          </w:p>
        </w:tc>
        <w:tc>
          <w:tcPr>
            <w:tcW w:w="1511" w:type="dxa"/>
            <w:noWrap/>
            <w:vAlign w:val="center"/>
            <w:hideMark/>
          </w:tcPr>
          <w:p w14:paraId="72AEDE3E" w14:textId="77777777" w:rsidR="00430552" w:rsidRPr="002A6D6E" w:rsidRDefault="00430552" w:rsidP="00FB2713">
            <w:pPr>
              <w:jc w:val="center"/>
              <w:rPr>
                <w:rStyle w:val="IntenseReference"/>
              </w:rPr>
            </w:pPr>
            <w:r>
              <w:rPr>
                <w:rStyle w:val="IntenseReference"/>
              </w:rPr>
              <w:t>19.7</w:t>
            </w:r>
          </w:p>
        </w:tc>
        <w:tc>
          <w:tcPr>
            <w:tcW w:w="1511" w:type="dxa"/>
          </w:tcPr>
          <w:p w14:paraId="3990DAEC" w14:textId="77777777" w:rsidR="00430552" w:rsidRDefault="00881579" w:rsidP="00FB2713">
            <w:pPr>
              <w:jc w:val="center"/>
              <w:rPr>
                <w:rStyle w:val="IntenseReference"/>
              </w:rPr>
            </w:pPr>
            <w:r>
              <w:rPr>
                <w:rStyle w:val="IntenseReference"/>
              </w:rPr>
              <w:t>Mixed</w:t>
            </w:r>
          </w:p>
        </w:tc>
      </w:tr>
      <w:tr w:rsidR="00430552" w:rsidRPr="00327E13" w14:paraId="7900B999" w14:textId="77777777" w:rsidTr="001E472C">
        <w:trPr>
          <w:trHeight w:val="255"/>
          <w:tblHeader/>
        </w:trPr>
        <w:tc>
          <w:tcPr>
            <w:tcW w:w="1485" w:type="dxa"/>
            <w:noWrap/>
            <w:vAlign w:val="center"/>
          </w:tcPr>
          <w:p w14:paraId="6D1682BA" w14:textId="77777777" w:rsidR="00430552" w:rsidRPr="00FB2713" w:rsidRDefault="00430552" w:rsidP="00FB2713">
            <w:pPr>
              <w:rPr>
                <w:rStyle w:val="IntenseReference"/>
                <w:i/>
              </w:rPr>
            </w:pPr>
            <w:r>
              <w:rPr>
                <w:rStyle w:val="IntenseReference"/>
                <w:i/>
              </w:rPr>
              <w:t>Psammocora</w:t>
            </w:r>
          </w:p>
        </w:tc>
        <w:tc>
          <w:tcPr>
            <w:tcW w:w="1213" w:type="dxa"/>
            <w:noWrap/>
            <w:vAlign w:val="center"/>
          </w:tcPr>
          <w:p w14:paraId="13A2143B" w14:textId="77777777" w:rsidR="00430552" w:rsidRPr="002A6D6E" w:rsidRDefault="00430552" w:rsidP="00FB2713">
            <w:pPr>
              <w:jc w:val="center"/>
              <w:rPr>
                <w:rStyle w:val="IntenseReference"/>
              </w:rPr>
            </w:pPr>
            <w:r>
              <w:rPr>
                <w:rStyle w:val="IntenseReference"/>
              </w:rPr>
              <w:t>0.10</w:t>
            </w:r>
          </w:p>
        </w:tc>
        <w:tc>
          <w:tcPr>
            <w:tcW w:w="1570" w:type="dxa"/>
            <w:noWrap/>
            <w:vAlign w:val="center"/>
          </w:tcPr>
          <w:p w14:paraId="4BEEDC3F" w14:textId="77777777" w:rsidR="00430552" w:rsidRPr="002A6D6E" w:rsidRDefault="00430552" w:rsidP="00FB2713">
            <w:pPr>
              <w:jc w:val="center"/>
              <w:rPr>
                <w:rStyle w:val="IntenseReference"/>
              </w:rPr>
            </w:pPr>
            <w:r>
              <w:rPr>
                <w:rStyle w:val="IntenseReference"/>
              </w:rPr>
              <w:t>0.13</w:t>
            </w:r>
          </w:p>
        </w:tc>
        <w:tc>
          <w:tcPr>
            <w:tcW w:w="1887" w:type="dxa"/>
            <w:noWrap/>
            <w:vAlign w:val="center"/>
          </w:tcPr>
          <w:p w14:paraId="25843B4C" w14:textId="77777777" w:rsidR="00430552" w:rsidRPr="002A6D6E" w:rsidRDefault="00430552" w:rsidP="00FB2713">
            <w:pPr>
              <w:jc w:val="center"/>
              <w:rPr>
                <w:rStyle w:val="IntenseReference"/>
              </w:rPr>
            </w:pPr>
            <w:r>
              <w:rPr>
                <w:rStyle w:val="IntenseReference"/>
              </w:rPr>
              <w:t>-20.8</w:t>
            </w:r>
          </w:p>
        </w:tc>
        <w:tc>
          <w:tcPr>
            <w:tcW w:w="1511" w:type="dxa"/>
            <w:noWrap/>
            <w:vAlign w:val="center"/>
          </w:tcPr>
          <w:p w14:paraId="5CE3A75A" w14:textId="77777777" w:rsidR="00430552" w:rsidRPr="002A6D6E" w:rsidRDefault="00430552" w:rsidP="00FB2713">
            <w:pPr>
              <w:jc w:val="center"/>
              <w:rPr>
                <w:rStyle w:val="IntenseReference"/>
              </w:rPr>
            </w:pPr>
            <w:r>
              <w:rPr>
                <w:rStyle w:val="IntenseReference"/>
              </w:rPr>
              <w:t>2.0</w:t>
            </w:r>
          </w:p>
        </w:tc>
        <w:tc>
          <w:tcPr>
            <w:tcW w:w="1511" w:type="dxa"/>
          </w:tcPr>
          <w:p w14:paraId="2498123F" w14:textId="77777777" w:rsidR="00430552" w:rsidRDefault="00430552" w:rsidP="00FB2713">
            <w:pPr>
              <w:jc w:val="center"/>
              <w:rPr>
                <w:rStyle w:val="IntenseReference"/>
              </w:rPr>
            </w:pPr>
            <w:r>
              <w:rPr>
                <w:rStyle w:val="IntenseReference"/>
              </w:rPr>
              <w:t>L</w:t>
            </w:r>
            <w:r w:rsidR="00881579">
              <w:rPr>
                <w:rStyle w:val="IntenseReference"/>
              </w:rPr>
              <w:t>ow</w:t>
            </w:r>
          </w:p>
        </w:tc>
      </w:tr>
      <w:tr w:rsidR="00430552" w:rsidRPr="00327E13" w14:paraId="0B7C8094" w14:textId="77777777" w:rsidTr="001E472C">
        <w:trPr>
          <w:trHeight w:val="255"/>
          <w:tblHeader/>
        </w:trPr>
        <w:tc>
          <w:tcPr>
            <w:tcW w:w="1485" w:type="dxa"/>
            <w:noWrap/>
            <w:vAlign w:val="center"/>
            <w:hideMark/>
          </w:tcPr>
          <w:p w14:paraId="2BDD240F" w14:textId="77777777" w:rsidR="00430552" w:rsidRPr="00FB2713" w:rsidRDefault="00430552" w:rsidP="00FB2713">
            <w:pPr>
              <w:rPr>
                <w:rStyle w:val="IntenseReference"/>
                <w:i/>
              </w:rPr>
            </w:pPr>
            <w:r w:rsidRPr="00FB2713">
              <w:rPr>
                <w:rStyle w:val="IntenseReference"/>
                <w:i/>
              </w:rPr>
              <w:t>Merulina</w:t>
            </w:r>
          </w:p>
        </w:tc>
        <w:tc>
          <w:tcPr>
            <w:tcW w:w="1213" w:type="dxa"/>
            <w:noWrap/>
            <w:vAlign w:val="center"/>
            <w:hideMark/>
          </w:tcPr>
          <w:p w14:paraId="5DBD287E" w14:textId="77777777" w:rsidR="00430552" w:rsidRPr="002A6D6E" w:rsidRDefault="00430552" w:rsidP="00FB2713">
            <w:pPr>
              <w:jc w:val="center"/>
              <w:rPr>
                <w:rStyle w:val="IntenseReference"/>
              </w:rPr>
            </w:pPr>
            <w:r w:rsidRPr="002A6D6E">
              <w:rPr>
                <w:rStyle w:val="IntenseReference"/>
              </w:rPr>
              <w:t>0.34</w:t>
            </w:r>
          </w:p>
        </w:tc>
        <w:tc>
          <w:tcPr>
            <w:tcW w:w="1570" w:type="dxa"/>
            <w:noWrap/>
            <w:vAlign w:val="center"/>
            <w:hideMark/>
          </w:tcPr>
          <w:p w14:paraId="3CC749D5" w14:textId="77777777" w:rsidR="00430552" w:rsidRPr="002A6D6E" w:rsidRDefault="00430552" w:rsidP="00FB2713">
            <w:pPr>
              <w:jc w:val="center"/>
              <w:rPr>
                <w:rStyle w:val="IntenseReference"/>
              </w:rPr>
            </w:pPr>
            <w:r w:rsidRPr="002A6D6E">
              <w:rPr>
                <w:rStyle w:val="IntenseReference"/>
              </w:rPr>
              <w:t>0.4</w:t>
            </w:r>
          </w:p>
        </w:tc>
        <w:tc>
          <w:tcPr>
            <w:tcW w:w="1887" w:type="dxa"/>
            <w:noWrap/>
            <w:vAlign w:val="center"/>
            <w:hideMark/>
          </w:tcPr>
          <w:p w14:paraId="446844F9" w14:textId="77777777" w:rsidR="00430552" w:rsidRPr="002A6D6E" w:rsidRDefault="00430552" w:rsidP="00FB2713">
            <w:pPr>
              <w:jc w:val="center"/>
              <w:rPr>
                <w:rStyle w:val="IntenseReference"/>
              </w:rPr>
            </w:pPr>
            <w:r w:rsidRPr="002A6D6E">
              <w:rPr>
                <w:rStyle w:val="IntenseReference"/>
              </w:rPr>
              <w:t>-16.1</w:t>
            </w:r>
          </w:p>
        </w:tc>
        <w:tc>
          <w:tcPr>
            <w:tcW w:w="1511" w:type="dxa"/>
            <w:noWrap/>
            <w:vAlign w:val="center"/>
            <w:hideMark/>
          </w:tcPr>
          <w:p w14:paraId="6F2AE111" w14:textId="77777777" w:rsidR="00430552" w:rsidRPr="002A6D6E" w:rsidRDefault="00430552" w:rsidP="00FB2713">
            <w:pPr>
              <w:jc w:val="center"/>
              <w:rPr>
                <w:rStyle w:val="IntenseReference"/>
              </w:rPr>
            </w:pPr>
            <w:r w:rsidRPr="002A6D6E">
              <w:rPr>
                <w:rStyle w:val="IntenseReference"/>
              </w:rPr>
              <w:t>62.7</w:t>
            </w:r>
          </w:p>
        </w:tc>
        <w:tc>
          <w:tcPr>
            <w:tcW w:w="1511" w:type="dxa"/>
          </w:tcPr>
          <w:p w14:paraId="5B09367F" w14:textId="77777777" w:rsidR="00430552" w:rsidRPr="002A6D6E" w:rsidRDefault="00430552" w:rsidP="00FB2713">
            <w:pPr>
              <w:jc w:val="center"/>
              <w:rPr>
                <w:rStyle w:val="IntenseReference"/>
              </w:rPr>
            </w:pPr>
            <w:r>
              <w:rPr>
                <w:rStyle w:val="IntenseReference"/>
              </w:rPr>
              <w:t>H</w:t>
            </w:r>
            <w:r w:rsidR="00881579">
              <w:rPr>
                <w:rStyle w:val="IntenseReference"/>
              </w:rPr>
              <w:t>igh</w:t>
            </w:r>
          </w:p>
        </w:tc>
      </w:tr>
      <w:tr w:rsidR="00430552" w:rsidRPr="00327E13" w14:paraId="16223A4D" w14:textId="77777777" w:rsidTr="001E472C">
        <w:trPr>
          <w:trHeight w:val="255"/>
          <w:tblHeader/>
        </w:trPr>
        <w:tc>
          <w:tcPr>
            <w:tcW w:w="1485" w:type="dxa"/>
            <w:noWrap/>
            <w:vAlign w:val="center"/>
          </w:tcPr>
          <w:p w14:paraId="425D6A75" w14:textId="77777777" w:rsidR="00430552" w:rsidRPr="00FB2713" w:rsidRDefault="00430552" w:rsidP="00FB2713">
            <w:pPr>
              <w:rPr>
                <w:rStyle w:val="IntenseReference"/>
                <w:i/>
              </w:rPr>
            </w:pPr>
            <w:r>
              <w:rPr>
                <w:rStyle w:val="IntenseReference"/>
                <w:i/>
              </w:rPr>
              <w:t>Pavona</w:t>
            </w:r>
          </w:p>
        </w:tc>
        <w:tc>
          <w:tcPr>
            <w:tcW w:w="1213" w:type="dxa"/>
            <w:noWrap/>
            <w:vAlign w:val="center"/>
          </w:tcPr>
          <w:p w14:paraId="14C9E94B" w14:textId="77777777" w:rsidR="00430552" w:rsidRPr="002A6D6E" w:rsidRDefault="00430552" w:rsidP="00FB2713">
            <w:pPr>
              <w:jc w:val="center"/>
              <w:rPr>
                <w:rStyle w:val="IntenseReference"/>
              </w:rPr>
            </w:pPr>
            <w:r>
              <w:rPr>
                <w:rStyle w:val="IntenseReference"/>
              </w:rPr>
              <w:t>0.13</w:t>
            </w:r>
          </w:p>
        </w:tc>
        <w:tc>
          <w:tcPr>
            <w:tcW w:w="1570" w:type="dxa"/>
            <w:noWrap/>
            <w:vAlign w:val="center"/>
          </w:tcPr>
          <w:p w14:paraId="21078D1B" w14:textId="77777777" w:rsidR="00430552" w:rsidRPr="002A6D6E" w:rsidRDefault="00430552" w:rsidP="00FB2713">
            <w:pPr>
              <w:jc w:val="center"/>
              <w:rPr>
                <w:rStyle w:val="IntenseReference"/>
              </w:rPr>
            </w:pPr>
            <w:r>
              <w:rPr>
                <w:rStyle w:val="IntenseReference"/>
              </w:rPr>
              <w:t>0.16</w:t>
            </w:r>
          </w:p>
        </w:tc>
        <w:tc>
          <w:tcPr>
            <w:tcW w:w="1887" w:type="dxa"/>
            <w:noWrap/>
            <w:vAlign w:val="center"/>
          </w:tcPr>
          <w:p w14:paraId="39BD1AC1" w14:textId="77777777" w:rsidR="00430552" w:rsidRPr="002A6D6E" w:rsidRDefault="00430552" w:rsidP="00FB2713">
            <w:pPr>
              <w:jc w:val="center"/>
              <w:rPr>
                <w:rStyle w:val="IntenseReference"/>
              </w:rPr>
            </w:pPr>
            <w:r>
              <w:rPr>
                <w:rStyle w:val="IntenseReference"/>
              </w:rPr>
              <w:t>-16.8</w:t>
            </w:r>
          </w:p>
        </w:tc>
        <w:tc>
          <w:tcPr>
            <w:tcW w:w="1511" w:type="dxa"/>
            <w:noWrap/>
            <w:vAlign w:val="center"/>
          </w:tcPr>
          <w:p w14:paraId="26B81EB4" w14:textId="77777777" w:rsidR="00430552" w:rsidRPr="002A6D6E" w:rsidRDefault="00430552" w:rsidP="00FB2713">
            <w:pPr>
              <w:jc w:val="center"/>
              <w:rPr>
                <w:rStyle w:val="IntenseReference"/>
              </w:rPr>
            </w:pPr>
            <w:r>
              <w:rPr>
                <w:rStyle w:val="IntenseReference"/>
              </w:rPr>
              <w:t>12.8</w:t>
            </w:r>
          </w:p>
        </w:tc>
        <w:tc>
          <w:tcPr>
            <w:tcW w:w="1511" w:type="dxa"/>
          </w:tcPr>
          <w:p w14:paraId="007EA8E6" w14:textId="77777777" w:rsidR="00430552" w:rsidRDefault="00430552" w:rsidP="00FB2713">
            <w:pPr>
              <w:jc w:val="center"/>
              <w:rPr>
                <w:rStyle w:val="IntenseReference"/>
              </w:rPr>
            </w:pPr>
            <w:r>
              <w:rPr>
                <w:rStyle w:val="IntenseReference"/>
              </w:rPr>
              <w:t>Mixed</w:t>
            </w:r>
          </w:p>
        </w:tc>
      </w:tr>
      <w:tr w:rsidR="00430552" w:rsidRPr="00327E13" w14:paraId="5B6F0D0E" w14:textId="77777777" w:rsidTr="001E472C">
        <w:trPr>
          <w:trHeight w:val="255"/>
          <w:tblHeader/>
        </w:trPr>
        <w:tc>
          <w:tcPr>
            <w:tcW w:w="1485" w:type="dxa"/>
            <w:noWrap/>
            <w:vAlign w:val="center"/>
            <w:hideMark/>
          </w:tcPr>
          <w:p w14:paraId="3A235F09" w14:textId="77777777" w:rsidR="00430552" w:rsidRPr="00FB2713" w:rsidRDefault="00430552" w:rsidP="00FB2713">
            <w:pPr>
              <w:rPr>
                <w:rStyle w:val="IntenseReference"/>
                <w:i/>
              </w:rPr>
            </w:pPr>
            <w:r w:rsidRPr="00FB2713">
              <w:rPr>
                <w:rStyle w:val="IntenseReference"/>
                <w:i/>
              </w:rPr>
              <w:t>Platygyra</w:t>
            </w:r>
          </w:p>
        </w:tc>
        <w:tc>
          <w:tcPr>
            <w:tcW w:w="1213" w:type="dxa"/>
            <w:noWrap/>
            <w:vAlign w:val="center"/>
            <w:hideMark/>
          </w:tcPr>
          <w:p w14:paraId="7A01B10C" w14:textId="77777777" w:rsidR="00430552" w:rsidRPr="002A6D6E" w:rsidRDefault="00430552" w:rsidP="00FB2713">
            <w:pPr>
              <w:jc w:val="center"/>
              <w:rPr>
                <w:rStyle w:val="IntenseReference"/>
              </w:rPr>
            </w:pPr>
            <w:r w:rsidRPr="002A6D6E">
              <w:rPr>
                <w:rStyle w:val="IntenseReference"/>
              </w:rPr>
              <w:t>0.25</w:t>
            </w:r>
          </w:p>
        </w:tc>
        <w:tc>
          <w:tcPr>
            <w:tcW w:w="1570" w:type="dxa"/>
            <w:noWrap/>
            <w:vAlign w:val="center"/>
            <w:hideMark/>
          </w:tcPr>
          <w:p w14:paraId="2DF21A8A" w14:textId="77777777" w:rsidR="00430552" w:rsidRPr="002A6D6E" w:rsidRDefault="00430552" w:rsidP="00FB2713">
            <w:pPr>
              <w:jc w:val="center"/>
              <w:rPr>
                <w:rStyle w:val="IntenseReference"/>
              </w:rPr>
            </w:pPr>
            <w:r w:rsidRPr="002A6D6E">
              <w:rPr>
                <w:rStyle w:val="IntenseReference"/>
              </w:rPr>
              <w:t>0.27</w:t>
            </w:r>
          </w:p>
        </w:tc>
        <w:tc>
          <w:tcPr>
            <w:tcW w:w="1887" w:type="dxa"/>
            <w:noWrap/>
            <w:vAlign w:val="center"/>
            <w:hideMark/>
          </w:tcPr>
          <w:p w14:paraId="3BF0D94E" w14:textId="77777777" w:rsidR="00430552" w:rsidRPr="002A6D6E" w:rsidRDefault="00430552" w:rsidP="00FB2713">
            <w:pPr>
              <w:jc w:val="center"/>
              <w:rPr>
                <w:rStyle w:val="IntenseReference"/>
              </w:rPr>
            </w:pPr>
            <w:r w:rsidRPr="002A6D6E">
              <w:rPr>
                <w:rStyle w:val="IntenseReference"/>
              </w:rPr>
              <w:t>-6.8</w:t>
            </w:r>
          </w:p>
        </w:tc>
        <w:tc>
          <w:tcPr>
            <w:tcW w:w="1511" w:type="dxa"/>
            <w:noWrap/>
            <w:vAlign w:val="center"/>
            <w:hideMark/>
          </w:tcPr>
          <w:p w14:paraId="21CD4F84" w14:textId="77777777" w:rsidR="00430552" w:rsidRPr="002A6D6E" w:rsidRDefault="00430552" w:rsidP="00FB2713">
            <w:pPr>
              <w:jc w:val="center"/>
              <w:rPr>
                <w:rStyle w:val="IntenseReference"/>
              </w:rPr>
            </w:pPr>
            <w:r w:rsidRPr="002A6D6E">
              <w:rPr>
                <w:rStyle w:val="IntenseReference"/>
              </w:rPr>
              <w:t>21.7</w:t>
            </w:r>
          </w:p>
        </w:tc>
        <w:tc>
          <w:tcPr>
            <w:tcW w:w="1511" w:type="dxa"/>
          </w:tcPr>
          <w:p w14:paraId="5C704E0C" w14:textId="77777777" w:rsidR="00430552" w:rsidRPr="002A6D6E" w:rsidRDefault="00430552" w:rsidP="00FB2713">
            <w:pPr>
              <w:jc w:val="center"/>
              <w:rPr>
                <w:rStyle w:val="IntenseReference"/>
              </w:rPr>
            </w:pPr>
            <w:r>
              <w:rPr>
                <w:rStyle w:val="IntenseReference"/>
              </w:rPr>
              <w:t>M</w:t>
            </w:r>
            <w:r w:rsidR="00881579">
              <w:rPr>
                <w:rStyle w:val="IntenseReference"/>
              </w:rPr>
              <w:t>oderate</w:t>
            </w:r>
          </w:p>
        </w:tc>
      </w:tr>
      <w:tr w:rsidR="00430552" w:rsidRPr="00327E13" w14:paraId="57259649" w14:textId="77777777" w:rsidTr="001E472C">
        <w:trPr>
          <w:trHeight w:val="255"/>
          <w:tblHeader/>
        </w:trPr>
        <w:tc>
          <w:tcPr>
            <w:tcW w:w="1485" w:type="dxa"/>
            <w:noWrap/>
            <w:vAlign w:val="center"/>
            <w:hideMark/>
          </w:tcPr>
          <w:p w14:paraId="4E54C51A" w14:textId="77777777" w:rsidR="00430552" w:rsidRPr="00FB2713" w:rsidRDefault="00430552" w:rsidP="00FB2713">
            <w:pPr>
              <w:rPr>
                <w:rStyle w:val="IntenseReference"/>
                <w:i/>
              </w:rPr>
            </w:pPr>
            <w:r w:rsidRPr="00FB2713">
              <w:rPr>
                <w:rStyle w:val="IntenseReference"/>
                <w:i/>
              </w:rPr>
              <w:t>Pocillopora</w:t>
            </w:r>
          </w:p>
        </w:tc>
        <w:tc>
          <w:tcPr>
            <w:tcW w:w="1213" w:type="dxa"/>
            <w:noWrap/>
            <w:vAlign w:val="center"/>
            <w:hideMark/>
          </w:tcPr>
          <w:p w14:paraId="251A4951" w14:textId="77777777" w:rsidR="00430552" w:rsidRPr="002A6D6E" w:rsidRDefault="00430552" w:rsidP="00FB2713">
            <w:pPr>
              <w:jc w:val="center"/>
              <w:rPr>
                <w:rStyle w:val="IntenseReference"/>
              </w:rPr>
            </w:pPr>
            <w:r w:rsidRPr="002A6D6E">
              <w:rPr>
                <w:rStyle w:val="IntenseReference"/>
              </w:rPr>
              <w:t>0.55</w:t>
            </w:r>
          </w:p>
        </w:tc>
        <w:tc>
          <w:tcPr>
            <w:tcW w:w="1570" w:type="dxa"/>
            <w:noWrap/>
            <w:vAlign w:val="center"/>
            <w:hideMark/>
          </w:tcPr>
          <w:p w14:paraId="7C7B7E37" w14:textId="77777777" w:rsidR="00430552" w:rsidRPr="002A6D6E" w:rsidRDefault="00430552" w:rsidP="00FB2713">
            <w:pPr>
              <w:jc w:val="center"/>
              <w:rPr>
                <w:rStyle w:val="IntenseReference"/>
              </w:rPr>
            </w:pPr>
            <w:r w:rsidRPr="002A6D6E">
              <w:rPr>
                <w:rStyle w:val="IntenseReference"/>
              </w:rPr>
              <w:t>0.59</w:t>
            </w:r>
          </w:p>
        </w:tc>
        <w:tc>
          <w:tcPr>
            <w:tcW w:w="1887" w:type="dxa"/>
            <w:noWrap/>
            <w:vAlign w:val="center"/>
            <w:hideMark/>
          </w:tcPr>
          <w:p w14:paraId="28A6035C" w14:textId="77777777" w:rsidR="00430552" w:rsidRPr="002A6D6E" w:rsidRDefault="00430552" w:rsidP="00FB2713">
            <w:pPr>
              <w:jc w:val="center"/>
              <w:rPr>
                <w:rStyle w:val="IntenseReference"/>
              </w:rPr>
            </w:pPr>
            <w:r w:rsidRPr="002A6D6E">
              <w:rPr>
                <w:rStyle w:val="IntenseReference"/>
              </w:rPr>
              <w:t>-6.8</w:t>
            </w:r>
          </w:p>
        </w:tc>
        <w:tc>
          <w:tcPr>
            <w:tcW w:w="1511" w:type="dxa"/>
            <w:noWrap/>
            <w:vAlign w:val="center"/>
            <w:hideMark/>
          </w:tcPr>
          <w:p w14:paraId="03DBB22C" w14:textId="77777777" w:rsidR="00430552" w:rsidRPr="002A6D6E" w:rsidRDefault="00430552" w:rsidP="00FB2713">
            <w:pPr>
              <w:jc w:val="center"/>
              <w:rPr>
                <w:rStyle w:val="IntenseReference"/>
              </w:rPr>
            </w:pPr>
            <w:r>
              <w:rPr>
                <w:rStyle w:val="IntenseReference"/>
              </w:rPr>
              <w:t>37.</w:t>
            </w:r>
            <w:r w:rsidRPr="002A6D6E">
              <w:rPr>
                <w:rStyle w:val="IntenseReference"/>
              </w:rPr>
              <w:t>6</w:t>
            </w:r>
          </w:p>
        </w:tc>
        <w:tc>
          <w:tcPr>
            <w:tcW w:w="1511" w:type="dxa"/>
          </w:tcPr>
          <w:p w14:paraId="1E4EFBFB" w14:textId="77777777" w:rsidR="00430552" w:rsidRDefault="00430552" w:rsidP="00FB2713">
            <w:pPr>
              <w:jc w:val="center"/>
              <w:rPr>
                <w:rStyle w:val="IntenseReference"/>
              </w:rPr>
            </w:pPr>
            <w:r>
              <w:rPr>
                <w:rStyle w:val="IntenseReference"/>
              </w:rPr>
              <w:t>S</w:t>
            </w:r>
            <w:r w:rsidR="00881579">
              <w:rPr>
                <w:rStyle w:val="IntenseReference"/>
              </w:rPr>
              <w:t>evere</w:t>
            </w:r>
          </w:p>
        </w:tc>
      </w:tr>
      <w:tr w:rsidR="00430552" w:rsidRPr="00327E13" w14:paraId="0466CC0D" w14:textId="77777777" w:rsidTr="001E472C">
        <w:trPr>
          <w:trHeight w:val="255"/>
          <w:tblHeader/>
        </w:trPr>
        <w:tc>
          <w:tcPr>
            <w:tcW w:w="1485" w:type="dxa"/>
            <w:noWrap/>
            <w:vAlign w:val="center"/>
            <w:hideMark/>
          </w:tcPr>
          <w:p w14:paraId="58036102" w14:textId="77777777" w:rsidR="00430552" w:rsidRPr="00FB2713" w:rsidRDefault="00430552" w:rsidP="00FB2713">
            <w:pPr>
              <w:rPr>
                <w:rStyle w:val="IntenseReference"/>
                <w:i/>
              </w:rPr>
            </w:pPr>
            <w:r w:rsidRPr="00FB2713">
              <w:rPr>
                <w:rStyle w:val="IntenseReference"/>
                <w:i/>
              </w:rPr>
              <w:t>Goniopora</w:t>
            </w:r>
          </w:p>
        </w:tc>
        <w:tc>
          <w:tcPr>
            <w:tcW w:w="1213" w:type="dxa"/>
            <w:noWrap/>
            <w:vAlign w:val="center"/>
            <w:hideMark/>
          </w:tcPr>
          <w:p w14:paraId="14AD788C" w14:textId="77777777" w:rsidR="00430552" w:rsidRPr="002A6D6E" w:rsidRDefault="00430552" w:rsidP="00FB2713">
            <w:pPr>
              <w:jc w:val="center"/>
              <w:rPr>
                <w:rStyle w:val="IntenseReference"/>
              </w:rPr>
            </w:pPr>
            <w:r w:rsidRPr="002A6D6E">
              <w:rPr>
                <w:rStyle w:val="IntenseReference"/>
              </w:rPr>
              <w:t>0.88</w:t>
            </w:r>
          </w:p>
        </w:tc>
        <w:tc>
          <w:tcPr>
            <w:tcW w:w="1570" w:type="dxa"/>
            <w:noWrap/>
            <w:vAlign w:val="center"/>
            <w:hideMark/>
          </w:tcPr>
          <w:p w14:paraId="5DF65F23" w14:textId="77777777" w:rsidR="00430552" w:rsidRPr="002A6D6E" w:rsidRDefault="00430552" w:rsidP="00FB2713">
            <w:pPr>
              <w:jc w:val="center"/>
              <w:rPr>
                <w:rStyle w:val="IntenseReference"/>
              </w:rPr>
            </w:pPr>
            <w:r w:rsidRPr="002A6D6E">
              <w:rPr>
                <w:rStyle w:val="IntenseReference"/>
              </w:rPr>
              <w:t>0.93</w:t>
            </w:r>
          </w:p>
        </w:tc>
        <w:tc>
          <w:tcPr>
            <w:tcW w:w="1887" w:type="dxa"/>
            <w:noWrap/>
            <w:vAlign w:val="center"/>
            <w:hideMark/>
          </w:tcPr>
          <w:p w14:paraId="4FAC981B" w14:textId="77777777" w:rsidR="00430552" w:rsidRPr="002A6D6E" w:rsidRDefault="00430552" w:rsidP="00FB2713">
            <w:pPr>
              <w:jc w:val="center"/>
              <w:rPr>
                <w:rStyle w:val="IntenseReference"/>
              </w:rPr>
            </w:pPr>
            <w:r w:rsidRPr="002A6D6E">
              <w:rPr>
                <w:rStyle w:val="IntenseReference"/>
              </w:rPr>
              <w:t>-5.3</w:t>
            </w:r>
          </w:p>
        </w:tc>
        <w:tc>
          <w:tcPr>
            <w:tcW w:w="1511" w:type="dxa"/>
            <w:noWrap/>
            <w:vAlign w:val="center"/>
            <w:hideMark/>
          </w:tcPr>
          <w:p w14:paraId="2B542E35" w14:textId="77777777" w:rsidR="00430552" w:rsidRPr="002A6D6E" w:rsidRDefault="00430552" w:rsidP="00FB2713">
            <w:pPr>
              <w:jc w:val="center"/>
              <w:rPr>
                <w:rStyle w:val="IntenseReference"/>
              </w:rPr>
            </w:pPr>
            <w:r w:rsidRPr="002A6D6E">
              <w:rPr>
                <w:rStyle w:val="IntenseReference"/>
              </w:rPr>
              <w:t>0.71</w:t>
            </w:r>
          </w:p>
        </w:tc>
        <w:tc>
          <w:tcPr>
            <w:tcW w:w="1511" w:type="dxa"/>
          </w:tcPr>
          <w:p w14:paraId="577D7E65" w14:textId="77777777" w:rsidR="00430552" w:rsidRPr="002A6D6E" w:rsidRDefault="00430552" w:rsidP="00FB2713">
            <w:pPr>
              <w:jc w:val="center"/>
              <w:rPr>
                <w:rStyle w:val="IntenseReference"/>
              </w:rPr>
            </w:pPr>
            <w:r>
              <w:rPr>
                <w:rStyle w:val="IntenseReference"/>
              </w:rPr>
              <w:t>L</w:t>
            </w:r>
            <w:r w:rsidR="00881579">
              <w:rPr>
                <w:rStyle w:val="IntenseReference"/>
              </w:rPr>
              <w:t>ow</w:t>
            </w:r>
          </w:p>
        </w:tc>
      </w:tr>
      <w:tr w:rsidR="00430552" w:rsidRPr="00327E13" w14:paraId="352CE3CC" w14:textId="77777777" w:rsidTr="001E472C">
        <w:trPr>
          <w:trHeight w:val="255"/>
          <w:tblHeader/>
        </w:trPr>
        <w:tc>
          <w:tcPr>
            <w:tcW w:w="1485" w:type="dxa"/>
            <w:noWrap/>
            <w:vAlign w:val="center"/>
            <w:hideMark/>
          </w:tcPr>
          <w:p w14:paraId="76AEBCA7" w14:textId="77777777" w:rsidR="00430552" w:rsidRPr="00FB2713" w:rsidRDefault="00430552" w:rsidP="00FB2713">
            <w:pPr>
              <w:rPr>
                <w:rStyle w:val="IntenseReference"/>
                <w:i/>
              </w:rPr>
            </w:pPr>
            <w:r w:rsidRPr="00FB2713">
              <w:rPr>
                <w:rStyle w:val="IntenseReference"/>
                <w:i/>
              </w:rPr>
              <w:t>Porites</w:t>
            </w:r>
          </w:p>
        </w:tc>
        <w:tc>
          <w:tcPr>
            <w:tcW w:w="1213" w:type="dxa"/>
            <w:noWrap/>
            <w:vAlign w:val="center"/>
            <w:hideMark/>
          </w:tcPr>
          <w:p w14:paraId="288839C5" w14:textId="77777777" w:rsidR="00430552" w:rsidRPr="002A6D6E" w:rsidRDefault="00430552" w:rsidP="00FB2713">
            <w:pPr>
              <w:jc w:val="center"/>
              <w:rPr>
                <w:rStyle w:val="IntenseReference"/>
              </w:rPr>
            </w:pPr>
            <w:r w:rsidRPr="002A6D6E">
              <w:rPr>
                <w:rStyle w:val="IntenseReference"/>
              </w:rPr>
              <w:t>8.78</w:t>
            </w:r>
          </w:p>
        </w:tc>
        <w:tc>
          <w:tcPr>
            <w:tcW w:w="1570" w:type="dxa"/>
            <w:noWrap/>
            <w:vAlign w:val="center"/>
            <w:hideMark/>
          </w:tcPr>
          <w:p w14:paraId="0D1D1203" w14:textId="77777777" w:rsidR="00430552" w:rsidRPr="002A6D6E" w:rsidRDefault="00430552" w:rsidP="00FB2713">
            <w:pPr>
              <w:jc w:val="center"/>
              <w:rPr>
                <w:rStyle w:val="IntenseReference"/>
              </w:rPr>
            </w:pPr>
            <w:r w:rsidRPr="002A6D6E">
              <w:rPr>
                <w:rStyle w:val="IntenseReference"/>
              </w:rPr>
              <w:t>9.05</w:t>
            </w:r>
          </w:p>
        </w:tc>
        <w:tc>
          <w:tcPr>
            <w:tcW w:w="1887" w:type="dxa"/>
            <w:noWrap/>
            <w:vAlign w:val="center"/>
            <w:hideMark/>
          </w:tcPr>
          <w:p w14:paraId="2F48AF98" w14:textId="77777777" w:rsidR="00430552" w:rsidRPr="002A6D6E" w:rsidRDefault="00430552" w:rsidP="00FB2713">
            <w:pPr>
              <w:jc w:val="center"/>
              <w:rPr>
                <w:rStyle w:val="IntenseReference"/>
              </w:rPr>
            </w:pPr>
            <w:r>
              <w:rPr>
                <w:rStyle w:val="IntenseReference"/>
              </w:rPr>
              <w:t>-3.0</w:t>
            </w:r>
          </w:p>
        </w:tc>
        <w:tc>
          <w:tcPr>
            <w:tcW w:w="1511" w:type="dxa"/>
            <w:noWrap/>
            <w:vAlign w:val="center"/>
            <w:hideMark/>
          </w:tcPr>
          <w:p w14:paraId="12851E08" w14:textId="77777777" w:rsidR="00430552" w:rsidRPr="002A6D6E" w:rsidRDefault="00430552" w:rsidP="00FB2713">
            <w:pPr>
              <w:jc w:val="center"/>
              <w:rPr>
                <w:rStyle w:val="IntenseReference"/>
              </w:rPr>
            </w:pPr>
            <w:r>
              <w:rPr>
                <w:rStyle w:val="IntenseReference"/>
              </w:rPr>
              <w:t>2.1</w:t>
            </w:r>
          </w:p>
        </w:tc>
        <w:tc>
          <w:tcPr>
            <w:tcW w:w="1511" w:type="dxa"/>
          </w:tcPr>
          <w:p w14:paraId="17DDDB25" w14:textId="77777777" w:rsidR="00430552" w:rsidRDefault="00430552" w:rsidP="00FB2713">
            <w:pPr>
              <w:jc w:val="center"/>
              <w:rPr>
                <w:rStyle w:val="IntenseReference"/>
              </w:rPr>
            </w:pPr>
            <w:r>
              <w:rPr>
                <w:rStyle w:val="IntenseReference"/>
              </w:rPr>
              <w:t>M</w:t>
            </w:r>
            <w:r w:rsidR="00881579">
              <w:rPr>
                <w:rStyle w:val="IntenseReference"/>
              </w:rPr>
              <w:t>oderate</w:t>
            </w:r>
          </w:p>
        </w:tc>
      </w:tr>
      <w:tr w:rsidR="00430552" w:rsidRPr="00327E13" w14:paraId="4089D43B" w14:textId="77777777" w:rsidTr="001E472C">
        <w:trPr>
          <w:trHeight w:val="255"/>
          <w:tblHeader/>
        </w:trPr>
        <w:tc>
          <w:tcPr>
            <w:tcW w:w="1485" w:type="dxa"/>
            <w:noWrap/>
            <w:vAlign w:val="center"/>
            <w:hideMark/>
          </w:tcPr>
          <w:p w14:paraId="162BDC48" w14:textId="77777777" w:rsidR="00430552" w:rsidRPr="00FB2713" w:rsidRDefault="00430552" w:rsidP="00FB2713">
            <w:pPr>
              <w:rPr>
                <w:rStyle w:val="IntenseReference"/>
                <w:i/>
              </w:rPr>
            </w:pPr>
            <w:r w:rsidRPr="00FB2713">
              <w:rPr>
                <w:rStyle w:val="IntenseReference"/>
                <w:i/>
              </w:rPr>
              <w:t>Montipora</w:t>
            </w:r>
          </w:p>
        </w:tc>
        <w:tc>
          <w:tcPr>
            <w:tcW w:w="1213" w:type="dxa"/>
            <w:noWrap/>
            <w:vAlign w:val="center"/>
            <w:hideMark/>
          </w:tcPr>
          <w:p w14:paraId="2BAE8176" w14:textId="77777777" w:rsidR="00430552" w:rsidRPr="002A6D6E" w:rsidRDefault="00430552" w:rsidP="00FB2713">
            <w:pPr>
              <w:jc w:val="center"/>
              <w:rPr>
                <w:rStyle w:val="IntenseReference"/>
              </w:rPr>
            </w:pPr>
            <w:r w:rsidRPr="002A6D6E">
              <w:rPr>
                <w:rStyle w:val="IntenseReference"/>
              </w:rPr>
              <w:t>3.38</w:t>
            </w:r>
          </w:p>
        </w:tc>
        <w:tc>
          <w:tcPr>
            <w:tcW w:w="1570" w:type="dxa"/>
            <w:noWrap/>
            <w:vAlign w:val="center"/>
            <w:hideMark/>
          </w:tcPr>
          <w:p w14:paraId="60A95465" w14:textId="77777777" w:rsidR="00430552" w:rsidRPr="002A6D6E" w:rsidRDefault="00430552" w:rsidP="00FB2713">
            <w:pPr>
              <w:jc w:val="center"/>
              <w:rPr>
                <w:rStyle w:val="IntenseReference"/>
              </w:rPr>
            </w:pPr>
            <w:r w:rsidRPr="002A6D6E">
              <w:rPr>
                <w:rStyle w:val="IntenseReference"/>
              </w:rPr>
              <w:t>3.46</w:t>
            </w:r>
          </w:p>
        </w:tc>
        <w:tc>
          <w:tcPr>
            <w:tcW w:w="1887" w:type="dxa"/>
            <w:noWrap/>
            <w:vAlign w:val="center"/>
            <w:hideMark/>
          </w:tcPr>
          <w:p w14:paraId="5B17A04C" w14:textId="77777777" w:rsidR="00430552" w:rsidRPr="002A6D6E" w:rsidRDefault="00430552" w:rsidP="00FB2713">
            <w:pPr>
              <w:jc w:val="center"/>
              <w:rPr>
                <w:rStyle w:val="IntenseReference"/>
              </w:rPr>
            </w:pPr>
            <w:r>
              <w:rPr>
                <w:rStyle w:val="IntenseReference"/>
              </w:rPr>
              <w:t>-2.5</w:t>
            </w:r>
          </w:p>
        </w:tc>
        <w:tc>
          <w:tcPr>
            <w:tcW w:w="1511" w:type="dxa"/>
            <w:noWrap/>
            <w:vAlign w:val="center"/>
            <w:hideMark/>
          </w:tcPr>
          <w:p w14:paraId="346D7C3F" w14:textId="77777777" w:rsidR="00430552" w:rsidRPr="002A6D6E" w:rsidRDefault="00430552" w:rsidP="009F780C">
            <w:pPr>
              <w:jc w:val="center"/>
              <w:rPr>
                <w:rStyle w:val="IntenseReference"/>
              </w:rPr>
            </w:pPr>
            <w:r w:rsidRPr="002A6D6E">
              <w:rPr>
                <w:rStyle w:val="IntenseReference"/>
              </w:rPr>
              <w:t>11.4</w:t>
            </w:r>
          </w:p>
        </w:tc>
        <w:tc>
          <w:tcPr>
            <w:tcW w:w="1511" w:type="dxa"/>
          </w:tcPr>
          <w:p w14:paraId="6744414B" w14:textId="77777777" w:rsidR="00430552" w:rsidRPr="002A6D6E" w:rsidRDefault="00430552" w:rsidP="009F780C">
            <w:pPr>
              <w:jc w:val="center"/>
              <w:rPr>
                <w:rStyle w:val="IntenseReference"/>
              </w:rPr>
            </w:pPr>
            <w:r>
              <w:rPr>
                <w:rStyle w:val="IntenseReference"/>
              </w:rPr>
              <w:t>H</w:t>
            </w:r>
            <w:r w:rsidR="00881579">
              <w:rPr>
                <w:rStyle w:val="IntenseReference"/>
              </w:rPr>
              <w:t>igh</w:t>
            </w:r>
          </w:p>
        </w:tc>
      </w:tr>
      <w:tr w:rsidR="00430552" w:rsidRPr="00327E13" w14:paraId="729D7336" w14:textId="77777777" w:rsidTr="001E472C">
        <w:trPr>
          <w:trHeight w:val="255"/>
          <w:tblHeader/>
        </w:trPr>
        <w:tc>
          <w:tcPr>
            <w:tcW w:w="1485" w:type="dxa"/>
            <w:noWrap/>
            <w:vAlign w:val="center"/>
          </w:tcPr>
          <w:p w14:paraId="029FAA30" w14:textId="77777777" w:rsidR="00430552" w:rsidRDefault="00430552" w:rsidP="00FB2713">
            <w:pPr>
              <w:rPr>
                <w:rStyle w:val="IntenseReference"/>
                <w:i/>
              </w:rPr>
            </w:pPr>
            <w:r>
              <w:rPr>
                <w:rStyle w:val="IntenseReference"/>
                <w:i/>
              </w:rPr>
              <w:t>Caulastrea</w:t>
            </w:r>
          </w:p>
        </w:tc>
        <w:tc>
          <w:tcPr>
            <w:tcW w:w="1213" w:type="dxa"/>
            <w:noWrap/>
            <w:vAlign w:val="center"/>
          </w:tcPr>
          <w:p w14:paraId="4250A33E" w14:textId="77777777" w:rsidR="00430552" w:rsidRDefault="00430552" w:rsidP="00FB2713">
            <w:pPr>
              <w:jc w:val="center"/>
              <w:rPr>
                <w:rStyle w:val="IntenseReference"/>
              </w:rPr>
            </w:pPr>
            <w:r>
              <w:rPr>
                <w:rStyle w:val="IntenseReference"/>
              </w:rPr>
              <w:t>0.12</w:t>
            </w:r>
          </w:p>
        </w:tc>
        <w:tc>
          <w:tcPr>
            <w:tcW w:w="1570" w:type="dxa"/>
            <w:noWrap/>
            <w:vAlign w:val="center"/>
          </w:tcPr>
          <w:p w14:paraId="2A935705" w14:textId="77777777" w:rsidR="00430552" w:rsidRDefault="00430552" w:rsidP="00FB2713">
            <w:pPr>
              <w:jc w:val="center"/>
              <w:rPr>
                <w:rStyle w:val="IntenseReference"/>
              </w:rPr>
            </w:pPr>
            <w:r>
              <w:rPr>
                <w:rStyle w:val="IntenseReference"/>
              </w:rPr>
              <w:t>0.12</w:t>
            </w:r>
          </w:p>
        </w:tc>
        <w:tc>
          <w:tcPr>
            <w:tcW w:w="1887" w:type="dxa"/>
            <w:noWrap/>
            <w:vAlign w:val="center"/>
          </w:tcPr>
          <w:p w14:paraId="717E2EF5" w14:textId="77777777" w:rsidR="00430552" w:rsidRDefault="00430552" w:rsidP="00FB2713">
            <w:pPr>
              <w:jc w:val="center"/>
              <w:rPr>
                <w:rStyle w:val="IntenseReference"/>
              </w:rPr>
            </w:pPr>
            <w:r>
              <w:rPr>
                <w:rStyle w:val="IntenseReference"/>
              </w:rPr>
              <w:t>-2.2</w:t>
            </w:r>
          </w:p>
        </w:tc>
        <w:tc>
          <w:tcPr>
            <w:tcW w:w="1511" w:type="dxa"/>
            <w:noWrap/>
            <w:vAlign w:val="center"/>
          </w:tcPr>
          <w:p w14:paraId="10DC6C89" w14:textId="77777777" w:rsidR="00430552" w:rsidRDefault="00430552" w:rsidP="00FB2713">
            <w:pPr>
              <w:jc w:val="center"/>
              <w:rPr>
                <w:rStyle w:val="IntenseReference"/>
              </w:rPr>
            </w:pPr>
            <w:r>
              <w:rPr>
                <w:rStyle w:val="IntenseReference"/>
              </w:rPr>
              <w:t>3.6</w:t>
            </w:r>
          </w:p>
        </w:tc>
        <w:tc>
          <w:tcPr>
            <w:tcW w:w="1511" w:type="dxa"/>
          </w:tcPr>
          <w:p w14:paraId="733C7D3D" w14:textId="77777777" w:rsidR="00430552" w:rsidRDefault="00430552" w:rsidP="00FB2713">
            <w:pPr>
              <w:jc w:val="center"/>
              <w:rPr>
                <w:rStyle w:val="IntenseReference"/>
              </w:rPr>
            </w:pPr>
            <w:r>
              <w:rPr>
                <w:rStyle w:val="IntenseReference"/>
              </w:rPr>
              <w:t>n/a</w:t>
            </w:r>
          </w:p>
        </w:tc>
      </w:tr>
      <w:tr w:rsidR="00430552" w:rsidRPr="00327E13" w14:paraId="5D2D7E16" w14:textId="77777777" w:rsidTr="001E472C">
        <w:trPr>
          <w:trHeight w:val="255"/>
          <w:tblHeader/>
        </w:trPr>
        <w:tc>
          <w:tcPr>
            <w:tcW w:w="1485" w:type="dxa"/>
            <w:noWrap/>
            <w:vAlign w:val="center"/>
          </w:tcPr>
          <w:p w14:paraId="1D59C7BE" w14:textId="77777777" w:rsidR="00430552" w:rsidRPr="00FB2713" w:rsidRDefault="00430552" w:rsidP="00FB2713">
            <w:pPr>
              <w:rPr>
                <w:rStyle w:val="IntenseReference"/>
                <w:i/>
              </w:rPr>
            </w:pPr>
            <w:r>
              <w:rPr>
                <w:rStyle w:val="IntenseReference"/>
                <w:i/>
              </w:rPr>
              <w:t>Diploastrea</w:t>
            </w:r>
          </w:p>
        </w:tc>
        <w:tc>
          <w:tcPr>
            <w:tcW w:w="1213" w:type="dxa"/>
            <w:noWrap/>
            <w:vAlign w:val="center"/>
          </w:tcPr>
          <w:p w14:paraId="185097DF" w14:textId="77777777" w:rsidR="00430552" w:rsidRPr="002A6D6E" w:rsidRDefault="00430552" w:rsidP="00FB2713">
            <w:pPr>
              <w:jc w:val="center"/>
              <w:rPr>
                <w:rStyle w:val="IntenseReference"/>
              </w:rPr>
            </w:pPr>
            <w:r>
              <w:rPr>
                <w:rStyle w:val="IntenseReference"/>
              </w:rPr>
              <w:t>0.17</w:t>
            </w:r>
          </w:p>
        </w:tc>
        <w:tc>
          <w:tcPr>
            <w:tcW w:w="1570" w:type="dxa"/>
            <w:noWrap/>
            <w:vAlign w:val="center"/>
          </w:tcPr>
          <w:p w14:paraId="66DF034D" w14:textId="77777777" w:rsidR="00430552" w:rsidRPr="002A6D6E" w:rsidRDefault="00430552" w:rsidP="00FB2713">
            <w:pPr>
              <w:jc w:val="center"/>
              <w:rPr>
                <w:rStyle w:val="IntenseReference"/>
              </w:rPr>
            </w:pPr>
            <w:r>
              <w:rPr>
                <w:rStyle w:val="IntenseReference"/>
              </w:rPr>
              <w:t>0.16</w:t>
            </w:r>
          </w:p>
        </w:tc>
        <w:tc>
          <w:tcPr>
            <w:tcW w:w="1887" w:type="dxa"/>
            <w:noWrap/>
            <w:vAlign w:val="center"/>
          </w:tcPr>
          <w:p w14:paraId="148E9125" w14:textId="77777777" w:rsidR="00430552" w:rsidRPr="002A6D6E" w:rsidRDefault="00430552" w:rsidP="00FB2713">
            <w:pPr>
              <w:jc w:val="center"/>
              <w:rPr>
                <w:rStyle w:val="IntenseReference"/>
              </w:rPr>
            </w:pPr>
            <w:r>
              <w:rPr>
                <w:rStyle w:val="IntenseReference"/>
              </w:rPr>
              <w:t>1.3</w:t>
            </w:r>
          </w:p>
        </w:tc>
        <w:tc>
          <w:tcPr>
            <w:tcW w:w="1511" w:type="dxa"/>
            <w:noWrap/>
            <w:vAlign w:val="center"/>
          </w:tcPr>
          <w:p w14:paraId="3C62E8B2" w14:textId="77777777" w:rsidR="00430552" w:rsidRPr="002A6D6E" w:rsidRDefault="00430552" w:rsidP="00FB2713">
            <w:pPr>
              <w:jc w:val="center"/>
              <w:rPr>
                <w:rStyle w:val="IntenseReference"/>
              </w:rPr>
            </w:pPr>
            <w:r>
              <w:rPr>
                <w:rStyle w:val="IntenseReference"/>
              </w:rPr>
              <w:t>0</w:t>
            </w:r>
          </w:p>
        </w:tc>
        <w:tc>
          <w:tcPr>
            <w:tcW w:w="1511" w:type="dxa"/>
          </w:tcPr>
          <w:p w14:paraId="3985CD9B" w14:textId="77777777" w:rsidR="00430552" w:rsidRDefault="00430552" w:rsidP="00FB2713">
            <w:pPr>
              <w:jc w:val="center"/>
              <w:rPr>
                <w:rStyle w:val="IntenseReference"/>
              </w:rPr>
            </w:pPr>
            <w:r>
              <w:rPr>
                <w:rStyle w:val="IntenseReference"/>
              </w:rPr>
              <w:t>n/a</w:t>
            </w:r>
          </w:p>
        </w:tc>
      </w:tr>
      <w:tr w:rsidR="00430552" w:rsidRPr="00327E13" w14:paraId="46ECB5FB" w14:textId="77777777" w:rsidTr="001E472C">
        <w:trPr>
          <w:trHeight w:val="255"/>
          <w:tblHeader/>
        </w:trPr>
        <w:tc>
          <w:tcPr>
            <w:tcW w:w="1485" w:type="dxa"/>
            <w:noWrap/>
            <w:vAlign w:val="center"/>
            <w:hideMark/>
          </w:tcPr>
          <w:p w14:paraId="354AF679" w14:textId="77777777" w:rsidR="00430552" w:rsidRPr="00FB2713" w:rsidRDefault="00430552" w:rsidP="00FB2713">
            <w:pPr>
              <w:rPr>
                <w:rStyle w:val="IntenseReference"/>
                <w:i/>
              </w:rPr>
            </w:pPr>
            <w:r w:rsidRPr="00FB2713">
              <w:rPr>
                <w:rStyle w:val="IntenseReference"/>
                <w:i/>
              </w:rPr>
              <w:t>Echinopora</w:t>
            </w:r>
          </w:p>
        </w:tc>
        <w:tc>
          <w:tcPr>
            <w:tcW w:w="1213" w:type="dxa"/>
            <w:noWrap/>
            <w:vAlign w:val="center"/>
            <w:hideMark/>
          </w:tcPr>
          <w:p w14:paraId="17DE49B0" w14:textId="77777777" w:rsidR="00430552" w:rsidRPr="002A6D6E" w:rsidRDefault="00430552" w:rsidP="00FB2713">
            <w:pPr>
              <w:jc w:val="center"/>
              <w:rPr>
                <w:rStyle w:val="IntenseReference"/>
              </w:rPr>
            </w:pPr>
            <w:r w:rsidRPr="002A6D6E">
              <w:rPr>
                <w:rStyle w:val="IntenseReference"/>
              </w:rPr>
              <w:t>0.38</w:t>
            </w:r>
          </w:p>
        </w:tc>
        <w:tc>
          <w:tcPr>
            <w:tcW w:w="1570" w:type="dxa"/>
            <w:noWrap/>
            <w:vAlign w:val="center"/>
            <w:hideMark/>
          </w:tcPr>
          <w:p w14:paraId="45BDB496" w14:textId="77777777" w:rsidR="00430552" w:rsidRPr="002A6D6E" w:rsidRDefault="00430552" w:rsidP="00FB2713">
            <w:pPr>
              <w:jc w:val="center"/>
              <w:rPr>
                <w:rStyle w:val="IntenseReference"/>
              </w:rPr>
            </w:pPr>
            <w:r w:rsidRPr="002A6D6E">
              <w:rPr>
                <w:rStyle w:val="IntenseReference"/>
              </w:rPr>
              <w:t>0.37</w:t>
            </w:r>
          </w:p>
        </w:tc>
        <w:tc>
          <w:tcPr>
            <w:tcW w:w="1887" w:type="dxa"/>
            <w:noWrap/>
            <w:vAlign w:val="center"/>
            <w:hideMark/>
          </w:tcPr>
          <w:p w14:paraId="19C5BB8E" w14:textId="77777777" w:rsidR="00430552" w:rsidRPr="002A6D6E" w:rsidRDefault="00430552" w:rsidP="00FB2713">
            <w:pPr>
              <w:jc w:val="center"/>
              <w:rPr>
                <w:rStyle w:val="IntenseReference"/>
              </w:rPr>
            </w:pPr>
            <w:r w:rsidRPr="002A6D6E">
              <w:rPr>
                <w:rStyle w:val="IntenseReference"/>
              </w:rPr>
              <w:t>2.8</w:t>
            </w:r>
          </w:p>
        </w:tc>
        <w:tc>
          <w:tcPr>
            <w:tcW w:w="1511" w:type="dxa"/>
            <w:noWrap/>
            <w:vAlign w:val="center"/>
            <w:hideMark/>
          </w:tcPr>
          <w:p w14:paraId="51B900FD" w14:textId="77777777" w:rsidR="00430552" w:rsidRPr="002A6D6E" w:rsidRDefault="00430552" w:rsidP="009F780C">
            <w:pPr>
              <w:jc w:val="center"/>
              <w:rPr>
                <w:rStyle w:val="IntenseReference"/>
              </w:rPr>
            </w:pPr>
            <w:r w:rsidRPr="002A6D6E">
              <w:rPr>
                <w:rStyle w:val="IntenseReference"/>
              </w:rPr>
              <w:t>16.4</w:t>
            </w:r>
          </w:p>
        </w:tc>
        <w:tc>
          <w:tcPr>
            <w:tcW w:w="1511" w:type="dxa"/>
          </w:tcPr>
          <w:p w14:paraId="4167D1E9" w14:textId="77777777" w:rsidR="00430552" w:rsidRPr="002A6D6E" w:rsidRDefault="00430552" w:rsidP="009F780C">
            <w:pPr>
              <w:jc w:val="center"/>
              <w:rPr>
                <w:rStyle w:val="IntenseReference"/>
              </w:rPr>
            </w:pPr>
            <w:r>
              <w:rPr>
                <w:rStyle w:val="IntenseReference"/>
              </w:rPr>
              <w:t>M</w:t>
            </w:r>
            <w:r w:rsidR="00881579">
              <w:rPr>
                <w:rStyle w:val="IntenseReference"/>
              </w:rPr>
              <w:t>oderate</w:t>
            </w:r>
          </w:p>
        </w:tc>
      </w:tr>
      <w:tr w:rsidR="00430552" w:rsidRPr="00327E13" w14:paraId="630F7EB6" w14:textId="77777777" w:rsidTr="001E472C">
        <w:trPr>
          <w:trHeight w:val="255"/>
          <w:tblHeader/>
        </w:trPr>
        <w:tc>
          <w:tcPr>
            <w:tcW w:w="1485" w:type="dxa"/>
            <w:noWrap/>
            <w:vAlign w:val="center"/>
            <w:hideMark/>
          </w:tcPr>
          <w:p w14:paraId="020E2BF7" w14:textId="77777777" w:rsidR="00430552" w:rsidRPr="00FB2713" w:rsidRDefault="00430552" w:rsidP="00FB2713">
            <w:pPr>
              <w:rPr>
                <w:rStyle w:val="IntenseReference"/>
                <w:i/>
              </w:rPr>
            </w:pPr>
            <w:r w:rsidRPr="00FB2713">
              <w:rPr>
                <w:rStyle w:val="IntenseReference"/>
                <w:i/>
              </w:rPr>
              <w:t>Turbinaria</w:t>
            </w:r>
          </w:p>
        </w:tc>
        <w:tc>
          <w:tcPr>
            <w:tcW w:w="1213" w:type="dxa"/>
            <w:noWrap/>
            <w:vAlign w:val="center"/>
            <w:hideMark/>
          </w:tcPr>
          <w:p w14:paraId="74B944AC" w14:textId="77777777" w:rsidR="00430552" w:rsidRPr="002A6D6E" w:rsidRDefault="00430552" w:rsidP="00FB2713">
            <w:pPr>
              <w:jc w:val="center"/>
              <w:rPr>
                <w:rStyle w:val="IntenseReference"/>
              </w:rPr>
            </w:pPr>
            <w:r w:rsidRPr="002A6D6E">
              <w:rPr>
                <w:rStyle w:val="IntenseReference"/>
              </w:rPr>
              <w:t>0.8</w:t>
            </w:r>
          </w:p>
        </w:tc>
        <w:tc>
          <w:tcPr>
            <w:tcW w:w="1570" w:type="dxa"/>
            <w:noWrap/>
            <w:vAlign w:val="center"/>
            <w:hideMark/>
          </w:tcPr>
          <w:p w14:paraId="028C5F32" w14:textId="77777777" w:rsidR="00430552" w:rsidRPr="002A6D6E" w:rsidRDefault="00430552" w:rsidP="00FB2713">
            <w:pPr>
              <w:jc w:val="center"/>
              <w:rPr>
                <w:rStyle w:val="IntenseReference"/>
              </w:rPr>
            </w:pPr>
            <w:r w:rsidRPr="002A6D6E">
              <w:rPr>
                <w:rStyle w:val="IntenseReference"/>
              </w:rPr>
              <w:t>0.77</w:t>
            </w:r>
          </w:p>
        </w:tc>
        <w:tc>
          <w:tcPr>
            <w:tcW w:w="1887" w:type="dxa"/>
            <w:noWrap/>
            <w:vAlign w:val="center"/>
            <w:hideMark/>
          </w:tcPr>
          <w:p w14:paraId="5E2CAA26" w14:textId="77777777" w:rsidR="00430552" w:rsidRPr="002A6D6E" w:rsidRDefault="00430552" w:rsidP="00FB2713">
            <w:pPr>
              <w:jc w:val="center"/>
              <w:rPr>
                <w:rStyle w:val="IntenseReference"/>
              </w:rPr>
            </w:pPr>
            <w:r>
              <w:rPr>
                <w:rStyle w:val="IntenseReference"/>
              </w:rPr>
              <w:t>3.7</w:t>
            </w:r>
          </w:p>
        </w:tc>
        <w:tc>
          <w:tcPr>
            <w:tcW w:w="1511" w:type="dxa"/>
            <w:noWrap/>
            <w:vAlign w:val="center"/>
            <w:hideMark/>
          </w:tcPr>
          <w:p w14:paraId="72885B5B" w14:textId="77777777" w:rsidR="00430552" w:rsidRPr="002A6D6E" w:rsidRDefault="00430552" w:rsidP="00FB2713">
            <w:pPr>
              <w:jc w:val="center"/>
              <w:rPr>
                <w:rStyle w:val="IntenseReference"/>
              </w:rPr>
            </w:pPr>
            <w:r w:rsidRPr="002A6D6E">
              <w:rPr>
                <w:rStyle w:val="IntenseReference"/>
              </w:rPr>
              <w:t>2.3</w:t>
            </w:r>
          </w:p>
        </w:tc>
        <w:tc>
          <w:tcPr>
            <w:tcW w:w="1511" w:type="dxa"/>
          </w:tcPr>
          <w:p w14:paraId="7425A3F2" w14:textId="77777777" w:rsidR="00430552" w:rsidRPr="002A6D6E" w:rsidRDefault="00430552" w:rsidP="00FB2713">
            <w:pPr>
              <w:jc w:val="center"/>
              <w:rPr>
                <w:rStyle w:val="IntenseReference"/>
              </w:rPr>
            </w:pPr>
            <w:r>
              <w:rPr>
                <w:rStyle w:val="IntenseReference"/>
              </w:rPr>
              <w:t>L</w:t>
            </w:r>
            <w:r w:rsidR="00881579">
              <w:rPr>
                <w:rStyle w:val="IntenseReference"/>
              </w:rPr>
              <w:t>ow</w:t>
            </w:r>
          </w:p>
        </w:tc>
      </w:tr>
      <w:tr w:rsidR="00430552" w:rsidRPr="00327E13" w14:paraId="2C38B555" w14:textId="77777777" w:rsidTr="001E472C">
        <w:trPr>
          <w:trHeight w:val="255"/>
          <w:tblHeader/>
        </w:trPr>
        <w:tc>
          <w:tcPr>
            <w:tcW w:w="1485" w:type="dxa"/>
            <w:noWrap/>
            <w:vAlign w:val="center"/>
          </w:tcPr>
          <w:p w14:paraId="647CF970" w14:textId="77777777" w:rsidR="00430552" w:rsidRPr="00FB2713" w:rsidRDefault="00430552" w:rsidP="00FB2713">
            <w:pPr>
              <w:rPr>
                <w:rStyle w:val="IntenseReference"/>
                <w:i/>
              </w:rPr>
            </w:pPr>
            <w:r>
              <w:rPr>
                <w:rStyle w:val="IntenseReference"/>
                <w:i/>
              </w:rPr>
              <w:t>Oxypora</w:t>
            </w:r>
          </w:p>
        </w:tc>
        <w:tc>
          <w:tcPr>
            <w:tcW w:w="1213" w:type="dxa"/>
            <w:noWrap/>
            <w:vAlign w:val="center"/>
          </w:tcPr>
          <w:p w14:paraId="297A180D" w14:textId="77777777" w:rsidR="00430552" w:rsidRPr="002A6D6E" w:rsidRDefault="00430552" w:rsidP="00FB2713">
            <w:pPr>
              <w:jc w:val="center"/>
              <w:rPr>
                <w:rStyle w:val="IntenseReference"/>
              </w:rPr>
            </w:pPr>
            <w:r>
              <w:rPr>
                <w:rStyle w:val="IntenseReference"/>
              </w:rPr>
              <w:t>0.13</w:t>
            </w:r>
          </w:p>
        </w:tc>
        <w:tc>
          <w:tcPr>
            <w:tcW w:w="1570" w:type="dxa"/>
            <w:noWrap/>
            <w:vAlign w:val="center"/>
          </w:tcPr>
          <w:p w14:paraId="4BF986CF" w14:textId="77777777" w:rsidR="00430552" w:rsidRPr="002A6D6E" w:rsidRDefault="00430552" w:rsidP="00FB2713">
            <w:pPr>
              <w:jc w:val="center"/>
              <w:rPr>
                <w:rStyle w:val="IntenseReference"/>
              </w:rPr>
            </w:pPr>
            <w:r>
              <w:rPr>
                <w:rStyle w:val="IntenseReference"/>
              </w:rPr>
              <w:t>0.12</w:t>
            </w:r>
          </w:p>
        </w:tc>
        <w:tc>
          <w:tcPr>
            <w:tcW w:w="1887" w:type="dxa"/>
            <w:noWrap/>
            <w:vAlign w:val="center"/>
          </w:tcPr>
          <w:p w14:paraId="3EB5961B" w14:textId="77777777" w:rsidR="00430552" w:rsidRPr="002A6D6E" w:rsidRDefault="00430552" w:rsidP="00FB2713">
            <w:pPr>
              <w:jc w:val="center"/>
              <w:rPr>
                <w:rStyle w:val="IntenseReference"/>
              </w:rPr>
            </w:pPr>
            <w:r>
              <w:rPr>
                <w:rStyle w:val="IntenseReference"/>
              </w:rPr>
              <w:t>8.6</w:t>
            </w:r>
          </w:p>
        </w:tc>
        <w:tc>
          <w:tcPr>
            <w:tcW w:w="1511" w:type="dxa"/>
            <w:noWrap/>
            <w:vAlign w:val="center"/>
          </w:tcPr>
          <w:p w14:paraId="574C5AA8" w14:textId="77777777" w:rsidR="00430552" w:rsidRPr="002A6D6E" w:rsidRDefault="00430552" w:rsidP="00FB2713">
            <w:pPr>
              <w:jc w:val="center"/>
              <w:rPr>
                <w:rStyle w:val="IntenseReference"/>
              </w:rPr>
            </w:pPr>
            <w:r>
              <w:rPr>
                <w:rStyle w:val="IntenseReference"/>
              </w:rPr>
              <w:t>41.3</w:t>
            </w:r>
          </w:p>
        </w:tc>
        <w:tc>
          <w:tcPr>
            <w:tcW w:w="1511" w:type="dxa"/>
          </w:tcPr>
          <w:p w14:paraId="273EB87F" w14:textId="77777777" w:rsidR="00430552" w:rsidRDefault="00430552" w:rsidP="00FB2713">
            <w:pPr>
              <w:jc w:val="center"/>
              <w:rPr>
                <w:rStyle w:val="IntenseReference"/>
              </w:rPr>
            </w:pPr>
            <w:r>
              <w:rPr>
                <w:rStyle w:val="IntenseReference"/>
              </w:rPr>
              <w:t>M</w:t>
            </w:r>
            <w:r w:rsidR="00881579">
              <w:rPr>
                <w:rStyle w:val="IntenseReference"/>
              </w:rPr>
              <w:t>oderate</w:t>
            </w:r>
          </w:p>
        </w:tc>
      </w:tr>
      <w:tr w:rsidR="00430552" w:rsidRPr="00327E13" w14:paraId="552FB3AE" w14:textId="77777777" w:rsidTr="001E472C">
        <w:trPr>
          <w:trHeight w:val="255"/>
          <w:tblHeader/>
        </w:trPr>
        <w:tc>
          <w:tcPr>
            <w:tcW w:w="1485" w:type="dxa"/>
            <w:noWrap/>
            <w:vAlign w:val="center"/>
            <w:hideMark/>
          </w:tcPr>
          <w:p w14:paraId="16914583" w14:textId="77777777" w:rsidR="00430552" w:rsidRPr="00FB2713" w:rsidRDefault="00430552" w:rsidP="00FB2713">
            <w:pPr>
              <w:rPr>
                <w:rStyle w:val="IntenseReference"/>
                <w:i/>
              </w:rPr>
            </w:pPr>
            <w:r w:rsidRPr="00FB2713">
              <w:rPr>
                <w:rStyle w:val="IntenseReference"/>
                <w:i/>
              </w:rPr>
              <w:t>Favia</w:t>
            </w:r>
          </w:p>
        </w:tc>
        <w:tc>
          <w:tcPr>
            <w:tcW w:w="1213" w:type="dxa"/>
            <w:noWrap/>
            <w:vAlign w:val="center"/>
            <w:hideMark/>
          </w:tcPr>
          <w:p w14:paraId="5E247EF1" w14:textId="77777777" w:rsidR="00430552" w:rsidRPr="002A6D6E" w:rsidRDefault="00430552" w:rsidP="00FB2713">
            <w:pPr>
              <w:jc w:val="center"/>
              <w:rPr>
                <w:rStyle w:val="IntenseReference"/>
              </w:rPr>
            </w:pPr>
            <w:r w:rsidRPr="002A6D6E">
              <w:rPr>
                <w:rStyle w:val="IntenseReference"/>
              </w:rPr>
              <w:t>0.46</w:t>
            </w:r>
          </w:p>
        </w:tc>
        <w:tc>
          <w:tcPr>
            <w:tcW w:w="1570" w:type="dxa"/>
            <w:noWrap/>
            <w:vAlign w:val="center"/>
            <w:hideMark/>
          </w:tcPr>
          <w:p w14:paraId="3926C0EA" w14:textId="77777777" w:rsidR="00430552" w:rsidRPr="002A6D6E" w:rsidRDefault="00430552" w:rsidP="00FB2713">
            <w:pPr>
              <w:jc w:val="center"/>
              <w:rPr>
                <w:rStyle w:val="IntenseReference"/>
              </w:rPr>
            </w:pPr>
            <w:r w:rsidRPr="002A6D6E">
              <w:rPr>
                <w:rStyle w:val="IntenseReference"/>
              </w:rPr>
              <w:t>0.42</w:t>
            </w:r>
          </w:p>
        </w:tc>
        <w:tc>
          <w:tcPr>
            <w:tcW w:w="1887" w:type="dxa"/>
            <w:noWrap/>
            <w:vAlign w:val="center"/>
            <w:hideMark/>
          </w:tcPr>
          <w:p w14:paraId="1EC390ED" w14:textId="77777777" w:rsidR="00430552" w:rsidRPr="002A6D6E" w:rsidRDefault="00430552" w:rsidP="00FB2713">
            <w:pPr>
              <w:jc w:val="center"/>
              <w:rPr>
                <w:rStyle w:val="IntenseReference"/>
              </w:rPr>
            </w:pPr>
            <w:r>
              <w:rPr>
                <w:rStyle w:val="IntenseReference"/>
              </w:rPr>
              <w:t>10.3</w:t>
            </w:r>
          </w:p>
        </w:tc>
        <w:tc>
          <w:tcPr>
            <w:tcW w:w="1511" w:type="dxa"/>
            <w:noWrap/>
            <w:vAlign w:val="center"/>
            <w:hideMark/>
          </w:tcPr>
          <w:p w14:paraId="4F9B8540" w14:textId="77777777" w:rsidR="00430552" w:rsidRPr="002A6D6E" w:rsidRDefault="00430552" w:rsidP="00FB2713">
            <w:pPr>
              <w:jc w:val="center"/>
              <w:rPr>
                <w:rStyle w:val="IntenseReference"/>
              </w:rPr>
            </w:pPr>
            <w:r>
              <w:rPr>
                <w:rStyle w:val="IntenseReference"/>
              </w:rPr>
              <w:t>34.3</w:t>
            </w:r>
          </w:p>
        </w:tc>
        <w:tc>
          <w:tcPr>
            <w:tcW w:w="1511" w:type="dxa"/>
          </w:tcPr>
          <w:p w14:paraId="1C53C816" w14:textId="77777777" w:rsidR="00430552" w:rsidRDefault="00430552" w:rsidP="00FB2713">
            <w:pPr>
              <w:jc w:val="center"/>
              <w:rPr>
                <w:rStyle w:val="IntenseReference"/>
              </w:rPr>
            </w:pPr>
            <w:r>
              <w:rPr>
                <w:rStyle w:val="IntenseReference"/>
              </w:rPr>
              <w:t>M</w:t>
            </w:r>
            <w:r w:rsidR="00881579">
              <w:rPr>
                <w:rStyle w:val="IntenseReference"/>
              </w:rPr>
              <w:t>oderate</w:t>
            </w:r>
          </w:p>
        </w:tc>
      </w:tr>
      <w:tr w:rsidR="00430552" w:rsidRPr="00327E13" w14:paraId="2711C05F" w14:textId="77777777" w:rsidTr="001E472C">
        <w:trPr>
          <w:trHeight w:val="255"/>
          <w:tblHeader/>
        </w:trPr>
        <w:tc>
          <w:tcPr>
            <w:tcW w:w="1485" w:type="dxa"/>
            <w:noWrap/>
            <w:vAlign w:val="center"/>
            <w:hideMark/>
          </w:tcPr>
          <w:p w14:paraId="220D0330" w14:textId="77777777" w:rsidR="00430552" w:rsidRPr="00FB2713" w:rsidRDefault="00430552" w:rsidP="00FB2713">
            <w:pPr>
              <w:rPr>
                <w:rStyle w:val="IntenseReference"/>
                <w:i/>
              </w:rPr>
            </w:pPr>
            <w:r w:rsidRPr="00FB2713">
              <w:rPr>
                <w:rStyle w:val="IntenseReference"/>
                <w:i/>
              </w:rPr>
              <w:t>Galaxea</w:t>
            </w:r>
          </w:p>
        </w:tc>
        <w:tc>
          <w:tcPr>
            <w:tcW w:w="1213" w:type="dxa"/>
            <w:noWrap/>
            <w:vAlign w:val="center"/>
            <w:hideMark/>
          </w:tcPr>
          <w:p w14:paraId="68400E45" w14:textId="77777777" w:rsidR="00430552" w:rsidRPr="002A6D6E" w:rsidRDefault="00430552" w:rsidP="00FB2713">
            <w:pPr>
              <w:jc w:val="center"/>
              <w:rPr>
                <w:rStyle w:val="IntenseReference"/>
              </w:rPr>
            </w:pPr>
            <w:r w:rsidRPr="002A6D6E">
              <w:rPr>
                <w:rStyle w:val="IntenseReference"/>
              </w:rPr>
              <w:t>0.36</w:t>
            </w:r>
          </w:p>
        </w:tc>
        <w:tc>
          <w:tcPr>
            <w:tcW w:w="1570" w:type="dxa"/>
            <w:noWrap/>
            <w:vAlign w:val="center"/>
            <w:hideMark/>
          </w:tcPr>
          <w:p w14:paraId="7C7051FE" w14:textId="77777777" w:rsidR="00430552" w:rsidRPr="002A6D6E" w:rsidRDefault="00430552" w:rsidP="00FB2713">
            <w:pPr>
              <w:jc w:val="center"/>
              <w:rPr>
                <w:rStyle w:val="IntenseReference"/>
              </w:rPr>
            </w:pPr>
            <w:r w:rsidRPr="002A6D6E">
              <w:rPr>
                <w:rStyle w:val="IntenseReference"/>
              </w:rPr>
              <w:t>0.32</w:t>
            </w:r>
          </w:p>
        </w:tc>
        <w:tc>
          <w:tcPr>
            <w:tcW w:w="1887" w:type="dxa"/>
            <w:noWrap/>
            <w:vAlign w:val="center"/>
            <w:hideMark/>
          </w:tcPr>
          <w:p w14:paraId="7C0670CF" w14:textId="77777777" w:rsidR="00430552" w:rsidRPr="002A6D6E" w:rsidRDefault="00430552" w:rsidP="00FB2713">
            <w:pPr>
              <w:jc w:val="center"/>
              <w:rPr>
                <w:rStyle w:val="IntenseReference"/>
              </w:rPr>
            </w:pPr>
            <w:r w:rsidRPr="002A6D6E">
              <w:rPr>
                <w:rStyle w:val="IntenseReference"/>
              </w:rPr>
              <w:t>12.4</w:t>
            </w:r>
          </w:p>
        </w:tc>
        <w:tc>
          <w:tcPr>
            <w:tcW w:w="1511" w:type="dxa"/>
            <w:noWrap/>
            <w:vAlign w:val="center"/>
            <w:hideMark/>
          </w:tcPr>
          <w:p w14:paraId="1E22B900" w14:textId="77777777" w:rsidR="00430552" w:rsidRPr="002A6D6E" w:rsidRDefault="00430552" w:rsidP="00FB2713">
            <w:pPr>
              <w:jc w:val="center"/>
              <w:rPr>
                <w:rStyle w:val="IntenseReference"/>
              </w:rPr>
            </w:pPr>
            <w:r w:rsidRPr="002A6D6E">
              <w:rPr>
                <w:rStyle w:val="IntenseReference"/>
              </w:rPr>
              <w:t>1.7</w:t>
            </w:r>
          </w:p>
        </w:tc>
        <w:tc>
          <w:tcPr>
            <w:tcW w:w="1511" w:type="dxa"/>
          </w:tcPr>
          <w:p w14:paraId="351FFBF5" w14:textId="77777777" w:rsidR="00430552" w:rsidRPr="002A6D6E" w:rsidRDefault="00430552" w:rsidP="00FB2713">
            <w:pPr>
              <w:jc w:val="center"/>
              <w:rPr>
                <w:rStyle w:val="IntenseReference"/>
              </w:rPr>
            </w:pPr>
            <w:r>
              <w:rPr>
                <w:rStyle w:val="IntenseReference"/>
              </w:rPr>
              <w:t>L</w:t>
            </w:r>
            <w:r w:rsidR="00881579">
              <w:rPr>
                <w:rStyle w:val="IntenseReference"/>
              </w:rPr>
              <w:t>ow</w:t>
            </w:r>
          </w:p>
        </w:tc>
      </w:tr>
      <w:tr w:rsidR="00430552" w:rsidRPr="00327E13" w14:paraId="1D585C88" w14:textId="77777777" w:rsidTr="001E472C">
        <w:trPr>
          <w:trHeight w:val="255"/>
          <w:tblHeader/>
        </w:trPr>
        <w:tc>
          <w:tcPr>
            <w:tcW w:w="1485" w:type="dxa"/>
            <w:noWrap/>
            <w:vAlign w:val="center"/>
          </w:tcPr>
          <w:p w14:paraId="6F0DB23C" w14:textId="77777777" w:rsidR="00430552" w:rsidRPr="00FB2713" w:rsidRDefault="00430552" w:rsidP="00FB2713">
            <w:pPr>
              <w:rPr>
                <w:rStyle w:val="IntenseReference"/>
                <w:i/>
              </w:rPr>
            </w:pPr>
            <w:r>
              <w:rPr>
                <w:rStyle w:val="IntenseReference"/>
                <w:i/>
              </w:rPr>
              <w:t>Mycedium</w:t>
            </w:r>
          </w:p>
        </w:tc>
        <w:tc>
          <w:tcPr>
            <w:tcW w:w="1213" w:type="dxa"/>
            <w:noWrap/>
            <w:vAlign w:val="center"/>
          </w:tcPr>
          <w:p w14:paraId="7B7B8AB3" w14:textId="77777777" w:rsidR="00430552" w:rsidRPr="002A6D6E" w:rsidRDefault="00430552" w:rsidP="00FB2713">
            <w:pPr>
              <w:jc w:val="center"/>
              <w:rPr>
                <w:rStyle w:val="IntenseReference"/>
              </w:rPr>
            </w:pPr>
            <w:r>
              <w:rPr>
                <w:rStyle w:val="IntenseReference"/>
              </w:rPr>
              <w:t>0.11</w:t>
            </w:r>
          </w:p>
        </w:tc>
        <w:tc>
          <w:tcPr>
            <w:tcW w:w="1570" w:type="dxa"/>
            <w:noWrap/>
            <w:vAlign w:val="center"/>
          </w:tcPr>
          <w:p w14:paraId="4D84EC3D" w14:textId="77777777" w:rsidR="00430552" w:rsidRPr="002A6D6E" w:rsidRDefault="00430552" w:rsidP="00FB2713">
            <w:pPr>
              <w:jc w:val="center"/>
              <w:rPr>
                <w:rStyle w:val="IntenseReference"/>
              </w:rPr>
            </w:pPr>
            <w:r>
              <w:rPr>
                <w:rStyle w:val="IntenseReference"/>
              </w:rPr>
              <w:t>0.09</w:t>
            </w:r>
          </w:p>
        </w:tc>
        <w:tc>
          <w:tcPr>
            <w:tcW w:w="1887" w:type="dxa"/>
            <w:noWrap/>
            <w:vAlign w:val="center"/>
          </w:tcPr>
          <w:p w14:paraId="7F67B9B2" w14:textId="77777777" w:rsidR="00430552" w:rsidRPr="002A6D6E" w:rsidRDefault="00430552" w:rsidP="00FB2713">
            <w:pPr>
              <w:jc w:val="center"/>
              <w:rPr>
                <w:rStyle w:val="IntenseReference"/>
              </w:rPr>
            </w:pPr>
            <w:r>
              <w:rPr>
                <w:rStyle w:val="IntenseReference"/>
              </w:rPr>
              <w:t>25</w:t>
            </w:r>
          </w:p>
        </w:tc>
        <w:tc>
          <w:tcPr>
            <w:tcW w:w="1511" w:type="dxa"/>
            <w:noWrap/>
            <w:vAlign w:val="center"/>
          </w:tcPr>
          <w:p w14:paraId="494BE430" w14:textId="77777777" w:rsidR="00430552" w:rsidRPr="002A6D6E" w:rsidRDefault="00430552" w:rsidP="00FB2713">
            <w:pPr>
              <w:jc w:val="center"/>
              <w:rPr>
                <w:rStyle w:val="IntenseReference"/>
              </w:rPr>
            </w:pPr>
            <w:r>
              <w:rPr>
                <w:rStyle w:val="IntenseReference"/>
              </w:rPr>
              <w:t>52.7</w:t>
            </w:r>
          </w:p>
        </w:tc>
        <w:tc>
          <w:tcPr>
            <w:tcW w:w="1511" w:type="dxa"/>
          </w:tcPr>
          <w:p w14:paraId="7F7DEF75" w14:textId="77777777" w:rsidR="00430552" w:rsidRDefault="00430552" w:rsidP="00FB2713">
            <w:pPr>
              <w:jc w:val="center"/>
              <w:rPr>
                <w:rStyle w:val="IntenseReference"/>
              </w:rPr>
            </w:pPr>
            <w:r>
              <w:rPr>
                <w:rStyle w:val="IntenseReference"/>
              </w:rPr>
              <w:t>Mixed</w:t>
            </w:r>
          </w:p>
        </w:tc>
      </w:tr>
      <w:tr w:rsidR="00430552" w:rsidRPr="00327E13" w14:paraId="0DD27CB8" w14:textId="77777777" w:rsidTr="001E472C">
        <w:trPr>
          <w:trHeight w:val="255"/>
          <w:tblHeader/>
        </w:trPr>
        <w:tc>
          <w:tcPr>
            <w:tcW w:w="1485" w:type="dxa"/>
            <w:noWrap/>
            <w:vAlign w:val="center"/>
          </w:tcPr>
          <w:p w14:paraId="61E29F27" w14:textId="77777777" w:rsidR="00430552" w:rsidRDefault="00430552" w:rsidP="00FB2713">
            <w:pPr>
              <w:rPr>
                <w:rStyle w:val="IntenseReference"/>
                <w:i/>
              </w:rPr>
            </w:pPr>
            <w:r>
              <w:rPr>
                <w:rStyle w:val="IntenseReference"/>
                <w:i/>
              </w:rPr>
              <w:t>Podabacia</w:t>
            </w:r>
          </w:p>
        </w:tc>
        <w:tc>
          <w:tcPr>
            <w:tcW w:w="1213" w:type="dxa"/>
            <w:noWrap/>
            <w:vAlign w:val="center"/>
          </w:tcPr>
          <w:p w14:paraId="4E007B86" w14:textId="77777777" w:rsidR="00430552" w:rsidRDefault="00430552" w:rsidP="00FB2713">
            <w:pPr>
              <w:jc w:val="center"/>
              <w:rPr>
                <w:rStyle w:val="IntenseReference"/>
              </w:rPr>
            </w:pPr>
            <w:r>
              <w:rPr>
                <w:rStyle w:val="IntenseReference"/>
              </w:rPr>
              <w:t>0.10</w:t>
            </w:r>
          </w:p>
        </w:tc>
        <w:tc>
          <w:tcPr>
            <w:tcW w:w="1570" w:type="dxa"/>
            <w:noWrap/>
            <w:vAlign w:val="center"/>
          </w:tcPr>
          <w:p w14:paraId="038FB427" w14:textId="77777777" w:rsidR="00430552" w:rsidRDefault="00430552" w:rsidP="00FB2713">
            <w:pPr>
              <w:jc w:val="center"/>
              <w:rPr>
                <w:rStyle w:val="IntenseReference"/>
              </w:rPr>
            </w:pPr>
            <w:r>
              <w:rPr>
                <w:rStyle w:val="IntenseReference"/>
              </w:rPr>
              <w:t>0.08</w:t>
            </w:r>
          </w:p>
        </w:tc>
        <w:tc>
          <w:tcPr>
            <w:tcW w:w="1887" w:type="dxa"/>
            <w:noWrap/>
            <w:vAlign w:val="center"/>
          </w:tcPr>
          <w:p w14:paraId="3AFEE1EF" w14:textId="77777777" w:rsidR="00430552" w:rsidRDefault="00430552" w:rsidP="00FB2713">
            <w:pPr>
              <w:jc w:val="center"/>
              <w:rPr>
                <w:rStyle w:val="IntenseReference"/>
              </w:rPr>
            </w:pPr>
            <w:r>
              <w:rPr>
                <w:rStyle w:val="IntenseReference"/>
              </w:rPr>
              <w:t>25</w:t>
            </w:r>
          </w:p>
        </w:tc>
        <w:tc>
          <w:tcPr>
            <w:tcW w:w="1511" w:type="dxa"/>
            <w:noWrap/>
            <w:vAlign w:val="center"/>
          </w:tcPr>
          <w:p w14:paraId="5F2E5647" w14:textId="77777777" w:rsidR="00430552" w:rsidRDefault="00430552" w:rsidP="00FB2713">
            <w:pPr>
              <w:jc w:val="center"/>
              <w:rPr>
                <w:rStyle w:val="IntenseReference"/>
              </w:rPr>
            </w:pPr>
            <w:r>
              <w:rPr>
                <w:rStyle w:val="IntenseReference"/>
              </w:rPr>
              <w:t>0</w:t>
            </w:r>
          </w:p>
        </w:tc>
        <w:tc>
          <w:tcPr>
            <w:tcW w:w="1511" w:type="dxa"/>
          </w:tcPr>
          <w:p w14:paraId="0FB0D470" w14:textId="77777777" w:rsidR="00430552" w:rsidRDefault="00430552" w:rsidP="00FB2713">
            <w:pPr>
              <w:jc w:val="center"/>
              <w:rPr>
                <w:rStyle w:val="IntenseReference"/>
              </w:rPr>
            </w:pPr>
            <w:r>
              <w:rPr>
                <w:rStyle w:val="IntenseReference"/>
              </w:rPr>
              <w:t>n/a</w:t>
            </w:r>
          </w:p>
        </w:tc>
      </w:tr>
      <w:tr w:rsidR="00430552" w:rsidRPr="00327E13" w14:paraId="43F09463" w14:textId="77777777" w:rsidTr="001E472C">
        <w:trPr>
          <w:trHeight w:val="255"/>
          <w:tblHeader/>
        </w:trPr>
        <w:tc>
          <w:tcPr>
            <w:tcW w:w="1485" w:type="dxa"/>
            <w:noWrap/>
            <w:vAlign w:val="center"/>
            <w:hideMark/>
          </w:tcPr>
          <w:p w14:paraId="5F0762E1" w14:textId="77777777" w:rsidR="00430552" w:rsidRPr="00FB2713" w:rsidRDefault="00430552" w:rsidP="00FB2713">
            <w:pPr>
              <w:rPr>
                <w:rStyle w:val="IntenseReference"/>
                <w:i/>
              </w:rPr>
            </w:pPr>
            <w:r w:rsidRPr="00FB2713">
              <w:rPr>
                <w:rStyle w:val="IntenseReference"/>
                <w:i/>
              </w:rPr>
              <w:t>Fungia</w:t>
            </w:r>
          </w:p>
        </w:tc>
        <w:tc>
          <w:tcPr>
            <w:tcW w:w="1213" w:type="dxa"/>
            <w:noWrap/>
            <w:vAlign w:val="center"/>
            <w:hideMark/>
          </w:tcPr>
          <w:p w14:paraId="396928E1" w14:textId="77777777" w:rsidR="00430552" w:rsidRPr="002A6D6E" w:rsidRDefault="00430552" w:rsidP="00FB2713">
            <w:pPr>
              <w:jc w:val="center"/>
              <w:rPr>
                <w:rStyle w:val="IntenseReference"/>
              </w:rPr>
            </w:pPr>
            <w:r w:rsidRPr="002A6D6E">
              <w:rPr>
                <w:rStyle w:val="IntenseReference"/>
              </w:rPr>
              <w:t>0.18</w:t>
            </w:r>
          </w:p>
        </w:tc>
        <w:tc>
          <w:tcPr>
            <w:tcW w:w="1570" w:type="dxa"/>
            <w:noWrap/>
            <w:vAlign w:val="center"/>
            <w:hideMark/>
          </w:tcPr>
          <w:p w14:paraId="12522319" w14:textId="77777777" w:rsidR="00430552" w:rsidRPr="002A6D6E" w:rsidRDefault="00430552" w:rsidP="00FB2713">
            <w:pPr>
              <w:jc w:val="center"/>
              <w:rPr>
                <w:rStyle w:val="IntenseReference"/>
              </w:rPr>
            </w:pPr>
            <w:r w:rsidRPr="002A6D6E">
              <w:rPr>
                <w:rStyle w:val="IntenseReference"/>
              </w:rPr>
              <w:t>0.12</w:t>
            </w:r>
          </w:p>
        </w:tc>
        <w:tc>
          <w:tcPr>
            <w:tcW w:w="1887" w:type="dxa"/>
            <w:noWrap/>
            <w:vAlign w:val="center"/>
            <w:hideMark/>
          </w:tcPr>
          <w:p w14:paraId="74192403" w14:textId="77777777" w:rsidR="00430552" w:rsidRPr="002A6D6E" w:rsidRDefault="00430552" w:rsidP="00FB2713">
            <w:pPr>
              <w:jc w:val="center"/>
              <w:rPr>
                <w:rStyle w:val="IntenseReference"/>
              </w:rPr>
            </w:pPr>
            <w:r w:rsidRPr="002A6D6E">
              <w:rPr>
                <w:rStyle w:val="IntenseReference"/>
              </w:rPr>
              <w:t>49.7</w:t>
            </w:r>
          </w:p>
        </w:tc>
        <w:tc>
          <w:tcPr>
            <w:tcW w:w="1511" w:type="dxa"/>
            <w:noWrap/>
            <w:vAlign w:val="center"/>
            <w:hideMark/>
          </w:tcPr>
          <w:p w14:paraId="03876E32" w14:textId="77777777" w:rsidR="00430552" w:rsidRPr="002A6D6E" w:rsidRDefault="00430552" w:rsidP="00FB2713">
            <w:pPr>
              <w:jc w:val="center"/>
              <w:rPr>
                <w:rStyle w:val="IntenseReference"/>
              </w:rPr>
            </w:pPr>
            <w:r>
              <w:rPr>
                <w:rStyle w:val="IntenseReference"/>
              </w:rPr>
              <w:t>19.0</w:t>
            </w:r>
          </w:p>
        </w:tc>
        <w:tc>
          <w:tcPr>
            <w:tcW w:w="1511" w:type="dxa"/>
          </w:tcPr>
          <w:p w14:paraId="7D9B253D" w14:textId="77777777" w:rsidR="00430552" w:rsidRDefault="00430552" w:rsidP="00FB2713">
            <w:pPr>
              <w:jc w:val="center"/>
              <w:rPr>
                <w:rStyle w:val="IntenseReference"/>
              </w:rPr>
            </w:pPr>
            <w:r>
              <w:rPr>
                <w:rStyle w:val="IntenseReference"/>
              </w:rPr>
              <w:t>n/a</w:t>
            </w:r>
          </w:p>
        </w:tc>
      </w:tr>
    </w:tbl>
    <w:p w14:paraId="7F798449" w14:textId="77777777" w:rsidR="0039351B" w:rsidRDefault="0039351B" w:rsidP="0039351B"/>
    <w:p w14:paraId="73D4DB0E" w14:textId="77777777" w:rsidR="006127E2" w:rsidRDefault="006127E2">
      <w:pPr>
        <w:jc w:val="left"/>
      </w:pPr>
      <w:r>
        <w:br w:type="page"/>
      </w:r>
    </w:p>
    <w:p w14:paraId="47E48FB6" w14:textId="77777777" w:rsidR="00D06CC0" w:rsidRPr="00A879F1" w:rsidRDefault="008A0C2A" w:rsidP="00121B7E">
      <w:pPr>
        <w:pStyle w:val="Heading1"/>
      </w:pPr>
      <w:bookmarkStart w:id="303" w:name="_Toc514408438"/>
      <w:r>
        <w:t xml:space="preserve">Case Study </w:t>
      </w:r>
      <w:r w:rsidR="00C63F3B">
        <w:t>–</w:t>
      </w:r>
      <w:r w:rsidR="00DE1347">
        <w:t xml:space="preserve"> </w:t>
      </w:r>
      <w:r w:rsidR="00D06CC0">
        <w:t xml:space="preserve">Selection of environmental covariates </w:t>
      </w:r>
      <w:r w:rsidR="00A879F1">
        <w:t>for reporting against coral index and indicator scores</w:t>
      </w:r>
      <w:bookmarkStart w:id="304" w:name="_Toc493153298"/>
      <w:bookmarkEnd w:id="303"/>
    </w:p>
    <w:bookmarkEnd w:id="304"/>
    <w:p w14:paraId="266A1B0D" w14:textId="77777777" w:rsidR="00D06CC0" w:rsidRDefault="00656610" w:rsidP="00D06CC0">
      <w:r>
        <w:t>Reporting on</w:t>
      </w:r>
      <w:r w:rsidR="00D06CC0">
        <w:t xml:space="preserve"> coral community responses in </w:t>
      </w:r>
      <w:r w:rsidR="00383A97">
        <w:t>relation to</w:t>
      </w:r>
      <w:r w:rsidR="00D06CC0">
        <w:t xml:space="preserve"> water quality pressures requires </w:t>
      </w:r>
      <w:r w:rsidR="00383A97">
        <w:t xml:space="preserve">necessarily requires the </w:t>
      </w:r>
      <w:r w:rsidR="00D06CC0">
        <w:t xml:space="preserve">derivation of appropriate estimates of environmental conditions that can be used as covariates in analyses of community responses. A problem facing the MMP is that water quality is only directly measured at less than half of the coral monitoring locations, and not at all in the Fitzroy Region, requiring the estimation of environmental conditions from alternate sources. </w:t>
      </w:r>
    </w:p>
    <w:p w14:paraId="4F9C84B5" w14:textId="77777777" w:rsidR="00D06CC0" w:rsidRDefault="00D06CC0" w:rsidP="00D06CC0">
      <w:r>
        <w:t xml:space="preserve">The purpose of this chapter is to assess available data with the view of identifying variables to serve as a proxy for the underlying spatial gradients of nutrient availability and turbidity along which the coral monitoring sites are dispersed, and secondly, variables that provide estimates of the temporal variability in the exposure of reefs to water quality pressures. </w:t>
      </w:r>
    </w:p>
    <w:p w14:paraId="429BFC6E" w14:textId="77777777" w:rsidR="00D06CC0" w:rsidRDefault="00D06CC0" w:rsidP="00D06CC0">
      <w:r>
        <w:t xml:space="preserve">Spatially comprehensive water quality estimates for the inshore Reef are available from three sources. </w:t>
      </w:r>
    </w:p>
    <w:p w14:paraId="752FD848" w14:textId="77777777" w:rsidR="00D06CC0" w:rsidRDefault="00D06CC0" w:rsidP="001C40D0">
      <w:pPr>
        <w:pStyle w:val="ListParagraph"/>
        <w:numPr>
          <w:ilvl w:val="0"/>
          <w:numId w:val="17"/>
        </w:numPr>
        <w:spacing w:after="160" w:line="259" w:lineRule="auto"/>
        <w:jc w:val="left"/>
      </w:pPr>
      <w:r>
        <w:t xml:space="preserve">eReefs marine water quality </w:t>
      </w:r>
      <w:hyperlink r:id="rId63" w:history="1">
        <w:r w:rsidRPr="004E38A8">
          <w:rPr>
            <w:rStyle w:val="Hyperlink"/>
          </w:rPr>
          <w:t>http://www.bom.gov.au/marinewaterquality/</w:t>
        </w:r>
      </w:hyperlink>
      <w:r>
        <w:rPr>
          <w:rStyle w:val="FootnoteReference"/>
        </w:rPr>
        <w:footnoteReference w:id="6"/>
      </w:r>
      <w:r>
        <w:t xml:space="preserve"> .  Algorithms applied to satellite images provide estimates of several water quality parameters. </w:t>
      </w:r>
    </w:p>
    <w:p w14:paraId="47893792" w14:textId="77777777" w:rsidR="00D06CC0" w:rsidRDefault="00D06CC0" w:rsidP="00F650C0">
      <w:pPr>
        <w:pStyle w:val="ListParagraph"/>
        <w:numPr>
          <w:ilvl w:val="0"/>
          <w:numId w:val="17"/>
        </w:numPr>
        <w:spacing w:after="160" w:line="259" w:lineRule="auto"/>
        <w:jc w:val="left"/>
      </w:pPr>
      <w:r>
        <w:t>eReefs biogeochemical model provides modelled estimates of a wide range of water quality parameters(</w:t>
      </w:r>
      <w:hyperlink r:id="rId64" w:history="1">
        <w:r w:rsidR="00F650C0" w:rsidRPr="00F650C0">
          <w:rPr>
            <w:rStyle w:val="Hyperlink"/>
          </w:rPr>
          <w:t>https://research.csiro.au/ereefs/models/models-about/models-biogeochemistry/</w:t>
        </w:r>
        <w:r w:rsidRPr="00F650C0">
          <w:rPr>
            <w:rStyle w:val="Hyperlink"/>
          </w:rPr>
          <w:t>)</w:t>
        </w:r>
      </w:hyperlink>
    </w:p>
    <w:p w14:paraId="7625A7CA" w14:textId="77777777" w:rsidR="00D06CC0" w:rsidRDefault="00D06CC0" w:rsidP="001C40D0">
      <w:pPr>
        <w:pStyle w:val="ListParagraph"/>
        <w:numPr>
          <w:ilvl w:val="0"/>
          <w:numId w:val="17"/>
        </w:numPr>
        <w:spacing w:after="160" w:line="259" w:lineRule="auto"/>
        <w:jc w:val="left"/>
      </w:pPr>
      <w:r>
        <w:t>The MMP</w:t>
      </w:r>
      <w:r w:rsidR="00F650C0">
        <w:t xml:space="preserve"> (TropWater)</w:t>
      </w:r>
      <w:r>
        <w:t xml:space="preserve"> estimates relative exposure to several water quality parameters based on the classification of water colour derived from satellite images and measured concentration of water quality parameters within each colour class of water (</w:t>
      </w:r>
      <w:r w:rsidR="00F650C0">
        <w:t xml:space="preserve">Waterhouse </w:t>
      </w:r>
      <w:r w:rsidR="00F650C0" w:rsidRPr="00114B53">
        <w:rPr>
          <w:i/>
        </w:rPr>
        <w:t>et al.</w:t>
      </w:r>
      <w:r w:rsidR="00F650C0">
        <w:t xml:space="preserve"> 2017</w:t>
      </w:r>
      <w:r>
        <w:t xml:space="preserve">) </w:t>
      </w:r>
    </w:p>
    <w:p w14:paraId="1DA2E2BA" w14:textId="77777777" w:rsidR="00D06CC0" w:rsidRDefault="00D06CC0" w:rsidP="00D06CC0">
      <w:r>
        <w:t xml:space="preserve">Each of the above estimates can be aggregated to provide spatial gradients among locations or temporal series within locations. In addition, temporal variability in the input of nutrients and sediments can be derived from discharge and river load monitoring </w:t>
      </w:r>
      <w:r w:rsidR="00F650C0">
        <w:t xml:space="preserve">undertaken by the Queensland government </w:t>
      </w:r>
      <w:r>
        <w:t>(</w:t>
      </w:r>
      <w:hyperlink r:id="rId65" w:history="1">
        <w:r w:rsidR="00F650C0" w:rsidRPr="00F650C0">
          <w:rPr>
            <w:rStyle w:val="Hyperlink"/>
          </w:rPr>
          <w:t>https://water-monitoring.information.qld.gov.au/</w:t>
        </w:r>
      </w:hyperlink>
      <w:r>
        <w:t xml:space="preserve">). These data, however, only allow relative loads among years to be considered at catchment rather than reef levels. </w:t>
      </w:r>
    </w:p>
    <w:p w14:paraId="0CE0B43E" w14:textId="77777777" w:rsidR="00D06CC0" w:rsidRPr="00F352E1" w:rsidRDefault="00A928FD" w:rsidP="00607BCA">
      <w:pPr>
        <w:pStyle w:val="Heading2"/>
        <w:spacing w:before="240" w:after="240"/>
      </w:pPr>
      <w:bookmarkStart w:id="305" w:name="_Toc514408439"/>
      <w:r>
        <w:t>8</w:t>
      </w:r>
      <w:r w:rsidR="00D06CC0" w:rsidRPr="00F352E1">
        <w:t>.1</w:t>
      </w:r>
      <w:r w:rsidR="00D06CC0" w:rsidRPr="00F352E1">
        <w:tab/>
      </w:r>
      <w:r w:rsidR="00D06CC0">
        <w:t>Data sourced</w:t>
      </w:r>
      <w:bookmarkEnd w:id="305"/>
      <w:r w:rsidR="00D06CC0" w:rsidRPr="00F352E1">
        <w:t xml:space="preserve"> </w:t>
      </w:r>
    </w:p>
    <w:p w14:paraId="236F6A9E" w14:textId="77777777" w:rsidR="00D06CC0" w:rsidRPr="007E76C4" w:rsidRDefault="00D06CC0" w:rsidP="00D06CC0">
      <w:pPr>
        <w:rPr>
          <w:i/>
        </w:rPr>
      </w:pPr>
      <w:r w:rsidRPr="007E76C4">
        <w:rPr>
          <w:i/>
        </w:rPr>
        <w:t xml:space="preserve">Algorithm derived estimates </w:t>
      </w:r>
    </w:p>
    <w:p w14:paraId="0459FCCE" w14:textId="77777777" w:rsidR="00D06CC0" w:rsidRDefault="00D06CC0" w:rsidP="00D06CC0">
      <w:r w:rsidRPr="00973364">
        <w:t>Estimates of Chl</w:t>
      </w:r>
      <w:r>
        <w:t>orophyll</w:t>
      </w:r>
      <w:r w:rsidRPr="00973364">
        <w:t xml:space="preserve"> </w:t>
      </w:r>
      <w:r w:rsidRPr="00973364">
        <w:rPr>
          <w:i/>
        </w:rPr>
        <w:t>a</w:t>
      </w:r>
      <w:r w:rsidRPr="00973364">
        <w:t xml:space="preserve"> </w:t>
      </w:r>
      <w:r>
        <w:t xml:space="preserve">(Chl.BoM), </w:t>
      </w:r>
      <w:r w:rsidRPr="00973364">
        <w:t>non-algal particulate (NAP</w:t>
      </w:r>
      <w:r>
        <w:t>.BoM</w:t>
      </w:r>
      <w:r w:rsidRPr="00973364">
        <w:t>)</w:t>
      </w:r>
      <w:r>
        <w:t>, coloured dissolved organic matter</w:t>
      </w:r>
      <w:r w:rsidRPr="00973364">
        <w:t xml:space="preserve"> </w:t>
      </w:r>
      <w:r>
        <w:t xml:space="preserve">(CDOM.BoM) </w:t>
      </w:r>
      <w:r w:rsidRPr="00973364">
        <w:t>concentration</w:t>
      </w:r>
      <w:r>
        <w:t>s and the light extinction coefficient (kd490.BoM)</w:t>
      </w:r>
      <w:r w:rsidRPr="00973364">
        <w:t xml:space="preserve"> derived from </w:t>
      </w:r>
      <w:r>
        <w:t>algorithms applied to</w:t>
      </w:r>
      <w:r w:rsidRPr="00973364">
        <w:t xml:space="preserve"> </w:t>
      </w:r>
      <w:r>
        <w:t xml:space="preserve">data sourced from the </w:t>
      </w:r>
      <w:r w:rsidRPr="00973364">
        <w:t>MODIS aqua satellite</w:t>
      </w:r>
      <w:r w:rsidR="00383A97">
        <w:t>-</w:t>
      </w:r>
      <w:r w:rsidRPr="00973364">
        <w:t>mounted sensor were downloaded from the Australian Bureau of Meteorology</w:t>
      </w:r>
      <w:r w:rsidRPr="00973364">
        <w:rPr>
          <w:rStyle w:val="FootnoteReference"/>
        </w:rPr>
        <w:footnoteReference w:id="7"/>
      </w:r>
      <w:r w:rsidRPr="00973364">
        <w:t xml:space="preserve">. </w:t>
      </w:r>
      <w:r w:rsidR="00F650C0">
        <w:t>Fo</w:t>
      </w:r>
      <w:r>
        <w:t>r</w:t>
      </w:r>
      <w:r w:rsidR="00DD5DBC">
        <w:t xml:space="preserve"> each r</w:t>
      </w:r>
      <w:r>
        <w:t xml:space="preserve">eef </w:t>
      </w:r>
      <w:r w:rsidR="00DD5DBC">
        <w:t>at which coral communities are monitored</w:t>
      </w:r>
      <w:r w:rsidR="00656610">
        <w:t>,</w:t>
      </w:r>
      <w:r w:rsidR="00DD5DBC">
        <w:t xml:space="preserve"> </w:t>
      </w:r>
      <w:r>
        <w:t>a set of nine 1 km</w:t>
      </w:r>
      <w:r w:rsidRPr="00DA55C6">
        <w:rPr>
          <w:vertAlign w:val="superscript"/>
        </w:rPr>
        <w:t>2</w:t>
      </w:r>
      <w:r>
        <w:t xml:space="preserve"> pixels were identified in adjacent open water and monthly mean concentrations downloaded for these pixels. </w:t>
      </w:r>
      <w:r w:rsidRPr="00973364">
        <w:t xml:space="preserve">Spatial gradients in water quality were estimated as the </w:t>
      </w:r>
      <w:r>
        <w:t xml:space="preserve">overall </w:t>
      </w:r>
      <w:r w:rsidRPr="00973364">
        <w:t>mean of monthly median values for individual pixel locations</w:t>
      </w:r>
      <w:r>
        <w:t xml:space="preserve"> for each reef. Means for the wet season were restricted to include only the months November–April.</w:t>
      </w:r>
      <w:r w:rsidRPr="00F352E1">
        <w:rPr>
          <w:color w:val="4F81BD" w:themeColor="accent1"/>
        </w:rPr>
        <w:t xml:space="preserve"> </w:t>
      </w:r>
    </w:p>
    <w:p w14:paraId="0B44104E" w14:textId="77777777" w:rsidR="00D06CC0" w:rsidRPr="007E76C4" w:rsidRDefault="00D06CC0" w:rsidP="00D06CC0">
      <w:pPr>
        <w:rPr>
          <w:i/>
        </w:rPr>
      </w:pPr>
      <w:r w:rsidRPr="007E76C4">
        <w:rPr>
          <w:i/>
        </w:rPr>
        <w:t>Water colour derived estimates</w:t>
      </w:r>
    </w:p>
    <w:p w14:paraId="4D322CEB" w14:textId="77777777" w:rsidR="00D06CC0" w:rsidRDefault="00D06CC0" w:rsidP="00D06CC0">
      <w:r>
        <w:t xml:space="preserve">Relative exposure to Chlorophyll </w:t>
      </w:r>
      <w:r w:rsidRPr="00824220">
        <w:rPr>
          <w:i/>
        </w:rPr>
        <w:t>a</w:t>
      </w:r>
      <w:r>
        <w:rPr>
          <w:i/>
        </w:rPr>
        <w:t xml:space="preserve"> </w:t>
      </w:r>
      <w:r>
        <w:t>(Chl.exp)</w:t>
      </w:r>
      <w:r>
        <w:rPr>
          <w:i/>
        </w:rPr>
        <w:t xml:space="preserve">, </w:t>
      </w:r>
      <w:r>
        <w:t>total suspended solids (TSS.exp), particulate nitrogen (PN.exp) and particulate phosphorus (PP</w:t>
      </w:r>
      <w:r w:rsidR="00DD5DBC">
        <w:t>.exp</w:t>
      </w:r>
      <w:r>
        <w:t xml:space="preserve">) concentrations </w:t>
      </w:r>
      <w:r w:rsidR="00383A97">
        <w:t xml:space="preserve">that were </w:t>
      </w:r>
      <w:r>
        <w:t xml:space="preserve">above wet season guideline levels (GBRMPA 2010) for each reef over the wet season months (December- April) were estimated based on methods developed by the water </w:t>
      </w:r>
      <w:r w:rsidR="00656610">
        <w:t>q</w:t>
      </w:r>
      <w:r>
        <w:t xml:space="preserve">uality component of the MMP (Waterhouse et al. 2017, Petus </w:t>
      </w:r>
      <w:r w:rsidRPr="00DD5DBC">
        <w:rPr>
          <w:i/>
        </w:rPr>
        <w:t>et al.</w:t>
      </w:r>
      <w:r>
        <w:t xml:space="preserve"> 2016). In </w:t>
      </w:r>
      <w:r w:rsidR="00383A97">
        <w:t xml:space="preserve">brief, MODIS </w:t>
      </w:r>
      <w:r>
        <w:t>aqua images were used to classify waters into one of six colour classes that range from those typical of primary (colour classes 1-4), secondary (class 5), or tertiary (class 6) river plumes. It is important to note that waters can be classified in to these colour classes when not exposed to flood plumes</w:t>
      </w:r>
      <w:r w:rsidR="00656610">
        <w:t>,</w:t>
      </w:r>
      <w:r>
        <w:t xml:space="preserve"> as</w:t>
      </w:r>
      <w:r w:rsidR="00656610">
        <w:t xml:space="preserve"> extra plume processes</w:t>
      </w:r>
      <w:r>
        <w:t xml:space="preserve"> such as wind driven resuspension, may produce waters with similar spectral signatures. The lowest (most turbid and nutrient rich) colour class for a given pixel was recorded as the exposure of that pixel in a given week. Matching </w:t>
      </w:r>
      <w:r w:rsidR="00036C05">
        <w:t>in situ</w:t>
      </w:r>
      <w:r>
        <w:t xml:space="preserve"> sampling with the classified colour of the water at the date and location of the sample provided estimates of mean concentration of water quality parameters for each colour class over the period 2003-2016. For each variable</w:t>
      </w:r>
      <w:r w:rsidR="00DD5DBC">
        <w:t>,</w:t>
      </w:r>
      <w:r>
        <w:t xml:space="preserve"> the wet season exposure </w:t>
      </w:r>
      <m:oMath>
        <m:r>
          <w:rPr>
            <w:rFonts w:ascii="Cambria Math" w:hAnsi="Cambria Math"/>
          </w:rPr>
          <m:t>E</m:t>
        </m:r>
      </m:oMath>
      <w:r>
        <w:rPr>
          <w:rFonts w:eastAsiaTheme="minorEastAsia"/>
        </w:rPr>
        <w:t xml:space="preserve"> for each water quality variable </w:t>
      </w:r>
      <w:r w:rsidRPr="00DD4F4D">
        <w:rPr>
          <w:rFonts w:eastAsiaTheme="minorEastAsia"/>
          <w:i/>
        </w:rPr>
        <w:t>j</w:t>
      </w:r>
      <w:r>
        <w:rPr>
          <w:rFonts w:eastAsiaTheme="minorEastAsia"/>
        </w:rPr>
        <w:t xml:space="preserve"> </w:t>
      </w:r>
      <w:r>
        <w:t>was estimated as:</w:t>
      </w:r>
    </w:p>
    <w:p w14:paraId="18F21023" w14:textId="77777777" w:rsidR="00D06CC0" w:rsidRDefault="00A570BE" w:rsidP="00392304">
      <w:pPr>
        <w:jc w:val="center"/>
      </w:pPr>
      <m:oMathPara>
        <m:oMath>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j</m:t>
              </m:r>
            </m:sub>
          </m:sSub>
          <m:r>
            <w:rPr>
              <w:rFonts w:ascii="Cambria Math" w:hAnsi="Cambria Math"/>
            </w:rPr>
            <m:t>=</m:t>
          </m:r>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f</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ij</m:t>
                  </m:r>
                </m:sub>
              </m:sSub>
              <m:r>
                <w:rPr>
                  <w:rFonts w:ascii="Cambria Math" w:hAnsi="Cambria Math"/>
                </w:rPr>
                <m:t>-</m:t>
              </m:r>
              <m:sSub>
                <m:sSubPr>
                  <m:ctrlPr>
                    <w:rPr>
                      <w:rFonts w:ascii="Cambria Math" w:hAnsi="Cambria Math"/>
                      <w:i/>
                    </w:rPr>
                  </m:ctrlPr>
                </m:sSubPr>
                <m:e>
                  <m:r>
                    <w:rPr>
                      <w:rFonts w:ascii="Cambria Math" w:hAnsi="Cambria Math"/>
                    </w:rPr>
                    <m:t>GL</m:t>
                  </m:r>
                </m:e>
                <m:sub>
                  <m:r>
                    <w:rPr>
                      <w:rFonts w:ascii="Cambria Math" w:hAnsi="Cambria Math"/>
                    </w:rPr>
                    <m:t>j</m:t>
                  </m:r>
                </m:sub>
              </m:sSub>
              <m:r>
                <w:rPr>
                  <w:rFonts w:ascii="Cambria Math" w:hAnsi="Cambria Math"/>
                </w:rPr>
                <m:t>)</m:t>
              </m:r>
            </m:e>
          </m:nary>
        </m:oMath>
      </m:oMathPara>
    </w:p>
    <w:p w14:paraId="1961BD3F" w14:textId="77777777" w:rsidR="00D06CC0" w:rsidRDefault="00D06CC0" w:rsidP="00D06CC0">
      <w:r>
        <w:t>Where:</w:t>
      </w:r>
    </w:p>
    <w:p w14:paraId="55A5EC02" w14:textId="77777777" w:rsidR="00D06CC0" w:rsidRDefault="00D06CC0" w:rsidP="00D06CC0">
      <w:r>
        <w:t xml:space="preserve">  </w:t>
      </w:r>
      <m:oMath>
        <m:sSub>
          <m:sSubPr>
            <m:ctrlPr>
              <w:rPr>
                <w:rFonts w:ascii="Cambria Math" w:hAnsi="Cambria Math"/>
                <w:i/>
              </w:rPr>
            </m:ctrlPr>
          </m:sSubPr>
          <m:e>
            <m:r>
              <w:rPr>
                <w:rFonts w:ascii="Cambria Math" w:hAnsi="Cambria Math"/>
              </w:rPr>
              <m:t>f</m:t>
            </m:r>
          </m:e>
          <m:sub>
            <m:r>
              <w:rPr>
                <w:rFonts w:ascii="Cambria Math" w:hAnsi="Cambria Math"/>
              </w:rPr>
              <m:t>i</m:t>
            </m:r>
          </m:sub>
        </m:sSub>
      </m:oMath>
      <w:r>
        <w:t xml:space="preserve"> is the proportion of the wet season that pixel was classified as the </w:t>
      </w:r>
      <w:r w:rsidRPr="00B4107D">
        <w:rPr>
          <w:i/>
        </w:rPr>
        <w:t>i</w:t>
      </w:r>
      <w:r>
        <w:t>th colour class,</w:t>
      </w:r>
    </w:p>
    <w:p w14:paraId="595BE590" w14:textId="77777777" w:rsidR="00D06CC0" w:rsidRDefault="00D06CC0" w:rsidP="00D06CC0">
      <w:r>
        <w:t xml:space="preserve"> </w:t>
      </w:r>
      <m:oMath>
        <m:sSub>
          <m:sSubPr>
            <m:ctrlPr>
              <w:rPr>
                <w:rFonts w:ascii="Cambria Math" w:hAnsi="Cambria Math"/>
                <w:i/>
              </w:rPr>
            </m:ctrlPr>
          </m:sSubPr>
          <m:e>
            <m:r>
              <w:rPr>
                <w:rFonts w:ascii="Cambria Math" w:hAnsi="Cambria Math"/>
              </w:rPr>
              <m:t>C</m:t>
            </m:r>
          </m:e>
          <m:sub>
            <m:r>
              <w:rPr>
                <w:rFonts w:ascii="Cambria Math" w:hAnsi="Cambria Math"/>
              </w:rPr>
              <m:t>ij</m:t>
            </m:r>
          </m:sub>
        </m:sSub>
      </m:oMath>
      <w:r>
        <w:rPr>
          <w:rFonts w:eastAsiaTheme="minorEastAsia"/>
        </w:rPr>
        <w:t xml:space="preserve"> is the mean concentration of the </w:t>
      </w:r>
      <w:r w:rsidRPr="00B4107D">
        <w:rPr>
          <w:rFonts w:eastAsiaTheme="minorEastAsia"/>
          <w:i/>
        </w:rPr>
        <w:t>j</w:t>
      </w:r>
      <w:r>
        <w:rPr>
          <w:rFonts w:eastAsiaTheme="minorEastAsia"/>
        </w:rPr>
        <w:t xml:space="preserve">th  water quality variable in the </w:t>
      </w:r>
      <w:r w:rsidRPr="00B4107D">
        <w:rPr>
          <w:i/>
        </w:rPr>
        <w:t>i</w:t>
      </w:r>
      <w:r>
        <w:t>th colour class and</w:t>
      </w:r>
    </w:p>
    <w:p w14:paraId="3582A12D" w14:textId="77777777" w:rsidR="00D06CC0" w:rsidRDefault="00D06CC0" w:rsidP="00D06CC0">
      <w:r>
        <w:t xml:space="preserve"> </w:t>
      </w:r>
      <m:oMath>
        <m:sSub>
          <m:sSubPr>
            <m:ctrlPr>
              <w:rPr>
                <w:rFonts w:ascii="Cambria Math" w:hAnsi="Cambria Math"/>
                <w:i/>
              </w:rPr>
            </m:ctrlPr>
          </m:sSubPr>
          <m:e>
            <m:r>
              <w:rPr>
                <w:rFonts w:ascii="Cambria Math" w:hAnsi="Cambria Math"/>
              </w:rPr>
              <m:t>GL</m:t>
            </m:r>
          </m:e>
          <m:sub>
            <m:r>
              <w:rPr>
                <w:rFonts w:ascii="Cambria Math" w:hAnsi="Cambria Math"/>
              </w:rPr>
              <m:t>j</m:t>
            </m:r>
          </m:sub>
        </m:sSub>
      </m:oMath>
      <w:r>
        <w:rPr>
          <w:rFonts w:eastAsiaTheme="minorEastAsia"/>
        </w:rPr>
        <w:t xml:space="preserve"> is the wet season guideline value for the </w:t>
      </w:r>
      <w:r w:rsidRPr="00B4107D">
        <w:rPr>
          <w:rFonts w:eastAsiaTheme="minorEastAsia"/>
          <w:i/>
        </w:rPr>
        <w:t>j</w:t>
      </w:r>
      <w:r>
        <w:rPr>
          <w:rFonts w:eastAsiaTheme="minorEastAsia"/>
        </w:rPr>
        <w:t xml:space="preserve">th  water quality variable. </w:t>
      </w:r>
    </w:p>
    <w:p w14:paraId="6F6E0958" w14:textId="77777777" w:rsidR="00D06CC0" w:rsidRDefault="00DD5DBC" w:rsidP="00D06CC0">
      <w:r>
        <w:t>W</w:t>
      </w:r>
      <w:r w:rsidR="00656610">
        <w:t>h</w:t>
      </w:r>
      <w:r>
        <w:t xml:space="preserve">ere </w:t>
      </w:r>
      <w:r w:rsidR="00656610">
        <w:t xml:space="preserve">the </w:t>
      </w:r>
      <w:r>
        <w:t>mean concentration</w:t>
      </w:r>
      <w:r w:rsidR="00D06CC0">
        <w:t xml:space="preserve"> of a water quality variable in a gi</w:t>
      </w:r>
      <w:r>
        <w:t>ven colour class was below the G</w:t>
      </w:r>
      <w:r w:rsidR="00D06CC0">
        <w:t xml:space="preserve">uideline value no exposure was included.  Mean exposures for each reef and variable were the mean </w:t>
      </w:r>
      <m:oMath>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j</m:t>
            </m:r>
          </m:sub>
        </m:sSub>
      </m:oMath>
      <w:r w:rsidR="00D06CC0">
        <w:t xml:space="preserve"> over the 2003-2016 wet season estimates.</w:t>
      </w:r>
    </w:p>
    <w:p w14:paraId="6B69788A" w14:textId="77777777" w:rsidR="00D06CC0" w:rsidRPr="007E76C4" w:rsidRDefault="00D06CC0" w:rsidP="00D06CC0">
      <w:pPr>
        <w:rPr>
          <w:i/>
        </w:rPr>
      </w:pPr>
      <w:r w:rsidRPr="007E76C4">
        <w:rPr>
          <w:i/>
        </w:rPr>
        <w:t>Modelled estimates</w:t>
      </w:r>
    </w:p>
    <w:p w14:paraId="484244D6" w14:textId="77777777" w:rsidR="00D06CC0" w:rsidRDefault="00D06CC0" w:rsidP="00D06CC0">
      <w:r>
        <w:t xml:space="preserve">Model output from the eReefs 4km grid size biogeochemical model (version </w:t>
      </w:r>
      <w:r w:rsidRPr="00540503">
        <w:t>gbr4_bgc_GBR4_H2p0_B2p0_Chyd_Dcrt</w:t>
      </w:r>
      <w:r>
        <w:t>) were downloaded from (</w:t>
      </w:r>
      <w:hyperlink r:id="rId66" w:history="1">
        <w:r w:rsidRPr="003C5AF0">
          <w:rPr>
            <w:rStyle w:val="Hyperlink"/>
          </w:rPr>
          <w:t>http://dapds00.nci.org.au/thredds/catalog/fx3/gbr4_bgc_GBR4_H2p0_B2p0_Chyd_Dnrt</w:t>
        </w:r>
      </w:hyperlink>
      <w:r>
        <w:t xml:space="preserve">). For each reef,  monthly mean estimates for the period Dec-2010 to Oct-2016 </w:t>
      </w:r>
      <w:r w:rsidR="005A2513">
        <w:t xml:space="preserve">were extracted </w:t>
      </w:r>
      <w:r w:rsidR="0094601C">
        <w:t>from</w:t>
      </w:r>
      <w:r>
        <w:t xml:space="preserve"> the pixel containing the waypoint used as the centre point of the nine 1km pixels used for the colour class and algorithm base</w:t>
      </w:r>
      <w:r w:rsidR="0094601C">
        <w:t>d</w:t>
      </w:r>
      <w:r>
        <w:t xml:space="preserve"> estimates. The variables included were “Total Chlorophyll” (Chl.eR), </w:t>
      </w:r>
      <w:r w:rsidR="00383A97">
        <w:t xml:space="preserve">a variable termed </w:t>
      </w:r>
      <w:r>
        <w:t>“Ecology Fine Inorganics” (EFI.eR)</w:t>
      </w:r>
      <w:r w:rsidR="000F1F2F">
        <w:t xml:space="preserve"> that estimates </w:t>
      </w:r>
      <w:r w:rsidR="00810131">
        <w:t xml:space="preserve">concentration of </w:t>
      </w:r>
      <w:r w:rsidR="000F1F2F">
        <w:t>s</w:t>
      </w:r>
      <w:r w:rsidR="00871444">
        <w:t>u</w:t>
      </w:r>
      <w:r w:rsidR="000F1F2F">
        <w:t>spended sediment</w:t>
      </w:r>
      <w:r w:rsidR="00810131">
        <w:t>s with particle size</w:t>
      </w:r>
      <w:r w:rsidR="000F1F2F" w:rsidRPr="00810131">
        <w:t xml:space="preserve"> &lt;</w:t>
      </w:r>
      <w:r w:rsidR="00810131" w:rsidRPr="00810131">
        <w:t>3</w:t>
      </w:r>
      <w:r w:rsidR="00810131">
        <w:t>0</w:t>
      </w:r>
      <w:r w:rsidR="00810131">
        <w:rPr>
          <w:rFonts w:cs="Arial"/>
        </w:rPr>
        <w:t>µ</w:t>
      </w:r>
      <w:r w:rsidR="00810131">
        <w:t>m</w:t>
      </w:r>
      <w:r>
        <w:t>, “Dissolved Inorganic Nitrogen” (DIN.eR), “Dissolved Inorganic  Phosphorus” (DIP.eR), “Total N” (TN.e</w:t>
      </w:r>
      <w:r w:rsidR="00656610">
        <w:t>R), “Total P” (TP.eR) and “Vertical  A</w:t>
      </w:r>
      <w:r>
        <w:t>tt</w:t>
      </w:r>
      <w:r w:rsidR="00656610">
        <w:t>enuation</w:t>
      </w:r>
      <w:r>
        <w:t xml:space="preserve"> At 490nm” (Kd490.eR). Data were aggregated (mean) to produce mean water-year (October-September), and wet-season (December-April) estimates for each location</w:t>
      </w:r>
      <w:r w:rsidR="00656610">
        <w:t>.</w:t>
      </w:r>
      <w:r>
        <w:t xml:space="preserve"> </w:t>
      </w:r>
    </w:p>
    <w:p w14:paraId="3157A594" w14:textId="77777777" w:rsidR="00D06CC0" w:rsidRDefault="005E056C" w:rsidP="00D06CC0">
      <w:r>
        <w:t>S</w:t>
      </w:r>
      <w:r w:rsidR="00D06CC0">
        <w:t>election of the most appropriate variables to be used as covariates in analysis was informed by considering both the correlation between estimates from a given source, and then the consistency of estimated gradients to those directly measured at a subset of sites. Comparisons are based on spearman correlation coefficients.</w:t>
      </w:r>
    </w:p>
    <w:p w14:paraId="0A77DE75" w14:textId="77777777" w:rsidR="00D06CC0" w:rsidRPr="00FC3945" w:rsidRDefault="00D06CC0" w:rsidP="00606A50">
      <w:pPr>
        <w:pStyle w:val="Heading4"/>
      </w:pPr>
      <w:r w:rsidRPr="00FC3945">
        <w:t xml:space="preserve">Comparing water quality gradients estimated from Wet season or overall conditions. </w:t>
      </w:r>
    </w:p>
    <w:p w14:paraId="339DF11E" w14:textId="77777777" w:rsidR="00D06CC0" w:rsidRDefault="00D06CC0" w:rsidP="00D06CC0">
      <w:r>
        <w:t xml:space="preserve">Both the algorithm and eReefs modelled estimates can be aggregated to the level of annual estimates for each reef by including only wet season </w:t>
      </w:r>
      <w:r w:rsidR="00DD5DBC">
        <w:t>or all months</w:t>
      </w:r>
      <w:r>
        <w:t>. In both data sets</w:t>
      </w:r>
      <w:r w:rsidR="00656610">
        <w:t>,</w:t>
      </w:r>
      <w:r>
        <w:t xml:space="preserve"> annual estimates at each reef based on estimates from the wet season only were highly correlated with those that included </w:t>
      </w:r>
      <w:r w:rsidR="00DD5DBC">
        <w:t>all months</w:t>
      </w:r>
      <w:r>
        <w:t>. For the parameters estimated by the eReefs model the least correlated was EFI with a correlation coefficient of 0.94. For the parameters estimated by the algorithms applied to MODIS imagery</w:t>
      </w:r>
      <w:r w:rsidR="00656610">
        <w:t>,</w:t>
      </w:r>
      <w:r>
        <w:t xml:space="preserve"> the least correlated was NAP with a correlation coefficient of 0.94. For temporal analyses these results suggest there is little difference in the annual gradients described with or without dry season estimates. As any runoff derived impacts are most likely to occur during flood events</w:t>
      </w:r>
      <w:r w:rsidR="005E056C">
        <w:t>,</w:t>
      </w:r>
      <w:r>
        <w:t xml:space="preserve"> for temporal analyses it is appropriate to focus on conditions during the wet season. </w:t>
      </w:r>
    </w:p>
    <w:p w14:paraId="4D37D1BB" w14:textId="77777777" w:rsidR="00D06CC0" w:rsidRPr="00FC3945" w:rsidRDefault="00D06CC0" w:rsidP="00606A50">
      <w:pPr>
        <w:pStyle w:val="Heading4"/>
      </w:pPr>
      <w:r w:rsidRPr="00FC3945">
        <w:t xml:space="preserve">Correlation between parameter estimates within each source. </w:t>
      </w:r>
    </w:p>
    <w:p w14:paraId="7175D7DC" w14:textId="1F2421F0" w:rsidR="00D06CC0" w:rsidRDefault="00D06CC0" w:rsidP="00D06CC0">
      <w:r>
        <w:t xml:space="preserve">The strong gradient in water quality among sites means that different WQ parameters are often correlated. Pragmatically, the correlation among variables suggest they </w:t>
      </w:r>
      <w:r w:rsidR="003F1C58">
        <w:t>are effectively proxies for one another,</w:t>
      </w:r>
      <w:r>
        <w:t xml:space="preserve"> meaning that there is little added information content for models that include multiple correlated covariates. For linear models, collinearity among covariates renders the individual estimates for effects unreliable (Logan 2010). Comparing just the annual wet season estimates for the BoM algorithms suggest that CDOM</w:t>
      </w:r>
      <w:r w:rsidR="003F1C58">
        <w:t>.BoM</w:t>
      </w:r>
      <w:r w:rsidR="00144BBB">
        <w:t>, Chl</w:t>
      </w:r>
      <w:r w:rsidR="003F1C58">
        <w:rPr>
          <w:i/>
        </w:rPr>
        <w:t>.</w:t>
      </w:r>
      <w:r w:rsidR="003F1C58" w:rsidRPr="003F1C58">
        <w:t>BoM</w:t>
      </w:r>
      <w:r>
        <w:t xml:space="preserve"> and Kd490</w:t>
      </w:r>
      <w:r w:rsidR="003F1C58">
        <w:t>.BoM</w:t>
      </w:r>
      <w:r>
        <w:t xml:space="preserve"> are all closely correlated</w:t>
      </w:r>
      <w:r w:rsidR="003F1C58">
        <w:t xml:space="preserve"> (</w:t>
      </w:r>
      <w:r w:rsidR="003F1C58">
        <w:fldChar w:fldCharType="begin"/>
      </w:r>
      <w:r w:rsidR="003F1C58">
        <w:instrText xml:space="preserve"> REF _Ref501703252 \h </w:instrText>
      </w:r>
      <w:r w:rsidR="003F1C58">
        <w:fldChar w:fldCharType="separate"/>
      </w:r>
      <w:r w:rsidR="00A75175">
        <w:t xml:space="preserve">Table </w:t>
      </w:r>
      <w:r w:rsidR="00A75175">
        <w:rPr>
          <w:noProof/>
        </w:rPr>
        <w:t>19</w:t>
      </w:r>
      <w:r w:rsidR="003F1C58">
        <w:fldChar w:fldCharType="end"/>
      </w:r>
      <w:r w:rsidR="003F1C58">
        <w:t>)</w:t>
      </w:r>
      <w:r>
        <w:t xml:space="preserve">. While this correlation </w:t>
      </w:r>
      <w:r w:rsidR="003F1C58">
        <w:t>m</w:t>
      </w:r>
      <w:r>
        <w:t>ay well represent real levels of these parameters</w:t>
      </w:r>
      <w:r w:rsidR="00656610">
        <w:t>,</w:t>
      </w:r>
      <w:r>
        <w:t xml:space="preserve"> it does limit the</w:t>
      </w:r>
      <w:r w:rsidR="003F1C58">
        <w:t>ir</w:t>
      </w:r>
      <w:r>
        <w:t xml:space="preserve"> utility as separate covariates with which to explain variability in coral community responses. NAP</w:t>
      </w:r>
      <w:r w:rsidR="003F1C58">
        <w:t>.BoM</w:t>
      </w:r>
      <w:r>
        <w:t xml:space="preserve"> is less correlated to CDOM</w:t>
      </w:r>
      <w:r w:rsidR="003F1C58">
        <w:t>.BoM</w:t>
      </w:r>
      <w:r w:rsidR="00144BBB">
        <w:t xml:space="preserve"> and Chl</w:t>
      </w:r>
      <w:r w:rsidR="003F1C58">
        <w:rPr>
          <w:i/>
        </w:rPr>
        <w:t>.</w:t>
      </w:r>
      <w:r w:rsidR="003F1C58" w:rsidRPr="003F1C58">
        <w:t>BoM</w:t>
      </w:r>
      <w:r w:rsidR="003F1C58">
        <w:t>,</w:t>
      </w:r>
      <w:r>
        <w:t xml:space="preserve"> </w:t>
      </w:r>
      <w:r w:rsidR="002F33D9">
        <w:t>al</w:t>
      </w:r>
      <w:r>
        <w:t>though is lo</w:t>
      </w:r>
      <w:r w:rsidR="003F1C58">
        <w:t>gically correlated to K</w:t>
      </w:r>
      <w:r>
        <w:t>d490</w:t>
      </w:r>
      <w:r w:rsidR="003F1C58">
        <w:t>.BoM</w:t>
      </w:r>
      <w:r>
        <w:t xml:space="preserve"> (</w:t>
      </w:r>
      <w:r w:rsidR="0024084A">
        <w:fldChar w:fldCharType="begin"/>
      </w:r>
      <w:r w:rsidR="0024084A">
        <w:instrText xml:space="preserve"> REF _Ref501703252 \h </w:instrText>
      </w:r>
      <w:r w:rsidR="0024084A">
        <w:fldChar w:fldCharType="separate"/>
      </w:r>
      <w:r w:rsidR="00A75175">
        <w:t xml:space="preserve">Table </w:t>
      </w:r>
      <w:r w:rsidR="00A75175">
        <w:rPr>
          <w:noProof/>
        </w:rPr>
        <w:t>19</w:t>
      </w:r>
      <w:r w:rsidR="0024084A">
        <w:fldChar w:fldCharType="end"/>
      </w:r>
      <w:r>
        <w:t>).</w:t>
      </w:r>
    </w:p>
    <w:p w14:paraId="50E70676" w14:textId="77777777" w:rsidR="00D06CC0" w:rsidRDefault="00D06CC0" w:rsidP="00D06CC0">
      <w:r>
        <w:t>Comparing estimates derived from the eReefs model understandably demon</w:t>
      </w:r>
      <w:r w:rsidR="00144BBB">
        <w:t>strates correlation between Chl</w:t>
      </w:r>
      <w:r w:rsidR="003F1C58">
        <w:rPr>
          <w:i/>
        </w:rPr>
        <w:t>.</w:t>
      </w:r>
      <w:r w:rsidR="003F1C58" w:rsidRPr="003F1C58">
        <w:t>eR</w:t>
      </w:r>
      <w:r w:rsidRPr="003F1C58">
        <w:t xml:space="preserve"> </w:t>
      </w:r>
      <w:r>
        <w:t>concentration</w:t>
      </w:r>
      <w:r w:rsidR="003F1C58">
        <w:t xml:space="preserve"> and nutrients</w:t>
      </w:r>
      <w:r>
        <w:t>: TN</w:t>
      </w:r>
      <w:r w:rsidR="00144BBB">
        <w:t>.</w:t>
      </w:r>
      <w:r w:rsidR="003F1C58" w:rsidRPr="003F1C58">
        <w:t>eR</w:t>
      </w:r>
      <w:r w:rsidR="003F1C58">
        <w:t>,</w:t>
      </w:r>
      <w:r>
        <w:t xml:space="preserve"> TP</w:t>
      </w:r>
      <w:r w:rsidR="00144BBB">
        <w:t>.</w:t>
      </w:r>
      <w:r w:rsidR="00144BBB" w:rsidRPr="003F1C58">
        <w:t>eR</w:t>
      </w:r>
      <w:r w:rsidR="003F1C58">
        <w:t>,</w:t>
      </w:r>
      <w:r>
        <w:t xml:space="preserve"> DIP</w:t>
      </w:r>
      <w:r w:rsidR="00144BBB">
        <w:t>.</w:t>
      </w:r>
      <w:r w:rsidR="00144BBB" w:rsidRPr="003F1C58">
        <w:t>eR</w:t>
      </w:r>
      <w:r>
        <w:t xml:space="preserve"> and to a lesser degree DIN</w:t>
      </w:r>
      <w:r w:rsidR="00144BBB">
        <w:t>.</w:t>
      </w:r>
      <w:r w:rsidR="00144BBB" w:rsidRPr="003F1C58">
        <w:t>eR</w:t>
      </w:r>
      <w:r>
        <w:t xml:space="preserve">. </w:t>
      </w:r>
      <w:r w:rsidR="003F1C58">
        <w:t>Among nutrients the total fractions, TN</w:t>
      </w:r>
      <w:r w:rsidR="00144BBB">
        <w:t>.</w:t>
      </w:r>
      <w:r w:rsidR="00144BBB" w:rsidRPr="003F1C58">
        <w:t>eR</w:t>
      </w:r>
      <w:r w:rsidR="003F1C58">
        <w:t xml:space="preserve"> and TP</w:t>
      </w:r>
      <w:r w:rsidR="00144BBB">
        <w:t>.</w:t>
      </w:r>
      <w:r w:rsidR="00144BBB" w:rsidRPr="003F1C58">
        <w:t>eR</w:t>
      </w:r>
      <w:r w:rsidR="003F1C58">
        <w:t>, are highly correlated as are the dissolved inorganic fractions DIN</w:t>
      </w:r>
      <w:r w:rsidR="00144BBB">
        <w:t>.</w:t>
      </w:r>
      <w:r w:rsidR="00144BBB" w:rsidRPr="003F1C58">
        <w:t>eR</w:t>
      </w:r>
      <w:r w:rsidR="003F1C58">
        <w:t xml:space="preserve"> and DIP</w:t>
      </w:r>
      <w:r w:rsidR="00144BBB">
        <w:t>.</w:t>
      </w:r>
      <w:r w:rsidR="00144BBB" w:rsidRPr="003F1C58">
        <w:t>eR</w:t>
      </w:r>
      <w:r w:rsidR="003F1C58">
        <w:t xml:space="preserve">. </w:t>
      </w:r>
      <w:r>
        <w:t>Light attenuation</w:t>
      </w:r>
      <w:r w:rsidR="002F33D9">
        <w:t>,</w:t>
      </w:r>
      <w:r>
        <w:t xml:space="preserve"> Kd490</w:t>
      </w:r>
      <w:r w:rsidR="00144BBB">
        <w:t>.</w:t>
      </w:r>
      <w:r w:rsidR="00144BBB" w:rsidRPr="003F1C58">
        <w:t>eR</w:t>
      </w:r>
      <w:r w:rsidR="002F33D9">
        <w:t>,</w:t>
      </w:r>
      <w:r>
        <w:t xml:space="preserve"> correlates with both EFI</w:t>
      </w:r>
      <w:r w:rsidR="00144BBB">
        <w:t>.</w:t>
      </w:r>
      <w:r w:rsidR="00144BBB" w:rsidRPr="003F1C58">
        <w:t>eR</w:t>
      </w:r>
      <w:r>
        <w:t xml:space="preserve"> and Chl</w:t>
      </w:r>
      <w:r w:rsidR="00144BBB">
        <w:t>.</w:t>
      </w:r>
      <w:r w:rsidR="00144BBB" w:rsidRPr="003F1C58">
        <w:t>eR</w:t>
      </w:r>
      <w:r>
        <w:t xml:space="preserve">, </w:t>
      </w:r>
      <w:r w:rsidR="002F33D9">
        <w:t>while</w:t>
      </w:r>
      <w:r>
        <w:t xml:space="preserve"> the later are not highly correlated with each other. The correlations among the eReefs parameters reflect the capturing in the model of the general understanding that Chl </w:t>
      </w:r>
      <w:r w:rsidRPr="001E34EE">
        <w:rPr>
          <w:i/>
        </w:rPr>
        <w:t>a</w:t>
      </w:r>
      <w:r>
        <w:t xml:space="preserve"> is a proxy for nutrient availability and</w:t>
      </w:r>
      <w:r w:rsidR="0094601C">
        <w:t>,</w:t>
      </w:r>
      <w:r>
        <w:t xml:space="preserve"> in combination with suspended sediments (EFI)</w:t>
      </w:r>
      <w:r w:rsidR="005E056C">
        <w:t>,</w:t>
      </w:r>
      <w:r>
        <w:t xml:space="preserve"> increase</w:t>
      </w:r>
      <w:r w:rsidR="0094601C">
        <w:t>s</w:t>
      </w:r>
      <w:r>
        <w:t xml:space="preserve"> the attenuation of light.</w:t>
      </w:r>
    </w:p>
    <w:p w14:paraId="49EFBA4D" w14:textId="564B686A" w:rsidR="00D06CC0" w:rsidRDefault="00D06CC0" w:rsidP="00D06CC0">
      <w:r>
        <w:t>The method for estimating water quality exposure</w:t>
      </w:r>
      <w:r w:rsidR="005E056C">
        <w:t xml:space="preserve"> based on water colour</w:t>
      </w:r>
      <w:r>
        <w:t xml:space="preserve"> includes multiplication of the measured concentrations of water quality parameters by the frequency of exposure to each colour class. This multiplication by a constant, the frequency of exposure, dictates the highly correlated estimates among variables (</w:t>
      </w:r>
      <w:r w:rsidR="0024084A">
        <w:fldChar w:fldCharType="begin"/>
      </w:r>
      <w:r w:rsidR="0024084A">
        <w:instrText xml:space="preserve"> REF _Ref501703792 \h </w:instrText>
      </w:r>
      <w:r w:rsidR="0024084A">
        <w:fldChar w:fldCharType="separate"/>
      </w:r>
      <w:r w:rsidR="00A75175">
        <w:t xml:space="preserve">Table </w:t>
      </w:r>
      <w:r w:rsidR="00A75175">
        <w:rPr>
          <w:noProof/>
        </w:rPr>
        <w:t>21</w:t>
      </w:r>
      <w:r w:rsidR="0024084A">
        <w:fldChar w:fldCharType="end"/>
      </w:r>
      <w:r>
        <w:t>). The higher c</w:t>
      </w:r>
      <w:r w:rsidR="00144BBB">
        <w:t>orrelation between the nutrient</w:t>
      </w:r>
      <w:r>
        <w:t xml:space="preserve"> parameters and Chl </w:t>
      </w:r>
      <w:r w:rsidRPr="00144BBB">
        <w:rPr>
          <w:i/>
        </w:rPr>
        <w:t>a</w:t>
      </w:r>
      <w:r w:rsidR="00144BBB">
        <w:rPr>
          <w:i/>
        </w:rPr>
        <w:t>.</w:t>
      </w:r>
      <w:r w:rsidR="00144BBB" w:rsidRPr="00144BBB">
        <w:t>exp</w:t>
      </w:r>
      <w:r>
        <w:t xml:space="preserve"> compared to TSS</w:t>
      </w:r>
      <w:r w:rsidR="00144BBB">
        <w:t>.exp</w:t>
      </w:r>
      <w:r>
        <w:t xml:space="preserve"> do</w:t>
      </w:r>
      <w:r w:rsidR="00656610">
        <w:t>es</w:t>
      </w:r>
      <w:r>
        <w:t xml:space="preserve">, however,  demonstrate the differing rate of reduction in exposure between colour classes with exposure to above guideline values declining more rapidly for TSS compared to Chl </w:t>
      </w:r>
      <w:r w:rsidRPr="00144BBB">
        <w:rPr>
          <w:i/>
        </w:rPr>
        <w:t>a</w:t>
      </w:r>
      <w:r>
        <w:t xml:space="preserve">.  </w:t>
      </w:r>
    </w:p>
    <w:p w14:paraId="0CCB0939" w14:textId="77777777" w:rsidR="00D06CC0" w:rsidRDefault="00CF08AD" w:rsidP="00606A50">
      <w:pPr>
        <w:pStyle w:val="Caption"/>
      </w:pPr>
      <w:bookmarkStart w:id="306" w:name="_Ref501703252"/>
      <w:bookmarkStart w:id="307" w:name="_Toc514407867"/>
      <w:r>
        <w:t xml:space="preserve">Table </w:t>
      </w:r>
      <w:r>
        <w:fldChar w:fldCharType="begin"/>
      </w:r>
      <w:r>
        <w:instrText xml:space="preserve"> SEQ Table \* ARABIC </w:instrText>
      </w:r>
      <w:r>
        <w:fldChar w:fldCharType="separate"/>
      </w:r>
      <w:r w:rsidR="00A75175">
        <w:rPr>
          <w:noProof/>
        </w:rPr>
        <w:t>19</w:t>
      </w:r>
      <w:r>
        <w:fldChar w:fldCharType="end"/>
      </w:r>
      <w:bookmarkEnd w:id="306"/>
      <w:r>
        <w:t xml:space="preserve"> </w:t>
      </w:r>
      <w:r w:rsidR="00D06CC0">
        <w:t>Correlation between wa</w:t>
      </w:r>
      <w:r>
        <w:t xml:space="preserve">ter-quality parameters </w:t>
      </w:r>
      <w:r w:rsidR="00935A55">
        <w:t>available from eReefs Marine Water Quality Dashboard. Data assessed were the mean concentrations for the period 2003-2016 for pixels adjacent to monitored reefs.</w:t>
      </w:r>
      <w:bookmarkEnd w:id="307"/>
      <w:r w:rsidR="00D06CC0">
        <w:t xml:space="preserve"> </w:t>
      </w:r>
    </w:p>
    <w:tbl>
      <w:tblPr>
        <w:tblStyle w:val="TableGrid"/>
        <w:tblW w:w="0" w:type="auto"/>
        <w:tblLook w:val="04A0" w:firstRow="1" w:lastRow="0" w:firstColumn="1" w:lastColumn="0" w:noHBand="0" w:noVBand="1"/>
        <w:tblCaption w:val="Correlation between water-quality parameters available from eReefs Marine Water Quality Dashboard"/>
        <w:tblDescription w:val="Table of correlation coefficients as discussed in main text"/>
      </w:tblPr>
      <w:tblGrid>
        <w:gridCol w:w="2254"/>
        <w:gridCol w:w="2254"/>
        <w:gridCol w:w="2254"/>
        <w:gridCol w:w="2254"/>
      </w:tblGrid>
      <w:tr w:rsidR="00D06CC0" w14:paraId="649BF755" w14:textId="77777777" w:rsidTr="001E472C">
        <w:trPr>
          <w:tblHeader/>
        </w:trPr>
        <w:tc>
          <w:tcPr>
            <w:tcW w:w="2254" w:type="dxa"/>
            <w:vAlign w:val="bottom"/>
          </w:tcPr>
          <w:p w14:paraId="642D7CBD" w14:textId="77777777" w:rsidR="00D06CC0" w:rsidRPr="00935A55" w:rsidRDefault="00D06CC0" w:rsidP="00D06CC0">
            <w:pPr>
              <w:rPr>
                <w:rStyle w:val="IntenseReference"/>
              </w:rPr>
            </w:pPr>
          </w:p>
        </w:tc>
        <w:tc>
          <w:tcPr>
            <w:tcW w:w="2254" w:type="dxa"/>
            <w:vAlign w:val="bottom"/>
          </w:tcPr>
          <w:p w14:paraId="40173EDE" w14:textId="77777777" w:rsidR="00D06CC0" w:rsidRPr="00935A55" w:rsidRDefault="00D06CC0" w:rsidP="00D06CC0">
            <w:pPr>
              <w:rPr>
                <w:rStyle w:val="IntenseReference"/>
              </w:rPr>
            </w:pPr>
            <w:r w:rsidRPr="00935A55">
              <w:rPr>
                <w:rStyle w:val="IntenseReference"/>
              </w:rPr>
              <w:t>CDOM.BoM</w:t>
            </w:r>
          </w:p>
        </w:tc>
        <w:tc>
          <w:tcPr>
            <w:tcW w:w="2254" w:type="dxa"/>
            <w:vAlign w:val="bottom"/>
          </w:tcPr>
          <w:p w14:paraId="56D3AD2E" w14:textId="77777777" w:rsidR="00D06CC0" w:rsidRPr="00935A55" w:rsidRDefault="00D06CC0" w:rsidP="00D06CC0">
            <w:pPr>
              <w:rPr>
                <w:rStyle w:val="IntenseReference"/>
              </w:rPr>
            </w:pPr>
            <w:r w:rsidRPr="00935A55">
              <w:rPr>
                <w:rStyle w:val="IntenseReference"/>
              </w:rPr>
              <w:t>Chl.BoM</w:t>
            </w:r>
          </w:p>
        </w:tc>
        <w:tc>
          <w:tcPr>
            <w:tcW w:w="2254" w:type="dxa"/>
            <w:vAlign w:val="bottom"/>
          </w:tcPr>
          <w:p w14:paraId="11A79215" w14:textId="77777777" w:rsidR="00D06CC0" w:rsidRPr="00935A55" w:rsidRDefault="00D06CC0" w:rsidP="00D06CC0">
            <w:pPr>
              <w:rPr>
                <w:rStyle w:val="IntenseReference"/>
              </w:rPr>
            </w:pPr>
            <w:r w:rsidRPr="00935A55">
              <w:rPr>
                <w:rStyle w:val="IntenseReference"/>
              </w:rPr>
              <w:t>Kd490.BoM</w:t>
            </w:r>
          </w:p>
        </w:tc>
      </w:tr>
      <w:tr w:rsidR="00D06CC0" w14:paraId="0FA999BE" w14:textId="77777777" w:rsidTr="001E472C">
        <w:trPr>
          <w:tblHeader/>
        </w:trPr>
        <w:tc>
          <w:tcPr>
            <w:tcW w:w="2254" w:type="dxa"/>
            <w:vAlign w:val="bottom"/>
          </w:tcPr>
          <w:p w14:paraId="4E6C7190" w14:textId="77777777" w:rsidR="00D06CC0" w:rsidRPr="00935A55" w:rsidRDefault="00D06CC0" w:rsidP="00D06CC0">
            <w:pPr>
              <w:rPr>
                <w:rStyle w:val="IntenseReference"/>
              </w:rPr>
            </w:pPr>
            <w:r w:rsidRPr="00935A55">
              <w:rPr>
                <w:rStyle w:val="IntenseReference"/>
              </w:rPr>
              <w:t>CDOM.BoM</w:t>
            </w:r>
          </w:p>
        </w:tc>
        <w:tc>
          <w:tcPr>
            <w:tcW w:w="2254" w:type="dxa"/>
            <w:vAlign w:val="bottom"/>
          </w:tcPr>
          <w:p w14:paraId="314D7A8E" w14:textId="77777777" w:rsidR="00D06CC0" w:rsidRPr="00935A55" w:rsidRDefault="00D06CC0" w:rsidP="00D06CC0">
            <w:pPr>
              <w:rPr>
                <w:rStyle w:val="IntenseReference"/>
              </w:rPr>
            </w:pPr>
            <w:r w:rsidRPr="00935A55">
              <w:rPr>
                <w:rStyle w:val="IntenseReference"/>
              </w:rPr>
              <w:t>1</w:t>
            </w:r>
          </w:p>
        </w:tc>
        <w:tc>
          <w:tcPr>
            <w:tcW w:w="2254" w:type="dxa"/>
            <w:vAlign w:val="bottom"/>
          </w:tcPr>
          <w:p w14:paraId="046359E1" w14:textId="77777777" w:rsidR="00D06CC0" w:rsidRPr="00935A55" w:rsidRDefault="00D06CC0" w:rsidP="00D06CC0">
            <w:pPr>
              <w:rPr>
                <w:rStyle w:val="IntenseReference"/>
              </w:rPr>
            </w:pPr>
          </w:p>
        </w:tc>
        <w:tc>
          <w:tcPr>
            <w:tcW w:w="2254" w:type="dxa"/>
            <w:vAlign w:val="bottom"/>
          </w:tcPr>
          <w:p w14:paraId="727BBA5E" w14:textId="77777777" w:rsidR="00D06CC0" w:rsidRPr="00935A55" w:rsidRDefault="00D06CC0" w:rsidP="00D06CC0">
            <w:pPr>
              <w:rPr>
                <w:rStyle w:val="IntenseReference"/>
              </w:rPr>
            </w:pPr>
          </w:p>
        </w:tc>
      </w:tr>
      <w:tr w:rsidR="00D06CC0" w14:paraId="72E2C559" w14:textId="77777777" w:rsidTr="001E472C">
        <w:trPr>
          <w:tblHeader/>
        </w:trPr>
        <w:tc>
          <w:tcPr>
            <w:tcW w:w="2254" w:type="dxa"/>
            <w:vAlign w:val="bottom"/>
          </w:tcPr>
          <w:p w14:paraId="787BCF95" w14:textId="77777777" w:rsidR="00D06CC0" w:rsidRPr="00935A55" w:rsidRDefault="00D06CC0" w:rsidP="00D06CC0">
            <w:pPr>
              <w:rPr>
                <w:rStyle w:val="IntenseReference"/>
              </w:rPr>
            </w:pPr>
            <w:r w:rsidRPr="00935A55">
              <w:rPr>
                <w:rStyle w:val="IntenseReference"/>
              </w:rPr>
              <w:t>Chl.BoM</w:t>
            </w:r>
          </w:p>
        </w:tc>
        <w:tc>
          <w:tcPr>
            <w:tcW w:w="2254" w:type="dxa"/>
            <w:vAlign w:val="bottom"/>
          </w:tcPr>
          <w:p w14:paraId="40D784DC" w14:textId="77777777" w:rsidR="00D06CC0" w:rsidRPr="00935A55" w:rsidRDefault="00D06CC0" w:rsidP="00D06CC0">
            <w:pPr>
              <w:rPr>
                <w:rStyle w:val="IntenseReference"/>
              </w:rPr>
            </w:pPr>
            <w:r w:rsidRPr="00935A55">
              <w:rPr>
                <w:rStyle w:val="IntenseReference"/>
              </w:rPr>
              <w:t>0.948566</w:t>
            </w:r>
          </w:p>
        </w:tc>
        <w:tc>
          <w:tcPr>
            <w:tcW w:w="2254" w:type="dxa"/>
            <w:vAlign w:val="bottom"/>
          </w:tcPr>
          <w:p w14:paraId="2710BDF8" w14:textId="77777777" w:rsidR="00D06CC0" w:rsidRPr="00935A55" w:rsidRDefault="00D06CC0" w:rsidP="00D06CC0">
            <w:pPr>
              <w:rPr>
                <w:rStyle w:val="IntenseReference"/>
              </w:rPr>
            </w:pPr>
            <w:r w:rsidRPr="00935A55">
              <w:rPr>
                <w:rStyle w:val="IntenseReference"/>
              </w:rPr>
              <w:t>1</w:t>
            </w:r>
          </w:p>
        </w:tc>
        <w:tc>
          <w:tcPr>
            <w:tcW w:w="2254" w:type="dxa"/>
            <w:vAlign w:val="bottom"/>
          </w:tcPr>
          <w:p w14:paraId="4854A8F6" w14:textId="77777777" w:rsidR="00D06CC0" w:rsidRPr="00935A55" w:rsidRDefault="00D06CC0" w:rsidP="00D06CC0">
            <w:pPr>
              <w:rPr>
                <w:rStyle w:val="IntenseReference"/>
              </w:rPr>
            </w:pPr>
          </w:p>
        </w:tc>
      </w:tr>
      <w:tr w:rsidR="00D06CC0" w14:paraId="5B33FF7B" w14:textId="77777777" w:rsidTr="001E472C">
        <w:trPr>
          <w:tblHeader/>
        </w:trPr>
        <w:tc>
          <w:tcPr>
            <w:tcW w:w="2254" w:type="dxa"/>
            <w:vAlign w:val="bottom"/>
          </w:tcPr>
          <w:p w14:paraId="00B9DB53" w14:textId="77777777" w:rsidR="00D06CC0" w:rsidRPr="00935A55" w:rsidRDefault="00D06CC0" w:rsidP="00D06CC0">
            <w:pPr>
              <w:rPr>
                <w:rStyle w:val="IntenseReference"/>
              </w:rPr>
            </w:pPr>
            <w:r w:rsidRPr="00935A55">
              <w:rPr>
                <w:rStyle w:val="IntenseReference"/>
              </w:rPr>
              <w:t>Kd490.BoM</w:t>
            </w:r>
          </w:p>
        </w:tc>
        <w:tc>
          <w:tcPr>
            <w:tcW w:w="2254" w:type="dxa"/>
            <w:vAlign w:val="bottom"/>
          </w:tcPr>
          <w:p w14:paraId="751FB985" w14:textId="77777777" w:rsidR="00D06CC0" w:rsidRPr="00935A55" w:rsidRDefault="00D06CC0" w:rsidP="00D06CC0">
            <w:pPr>
              <w:rPr>
                <w:rStyle w:val="IntenseReference"/>
              </w:rPr>
            </w:pPr>
            <w:r w:rsidRPr="00935A55">
              <w:rPr>
                <w:rStyle w:val="IntenseReference"/>
              </w:rPr>
              <w:t>0.953245</w:t>
            </w:r>
          </w:p>
        </w:tc>
        <w:tc>
          <w:tcPr>
            <w:tcW w:w="2254" w:type="dxa"/>
            <w:vAlign w:val="bottom"/>
          </w:tcPr>
          <w:p w14:paraId="5D1D1043" w14:textId="77777777" w:rsidR="00D06CC0" w:rsidRPr="00935A55" w:rsidRDefault="00D06CC0" w:rsidP="00D06CC0">
            <w:pPr>
              <w:rPr>
                <w:rStyle w:val="IntenseReference"/>
              </w:rPr>
            </w:pPr>
            <w:r w:rsidRPr="00935A55">
              <w:rPr>
                <w:rStyle w:val="IntenseReference"/>
              </w:rPr>
              <w:t>0.908794</w:t>
            </w:r>
          </w:p>
        </w:tc>
        <w:tc>
          <w:tcPr>
            <w:tcW w:w="2254" w:type="dxa"/>
            <w:vAlign w:val="bottom"/>
          </w:tcPr>
          <w:p w14:paraId="3F05C3C4" w14:textId="77777777" w:rsidR="00D06CC0" w:rsidRPr="00935A55" w:rsidRDefault="00D06CC0" w:rsidP="00D06CC0">
            <w:pPr>
              <w:rPr>
                <w:rStyle w:val="IntenseReference"/>
              </w:rPr>
            </w:pPr>
            <w:r w:rsidRPr="00935A55">
              <w:rPr>
                <w:rStyle w:val="IntenseReference"/>
              </w:rPr>
              <w:t>1</w:t>
            </w:r>
          </w:p>
        </w:tc>
      </w:tr>
      <w:tr w:rsidR="00D06CC0" w14:paraId="3A8920DE" w14:textId="77777777" w:rsidTr="001E472C">
        <w:trPr>
          <w:tblHeader/>
        </w:trPr>
        <w:tc>
          <w:tcPr>
            <w:tcW w:w="2254" w:type="dxa"/>
            <w:vAlign w:val="bottom"/>
          </w:tcPr>
          <w:p w14:paraId="74DD043F" w14:textId="77777777" w:rsidR="00D06CC0" w:rsidRPr="00935A55" w:rsidRDefault="00D06CC0" w:rsidP="00D06CC0">
            <w:pPr>
              <w:rPr>
                <w:rStyle w:val="IntenseReference"/>
              </w:rPr>
            </w:pPr>
            <w:r w:rsidRPr="00935A55">
              <w:rPr>
                <w:rStyle w:val="IntenseReference"/>
              </w:rPr>
              <w:t>NAP.BoM</w:t>
            </w:r>
          </w:p>
        </w:tc>
        <w:tc>
          <w:tcPr>
            <w:tcW w:w="2254" w:type="dxa"/>
            <w:vAlign w:val="bottom"/>
          </w:tcPr>
          <w:p w14:paraId="5DF8DAAC" w14:textId="77777777" w:rsidR="00D06CC0" w:rsidRPr="00935A55" w:rsidRDefault="00D06CC0" w:rsidP="00D06CC0">
            <w:pPr>
              <w:rPr>
                <w:rStyle w:val="IntenseReference"/>
              </w:rPr>
            </w:pPr>
            <w:r w:rsidRPr="00935A55">
              <w:rPr>
                <w:rStyle w:val="IntenseReference"/>
              </w:rPr>
              <w:t>0.812582</w:t>
            </w:r>
          </w:p>
        </w:tc>
        <w:tc>
          <w:tcPr>
            <w:tcW w:w="2254" w:type="dxa"/>
            <w:vAlign w:val="bottom"/>
          </w:tcPr>
          <w:p w14:paraId="2EE9E701" w14:textId="77777777" w:rsidR="00D06CC0" w:rsidRPr="00935A55" w:rsidRDefault="00D06CC0" w:rsidP="00D06CC0">
            <w:pPr>
              <w:rPr>
                <w:rStyle w:val="IntenseReference"/>
              </w:rPr>
            </w:pPr>
            <w:r w:rsidRPr="00935A55">
              <w:rPr>
                <w:rStyle w:val="IntenseReference"/>
              </w:rPr>
              <w:t>0.757309</w:t>
            </w:r>
          </w:p>
        </w:tc>
        <w:tc>
          <w:tcPr>
            <w:tcW w:w="2254" w:type="dxa"/>
            <w:vAlign w:val="bottom"/>
          </w:tcPr>
          <w:p w14:paraId="5E4FE821" w14:textId="77777777" w:rsidR="00D06CC0" w:rsidRPr="00935A55" w:rsidRDefault="00D06CC0" w:rsidP="00D06CC0">
            <w:pPr>
              <w:rPr>
                <w:rStyle w:val="IntenseReference"/>
              </w:rPr>
            </w:pPr>
            <w:r w:rsidRPr="00935A55">
              <w:rPr>
                <w:rStyle w:val="IntenseReference"/>
              </w:rPr>
              <w:t>0.944926</w:t>
            </w:r>
          </w:p>
        </w:tc>
      </w:tr>
    </w:tbl>
    <w:p w14:paraId="39BEA72F" w14:textId="77777777" w:rsidR="00D06CC0" w:rsidRDefault="00D06CC0" w:rsidP="00D06CC0"/>
    <w:p w14:paraId="62209B4D" w14:textId="77777777" w:rsidR="00D06CC0" w:rsidRDefault="00CF08AD" w:rsidP="00606A50">
      <w:pPr>
        <w:pStyle w:val="Caption"/>
      </w:pPr>
      <w:bookmarkStart w:id="308" w:name="_Toc514407868"/>
      <w:r>
        <w:t xml:space="preserve">Table </w:t>
      </w:r>
      <w:r>
        <w:fldChar w:fldCharType="begin"/>
      </w:r>
      <w:r>
        <w:instrText xml:space="preserve"> SEQ Table \* ARABIC </w:instrText>
      </w:r>
      <w:r>
        <w:fldChar w:fldCharType="separate"/>
      </w:r>
      <w:r w:rsidR="00A75175">
        <w:rPr>
          <w:noProof/>
        </w:rPr>
        <w:t>20</w:t>
      </w:r>
      <w:r>
        <w:fldChar w:fldCharType="end"/>
      </w:r>
      <w:r>
        <w:t xml:space="preserve"> </w:t>
      </w:r>
      <w:r w:rsidR="00D06CC0">
        <w:t xml:space="preserve">Correlation between </w:t>
      </w:r>
      <w:r>
        <w:t>water-quality parameter</w:t>
      </w:r>
      <w:r w:rsidR="000B6E21">
        <w:t xml:space="preserve">s </w:t>
      </w:r>
      <w:r w:rsidR="00935A55">
        <w:t xml:space="preserve">selected from </w:t>
      </w:r>
      <w:r w:rsidR="00D06CC0">
        <w:t xml:space="preserve">eReefs </w:t>
      </w:r>
      <w:r w:rsidR="00935A55">
        <w:t>B</w:t>
      </w:r>
      <w:r>
        <w:t xml:space="preserve">iogeochemical </w:t>
      </w:r>
      <w:r w:rsidR="00935A55">
        <w:t>4km model</w:t>
      </w:r>
      <w:r w:rsidR="000B6E21">
        <w:t>.</w:t>
      </w:r>
      <w:r w:rsidR="00935A55">
        <w:t xml:space="preserve"> Data assessed were the mean concentrations for the period 2011-2016 for sites locations adjacent to monitored reefs.</w:t>
      </w:r>
      <w:bookmarkEnd w:id="308"/>
    </w:p>
    <w:tbl>
      <w:tblPr>
        <w:tblStyle w:val="TableGrid"/>
        <w:tblW w:w="0" w:type="auto"/>
        <w:tblLook w:val="04A0" w:firstRow="1" w:lastRow="0" w:firstColumn="1" w:lastColumn="0" w:noHBand="0" w:noVBand="1"/>
        <w:tblCaption w:val="Correlation between water-quality parameters selected from eReefs Biogeochemical 4km model. Data assessed were the mean concentrations for the period 2011-2016 for sites locations adjacent to monitored reefs."/>
        <w:tblDescription w:val="Table of correlation coefficients as discused in main text"/>
      </w:tblPr>
      <w:tblGrid>
        <w:gridCol w:w="1288"/>
        <w:gridCol w:w="1288"/>
        <w:gridCol w:w="1288"/>
        <w:gridCol w:w="1288"/>
        <w:gridCol w:w="1288"/>
        <w:gridCol w:w="1288"/>
        <w:gridCol w:w="1288"/>
      </w:tblGrid>
      <w:tr w:rsidR="00D06CC0" w14:paraId="737527DB" w14:textId="77777777" w:rsidTr="001E472C">
        <w:trPr>
          <w:tblHeader/>
        </w:trPr>
        <w:tc>
          <w:tcPr>
            <w:tcW w:w="1288" w:type="dxa"/>
            <w:vAlign w:val="bottom"/>
          </w:tcPr>
          <w:p w14:paraId="17F2C206" w14:textId="77777777" w:rsidR="00D06CC0" w:rsidRPr="00935A55" w:rsidRDefault="00D06CC0" w:rsidP="00D06CC0">
            <w:pPr>
              <w:rPr>
                <w:rStyle w:val="IntenseReference"/>
              </w:rPr>
            </w:pPr>
          </w:p>
        </w:tc>
        <w:tc>
          <w:tcPr>
            <w:tcW w:w="1288" w:type="dxa"/>
            <w:vAlign w:val="bottom"/>
          </w:tcPr>
          <w:p w14:paraId="570A2CFB" w14:textId="77777777" w:rsidR="00D06CC0" w:rsidRPr="00935A55" w:rsidRDefault="00D06CC0" w:rsidP="00D06CC0">
            <w:pPr>
              <w:rPr>
                <w:rStyle w:val="IntenseReference"/>
              </w:rPr>
            </w:pPr>
            <w:r w:rsidRPr="00935A55">
              <w:rPr>
                <w:rStyle w:val="IntenseReference"/>
              </w:rPr>
              <w:t>Chl.eR</w:t>
            </w:r>
          </w:p>
        </w:tc>
        <w:tc>
          <w:tcPr>
            <w:tcW w:w="1288" w:type="dxa"/>
            <w:vAlign w:val="bottom"/>
          </w:tcPr>
          <w:p w14:paraId="3C6C79FE" w14:textId="77777777" w:rsidR="00D06CC0" w:rsidRPr="00935A55" w:rsidRDefault="00D06CC0" w:rsidP="00D06CC0">
            <w:pPr>
              <w:rPr>
                <w:rStyle w:val="IntenseReference"/>
              </w:rPr>
            </w:pPr>
            <w:r w:rsidRPr="00935A55">
              <w:rPr>
                <w:rStyle w:val="IntenseReference"/>
              </w:rPr>
              <w:t>DIN.eR</w:t>
            </w:r>
          </w:p>
        </w:tc>
        <w:tc>
          <w:tcPr>
            <w:tcW w:w="1288" w:type="dxa"/>
            <w:vAlign w:val="bottom"/>
          </w:tcPr>
          <w:p w14:paraId="2890D2D3" w14:textId="77777777" w:rsidR="00D06CC0" w:rsidRPr="00935A55" w:rsidRDefault="00D06CC0" w:rsidP="00D06CC0">
            <w:pPr>
              <w:rPr>
                <w:rStyle w:val="IntenseReference"/>
              </w:rPr>
            </w:pPr>
            <w:r w:rsidRPr="00935A55">
              <w:rPr>
                <w:rStyle w:val="IntenseReference"/>
              </w:rPr>
              <w:t>DIP.eR</w:t>
            </w:r>
          </w:p>
        </w:tc>
        <w:tc>
          <w:tcPr>
            <w:tcW w:w="1288" w:type="dxa"/>
            <w:vAlign w:val="bottom"/>
          </w:tcPr>
          <w:p w14:paraId="56F4C26A" w14:textId="77777777" w:rsidR="00D06CC0" w:rsidRPr="00935A55" w:rsidRDefault="00D06CC0" w:rsidP="00D06CC0">
            <w:pPr>
              <w:rPr>
                <w:rStyle w:val="IntenseReference"/>
              </w:rPr>
            </w:pPr>
            <w:r w:rsidRPr="00935A55">
              <w:rPr>
                <w:rStyle w:val="IntenseReference"/>
              </w:rPr>
              <w:t>EFI.eR</w:t>
            </w:r>
          </w:p>
        </w:tc>
        <w:tc>
          <w:tcPr>
            <w:tcW w:w="1288" w:type="dxa"/>
            <w:vAlign w:val="bottom"/>
          </w:tcPr>
          <w:p w14:paraId="06D34D94" w14:textId="77777777" w:rsidR="00D06CC0" w:rsidRPr="00935A55" w:rsidRDefault="00D06CC0" w:rsidP="00D06CC0">
            <w:pPr>
              <w:rPr>
                <w:rStyle w:val="IntenseReference"/>
              </w:rPr>
            </w:pPr>
            <w:r w:rsidRPr="00935A55">
              <w:rPr>
                <w:rStyle w:val="IntenseReference"/>
              </w:rPr>
              <w:t>Kd490.eR</w:t>
            </w:r>
          </w:p>
        </w:tc>
        <w:tc>
          <w:tcPr>
            <w:tcW w:w="1288" w:type="dxa"/>
            <w:vAlign w:val="bottom"/>
          </w:tcPr>
          <w:p w14:paraId="7353DDE9" w14:textId="77777777" w:rsidR="00D06CC0" w:rsidRPr="00935A55" w:rsidRDefault="00D06CC0" w:rsidP="00D06CC0">
            <w:pPr>
              <w:rPr>
                <w:rStyle w:val="IntenseReference"/>
              </w:rPr>
            </w:pPr>
            <w:r w:rsidRPr="00935A55">
              <w:rPr>
                <w:rStyle w:val="IntenseReference"/>
              </w:rPr>
              <w:t>TN.eR</w:t>
            </w:r>
          </w:p>
        </w:tc>
      </w:tr>
      <w:tr w:rsidR="00D06CC0" w14:paraId="170428B6" w14:textId="77777777" w:rsidTr="001E472C">
        <w:trPr>
          <w:tblHeader/>
        </w:trPr>
        <w:tc>
          <w:tcPr>
            <w:tcW w:w="1288" w:type="dxa"/>
            <w:vAlign w:val="bottom"/>
          </w:tcPr>
          <w:p w14:paraId="7086F245" w14:textId="77777777" w:rsidR="00D06CC0" w:rsidRPr="00935A55" w:rsidRDefault="00D06CC0" w:rsidP="00D06CC0">
            <w:pPr>
              <w:rPr>
                <w:rStyle w:val="IntenseReference"/>
              </w:rPr>
            </w:pPr>
            <w:r w:rsidRPr="00935A55">
              <w:rPr>
                <w:rStyle w:val="IntenseReference"/>
              </w:rPr>
              <w:t>Chl.eR</w:t>
            </w:r>
          </w:p>
        </w:tc>
        <w:tc>
          <w:tcPr>
            <w:tcW w:w="1288" w:type="dxa"/>
            <w:vAlign w:val="bottom"/>
          </w:tcPr>
          <w:p w14:paraId="040928B2" w14:textId="77777777" w:rsidR="00D06CC0" w:rsidRPr="00935A55" w:rsidRDefault="00D06CC0" w:rsidP="00D06CC0">
            <w:pPr>
              <w:rPr>
                <w:rStyle w:val="IntenseReference"/>
              </w:rPr>
            </w:pPr>
            <w:r w:rsidRPr="00935A55">
              <w:rPr>
                <w:rStyle w:val="IntenseReference"/>
              </w:rPr>
              <w:t>1</w:t>
            </w:r>
          </w:p>
        </w:tc>
        <w:tc>
          <w:tcPr>
            <w:tcW w:w="1288" w:type="dxa"/>
            <w:vAlign w:val="bottom"/>
          </w:tcPr>
          <w:p w14:paraId="6E6AF03B" w14:textId="77777777" w:rsidR="00D06CC0" w:rsidRPr="00935A55" w:rsidRDefault="00D06CC0" w:rsidP="00D06CC0">
            <w:pPr>
              <w:rPr>
                <w:rStyle w:val="IntenseReference"/>
              </w:rPr>
            </w:pPr>
          </w:p>
        </w:tc>
        <w:tc>
          <w:tcPr>
            <w:tcW w:w="1288" w:type="dxa"/>
            <w:vAlign w:val="bottom"/>
          </w:tcPr>
          <w:p w14:paraId="178EF0C9" w14:textId="77777777" w:rsidR="00D06CC0" w:rsidRPr="00935A55" w:rsidRDefault="00D06CC0" w:rsidP="00D06CC0">
            <w:pPr>
              <w:rPr>
                <w:rStyle w:val="IntenseReference"/>
              </w:rPr>
            </w:pPr>
          </w:p>
        </w:tc>
        <w:tc>
          <w:tcPr>
            <w:tcW w:w="1288" w:type="dxa"/>
            <w:vAlign w:val="bottom"/>
          </w:tcPr>
          <w:p w14:paraId="61B8117B" w14:textId="77777777" w:rsidR="00D06CC0" w:rsidRPr="00935A55" w:rsidRDefault="00D06CC0" w:rsidP="00D06CC0">
            <w:pPr>
              <w:rPr>
                <w:rStyle w:val="IntenseReference"/>
              </w:rPr>
            </w:pPr>
          </w:p>
        </w:tc>
        <w:tc>
          <w:tcPr>
            <w:tcW w:w="1288" w:type="dxa"/>
            <w:vAlign w:val="bottom"/>
          </w:tcPr>
          <w:p w14:paraId="6D8379F1" w14:textId="77777777" w:rsidR="00D06CC0" w:rsidRPr="00935A55" w:rsidRDefault="00D06CC0" w:rsidP="00D06CC0">
            <w:pPr>
              <w:rPr>
                <w:rStyle w:val="IntenseReference"/>
              </w:rPr>
            </w:pPr>
          </w:p>
        </w:tc>
        <w:tc>
          <w:tcPr>
            <w:tcW w:w="1288" w:type="dxa"/>
            <w:vAlign w:val="bottom"/>
          </w:tcPr>
          <w:p w14:paraId="67E9FFB8" w14:textId="77777777" w:rsidR="00D06CC0" w:rsidRPr="00935A55" w:rsidRDefault="00D06CC0" w:rsidP="00D06CC0">
            <w:pPr>
              <w:rPr>
                <w:rStyle w:val="IntenseReference"/>
              </w:rPr>
            </w:pPr>
          </w:p>
        </w:tc>
      </w:tr>
      <w:tr w:rsidR="00D06CC0" w14:paraId="42DF19F5" w14:textId="77777777" w:rsidTr="001E472C">
        <w:trPr>
          <w:tblHeader/>
        </w:trPr>
        <w:tc>
          <w:tcPr>
            <w:tcW w:w="1288" w:type="dxa"/>
            <w:vAlign w:val="bottom"/>
          </w:tcPr>
          <w:p w14:paraId="159A930E" w14:textId="77777777" w:rsidR="00D06CC0" w:rsidRPr="00935A55" w:rsidRDefault="00D06CC0" w:rsidP="00D06CC0">
            <w:pPr>
              <w:rPr>
                <w:rStyle w:val="IntenseReference"/>
              </w:rPr>
            </w:pPr>
            <w:r w:rsidRPr="00935A55">
              <w:rPr>
                <w:rStyle w:val="IntenseReference"/>
              </w:rPr>
              <w:t>DIN.eR</w:t>
            </w:r>
          </w:p>
        </w:tc>
        <w:tc>
          <w:tcPr>
            <w:tcW w:w="1288" w:type="dxa"/>
            <w:vAlign w:val="bottom"/>
          </w:tcPr>
          <w:p w14:paraId="660837C1" w14:textId="77777777" w:rsidR="00D06CC0" w:rsidRPr="00935A55" w:rsidRDefault="00D06CC0" w:rsidP="00D06CC0">
            <w:pPr>
              <w:rPr>
                <w:rStyle w:val="IntenseReference"/>
              </w:rPr>
            </w:pPr>
            <w:r w:rsidRPr="00935A55">
              <w:rPr>
                <w:rStyle w:val="IntenseReference"/>
              </w:rPr>
              <w:t>0.606</w:t>
            </w:r>
          </w:p>
        </w:tc>
        <w:tc>
          <w:tcPr>
            <w:tcW w:w="1288" w:type="dxa"/>
            <w:vAlign w:val="bottom"/>
          </w:tcPr>
          <w:p w14:paraId="644FE5BD" w14:textId="77777777" w:rsidR="00D06CC0" w:rsidRPr="00935A55" w:rsidRDefault="00D06CC0" w:rsidP="00D06CC0">
            <w:pPr>
              <w:rPr>
                <w:rStyle w:val="IntenseReference"/>
              </w:rPr>
            </w:pPr>
            <w:r w:rsidRPr="00935A55">
              <w:rPr>
                <w:rStyle w:val="IntenseReference"/>
              </w:rPr>
              <w:t>1</w:t>
            </w:r>
          </w:p>
        </w:tc>
        <w:tc>
          <w:tcPr>
            <w:tcW w:w="1288" w:type="dxa"/>
            <w:vAlign w:val="bottom"/>
          </w:tcPr>
          <w:p w14:paraId="682D82D0" w14:textId="77777777" w:rsidR="00D06CC0" w:rsidRPr="00935A55" w:rsidRDefault="00D06CC0" w:rsidP="00D06CC0">
            <w:pPr>
              <w:rPr>
                <w:rStyle w:val="IntenseReference"/>
              </w:rPr>
            </w:pPr>
          </w:p>
        </w:tc>
        <w:tc>
          <w:tcPr>
            <w:tcW w:w="1288" w:type="dxa"/>
            <w:vAlign w:val="bottom"/>
          </w:tcPr>
          <w:p w14:paraId="350048C5" w14:textId="77777777" w:rsidR="00D06CC0" w:rsidRPr="00935A55" w:rsidRDefault="00D06CC0" w:rsidP="00D06CC0">
            <w:pPr>
              <w:rPr>
                <w:rStyle w:val="IntenseReference"/>
              </w:rPr>
            </w:pPr>
          </w:p>
        </w:tc>
        <w:tc>
          <w:tcPr>
            <w:tcW w:w="1288" w:type="dxa"/>
            <w:vAlign w:val="bottom"/>
          </w:tcPr>
          <w:p w14:paraId="66F473EC" w14:textId="77777777" w:rsidR="00D06CC0" w:rsidRPr="00935A55" w:rsidRDefault="00D06CC0" w:rsidP="00D06CC0">
            <w:pPr>
              <w:rPr>
                <w:rStyle w:val="IntenseReference"/>
              </w:rPr>
            </w:pPr>
          </w:p>
        </w:tc>
        <w:tc>
          <w:tcPr>
            <w:tcW w:w="1288" w:type="dxa"/>
            <w:vAlign w:val="bottom"/>
          </w:tcPr>
          <w:p w14:paraId="4B101414" w14:textId="77777777" w:rsidR="00D06CC0" w:rsidRPr="00935A55" w:rsidRDefault="00D06CC0" w:rsidP="00D06CC0">
            <w:pPr>
              <w:rPr>
                <w:rStyle w:val="IntenseReference"/>
              </w:rPr>
            </w:pPr>
          </w:p>
        </w:tc>
      </w:tr>
      <w:tr w:rsidR="00D06CC0" w14:paraId="2110270C" w14:textId="77777777" w:rsidTr="001E472C">
        <w:trPr>
          <w:tblHeader/>
        </w:trPr>
        <w:tc>
          <w:tcPr>
            <w:tcW w:w="1288" w:type="dxa"/>
            <w:vAlign w:val="bottom"/>
          </w:tcPr>
          <w:p w14:paraId="03F3ABEB" w14:textId="77777777" w:rsidR="00D06CC0" w:rsidRPr="00935A55" w:rsidRDefault="00D06CC0" w:rsidP="00D06CC0">
            <w:pPr>
              <w:rPr>
                <w:rStyle w:val="IntenseReference"/>
              </w:rPr>
            </w:pPr>
            <w:r w:rsidRPr="00935A55">
              <w:rPr>
                <w:rStyle w:val="IntenseReference"/>
              </w:rPr>
              <w:t>DIP.eR</w:t>
            </w:r>
          </w:p>
        </w:tc>
        <w:tc>
          <w:tcPr>
            <w:tcW w:w="1288" w:type="dxa"/>
            <w:vAlign w:val="bottom"/>
          </w:tcPr>
          <w:p w14:paraId="3616F6AB" w14:textId="77777777" w:rsidR="00D06CC0" w:rsidRPr="00935A55" w:rsidRDefault="00D06CC0" w:rsidP="00D06CC0">
            <w:pPr>
              <w:rPr>
                <w:rStyle w:val="IntenseReference"/>
              </w:rPr>
            </w:pPr>
            <w:r w:rsidRPr="00935A55">
              <w:rPr>
                <w:rStyle w:val="IntenseReference"/>
              </w:rPr>
              <w:t>0.700</w:t>
            </w:r>
          </w:p>
        </w:tc>
        <w:tc>
          <w:tcPr>
            <w:tcW w:w="1288" w:type="dxa"/>
            <w:vAlign w:val="bottom"/>
          </w:tcPr>
          <w:p w14:paraId="2A01BC9D" w14:textId="77777777" w:rsidR="00D06CC0" w:rsidRPr="00935A55" w:rsidRDefault="00D06CC0" w:rsidP="00D06CC0">
            <w:pPr>
              <w:rPr>
                <w:rStyle w:val="IntenseReference"/>
              </w:rPr>
            </w:pPr>
            <w:r w:rsidRPr="00935A55">
              <w:rPr>
                <w:rStyle w:val="IntenseReference"/>
              </w:rPr>
              <w:t>0.931</w:t>
            </w:r>
          </w:p>
        </w:tc>
        <w:tc>
          <w:tcPr>
            <w:tcW w:w="1288" w:type="dxa"/>
            <w:vAlign w:val="bottom"/>
          </w:tcPr>
          <w:p w14:paraId="1FAD993F" w14:textId="77777777" w:rsidR="00D06CC0" w:rsidRPr="00935A55" w:rsidRDefault="00D06CC0" w:rsidP="00D06CC0">
            <w:pPr>
              <w:rPr>
                <w:rStyle w:val="IntenseReference"/>
              </w:rPr>
            </w:pPr>
            <w:r w:rsidRPr="00935A55">
              <w:rPr>
                <w:rStyle w:val="IntenseReference"/>
              </w:rPr>
              <w:t>1</w:t>
            </w:r>
          </w:p>
        </w:tc>
        <w:tc>
          <w:tcPr>
            <w:tcW w:w="1288" w:type="dxa"/>
            <w:vAlign w:val="bottom"/>
          </w:tcPr>
          <w:p w14:paraId="61DCC0EE" w14:textId="77777777" w:rsidR="00D06CC0" w:rsidRPr="00935A55" w:rsidRDefault="00D06CC0" w:rsidP="00D06CC0">
            <w:pPr>
              <w:rPr>
                <w:rStyle w:val="IntenseReference"/>
              </w:rPr>
            </w:pPr>
          </w:p>
        </w:tc>
        <w:tc>
          <w:tcPr>
            <w:tcW w:w="1288" w:type="dxa"/>
            <w:vAlign w:val="bottom"/>
          </w:tcPr>
          <w:p w14:paraId="6CE24965" w14:textId="77777777" w:rsidR="00D06CC0" w:rsidRPr="00935A55" w:rsidRDefault="00D06CC0" w:rsidP="00D06CC0">
            <w:pPr>
              <w:rPr>
                <w:rStyle w:val="IntenseReference"/>
              </w:rPr>
            </w:pPr>
          </w:p>
        </w:tc>
        <w:tc>
          <w:tcPr>
            <w:tcW w:w="1288" w:type="dxa"/>
            <w:vAlign w:val="bottom"/>
          </w:tcPr>
          <w:p w14:paraId="402686DA" w14:textId="77777777" w:rsidR="00D06CC0" w:rsidRPr="00935A55" w:rsidRDefault="00D06CC0" w:rsidP="00D06CC0">
            <w:pPr>
              <w:rPr>
                <w:rStyle w:val="IntenseReference"/>
              </w:rPr>
            </w:pPr>
          </w:p>
        </w:tc>
      </w:tr>
      <w:tr w:rsidR="00D06CC0" w14:paraId="7F5BD56E" w14:textId="77777777" w:rsidTr="001E472C">
        <w:trPr>
          <w:tblHeader/>
        </w:trPr>
        <w:tc>
          <w:tcPr>
            <w:tcW w:w="1288" w:type="dxa"/>
            <w:vAlign w:val="bottom"/>
          </w:tcPr>
          <w:p w14:paraId="03B6C6A3" w14:textId="77777777" w:rsidR="00D06CC0" w:rsidRPr="00935A55" w:rsidRDefault="00D06CC0" w:rsidP="00D06CC0">
            <w:pPr>
              <w:rPr>
                <w:rStyle w:val="IntenseReference"/>
              </w:rPr>
            </w:pPr>
            <w:r w:rsidRPr="00935A55">
              <w:rPr>
                <w:rStyle w:val="IntenseReference"/>
              </w:rPr>
              <w:t>EFI.eR</w:t>
            </w:r>
          </w:p>
        </w:tc>
        <w:tc>
          <w:tcPr>
            <w:tcW w:w="1288" w:type="dxa"/>
            <w:vAlign w:val="bottom"/>
          </w:tcPr>
          <w:p w14:paraId="15EF1570" w14:textId="77777777" w:rsidR="00D06CC0" w:rsidRPr="00935A55" w:rsidRDefault="00D06CC0" w:rsidP="00D06CC0">
            <w:pPr>
              <w:rPr>
                <w:rStyle w:val="IntenseReference"/>
              </w:rPr>
            </w:pPr>
            <w:r w:rsidRPr="00935A55">
              <w:rPr>
                <w:rStyle w:val="IntenseReference"/>
              </w:rPr>
              <w:t>0.625</w:t>
            </w:r>
          </w:p>
        </w:tc>
        <w:tc>
          <w:tcPr>
            <w:tcW w:w="1288" w:type="dxa"/>
            <w:vAlign w:val="bottom"/>
          </w:tcPr>
          <w:p w14:paraId="10162256" w14:textId="77777777" w:rsidR="00D06CC0" w:rsidRPr="00935A55" w:rsidRDefault="00D06CC0" w:rsidP="00D06CC0">
            <w:pPr>
              <w:rPr>
                <w:rStyle w:val="IntenseReference"/>
              </w:rPr>
            </w:pPr>
            <w:r w:rsidRPr="00935A55">
              <w:rPr>
                <w:rStyle w:val="IntenseReference"/>
              </w:rPr>
              <w:t>0.442</w:t>
            </w:r>
          </w:p>
        </w:tc>
        <w:tc>
          <w:tcPr>
            <w:tcW w:w="1288" w:type="dxa"/>
            <w:vAlign w:val="bottom"/>
          </w:tcPr>
          <w:p w14:paraId="3C2FFD02" w14:textId="77777777" w:rsidR="00D06CC0" w:rsidRPr="00935A55" w:rsidRDefault="00D06CC0" w:rsidP="00D06CC0">
            <w:pPr>
              <w:rPr>
                <w:rStyle w:val="IntenseReference"/>
              </w:rPr>
            </w:pPr>
            <w:r w:rsidRPr="00935A55">
              <w:rPr>
                <w:rStyle w:val="IntenseReference"/>
              </w:rPr>
              <w:t>0.383</w:t>
            </w:r>
          </w:p>
        </w:tc>
        <w:tc>
          <w:tcPr>
            <w:tcW w:w="1288" w:type="dxa"/>
            <w:vAlign w:val="bottom"/>
          </w:tcPr>
          <w:p w14:paraId="1809FF4F" w14:textId="77777777" w:rsidR="00D06CC0" w:rsidRPr="00935A55" w:rsidRDefault="00D06CC0" w:rsidP="00D06CC0">
            <w:pPr>
              <w:rPr>
                <w:rStyle w:val="IntenseReference"/>
              </w:rPr>
            </w:pPr>
            <w:r w:rsidRPr="00935A55">
              <w:rPr>
                <w:rStyle w:val="IntenseReference"/>
              </w:rPr>
              <w:t>1</w:t>
            </w:r>
          </w:p>
        </w:tc>
        <w:tc>
          <w:tcPr>
            <w:tcW w:w="1288" w:type="dxa"/>
            <w:vAlign w:val="bottom"/>
          </w:tcPr>
          <w:p w14:paraId="52943B69" w14:textId="77777777" w:rsidR="00D06CC0" w:rsidRPr="00935A55" w:rsidRDefault="00D06CC0" w:rsidP="00D06CC0">
            <w:pPr>
              <w:rPr>
                <w:rStyle w:val="IntenseReference"/>
              </w:rPr>
            </w:pPr>
          </w:p>
        </w:tc>
        <w:tc>
          <w:tcPr>
            <w:tcW w:w="1288" w:type="dxa"/>
            <w:vAlign w:val="bottom"/>
          </w:tcPr>
          <w:p w14:paraId="1BB81073" w14:textId="77777777" w:rsidR="00D06CC0" w:rsidRPr="00935A55" w:rsidRDefault="00D06CC0" w:rsidP="00D06CC0">
            <w:pPr>
              <w:rPr>
                <w:rStyle w:val="IntenseReference"/>
              </w:rPr>
            </w:pPr>
          </w:p>
        </w:tc>
      </w:tr>
      <w:tr w:rsidR="00D06CC0" w14:paraId="2CACB437" w14:textId="77777777" w:rsidTr="001E472C">
        <w:trPr>
          <w:tblHeader/>
        </w:trPr>
        <w:tc>
          <w:tcPr>
            <w:tcW w:w="1288" w:type="dxa"/>
            <w:vAlign w:val="bottom"/>
          </w:tcPr>
          <w:p w14:paraId="0117CC02" w14:textId="77777777" w:rsidR="00D06CC0" w:rsidRPr="00935A55" w:rsidRDefault="00D06CC0" w:rsidP="00D06CC0">
            <w:pPr>
              <w:rPr>
                <w:rStyle w:val="IntenseReference"/>
              </w:rPr>
            </w:pPr>
            <w:r w:rsidRPr="00935A55">
              <w:rPr>
                <w:rStyle w:val="IntenseReference"/>
              </w:rPr>
              <w:t>Kd490.eR</w:t>
            </w:r>
          </w:p>
        </w:tc>
        <w:tc>
          <w:tcPr>
            <w:tcW w:w="1288" w:type="dxa"/>
            <w:vAlign w:val="bottom"/>
          </w:tcPr>
          <w:p w14:paraId="08FA23B3" w14:textId="77777777" w:rsidR="00D06CC0" w:rsidRPr="00935A55" w:rsidRDefault="00D06CC0" w:rsidP="00D06CC0">
            <w:pPr>
              <w:rPr>
                <w:rStyle w:val="IntenseReference"/>
              </w:rPr>
            </w:pPr>
            <w:r w:rsidRPr="00935A55">
              <w:rPr>
                <w:rStyle w:val="IntenseReference"/>
              </w:rPr>
              <w:t>0.734</w:t>
            </w:r>
          </w:p>
        </w:tc>
        <w:tc>
          <w:tcPr>
            <w:tcW w:w="1288" w:type="dxa"/>
            <w:vAlign w:val="bottom"/>
          </w:tcPr>
          <w:p w14:paraId="7F383BA1" w14:textId="77777777" w:rsidR="00D06CC0" w:rsidRPr="00935A55" w:rsidRDefault="00D06CC0" w:rsidP="00D06CC0">
            <w:pPr>
              <w:rPr>
                <w:rStyle w:val="IntenseReference"/>
              </w:rPr>
            </w:pPr>
            <w:r w:rsidRPr="00935A55">
              <w:rPr>
                <w:rStyle w:val="IntenseReference"/>
              </w:rPr>
              <w:t>0.611</w:t>
            </w:r>
          </w:p>
        </w:tc>
        <w:tc>
          <w:tcPr>
            <w:tcW w:w="1288" w:type="dxa"/>
            <w:vAlign w:val="bottom"/>
          </w:tcPr>
          <w:p w14:paraId="2B547E45" w14:textId="77777777" w:rsidR="00D06CC0" w:rsidRPr="00935A55" w:rsidRDefault="00D06CC0" w:rsidP="00D06CC0">
            <w:pPr>
              <w:rPr>
                <w:rStyle w:val="IntenseReference"/>
              </w:rPr>
            </w:pPr>
            <w:r w:rsidRPr="00935A55">
              <w:rPr>
                <w:rStyle w:val="IntenseReference"/>
              </w:rPr>
              <w:t>0.570</w:t>
            </w:r>
          </w:p>
        </w:tc>
        <w:tc>
          <w:tcPr>
            <w:tcW w:w="1288" w:type="dxa"/>
            <w:vAlign w:val="bottom"/>
          </w:tcPr>
          <w:p w14:paraId="637CF927" w14:textId="77777777" w:rsidR="00D06CC0" w:rsidRPr="00935A55" w:rsidRDefault="00D06CC0" w:rsidP="00D06CC0">
            <w:pPr>
              <w:rPr>
                <w:rStyle w:val="IntenseReference"/>
              </w:rPr>
            </w:pPr>
            <w:r w:rsidRPr="00935A55">
              <w:rPr>
                <w:rStyle w:val="IntenseReference"/>
              </w:rPr>
              <w:t>0.960</w:t>
            </w:r>
          </w:p>
        </w:tc>
        <w:tc>
          <w:tcPr>
            <w:tcW w:w="1288" w:type="dxa"/>
            <w:vAlign w:val="bottom"/>
          </w:tcPr>
          <w:p w14:paraId="4C6F3013" w14:textId="77777777" w:rsidR="00D06CC0" w:rsidRPr="00935A55" w:rsidRDefault="00D06CC0" w:rsidP="00D06CC0">
            <w:pPr>
              <w:rPr>
                <w:rStyle w:val="IntenseReference"/>
              </w:rPr>
            </w:pPr>
            <w:r w:rsidRPr="00935A55">
              <w:rPr>
                <w:rStyle w:val="IntenseReference"/>
              </w:rPr>
              <w:t>1</w:t>
            </w:r>
          </w:p>
        </w:tc>
        <w:tc>
          <w:tcPr>
            <w:tcW w:w="1288" w:type="dxa"/>
            <w:vAlign w:val="bottom"/>
          </w:tcPr>
          <w:p w14:paraId="609419C0" w14:textId="77777777" w:rsidR="00D06CC0" w:rsidRPr="00935A55" w:rsidRDefault="00D06CC0" w:rsidP="00D06CC0">
            <w:pPr>
              <w:rPr>
                <w:rStyle w:val="IntenseReference"/>
              </w:rPr>
            </w:pPr>
          </w:p>
        </w:tc>
      </w:tr>
      <w:tr w:rsidR="00D06CC0" w14:paraId="4EE9D3DD" w14:textId="77777777" w:rsidTr="001E472C">
        <w:trPr>
          <w:tblHeader/>
        </w:trPr>
        <w:tc>
          <w:tcPr>
            <w:tcW w:w="1288" w:type="dxa"/>
            <w:vAlign w:val="bottom"/>
          </w:tcPr>
          <w:p w14:paraId="788A772C" w14:textId="77777777" w:rsidR="00D06CC0" w:rsidRPr="00935A55" w:rsidRDefault="00D06CC0" w:rsidP="00D06CC0">
            <w:pPr>
              <w:rPr>
                <w:rStyle w:val="IntenseReference"/>
              </w:rPr>
            </w:pPr>
            <w:r w:rsidRPr="00935A55">
              <w:rPr>
                <w:rStyle w:val="IntenseReference"/>
              </w:rPr>
              <w:t>TN.eR</w:t>
            </w:r>
          </w:p>
        </w:tc>
        <w:tc>
          <w:tcPr>
            <w:tcW w:w="1288" w:type="dxa"/>
            <w:vAlign w:val="bottom"/>
          </w:tcPr>
          <w:p w14:paraId="730AC0FA" w14:textId="77777777" w:rsidR="00D06CC0" w:rsidRPr="00935A55" w:rsidRDefault="00D06CC0" w:rsidP="00D06CC0">
            <w:pPr>
              <w:rPr>
                <w:rStyle w:val="IntenseReference"/>
              </w:rPr>
            </w:pPr>
            <w:r w:rsidRPr="00935A55">
              <w:rPr>
                <w:rStyle w:val="IntenseReference"/>
              </w:rPr>
              <w:t>0.812</w:t>
            </w:r>
          </w:p>
        </w:tc>
        <w:tc>
          <w:tcPr>
            <w:tcW w:w="1288" w:type="dxa"/>
            <w:vAlign w:val="bottom"/>
          </w:tcPr>
          <w:p w14:paraId="7E9A2988" w14:textId="77777777" w:rsidR="00D06CC0" w:rsidRPr="00935A55" w:rsidRDefault="00D06CC0" w:rsidP="00D06CC0">
            <w:pPr>
              <w:rPr>
                <w:rStyle w:val="IntenseReference"/>
              </w:rPr>
            </w:pPr>
            <w:r w:rsidRPr="00935A55">
              <w:rPr>
                <w:rStyle w:val="IntenseReference"/>
              </w:rPr>
              <w:t>0.704</w:t>
            </w:r>
          </w:p>
        </w:tc>
        <w:tc>
          <w:tcPr>
            <w:tcW w:w="1288" w:type="dxa"/>
            <w:vAlign w:val="bottom"/>
          </w:tcPr>
          <w:p w14:paraId="7B384A34" w14:textId="77777777" w:rsidR="00D06CC0" w:rsidRPr="00935A55" w:rsidRDefault="00D06CC0" w:rsidP="00D06CC0">
            <w:pPr>
              <w:rPr>
                <w:rStyle w:val="IntenseReference"/>
              </w:rPr>
            </w:pPr>
            <w:r w:rsidRPr="00935A55">
              <w:rPr>
                <w:rStyle w:val="IntenseReference"/>
              </w:rPr>
              <w:t>0.808</w:t>
            </w:r>
          </w:p>
        </w:tc>
        <w:tc>
          <w:tcPr>
            <w:tcW w:w="1288" w:type="dxa"/>
            <w:vAlign w:val="bottom"/>
          </w:tcPr>
          <w:p w14:paraId="39839A36" w14:textId="77777777" w:rsidR="00D06CC0" w:rsidRPr="00935A55" w:rsidRDefault="00D06CC0" w:rsidP="00D06CC0">
            <w:pPr>
              <w:rPr>
                <w:rStyle w:val="IntenseReference"/>
              </w:rPr>
            </w:pPr>
            <w:r w:rsidRPr="00935A55">
              <w:rPr>
                <w:rStyle w:val="IntenseReference"/>
              </w:rPr>
              <w:t>0.505</w:t>
            </w:r>
          </w:p>
        </w:tc>
        <w:tc>
          <w:tcPr>
            <w:tcW w:w="1288" w:type="dxa"/>
            <w:vAlign w:val="bottom"/>
          </w:tcPr>
          <w:p w14:paraId="08BFE40F" w14:textId="77777777" w:rsidR="00D06CC0" w:rsidRPr="00935A55" w:rsidRDefault="00D06CC0" w:rsidP="00D06CC0">
            <w:pPr>
              <w:rPr>
                <w:rStyle w:val="IntenseReference"/>
              </w:rPr>
            </w:pPr>
            <w:r w:rsidRPr="00935A55">
              <w:rPr>
                <w:rStyle w:val="IntenseReference"/>
              </w:rPr>
              <w:t>0.620</w:t>
            </w:r>
          </w:p>
        </w:tc>
        <w:tc>
          <w:tcPr>
            <w:tcW w:w="1288" w:type="dxa"/>
            <w:vAlign w:val="bottom"/>
          </w:tcPr>
          <w:p w14:paraId="449CD024" w14:textId="77777777" w:rsidR="00D06CC0" w:rsidRPr="00935A55" w:rsidRDefault="00D06CC0" w:rsidP="00D06CC0">
            <w:pPr>
              <w:rPr>
                <w:rStyle w:val="IntenseReference"/>
              </w:rPr>
            </w:pPr>
            <w:r w:rsidRPr="00935A55">
              <w:rPr>
                <w:rStyle w:val="IntenseReference"/>
              </w:rPr>
              <w:t>1</w:t>
            </w:r>
          </w:p>
        </w:tc>
      </w:tr>
      <w:tr w:rsidR="00D06CC0" w14:paraId="5151502F" w14:textId="77777777" w:rsidTr="001E472C">
        <w:trPr>
          <w:tblHeader/>
        </w:trPr>
        <w:tc>
          <w:tcPr>
            <w:tcW w:w="1288" w:type="dxa"/>
            <w:vAlign w:val="bottom"/>
          </w:tcPr>
          <w:p w14:paraId="7B719681" w14:textId="77777777" w:rsidR="00D06CC0" w:rsidRPr="00935A55" w:rsidRDefault="00D06CC0" w:rsidP="00D06CC0">
            <w:pPr>
              <w:rPr>
                <w:rStyle w:val="IntenseReference"/>
              </w:rPr>
            </w:pPr>
            <w:r w:rsidRPr="00935A55">
              <w:rPr>
                <w:rStyle w:val="IntenseReference"/>
              </w:rPr>
              <w:t>TP.eR</w:t>
            </w:r>
          </w:p>
        </w:tc>
        <w:tc>
          <w:tcPr>
            <w:tcW w:w="1288" w:type="dxa"/>
            <w:vAlign w:val="bottom"/>
          </w:tcPr>
          <w:p w14:paraId="4FA7CF2B" w14:textId="77777777" w:rsidR="00D06CC0" w:rsidRPr="00935A55" w:rsidRDefault="00D06CC0" w:rsidP="00D06CC0">
            <w:pPr>
              <w:rPr>
                <w:rStyle w:val="IntenseReference"/>
              </w:rPr>
            </w:pPr>
            <w:r w:rsidRPr="00935A55">
              <w:rPr>
                <w:rStyle w:val="IntenseReference"/>
              </w:rPr>
              <w:t>0.833</w:t>
            </w:r>
          </w:p>
        </w:tc>
        <w:tc>
          <w:tcPr>
            <w:tcW w:w="1288" w:type="dxa"/>
            <w:vAlign w:val="bottom"/>
          </w:tcPr>
          <w:p w14:paraId="73C38BA5" w14:textId="77777777" w:rsidR="00D06CC0" w:rsidRPr="00935A55" w:rsidRDefault="00D06CC0" w:rsidP="00D06CC0">
            <w:pPr>
              <w:rPr>
                <w:rStyle w:val="IntenseReference"/>
              </w:rPr>
            </w:pPr>
            <w:r w:rsidRPr="00935A55">
              <w:rPr>
                <w:rStyle w:val="IntenseReference"/>
              </w:rPr>
              <w:t>0.771</w:t>
            </w:r>
          </w:p>
        </w:tc>
        <w:tc>
          <w:tcPr>
            <w:tcW w:w="1288" w:type="dxa"/>
            <w:vAlign w:val="bottom"/>
          </w:tcPr>
          <w:p w14:paraId="2FD12FC7" w14:textId="77777777" w:rsidR="00D06CC0" w:rsidRPr="00935A55" w:rsidRDefault="00D06CC0" w:rsidP="00D06CC0">
            <w:pPr>
              <w:rPr>
                <w:rStyle w:val="IntenseReference"/>
              </w:rPr>
            </w:pPr>
            <w:r w:rsidRPr="00935A55">
              <w:rPr>
                <w:rStyle w:val="IntenseReference"/>
              </w:rPr>
              <w:t>0.896</w:t>
            </w:r>
          </w:p>
        </w:tc>
        <w:tc>
          <w:tcPr>
            <w:tcW w:w="1288" w:type="dxa"/>
            <w:vAlign w:val="bottom"/>
          </w:tcPr>
          <w:p w14:paraId="0722C26F" w14:textId="77777777" w:rsidR="00D06CC0" w:rsidRPr="00935A55" w:rsidRDefault="00D06CC0" w:rsidP="00D06CC0">
            <w:pPr>
              <w:rPr>
                <w:rStyle w:val="IntenseReference"/>
              </w:rPr>
            </w:pPr>
            <w:r w:rsidRPr="00935A55">
              <w:rPr>
                <w:rStyle w:val="IntenseReference"/>
              </w:rPr>
              <w:t>0.475</w:t>
            </w:r>
          </w:p>
        </w:tc>
        <w:tc>
          <w:tcPr>
            <w:tcW w:w="1288" w:type="dxa"/>
            <w:vAlign w:val="bottom"/>
          </w:tcPr>
          <w:p w14:paraId="5B89C755" w14:textId="77777777" w:rsidR="00D06CC0" w:rsidRPr="00935A55" w:rsidRDefault="00D06CC0" w:rsidP="00D06CC0">
            <w:pPr>
              <w:rPr>
                <w:rStyle w:val="IntenseReference"/>
              </w:rPr>
            </w:pPr>
            <w:r w:rsidRPr="00935A55">
              <w:rPr>
                <w:rStyle w:val="IntenseReference"/>
              </w:rPr>
              <w:t>0.616</w:t>
            </w:r>
          </w:p>
        </w:tc>
        <w:tc>
          <w:tcPr>
            <w:tcW w:w="1288" w:type="dxa"/>
            <w:vAlign w:val="bottom"/>
          </w:tcPr>
          <w:p w14:paraId="4FB0EBC2" w14:textId="77777777" w:rsidR="00D06CC0" w:rsidRPr="00935A55" w:rsidRDefault="00D06CC0" w:rsidP="00D06CC0">
            <w:pPr>
              <w:rPr>
                <w:rStyle w:val="IntenseReference"/>
              </w:rPr>
            </w:pPr>
            <w:r w:rsidRPr="00935A55">
              <w:rPr>
                <w:rStyle w:val="IntenseReference"/>
              </w:rPr>
              <w:t>0.979</w:t>
            </w:r>
          </w:p>
        </w:tc>
      </w:tr>
    </w:tbl>
    <w:p w14:paraId="377E0BB1" w14:textId="77777777" w:rsidR="00D06CC0" w:rsidRDefault="00D06CC0" w:rsidP="00D06CC0"/>
    <w:p w14:paraId="79935F5D" w14:textId="77777777" w:rsidR="00056A57" w:rsidRDefault="00056A57" w:rsidP="00D06CC0"/>
    <w:p w14:paraId="25BE595D" w14:textId="77777777" w:rsidR="00D06CC0" w:rsidRDefault="00CF08AD" w:rsidP="00606A50">
      <w:pPr>
        <w:pStyle w:val="Caption"/>
      </w:pPr>
      <w:bookmarkStart w:id="309" w:name="_Ref501703792"/>
      <w:bookmarkStart w:id="310" w:name="_Toc514407869"/>
      <w:r>
        <w:t xml:space="preserve">Table </w:t>
      </w:r>
      <w:r>
        <w:fldChar w:fldCharType="begin"/>
      </w:r>
      <w:r>
        <w:instrText xml:space="preserve"> SEQ Table \* ARABIC </w:instrText>
      </w:r>
      <w:r>
        <w:fldChar w:fldCharType="separate"/>
      </w:r>
      <w:r w:rsidR="00A75175">
        <w:rPr>
          <w:noProof/>
        </w:rPr>
        <w:t>21</w:t>
      </w:r>
      <w:r>
        <w:fldChar w:fldCharType="end"/>
      </w:r>
      <w:bookmarkEnd w:id="309"/>
      <w:r>
        <w:t xml:space="preserve"> </w:t>
      </w:r>
      <w:r w:rsidR="00D06CC0">
        <w:t xml:space="preserve">Correlation between </w:t>
      </w:r>
      <w:r w:rsidR="00935A55">
        <w:t xml:space="preserve">estimated mean exceedance of wet-season guideline values. </w:t>
      </w:r>
      <w:r w:rsidR="00D6105F">
        <w:t xml:space="preserve">Estimates based on colour class classification of waters during the wet-season and mean concentration of </w:t>
      </w:r>
      <w:r w:rsidR="00036C05">
        <w:t>in situ</w:t>
      </w:r>
      <w:r w:rsidR="00D6105F">
        <w:t xml:space="preserve"> samples from water colour classes. Data assessed were the mean exceedance of the period 2003-2016 for pixels adjacent to monitored reefs.</w:t>
      </w:r>
      <w:bookmarkEnd w:id="310"/>
    </w:p>
    <w:tbl>
      <w:tblPr>
        <w:tblStyle w:val="TableGrid"/>
        <w:tblW w:w="0" w:type="auto"/>
        <w:tblLook w:val="04A0" w:firstRow="1" w:lastRow="0" w:firstColumn="1" w:lastColumn="0" w:noHBand="0" w:noVBand="1"/>
        <w:tblCaption w:val="Correlation between estimated mean exceedance of wet-season guideline values. Estimates based on colour class classification of waters during the wet-season and mean concentration of in situ samples from water colour classes. Data assessed were the mean exceedance of the period 2003-2016 for pixels adjacent to monitored reefs."/>
        <w:tblDescription w:val="table of correlation coefficients as discussed in main text"/>
      </w:tblPr>
      <w:tblGrid>
        <w:gridCol w:w="1803"/>
        <w:gridCol w:w="1803"/>
        <w:gridCol w:w="1803"/>
        <w:gridCol w:w="1803"/>
      </w:tblGrid>
      <w:tr w:rsidR="00D06CC0" w14:paraId="5E1A8A76" w14:textId="77777777" w:rsidTr="001E472C">
        <w:trPr>
          <w:tblHeader/>
        </w:trPr>
        <w:tc>
          <w:tcPr>
            <w:tcW w:w="1803" w:type="dxa"/>
            <w:vAlign w:val="bottom"/>
          </w:tcPr>
          <w:p w14:paraId="127711E4" w14:textId="77777777" w:rsidR="00D06CC0" w:rsidRDefault="00D06CC0" w:rsidP="00D06CC0"/>
        </w:tc>
        <w:tc>
          <w:tcPr>
            <w:tcW w:w="1803" w:type="dxa"/>
            <w:vAlign w:val="bottom"/>
          </w:tcPr>
          <w:p w14:paraId="7CF607C7" w14:textId="77777777" w:rsidR="00D06CC0" w:rsidRDefault="00D06CC0" w:rsidP="00D06CC0">
            <w:pPr>
              <w:rPr>
                <w:rFonts w:ascii="Calibri" w:hAnsi="Calibri"/>
                <w:color w:val="000000"/>
              </w:rPr>
            </w:pPr>
            <w:r>
              <w:rPr>
                <w:rFonts w:ascii="Calibri" w:hAnsi="Calibri"/>
                <w:color w:val="000000"/>
              </w:rPr>
              <w:t>Chl.exp</w:t>
            </w:r>
          </w:p>
        </w:tc>
        <w:tc>
          <w:tcPr>
            <w:tcW w:w="1803" w:type="dxa"/>
            <w:vAlign w:val="bottom"/>
          </w:tcPr>
          <w:p w14:paraId="05956717" w14:textId="77777777" w:rsidR="00D06CC0" w:rsidRDefault="00D06CC0" w:rsidP="00D06CC0">
            <w:pPr>
              <w:rPr>
                <w:rFonts w:ascii="Calibri" w:hAnsi="Calibri"/>
                <w:color w:val="000000"/>
              </w:rPr>
            </w:pPr>
            <w:r>
              <w:rPr>
                <w:rFonts w:ascii="Calibri" w:hAnsi="Calibri"/>
                <w:color w:val="000000"/>
              </w:rPr>
              <w:t>PN.exp</w:t>
            </w:r>
          </w:p>
        </w:tc>
        <w:tc>
          <w:tcPr>
            <w:tcW w:w="1803" w:type="dxa"/>
            <w:vAlign w:val="bottom"/>
          </w:tcPr>
          <w:p w14:paraId="4FA09254" w14:textId="77777777" w:rsidR="00D06CC0" w:rsidRDefault="00D06CC0" w:rsidP="00D06CC0">
            <w:pPr>
              <w:rPr>
                <w:rFonts w:ascii="Calibri" w:hAnsi="Calibri"/>
                <w:color w:val="000000"/>
              </w:rPr>
            </w:pPr>
            <w:r>
              <w:rPr>
                <w:rFonts w:ascii="Calibri" w:hAnsi="Calibri"/>
                <w:color w:val="000000"/>
              </w:rPr>
              <w:t>PP.exp</w:t>
            </w:r>
          </w:p>
        </w:tc>
      </w:tr>
      <w:tr w:rsidR="00D06CC0" w14:paraId="00792003" w14:textId="77777777" w:rsidTr="001E472C">
        <w:trPr>
          <w:tblHeader/>
        </w:trPr>
        <w:tc>
          <w:tcPr>
            <w:tcW w:w="1803" w:type="dxa"/>
            <w:vAlign w:val="bottom"/>
          </w:tcPr>
          <w:p w14:paraId="3B3ECAED" w14:textId="77777777" w:rsidR="00D06CC0" w:rsidRDefault="00D06CC0" w:rsidP="00D06CC0">
            <w:pPr>
              <w:rPr>
                <w:rFonts w:ascii="Calibri" w:hAnsi="Calibri"/>
                <w:color w:val="000000"/>
              </w:rPr>
            </w:pPr>
            <w:r>
              <w:rPr>
                <w:rFonts w:ascii="Calibri" w:hAnsi="Calibri"/>
                <w:color w:val="000000"/>
              </w:rPr>
              <w:t>Chl.exp</w:t>
            </w:r>
          </w:p>
        </w:tc>
        <w:tc>
          <w:tcPr>
            <w:tcW w:w="1803" w:type="dxa"/>
            <w:vAlign w:val="bottom"/>
          </w:tcPr>
          <w:p w14:paraId="72FBBBD0" w14:textId="77777777" w:rsidR="00D06CC0" w:rsidRDefault="00D06CC0" w:rsidP="00D06CC0">
            <w:pPr>
              <w:jc w:val="right"/>
              <w:rPr>
                <w:rFonts w:ascii="Calibri" w:hAnsi="Calibri"/>
                <w:color w:val="000000"/>
              </w:rPr>
            </w:pPr>
            <w:r>
              <w:rPr>
                <w:rFonts w:ascii="Calibri" w:hAnsi="Calibri"/>
                <w:color w:val="000000"/>
              </w:rPr>
              <w:t>1</w:t>
            </w:r>
          </w:p>
        </w:tc>
        <w:tc>
          <w:tcPr>
            <w:tcW w:w="1803" w:type="dxa"/>
            <w:vAlign w:val="bottom"/>
          </w:tcPr>
          <w:p w14:paraId="3E6112F9" w14:textId="77777777" w:rsidR="00D06CC0" w:rsidRDefault="00D06CC0" w:rsidP="00D06CC0">
            <w:pPr>
              <w:jc w:val="right"/>
              <w:rPr>
                <w:rFonts w:ascii="Calibri" w:hAnsi="Calibri"/>
                <w:color w:val="000000"/>
              </w:rPr>
            </w:pPr>
          </w:p>
        </w:tc>
        <w:tc>
          <w:tcPr>
            <w:tcW w:w="1803" w:type="dxa"/>
            <w:vAlign w:val="bottom"/>
          </w:tcPr>
          <w:p w14:paraId="2D21B067" w14:textId="77777777" w:rsidR="00D06CC0" w:rsidRDefault="00D06CC0" w:rsidP="00D06CC0">
            <w:pPr>
              <w:jc w:val="right"/>
              <w:rPr>
                <w:rFonts w:ascii="Calibri" w:hAnsi="Calibri"/>
                <w:color w:val="000000"/>
              </w:rPr>
            </w:pPr>
          </w:p>
        </w:tc>
      </w:tr>
      <w:tr w:rsidR="00D06CC0" w14:paraId="19F5A4FC" w14:textId="77777777" w:rsidTr="001E472C">
        <w:trPr>
          <w:tblHeader/>
        </w:trPr>
        <w:tc>
          <w:tcPr>
            <w:tcW w:w="1803" w:type="dxa"/>
            <w:vAlign w:val="bottom"/>
          </w:tcPr>
          <w:p w14:paraId="41CDB63B" w14:textId="77777777" w:rsidR="00D06CC0" w:rsidRDefault="00D06CC0" w:rsidP="00D06CC0">
            <w:pPr>
              <w:rPr>
                <w:rFonts w:ascii="Calibri" w:hAnsi="Calibri"/>
                <w:color w:val="000000"/>
              </w:rPr>
            </w:pPr>
            <w:r>
              <w:rPr>
                <w:rFonts w:ascii="Calibri" w:hAnsi="Calibri"/>
                <w:color w:val="000000"/>
              </w:rPr>
              <w:t>PN.exp</w:t>
            </w:r>
          </w:p>
        </w:tc>
        <w:tc>
          <w:tcPr>
            <w:tcW w:w="1803" w:type="dxa"/>
            <w:vAlign w:val="bottom"/>
          </w:tcPr>
          <w:p w14:paraId="0BD4D68C" w14:textId="77777777" w:rsidR="00D06CC0" w:rsidRDefault="00D06CC0" w:rsidP="006F7E7B">
            <w:pPr>
              <w:jc w:val="right"/>
              <w:rPr>
                <w:rFonts w:ascii="Calibri" w:hAnsi="Calibri"/>
                <w:color w:val="000000"/>
              </w:rPr>
            </w:pPr>
            <w:r>
              <w:rPr>
                <w:rFonts w:ascii="Calibri" w:hAnsi="Calibri"/>
                <w:color w:val="000000"/>
              </w:rPr>
              <w:t>0.9</w:t>
            </w:r>
            <w:r w:rsidR="006F7E7B">
              <w:rPr>
                <w:rFonts w:ascii="Calibri" w:hAnsi="Calibri"/>
                <w:color w:val="000000"/>
              </w:rPr>
              <w:t>7</w:t>
            </w:r>
            <w:r>
              <w:rPr>
                <w:rFonts w:ascii="Calibri" w:hAnsi="Calibri"/>
                <w:color w:val="000000"/>
              </w:rPr>
              <w:t>9</w:t>
            </w:r>
          </w:p>
        </w:tc>
        <w:tc>
          <w:tcPr>
            <w:tcW w:w="1803" w:type="dxa"/>
            <w:vAlign w:val="bottom"/>
          </w:tcPr>
          <w:p w14:paraId="7F376104" w14:textId="77777777" w:rsidR="00D06CC0" w:rsidRDefault="00D06CC0" w:rsidP="00D06CC0">
            <w:pPr>
              <w:jc w:val="right"/>
              <w:rPr>
                <w:rFonts w:ascii="Calibri" w:hAnsi="Calibri"/>
                <w:color w:val="000000"/>
              </w:rPr>
            </w:pPr>
            <w:r>
              <w:rPr>
                <w:rFonts w:ascii="Calibri" w:hAnsi="Calibri"/>
                <w:color w:val="000000"/>
              </w:rPr>
              <w:t>1</w:t>
            </w:r>
          </w:p>
        </w:tc>
        <w:tc>
          <w:tcPr>
            <w:tcW w:w="1803" w:type="dxa"/>
            <w:vAlign w:val="bottom"/>
          </w:tcPr>
          <w:p w14:paraId="0A91E472" w14:textId="77777777" w:rsidR="00D06CC0" w:rsidRDefault="00D06CC0" w:rsidP="00D06CC0">
            <w:pPr>
              <w:jc w:val="right"/>
              <w:rPr>
                <w:rFonts w:ascii="Calibri" w:hAnsi="Calibri"/>
                <w:color w:val="000000"/>
              </w:rPr>
            </w:pPr>
          </w:p>
        </w:tc>
      </w:tr>
      <w:tr w:rsidR="00D06CC0" w14:paraId="455847DE" w14:textId="77777777" w:rsidTr="001E472C">
        <w:trPr>
          <w:tblHeader/>
        </w:trPr>
        <w:tc>
          <w:tcPr>
            <w:tcW w:w="1803" w:type="dxa"/>
            <w:vAlign w:val="bottom"/>
          </w:tcPr>
          <w:p w14:paraId="7FC71A87" w14:textId="77777777" w:rsidR="00D06CC0" w:rsidRDefault="00D06CC0" w:rsidP="00D06CC0">
            <w:pPr>
              <w:rPr>
                <w:rFonts w:ascii="Calibri" w:hAnsi="Calibri"/>
                <w:color w:val="000000"/>
              </w:rPr>
            </w:pPr>
            <w:r>
              <w:rPr>
                <w:rFonts w:ascii="Calibri" w:hAnsi="Calibri"/>
                <w:color w:val="000000"/>
              </w:rPr>
              <w:t>PP.exp</w:t>
            </w:r>
          </w:p>
        </w:tc>
        <w:tc>
          <w:tcPr>
            <w:tcW w:w="1803" w:type="dxa"/>
            <w:vAlign w:val="bottom"/>
          </w:tcPr>
          <w:p w14:paraId="1451BC16" w14:textId="77777777" w:rsidR="00D06CC0" w:rsidRDefault="00A03850" w:rsidP="006F7E7B">
            <w:pPr>
              <w:jc w:val="right"/>
              <w:rPr>
                <w:rFonts w:ascii="Calibri" w:hAnsi="Calibri"/>
                <w:color w:val="000000"/>
              </w:rPr>
            </w:pPr>
            <w:r>
              <w:rPr>
                <w:rFonts w:ascii="Calibri" w:hAnsi="Calibri"/>
                <w:color w:val="000000"/>
              </w:rPr>
              <w:t>0.9</w:t>
            </w:r>
            <w:r w:rsidR="006F7E7B">
              <w:rPr>
                <w:rFonts w:ascii="Calibri" w:hAnsi="Calibri"/>
                <w:color w:val="000000"/>
              </w:rPr>
              <w:t>83</w:t>
            </w:r>
          </w:p>
        </w:tc>
        <w:tc>
          <w:tcPr>
            <w:tcW w:w="1803" w:type="dxa"/>
            <w:vAlign w:val="bottom"/>
          </w:tcPr>
          <w:p w14:paraId="1EA94208" w14:textId="77777777" w:rsidR="00D06CC0" w:rsidRDefault="00D06CC0" w:rsidP="006F7E7B">
            <w:pPr>
              <w:jc w:val="right"/>
              <w:rPr>
                <w:rFonts w:ascii="Calibri" w:hAnsi="Calibri"/>
                <w:color w:val="000000"/>
              </w:rPr>
            </w:pPr>
            <w:r>
              <w:rPr>
                <w:rFonts w:ascii="Calibri" w:hAnsi="Calibri"/>
                <w:color w:val="000000"/>
              </w:rPr>
              <w:t>0.99</w:t>
            </w:r>
            <w:r w:rsidR="006F7E7B">
              <w:rPr>
                <w:rFonts w:ascii="Calibri" w:hAnsi="Calibri"/>
                <w:color w:val="000000"/>
              </w:rPr>
              <w:t>1</w:t>
            </w:r>
          </w:p>
        </w:tc>
        <w:tc>
          <w:tcPr>
            <w:tcW w:w="1803" w:type="dxa"/>
            <w:vAlign w:val="bottom"/>
          </w:tcPr>
          <w:p w14:paraId="5E56DC8F" w14:textId="77777777" w:rsidR="00D06CC0" w:rsidRDefault="00D06CC0" w:rsidP="00D06CC0">
            <w:pPr>
              <w:jc w:val="right"/>
              <w:rPr>
                <w:rFonts w:ascii="Calibri" w:hAnsi="Calibri"/>
                <w:color w:val="000000"/>
              </w:rPr>
            </w:pPr>
            <w:r>
              <w:rPr>
                <w:rFonts w:ascii="Calibri" w:hAnsi="Calibri"/>
                <w:color w:val="000000"/>
              </w:rPr>
              <w:t>1</w:t>
            </w:r>
          </w:p>
        </w:tc>
      </w:tr>
      <w:tr w:rsidR="00D06CC0" w14:paraId="1E6649F1" w14:textId="77777777" w:rsidTr="001E472C">
        <w:trPr>
          <w:tblHeader/>
        </w:trPr>
        <w:tc>
          <w:tcPr>
            <w:tcW w:w="1803" w:type="dxa"/>
            <w:vAlign w:val="bottom"/>
          </w:tcPr>
          <w:p w14:paraId="66C9FB65" w14:textId="77777777" w:rsidR="00D06CC0" w:rsidRDefault="00D06CC0" w:rsidP="00D06CC0">
            <w:pPr>
              <w:rPr>
                <w:rFonts w:ascii="Calibri" w:hAnsi="Calibri"/>
                <w:color w:val="000000"/>
              </w:rPr>
            </w:pPr>
            <w:r>
              <w:rPr>
                <w:rFonts w:ascii="Calibri" w:hAnsi="Calibri"/>
                <w:color w:val="000000"/>
              </w:rPr>
              <w:t>TSS.exp</w:t>
            </w:r>
          </w:p>
        </w:tc>
        <w:tc>
          <w:tcPr>
            <w:tcW w:w="1803" w:type="dxa"/>
            <w:vAlign w:val="bottom"/>
          </w:tcPr>
          <w:p w14:paraId="6DBE332C" w14:textId="77777777" w:rsidR="00D06CC0" w:rsidRDefault="00D06CC0" w:rsidP="006F7E7B">
            <w:pPr>
              <w:jc w:val="right"/>
              <w:rPr>
                <w:rFonts w:ascii="Calibri" w:hAnsi="Calibri"/>
                <w:color w:val="000000"/>
              </w:rPr>
            </w:pPr>
            <w:r>
              <w:rPr>
                <w:rFonts w:ascii="Calibri" w:hAnsi="Calibri"/>
                <w:color w:val="000000"/>
              </w:rPr>
              <w:t>0.</w:t>
            </w:r>
            <w:r w:rsidR="00A03850">
              <w:rPr>
                <w:rFonts w:ascii="Calibri" w:hAnsi="Calibri"/>
                <w:color w:val="000000"/>
              </w:rPr>
              <w:t>9</w:t>
            </w:r>
            <w:r w:rsidR="006F7E7B">
              <w:rPr>
                <w:rFonts w:ascii="Calibri" w:hAnsi="Calibri"/>
                <w:color w:val="000000"/>
              </w:rPr>
              <w:t>40</w:t>
            </w:r>
          </w:p>
        </w:tc>
        <w:tc>
          <w:tcPr>
            <w:tcW w:w="1803" w:type="dxa"/>
            <w:vAlign w:val="bottom"/>
          </w:tcPr>
          <w:p w14:paraId="34BE04E3" w14:textId="77777777" w:rsidR="00D06CC0" w:rsidRDefault="00D06CC0" w:rsidP="006F7E7B">
            <w:pPr>
              <w:jc w:val="right"/>
              <w:rPr>
                <w:rFonts w:ascii="Calibri" w:hAnsi="Calibri"/>
                <w:color w:val="000000"/>
              </w:rPr>
            </w:pPr>
            <w:r>
              <w:rPr>
                <w:rFonts w:ascii="Calibri" w:hAnsi="Calibri"/>
                <w:color w:val="000000"/>
              </w:rPr>
              <w:t>0.</w:t>
            </w:r>
            <w:r w:rsidR="00A03850">
              <w:rPr>
                <w:rFonts w:ascii="Calibri" w:hAnsi="Calibri"/>
                <w:color w:val="000000"/>
              </w:rPr>
              <w:t>9</w:t>
            </w:r>
            <w:r w:rsidR="006F7E7B">
              <w:rPr>
                <w:rFonts w:ascii="Calibri" w:hAnsi="Calibri"/>
                <w:color w:val="000000"/>
              </w:rPr>
              <w:t>00</w:t>
            </w:r>
          </w:p>
        </w:tc>
        <w:tc>
          <w:tcPr>
            <w:tcW w:w="1803" w:type="dxa"/>
            <w:vAlign w:val="bottom"/>
          </w:tcPr>
          <w:p w14:paraId="78CE5380" w14:textId="77777777" w:rsidR="00D06CC0" w:rsidRDefault="00D06CC0" w:rsidP="006F7E7B">
            <w:pPr>
              <w:jc w:val="right"/>
              <w:rPr>
                <w:rFonts w:ascii="Calibri" w:hAnsi="Calibri"/>
                <w:color w:val="000000"/>
              </w:rPr>
            </w:pPr>
            <w:r>
              <w:rPr>
                <w:rFonts w:ascii="Calibri" w:hAnsi="Calibri"/>
                <w:color w:val="000000"/>
              </w:rPr>
              <w:t>0.</w:t>
            </w:r>
            <w:r w:rsidR="00A03850">
              <w:rPr>
                <w:rFonts w:ascii="Calibri" w:hAnsi="Calibri"/>
                <w:color w:val="000000"/>
              </w:rPr>
              <w:t>9</w:t>
            </w:r>
            <w:r w:rsidR="006F7E7B">
              <w:rPr>
                <w:rFonts w:ascii="Calibri" w:hAnsi="Calibri"/>
                <w:color w:val="000000"/>
              </w:rPr>
              <w:t>35</w:t>
            </w:r>
          </w:p>
        </w:tc>
      </w:tr>
    </w:tbl>
    <w:p w14:paraId="552F6084" w14:textId="77777777" w:rsidR="00D06CC0" w:rsidRDefault="00D06CC0" w:rsidP="00D06CC0"/>
    <w:p w14:paraId="15968A1D" w14:textId="618C2091" w:rsidR="00D06CC0" w:rsidRDefault="00D06CC0" w:rsidP="00D06CC0">
      <w:r>
        <w:t>The second consideration for comparison among sources of water quality estimates was how faithfully they represented the gradients observ</w:t>
      </w:r>
      <w:r w:rsidR="006146C6">
        <w:t>ed in data from</w:t>
      </w:r>
      <w:r>
        <w:t xml:space="preserve"> niskin samples. The following correlations compare reef means, aggregated over the time series available for the fourteen reefs for which there were niskin sampled estimates. The niskin samples were aggregated over all samples collected over the period 2005-2016. As a point of reference to the correlations represented above, </w:t>
      </w:r>
      <w:r w:rsidR="00D6105F">
        <w:t>the niskin samples also show</w:t>
      </w:r>
      <w:r>
        <w:t xml:space="preserve"> higher correlation between Chl </w:t>
      </w:r>
      <w:r w:rsidR="00D6105F">
        <w:t>and TP than between Chl and either TN or TSS</w:t>
      </w:r>
      <w:r>
        <w:t xml:space="preserve"> (</w:t>
      </w:r>
      <w:r w:rsidR="0024084A">
        <w:fldChar w:fldCharType="begin"/>
      </w:r>
      <w:r w:rsidR="0024084A">
        <w:instrText xml:space="preserve"> REF _Ref501701662 \h </w:instrText>
      </w:r>
      <w:r w:rsidR="0024084A">
        <w:fldChar w:fldCharType="separate"/>
      </w:r>
      <w:r w:rsidR="00A75175">
        <w:t xml:space="preserve">Table </w:t>
      </w:r>
      <w:r w:rsidR="00A75175">
        <w:rPr>
          <w:noProof/>
        </w:rPr>
        <w:t>22</w:t>
      </w:r>
      <w:r w:rsidR="0024084A">
        <w:fldChar w:fldCharType="end"/>
      </w:r>
      <w:r>
        <w:t>)</w:t>
      </w:r>
      <w:r w:rsidR="00144BBB">
        <w:t xml:space="preserve"> described by the Reefs model</w:t>
      </w:r>
      <w:r>
        <w:t xml:space="preserve">. </w:t>
      </w:r>
    </w:p>
    <w:p w14:paraId="4B3D2C10" w14:textId="77777777" w:rsidR="00D06CC0" w:rsidRDefault="000B6E21" w:rsidP="00606A50">
      <w:pPr>
        <w:pStyle w:val="Caption"/>
      </w:pPr>
      <w:bookmarkStart w:id="311" w:name="_Ref501701662"/>
      <w:bookmarkStart w:id="312" w:name="_Toc514407870"/>
      <w:r>
        <w:t xml:space="preserve">Table </w:t>
      </w:r>
      <w:r>
        <w:fldChar w:fldCharType="begin"/>
      </w:r>
      <w:r>
        <w:instrText xml:space="preserve"> SEQ Table \* ARABIC </w:instrText>
      </w:r>
      <w:r>
        <w:fldChar w:fldCharType="separate"/>
      </w:r>
      <w:r w:rsidR="00A75175">
        <w:rPr>
          <w:noProof/>
        </w:rPr>
        <w:t>22</w:t>
      </w:r>
      <w:r>
        <w:fldChar w:fldCharType="end"/>
      </w:r>
      <w:bookmarkEnd w:id="311"/>
      <w:r>
        <w:t xml:space="preserve"> </w:t>
      </w:r>
      <w:r w:rsidR="00D06CC0">
        <w:t xml:space="preserve">Correlation between </w:t>
      </w:r>
      <w:r>
        <w:t>water quality parameters estimated from niskin sampling adjacent to monitored reefs</w:t>
      </w:r>
      <w:bookmarkEnd w:id="312"/>
    </w:p>
    <w:tbl>
      <w:tblPr>
        <w:tblStyle w:val="TableGrid"/>
        <w:tblW w:w="0" w:type="auto"/>
        <w:tblLook w:val="04A0" w:firstRow="1" w:lastRow="0" w:firstColumn="1" w:lastColumn="0" w:noHBand="0" w:noVBand="1"/>
        <w:tblCaption w:val="Correlation between water quality parameters estimated from niskin sampling adjacent to monitored reefs"/>
        <w:tblDescription w:val="table of correlation coefficients as discussed in main text"/>
      </w:tblPr>
      <w:tblGrid>
        <w:gridCol w:w="1803"/>
        <w:gridCol w:w="1803"/>
        <w:gridCol w:w="1803"/>
        <w:gridCol w:w="1803"/>
        <w:gridCol w:w="1804"/>
      </w:tblGrid>
      <w:tr w:rsidR="00D06CC0" w14:paraId="05A27287" w14:textId="77777777" w:rsidTr="001E472C">
        <w:trPr>
          <w:tblHeader/>
        </w:trPr>
        <w:tc>
          <w:tcPr>
            <w:tcW w:w="1803" w:type="dxa"/>
            <w:vAlign w:val="bottom"/>
          </w:tcPr>
          <w:p w14:paraId="04D03E21" w14:textId="77777777" w:rsidR="00D06CC0" w:rsidRDefault="00D06CC0" w:rsidP="00D06CC0"/>
        </w:tc>
        <w:tc>
          <w:tcPr>
            <w:tcW w:w="1803" w:type="dxa"/>
            <w:vAlign w:val="bottom"/>
          </w:tcPr>
          <w:p w14:paraId="43EC2312" w14:textId="77777777" w:rsidR="00D06CC0" w:rsidRDefault="00D06CC0" w:rsidP="00D06CC0">
            <w:r>
              <w:rPr>
                <w:rFonts w:ascii="Calibri" w:hAnsi="Calibri"/>
                <w:color w:val="000000"/>
              </w:rPr>
              <w:t>Chl.niskin</w:t>
            </w:r>
          </w:p>
        </w:tc>
        <w:tc>
          <w:tcPr>
            <w:tcW w:w="1803" w:type="dxa"/>
            <w:vAlign w:val="bottom"/>
          </w:tcPr>
          <w:p w14:paraId="550A5463" w14:textId="77777777" w:rsidR="00D06CC0" w:rsidRDefault="00D06CC0" w:rsidP="00D06CC0">
            <w:r>
              <w:rPr>
                <w:rFonts w:ascii="Calibri" w:hAnsi="Calibri"/>
                <w:color w:val="000000"/>
              </w:rPr>
              <w:t>TSS.niskin</w:t>
            </w:r>
          </w:p>
        </w:tc>
        <w:tc>
          <w:tcPr>
            <w:tcW w:w="1803" w:type="dxa"/>
            <w:vAlign w:val="bottom"/>
          </w:tcPr>
          <w:p w14:paraId="0854348F" w14:textId="77777777" w:rsidR="00D06CC0" w:rsidRDefault="00D06CC0" w:rsidP="00D06CC0">
            <w:r>
              <w:rPr>
                <w:rFonts w:ascii="Calibri" w:hAnsi="Calibri"/>
                <w:color w:val="000000"/>
              </w:rPr>
              <w:t>TN.niskin</w:t>
            </w:r>
          </w:p>
        </w:tc>
        <w:tc>
          <w:tcPr>
            <w:tcW w:w="1804" w:type="dxa"/>
            <w:vAlign w:val="bottom"/>
          </w:tcPr>
          <w:p w14:paraId="2170F637" w14:textId="77777777" w:rsidR="00D06CC0" w:rsidRDefault="00D06CC0" w:rsidP="00D06CC0">
            <w:r>
              <w:rPr>
                <w:rFonts w:ascii="Calibri" w:hAnsi="Calibri"/>
                <w:color w:val="000000"/>
              </w:rPr>
              <w:t>TP.niskin</w:t>
            </w:r>
          </w:p>
        </w:tc>
      </w:tr>
      <w:tr w:rsidR="00D06CC0" w14:paraId="1EF422F6" w14:textId="77777777" w:rsidTr="001E472C">
        <w:trPr>
          <w:tblHeader/>
        </w:trPr>
        <w:tc>
          <w:tcPr>
            <w:tcW w:w="1803" w:type="dxa"/>
            <w:vAlign w:val="bottom"/>
          </w:tcPr>
          <w:p w14:paraId="441050A7" w14:textId="77777777" w:rsidR="00D06CC0" w:rsidRDefault="00D06CC0" w:rsidP="00D06CC0">
            <w:r>
              <w:rPr>
                <w:rFonts w:ascii="Calibri" w:hAnsi="Calibri"/>
                <w:color w:val="000000"/>
              </w:rPr>
              <w:t>Chl.niskin</w:t>
            </w:r>
          </w:p>
        </w:tc>
        <w:tc>
          <w:tcPr>
            <w:tcW w:w="1803" w:type="dxa"/>
            <w:vAlign w:val="bottom"/>
          </w:tcPr>
          <w:p w14:paraId="40F2E591" w14:textId="77777777" w:rsidR="00D06CC0" w:rsidRDefault="00D06CC0" w:rsidP="00D06CC0">
            <w:r>
              <w:rPr>
                <w:rFonts w:ascii="Calibri" w:hAnsi="Calibri"/>
                <w:color w:val="000000"/>
              </w:rPr>
              <w:t>1</w:t>
            </w:r>
          </w:p>
        </w:tc>
        <w:tc>
          <w:tcPr>
            <w:tcW w:w="1803" w:type="dxa"/>
            <w:vAlign w:val="bottom"/>
          </w:tcPr>
          <w:p w14:paraId="415DCFC8" w14:textId="77777777" w:rsidR="00D06CC0" w:rsidRDefault="00D06CC0" w:rsidP="00D06CC0"/>
        </w:tc>
        <w:tc>
          <w:tcPr>
            <w:tcW w:w="1803" w:type="dxa"/>
            <w:vAlign w:val="bottom"/>
          </w:tcPr>
          <w:p w14:paraId="46F8F8E8" w14:textId="77777777" w:rsidR="00D06CC0" w:rsidRDefault="00D06CC0" w:rsidP="00D06CC0"/>
        </w:tc>
        <w:tc>
          <w:tcPr>
            <w:tcW w:w="1804" w:type="dxa"/>
            <w:vAlign w:val="bottom"/>
          </w:tcPr>
          <w:p w14:paraId="5871C089" w14:textId="77777777" w:rsidR="00D06CC0" w:rsidRDefault="00D06CC0" w:rsidP="00D06CC0"/>
        </w:tc>
      </w:tr>
      <w:tr w:rsidR="00D06CC0" w14:paraId="7A7A9342" w14:textId="77777777" w:rsidTr="001E472C">
        <w:trPr>
          <w:tblHeader/>
        </w:trPr>
        <w:tc>
          <w:tcPr>
            <w:tcW w:w="1803" w:type="dxa"/>
            <w:vAlign w:val="bottom"/>
          </w:tcPr>
          <w:p w14:paraId="16EDED05" w14:textId="77777777" w:rsidR="00D06CC0" w:rsidRDefault="00D06CC0" w:rsidP="00D06CC0">
            <w:r>
              <w:rPr>
                <w:rFonts w:ascii="Calibri" w:hAnsi="Calibri"/>
                <w:color w:val="000000"/>
              </w:rPr>
              <w:t>TSS.niskin</w:t>
            </w:r>
          </w:p>
        </w:tc>
        <w:tc>
          <w:tcPr>
            <w:tcW w:w="1803" w:type="dxa"/>
            <w:vAlign w:val="bottom"/>
          </w:tcPr>
          <w:p w14:paraId="40AA8E64" w14:textId="77777777" w:rsidR="00D06CC0" w:rsidRDefault="00D06CC0" w:rsidP="00D06CC0">
            <w:r>
              <w:rPr>
                <w:rFonts w:ascii="Calibri" w:hAnsi="Calibri"/>
                <w:color w:val="000000"/>
              </w:rPr>
              <w:t>0.752</w:t>
            </w:r>
          </w:p>
        </w:tc>
        <w:tc>
          <w:tcPr>
            <w:tcW w:w="1803" w:type="dxa"/>
            <w:vAlign w:val="bottom"/>
          </w:tcPr>
          <w:p w14:paraId="6A25674B" w14:textId="77777777" w:rsidR="00D06CC0" w:rsidRDefault="00D06CC0" w:rsidP="00D06CC0">
            <w:r>
              <w:rPr>
                <w:rFonts w:ascii="Calibri" w:hAnsi="Calibri"/>
                <w:color w:val="000000"/>
              </w:rPr>
              <w:t>1</w:t>
            </w:r>
          </w:p>
        </w:tc>
        <w:tc>
          <w:tcPr>
            <w:tcW w:w="1803" w:type="dxa"/>
            <w:vAlign w:val="bottom"/>
          </w:tcPr>
          <w:p w14:paraId="37F8A7B3" w14:textId="77777777" w:rsidR="00D06CC0" w:rsidRDefault="00D06CC0" w:rsidP="00D06CC0"/>
        </w:tc>
        <w:tc>
          <w:tcPr>
            <w:tcW w:w="1804" w:type="dxa"/>
            <w:vAlign w:val="bottom"/>
          </w:tcPr>
          <w:p w14:paraId="594656BE" w14:textId="77777777" w:rsidR="00D06CC0" w:rsidRDefault="00D06CC0" w:rsidP="00D06CC0"/>
        </w:tc>
      </w:tr>
      <w:tr w:rsidR="00D06CC0" w14:paraId="06297183" w14:textId="77777777" w:rsidTr="001E472C">
        <w:trPr>
          <w:tblHeader/>
        </w:trPr>
        <w:tc>
          <w:tcPr>
            <w:tcW w:w="1803" w:type="dxa"/>
            <w:vAlign w:val="bottom"/>
          </w:tcPr>
          <w:p w14:paraId="4B703BD1" w14:textId="77777777" w:rsidR="00D06CC0" w:rsidRDefault="00D06CC0" w:rsidP="00D06CC0">
            <w:r>
              <w:rPr>
                <w:rFonts w:ascii="Calibri" w:hAnsi="Calibri"/>
                <w:color w:val="000000"/>
              </w:rPr>
              <w:t>TN.niskin</w:t>
            </w:r>
          </w:p>
        </w:tc>
        <w:tc>
          <w:tcPr>
            <w:tcW w:w="1803" w:type="dxa"/>
            <w:vAlign w:val="bottom"/>
          </w:tcPr>
          <w:p w14:paraId="2BB3B00C" w14:textId="77777777" w:rsidR="00D06CC0" w:rsidRDefault="00D06CC0" w:rsidP="00D06CC0">
            <w:r>
              <w:rPr>
                <w:rFonts w:ascii="Calibri" w:hAnsi="Calibri"/>
                <w:color w:val="000000"/>
              </w:rPr>
              <w:t>0.755</w:t>
            </w:r>
          </w:p>
        </w:tc>
        <w:tc>
          <w:tcPr>
            <w:tcW w:w="1803" w:type="dxa"/>
            <w:vAlign w:val="bottom"/>
          </w:tcPr>
          <w:p w14:paraId="27757E26" w14:textId="77777777" w:rsidR="00D06CC0" w:rsidRDefault="00D06CC0" w:rsidP="00D06CC0">
            <w:r>
              <w:rPr>
                <w:rFonts w:ascii="Calibri" w:hAnsi="Calibri"/>
                <w:color w:val="000000"/>
              </w:rPr>
              <w:t>0.550</w:t>
            </w:r>
          </w:p>
        </w:tc>
        <w:tc>
          <w:tcPr>
            <w:tcW w:w="1803" w:type="dxa"/>
            <w:vAlign w:val="bottom"/>
          </w:tcPr>
          <w:p w14:paraId="61753DB6" w14:textId="77777777" w:rsidR="00D06CC0" w:rsidRDefault="00D06CC0" w:rsidP="00D06CC0">
            <w:r>
              <w:rPr>
                <w:rFonts w:ascii="Calibri" w:hAnsi="Calibri"/>
                <w:color w:val="000000"/>
              </w:rPr>
              <w:t>1</w:t>
            </w:r>
          </w:p>
        </w:tc>
        <w:tc>
          <w:tcPr>
            <w:tcW w:w="1804" w:type="dxa"/>
            <w:vAlign w:val="bottom"/>
          </w:tcPr>
          <w:p w14:paraId="69CD5B03" w14:textId="77777777" w:rsidR="00D06CC0" w:rsidRDefault="00D06CC0" w:rsidP="00D06CC0"/>
        </w:tc>
      </w:tr>
      <w:tr w:rsidR="00D06CC0" w14:paraId="4790AB63" w14:textId="77777777" w:rsidTr="001E472C">
        <w:trPr>
          <w:tblHeader/>
        </w:trPr>
        <w:tc>
          <w:tcPr>
            <w:tcW w:w="1803" w:type="dxa"/>
            <w:vAlign w:val="bottom"/>
          </w:tcPr>
          <w:p w14:paraId="7EF465E2" w14:textId="77777777" w:rsidR="00D06CC0" w:rsidRDefault="00D06CC0" w:rsidP="00D06CC0">
            <w:r>
              <w:rPr>
                <w:rFonts w:ascii="Calibri" w:hAnsi="Calibri"/>
                <w:color w:val="000000"/>
              </w:rPr>
              <w:t>TP.niskin</w:t>
            </w:r>
          </w:p>
        </w:tc>
        <w:tc>
          <w:tcPr>
            <w:tcW w:w="1803" w:type="dxa"/>
            <w:vAlign w:val="bottom"/>
          </w:tcPr>
          <w:p w14:paraId="00F59142" w14:textId="77777777" w:rsidR="00D06CC0" w:rsidRDefault="00D06CC0" w:rsidP="00D06CC0">
            <w:r>
              <w:rPr>
                <w:rFonts w:ascii="Calibri" w:hAnsi="Calibri"/>
                <w:color w:val="000000"/>
              </w:rPr>
              <w:t>0.869</w:t>
            </w:r>
          </w:p>
        </w:tc>
        <w:tc>
          <w:tcPr>
            <w:tcW w:w="1803" w:type="dxa"/>
            <w:vAlign w:val="bottom"/>
          </w:tcPr>
          <w:p w14:paraId="67D231B8" w14:textId="77777777" w:rsidR="00D06CC0" w:rsidRDefault="00D06CC0" w:rsidP="00D06CC0">
            <w:r>
              <w:rPr>
                <w:rFonts w:ascii="Calibri" w:hAnsi="Calibri"/>
                <w:color w:val="000000"/>
              </w:rPr>
              <w:t>0.632</w:t>
            </w:r>
          </w:p>
        </w:tc>
        <w:tc>
          <w:tcPr>
            <w:tcW w:w="1803" w:type="dxa"/>
            <w:vAlign w:val="bottom"/>
          </w:tcPr>
          <w:p w14:paraId="05CA4826" w14:textId="77777777" w:rsidR="00D06CC0" w:rsidRDefault="00D06CC0" w:rsidP="00D06CC0">
            <w:r>
              <w:rPr>
                <w:rFonts w:ascii="Calibri" w:hAnsi="Calibri"/>
                <w:color w:val="000000"/>
              </w:rPr>
              <w:t>0.956</w:t>
            </w:r>
          </w:p>
        </w:tc>
        <w:tc>
          <w:tcPr>
            <w:tcW w:w="1804" w:type="dxa"/>
            <w:vAlign w:val="bottom"/>
          </w:tcPr>
          <w:p w14:paraId="3C3E92C0" w14:textId="77777777" w:rsidR="00D06CC0" w:rsidRDefault="00D06CC0" w:rsidP="00D06CC0">
            <w:r>
              <w:rPr>
                <w:rFonts w:ascii="Calibri" w:hAnsi="Calibri"/>
                <w:color w:val="000000"/>
              </w:rPr>
              <w:t>1</w:t>
            </w:r>
          </w:p>
        </w:tc>
      </w:tr>
    </w:tbl>
    <w:p w14:paraId="140BD46D" w14:textId="77777777" w:rsidR="00D06CC0" w:rsidRDefault="00D06CC0" w:rsidP="00D06CC0"/>
    <w:p w14:paraId="24E11CCF" w14:textId="22DED7DE" w:rsidR="00D06CC0" w:rsidRDefault="00D06CC0" w:rsidP="00D06CC0">
      <w:r>
        <w:t>Comparing the suspended sediment related parameters from the vario</w:t>
      </w:r>
      <w:r w:rsidR="00144BBB">
        <w:t>us sources demonstrates the NAP.</w:t>
      </w:r>
      <w:r>
        <w:t xml:space="preserve">BoM </w:t>
      </w:r>
      <w:r w:rsidR="00144BBB">
        <w:t xml:space="preserve">estimates </w:t>
      </w:r>
      <w:r w:rsidR="00D6105F">
        <w:t xml:space="preserve">correspond more closely to </w:t>
      </w:r>
      <w:r>
        <w:t>the overall gradient observed in TSS</w:t>
      </w:r>
      <w:r w:rsidR="00144BBB">
        <w:t>.</w:t>
      </w:r>
      <w:r>
        <w:t xml:space="preserve">niskin and Secchi estimates than estimates derived from </w:t>
      </w:r>
      <w:r w:rsidR="00D6105F">
        <w:t xml:space="preserve">either </w:t>
      </w:r>
      <w:r>
        <w:t>exposure to water colour classes or the eReefs model (</w:t>
      </w:r>
      <w:r w:rsidR="00F650C0">
        <w:fldChar w:fldCharType="begin"/>
      </w:r>
      <w:r w:rsidR="00F650C0">
        <w:instrText xml:space="preserve"> REF _Ref501701894 \h </w:instrText>
      </w:r>
      <w:r w:rsidR="00F650C0">
        <w:fldChar w:fldCharType="separate"/>
      </w:r>
      <w:r w:rsidR="00A75175">
        <w:t xml:space="preserve">Table </w:t>
      </w:r>
      <w:r w:rsidR="00A75175">
        <w:rPr>
          <w:noProof/>
        </w:rPr>
        <w:t>23</w:t>
      </w:r>
      <w:r w:rsidR="00F650C0">
        <w:fldChar w:fldCharType="end"/>
      </w:r>
      <w:r>
        <w:t xml:space="preserve">). For Chl, the gradient described by water colour class exposure was strongly correlated with that observed in </w:t>
      </w:r>
      <w:r w:rsidR="00144BBB">
        <w:t>Chl.</w:t>
      </w:r>
      <w:r>
        <w:t>niskin samples, and also similar to that described by the BoM algorithm (</w:t>
      </w:r>
      <w:r w:rsidR="00F650C0">
        <w:fldChar w:fldCharType="begin"/>
      </w:r>
      <w:r w:rsidR="00F650C0">
        <w:instrText xml:space="preserve"> REF _Ref501701908 \h </w:instrText>
      </w:r>
      <w:r w:rsidR="00F650C0">
        <w:fldChar w:fldCharType="separate"/>
      </w:r>
      <w:r w:rsidR="00A75175">
        <w:t xml:space="preserve">Table </w:t>
      </w:r>
      <w:r w:rsidR="00A75175">
        <w:rPr>
          <w:noProof/>
        </w:rPr>
        <w:t>24</w:t>
      </w:r>
      <w:r w:rsidR="00F650C0">
        <w:fldChar w:fldCharType="end"/>
      </w:r>
      <w:r>
        <w:t>).  There was minimal correlation between niskin sampled mean concentrations of dissolved nutrients and those estimated by the eReefs model (</w:t>
      </w:r>
      <w:r w:rsidR="0024084A">
        <w:fldChar w:fldCharType="begin"/>
      </w:r>
      <w:r w:rsidR="0024084A">
        <w:instrText xml:space="preserve"> REF _Ref514407751 \h </w:instrText>
      </w:r>
      <w:r w:rsidR="0024084A">
        <w:fldChar w:fldCharType="separate"/>
      </w:r>
      <w:r w:rsidR="00A75175">
        <w:t xml:space="preserve">Table </w:t>
      </w:r>
      <w:r w:rsidR="00A75175">
        <w:rPr>
          <w:noProof/>
        </w:rPr>
        <w:t>25</w:t>
      </w:r>
      <w:r w:rsidR="0024084A">
        <w:fldChar w:fldCharType="end"/>
      </w:r>
      <w:r>
        <w:t>)</w:t>
      </w:r>
      <w:r w:rsidR="002F33D9">
        <w:t>. B</w:t>
      </w:r>
      <w:r>
        <w:t>oth Total N and Total P estimated by eReefs were correlated with Total P obser</w:t>
      </w:r>
      <w:r w:rsidR="00794E62">
        <w:t xml:space="preserve">ved </w:t>
      </w:r>
      <w:r w:rsidR="005E056C">
        <w:t>i</w:t>
      </w:r>
      <w:r w:rsidR="00794E62">
        <w:t>n niskin samples</w:t>
      </w:r>
      <w:r>
        <w:t xml:space="preserve"> (</w:t>
      </w:r>
      <w:r w:rsidR="0024084A">
        <w:fldChar w:fldCharType="begin"/>
      </w:r>
      <w:r w:rsidR="0024084A">
        <w:instrText xml:space="preserve"> REF _Ref514407777 \h </w:instrText>
      </w:r>
      <w:r w:rsidR="0024084A">
        <w:fldChar w:fldCharType="separate"/>
      </w:r>
      <w:r w:rsidR="00A75175">
        <w:t xml:space="preserve">Table </w:t>
      </w:r>
      <w:r w:rsidR="00A75175">
        <w:rPr>
          <w:noProof/>
        </w:rPr>
        <w:t>26</w:t>
      </w:r>
      <w:r w:rsidR="0024084A">
        <w:fldChar w:fldCharType="end"/>
      </w:r>
      <w:r>
        <w:t xml:space="preserve">). </w:t>
      </w:r>
    </w:p>
    <w:p w14:paraId="6B1B086A" w14:textId="77777777" w:rsidR="00D06CC0" w:rsidRDefault="000B6E21" w:rsidP="00606A50">
      <w:pPr>
        <w:pStyle w:val="Caption"/>
      </w:pPr>
      <w:bookmarkStart w:id="313" w:name="_Ref501701894"/>
      <w:bookmarkStart w:id="314" w:name="_Toc514407871"/>
      <w:r>
        <w:t xml:space="preserve">Table </w:t>
      </w:r>
      <w:r>
        <w:fldChar w:fldCharType="begin"/>
      </w:r>
      <w:r>
        <w:instrText xml:space="preserve"> SEQ Table \* ARABIC </w:instrText>
      </w:r>
      <w:r>
        <w:fldChar w:fldCharType="separate"/>
      </w:r>
      <w:r w:rsidR="00A75175">
        <w:rPr>
          <w:noProof/>
        </w:rPr>
        <w:t>23</w:t>
      </w:r>
      <w:r>
        <w:fldChar w:fldCharType="end"/>
      </w:r>
      <w:bookmarkEnd w:id="313"/>
      <w:r>
        <w:t xml:space="preserve"> </w:t>
      </w:r>
      <w:r w:rsidR="00D06CC0">
        <w:t>Correlation between suspended sedime</w:t>
      </w:r>
      <w:r w:rsidR="00D901A5">
        <w:t xml:space="preserve">nt related parameter estimates. </w:t>
      </w:r>
      <w:r w:rsidR="00144BBB">
        <w:t xml:space="preserve">Shading indicates the estimated variable that most </w:t>
      </w:r>
      <w:r w:rsidR="00794E62">
        <w:t>closely</w:t>
      </w:r>
      <w:r w:rsidR="00144BBB">
        <w:t xml:space="preserve"> correlated with the measured gradient</w:t>
      </w:r>
      <w:r w:rsidR="00794E62">
        <w:t>.</w:t>
      </w:r>
      <w:bookmarkEnd w:id="314"/>
    </w:p>
    <w:tbl>
      <w:tblPr>
        <w:tblStyle w:val="TableGrid"/>
        <w:tblW w:w="0" w:type="auto"/>
        <w:tblLook w:val="04A0" w:firstRow="1" w:lastRow="0" w:firstColumn="1" w:lastColumn="0" w:noHBand="0" w:noVBand="1"/>
        <w:tblCaption w:val="Correlation between suspended sediment related parameter estimates. Shading indicates the estimated variable that most closely correlated with the measured gradient."/>
        <w:tblDescription w:val="table of correlation coefficients as discussed in main text"/>
      </w:tblPr>
      <w:tblGrid>
        <w:gridCol w:w="1602"/>
        <w:gridCol w:w="1374"/>
        <w:gridCol w:w="1166"/>
        <w:gridCol w:w="1162"/>
        <w:gridCol w:w="1076"/>
      </w:tblGrid>
      <w:tr w:rsidR="00D06CC0" w14:paraId="016BCE30" w14:textId="77777777" w:rsidTr="001E472C">
        <w:trPr>
          <w:tblHeader/>
        </w:trPr>
        <w:tc>
          <w:tcPr>
            <w:tcW w:w="1602" w:type="dxa"/>
            <w:vAlign w:val="bottom"/>
          </w:tcPr>
          <w:p w14:paraId="071EB4D6" w14:textId="77777777" w:rsidR="00D06CC0" w:rsidRDefault="00D06CC0" w:rsidP="00D06CC0"/>
        </w:tc>
        <w:tc>
          <w:tcPr>
            <w:tcW w:w="1374" w:type="dxa"/>
            <w:vAlign w:val="bottom"/>
          </w:tcPr>
          <w:p w14:paraId="400C1FA1" w14:textId="77777777" w:rsidR="00D06CC0" w:rsidRDefault="00D06CC0" w:rsidP="00D06CC0">
            <w:r>
              <w:rPr>
                <w:rFonts w:ascii="Calibri" w:hAnsi="Calibri"/>
                <w:color w:val="000000"/>
              </w:rPr>
              <w:t>Secchi</w:t>
            </w:r>
          </w:p>
        </w:tc>
        <w:tc>
          <w:tcPr>
            <w:tcW w:w="1166" w:type="dxa"/>
            <w:vAlign w:val="bottom"/>
          </w:tcPr>
          <w:p w14:paraId="2C262B92" w14:textId="77777777" w:rsidR="00D06CC0" w:rsidRDefault="00D06CC0" w:rsidP="00D06CC0">
            <w:r>
              <w:rPr>
                <w:rFonts w:ascii="Calibri" w:hAnsi="Calibri"/>
                <w:color w:val="000000"/>
              </w:rPr>
              <w:t>TSS.niskin</w:t>
            </w:r>
          </w:p>
        </w:tc>
        <w:tc>
          <w:tcPr>
            <w:tcW w:w="1162" w:type="dxa"/>
            <w:vAlign w:val="bottom"/>
          </w:tcPr>
          <w:p w14:paraId="4F624FD6" w14:textId="77777777" w:rsidR="00D06CC0" w:rsidRDefault="00D06CC0" w:rsidP="00D06CC0">
            <w:r>
              <w:rPr>
                <w:rFonts w:ascii="Calibri" w:hAnsi="Calibri"/>
                <w:color w:val="000000"/>
              </w:rPr>
              <w:t>NAP.BoM</w:t>
            </w:r>
          </w:p>
        </w:tc>
        <w:tc>
          <w:tcPr>
            <w:tcW w:w="1076" w:type="dxa"/>
            <w:vAlign w:val="bottom"/>
          </w:tcPr>
          <w:p w14:paraId="099DAFBE" w14:textId="77777777" w:rsidR="00D06CC0" w:rsidRDefault="00D06CC0" w:rsidP="00D06CC0">
            <w:r>
              <w:rPr>
                <w:rFonts w:ascii="Calibri" w:hAnsi="Calibri"/>
                <w:color w:val="000000"/>
              </w:rPr>
              <w:t>TSS.exp</w:t>
            </w:r>
          </w:p>
        </w:tc>
      </w:tr>
      <w:tr w:rsidR="00D06CC0" w14:paraId="1772BC34" w14:textId="77777777" w:rsidTr="001E472C">
        <w:trPr>
          <w:tblHeader/>
        </w:trPr>
        <w:tc>
          <w:tcPr>
            <w:tcW w:w="1602" w:type="dxa"/>
            <w:vAlign w:val="bottom"/>
          </w:tcPr>
          <w:p w14:paraId="1FD1C9D4" w14:textId="77777777" w:rsidR="00D06CC0" w:rsidRDefault="00D06CC0" w:rsidP="00D06CC0">
            <w:r>
              <w:rPr>
                <w:rFonts w:ascii="Calibri" w:hAnsi="Calibri"/>
                <w:color w:val="000000"/>
              </w:rPr>
              <w:t>Secchi</w:t>
            </w:r>
          </w:p>
        </w:tc>
        <w:tc>
          <w:tcPr>
            <w:tcW w:w="1374" w:type="dxa"/>
            <w:vAlign w:val="bottom"/>
          </w:tcPr>
          <w:p w14:paraId="4E387AF2" w14:textId="77777777" w:rsidR="00D06CC0" w:rsidRDefault="00D06CC0" w:rsidP="00D06CC0">
            <w:r>
              <w:rPr>
                <w:rFonts w:ascii="Calibri" w:hAnsi="Calibri"/>
                <w:color w:val="000000"/>
              </w:rPr>
              <w:t>1</w:t>
            </w:r>
          </w:p>
        </w:tc>
        <w:tc>
          <w:tcPr>
            <w:tcW w:w="1166" w:type="dxa"/>
            <w:vAlign w:val="bottom"/>
          </w:tcPr>
          <w:p w14:paraId="67D16C57" w14:textId="77777777" w:rsidR="00D06CC0" w:rsidRDefault="00D06CC0" w:rsidP="00D06CC0"/>
        </w:tc>
        <w:tc>
          <w:tcPr>
            <w:tcW w:w="1162" w:type="dxa"/>
            <w:vAlign w:val="bottom"/>
          </w:tcPr>
          <w:p w14:paraId="683646A1" w14:textId="77777777" w:rsidR="00D06CC0" w:rsidRDefault="00D06CC0" w:rsidP="00D06CC0"/>
        </w:tc>
        <w:tc>
          <w:tcPr>
            <w:tcW w:w="1076" w:type="dxa"/>
            <w:vAlign w:val="bottom"/>
          </w:tcPr>
          <w:p w14:paraId="05408674" w14:textId="77777777" w:rsidR="00D06CC0" w:rsidRDefault="00D06CC0" w:rsidP="00D06CC0"/>
        </w:tc>
      </w:tr>
      <w:tr w:rsidR="00D06CC0" w14:paraId="25083376" w14:textId="77777777" w:rsidTr="001E472C">
        <w:trPr>
          <w:tblHeader/>
        </w:trPr>
        <w:tc>
          <w:tcPr>
            <w:tcW w:w="1602" w:type="dxa"/>
            <w:vAlign w:val="bottom"/>
          </w:tcPr>
          <w:p w14:paraId="27AAC2E0" w14:textId="77777777" w:rsidR="00D06CC0" w:rsidRDefault="00D06CC0" w:rsidP="00D06CC0">
            <w:r>
              <w:rPr>
                <w:rFonts w:ascii="Calibri" w:hAnsi="Calibri"/>
                <w:color w:val="000000"/>
              </w:rPr>
              <w:t>TSS.niskin</w:t>
            </w:r>
          </w:p>
        </w:tc>
        <w:tc>
          <w:tcPr>
            <w:tcW w:w="1374" w:type="dxa"/>
            <w:tcBorders>
              <w:bottom w:val="single" w:sz="4" w:space="0" w:color="auto"/>
            </w:tcBorders>
            <w:vAlign w:val="bottom"/>
          </w:tcPr>
          <w:p w14:paraId="5D02D6C0" w14:textId="77777777" w:rsidR="00D06CC0" w:rsidRDefault="00D06CC0" w:rsidP="00D06CC0">
            <w:r>
              <w:rPr>
                <w:rFonts w:ascii="Calibri" w:hAnsi="Calibri"/>
                <w:color w:val="000000"/>
              </w:rPr>
              <w:t>-0.973</w:t>
            </w:r>
          </w:p>
        </w:tc>
        <w:tc>
          <w:tcPr>
            <w:tcW w:w="1166" w:type="dxa"/>
            <w:tcBorders>
              <w:bottom w:val="single" w:sz="4" w:space="0" w:color="auto"/>
            </w:tcBorders>
            <w:vAlign w:val="bottom"/>
          </w:tcPr>
          <w:p w14:paraId="50F5799D" w14:textId="77777777" w:rsidR="00D06CC0" w:rsidRDefault="00D06CC0" w:rsidP="00D06CC0">
            <w:r>
              <w:rPr>
                <w:rFonts w:ascii="Calibri" w:hAnsi="Calibri"/>
                <w:color w:val="000000"/>
              </w:rPr>
              <w:t>1</w:t>
            </w:r>
          </w:p>
        </w:tc>
        <w:tc>
          <w:tcPr>
            <w:tcW w:w="1162" w:type="dxa"/>
            <w:vAlign w:val="bottom"/>
          </w:tcPr>
          <w:p w14:paraId="74474B28" w14:textId="77777777" w:rsidR="00D06CC0" w:rsidRDefault="00D06CC0" w:rsidP="00D06CC0"/>
        </w:tc>
        <w:tc>
          <w:tcPr>
            <w:tcW w:w="1076" w:type="dxa"/>
            <w:vAlign w:val="bottom"/>
          </w:tcPr>
          <w:p w14:paraId="6E1B368A" w14:textId="77777777" w:rsidR="00D06CC0" w:rsidRDefault="00D06CC0" w:rsidP="00D06CC0"/>
        </w:tc>
      </w:tr>
      <w:tr w:rsidR="00D06CC0" w14:paraId="61D36C45" w14:textId="77777777" w:rsidTr="001E472C">
        <w:trPr>
          <w:tblHeader/>
        </w:trPr>
        <w:tc>
          <w:tcPr>
            <w:tcW w:w="1602" w:type="dxa"/>
            <w:vAlign w:val="bottom"/>
          </w:tcPr>
          <w:p w14:paraId="46AAFBED" w14:textId="77777777" w:rsidR="00D06CC0" w:rsidRDefault="00D06CC0" w:rsidP="00D06CC0">
            <w:r>
              <w:rPr>
                <w:rFonts w:ascii="Calibri" w:hAnsi="Calibri"/>
                <w:color w:val="000000"/>
              </w:rPr>
              <w:t>NAP.BoM</w:t>
            </w:r>
          </w:p>
        </w:tc>
        <w:tc>
          <w:tcPr>
            <w:tcW w:w="1374" w:type="dxa"/>
            <w:shd w:val="clear" w:color="auto" w:fill="D9D9D9" w:themeFill="background1" w:themeFillShade="D9"/>
            <w:vAlign w:val="bottom"/>
          </w:tcPr>
          <w:p w14:paraId="288F8692" w14:textId="77777777" w:rsidR="00D06CC0" w:rsidRDefault="00D06CC0" w:rsidP="00D06CC0">
            <w:r>
              <w:rPr>
                <w:rFonts w:ascii="Calibri" w:hAnsi="Calibri"/>
                <w:color w:val="000000"/>
              </w:rPr>
              <w:t>-0.940</w:t>
            </w:r>
          </w:p>
        </w:tc>
        <w:tc>
          <w:tcPr>
            <w:tcW w:w="1166" w:type="dxa"/>
            <w:shd w:val="clear" w:color="auto" w:fill="D9D9D9" w:themeFill="background1" w:themeFillShade="D9"/>
            <w:vAlign w:val="bottom"/>
          </w:tcPr>
          <w:p w14:paraId="252A4FDB" w14:textId="77777777" w:rsidR="00D06CC0" w:rsidRDefault="00D06CC0" w:rsidP="00D06CC0">
            <w:r>
              <w:rPr>
                <w:rFonts w:ascii="Calibri" w:hAnsi="Calibri"/>
                <w:color w:val="000000"/>
              </w:rPr>
              <w:t>0.923</w:t>
            </w:r>
          </w:p>
        </w:tc>
        <w:tc>
          <w:tcPr>
            <w:tcW w:w="1162" w:type="dxa"/>
            <w:vAlign w:val="bottom"/>
          </w:tcPr>
          <w:p w14:paraId="63463C9A" w14:textId="77777777" w:rsidR="00D06CC0" w:rsidRDefault="00D06CC0" w:rsidP="00D06CC0">
            <w:r>
              <w:rPr>
                <w:rFonts w:ascii="Calibri" w:hAnsi="Calibri"/>
                <w:color w:val="000000"/>
              </w:rPr>
              <w:t>1</w:t>
            </w:r>
          </w:p>
        </w:tc>
        <w:tc>
          <w:tcPr>
            <w:tcW w:w="1076" w:type="dxa"/>
            <w:vAlign w:val="bottom"/>
          </w:tcPr>
          <w:p w14:paraId="188FDB0E" w14:textId="77777777" w:rsidR="00D06CC0" w:rsidRDefault="00D06CC0" w:rsidP="00D06CC0"/>
        </w:tc>
      </w:tr>
      <w:tr w:rsidR="00D06CC0" w14:paraId="7CC51B7D" w14:textId="77777777" w:rsidTr="001E472C">
        <w:trPr>
          <w:tblHeader/>
        </w:trPr>
        <w:tc>
          <w:tcPr>
            <w:tcW w:w="1602" w:type="dxa"/>
            <w:vAlign w:val="bottom"/>
          </w:tcPr>
          <w:p w14:paraId="06ED7826" w14:textId="77777777" w:rsidR="00D06CC0" w:rsidRDefault="00D06CC0" w:rsidP="00D06CC0">
            <w:r>
              <w:rPr>
                <w:rFonts w:ascii="Calibri" w:hAnsi="Calibri"/>
                <w:color w:val="000000"/>
              </w:rPr>
              <w:t>TSS.exp</w:t>
            </w:r>
          </w:p>
        </w:tc>
        <w:tc>
          <w:tcPr>
            <w:tcW w:w="1374" w:type="dxa"/>
            <w:vAlign w:val="bottom"/>
          </w:tcPr>
          <w:p w14:paraId="5F26FE8D" w14:textId="77777777" w:rsidR="00D06CC0" w:rsidRDefault="00D06CC0" w:rsidP="00D06CC0">
            <w:r>
              <w:rPr>
                <w:rFonts w:ascii="Calibri" w:hAnsi="Calibri"/>
                <w:color w:val="000000"/>
              </w:rPr>
              <w:t>-0.621</w:t>
            </w:r>
          </w:p>
        </w:tc>
        <w:tc>
          <w:tcPr>
            <w:tcW w:w="1166" w:type="dxa"/>
            <w:vAlign w:val="bottom"/>
          </w:tcPr>
          <w:p w14:paraId="760062A0" w14:textId="77777777" w:rsidR="00D06CC0" w:rsidRDefault="00D06CC0" w:rsidP="00D06CC0">
            <w:r>
              <w:rPr>
                <w:rFonts w:ascii="Calibri" w:hAnsi="Calibri"/>
                <w:color w:val="000000"/>
              </w:rPr>
              <w:t>0.648</w:t>
            </w:r>
          </w:p>
        </w:tc>
        <w:tc>
          <w:tcPr>
            <w:tcW w:w="1162" w:type="dxa"/>
            <w:vAlign w:val="bottom"/>
          </w:tcPr>
          <w:p w14:paraId="07D49A8D" w14:textId="77777777" w:rsidR="00D06CC0" w:rsidRDefault="00D06CC0" w:rsidP="003F7628">
            <w:r>
              <w:rPr>
                <w:rFonts w:ascii="Calibri" w:hAnsi="Calibri"/>
                <w:color w:val="000000"/>
              </w:rPr>
              <w:t>0.7</w:t>
            </w:r>
            <w:r w:rsidR="003F7628">
              <w:rPr>
                <w:rFonts w:ascii="Calibri" w:hAnsi="Calibri"/>
                <w:color w:val="000000"/>
              </w:rPr>
              <w:t>19</w:t>
            </w:r>
          </w:p>
        </w:tc>
        <w:tc>
          <w:tcPr>
            <w:tcW w:w="1076" w:type="dxa"/>
            <w:vAlign w:val="bottom"/>
          </w:tcPr>
          <w:p w14:paraId="0239C19B" w14:textId="77777777" w:rsidR="00D06CC0" w:rsidRDefault="00D06CC0" w:rsidP="00D06CC0">
            <w:r>
              <w:rPr>
                <w:rFonts w:ascii="Calibri" w:hAnsi="Calibri"/>
                <w:color w:val="000000"/>
              </w:rPr>
              <w:t>1</w:t>
            </w:r>
          </w:p>
        </w:tc>
      </w:tr>
      <w:tr w:rsidR="00D06CC0" w14:paraId="64370E99" w14:textId="77777777" w:rsidTr="001E472C">
        <w:trPr>
          <w:tblHeader/>
        </w:trPr>
        <w:tc>
          <w:tcPr>
            <w:tcW w:w="1602" w:type="dxa"/>
            <w:vAlign w:val="bottom"/>
          </w:tcPr>
          <w:p w14:paraId="30BC95DB" w14:textId="77777777" w:rsidR="00D06CC0" w:rsidRDefault="00D06CC0" w:rsidP="00D06CC0">
            <w:pPr>
              <w:rPr>
                <w:rFonts w:ascii="Calibri" w:hAnsi="Calibri"/>
                <w:color w:val="000000"/>
              </w:rPr>
            </w:pPr>
            <w:r>
              <w:rPr>
                <w:rFonts w:ascii="Calibri" w:hAnsi="Calibri"/>
                <w:color w:val="000000"/>
              </w:rPr>
              <w:t>EFI.eR</w:t>
            </w:r>
          </w:p>
        </w:tc>
        <w:tc>
          <w:tcPr>
            <w:tcW w:w="1374" w:type="dxa"/>
            <w:vAlign w:val="bottom"/>
          </w:tcPr>
          <w:p w14:paraId="4DCDBE50" w14:textId="77777777" w:rsidR="00D06CC0" w:rsidRDefault="00D06CC0" w:rsidP="00D06CC0">
            <w:pPr>
              <w:rPr>
                <w:rFonts w:ascii="Calibri" w:hAnsi="Calibri"/>
                <w:color w:val="000000"/>
              </w:rPr>
            </w:pPr>
            <w:r>
              <w:rPr>
                <w:rFonts w:ascii="Calibri" w:hAnsi="Calibri"/>
                <w:color w:val="000000"/>
              </w:rPr>
              <w:t>-0.632</w:t>
            </w:r>
          </w:p>
        </w:tc>
        <w:tc>
          <w:tcPr>
            <w:tcW w:w="1166" w:type="dxa"/>
            <w:vAlign w:val="bottom"/>
          </w:tcPr>
          <w:p w14:paraId="690ACF0A" w14:textId="77777777" w:rsidR="00D06CC0" w:rsidRDefault="00D06CC0" w:rsidP="00D06CC0">
            <w:pPr>
              <w:rPr>
                <w:rFonts w:ascii="Calibri" w:hAnsi="Calibri"/>
                <w:color w:val="000000"/>
              </w:rPr>
            </w:pPr>
            <w:r>
              <w:rPr>
                <w:rFonts w:ascii="Calibri" w:hAnsi="Calibri"/>
                <w:color w:val="000000"/>
              </w:rPr>
              <w:t>0.615</w:t>
            </w:r>
          </w:p>
        </w:tc>
        <w:tc>
          <w:tcPr>
            <w:tcW w:w="1162" w:type="dxa"/>
            <w:vAlign w:val="bottom"/>
          </w:tcPr>
          <w:p w14:paraId="5EB59383" w14:textId="77777777" w:rsidR="00D06CC0" w:rsidRDefault="00D06CC0" w:rsidP="00D06CC0">
            <w:pPr>
              <w:rPr>
                <w:rFonts w:ascii="Calibri" w:hAnsi="Calibri"/>
                <w:color w:val="000000"/>
              </w:rPr>
            </w:pPr>
            <w:r>
              <w:rPr>
                <w:rFonts w:ascii="Calibri" w:hAnsi="Calibri"/>
                <w:color w:val="000000"/>
              </w:rPr>
              <w:t>0.593</w:t>
            </w:r>
          </w:p>
        </w:tc>
        <w:tc>
          <w:tcPr>
            <w:tcW w:w="1076" w:type="dxa"/>
            <w:vAlign w:val="bottom"/>
          </w:tcPr>
          <w:p w14:paraId="76E90378" w14:textId="77777777" w:rsidR="00D06CC0" w:rsidRDefault="00D06CC0" w:rsidP="00D06CC0">
            <w:pPr>
              <w:rPr>
                <w:rFonts w:ascii="Calibri" w:hAnsi="Calibri"/>
                <w:color w:val="000000"/>
              </w:rPr>
            </w:pPr>
            <w:r>
              <w:rPr>
                <w:rFonts w:ascii="Calibri" w:hAnsi="Calibri"/>
                <w:color w:val="000000"/>
              </w:rPr>
              <w:t>0.225</w:t>
            </w:r>
          </w:p>
        </w:tc>
      </w:tr>
    </w:tbl>
    <w:p w14:paraId="2F37F51A" w14:textId="77777777" w:rsidR="00D06CC0" w:rsidRDefault="00D06CC0" w:rsidP="00D06CC0"/>
    <w:p w14:paraId="10C2A10B" w14:textId="77777777" w:rsidR="00794E62" w:rsidRDefault="00D901A5" w:rsidP="00606A50">
      <w:pPr>
        <w:pStyle w:val="Caption"/>
      </w:pPr>
      <w:bookmarkStart w:id="315" w:name="_Ref501701908"/>
      <w:bookmarkStart w:id="316" w:name="_Toc514407872"/>
      <w:r>
        <w:t xml:space="preserve">Table </w:t>
      </w:r>
      <w:r>
        <w:fldChar w:fldCharType="begin"/>
      </w:r>
      <w:r>
        <w:instrText xml:space="preserve"> SEQ Table \* ARABIC </w:instrText>
      </w:r>
      <w:r>
        <w:fldChar w:fldCharType="separate"/>
      </w:r>
      <w:r w:rsidR="00A75175">
        <w:rPr>
          <w:noProof/>
        </w:rPr>
        <w:t>24</w:t>
      </w:r>
      <w:r>
        <w:fldChar w:fldCharType="end"/>
      </w:r>
      <w:bookmarkEnd w:id="315"/>
      <w:r>
        <w:t xml:space="preserve"> </w:t>
      </w:r>
      <w:r w:rsidR="00D06CC0">
        <w:t>Correlation between Chlorophyll estimates</w:t>
      </w:r>
      <w:r>
        <w:t xml:space="preserve">. </w:t>
      </w:r>
      <w:r w:rsidR="00794E62">
        <w:t>Shading indicates the estimated variable that most closely correlated with the measured gradient.</w:t>
      </w:r>
      <w:bookmarkEnd w:id="316"/>
    </w:p>
    <w:tbl>
      <w:tblPr>
        <w:tblStyle w:val="TableGrid"/>
        <w:tblW w:w="0" w:type="auto"/>
        <w:tblLook w:val="04A0" w:firstRow="1" w:lastRow="0" w:firstColumn="1" w:lastColumn="0" w:noHBand="0" w:noVBand="1"/>
        <w:tblCaption w:val="Correlation between Chlorophyll estimates. Shading indicates the estimated variable that most closely correlated with the measured gradient."/>
        <w:tblDescription w:val="table of correlation coefficients as discussed in main text"/>
      </w:tblPr>
      <w:tblGrid>
        <w:gridCol w:w="1288"/>
        <w:gridCol w:w="1288"/>
        <w:gridCol w:w="1288"/>
        <w:gridCol w:w="1288"/>
        <w:gridCol w:w="1288"/>
        <w:gridCol w:w="1288"/>
        <w:gridCol w:w="1288"/>
      </w:tblGrid>
      <w:tr w:rsidR="00D06CC0" w14:paraId="4BD1F8A4" w14:textId="77777777" w:rsidTr="001E472C">
        <w:trPr>
          <w:tblHeader/>
        </w:trPr>
        <w:tc>
          <w:tcPr>
            <w:tcW w:w="1288" w:type="dxa"/>
            <w:vAlign w:val="bottom"/>
          </w:tcPr>
          <w:p w14:paraId="15A8D820" w14:textId="77777777" w:rsidR="00D06CC0" w:rsidRDefault="00D06CC0" w:rsidP="00D06CC0"/>
        </w:tc>
        <w:tc>
          <w:tcPr>
            <w:tcW w:w="1288" w:type="dxa"/>
            <w:vAlign w:val="bottom"/>
          </w:tcPr>
          <w:p w14:paraId="0977EECA" w14:textId="77777777" w:rsidR="00D06CC0" w:rsidRDefault="00D06CC0" w:rsidP="00D06CC0">
            <w:r>
              <w:rPr>
                <w:rFonts w:ascii="Calibri" w:hAnsi="Calibri"/>
                <w:color w:val="000000"/>
              </w:rPr>
              <w:t>CHL.niskin</w:t>
            </w:r>
          </w:p>
        </w:tc>
        <w:tc>
          <w:tcPr>
            <w:tcW w:w="1288" w:type="dxa"/>
            <w:vAlign w:val="bottom"/>
          </w:tcPr>
          <w:p w14:paraId="59106079" w14:textId="77777777" w:rsidR="00D06CC0" w:rsidRDefault="00D06CC0" w:rsidP="00D06CC0">
            <w:r>
              <w:rPr>
                <w:rFonts w:ascii="Calibri" w:hAnsi="Calibri"/>
                <w:color w:val="000000"/>
              </w:rPr>
              <w:t>Chl.BoM.wet</w:t>
            </w:r>
          </w:p>
        </w:tc>
        <w:tc>
          <w:tcPr>
            <w:tcW w:w="1288" w:type="dxa"/>
            <w:vAlign w:val="bottom"/>
          </w:tcPr>
          <w:p w14:paraId="6451D86C" w14:textId="77777777" w:rsidR="00D06CC0" w:rsidRDefault="00D06CC0" w:rsidP="00D06CC0">
            <w:r>
              <w:rPr>
                <w:rFonts w:ascii="Calibri" w:hAnsi="Calibri"/>
                <w:color w:val="000000"/>
              </w:rPr>
              <w:t>Chl.BoM</w:t>
            </w:r>
          </w:p>
        </w:tc>
        <w:tc>
          <w:tcPr>
            <w:tcW w:w="1288" w:type="dxa"/>
            <w:vAlign w:val="bottom"/>
          </w:tcPr>
          <w:p w14:paraId="32E8989A" w14:textId="77777777" w:rsidR="00D06CC0" w:rsidRDefault="00D06CC0" w:rsidP="00D06CC0">
            <w:r>
              <w:rPr>
                <w:rFonts w:ascii="Calibri" w:hAnsi="Calibri"/>
                <w:color w:val="000000"/>
              </w:rPr>
              <w:t>Chl.exp</w:t>
            </w:r>
          </w:p>
        </w:tc>
        <w:tc>
          <w:tcPr>
            <w:tcW w:w="1288" w:type="dxa"/>
            <w:vAlign w:val="bottom"/>
          </w:tcPr>
          <w:p w14:paraId="20331EF8" w14:textId="77777777" w:rsidR="00D06CC0" w:rsidRDefault="00D06CC0" w:rsidP="00D06CC0">
            <w:r>
              <w:rPr>
                <w:rFonts w:ascii="Calibri" w:hAnsi="Calibri"/>
                <w:color w:val="000000"/>
              </w:rPr>
              <w:t>Chl.eR.wet</w:t>
            </w:r>
          </w:p>
        </w:tc>
        <w:tc>
          <w:tcPr>
            <w:tcW w:w="1288" w:type="dxa"/>
            <w:vAlign w:val="bottom"/>
          </w:tcPr>
          <w:p w14:paraId="6437CD75" w14:textId="77777777" w:rsidR="00D06CC0" w:rsidRDefault="00D06CC0" w:rsidP="00D06CC0">
            <w:r>
              <w:rPr>
                <w:rFonts w:ascii="Calibri" w:hAnsi="Calibri"/>
                <w:color w:val="000000"/>
              </w:rPr>
              <w:t>Chl.eR</w:t>
            </w:r>
          </w:p>
        </w:tc>
      </w:tr>
      <w:tr w:rsidR="00D06CC0" w14:paraId="3BD95B9C" w14:textId="77777777" w:rsidTr="001E472C">
        <w:trPr>
          <w:tblHeader/>
        </w:trPr>
        <w:tc>
          <w:tcPr>
            <w:tcW w:w="1288" w:type="dxa"/>
            <w:vAlign w:val="bottom"/>
          </w:tcPr>
          <w:p w14:paraId="513C7E13" w14:textId="77777777" w:rsidR="00D06CC0" w:rsidRDefault="00D06CC0" w:rsidP="00D06CC0">
            <w:r>
              <w:rPr>
                <w:rFonts w:ascii="Calibri" w:hAnsi="Calibri"/>
                <w:color w:val="000000"/>
              </w:rPr>
              <w:t>CHL.niskin</w:t>
            </w:r>
          </w:p>
        </w:tc>
        <w:tc>
          <w:tcPr>
            <w:tcW w:w="1288" w:type="dxa"/>
            <w:vAlign w:val="bottom"/>
          </w:tcPr>
          <w:p w14:paraId="18BD7838" w14:textId="77777777" w:rsidR="00D06CC0" w:rsidRDefault="00D06CC0" w:rsidP="00D06CC0">
            <w:r>
              <w:rPr>
                <w:rFonts w:ascii="Calibri" w:hAnsi="Calibri"/>
                <w:color w:val="000000"/>
              </w:rPr>
              <w:t>1</w:t>
            </w:r>
          </w:p>
        </w:tc>
        <w:tc>
          <w:tcPr>
            <w:tcW w:w="1288" w:type="dxa"/>
            <w:vAlign w:val="bottom"/>
          </w:tcPr>
          <w:p w14:paraId="37B9C39A" w14:textId="77777777" w:rsidR="00D06CC0" w:rsidRDefault="00D06CC0" w:rsidP="00D06CC0"/>
        </w:tc>
        <w:tc>
          <w:tcPr>
            <w:tcW w:w="1288" w:type="dxa"/>
            <w:vAlign w:val="bottom"/>
          </w:tcPr>
          <w:p w14:paraId="6C91BAD1" w14:textId="77777777" w:rsidR="00D06CC0" w:rsidRDefault="00D06CC0" w:rsidP="00D06CC0"/>
        </w:tc>
        <w:tc>
          <w:tcPr>
            <w:tcW w:w="1288" w:type="dxa"/>
            <w:vAlign w:val="bottom"/>
          </w:tcPr>
          <w:p w14:paraId="2DB8D5E5" w14:textId="77777777" w:rsidR="00D06CC0" w:rsidRDefault="00D06CC0" w:rsidP="00D06CC0"/>
        </w:tc>
        <w:tc>
          <w:tcPr>
            <w:tcW w:w="1288" w:type="dxa"/>
            <w:vAlign w:val="bottom"/>
          </w:tcPr>
          <w:p w14:paraId="26F2704F" w14:textId="77777777" w:rsidR="00D06CC0" w:rsidRDefault="00D06CC0" w:rsidP="00D06CC0"/>
        </w:tc>
        <w:tc>
          <w:tcPr>
            <w:tcW w:w="1288" w:type="dxa"/>
            <w:vAlign w:val="bottom"/>
          </w:tcPr>
          <w:p w14:paraId="3DCB506E" w14:textId="77777777" w:rsidR="00D06CC0" w:rsidRDefault="00D06CC0" w:rsidP="00D06CC0"/>
        </w:tc>
      </w:tr>
      <w:tr w:rsidR="00D06CC0" w14:paraId="4593ADD9" w14:textId="77777777" w:rsidTr="001E472C">
        <w:trPr>
          <w:tblHeader/>
        </w:trPr>
        <w:tc>
          <w:tcPr>
            <w:tcW w:w="1288" w:type="dxa"/>
            <w:vAlign w:val="bottom"/>
          </w:tcPr>
          <w:p w14:paraId="1C9C4CBC" w14:textId="77777777" w:rsidR="00D06CC0" w:rsidRDefault="00D06CC0" w:rsidP="00D06CC0">
            <w:r>
              <w:rPr>
                <w:rFonts w:ascii="Calibri" w:hAnsi="Calibri"/>
                <w:color w:val="000000"/>
              </w:rPr>
              <w:t>Chl.BoM.wet</w:t>
            </w:r>
          </w:p>
        </w:tc>
        <w:tc>
          <w:tcPr>
            <w:tcW w:w="1288" w:type="dxa"/>
            <w:vAlign w:val="bottom"/>
          </w:tcPr>
          <w:p w14:paraId="333892B4" w14:textId="77777777" w:rsidR="00D06CC0" w:rsidRDefault="00D06CC0" w:rsidP="00D06CC0">
            <w:r>
              <w:rPr>
                <w:rFonts w:ascii="Calibri" w:hAnsi="Calibri"/>
                <w:color w:val="000000"/>
              </w:rPr>
              <w:t>0.626</w:t>
            </w:r>
          </w:p>
        </w:tc>
        <w:tc>
          <w:tcPr>
            <w:tcW w:w="1288" w:type="dxa"/>
            <w:vAlign w:val="bottom"/>
          </w:tcPr>
          <w:p w14:paraId="1C60C508" w14:textId="77777777" w:rsidR="00D06CC0" w:rsidRDefault="00D06CC0" w:rsidP="00D06CC0">
            <w:r>
              <w:rPr>
                <w:rFonts w:ascii="Calibri" w:hAnsi="Calibri"/>
                <w:color w:val="000000"/>
              </w:rPr>
              <w:t>1</w:t>
            </w:r>
          </w:p>
        </w:tc>
        <w:tc>
          <w:tcPr>
            <w:tcW w:w="1288" w:type="dxa"/>
            <w:vAlign w:val="bottom"/>
          </w:tcPr>
          <w:p w14:paraId="47737BE1" w14:textId="77777777" w:rsidR="00D06CC0" w:rsidRDefault="00D06CC0" w:rsidP="00D06CC0"/>
        </w:tc>
        <w:tc>
          <w:tcPr>
            <w:tcW w:w="1288" w:type="dxa"/>
            <w:vAlign w:val="bottom"/>
          </w:tcPr>
          <w:p w14:paraId="34643484" w14:textId="77777777" w:rsidR="00D06CC0" w:rsidRDefault="00D06CC0" w:rsidP="00D06CC0"/>
        </w:tc>
        <w:tc>
          <w:tcPr>
            <w:tcW w:w="1288" w:type="dxa"/>
            <w:vAlign w:val="bottom"/>
          </w:tcPr>
          <w:p w14:paraId="033F7443" w14:textId="77777777" w:rsidR="00D06CC0" w:rsidRDefault="00D06CC0" w:rsidP="00D06CC0"/>
        </w:tc>
        <w:tc>
          <w:tcPr>
            <w:tcW w:w="1288" w:type="dxa"/>
            <w:vAlign w:val="bottom"/>
          </w:tcPr>
          <w:p w14:paraId="345BECAE" w14:textId="77777777" w:rsidR="00D06CC0" w:rsidRDefault="00D06CC0" w:rsidP="00D06CC0"/>
        </w:tc>
      </w:tr>
      <w:tr w:rsidR="00D06CC0" w14:paraId="40B9974B" w14:textId="77777777" w:rsidTr="001E472C">
        <w:trPr>
          <w:tblHeader/>
        </w:trPr>
        <w:tc>
          <w:tcPr>
            <w:tcW w:w="1288" w:type="dxa"/>
            <w:vAlign w:val="bottom"/>
          </w:tcPr>
          <w:p w14:paraId="4D81381F" w14:textId="77777777" w:rsidR="00D06CC0" w:rsidRDefault="00D06CC0" w:rsidP="00D06CC0">
            <w:r>
              <w:rPr>
                <w:rFonts w:ascii="Calibri" w:hAnsi="Calibri"/>
                <w:color w:val="000000"/>
              </w:rPr>
              <w:t>Chl.BoM</w:t>
            </w:r>
          </w:p>
        </w:tc>
        <w:tc>
          <w:tcPr>
            <w:tcW w:w="1288" w:type="dxa"/>
            <w:vAlign w:val="bottom"/>
          </w:tcPr>
          <w:p w14:paraId="7152D261" w14:textId="77777777" w:rsidR="00D06CC0" w:rsidRDefault="00D06CC0" w:rsidP="00D06CC0">
            <w:r>
              <w:rPr>
                <w:rFonts w:ascii="Calibri" w:hAnsi="Calibri"/>
                <w:color w:val="000000"/>
              </w:rPr>
              <w:t>0.648</w:t>
            </w:r>
          </w:p>
        </w:tc>
        <w:tc>
          <w:tcPr>
            <w:tcW w:w="1288" w:type="dxa"/>
            <w:vAlign w:val="bottom"/>
          </w:tcPr>
          <w:p w14:paraId="115DBA45" w14:textId="77777777" w:rsidR="00D06CC0" w:rsidRDefault="00D06CC0" w:rsidP="00D06CC0">
            <w:r>
              <w:rPr>
                <w:rFonts w:ascii="Calibri" w:hAnsi="Calibri"/>
                <w:color w:val="000000"/>
              </w:rPr>
              <w:t>0.973</w:t>
            </w:r>
          </w:p>
        </w:tc>
        <w:tc>
          <w:tcPr>
            <w:tcW w:w="1288" w:type="dxa"/>
            <w:vAlign w:val="bottom"/>
          </w:tcPr>
          <w:p w14:paraId="53BF9340" w14:textId="77777777" w:rsidR="00D06CC0" w:rsidRDefault="00D06CC0" w:rsidP="00D06CC0">
            <w:r>
              <w:rPr>
                <w:rFonts w:ascii="Calibri" w:hAnsi="Calibri"/>
                <w:color w:val="000000"/>
              </w:rPr>
              <w:t>1</w:t>
            </w:r>
          </w:p>
        </w:tc>
        <w:tc>
          <w:tcPr>
            <w:tcW w:w="1288" w:type="dxa"/>
            <w:vAlign w:val="bottom"/>
          </w:tcPr>
          <w:p w14:paraId="7780E234" w14:textId="77777777" w:rsidR="00D06CC0" w:rsidRDefault="00D06CC0" w:rsidP="00D06CC0"/>
        </w:tc>
        <w:tc>
          <w:tcPr>
            <w:tcW w:w="1288" w:type="dxa"/>
            <w:vAlign w:val="bottom"/>
          </w:tcPr>
          <w:p w14:paraId="2672CA92" w14:textId="77777777" w:rsidR="00D06CC0" w:rsidRDefault="00D06CC0" w:rsidP="00D06CC0"/>
        </w:tc>
        <w:tc>
          <w:tcPr>
            <w:tcW w:w="1288" w:type="dxa"/>
            <w:vAlign w:val="bottom"/>
          </w:tcPr>
          <w:p w14:paraId="1CD20940" w14:textId="77777777" w:rsidR="00D06CC0" w:rsidRDefault="00D06CC0" w:rsidP="00D06CC0"/>
        </w:tc>
      </w:tr>
      <w:tr w:rsidR="00D06CC0" w14:paraId="51C5DE44" w14:textId="77777777" w:rsidTr="001E472C">
        <w:trPr>
          <w:tblHeader/>
        </w:trPr>
        <w:tc>
          <w:tcPr>
            <w:tcW w:w="1288" w:type="dxa"/>
            <w:vAlign w:val="bottom"/>
          </w:tcPr>
          <w:p w14:paraId="2AEDF72F" w14:textId="77777777" w:rsidR="00D06CC0" w:rsidRDefault="00D06CC0" w:rsidP="00D06CC0">
            <w:r>
              <w:rPr>
                <w:rFonts w:ascii="Calibri" w:hAnsi="Calibri"/>
                <w:color w:val="000000"/>
              </w:rPr>
              <w:t>Chl.exp</w:t>
            </w:r>
          </w:p>
        </w:tc>
        <w:tc>
          <w:tcPr>
            <w:tcW w:w="1288" w:type="dxa"/>
            <w:shd w:val="clear" w:color="auto" w:fill="D9D9D9" w:themeFill="background1" w:themeFillShade="D9"/>
            <w:vAlign w:val="bottom"/>
          </w:tcPr>
          <w:p w14:paraId="06307EE0" w14:textId="77777777" w:rsidR="00D06CC0" w:rsidRDefault="00D06CC0" w:rsidP="003F7628">
            <w:r>
              <w:rPr>
                <w:rFonts w:ascii="Calibri" w:hAnsi="Calibri"/>
                <w:color w:val="000000"/>
              </w:rPr>
              <w:t>0.</w:t>
            </w:r>
            <w:r w:rsidR="003F7628">
              <w:rPr>
                <w:rFonts w:ascii="Calibri" w:hAnsi="Calibri"/>
                <w:color w:val="000000"/>
              </w:rPr>
              <w:t>851</w:t>
            </w:r>
          </w:p>
        </w:tc>
        <w:tc>
          <w:tcPr>
            <w:tcW w:w="1288" w:type="dxa"/>
            <w:vAlign w:val="bottom"/>
          </w:tcPr>
          <w:p w14:paraId="0D7FFEB7" w14:textId="77777777" w:rsidR="00D06CC0" w:rsidRDefault="00D06CC0" w:rsidP="003F7628">
            <w:r>
              <w:rPr>
                <w:rFonts w:ascii="Calibri" w:hAnsi="Calibri"/>
                <w:color w:val="000000"/>
              </w:rPr>
              <w:t>0.8</w:t>
            </w:r>
            <w:r w:rsidR="003F7628">
              <w:rPr>
                <w:rFonts w:ascii="Calibri" w:hAnsi="Calibri"/>
                <w:color w:val="000000"/>
              </w:rPr>
              <w:t>90</w:t>
            </w:r>
          </w:p>
        </w:tc>
        <w:tc>
          <w:tcPr>
            <w:tcW w:w="1288" w:type="dxa"/>
            <w:vAlign w:val="bottom"/>
          </w:tcPr>
          <w:p w14:paraId="025B73D2" w14:textId="77777777" w:rsidR="00D06CC0" w:rsidRDefault="00D06CC0" w:rsidP="003F7628">
            <w:r>
              <w:rPr>
                <w:rFonts w:ascii="Calibri" w:hAnsi="Calibri"/>
                <w:color w:val="000000"/>
              </w:rPr>
              <w:t>0.</w:t>
            </w:r>
            <w:r w:rsidR="003F7628">
              <w:rPr>
                <w:rFonts w:ascii="Calibri" w:hAnsi="Calibri"/>
                <w:color w:val="000000"/>
              </w:rPr>
              <w:t>923</w:t>
            </w:r>
          </w:p>
        </w:tc>
        <w:tc>
          <w:tcPr>
            <w:tcW w:w="1288" w:type="dxa"/>
            <w:vAlign w:val="bottom"/>
          </w:tcPr>
          <w:p w14:paraId="097701C1" w14:textId="77777777" w:rsidR="00D06CC0" w:rsidRDefault="00D06CC0" w:rsidP="00D06CC0">
            <w:r>
              <w:rPr>
                <w:rFonts w:ascii="Calibri" w:hAnsi="Calibri"/>
                <w:color w:val="000000"/>
              </w:rPr>
              <w:t>1</w:t>
            </w:r>
          </w:p>
        </w:tc>
        <w:tc>
          <w:tcPr>
            <w:tcW w:w="1288" w:type="dxa"/>
            <w:vAlign w:val="bottom"/>
          </w:tcPr>
          <w:p w14:paraId="358B0103" w14:textId="77777777" w:rsidR="00D06CC0" w:rsidRDefault="00D06CC0" w:rsidP="00D06CC0"/>
        </w:tc>
        <w:tc>
          <w:tcPr>
            <w:tcW w:w="1288" w:type="dxa"/>
            <w:vAlign w:val="bottom"/>
          </w:tcPr>
          <w:p w14:paraId="30B2ADE4" w14:textId="77777777" w:rsidR="00D06CC0" w:rsidRDefault="00D06CC0" w:rsidP="00D06CC0"/>
        </w:tc>
      </w:tr>
      <w:tr w:rsidR="00D06CC0" w14:paraId="56DDA359" w14:textId="77777777" w:rsidTr="001E472C">
        <w:trPr>
          <w:tblHeader/>
        </w:trPr>
        <w:tc>
          <w:tcPr>
            <w:tcW w:w="1288" w:type="dxa"/>
            <w:vAlign w:val="bottom"/>
          </w:tcPr>
          <w:p w14:paraId="2EECB9C2" w14:textId="77777777" w:rsidR="00D06CC0" w:rsidRDefault="00D06CC0" w:rsidP="00D06CC0">
            <w:r>
              <w:rPr>
                <w:rFonts w:ascii="Calibri" w:hAnsi="Calibri"/>
                <w:color w:val="000000"/>
              </w:rPr>
              <w:t>Chl.eR.wet</w:t>
            </w:r>
          </w:p>
        </w:tc>
        <w:tc>
          <w:tcPr>
            <w:tcW w:w="1288" w:type="dxa"/>
            <w:vAlign w:val="bottom"/>
          </w:tcPr>
          <w:p w14:paraId="4A9F2643" w14:textId="77777777" w:rsidR="00D06CC0" w:rsidRDefault="00D06CC0" w:rsidP="00D06CC0">
            <w:r>
              <w:rPr>
                <w:rFonts w:ascii="Calibri" w:hAnsi="Calibri"/>
                <w:color w:val="000000"/>
              </w:rPr>
              <w:t>0.593</w:t>
            </w:r>
          </w:p>
        </w:tc>
        <w:tc>
          <w:tcPr>
            <w:tcW w:w="1288" w:type="dxa"/>
            <w:vAlign w:val="bottom"/>
          </w:tcPr>
          <w:p w14:paraId="568BA990" w14:textId="77777777" w:rsidR="00D06CC0" w:rsidRDefault="00D06CC0" w:rsidP="00D06CC0">
            <w:r>
              <w:rPr>
                <w:rFonts w:ascii="Calibri" w:hAnsi="Calibri"/>
                <w:color w:val="000000"/>
              </w:rPr>
              <w:t>0.027</w:t>
            </w:r>
          </w:p>
        </w:tc>
        <w:tc>
          <w:tcPr>
            <w:tcW w:w="1288" w:type="dxa"/>
            <w:vAlign w:val="bottom"/>
          </w:tcPr>
          <w:p w14:paraId="46F4CF41" w14:textId="77777777" w:rsidR="00D06CC0" w:rsidRDefault="00D06CC0" w:rsidP="00D06CC0">
            <w:r>
              <w:rPr>
                <w:rFonts w:ascii="Calibri" w:hAnsi="Calibri"/>
                <w:color w:val="000000"/>
              </w:rPr>
              <w:t>0.016</w:t>
            </w:r>
          </w:p>
        </w:tc>
        <w:tc>
          <w:tcPr>
            <w:tcW w:w="1288" w:type="dxa"/>
            <w:vAlign w:val="bottom"/>
          </w:tcPr>
          <w:p w14:paraId="38BFD791" w14:textId="77777777" w:rsidR="00D06CC0" w:rsidRDefault="00D06CC0" w:rsidP="003F7628">
            <w:r>
              <w:rPr>
                <w:rFonts w:ascii="Calibri" w:hAnsi="Calibri"/>
                <w:color w:val="000000"/>
              </w:rPr>
              <w:t>0.</w:t>
            </w:r>
            <w:r w:rsidR="003F7628">
              <w:rPr>
                <w:rFonts w:ascii="Calibri" w:hAnsi="Calibri"/>
                <w:color w:val="000000"/>
              </w:rPr>
              <w:t>209</w:t>
            </w:r>
          </w:p>
        </w:tc>
        <w:tc>
          <w:tcPr>
            <w:tcW w:w="1288" w:type="dxa"/>
            <w:vAlign w:val="bottom"/>
          </w:tcPr>
          <w:p w14:paraId="32BD9F2E" w14:textId="77777777" w:rsidR="00D06CC0" w:rsidRDefault="00D06CC0" w:rsidP="00D06CC0">
            <w:r>
              <w:rPr>
                <w:rFonts w:ascii="Calibri" w:hAnsi="Calibri"/>
                <w:color w:val="000000"/>
              </w:rPr>
              <w:t>1</w:t>
            </w:r>
          </w:p>
        </w:tc>
        <w:tc>
          <w:tcPr>
            <w:tcW w:w="1288" w:type="dxa"/>
            <w:vAlign w:val="bottom"/>
          </w:tcPr>
          <w:p w14:paraId="2F9088D2" w14:textId="77777777" w:rsidR="00D06CC0" w:rsidRDefault="00D06CC0" w:rsidP="00D06CC0"/>
        </w:tc>
      </w:tr>
      <w:tr w:rsidR="00D06CC0" w14:paraId="6AB0C8A3" w14:textId="77777777" w:rsidTr="001E472C">
        <w:trPr>
          <w:tblHeader/>
        </w:trPr>
        <w:tc>
          <w:tcPr>
            <w:tcW w:w="1288" w:type="dxa"/>
            <w:vAlign w:val="bottom"/>
          </w:tcPr>
          <w:p w14:paraId="0FD07CFA" w14:textId="77777777" w:rsidR="00D06CC0" w:rsidRDefault="00D06CC0" w:rsidP="00D06CC0">
            <w:r>
              <w:rPr>
                <w:rFonts w:ascii="Calibri" w:hAnsi="Calibri"/>
                <w:color w:val="000000"/>
              </w:rPr>
              <w:t>Chl.eR</w:t>
            </w:r>
          </w:p>
        </w:tc>
        <w:tc>
          <w:tcPr>
            <w:tcW w:w="1288" w:type="dxa"/>
            <w:vAlign w:val="bottom"/>
          </w:tcPr>
          <w:p w14:paraId="4C574F06" w14:textId="77777777" w:rsidR="00D06CC0" w:rsidRDefault="00D06CC0" w:rsidP="00D06CC0">
            <w:r>
              <w:rPr>
                <w:rFonts w:ascii="Calibri" w:hAnsi="Calibri"/>
                <w:color w:val="000000"/>
              </w:rPr>
              <w:t>0.467</w:t>
            </w:r>
          </w:p>
        </w:tc>
        <w:tc>
          <w:tcPr>
            <w:tcW w:w="1288" w:type="dxa"/>
            <w:vAlign w:val="bottom"/>
          </w:tcPr>
          <w:p w14:paraId="4C7F689A" w14:textId="77777777" w:rsidR="00D06CC0" w:rsidRDefault="00D06CC0" w:rsidP="00D06CC0">
            <w:r>
              <w:rPr>
                <w:rFonts w:ascii="Calibri" w:hAnsi="Calibri"/>
                <w:color w:val="000000"/>
              </w:rPr>
              <w:t>-0.159</w:t>
            </w:r>
          </w:p>
        </w:tc>
        <w:tc>
          <w:tcPr>
            <w:tcW w:w="1288" w:type="dxa"/>
            <w:vAlign w:val="bottom"/>
          </w:tcPr>
          <w:p w14:paraId="4EDCCA77" w14:textId="77777777" w:rsidR="00D06CC0" w:rsidRDefault="00D06CC0" w:rsidP="00D06CC0">
            <w:r>
              <w:rPr>
                <w:rFonts w:ascii="Calibri" w:hAnsi="Calibri"/>
                <w:color w:val="000000"/>
              </w:rPr>
              <w:t>-0.104</w:t>
            </w:r>
          </w:p>
        </w:tc>
        <w:tc>
          <w:tcPr>
            <w:tcW w:w="1288" w:type="dxa"/>
            <w:vAlign w:val="bottom"/>
          </w:tcPr>
          <w:p w14:paraId="07500E00" w14:textId="77777777" w:rsidR="00D06CC0" w:rsidRDefault="00D06CC0" w:rsidP="003F7628">
            <w:r>
              <w:rPr>
                <w:rFonts w:ascii="Calibri" w:hAnsi="Calibri"/>
                <w:color w:val="000000"/>
              </w:rPr>
              <w:t>0.</w:t>
            </w:r>
            <w:r w:rsidR="003F7628">
              <w:rPr>
                <w:rFonts w:ascii="Calibri" w:hAnsi="Calibri"/>
                <w:color w:val="000000"/>
              </w:rPr>
              <w:t>098</w:t>
            </w:r>
          </w:p>
        </w:tc>
        <w:tc>
          <w:tcPr>
            <w:tcW w:w="1288" w:type="dxa"/>
            <w:vAlign w:val="bottom"/>
          </w:tcPr>
          <w:p w14:paraId="2535D684" w14:textId="77777777" w:rsidR="00D06CC0" w:rsidRDefault="00D06CC0" w:rsidP="00D06CC0">
            <w:r>
              <w:rPr>
                <w:rFonts w:ascii="Calibri" w:hAnsi="Calibri"/>
                <w:color w:val="000000"/>
              </w:rPr>
              <w:t>0.874</w:t>
            </w:r>
          </w:p>
        </w:tc>
        <w:tc>
          <w:tcPr>
            <w:tcW w:w="1288" w:type="dxa"/>
            <w:vAlign w:val="bottom"/>
          </w:tcPr>
          <w:p w14:paraId="1D73487E" w14:textId="77777777" w:rsidR="00D06CC0" w:rsidRDefault="00D06CC0" w:rsidP="00D06CC0">
            <w:r>
              <w:rPr>
                <w:rFonts w:ascii="Calibri" w:hAnsi="Calibri"/>
                <w:color w:val="000000"/>
              </w:rPr>
              <w:t>1</w:t>
            </w:r>
          </w:p>
        </w:tc>
      </w:tr>
    </w:tbl>
    <w:p w14:paraId="1B0DFE44" w14:textId="77777777" w:rsidR="00D06CC0" w:rsidRDefault="00D06CC0" w:rsidP="00D06CC0"/>
    <w:p w14:paraId="02E04382" w14:textId="77777777" w:rsidR="00D06CC0" w:rsidRDefault="00D901A5" w:rsidP="00DD07F1">
      <w:pPr>
        <w:pStyle w:val="Caption"/>
        <w:keepNext/>
      </w:pPr>
      <w:bookmarkStart w:id="317" w:name="_Ref514407751"/>
      <w:bookmarkStart w:id="318" w:name="_Toc514407873"/>
      <w:r>
        <w:t xml:space="preserve">Table </w:t>
      </w:r>
      <w:r>
        <w:fldChar w:fldCharType="begin"/>
      </w:r>
      <w:r>
        <w:instrText xml:space="preserve"> SEQ Table \* ARABIC </w:instrText>
      </w:r>
      <w:r>
        <w:fldChar w:fldCharType="separate"/>
      </w:r>
      <w:r w:rsidR="00A75175">
        <w:rPr>
          <w:noProof/>
        </w:rPr>
        <w:t>25</w:t>
      </w:r>
      <w:r>
        <w:fldChar w:fldCharType="end"/>
      </w:r>
      <w:bookmarkEnd w:id="317"/>
      <w:r>
        <w:t xml:space="preserve"> </w:t>
      </w:r>
      <w:r w:rsidR="00D06CC0">
        <w:t>Correlation between dissolved nutrient estimates</w:t>
      </w:r>
      <w:r>
        <w:t>.</w:t>
      </w:r>
      <w:bookmarkEnd w:id="318"/>
      <w:r>
        <w:t xml:space="preserve"> </w:t>
      </w:r>
    </w:p>
    <w:tbl>
      <w:tblPr>
        <w:tblStyle w:val="TableGrid"/>
        <w:tblW w:w="0" w:type="auto"/>
        <w:tblLook w:val="04A0" w:firstRow="1" w:lastRow="0" w:firstColumn="1" w:lastColumn="0" w:noHBand="0" w:noVBand="1"/>
        <w:tblCaption w:val="Correlation between dissolved nutrient estimates"/>
        <w:tblDescription w:val="Correlation between dissolved nutrient estimates"/>
      </w:tblPr>
      <w:tblGrid>
        <w:gridCol w:w="2254"/>
        <w:gridCol w:w="2254"/>
        <w:gridCol w:w="2254"/>
        <w:gridCol w:w="2254"/>
      </w:tblGrid>
      <w:tr w:rsidR="00D06CC0" w14:paraId="54961C66" w14:textId="77777777" w:rsidTr="001E472C">
        <w:trPr>
          <w:tblHeader/>
        </w:trPr>
        <w:tc>
          <w:tcPr>
            <w:tcW w:w="2254" w:type="dxa"/>
            <w:vAlign w:val="bottom"/>
          </w:tcPr>
          <w:p w14:paraId="708A8CAB" w14:textId="77777777" w:rsidR="00D06CC0" w:rsidRDefault="00D06CC0" w:rsidP="00DD07F1">
            <w:pPr>
              <w:keepNext/>
            </w:pPr>
          </w:p>
        </w:tc>
        <w:tc>
          <w:tcPr>
            <w:tcW w:w="2254" w:type="dxa"/>
            <w:vAlign w:val="bottom"/>
          </w:tcPr>
          <w:p w14:paraId="0E43700A" w14:textId="77777777" w:rsidR="00D06CC0" w:rsidRDefault="00D06CC0" w:rsidP="00DD07F1">
            <w:pPr>
              <w:keepNext/>
            </w:pPr>
            <w:r>
              <w:rPr>
                <w:rFonts w:ascii="Calibri" w:hAnsi="Calibri"/>
                <w:color w:val="000000"/>
              </w:rPr>
              <w:t>DIP.niskin</w:t>
            </w:r>
          </w:p>
        </w:tc>
        <w:tc>
          <w:tcPr>
            <w:tcW w:w="2254" w:type="dxa"/>
            <w:vAlign w:val="bottom"/>
          </w:tcPr>
          <w:p w14:paraId="4C2DFA09" w14:textId="77777777" w:rsidR="00D06CC0" w:rsidRDefault="00D06CC0" w:rsidP="00DD07F1">
            <w:pPr>
              <w:keepNext/>
            </w:pPr>
            <w:r>
              <w:rPr>
                <w:rFonts w:ascii="Calibri" w:hAnsi="Calibri"/>
                <w:color w:val="000000"/>
              </w:rPr>
              <w:t>DIN.niskin</w:t>
            </w:r>
          </w:p>
        </w:tc>
        <w:tc>
          <w:tcPr>
            <w:tcW w:w="2254" w:type="dxa"/>
            <w:vAlign w:val="bottom"/>
          </w:tcPr>
          <w:p w14:paraId="1ADE1346" w14:textId="77777777" w:rsidR="00D06CC0" w:rsidRDefault="00D06CC0" w:rsidP="00DD07F1">
            <w:pPr>
              <w:keepNext/>
            </w:pPr>
            <w:r>
              <w:rPr>
                <w:rFonts w:ascii="Calibri" w:hAnsi="Calibri"/>
                <w:color w:val="000000"/>
              </w:rPr>
              <w:t>DIN.eR</w:t>
            </w:r>
          </w:p>
        </w:tc>
      </w:tr>
      <w:tr w:rsidR="00D06CC0" w14:paraId="0586252D" w14:textId="77777777" w:rsidTr="001E472C">
        <w:trPr>
          <w:tblHeader/>
        </w:trPr>
        <w:tc>
          <w:tcPr>
            <w:tcW w:w="2254" w:type="dxa"/>
            <w:vAlign w:val="bottom"/>
          </w:tcPr>
          <w:p w14:paraId="1DCC6932" w14:textId="77777777" w:rsidR="00D06CC0" w:rsidRDefault="00D06CC0" w:rsidP="00D06CC0">
            <w:r>
              <w:rPr>
                <w:rFonts w:ascii="Calibri" w:hAnsi="Calibri"/>
                <w:color w:val="000000"/>
              </w:rPr>
              <w:t>DIP.niskin</w:t>
            </w:r>
          </w:p>
        </w:tc>
        <w:tc>
          <w:tcPr>
            <w:tcW w:w="2254" w:type="dxa"/>
            <w:vAlign w:val="bottom"/>
          </w:tcPr>
          <w:p w14:paraId="45EC6B78" w14:textId="77777777" w:rsidR="00D06CC0" w:rsidRDefault="00D06CC0" w:rsidP="00D06CC0">
            <w:r>
              <w:rPr>
                <w:rFonts w:ascii="Calibri" w:hAnsi="Calibri"/>
                <w:color w:val="000000"/>
              </w:rPr>
              <w:t>1</w:t>
            </w:r>
          </w:p>
        </w:tc>
        <w:tc>
          <w:tcPr>
            <w:tcW w:w="2254" w:type="dxa"/>
            <w:vAlign w:val="bottom"/>
          </w:tcPr>
          <w:p w14:paraId="19E3BF4D" w14:textId="77777777" w:rsidR="00D06CC0" w:rsidRDefault="00D06CC0" w:rsidP="00D06CC0"/>
        </w:tc>
        <w:tc>
          <w:tcPr>
            <w:tcW w:w="2254" w:type="dxa"/>
            <w:vAlign w:val="bottom"/>
          </w:tcPr>
          <w:p w14:paraId="512EA53E" w14:textId="77777777" w:rsidR="00D06CC0" w:rsidRDefault="00D06CC0" w:rsidP="00D06CC0"/>
        </w:tc>
      </w:tr>
      <w:tr w:rsidR="00D06CC0" w14:paraId="40AD2D5D" w14:textId="77777777" w:rsidTr="001E472C">
        <w:trPr>
          <w:tblHeader/>
        </w:trPr>
        <w:tc>
          <w:tcPr>
            <w:tcW w:w="2254" w:type="dxa"/>
            <w:vAlign w:val="bottom"/>
          </w:tcPr>
          <w:p w14:paraId="064CE72C" w14:textId="77777777" w:rsidR="00D06CC0" w:rsidRDefault="00D06CC0" w:rsidP="00D06CC0">
            <w:r>
              <w:rPr>
                <w:rFonts w:ascii="Calibri" w:hAnsi="Calibri"/>
                <w:color w:val="000000"/>
              </w:rPr>
              <w:t>DIN.niskin</w:t>
            </w:r>
          </w:p>
        </w:tc>
        <w:tc>
          <w:tcPr>
            <w:tcW w:w="2254" w:type="dxa"/>
            <w:vAlign w:val="bottom"/>
          </w:tcPr>
          <w:p w14:paraId="4F4D42D3" w14:textId="77777777" w:rsidR="00D06CC0" w:rsidRDefault="00D06CC0" w:rsidP="00D06CC0">
            <w:r>
              <w:rPr>
                <w:rFonts w:ascii="Calibri" w:hAnsi="Calibri"/>
                <w:color w:val="000000"/>
              </w:rPr>
              <w:t>0.429</w:t>
            </w:r>
          </w:p>
        </w:tc>
        <w:tc>
          <w:tcPr>
            <w:tcW w:w="2254" w:type="dxa"/>
            <w:vAlign w:val="bottom"/>
          </w:tcPr>
          <w:p w14:paraId="62096933" w14:textId="77777777" w:rsidR="00D06CC0" w:rsidRDefault="00D06CC0" w:rsidP="00D06CC0">
            <w:r>
              <w:rPr>
                <w:rFonts w:ascii="Calibri" w:hAnsi="Calibri"/>
                <w:color w:val="000000"/>
              </w:rPr>
              <w:t>1</w:t>
            </w:r>
          </w:p>
        </w:tc>
        <w:tc>
          <w:tcPr>
            <w:tcW w:w="2254" w:type="dxa"/>
            <w:vAlign w:val="bottom"/>
          </w:tcPr>
          <w:p w14:paraId="1E15AD7C" w14:textId="77777777" w:rsidR="00D06CC0" w:rsidRDefault="00D06CC0" w:rsidP="00D06CC0"/>
        </w:tc>
      </w:tr>
      <w:tr w:rsidR="00D06CC0" w14:paraId="6073B146" w14:textId="77777777" w:rsidTr="001E472C">
        <w:trPr>
          <w:tblHeader/>
        </w:trPr>
        <w:tc>
          <w:tcPr>
            <w:tcW w:w="2254" w:type="dxa"/>
            <w:vAlign w:val="bottom"/>
          </w:tcPr>
          <w:p w14:paraId="4EB20EEB" w14:textId="77777777" w:rsidR="00D06CC0" w:rsidRDefault="00D06CC0" w:rsidP="00D06CC0">
            <w:r>
              <w:rPr>
                <w:rFonts w:ascii="Calibri" w:hAnsi="Calibri"/>
                <w:color w:val="000000"/>
              </w:rPr>
              <w:t>DIN.eR</w:t>
            </w:r>
          </w:p>
        </w:tc>
        <w:tc>
          <w:tcPr>
            <w:tcW w:w="2254" w:type="dxa"/>
            <w:vAlign w:val="bottom"/>
          </w:tcPr>
          <w:p w14:paraId="1FF327D0" w14:textId="77777777" w:rsidR="00D06CC0" w:rsidRDefault="00D06CC0" w:rsidP="00D06CC0">
            <w:r>
              <w:rPr>
                <w:rFonts w:ascii="Calibri" w:hAnsi="Calibri"/>
                <w:color w:val="000000"/>
              </w:rPr>
              <w:t>0.143</w:t>
            </w:r>
          </w:p>
        </w:tc>
        <w:tc>
          <w:tcPr>
            <w:tcW w:w="2254" w:type="dxa"/>
            <w:vAlign w:val="bottom"/>
          </w:tcPr>
          <w:p w14:paraId="4E4B1341" w14:textId="77777777" w:rsidR="00D06CC0" w:rsidRDefault="00D06CC0" w:rsidP="00D06CC0">
            <w:r>
              <w:rPr>
                <w:rFonts w:ascii="Calibri" w:hAnsi="Calibri"/>
                <w:color w:val="000000"/>
              </w:rPr>
              <w:t>0.099</w:t>
            </w:r>
          </w:p>
        </w:tc>
        <w:tc>
          <w:tcPr>
            <w:tcW w:w="2254" w:type="dxa"/>
            <w:vAlign w:val="bottom"/>
          </w:tcPr>
          <w:p w14:paraId="312E8366" w14:textId="77777777" w:rsidR="00D06CC0" w:rsidRDefault="00D06CC0" w:rsidP="00D06CC0">
            <w:r>
              <w:rPr>
                <w:rFonts w:ascii="Calibri" w:hAnsi="Calibri"/>
                <w:color w:val="000000"/>
              </w:rPr>
              <w:t>1</w:t>
            </w:r>
          </w:p>
        </w:tc>
      </w:tr>
      <w:tr w:rsidR="00D06CC0" w14:paraId="1DB92BC5" w14:textId="77777777" w:rsidTr="001E472C">
        <w:trPr>
          <w:tblHeader/>
        </w:trPr>
        <w:tc>
          <w:tcPr>
            <w:tcW w:w="2254" w:type="dxa"/>
            <w:vAlign w:val="bottom"/>
          </w:tcPr>
          <w:p w14:paraId="5164C6BC" w14:textId="77777777" w:rsidR="00D06CC0" w:rsidRDefault="00D06CC0" w:rsidP="00D06CC0">
            <w:r>
              <w:rPr>
                <w:rFonts w:ascii="Calibri" w:hAnsi="Calibri"/>
                <w:color w:val="000000"/>
              </w:rPr>
              <w:t>DIP.eR</w:t>
            </w:r>
          </w:p>
        </w:tc>
        <w:tc>
          <w:tcPr>
            <w:tcW w:w="2254" w:type="dxa"/>
            <w:vAlign w:val="bottom"/>
          </w:tcPr>
          <w:p w14:paraId="22290140" w14:textId="77777777" w:rsidR="00D06CC0" w:rsidRDefault="00D06CC0" w:rsidP="00D06CC0">
            <w:r>
              <w:rPr>
                <w:rFonts w:ascii="Calibri" w:hAnsi="Calibri"/>
                <w:color w:val="000000"/>
              </w:rPr>
              <w:t>0.368</w:t>
            </w:r>
          </w:p>
        </w:tc>
        <w:tc>
          <w:tcPr>
            <w:tcW w:w="2254" w:type="dxa"/>
            <w:vAlign w:val="bottom"/>
          </w:tcPr>
          <w:p w14:paraId="1A21BDC2" w14:textId="77777777" w:rsidR="00D06CC0" w:rsidRDefault="00D06CC0" w:rsidP="00D06CC0">
            <w:r>
              <w:rPr>
                <w:rFonts w:ascii="Calibri" w:hAnsi="Calibri"/>
                <w:color w:val="000000"/>
              </w:rPr>
              <w:t>0.159</w:t>
            </w:r>
          </w:p>
        </w:tc>
        <w:tc>
          <w:tcPr>
            <w:tcW w:w="2254" w:type="dxa"/>
            <w:vAlign w:val="bottom"/>
          </w:tcPr>
          <w:p w14:paraId="1B797639" w14:textId="77777777" w:rsidR="00D06CC0" w:rsidRDefault="00D06CC0" w:rsidP="00D06CC0">
            <w:r>
              <w:rPr>
                <w:rFonts w:ascii="Calibri" w:hAnsi="Calibri"/>
                <w:color w:val="000000"/>
              </w:rPr>
              <w:t>0.797</w:t>
            </w:r>
          </w:p>
        </w:tc>
      </w:tr>
    </w:tbl>
    <w:p w14:paraId="63D0EDD8" w14:textId="77777777" w:rsidR="00D06CC0" w:rsidRDefault="00D06CC0" w:rsidP="00D06CC0"/>
    <w:p w14:paraId="61416A08" w14:textId="77777777" w:rsidR="00D06CC0" w:rsidRDefault="00D901A5" w:rsidP="00606A50">
      <w:pPr>
        <w:pStyle w:val="Caption"/>
      </w:pPr>
      <w:bookmarkStart w:id="319" w:name="_Ref514407777"/>
      <w:bookmarkStart w:id="320" w:name="_Toc514407874"/>
      <w:r>
        <w:t xml:space="preserve">Table </w:t>
      </w:r>
      <w:r>
        <w:fldChar w:fldCharType="begin"/>
      </w:r>
      <w:r>
        <w:instrText xml:space="preserve"> SEQ Table \* ARABIC </w:instrText>
      </w:r>
      <w:r>
        <w:fldChar w:fldCharType="separate"/>
      </w:r>
      <w:r w:rsidR="00A75175">
        <w:rPr>
          <w:noProof/>
        </w:rPr>
        <w:t>26</w:t>
      </w:r>
      <w:r>
        <w:fldChar w:fldCharType="end"/>
      </w:r>
      <w:bookmarkEnd w:id="319"/>
      <w:r>
        <w:t xml:space="preserve"> Correlation between p</w:t>
      </w:r>
      <w:r w:rsidR="00D06CC0">
        <w:t>articulate nutrient estimates</w:t>
      </w:r>
      <w:bookmarkEnd w:id="320"/>
    </w:p>
    <w:tbl>
      <w:tblPr>
        <w:tblStyle w:val="TableGrid"/>
        <w:tblW w:w="0" w:type="auto"/>
        <w:tblLook w:val="04A0" w:firstRow="1" w:lastRow="0" w:firstColumn="1" w:lastColumn="0" w:noHBand="0" w:noVBand="1"/>
        <w:tblCaption w:val="Correlation between particulate nutrient estimates"/>
        <w:tblDescription w:val="table of correlation coefficients as discussed in main text"/>
      </w:tblPr>
      <w:tblGrid>
        <w:gridCol w:w="2254"/>
        <w:gridCol w:w="2254"/>
        <w:gridCol w:w="2254"/>
        <w:gridCol w:w="2254"/>
      </w:tblGrid>
      <w:tr w:rsidR="00D06CC0" w14:paraId="050E7E45" w14:textId="77777777" w:rsidTr="001E472C">
        <w:trPr>
          <w:tblHeader/>
        </w:trPr>
        <w:tc>
          <w:tcPr>
            <w:tcW w:w="2254" w:type="dxa"/>
            <w:vAlign w:val="bottom"/>
          </w:tcPr>
          <w:p w14:paraId="258DAAB2" w14:textId="77777777" w:rsidR="00D06CC0" w:rsidRDefault="00D06CC0" w:rsidP="00D06CC0"/>
        </w:tc>
        <w:tc>
          <w:tcPr>
            <w:tcW w:w="2254" w:type="dxa"/>
            <w:vAlign w:val="bottom"/>
          </w:tcPr>
          <w:p w14:paraId="46DA36D2" w14:textId="77777777" w:rsidR="00D06CC0" w:rsidRDefault="00D06CC0" w:rsidP="00D06CC0">
            <w:r>
              <w:rPr>
                <w:rFonts w:ascii="Calibri" w:hAnsi="Calibri"/>
                <w:color w:val="000000"/>
              </w:rPr>
              <w:t>TN.niskin</w:t>
            </w:r>
          </w:p>
        </w:tc>
        <w:tc>
          <w:tcPr>
            <w:tcW w:w="2254" w:type="dxa"/>
            <w:vAlign w:val="bottom"/>
          </w:tcPr>
          <w:p w14:paraId="3C75ED0E" w14:textId="77777777" w:rsidR="00D06CC0" w:rsidRDefault="00D06CC0" w:rsidP="00D06CC0">
            <w:r>
              <w:rPr>
                <w:rFonts w:ascii="Calibri" w:hAnsi="Calibri"/>
                <w:color w:val="000000"/>
              </w:rPr>
              <w:t>TP.niskin</w:t>
            </w:r>
          </w:p>
        </w:tc>
        <w:tc>
          <w:tcPr>
            <w:tcW w:w="2254" w:type="dxa"/>
            <w:vAlign w:val="bottom"/>
          </w:tcPr>
          <w:p w14:paraId="131418F7" w14:textId="77777777" w:rsidR="00D06CC0" w:rsidRDefault="00D06CC0" w:rsidP="00D06CC0">
            <w:r>
              <w:rPr>
                <w:rFonts w:ascii="Calibri" w:hAnsi="Calibri"/>
                <w:color w:val="000000"/>
              </w:rPr>
              <w:t>TN.eR</w:t>
            </w:r>
          </w:p>
        </w:tc>
      </w:tr>
      <w:tr w:rsidR="00D06CC0" w14:paraId="08B45D45" w14:textId="77777777" w:rsidTr="001E472C">
        <w:trPr>
          <w:tblHeader/>
        </w:trPr>
        <w:tc>
          <w:tcPr>
            <w:tcW w:w="2254" w:type="dxa"/>
            <w:vAlign w:val="bottom"/>
          </w:tcPr>
          <w:p w14:paraId="180EDBEF" w14:textId="77777777" w:rsidR="00D06CC0" w:rsidRDefault="00D06CC0" w:rsidP="00D06CC0">
            <w:r>
              <w:rPr>
                <w:rFonts w:ascii="Calibri" w:hAnsi="Calibri"/>
                <w:color w:val="000000"/>
              </w:rPr>
              <w:t>TN.niskin</w:t>
            </w:r>
          </w:p>
        </w:tc>
        <w:tc>
          <w:tcPr>
            <w:tcW w:w="2254" w:type="dxa"/>
            <w:vAlign w:val="bottom"/>
          </w:tcPr>
          <w:p w14:paraId="0D182284" w14:textId="77777777" w:rsidR="00D06CC0" w:rsidRDefault="00D06CC0" w:rsidP="00D06CC0">
            <w:r>
              <w:rPr>
                <w:rFonts w:ascii="Calibri" w:hAnsi="Calibri"/>
                <w:color w:val="000000"/>
              </w:rPr>
              <w:t>1</w:t>
            </w:r>
          </w:p>
        </w:tc>
        <w:tc>
          <w:tcPr>
            <w:tcW w:w="2254" w:type="dxa"/>
            <w:vAlign w:val="bottom"/>
          </w:tcPr>
          <w:p w14:paraId="71F0C863" w14:textId="77777777" w:rsidR="00D06CC0" w:rsidRDefault="00D06CC0" w:rsidP="00D06CC0"/>
        </w:tc>
        <w:tc>
          <w:tcPr>
            <w:tcW w:w="2254" w:type="dxa"/>
            <w:vAlign w:val="bottom"/>
          </w:tcPr>
          <w:p w14:paraId="3D448523" w14:textId="77777777" w:rsidR="00D06CC0" w:rsidRDefault="00D06CC0" w:rsidP="00D06CC0"/>
        </w:tc>
      </w:tr>
      <w:tr w:rsidR="00D06CC0" w14:paraId="54E718E2" w14:textId="77777777" w:rsidTr="001E472C">
        <w:trPr>
          <w:tblHeader/>
        </w:trPr>
        <w:tc>
          <w:tcPr>
            <w:tcW w:w="2254" w:type="dxa"/>
            <w:vAlign w:val="bottom"/>
          </w:tcPr>
          <w:p w14:paraId="0A6AD379" w14:textId="77777777" w:rsidR="00D06CC0" w:rsidRDefault="00D06CC0" w:rsidP="00D06CC0">
            <w:r>
              <w:rPr>
                <w:rFonts w:ascii="Calibri" w:hAnsi="Calibri"/>
                <w:color w:val="000000"/>
              </w:rPr>
              <w:t>TP.niskin</w:t>
            </w:r>
          </w:p>
        </w:tc>
        <w:tc>
          <w:tcPr>
            <w:tcW w:w="2254" w:type="dxa"/>
            <w:vAlign w:val="bottom"/>
          </w:tcPr>
          <w:p w14:paraId="3F3F6D4C" w14:textId="77777777" w:rsidR="00D06CC0" w:rsidRDefault="00D06CC0" w:rsidP="00D06CC0">
            <w:r>
              <w:rPr>
                <w:rFonts w:ascii="Calibri" w:hAnsi="Calibri"/>
                <w:color w:val="000000"/>
              </w:rPr>
              <w:t>0.835</w:t>
            </w:r>
          </w:p>
        </w:tc>
        <w:tc>
          <w:tcPr>
            <w:tcW w:w="2254" w:type="dxa"/>
            <w:vAlign w:val="bottom"/>
          </w:tcPr>
          <w:p w14:paraId="7F50DA1E" w14:textId="77777777" w:rsidR="00D06CC0" w:rsidRDefault="00D06CC0" w:rsidP="00D06CC0">
            <w:r>
              <w:rPr>
                <w:rFonts w:ascii="Calibri" w:hAnsi="Calibri"/>
                <w:color w:val="000000"/>
              </w:rPr>
              <w:t>1</w:t>
            </w:r>
          </w:p>
        </w:tc>
        <w:tc>
          <w:tcPr>
            <w:tcW w:w="2254" w:type="dxa"/>
            <w:vAlign w:val="bottom"/>
          </w:tcPr>
          <w:p w14:paraId="5BCCA51C" w14:textId="77777777" w:rsidR="00D06CC0" w:rsidRDefault="00D06CC0" w:rsidP="00D06CC0"/>
        </w:tc>
      </w:tr>
      <w:tr w:rsidR="00D06CC0" w14:paraId="08A59E0E" w14:textId="77777777" w:rsidTr="001E472C">
        <w:trPr>
          <w:tblHeader/>
        </w:trPr>
        <w:tc>
          <w:tcPr>
            <w:tcW w:w="2254" w:type="dxa"/>
            <w:vAlign w:val="bottom"/>
          </w:tcPr>
          <w:p w14:paraId="40B27DA7" w14:textId="77777777" w:rsidR="00D06CC0" w:rsidRDefault="00D06CC0" w:rsidP="00D06CC0">
            <w:r>
              <w:rPr>
                <w:rFonts w:ascii="Calibri" w:hAnsi="Calibri"/>
                <w:color w:val="000000"/>
              </w:rPr>
              <w:t>TN.eR</w:t>
            </w:r>
          </w:p>
        </w:tc>
        <w:tc>
          <w:tcPr>
            <w:tcW w:w="2254" w:type="dxa"/>
            <w:vAlign w:val="bottom"/>
          </w:tcPr>
          <w:p w14:paraId="1A8B4A8F" w14:textId="77777777" w:rsidR="00D06CC0" w:rsidRDefault="00D06CC0" w:rsidP="00D06CC0">
            <w:r>
              <w:rPr>
                <w:rFonts w:ascii="Calibri" w:hAnsi="Calibri"/>
                <w:color w:val="000000"/>
              </w:rPr>
              <w:t>0.621</w:t>
            </w:r>
          </w:p>
        </w:tc>
        <w:tc>
          <w:tcPr>
            <w:tcW w:w="2254" w:type="dxa"/>
            <w:shd w:val="clear" w:color="auto" w:fill="D9D9D9" w:themeFill="background1" w:themeFillShade="D9"/>
            <w:vAlign w:val="bottom"/>
          </w:tcPr>
          <w:p w14:paraId="6CB81016" w14:textId="77777777" w:rsidR="00D06CC0" w:rsidRDefault="00D06CC0" w:rsidP="00D06CC0">
            <w:r>
              <w:rPr>
                <w:rFonts w:ascii="Calibri" w:hAnsi="Calibri"/>
                <w:color w:val="000000"/>
              </w:rPr>
              <w:t>0.890</w:t>
            </w:r>
          </w:p>
        </w:tc>
        <w:tc>
          <w:tcPr>
            <w:tcW w:w="2254" w:type="dxa"/>
            <w:vAlign w:val="bottom"/>
          </w:tcPr>
          <w:p w14:paraId="6C4E0869" w14:textId="77777777" w:rsidR="00D06CC0" w:rsidRDefault="00D06CC0" w:rsidP="00D06CC0">
            <w:r>
              <w:rPr>
                <w:rFonts w:ascii="Calibri" w:hAnsi="Calibri"/>
                <w:color w:val="000000"/>
              </w:rPr>
              <w:t>1</w:t>
            </w:r>
          </w:p>
        </w:tc>
      </w:tr>
      <w:tr w:rsidR="00D06CC0" w14:paraId="15F75AA1" w14:textId="77777777" w:rsidTr="001E472C">
        <w:trPr>
          <w:tblHeader/>
        </w:trPr>
        <w:tc>
          <w:tcPr>
            <w:tcW w:w="2254" w:type="dxa"/>
            <w:vAlign w:val="bottom"/>
          </w:tcPr>
          <w:p w14:paraId="54AD46F1" w14:textId="77777777" w:rsidR="00D06CC0" w:rsidRDefault="00D06CC0" w:rsidP="00D06CC0">
            <w:r>
              <w:rPr>
                <w:rFonts w:ascii="Calibri" w:hAnsi="Calibri"/>
                <w:color w:val="000000"/>
              </w:rPr>
              <w:t>TP.eR</w:t>
            </w:r>
          </w:p>
        </w:tc>
        <w:tc>
          <w:tcPr>
            <w:tcW w:w="2254" w:type="dxa"/>
            <w:vAlign w:val="bottom"/>
          </w:tcPr>
          <w:p w14:paraId="16876CD0" w14:textId="77777777" w:rsidR="00D06CC0" w:rsidRDefault="00D06CC0" w:rsidP="00D06CC0">
            <w:r>
              <w:rPr>
                <w:rFonts w:ascii="Calibri" w:hAnsi="Calibri"/>
                <w:color w:val="000000"/>
              </w:rPr>
              <w:t>0.610</w:t>
            </w:r>
          </w:p>
        </w:tc>
        <w:tc>
          <w:tcPr>
            <w:tcW w:w="2254" w:type="dxa"/>
            <w:shd w:val="clear" w:color="auto" w:fill="D9D9D9" w:themeFill="background1" w:themeFillShade="D9"/>
            <w:vAlign w:val="bottom"/>
          </w:tcPr>
          <w:p w14:paraId="64661232" w14:textId="77777777" w:rsidR="00D06CC0" w:rsidRDefault="00D06CC0" w:rsidP="00D06CC0">
            <w:r>
              <w:rPr>
                <w:rFonts w:ascii="Calibri" w:hAnsi="Calibri"/>
                <w:color w:val="000000"/>
              </w:rPr>
              <w:t>0.890</w:t>
            </w:r>
          </w:p>
        </w:tc>
        <w:tc>
          <w:tcPr>
            <w:tcW w:w="2254" w:type="dxa"/>
            <w:vAlign w:val="bottom"/>
          </w:tcPr>
          <w:p w14:paraId="3AD4EF91" w14:textId="77777777" w:rsidR="00D06CC0" w:rsidRDefault="00D06CC0" w:rsidP="00D06CC0">
            <w:r>
              <w:rPr>
                <w:rFonts w:ascii="Calibri" w:hAnsi="Calibri"/>
                <w:color w:val="000000"/>
              </w:rPr>
              <w:t>0.984</w:t>
            </w:r>
          </w:p>
        </w:tc>
      </w:tr>
    </w:tbl>
    <w:p w14:paraId="4D5C9ADE" w14:textId="77777777" w:rsidR="00D06CC0" w:rsidRDefault="00D06CC0" w:rsidP="00D06CC0"/>
    <w:p w14:paraId="74AE2251" w14:textId="77777777" w:rsidR="00D06CC0" w:rsidRDefault="00D06CC0" w:rsidP="00D06CC0">
      <w:r>
        <w:t>From the above comparisons the following estimates were chosen as covariates representing differences in water quality among reefs and between years:</w:t>
      </w:r>
    </w:p>
    <w:p w14:paraId="57677E4D" w14:textId="77777777" w:rsidR="00D06CC0" w:rsidRDefault="00D06CC0" w:rsidP="001C40D0">
      <w:pPr>
        <w:pStyle w:val="ListParagraph"/>
        <w:numPr>
          <w:ilvl w:val="0"/>
          <w:numId w:val="18"/>
        </w:numPr>
        <w:spacing w:after="160" w:line="259" w:lineRule="auto"/>
        <w:jc w:val="left"/>
      </w:pPr>
      <w:r>
        <w:t xml:space="preserve">Non-algal Particulate concentrations estimated by BoM algorithms were chosen as the covariate </w:t>
      </w:r>
      <w:r w:rsidR="005D1AC9">
        <w:t xml:space="preserve">best estimating </w:t>
      </w:r>
      <w:r>
        <w:t>exposure to suspended sediments.</w:t>
      </w:r>
    </w:p>
    <w:p w14:paraId="386539FF" w14:textId="77777777" w:rsidR="00D06CC0" w:rsidRDefault="00D06CC0" w:rsidP="001C40D0">
      <w:pPr>
        <w:pStyle w:val="ListParagraph"/>
        <w:numPr>
          <w:ilvl w:val="0"/>
          <w:numId w:val="18"/>
        </w:numPr>
        <w:spacing w:after="160" w:line="259" w:lineRule="auto"/>
        <w:jc w:val="left"/>
      </w:pPr>
      <w:r>
        <w:t xml:space="preserve">Exposure to above guideline levels of Chl </w:t>
      </w:r>
      <w:r w:rsidRPr="00794E62">
        <w:rPr>
          <w:i/>
        </w:rPr>
        <w:t>a</w:t>
      </w:r>
      <w:r w:rsidR="0095206A">
        <w:rPr>
          <w:i/>
        </w:rPr>
        <w:t>,</w:t>
      </w:r>
      <w:r>
        <w:t xml:space="preserve"> as estimated by colour class categorisation over the wet season</w:t>
      </w:r>
      <w:r w:rsidR="0095206A">
        <w:t>,</w:t>
      </w:r>
      <w:r>
        <w:t xml:space="preserve"> was chosen as a proxy for differing exposure to nutrients in general.</w:t>
      </w:r>
      <w:r w:rsidR="005D1AC9">
        <w:t xml:space="preserve"> This parameter best described observed gradients in Chl </w:t>
      </w:r>
      <w:r w:rsidR="005D1AC9" w:rsidRPr="005D1AC9">
        <w:rPr>
          <w:i/>
        </w:rPr>
        <w:t>a</w:t>
      </w:r>
      <w:r w:rsidR="005D1AC9">
        <w:t xml:space="preserve"> and there was little evidence that the eReefs model, the only potential source for reef level nutrient estimates, captured variations that related to observed gradients in dissolved nutrient species.</w:t>
      </w:r>
    </w:p>
    <w:p w14:paraId="1E6EC64D" w14:textId="77777777" w:rsidR="00D06CC0" w:rsidRDefault="00D06CC0" w:rsidP="001C40D0">
      <w:pPr>
        <w:pStyle w:val="ListParagraph"/>
        <w:numPr>
          <w:ilvl w:val="0"/>
          <w:numId w:val="18"/>
        </w:numPr>
        <w:spacing w:after="160" w:line="259" w:lineRule="auto"/>
        <w:jc w:val="left"/>
      </w:pPr>
      <w:r>
        <w:t>Total N and Total P estimated from the eReefs model were highly correlated</w:t>
      </w:r>
      <w:r w:rsidR="00D73D4E">
        <w:t>,</w:t>
      </w:r>
      <w:r>
        <w:t xml:space="preserve"> and </w:t>
      </w:r>
      <w:r w:rsidR="005D1AC9">
        <w:t>together correlated to measured gradients in Total P. Also, as the eReefs model takes loads from the catchments as an input</w:t>
      </w:r>
      <w:r w:rsidR="00D73D4E">
        <w:t>,</w:t>
      </w:r>
      <w:r w:rsidR="005D1AC9">
        <w:t xml:space="preserve"> Total P may be a useful parameter once the time-series </w:t>
      </w:r>
      <w:r w:rsidR="00377210">
        <w:t>of modelled estimates lengthens. In this report we have deferred to derived loads of nutrients from the regions catchments as a direct estimate of variability in nutrient loads coming from the catchments.</w:t>
      </w:r>
    </w:p>
    <w:p w14:paraId="1ABA4992" w14:textId="77777777" w:rsidR="00114B53" w:rsidRDefault="002F33D9" w:rsidP="00114B53">
      <w:pPr>
        <w:spacing w:after="160" w:line="259" w:lineRule="auto"/>
        <w:ind w:left="360"/>
        <w:jc w:val="left"/>
      </w:pPr>
      <w:r>
        <w:t>We stress that this assessment is only pertinent to the 4km grid size version of the eReefs model for which a reasonable time-series was available. It s</w:t>
      </w:r>
      <w:r w:rsidR="00114B53">
        <w:t xml:space="preserve">hould be noted that the biogeochemical models have continued to evolve with a 1km grid size model that incorporates active </w:t>
      </w:r>
      <w:r w:rsidR="00392304">
        <w:t>assimilation of</w:t>
      </w:r>
      <w:r w:rsidR="00114B53">
        <w:t xml:space="preserve"> </w:t>
      </w:r>
      <w:r w:rsidR="00036C05">
        <w:t>in situ</w:t>
      </w:r>
      <w:r w:rsidR="00114B53">
        <w:t xml:space="preserve"> observations </w:t>
      </w:r>
      <w:r w:rsidR="00627046">
        <w:t>now available. As the time-series from this newer product extends it is likely to provide improved estimates of water quality surrounding not only inshore</w:t>
      </w:r>
      <w:r w:rsidR="0095206A">
        <w:t>,</w:t>
      </w:r>
      <w:r w:rsidR="00627046">
        <w:t xml:space="preserve"> but all reefs.</w:t>
      </w:r>
      <w:r w:rsidR="00114B53">
        <w:t xml:space="preserve"> </w:t>
      </w:r>
    </w:p>
    <w:p w14:paraId="77A53875" w14:textId="77777777" w:rsidR="00357BF2" w:rsidRDefault="00D06CC0">
      <w:pPr>
        <w:jc w:val="left"/>
      </w:pPr>
      <w:r>
        <w:br w:type="page"/>
      </w:r>
    </w:p>
    <w:p w14:paraId="1873D937" w14:textId="77777777" w:rsidR="00C63F3B" w:rsidRDefault="00357BF2" w:rsidP="00121B7E">
      <w:pPr>
        <w:pStyle w:val="Heading1"/>
      </w:pPr>
      <w:bookmarkStart w:id="321" w:name="_Toc514408440"/>
      <w:r>
        <w:t>Case Study – Inclusion of Reef Check Australia data into the Reef Report Card</w:t>
      </w:r>
      <w:bookmarkEnd w:id="321"/>
    </w:p>
    <w:p w14:paraId="2F60DE6F" w14:textId="77777777" w:rsidR="006A2FD5" w:rsidRDefault="006A2FD5" w:rsidP="006A2FD5">
      <w:pPr>
        <w:pStyle w:val="Heading2"/>
      </w:pPr>
      <w:bookmarkStart w:id="322" w:name="_Toc514408441"/>
      <w:r>
        <w:t>9.1 Introduction</w:t>
      </w:r>
      <w:bookmarkEnd w:id="322"/>
    </w:p>
    <w:p w14:paraId="32421ECB" w14:textId="40707ECA" w:rsidR="006A2FD5" w:rsidRDefault="006A2FD5" w:rsidP="006A2FD5">
      <w:pPr>
        <w:rPr>
          <w:rFonts w:eastAsia="MS Mincho"/>
        </w:rPr>
      </w:pPr>
      <w:r>
        <w:rPr>
          <w:rFonts w:eastAsia="MS Mincho"/>
        </w:rPr>
        <w:t>A</w:t>
      </w:r>
      <w:r w:rsidRPr="00D45E5C">
        <w:rPr>
          <w:rFonts w:eastAsia="MS Mincho"/>
        </w:rPr>
        <w:t xml:space="preserve"> key component of the </w:t>
      </w:r>
      <w:r w:rsidRPr="00362093">
        <w:rPr>
          <w:rFonts w:eastAsia="MS Mincho"/>
          <w:i/>
        </w:rPr>
        <w:t>Reef 2050 Plan</w:t>
      </w:r>
      <w:r w:rsidRPr="00D45E5C">
        <w:rPr>
          <w:rFonts w:eastAsia="MS Mincho"/>
        </w:rPr>
        <w:t xml:space="preserve"> is establishing the </w:t>
      </w:r>
      <w:r w:rsidRPr="00362093">
        <w:rPr>
          <w:rFonts w:eastAsia="MS Mincho"/>
          <w:i/>
        </w:rPr>
        <w:t>Reef</w:t>
      </w:r>
      <w:r w:rsidR="00362093" w:rsidRPr="00362093">
        <w:rPr>
          <w:rFonts w:eastAsia="MS Mincho"/>
          <w:i/>
        </w:rPr>
        <w:t xml:space="preserve"> 2050</w:t>
      </w:r>
      <w:r w:rsidRPr="00362093">
        <w:rPr>
          <w:rFonts w:eastAsia="MS Mincho"/>
          <w:i/>
        </w:rPr>
        <w:t xml:space="preserve"> Integrated Monitoring and Reporting</w:t>
      </w:r>
      <w:r w:rsidRPr="00D45E5C">
        <w:rPr>
          <w:rFonts w:eastAsia="MS Mincho"/>
        </w:rPr>
        <w:t xml:space="preserve"> Program (RIMReP) for the reef and its adjacent catchments.</w:t>
      </w:r>
      <w:r w:rsidRPr="00236180">
        <w:rPr>
          <w:rFonts w:eastAsia="MS Mincho"/>
        </w:rPr>
        <w:t xml:space="preserve"> </w:t>
      </w:r>
      <w:r>
        <w:rPr>
          <w:rFonts w:eastAsia="MS Mincho"/>
        </w:rPr>
        <w:t xml:space="preserve">The intention behind </w:t>
      </w:r>
      <w:r w:rsidRPr="00D45E5C">
        <w:rPr>
          <w:rFonts w:eastAsia="MS Mincho"/>
        </w:rPr>
        <w:t xml:space="preserve">RIMReP </w:t>
      </w:r>
      <w:r>
        <w:rPr>
          <w:rFonts w:eastAsia="MS Mincho"/>
        </w:rPr>
        <w:t>is to</w:t>
      </w:r>
      <w:r w:rsidRPr="00D45E5C">
        <w:rPr>
          <w:rFonts w:eastAsia="MS Mincho"/>
        </w:rPr>
        <w:t xml:space="preserve"> coordinate, align and integrate existing programs to capitalise on investment, improve efficiency and avoid duplication.</w:t>
      </w:r>
      <w:r>
        <w:rPr>
          <w:rFonts w:eastAsia="MS Mincho"/>
        </w:rPr>
        <w:t xml:space="preserve"> One such existing program is Reef Check Australia (RCA), a not-for-profit, citizen science organisation whose</w:t>
      </w:r>
      <w:r w:rsidRPr="00B834DE">
        <w:rPr>
          <w:rFonts w:eastAsia="MS Mincho"/>
        </w:rPr>
        <w:t xml:space="preserve"> primary purpose is to facilitate public participation in meaningful marine monitoring</w:t>
      </w:r>
      <w:r>
        <w:rPr>
          <w:rFonts w:eastAsia="MS Mincho"/>
        </w:rPr>
        <w:t>.</w:t>
      </w:r>
    </w:p>
    <w:p w14:paraId="2DA41CC0" w14:textId="77777777" w:rsidR="006A2FD5" w:rsidRDefault="006A2FD5" w:rsidP="006A2FD5">
      <w:r>
        <w:rPr>
          <w:rFonts w:eastAsia="MS Mincho"/>
        </w:rPr>
        <w:t xml:space="preserve">Launched in 2001, RCA has expanded over the last 16 years to include 60 key monitoring locations spread over the six NRM regions from Cape York to the Burnett-Mary. </w:t>
      </w:r>
      <w:r>
        <w:t xml:space="preserve">As a citizen science organisation, RCA relies on volunteers, who are trained in its methods before being allowed to undertake surveys. Volunteers may or may not have university training, and they undergo moderate levels of classroom and in-water training in identification and methodology. </w:t>
      </w:r>
    </w:p>
    <w:p w14:paraId="0BEFC4C6" w14:textId="77777777" w:rsidR="006A2FD5" w:rsidRDefault="006A2FD5" w:rsidP="006A2FD5">
      <w:r>
        <w:t xml:space="preserve">Although considerable efforts are made using quality control measures including: standardised site selection, grouping similar species to avoid misidentification, field data verification and raw data revision, sampling error remains inherent in the data due to transect placement, depth and variability between observers. Done </w:t>
      </w:r>
      <w:r w:rsidRPr="00377210">
        <w:rPr>
          <w:i/>
        </w:rPr>
        <w:t>et al.</w:t>
      </w:r>
      <w:r>
        <w:t xml:space="preserve"> 2017 provide a power analysis and simulation based on the RCA data and concluded that RCA benthic</w:t>
      </w:r>
      <w:r w:rsidR="001311FF">
        <w:t xml:space="preserve"> data are useful for providing R</w:t>
      </w:r>
      <w:r>
        <w:t>eef science and management stakeholders with indicators of ecological condition at relevant spatial scales</w:t>
      </w:r>
      <w:r w:rsidR="00306FC4">
        <w:t>. Further, several sites where there is sufficient data and continued monitoring can also provide data over temporal scales.</w:t>
      </w:r>
    </w:p>
    <w:p w14:paraId="085C9D4D" w14:textId="77777777" w:rsidR="006A2FD5" w:rsidRPr="006A2FD5" w:rsidRDefault="006A2FD5" w:rsidP="006A2FD5">
      <w:r>
        <w:t xml:space="preserve">Here we conduct a similar analysis to that conducted by Done </w:t>
      </w:r>
      <w:r w:rsidRPr="00377210">
        <w:rPr>
          <w:i/>
        </w:rPr>
        <w:t>et al</w:t>
      </w:r>
      <w:r w:rsidR="00377210">
        <w:t>.</w:t>
      </w:r>
      <w:r>
        <w:t xml:space="preserve"> (2017) with a specific focus on routinely monitored, inshore RCA monitoring sites and the potential for RCA data to be included in the MMP reporting and formulation of the Coral index.</w:t>
      </w:r>
    </w:p>
    <w:p w14:paraId="640B3D61" w14:textId="77777777" w:rsidR="006A2FD5" w:rsidRPr="006A2FD5" w:rsidRDefault="006A2FD5" w:rsidP="00357BF2">
      <w:pPr>
        <w:pStyle w:val="Heading2"/>
        <w:spacing w:before="240" w:after="240"/>
      </w:pPr>
      <w:bookmarkStart w:id="323" w:name="_Toc514408442"/>
      <w:r>
        <w:t xml:space="preserve">9.2 </w:t>
      </w:r>
      <w:r w:rsidRPr="006A2FD5">
        <w:t>Methods</w:t>
      </w:r>
      <w:bookmarkEnd w:id="323"/>
    </w:p>
    <w:p w14:paraId="1E3EAB1A" w14:textId="310139EF" w:rsidR="00B42989" w:rsidRDefault="00B42989" w:rsidP="00B42989">
      <w:r>
        <w:rPr>
          <w:rFonts w:eastAsia="MS Mincho"/>
        </w:rPr>
        <w:t xml:space="preserve">In 2016 RCA volunteers </w:t>
      </w:r>
      <w:r>
        <w:t xml:space="preserve">conducted surveys on 17 inshore, mid-shelf and outer-shelf reefs in four NRM regions. Surveys were conducted at 44 GPS marked sites, across multiple habitats and zones within individual reefs. The methods used by RCA are derived from the Reef Check (RC) program, an internationally based citizen science program (Hodgson 1999). This involves a standard point intercept transect (PIT) sampling protocol from which data is collected on 10 standard benthic categories: live hard coral, recently dead hard coral, soft coral, fleshy seaweed, sponge, other benthos, rock, rubble, sand, and silt/clay. </w:t>
      </w:r>
      <w:r w:rsidR="00396206">
        <w:t xml:space="preserve">RCA does, however, further refine these categories to identify various growth forms of hard corals and key groups of algae. </w:t>
      </w:r>
      <w:r>
        <w:t>RCA sites are selected following a standardised protocol which requires a minimum of 80 m of continuous coral reef at a constant depth. At each site a 100m tape is laid along the reef at a designated depth. Typically this depth is at 3-6 m however it can range from 1 to 12 m across RCA monitoring locations. While efforts are made to ensure consistent placement of transects from year to year there are no permanent markers in place and precise placement and alignment of transects does vary between visits. Transects are sampled using the PIT method at 0.5 m intervals along 20 m sections of tape. Each section is separated by a 5 m gap to provide independent replicate transects within each site.</w:t>
      </w:r>
    </w:p>
    <w:p w14:paraId="6536B765" w14:textId="77777777" w:rsidR="00B42989" w:rsidRDefault="00B42989" w:rsidP="00B42989">
      <w:r>
        <w:rPr>
          <w:rFonts w:eastAsia="MS Mincho"/>
        </w:rPr>
        <w:t xml:space="preserve">For the purpose of this study, </w:t>
      </w:r>
      <w:r>
        <w:t>RCA provided data for 12 inshore reef sites which are relevant to the MMP. Eight sites are located across</w:t>
      </w:r>
      <w:r w:rsidRPr="00E574D8">
        <w:t xml:space="preserve"> </w:t>
      </w:r>
      <w:r>
        <w:t xml:space="preserve">five bays of Magnetic Island in the Burdekin region, two sites at Blue Pearl Bay, Hayman Island and two at the northern end of Daydream Island in the Mackay-Whitsunday </w:t>
      </w:r>
      <w:r w:rsidR="00805D86">
        <w:t>Region</w:t>
      </w:r>
      <w:r>
        <w:t>.</w:t>
      </w:r>
      <w:r w:rsidRPr="00E574D8">
        <w:t xml:space="preserve"> </w:t>
      </w:r>
      <w:r>
        <w:t xml:space="preserve">These data provide a potential increase in the spatial coverage of coral cover estimates within these two regions. Whilst there is clear benefit in increasing the spatial coverage of the MMP data, the inclusion of these data into the report card needs to be considered in light of two key issues, sampling error and on-going surveys of selected sites. </w:t>
      </w:r>
    </w:p>
    <w:p w14:paraId="7F268B4F" w14:textId="77777777" w:rsidR="00B42989" w:rsidRDefault="00B42989" w:rsidP="006A2FD5"/>
    <w:p w14:paraId="04BB4BF1" w14:textId="77777777" w:rsidR="006A2FD5" w:rsidRDefault="00AE3D46" w:rsidP="006A2FD5">
      <w:r>
        <w:t xml:space="preserve">Coral cover estimates </w:t>
      </w:r>
      <w:r w:rsidR="006A2FD5">
        <w:t xml:space="preserve">provided by RCA were formatted to </w:t>
      </w:r>
      <w:r>
        <w:t xml:space="preserve">be compatible </w:t>
      </w:r>
      <w:r w:rsidR="006A2FD5">
        <w:t xml:space="preserve">with MMP </w:t>
      </w:r>
      <w:r>
        <w:t xml:space="preserve">estimates </w:t>
      </w:r>
      <w:r w:rsidR="006A2FD5">
        <w:t xml:space="preserve">and incorporated into the </w:t>
      </w:r>
      <w:r w:rsidR="001311FF">
        <w:t xml:space="preserve">methods </w:t>
      </w:r>
      <w:r w:rsidR="006A2FD5">
        <w:t xml:space="preserve">used to derive </w:t>
      </w:r>
      <w:r>
        <w:t xml:space="preserve">scores for the report card </w:t>
      </w:r>
      <w:r w:rsidR="006A2FD5">
        <w:t>index</w:t>
      </w:r>
      <w:r>
        <w:t xml:space="preserve"> and Coral Cover metric</w:t>
      </w:r>
      <w:r w:rsidR="006A2FD5">
        <w:t xml:space="preserve"> </w:t>
      </w:r>
      <w:r w:rsidR="001311FF">
        <w:t xml:space="preserve">(see section </w:t>
      </w:r>
      <w:r w:rsidR="001311FF">
        <w:fldChar w:fldCharType="begin"/>
      </w:r>
      <w:r w:rsidR="001311FF">
        <w:instrText xml:space="preserve"> REF _Ref500251897 \r \h </w:instrText>
      </w:r>
      <w:r w:rsidR="001311FF">
        <w:fldChar w:fldCharType="separate"/>
      </w:r>
      <w:r w:rsidR="00A75175">
        <w:t>4</w:t>
      </w:r>
      <w:r w:rsidR="001311FF">
        <w:fldChar w:fldCharType="end"/>
      </w:r>
      <w:r w:rsidR="001311FF">
        <w:t xml:space="preserve"> of this report for details)</w:t>
      </w:r>
      <w:r w:rsidR="006A2FD5">
        <w:t>.</w:t>
      </w:r>
    </w:p>
    <w:p w14:paraId="205D01F1" w14:textId="612B354C" w:rsidR="00D15EF9" w:rsidRPr="00D73ADF" w:rsidRDefault="00AE3D46" w:rsidP="00D15EF9">
      <w:pPr>
        <w:rPr>
          <w:lang w:eastAsia="en-AU"/>
        </w:rPr>
      </w:pPr>
      <w:r w:rsidRPr="0032425E">
        <w:rPr>
          <w:lang w:eastAsia="en-AU"/>
        </w:rPr>
        <w:t>For coral cover, sampling error will include a combination of: random variability in the intersection of sampled points across the benthic community, differences in the % cover of the benthos beneath the transect line as a result of variability in the location of the line, and observer error or bias in identification of the benthos below selected sampling points</w:t>
      </w:r>
      <w:r w:rsidR="00C12AAF">
        <w:rPr>
          <w:lang w:eastAsia="en-AU"/>
        </w:rPr>
        <w:t>.</w:t>
      </w:r>
      <w:r w:rsidRPr="0032425E">
        <w:rPr>
          <w:lang w:eastAsia="en-AU"/>
        </w:rPr>
        <w:t xml:space="preserve"> To help understand the theoretical limits to the precision of coral cover estimates based on currently used sampling intensity (number of points) we estimated the distribution of observed coral cover estimates about the true mean for sampling intensities used by the LTMP, MMP and Reef Check. </w:t>
      </w:r>
      <w:r w:rsidR="00D15EF9">
        <w:rPr>
          <w:lang w:eastAsia="en-AU"/>
        </w:rPr>
        <w:t>Coral cover can be estimated as the proportion of points from a given survey that are classified as coral, as opposed to anything else</w:t>
      </w:r>
      <w:r w:rsidR="00D15EF9" w:rsidRPr="00E76657">
        <w:rPr>
          <w:lang w:eastAsia="en-AU"/>
        </w:rPr>
        <w:t xml:space="preserve">.  </w:t>
      </w:r>
      <w:r w:rsidR="00D15EF9">
        <w:rPr>
          <w:lang w:eastAsia="en-AU"/>
        </w:rPr>
        <w:t>As such</w:t>
      </w:r>
      <w:r w:rsidR="00D15EF9" w:rsidRPr="00E76657">
        <w:rPr>
          <w:lang w:eastAsia="en-AU"/>
        </w:rPr>
        <w:t xml:space="preserve">, </w:t>
      </w:r>
      <w:r w:rsidR="00D15EF9">
        <w:rPr>
          <w:lang w:eastAsia="en-AU"/>
        </w:rPr>
        <w:t xml:space="preserve">it is possible to </w:t>
      </w:r>
      <w:r w:rsidR="00D15EF9" w:rsidRPr="00E76657">
        <w:rPr>
          <w:lang w:eastAsia="en-AU"/>
        </w:rPr>
        <w:t>assume that coral cover is distributed according to a binomial distribution B(</w:t>
      </w:r>
      <m:oMath>
        <m:r>
          <w:rPr>
            <w:rFonts w:ascii="Cambria Math" w:hAnsi="Cambria Math"/>
            <w:lang w:eastAsia="en-AU"/>
          </w:rPr>
          <m:t>n,p</m:t>
        </m:r>
      </m:oMath>
      <w:r w:rsidR="00D15EF9" w:rsidRPr="00E76657">
        <w:rPr>
          <w:lang w:eastAsia="en-AU"/>
        </w:rPr>
        <w:t>) where a given point in a survey of sample size</w:t>
      </w:r>
      <m:oMath>
        <m:r>
          <w:rPr>
            <w:rFonts w:ascii="Cambria Math" w:hAnsi="Cambria Math"/>
            <w:lang w:eastAsia="en-AU"/>
          </w:rPr>
          <m:t xml:space="preserve"> n</m:t>
        </m:r>
      </m:oMath>
      <w:r w:rsidR="00D15EF9" w:rsidRPr="00E76657">
        <w:rPr>
          <w:lang w:eastAsia="en-AU"/>
        </w:rPr>
        <w:t xml:space="preserve"> is classified as coral as opposed to anything else according to probability </w:t>
      </w:r>
      <m:oMath>
        <m:r>
          <w:rPr>
            <w:rFonts w:ascii="Cambria Math" w:hAnsi="Cambria Math"/>
            <w:lang w:eastAsia="en-AU"/>
          </w:rPr>
          <m:t>p</m:t>
        </m:r>
      </m:oMath>
      <w:r w:rsidR="00D15EF9" w:rsidRPr="00E76657">
        <w:rPr>
          <w:lang w:eastAsia="en-AU"/>
        </w:rPr>
        <w:t xml:space="preserve">. </w:t>
      </w:r>
      <w:r w:rsidR="00D15EF9">
        <w:rPr>
          <w:lang w:eastAsia="en-AU"/>
        </w:rPr>
        <w:t>Under this scenario, t</w:t>
      </w:r>
      <w:r w:rsidR="00D15EF9" w:rsidRPr="00E76657">
        <w:rPr>
          <w:lang w:eastAsia="en-AU"/>
        </w:rPr>
        <w:t>o illustrate</w:t>
      </w:r>
      <w:r w:rsidR="00D15EF9">
        <w:rPr>
          <w:lang w:eastAsia="en-AU"/>
        </w:rPr>
        <w:t xml:space="preserve"> </w:t>
      </w:r>
      <w:r w:rsidR="00D15EF9" w:rsidRPr="00E76657">
        <w:rPr>
          <w:lang w:eastAsia="en-AU"/>
        </w:rPr>
        <w:t>the influence</w:t>
      </w:r>
      <w:r w:rsidR="00D15EF9">
        <w:rPr>
          <w:lang w:eastAsia="en-AU"/>
        </w:rPr>
        <w:t xml:space="preserve"> </w:t>
      </w:r>
      <w:r w:rsidR="00D15EF9" w:rsidRPr="00E76657">
        <w:rPr>
          <w:lang w:eastAsia="en-AU"/>
        </w:rPr>
        <w:t>of the</w:t>
      </w:r>
      <w:r w:rsidR="00D15EF9">
        <w:rPr>
          <w:lang w:eastAsia="en-AU"/>
        </w:rPr>
        <w:t xml:space="preserve"> sample size </w:t>
      </w:r>
      <m:oMath>
        <m:r>
          <w:rPr>
            <w:rFonts w:ascii="Cambria Math" w:hAnsi="Cambria Math"/>
            <w:lang w:eastAsia="en-AU"/>
          </w:rPr>
          <m:t>n</m:t>
        </m:r>
      </m:oMath>
      <w:r w:rsidR="00D15EF9">
        <w:rPr>
          <w:lang w:eastAsia="en-AU"/>
        </w:rPr>
        <w:t xml:space="preserve"> on the precision </w:t>
      </w:r>
      <w:r w:rsidR="00D15EF9" w:rsidRPr="00D73ADF">
        <w:rPr>
          <w:lang w:eastAsia="en-AU"/>
        </w:rPr>
        <w:t xml:space="preserve">of 95% confidence intervals for </w:t>
      </w:r>
      <m:oMath>
        <m:r>
          <w:rPr>
            <w:rFonts w:ascii="Cambria Math" w:hAnsi="Cambria Math"/>
            <w:lang w:eastAsia="en-AU"/>
          </w:rPr>
          <m:t>p</m:t>
        </m:r>
      </m:oMath>
      <w:r w:rsidR="00D15EF9" w:rsidRPr="00D73ADF">
        <w:rPr>
          <w:lang w:eastAsia="en-AU"/>
        </w:rPr>
        <w:t>, confidence intervals were calculated for coral cover estimates of 5, 10, 25 and 50 percent and for sampling intensities ranging from 0 to 3500 points. Confidence intervals were computed based on Normal approximations as follows:</w:t>
      </w:r>
    </w:p>
    <w:p w14:paraId="2B204688" w14:textId="77777777" w:rsidR="00D15EF9" w:rsidRPr="00D73ADF" w:rsidRDefault="00D15EF9" w:rsidP="00D15EF9">
      <w:pPr>
        <w:spacing w:before="120"/>
        <w:rPr>
          <w:lang w:eastAsia="en-AU"/>
        </w:rPr>
      </w:pPr>
    </w:p>
    <w:p w14:paraId="103E89EE" w14:textId="77777777" w:rsidR="00D15EF9" w:rsidRPr="00D73ADF" w:rsidRDefault="00D15EF9" w:rsidP="00D15EF9">
      <w:pPr>
        <w:spacing w:before="120"/>
        <w:rPr>
          <w:lang w:eastAsia="en-AU"/>
        </w:rPr>
      </w:pPr>
      <m:oMath>
        <m:r>
          <w:rPr>
            <w:rFonts w:ascii="Cambria Math" w:hAnsi="Cambria Math"/>
            <w:lang w:eastAsia="en-AU"/>
          </w:rPr>
          <m:t xml:space="preserve">CI=  </m:t>
        </m:r>
        <m:acc>
          <m:accPr>
            <m:ctrlPr>
              <w:rPr>
                <w:rFonts w:ascii="Cambria Math" w:hAnsi="Cambria Math"/>
                <w:i/>
                <w:lang w:eastAsia="en-AU"/>
              </w:rPr>
            </m:ctrlPr>
          </m:accPr>
          <m:e>
            <m:r>
              <w:rPr>
                <w:rFonts w:ascii="Cambria Math" w:hAnsi="Cambria Math"/>
                <w:lang w:eastAsia="en-AU"/>
              </w:rPr>
              <m:t xml:space="preserve">p </m:t>
            </m:r>
          </m:e>
        </m:acc>
        <m:r>
          <w:rPr>
            <w:rFonts w:ascii="Cambria Math" w:hAnsi="Cambria Math"/>
            <w:lang w:eastAsia="en-AU"/>
          </w:rPr>
          <m:t xml:space="preserve"> ± 1.96* </m:t>
        </m:r>
        <m:rad>
          <m:radPr>
            <m:degHide m:val="1"/>
            <m:ctrlPr>
              <w:rPr>
                <w:rFonts w:ascii="Cambria Math" w:hAnsi="Cambria Math"/>
                <w:i/>
                <w:lang w:eastAsia="en-AU"/>
              </w:rPr>
            </m:ctrlPr>
          </m:radPr>
          <m:deg/>
          <m:e>
            <m:f>
              <m:fPr>
                <m:ctrlPr>
                  <w:rPr>
                    <w:rFonts w:ascii="Cambria Math" w:hAnsi="Cambria Math"/>
                    <w:i/>
                    <w:lang w:eastAsia="en-AU"/>
                  </w:rPr>
                </m:ctrlPr>
              </m:fPr>
              <m:num>
                <m:acc>
                  <m:accPr>
                    <m:ctrlPr>
                      <w:rPr>
                        <w:rFonts w:ascii="Cambria Math" w:hAnsi="Cambria Math"/>
                        <w:i/>
                        <w:lang w:eastAsia="en-AU"/>
                      </w:rPr>
                    </m:ctrlPr>
                  </m:accPr>
                  <m:e>
                    <m:r>
                      <w:rPr>
                        <w:rFonts w:ascii="Cambria Math" w:hAnsi="Cambria Math"/>
                        <w:lang w:eastAsia="en-AU"/>
                      </w:rPr>
                      <m:t xml:space="preserve">p </m:t>
                    </m:r>
                  </m:e>
                </m:acc>
                <m:r>
                  <w:rPr>
                    <w:rFonts w:ascii="Cambria Math" w:hAnsi="Cambria Math"/>
                    <w:lang w:eastAsia="en-AU"/>
                  </w:rPr>
                  <m:t xml:space="preserve"> </m:t>
                </m:r>
                <m:d>
                  <m:dPr>
                    <m:ctrlPr>
                      <w:rPr>
                        <w:rFonts w:ascii="Cambria Math" w:hAnsi="Cambria Math"/>
                        <w:i/>
                        <w:lang w:eastAsia="en-AU"/>
                      </w:rPr>
                    </m:ctrlPr>
                  </m:dPr>
                  <m:e>
                    <m:r>
                      <w:rPr>
                        <w:rFonts w:ascii="Cambria Math" w:hAnsi="Cambria Math"/>
                        <w:lang w:eastAsia="en-AU"/>
                      </w:rPr>
                      <m:t>1-</m:t>
                    </m:r>
                    <m:acc>
                      <m:accPr>
                        <m:ctrlPr>
                          <w:rPr>
                            <w:rFonts w:ascii="Cambria Math" w:hAnsi="Cambria Math"/>
                            <w:i/>
                            <w:lang w:eastAsia="en-AU"/>
                          </w:rPr>
                        </m:ctrlPr>
                      </m:accPr>
                      <m:e>
                        <m:r>
                          <w:rPr>
                            <w:rFonts w:ascii="Cambria Math" w:hAnsi="Cambria Math"/>
                            <w:lang w:eastAsia="en-AU"/>
                          </w:rPr>
                          <m:t>p</m:t>
                        </m:r>
                      </m:e>
                    </m:acc>
                  </m:e>
                </m:d>
              </m:num>
              <m:den>
                <m:r>
                  <w:rPr>
                    <w:rFonts w:ascii="Cambria Math" w:hAnsi="Cambria Math"/>
                    <w:lang w:eastAsia="en-AU"/>
                  </w:rPr>
                  <m:t>n</m:t>
                </m:r>
              </m:den>
            </m:f>
          </m:e>
        </m:rad>
      </m:oMath>
      <w:r w:rsidRPr="00D73ADF">
        <w:rPr>
          <w:lang w:eastAsia="en-AU"/>
        </w:rPr>
        <w:t xml:space="preserve">   </w:t>
      </w:r>
    </w:p>
    <w:p w14:paraId="4A3E1D9E" w14:textId="77777777" w:rsidR="00C12AAF" w:rsidRPr="0032425E" w:rsidRDefault="00C12AAF" w:rsidP="00C12AAF">
      <w:pPr>
        <w:spacing w:before="120"/>
        <w:rPr>
          <w:lang w:eastAsia="en-AU"/>
        </w:rPr>
      </w:pPr>
      <w:r>
        <w:rPr>
          <w:lang w:eastAsia="en-AU"/>
        </w:rPr>
        <w:t xml:space="preserve">We stress the simulation investigates only the precision of estimates as a function of intensity with which a site is sampled and does not account for additional bias that will result from the use of multiple observers or variation </w:t>
      </w:r>
      <w:r w:rsidR="00124D88">
        <w:rPr>
          <w:lang w:eastAsia="en-AU"/>
        </w:rPr>
        <w:t xml:space="preserve">resulting from differing </w:t>
      </w:r>
      <w:r>
        <w:rPr>
          <w:lang w:eastAsia="en-AU"/>
        </w:rPr>
        <w:t>placement</w:t>
      </w:r>
      <w:r w:rsidR="00124D88">
        <w:rPr>
          <w:lang w:eastAsia="en-AU"/>
        </w:rPr>
        <w:t xml:space="preserve"> of transect lines in consecutive surveys</w:t>
      </w:r>
      <w:r>
        <w:rPr>
          <w:lang w:eastAsia="en-AU"/>
        </w:rPr>
        <w:t xml:space="preserve">. </w:t>
      </w:r>
    </w:p>
    <w:p w14:paraId="4C030C0B" w14:textId="77777777" w:rsidR="006A2FD5" w:rsidRDefault="006A2FD5" w:rsidP="00357BF2">
      <w:pPr>
        <w:pStyle w:val="Heading2"/>
        <w:spacing w:before="240" w:after="240"/>
      </w:pPr>
      <w:bookmarkStart w:id="324" w:name="_Toc514408443"/>
      <w:r>
        <w:t xml:space="preserve">9.3 </w:t>
      </w:r>
      <w:r w:rsidR="001F4256">
        <w:t>Discussion of r</w:t>
      </w:r>
      <w:r>
        <w:t>esults</w:t>
      </w:r>
      <w:bookmarkEnd w:id="324"/>
    </w:p>
    <w:p w14:paraId="2BF1CD13" w14:textId="7280B6D9" w:rsidR="001F4256" w:rsidRDefault="006A2FD5" w:rsidP="001F4256">
      <w:pPr>
        <w:rPr>
          <w:lang w:val="en-AU"/>
        </w:rPr>
      </w:pPr>
      <w:r>
        <w:t>Co</w:t>
      </w:r>
      <w:r w:rsidR="00C12AAF">
        <w:t>mparison of the regional level index and C</w:t>
      </w:r>
      <w:r>
        <w:t xml:space="preserve">oral </w:t>
      </w:r>
      <w:r w:rsidR="00C12AAF">
        <w:t xml:space="preserve">Cover </w:t>
      </w:r>
      <w:r>
        <w:t xml:space="preserve">metric scores </w:t>
      </w:r>
      <w:r w:rsidR="00C12AAF">
        <w:t xml:space="preserve">demonstrates that the </w:t>
      </w:r>
      <w:r>
        <w:t>inclusion of the RCA data ha</w:t>
      </w:r>
      <w:r w:rsidR="00C12AAF">
        <w:t xml:space="preserve">s negligible influence on </w:t>
      </w:r>
      <w:r>
        <w:t>either the coral cover metric or the coral index</w:t>
      </w:r>
      <w:r w:rsidR="00823BAC">
        <w:t xml:space="preserve"> at a regional level</w:t>
      </w:r>
      <w:r>
        <w:t xml:space="preserve"> (</w:t>
      </w:r>
      <w:r w:rsidR="00D9305A">
        <w:fldChar w:fldCharType="begin"/>
      </w:r>
      <w:r w:rsidR="00D9305A">
        <w:instrText xml:space="preserve"> REF _Ref500239998 \h </w:instrText>
      </w:r>
      <w:r w:rsidR="00D9305A">
        <w:fldChar w:fldCharType="separate"/>
      </w:r>
      <w:r w:rsidR="00A75175">
        <w:t xml:space="preserve">Figure </w:t>
      </w:r>
      <w:r w:rsidR="00A75175">
        <w:rPr>
          <w:noProof/>
        </w:rPr>
        <w:t>26</w:t>
      </w:r>
      <w:r w:rsidR="00D9305A">
        <w:fldChar w:fldCharType="end"/>
      </w:r>
      <w:r>
        <w:t>)</w:t>
      </w:r>
      <w:r w:rsidR="00B5440F">
        <w:t xml:space="preserve">. </w:t>
      </w:r>
      <w:r w:rsidR="001F4256">
        <w:rPr>
          <w:lang w:val="en-AU"/>
        </w:rPr>
        <w:t xml:space="preserve">At a regional level, coral index scores reported by the MMP are derived from the mean of the scores derived from five separate metrics. Of the metric scores included in the coral index the RCA methods only allow the estimation of scores for the Coral Cover metric. Each metric score is the mean of the scores derived from each reef and depth combination monitored with the region (15 for the Burdekin and 17 for the Mackay Whitsunday </w:t>
      </w:r>
      <w:r w:rsidR="00805D86">
        <w:rPr>
          <w:lang w:val="en-AU"/>
        </w:rPr>
        <w:t>Regions</w:t>
      </w:r>
      <w:r w:rsidR="001F4256">
        <w:rPr>
          <w:lang w:val="en-AU"/>
        </w:rPr>
        <w:t>). The addition of RCA estimate for coral cover results in little change to the Coral Cover metric as the sites monitored by RCA have coral covers within the distribution of those already included in the program and constitute a minor increase in the number of indicator scores averaged to provide the regional level index score. The added number of sites does result in a slight reduction in confidence interval about the regional mean in any given year due to the increased number of sites from which the mean is estimated. This should not be confused with improving the ability to detect a trend. Trend detection relies on</w:t>
      </w:r>
      <w:r w:rsidR="00B11FDB">
        <w:rPr>
          <w:lang w:val="en-AU"/>
        </w:rPr>
        <w:t xml:space="preserve"> both the</w:t>
      </w:r>
      <w:r w:rsidR="001F4256">
        <w:rPr>
          <w:lang w:val="en-AU"/>
        </w:rPr>
        <w:t xml:space="preserve"> consistency of the response </w:t>
      </w:r>
      <w:r w:rsidR="00B11FDB">
        <w:rPr>
          <w:lang w:val="en-AU"/>
        </w:rPr>
        <w:t>(</w:t>
      </w:r>
      <w:r w:rsidR="001F4256">
        <w:rPr>
          <w:lang w:val="en-AU"/>
        </w:rPr>
        <w:t>either between sites if the interest is for a particular reef or between reefs if the interest is at the scale of the spread of the reefs considered</w:t>
      </w:r>
      <w:r w:rsidR="00B11FDB">
        <w:rPr>
          <w:lang w:val="en-AU"/>
        </w:rPr>
        <w:t>) and the uncertainty in the sampling</w:t>
      </w:r>
      <w:r w:rsidR="001F4256">
        <w:rPr>
          <w:lang w:val="en-AU"/>
        </w:rPr>
        <w:t xml:space="preserve">. The inherent sampling error arising from the intensity of sampling used by RCA will have obvious implications for detecting trends in cover at those reefs. </w:t>
      </w:r>
    </w:p>
    <w:p w14:paraId="76552BE3" w14:textId="582506A3" w:rsidR="001F4256" w:rsidRDefault="001F4256" w:rsidP="001F4256">
      <w:pPr>
        <w:rPr>
          <w:lang w:val="en-AU"/>
        </w:rPr>
      </w:pPr>
      <w:r>
        <w:rPr>
          <w:lang w:val="en-AU"/>
        </w:rPr>
        <w:t xml:space="preserve">Closer examination of the trends in coral cover at individual reefs identifies marked differences between RCA reefs and MMP/LTMP reefs. This is most evident in the Burdekin region where RCA data indicated a sharp decline in coral cover at all RCA reefs in 2009 followed by variable trajectories of increase in subsequent years. This decrease is not reflected in the MMP data </w:t>
      </w:r>
      <w:r w:rsidR="00AB7822">
        <w:rPr>
          <w:lang w:val="en-AU"/>
        </w:rPr>
        <w:t xml:space="preserve">nor, to our knowledge, were there any obvious disturbances such as storms or thermal anomalies that could explain such consistent declines in cover across the range of reefs surveyed, </w:t>
      </w:r>
      <w:r>
        <w:rPr>
          <w:lang w:val="en-AU"/>
        </w:rPr>
        <w:t>rais</w:t>
      </w:r>
      <w:r w:rsidR="00AB7822">
        <w:rPr>
          <w:lang w:val="en-AU"/>
        </w:rPr>
        <w:t>ing the prospect that some form a bias may have influenced these results.</w:t>
      </w:r>
      <w:r>
        <w:rPr>
          <w:lang w:val="en-AU"/>
        </w:rPr>
        <w:t xml:space="preserve"> It should also be noted here, that all RCA sites in the Burdekin </w:t>
      </w:r>
      <w:r w:rsidR="00805D86">
        <w:rPr>
          <w:lang w:val="en-AU"/>
        </w:rPr>
        <w:t xml:space="preserve">Region </w:t>
      </w:r>
      <w:r>
        <w:rPr>
          <w:lang w:val="en-AU"/>
        </w:rPr>
        <w:t xml:space="preserve">are situated at Magnetic Island and the trends in coral cover show considerably higher variability than that observed at the MMP site Magnetic </w:t>
      </w:r>
      <w:r w:rsidR="00AB7822">
        <w:rPr>
          <w:lang w:val="en-AU"/>
        </w:rPr>
        <w:t>(</w:t>
      </w:r>
      <w:r>
        <w:rPr>
          <w:lang w:val="en-AU"/>
        </w:rPr>
        <w:t xml:space="preserve"> </w:t>
      </w:r>
      <w:r w:rsidR="00AB7822">
        <w:rPr>
          <w:lang w:val="en-AU"/>
        </w:rPr>
        <w:t>Figures 27 and A1).</w:t>
      </w:r>
      <w:r>
        <w:rPr>
          <w:lang w:val="en-AU"/>
        </w:rPr>
        <w:t xml:space="preserve">  </w:t>
      </w:r>
    </w:p>
    <w:p w14:paraId="3C81A970" w14:textId="77777777" w:rsidR="001F4256" w:rsidRPr="001F4256" w:rsidRDefault="001F4256" w:rsidP="00124D88">
      <w:pPr>
        <w:rPr>
          <w:lang w:val="en-AU"/>
        </w:rPr>
      </w:pPr>
    </w:p>
    <w:p w14:paraId="554DFED5" w14:textId="77777777" w:rsidR="006A2FD5" w:rsidRDefault="006A2FD5" w:rsidP="006A2FD5"/>
    <w:p w14:paraId="2C3626B8" w14:textId="77777777" w:rsidR="006A2FD5" w:rsidRDefault="00FE0F20" w:rsidP="006A2FD5">
      <w:pPr>
        <w:rPr>
          <w:lang w:val="en-AU"/>
        </w:rPr>
      </w:pPr>
      <w:r>
        <w:rPr>
          <w:noProof/>
          <w:lang w:val="en-AU" w:eastAsia="en-AU"/>
        </w:rPr>
        <w:drawing>
          <wp:inline distT="0" distB="0" distL="0" distR="0" wp14:anchorId="0571E629" wp14:editId="6C376AB6">
            <wp:extent cx="5669280" cy="4249598"/>
            <wp:effectExtent l="0" t="0" r="7620" b="0"/>
            <wp:docPr id="250" name="Picture 250" descr="A panel of plots demonstrating that regional index scores estimated by the MMP and LTMP are insensitive to the additional inclusion of ReefCheck data" title="Coral index scores with or without ReefCheck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EXTERNAL PROJECTS\GBRMPA_RWQPP_Monitoring\Reports\Visit 13 2017\R\data\Output\ReefCheck\worm.comparison_plots.png"/>
                    <pic:cNvPicPr>
                      <a:picLocks noChangeAspect="1" noChangeArrowheads="1"/>
                    </pic:cNvPicPr>
                  </pic:nvPicPr>
                  <pic:blipFill>
                    <a:blip r:embed="rId67" cstate="print">
                      <a:extLst>
                        <a:ext uri="{28A0092B-C50C-407E-A947-70E740481C1C}">
                          <a14:useLocalDpi xmlns:a14="http://schemas.microsoft.com/office/drawing/2010/main" val="0"/>
                        </a:ext>
                      </a:extLst>
                    </a:blip>
                    <a:stretch>
                      <a:fillRect/>
                    </a:stretch>
                  </pic:blipFill>
                  <pic:spPr bwMode="auto">
                    <a:xfrm>
                      <a:off x="0" y="0"/>
                      <a:ext cx="5685218" cy="4261545"/>
                    </a:xfrm>
                    <a:prstGeom prst="rect">
                      <a:avLst/>
                    </a:prstGeom>
                    <a:noFill/>
                    <a:ln>
                      <a:noFill/>
                    </a:ln>
                  </pic:spPr>
                </pic:pic>
              </a:graphicData>
            </a:graphic>
          </wp:inline>
        </w:drawing>
      </w:r>
    </w:p>
    <w:p w14:paraId="3478258E" w14:textId="77777777" w:rsidR="006A2FD5" w:rsidRDefault="006A2FD5" w:rsidP="00606A50">
      <w:pPr>
        <w:pStyle w:val="Caption"/>
        <w:rPr>
          <w:rStyle w:val="IntenseReference"/>
          <w:rFonts w:eastAsia="SimSun"/>
        </w:rPr>
      </w:pPr>
      <w:bookmarkStart w:id="325" w:name="_Ref500239998"/>
      <w:bookmarkStart w:id="326" w:name="_Toc514335671"/>
      <w:r>
        <w:t xml:space="preserve">Figure </w:t>
      </w:r>
      <w:r>
        <w:fldChar w:fldCharType="begin"/>
      </w:r>
      <w:r>
        <w:instrText xml:space="preserve"> SEQ Figure \* ARABIC </w:instrText>
      </w:r>
      <w:r>
        <w:fldChar w:fldCharType="separate"/>
      </w:r>
      <w:r w:rsidR="00A75175">
        <w:rPr>
          <w:noProof/>
        </w:rPr>
        <w:t>26</w:t>
      </w:r>
      <w:r>
        <w:fldChar w:fldCharType="end"/>
      </w:r>
      <w:bookmarkEnd w:id="325"/>
      <w:r>
        <w:t xml:space="preserve"> </w:t>
      </w:r>
      <w:r w:rsidRPr="006A2FD5">
        <w:t>Comparison of Coral Index and Coral cover metric.</w:t>
      </w:r>
      <w:r w:rsidRPr="006A2FD5">
        <w:rPr>
          <w:rStyle w:val="IntenseReference"/>
          <w:rFonts w:eastAsia="SimSun"/>
        </w:rPr>
        <w:t xml:space="preserve"> </w:t>
      </w:r>
      <w:r w:rsidR="003A6A30">
        <w:rPr>
          <w:rStyle w:val="IntenseReference"/>
          <w:rFonts w:eastAsia="SimSun"/>
        </w:rPr>
        <w:t>Plots</w:t>
      </w:r>
      <w:r w:rsidRPr="006A2FD5">
        <w:rPr>
          <w:rStyle w:val="IntenseReference"/>
          <w:rFonts w:eastAsia="SimSun"/>
        </w:rPr>
        <w:t xml:space="preserve"> </w:t>
      </w:r>
      <w:r w:rsidR="003A6A30">
        <w:rPr>
          <w:rStyle w:val="IntenseReference"/>
          <w:rFonts w:eastAsia="SimSun"/>
        </w:rPr>
        <w:t xml:space="preserve">a) and b) </w:t>
      </w:r>
      <w:r w:rsidRPr="006A2FD5">
        <w:rPr>
          <w:rStyle w:val="IntenseReference"/>
          <w:rFonts w:eastAsia="SimSun"/>
        </w:rPr>
        <w:t xml:space="preserve">show the trend in the coral index and </w:t>
      </w:r>
      <w:r w:rsidR="003A6A30">
        <w:rPr>
          <w:rStyle w:val="IntenseReference"/>
          <w:rFonts w:eastAsia="SimSun"/>
        </w:rPr>
        <w:t>Coral cover metric based on current data</w:t>
      </w:r>
      <w:r w:rsidR="00FE0F20">
        <w:rPr>
          <w:rStyle w:val="IntenseReference"/>
          <w:rFonts w:eastAsia="SimSun"/>
        </w:rPr>
        <w:t>;</w:t>
      </w:r>
      <w:r w:rsidR="003A6A30">
        <w:rPr>
          <w:rStyle w:val="IntenseReference"/>
          <w:rFonts w:eastAsia="SimSun"/>
        </w:rPr>
        <w:t xml:space="preserve"> c) and d) </w:t>
      </w:r>
      <w:r w:rsidR="001311FF">
        <w:rPr>
          <w:rStyle w:val="IntenseReference"/>
          <w:rFonts w:eastAsia="SimSun"/>
        </w:rPr>
        <w:t>show</w:t>
      </w:r>
      <w:r w:rsidR="003A6A30">
        <w:rPr>
          <w:rStyle w:val="IntenseReference"/>
          <w:rFonts w:eastAsia="SimSun"/>
        </w:rPr>
        <w:t xml:space="preserve"> the same trends with the RCA data included</w:t>
      </w:r>
      <w:r w:rsidR="00124D88">
        <w:rPr>
          <w:rStyle w:val="IntenseReference"/>
          <w:rFonts w:eastAsia="SimSun"/>
        </w:rPr>
        <w:t>.</w:t>
      </w:r>
      <w:bookmarkEnd w:id="326"/>
    </w:p>
    <w:p w14:paraId="004581B8" w14:textId="77777777" w:rsidR="00124D88" w:rsidRDefault="00124D88" w:rsidP="00124D88">
      <w:pPr>
        <w:pStyle w:val="Heading2"/>
      </w:pPr>
    </w:p>
    <w:p w14:paraId="058E2E1D" w14:textId="77777777" w:rsidR="001F4256" w:rsidRDefault="001F4256" w:rsidP="001F4256">
      <w:pPr>
        <w:rPr>
          <w:lang w:val="en-AU"/>
        </w:rPr>
      </w:pPr>
      <w:r>
        <w:rPr>
          <w:lang w:val="en-AU"/>
        </w:rPr>
        <w:t>A further consideration is the grouping of RCA sites within the Burdekin region</w:t>
      </w:r>
      <w:r w:rsidR="00D73D4E">
        <w:rPr>
          <w:lang w:val="en-AU"/>
        </w:rPr>
        <w:t>. I</w:t>
      </w:r>
      <w:r>
        <w:rPr>
          <w:lang w:val="en-AU"/>
        </w:rPr>
        <w:t>n addition to the existing MMP and LTMP sites at Magnetic and Midd</w:t>
      </w:r>
      <w:r w:rsidR="00D73D4E">
        <w:rPr>
          <w:lang w:val="en-AU"/>
        </w:rPr>
        <w:t>le Reef, grouping of RCA sites within the Burdekin Region</w:t>
      </w:r>
      <w:r>
        <w:rPr>
          <w:lang w:val="en-AU"/>
        </w:rPr>
        <w:t xml:space="preserve"> concentrate</w:t>
      </w:r>
      <w:r w:rsidR="00D73D4E">
        <w:rPr>
          <w:lang w:val="en-AU"/>
        </w:rPr>
        <w:t>s</w:t>
      </w:r>
      <w:r>
        <w:rPr>
          <w:lang w:val="en-AU"/>
        </w:rPr>
        <w:t xml:space="preserve"> estimates for the </w:t>
      </w:r>
      <w:r w:rsidR="00805D86">
        <w:rPr>
          <w:lang w:val="en-AU"/>
        </w:rPr>
        <w:t xml:space="preserve">Coral Cover </w:t>
      </w:r>
      <w:r>
        <w:rPr>
          <w:lang w:val="en-AU"/>
        </w:rPr>
        <w:t>metric into a small area of the Region, suggesting some form of area specific weighting may be considered.</w:t>
      </w:r>
    </w:p>
    <w:p w14:paraId="3A8BBFD7" w14:textId="77777777" w:rsidR="002929B5" w:rsidRDefault="002929B5" w:rsidP="002929B5">
      <w:pPr>
        <w:rPr>
          <w:lang w:val="en-AU"/>
        </w:rPr>
      </w:pPr>
      <w:r>
        <w:rPr>
          <w:lang w:val="en-AU"/>
        </w:rPr>
        <w:t>The Cover Change metric effectively focusses on trend detection and is possible because the expected rate of increase in coral cover tends to exceed the inherent uncertainty in estimates stemming from the sampling design, particularly over a four year period which is the duration over which this metric is averaged. The low sampling intensity (</w:t>
      </w:r>
      <w:r>
        <w:rPr>
          <w:lang w:val="en-AU"/>
        </w:rPr>
        <w:fldChar w:fldCharType="begin"/>
      </w:r>
      <w:r>
        <w:rPr>
          <w:lang w:val="en-AU"/>
        </w:rPr>
        <w:instrText xml:space="preserve"> REF _Ref500240030 \h </w:instrText>
      </w:r>
      <w:r>
        <w:rPr>
          <w:lang w:val="en-AU"/>
        </w:rPr>
      </w:r>
      <w:r>
        <w:rPr>
          <w:lang w:val="en-AU"/>
        </w:rPr>
        <w:fldChar w:fldCharType="separate"/>
      </w:r>
      <w:r w:rsidR="00A75175">
        <w:t xml:space="preserve">Figure </w:t>
      </w:r>
      <w:r w:rsidR="00A75175">
        <w:rPr>
          <w:noProof/>
        </w:rPr>
        <w:t>28</w:t>
      </w:r>
      <w:r>
        <w:rPr>
          <w:lang w:val="en-AU"/>
        </w:rPr>
        <w:fldChar w:fldCharType="end"/>
      </w:r>
      <w:r>
        <w:rPr>
          <w:lang w:val="en-AU"/>
        </w:rPr>
        <w:t>) and added errors likely incurred due to differences in placement of transects and different observers suggest the RCA surveys are not suitable for estimation of the Cover Change metric. The Cover Change metric is also reliant on identification, and exclusion</w:t>
      </w:r>
      <w:r w:rsidR="00D73D4E">
        <w:rPr>
          <w:lang w:val="en-AU"/>
        </w:rPr>
        <w:t>,</w:t>
      </w:r>
      <w:r>
        <w:rPr>
          <w:lang w:val="en-AU"/>
        </w:rPr>
        <w:t xml:space="preserve"> of changes in coral cover influenced by acute disturbance events. Such a categorisation again relies on precise estimates of coral cover so that losses can be appropriately identified and causation assigned.</w:t>
      </w:r>
    </w:p>
    <w:p w14:paraId="1E4B70E3" w14:textId="77777777" w:rsidR="001F4256" w:rsidRDefault="002929B5" w:rsidP="00EF2D91">
      <w:pPr>
        <w:rPr>
          <w:lang w:val="en-AU"/>
        </w:rPr>
      </w:pPr>
      <w:r>
        <w:rPr>
          <w:lang w:val="en-AU"/>
        </w:rPr>
        <w:t>The results presented in this report demonstrate that where existing monitoring is in place the inclusion of RCA data has no de</w:t>
      </w:r>
      <w:r w:rsidR="00392304">
        <w:rPr>
          <w:lang w:val="en-AU"/>
        </w:rPr>
        <w:t>monstrable</w:t>
      </w:r>
      <w:r>
        <w:rPr>
          <w:lang w:val="en-AU"/>
        </w:rPr>
        <w:t xml:space="preserve"> influence on index scores primarily due to the low weights associated with individual observations on the overall index score. What we have not assessed is how any costs associated with including these data into reporting are offset by benefits resulting from increased spatial coverage or added interpretation of trends as a result of the information content in the additional observations collected during RCA monitoring. For example observations of disease could potentially help to identify periods of chronic stress, although again the veracity of these observations would need careful vetting and access to data in line with re</w:t>
      </w:r>
      <w:r w:rsidR="003D21EA">
        <w:rPr>
          <w:lang w:val="en-AU"/>
        </w:rPr>
        <w:t>porting deadlines considered.</w:t>
      </w:r>
    </w:p>
    <w:p w14:paraId="4F3676A0" w14:textId="77777777" w:rsidR="00124D88" w:rsidRPr="00124D88" w:rsidRDefault="00124D88" w:rsidP="00EF2D91">
      <w:pPr>
        <w:rPr>
          <w:rFonts w:eastAsia="SimSun"/>
          <w:lang w:val="en-AU"/>
        </w:rPr>
      </w:pPr>
    </w:p>
    <w:p w14:paraId="7771C0DF" w14:textId="77777777" w:rsidR="00EF2D91" w:rsidRDefault="00124D88" w:rsidP="00EF2D91">
      <w:pPr>
        <w:rPr>
          <w:noProof/>
          <w:lang w:val="en-AU" w:eastAsia="en-AU"/>
        </w:rPr>
      </w:pPr>
      <w:r>
        <w:rPr>
          <w:noProof/>
          <w:lang w:val="en-AU" w:eastAsia="en-AU"/>
        </w:rPr>
        <w:drawing>
          <wp:inline distT="0" distB="0" distL="0" distR="0" wp14:anchorId="35AF0BA1" wp14:editId="7CD363D0">
            <wp:extent cx="6118859" cy="4586594"/>
            <wp:effectExtent l="0" t="0" r="0" b="5080"/>
            <wp:docPr id="33" name="Picture 33" descr="A panel of plots demonstrating that regional estimates of coral cover for the Burdekin and Whitsunday Regions a maginally more precise with the added inclusion of Reef Check data." title="Time-series of regional coral 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EXTERNAL PROJECTS\GBRMPA_RWQPP_Monitoring\Reports\Visit 13 2017\R\data\Output\ReefCheck\GAMM.comparison_plots.png"/>
                    <pic:cNvPicPr>
                      <a:picLocks noChangeAspect="1" noChangeArrowheads="1"/>
                    </pic:cNvPicPr>
                  </pic:nvPicPr>
                  <pic:blipFill>
                    <a:blip r:embed="rId68" cstate="print">
                      <a:extLst>
                        <a:ext uri="{28A0092B-C50C-407E-A947-70E740481C1C}">
                          <a14:useLocalDpi xmlns:a14="http://schemas.microsoft.com/office/drawing/2010/main" val="0"/>
                        </a:ext>
                      </a:extLst>
                    </a:blip>
                    <a:stretch>
                      <a:fillRect/>
                    </a:stretch>
                  </pic:blipFill>
                  <pic:spPr bwMode="auto">
                    <a:xfrm>
                      <a:off x="0" y="0"/>
                      <a:ext cx="6118859" cy="4586594"/>
                    </a:xfrm>
                    <a:prstGeom prst="rect">
                      <a:avLst/>
                    </a:prstGeom>
                    <a:noFill/>
                    <a:ln>
                      <a:noFill/>
                    </a:ln>
                  </pic:spPr>
                </pic:pic>
              </a:graphicData>
            </a:graphic>
          </wp:inline>
        </w:drawing>
      </w:r>
      <w:r w:rsidR="00D52A23">
        <w:rPr>
          <w:noProof/>
          <w:lang w:val="en-AU" w:eastAsia="en-AU"/>
        </w:rPr>
        <w:t xml:space="preserve"> </w:t>
      </w:r>
    </w:p>
    <w:p w14:paraId="620128AA" w14:textId="77777777" w:rsidR="003A6A30" w:rsidRDefault="002929B5" w:rsidP="00606A50">
      <w:pPr>
        <w:pStyle w:val="Caption"/>
        <w:rPr>
          <w:rStyle w:val="IntenseReference"/>
          <w:rFonts w:eastAsia="SimSun"/>
        </w:rPr>
      </w:pPr>
      <w:bookmarkStart w:id="327" w:name="_Toc514335672"/>
      <w:r>
        <w:t xml:space="preserve">Figure </w:t>
      </w:r>
      <w:r>
        <w:fldChar w:fldCharType="begin"/>
      </w:r>
      <w:r>
        <w:instrText xml:space="preserve"> SEQ Figure \* ARABIC </w:instrText>
      </w:r>
      <w:r>
        <w:fldChar w:fldCharType="separate"/>
      </w:r>
      <w:r w:rsidR="00A75175">
        <w:rPr>
          <w:noProof/>
        </w:rPr>
        <w:t>27</w:t>
      </w:r>
      <w:r>
        <w:fldChar w:fldCharType="end"/>
      </w:r>
      <w:r>
        <w:t xml:space="preserve"> </w:t>
      </w:r>
      <w:r w:rsidR="003A6A30">
        <w:t>Comparison of Coral cover trends</w:t>
      </w:r>
      <w:r w:rsidR="00D65A6C">
        <w:t xml:space="preserve">. </w:t>
      </w:r>
      <w:r w:rsidR="00D65A6C">
        <w:rPr>
          <w:rStyle w:val="IntenseReference"/>
          <w:rFonts w:eastAsia="SimSun"/>
        </w:rPr>
        <w:t>T</w:t>
      </w:r>
      <w:r w:rsidR="00D65A6C" w:rsidRPr="00626D6B">
        <w:rPr>
          <w:rStyle w:val="IntenseReference"/>
          <w:rFonts w:eastAsia="SimSun"/>
        </w:rPr>
        <w:t xml:space="preserve">rends in </w:t>
      </w:r>
      <w:r w:rsidR="00D65A6C">
        <w:rPr>
          <w:rStyle w:val="IntenseReference"/>
          <w:rFonts w:eastAsia="SimSun"/>
        </w:rPr>
        <w:t>the coral cover indicator</w:t>
      </w:r>
      <w:r w:rsidR="00D65A6C" w:rsidRPr="00626D6B">
        <w:rPr>
          <w:rStyle w:val="IntenseReference"/>
          <w:rFonts w:eastAsia="SimSun"/>
        </w:rPr>
        <w:t>, (blue lines) bou</w:t>
      </w:r>
      <w:r w:rsidR="00D65A6C" w:rsidRPr="009808B7">
        <w:rPr>
          <w:rStyle w:val="IntenseReference"/>
          <w:rFonts w:eastAsia="SimSun"/>
        </w:rPr>
        <w:t xml:space="preserve">nd by 95% confidence intervals of </w:t>
      </w:r>
      <w:r w:rsidR="00124D88">
        <w:rPr>
          <w:rStyle w:val="IntenseReference"/>
          <w:rFonts w:eastAsia="SimSun"/>
        </w:rPr>
        <w:t>t</w:t>
      </w:r>
      <w:r w:rsidR="00D65A6C" w:rsidRPr="009808B7">
        <w:rPr>
          <w:rStyle w:val="IntenseReference"/>
          <w:rFonts w:eastAsia="SimSun"/>
        </w:rPr>
        <w:t>hose trends (shading), grey lines represent observed profiles</w:t>
      </w:r>
      <w:r w:rsidR="00D65A6C">
        <w:rPr>
          <w:rStyle w:val="IntenseReference"/>
          <w:rFonts w:eastAsia="SimSun"/>
        </w:rPr>
        <w:t xml:space="preserve"> for MMP reefs</w:t>
      </w:r>
      <w:r w:rsidR="00D65A6C" w:rsidRPr="009808B7">
        <w:rPr>
          <w:rStyle w:val="IntenseReference"/>
          <w:rFonts w:eastAsia="SimSun"/>
        </w:rPr>
        <w:t xml:space="preserve"> at 5 m (dashed) and 2 m (solid) depths</w:t>
      </w:r>
      <w:r w:rsidR="00D65A6C">
        <w:rPr>
          <w:rStyle w:val="IntenseReference"/>
          <w:rFonts w:eastAsia="SimSun"/>
        </w:rPr>
        <w:t>. Red lines represent trends at RCA reefs, green lines in c) highlight trends at MMP reef Magnetic</w:t>
      </w:r>
      <w:r w:rsidR="00D65A6C" w:rsidRPr="009808B7">
        <w:rPr>
          <w:rStyle w:val="IntenseReference"/>
          <w:rFonts w:eastAsia="SimSun"/>
        </w:rPr>
        <w:t>.</w:t>
      </w:r>
      <w:bookmarkEnd w:id="327"/>
      <w:r w:rsidR="00D65A6C" w:rsidRPr="009808B7">
        <w:rPr>
          <w:rStyle w:val="IntenseReference"/>
          <w:rFonts w:eastAsia="SimSun"/>
        </w:rPr>
        <w:t xml:space="preserve"> </w:t>
      </w:r>
    </w:p>
    <w:p w14:paraId="6181F31F" w14:textId="77777777" w:rsidR="00124D88" w:rsidRDefault="00124D88" w:rsidP="00124D88">
      <w:pPr>
        <w:rPr>
          <w:rFonts w:eastAsia="SimSun"/>
        </w:rPr>
      </w:pPr>
    </w:p>
    <w:p w14:paraId="5158E5A5" w14:textId="77777777" w:rsidR="002929B5" w:rsidRDefault="002929B5" w:rsidP="002929B5">
      <w:pPr>
        <w:rPr>
          <w:lang w:val="en-AU"/>
        </w:rPr>
      </w:pPr>
      <w:r>
        <w:rPr>
          <w:lang w:val="en-AU"/>
        </w:rPr>
        <w:t>In situations where RCA data have a higher weight, due to a lack of coverage from more intensive programs, the variability in metric estimates derived from the less intensive sampling may be offset by inclusion of an adequate number of sites so that sampling errors are reduced. There is a clear improvement in the precision of the mean from RCA surveys that replicate surveys at three sites within a focal reef (</w:t>
      </w:r>
      <w:r>
        <w:rPr>
          <w:lang w:val="en-AU"/>
        </w:rPr>
        <w:fldChar w:fldCharType="begin"/>
      </w:r>
      <w:r>
        <w:rPr>
          <w:lang w:val="en-AU"/>
        </w:rPr>
        <w:instrText xml:space="preserve"> REF _Ref500240030 \h </w:instrText>
      </w:r>
      <w:r>
        <w:rPr>
          <w:lang w:val="en-AU"/>
        </w:rPr>
      </w:r>
      <w:r>
        <w:rPr>
          <w:lang w:val="en-AU"/>
        </w:rPr>
        <w:fldChar w:fldCharType="separate"/>
      </w:r>
      <w:r w:rsidR="00A75175">
        <w:t xml:space="preserve">Figure </w:t>
      </w:r>
      <w:r w:rsidR="00A75175">
        <w:rPr>
          <w:noProof/>
        </w:rPr>
        <w:t>28</w:t>
      </w:r>
      <w:r>
        <w:rPr>
          <w:lang w:val="en-AU"/>
        </w:rPr>
        <w:fldChar w:fldCharType="end"/>
      </w:r>
      <w:r>
        <w:rPr>
          <w:lang w:val="en-AU"/>
        </w:rPr>
        <w:t xml:space="preserve">). What becomes important, then, is the commitment to </w:t>
      </w:r>
      <w:r w:rsidR="00980D8E">
        <w:rPr>
          <w:lang w:val="en-AU"/>
        </w:rPr>
        <w:t>continue monitoring, as removal or inclusion</w:t>
      </w:r>
      <w:r w:rsidR="00D73D4E">
        <w:rPr>
          <w:lang w:val="en-AU"/>
        </w:rPr>
        <w:t xml:space="preserve"> of sites (where there are few)</w:t>
      </w:r>
      <w:r>
        <w:rPr>
          <w:lang w:val="en-AU"/>
        </w:rPr>
        <w:t xml:space="preserve"> will have a proportionally severe impact on mean scores.  </w:t>
      </w:r>
    </w:p>
    <w:p w14:paraId="5A6ECEAB" w14:textId="77777777" w:rsidR="00980D8E" w:rsidRDefault="00980D8E" w:rsidP="002929B5">
      <w:pPr>
        <w:rPr>
          <w:lang w:val="en-AU"/>
        </w:rPr>
      </w:pPr>
      <w:r>
        <w:rPr>
          <w:lang w:val="en-AU"/>
        </w:rPr>
        <w:t xml:space="preserve">What this report does not consider are the social benefits to be derived from the inclusion of data from the broader community of reef users into condition reporting. </w:t>
      </w:r>
      <w:r w:rsidR="00D73D4E">
        <w:rPr>
          <w:lang w:val="en-AU"/>
        </w:rPr>
        <w:t xml:space="preserve">If there are desirable social benefits stemming from the inclusion of RCA data, these may outweigh the negligible impact the data have on the </w:t>
      </w:r>
      <w:r>
        <w:rPr>
          <w:lang w:val="en-AU"/>
        </w:rPr>
        <w:t>regional condition reporting</w:t>
      </w:r>
      <w:r w:rsidR="00D73D4E">
        <w:rPr>
          <w:lang w:val="en-AU"/>
        </w:rPr>
        <w:t>.</w:t>
      </w:r>
    </w:p>
    <w:p w14:paraId="67FB6D41" w14:textId="77777777" w:rsidR="003A6A30" w:rsidRDefault="00B42989" w:rsidP="003A6A30">
      <w:pPr>
        <w:keepNext/>
      </w:pPr>
      <w:r>
        <w:rPr>
          <w:rFonts w:ascii="Times New Roman" w:hAnsi="Times New Roman"/>
          <w:noProof/>
          <w:sz w:val="24"/>
          <w:szCs w:val="24"/>
          <w:lang w:val="en-AU" w:eastAsia="en-AU"/>
        </w:rPr>
        <w:drawing>
          <wp:inline distT="0" distB="0" distL="0" distR="0" wp14:anchorId="0C974D28" wp14:editId="42FFFFAE">
            <wp:extent cx="5731510" cy="4912995"/>
            <wp:effectExtent l="0" t="0" r="2540" b="1905"/>
            <wp:docPr id="4" name="Picture 4" descr="A panel of plots presenting the theoretical improvement in the precision of coral cover estimates due to increased sampling intensity." title="Theoretical influence of sampling intensity on precision of coral cov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ampling.intensity.pn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5731510" cy="4912995"/>
                    </a:xfrm>
                    <a:prstGeom prst="rect">
                      <a:avLst/>
                    </a:prstGeom>
                  </pic:spPr>
                </pic:pic>
              </a:graphicData>
            </a:graphic>
          </wp:inline>
        </w:drawing>
      </w:r>
    </w:p>
    <w:p w14:paraId="339B4F79" w14:textId="77777777" w:rsidR="00B42989" w:rsidRPr="000B2871" w:rsidRDefault="003A6A30" w:rsidP="00606A50">
      <w:pPr>
        <w:pStyle w:val="Caption"/>
      </w:pPr>
      <w:bookmarkStart w:id="328" w:name="_Ref500240030"/>
      <w:bookmarkStart w:id="329" w:name="_Toc514335673"/>
      <w:r>
        <w:t xml:space="preserve">Figure </w:t>
      </w:r>
      <w:r>
        <w:fldChar w:fldCharType="begin"/>
      </w:r>
      <w:r>
        <w:instrText xml:space="preserve"> SEQ Figure \* ARABIC </w:instrText>
      </w:r>
      <w:r>
        <w:fldChar w:fldCharType="separate"/>
      </w:r>
      <w:r w:rsidR="00A75175">
        <w:rPr>
          <w:noProof/>
        </w:rPr>
        <w:t>28</w:t>
      </w:r>
      <w:r>
        <w:fldChar w:fldCharType="end"/>
      </w:r>
      <w:bookmarkEnd w:id="328"/>
      <w:r w:rsidR="00B42989">
        <w:t xml:space="preserve"> </w:t>
      </w:r>
      <w:r w:rsidR="00B42989" w:rsidRPr="004762CF">
        <w:t xml:space="preserve">Theoretical influence of sampling intensity </w:t>
      </w:r>
      <w:r w:rsidR="004762CF" w:rsidRPr="004762CF">
        <w:t xml:space="preserve">on precision of </w:t>
      </w:r>
      <w:r w:rsidR="00B42989" w:rsidRPr="004762CF">
        <w:t>coral cover estimates</w:t>
      </w:r>
      <w:r w:rsidR="00B42989">
        <w:t xml:space="preserve">. </w:t>
      </w:r>
      <w:r w:rsidR="004762CF">
        <w:t xml:space="preserve">Blue area defines 95% confidence intervals based on sampling a binomial distribution. </w:t>
      </w:r>
      <w:r w:rsidR="00B42989" w:rsidRPr="000B2871">
        <w:t xml:space="preserve">Reference lines indicate sampling intensity used by Reef Check (red), MMP (green) and LTMP (black) for one (dotted), two (dashed) and solid for three (Reef Check, LTMP) or </w:t>
      </w:r>
      <w:r w:rsidR="00B42989">
        <w:t>four (MMP) sites within a reef. Confidence intervals for 2 and 3 sites at the rate sampled by the LTMP are extended to the y axis as a reference.</w:t>
      </w:r>
      <w:bookmarkEnd w:id="329"/>
    </w:p>
    <w:p w14:paraId="6844AE45" w14:textId="77777777" w:rsidR="00980D8E" w:rsidRDefault="00980D8E" w:rsidP="00357BF2">
      <w:pPr>
        <w:pStyle w:val="Heading2"/>
        <w:spacing w:before="240" w:after="240"/>
      </w:pPr>
      <w:bookmarkStart w:id="330" w:name="_Toc514408444"/>
      <w:r>
        <w:t>9.4 Conclusion</w:t>
      </w:r>
      <w:bookmarkEnd w:id="330"/>
    </w:p>
    <w:p w14:paraId="2DDE7AB0" w14:textId="77777777" w:rsidR="00980D8E" w:rsidRDefault="00980D8E" w:rsidP="00980D8E">
      <w:pPr>
        <w:rPr>
          <w:lang w:val="en-AU"/>
        </w:rPr>
      </w:pPr>
      <w:r>
        <w:rPr>
          <w:lang w:val="en-AU"/>
        </w:rPr>
        <w:t xml:space="preserve">Prior to any decisions to include RCA data into MMP or RIMReP reporting </w:t>
      </w:r>
      <w:r w:rsidR="00D73D4E">
        <w:rPr>
          <w:lang w:val="en-AU"/>
        </w:rPr>
        <w:t xml:space="preserve">there </w:t>
      </w:r>
      <w:r>
        <w:rPr>
          <w:lang w:val="en-AU"/>
        </w:rPr>
        <w:t>should be discussions focusing on sampling design aimed at improving the precision or utility of the data such as:</w:t>
      </w:r>
    </w:p>
    <w:p w14:paraId="4B1581D0" w14:textId="77777777" w:rsidR="00980D8E" w:rsidRPr="009D55BC" w:rsidRDefault="00980D8E" w:rsidP="00980D8E">
      <w:pPr>
        <w:pStyle w:val="ListParagraph"/>
        <w:numPr>
          <w:ilvl w:val="0"/>
          <w:numId w:val="19"/>
        </w:numPr>
      </w:pPr>
      <w:r w:rsidRPr="009D55BC">
        <w:rPr>
          <w:lang w:val="en-AU"/>
        </w:rPr>
        <w:t xml:space="preserve">timing of surveys, </w:t>
      </w:r>
    </w:p>
    <w:p w14:paraId="1321D42B" w14:textId="77777777" w:rsidR="00980D8E" w:rsidRPr="009D55BC" w:rsidRDefault="00980D8E" w:rsidP="00980D8E">
      <w:pPr>
        <w:pStyle w:val="ListParagraph"/>
        <w:numPr>
          <w:ilvl w:val="0"/>
          <w:numId w:val="19"/>
        </w:numPr>
      </w:pPr>
      <w:r>
        <w:rPr>
          <w:lang w:val="en-AU"/>
        </w:rPr>
        <w:t xml:space="preserve">value of </w:t>
      </w:r>
      <w:r w:rsidRPr="009D55BC">
        <w:rPr>
          <w:lang w:val="en-AU"/>
        </w:rPr>
        <w:t>replicatin</w:t>
      </w:r>
      <w:r>
        <w:rPr>
          <w:lang w:val="en-AU"/>
        </w:rPr>
        <w:t>g</w:t>
      </w:r>
      <w:r w:rsidRPr="009D55BC">
        <w:rPr>
          <w:lang w:val="en-AU"/>
        </w:rPr>
        <w:t xml:space="preserve"> sites within reefs,</w:t>
      </w:r>
    </w:p>
    <w:p w14:paraId="13D533AA" w14:textId="77777777" w:rsidR="00980D8E" w:rsidRPr="00247AFF" w:rsidRDefault="00980D8E" w:rsidP="00980D8E">
      <w:pPr>
        <w:pStyle w:val="ListParagraph"/>
        <w:numPr>
          <w:ilvl w:val="0"/>
          <w:numId w:val="19"/>
        </w:numPr>
      </w:pPr>
      <w:r w:rsidRPr="009D55BC">
        <w:rPr>
          <w:lang w:val="en-AU"/>
        </w:rPr>
        <w:t>consistency of relocation of transects in consecutive surveys,</w:t>
      </w:r>
    </w:p>
    <w:p w14:paraId="752BC384" w14:textId="77777777" w:rsidR="00980D8E" w:rsidRPr="00247AFF" w:rsidRDefault="00980D8E" w:rsidP="00980D8E">
      <w:pPr>
        <w:pStyle w:val="ListParagraph"/>
        <w:numPr>
          <w:ilvl w:val="0"/>
          <w:numId w:val="19"/>
        </w:numPr>
      </w:pPr>
      <w:r>
        <w:rPr>
          <w:lang w:val="en-AU"/>
        </w:rPr>
        <w:t>explicit identification of disturbance events,</w:t>
      </w:r>
    </w:p>
    <w:p w14:paraId="2AF89916" w14:textId="77777777" w:rsidR="00980D8E" w:rsidRDefault="00980D8E" w:rsidP="00980D8E">
      <w:pPr>
        <w:pStyle w:val="ListParagraph"/>
        <w:numPr>
          <w:ilvl w:val="0"/>
          <w:numId w:val="19"/>
        </w:numPr>
      </w:pPr>
      <w:r>
        <w:t>data delivery and data storage protocols,</w:t>
      </w:r>
    </w:p>
    <w:p w14:paraId="1E15BDD5" w14:textId="77777777" w:rsidR="00392304" w:rsidRDefault="00980D8E" w:rsidP="00980D8E">
      <w:pPr>
        <w:pStyle w:val="ListParagraph"/>
        <w:numPr>
          <w:ilvl w:val="0"/>
          <w:numId w:val="19"/>
        </w:numPr>
      </w:pPr>
      <w:r>
        <w:t>data reporting</w:t>
      </w:r>
      <w:r w:rsidR="00392304">
        <w:t>,</w:t>
      </w:r>
    </w:p>
    <w:p w14:paraId="432049E1" w14:textId="77777777" w:rsidR="00980D8E" w:rsidRPr="009D55BC" w:rsidRDefault="00392304" w:rsidP="00980D8E">
      <w:pPr>
        <w:pStyle w:val="ListParagraph"/>
        <w:numPr>
          <w:ilvl w:val="0"/>
          <w:numId w:val="19"/>
        </w:numPr>
      </w:pPr>
      <w:r>
        <w:t>the commitment to ongoing sampling</w:t>
      </w:r>
      <w:r w:rsidR="00980D8E">
        <w:rPr>
          <w:lang w:val="en-AU"/>
        </w:rPr>
        <w:t>.</w:t>
      </w:r>
    </w:p>
    <w:p w14:paraId="48BF0ABD" w14:textId="77777777" w:rsidR="00980D8E" w:rsidRPr="00124D88" w:rsidRDefault="00D80241" w:rsidP="00980D8E">
      <w:pPr>
        <w:rPr>
          <w:rFonts w:eastAsia="SimSun"/>
        </w:rPr>
      </w:pPr>
      <w:r>
        <w:rPr>
          <w:lang w:val="en-AU"/>
        </w:rPr>
        <w:t xml:space="preserve">All of the above come at a cost of time for both RCA and RIMReP although should </w:t>
      </w:r>
      <w:r w:rsidR="00D73D4E">
        <w:rPr>
          <w:lang w:val="en-AU"/>
        </w:rPr>
        <w:t xml:space="preserve">a </w:t>
      </w:r>
      <w:r>
        <w:rPr>
          <w:lang w:val="en-AU"/>
        </w:rPr>
        <w:t>sufficient number of sites be included</w:t>
      </w:r>
      <w:r w:rsidR="00D73D4E">
        <w:rPr>
          <w:lang w:val="en-AU"/>
        </w:rPr>
        <w:t>,</w:t>
      </w:r>
      <w:r>
        <w:rPr>
          <w:lang w:val="en-AU"/>
        </w:rPr>
        <w:t xml:space="preserve"> investment in automation of data ingest and reporting could provide long-term benefits. A further consideration that may improve the precision and </w:t>
      </w:r>
      <w:r w:rsidR="00D73D4E">
        <w:rPr>
          <w:lang w:val="en-AU"/>
        </w:rPr>
        <w:t>ther</w:t>
      </w:r>
      <w:r w:rsidR="00B66B52">
        <w:rPr>
          <w:lang w:val="en-AU"/>
        </w:rPr>
        <w:t>e</w:t>
      </w:r>
      <w:r w:rsidR="00D73D4E">
        <w:rPr>
          <w:lang w:val="en-AU"/>
        </w:rPr>
        <w:t>fore</w:t>
      </w:r>
      <w:r>
        <w:rPr>
          <w:lang w:val="en-AU"/>
        </w:rPr>
        <w:t xml:space="preserve"> utility of RCA surveys for trend detection may lie in consideration of moving from a line intercept technique to a photo transect based survey. </w:t>
      </w:r>
      <w:r w:rsidR="003C23AA">
        <w:rPr>
          <w:lang w:val="en-AU"/>
        </w:rPr>
        <w:t>D</w:t>
      </w:r>
      <w:r>
        <w:rPr>
          <w:lang w:val="en-AU"/>
        </w:rPr>
        <w:t xml:space="preserve">eep learning techniques to be applied to </w:t>
      </w:r>
      <w:r w:rsidR="003C23AA">
        <w:rPr>
          <w:lang w:val="en-AU"/>
        </w:rPr>
        <w:t xml:space="preserve">the </w:t>
      </w:r>
      <w:r>
        <w:rPr>
          <w:lang w:val="en-AU"/>
        </w:rPr>
        <w:t>analysis of benthic ima</w:t>
      </w:r>
      <w:r w:rsidR="002956C7">
        <w:rPr>
          <w:lang w:val="en-AU"/>
        </w:rPr>
        <w:t>ge transects</w:t>
      </w:r>
      <w:r w:rsidR="003C23AA">
        <w:rPr>
          <w:lang w:val="en-AU"/>
        </w:rPr>
        <w:t xml:space="preserve"> are currently in development</w:t>
      </w:r>
      <w:r w:rsidR="002956C7">
        <w:rPr>
          <w:lang w:val="en-AU"/>
        </w:rPr>
        <w:t>. Such a shift would help to increase sampling intensity of the RCA transects and remove observer bias</w:t>
      </w:r>
      <w:r w:rsidR="003C23AA">
        <w:rPr>
          <w:lang w:val="en-AU"/>
        </w:rPr>
        <w:t>,</w:t>
      </w:r>
      <w:r w:rsidR="002956C7">
        <w:rPr>
          <w:lang w:val="en-AU"/>
        </w:rPr>
        <w:t xml:space="preserve"> while likely also reducing the time required to complete surveys.</w:t>
      </w:r>
      <w:r>
        <w:rPr>
          <w:lang w:val="en-AU"/>
        </w:rPr>
        <w:t xml:space="preserve"> </w:t>
      </w:r>
      <w:r w:rsidR="00980D8E">
        <w:rPr>
          <w:lang w:val="en-AU"/>
        </w:rPr>
        <w:t xml:space="preserve">While </w:t>
      </w:r>
      <w:r w:rsidR="002956C7">
        <w:rPr>
          <w:lang w:val="en-AU"/>
        </w:rPr>
        <w:t xml:space="preserve">this change </w:t>
      </w:r>
      <w:r w:rsidR="00980D8E">
        <w:rPr>
          <w:lang w:val="en-AU"/>
        </w:rPr>
        <w:t xml:space="preserve">may be unpalatable, given the legacy of RCA and ties to Reef Check, it is possible that </w:t>
      </w:r>
      <w:r w:rsidR="006E1195">
        <w:rPr>
          <w:lang w:val="en-AU"/>
        </w:rPr>
        <w:t xml:space="preserve">this is </w:t>
      </w:r>
      <w:r w:rsidR="00980D8E">
        <w:rPr>
          <w:lang w:val="en-AU"/>
        </w:rPr>
        <w:t>the most productive way to incorpor</w:t>
      </w:r>
      <w:r w:rsidR="002956C7">
        <w:rPr>
          <w:lang w:val="en-AU"/>
        </w:rPr>
        <w:t>ate the efforts of all involved.</w:t>
      </w:r>
    </w:p>
    <w:p w14:paraId="640BD1DE" w14:textId="77777777" w:rsidR="009D55BC" w:rsidRDefault="009D55BC" w:rsidP="004B4FF9"/>
    <w:p w14:paraId="347F305A" w14:textId="77777777" w:rsidR="003A6A30" w:rsidRPr="003A6A30" w:rsidRDefault="00F26B51" w:rsidP="003D21EA">
      <w:pPr>
        <w:jc w:val="left"/>
        <w:rPr>
          <w:lang w:val="en-AU"/>
        </w:rPr>
      </w:pPr>
      <w:r>
        <w:rPr>
          <w:lang w:val="en-AU"/>
        </w:rPr>
        <w:br w:type="page"/>
      </w:r>
    </w:p>
    <w:p w14:paraId="0E6ECC75" w14:textId="77777777" w:rsidR="00357BF2" w:rsidRDefault="00357BF2" w:rsidP="00121B7E">
      <w:pPr>
        <w:pStyle w:val="Heading1"/>
      </w:pPr>
      <w:bookmarkStart w:id="331" w:name="_Toc514408445"/>
      <w:r>
        <w:t>Acknowledgments</w:t>
      </w:r>
      <w:bookmarkEnd w:id="331"/>
    </w:p>
    <w:p w14:paraId="4BA65D39" w14:textId="68EA37E6" w:rsidR="00357BF2" w:rsidRDefault="00B05739" w:rsidP="00357BF2">
      <w:pPr>
        <w:rPr>
          <w:color w:val="000000" w:themeColor="text1"/>
        </w:rPr>
      </w:pPr>
      <w:r w:rsidRPr="004A1168">
        <w:rPr>
          <w:color w:val="000000" w:themeColor="text1"/>
        </w:rPr>
        <w:t>We acknowledge the valuable contributions to data collection, sampling integrity and reporting of John Carlton, Stephen Neale and Damian Thomson over the first few years of the monitoring program. We thank Aaron Anderson, Joe Gioffre, Charlotte Johansson, Kate Osborne, Shawn Smith, Marcus Stowar and Irena Zagorskis for valuable field assistance over the years. We also thank Ed Butler, Terry Done, Johanna Johnson, Katherine Martin and a number of anonymous reviewers for their detailed reviews that improv</w:t>
      </w:r>
      <w:r w:rsidR="002A728C">
        <w:rPr>
          <w:color w:val="000000" w:themeColor="text1"/>
        </w:rPr>
        <w:t xml:space="preserve">ed the series of reports culminating in this </w:t>
      </w:r>
      <w:r w:rsidRPr="004A1168">
        <w:rPr>
          <w:color w:val="000000" w:themeColor="text1"/>
        </w:rPr>
        <w:t>current instalment</w:t>
      </w:r>
      <w:bookmarkStart w:id="332" w:name="_Toc229069174"/>
      <w:bookmarkStart w:id="333" w:name="_Toc334990242"/>
      <w:r w:rsidR="002A728C">
        <w:rPr>
          <w:color w:val="000000" w:themeColor="text1"/>
        </w:rPr>
        <w:t>.</w:t>
      </w:r>
    </w:p>
    <w:p w14:paraId="485340CD" w14:textId="77777777" w:rsidR="00357BF2" w:rsidRDefault="00357BF2" w:rsidP="00121B7E">
      <w:pPr>
        <w:pStyle w:val="Heading1"/>
      </w:pPr>
      <w:bookmarkStart w:id="334" w:name="_Toc514408446"/>
      <w:r>
        <w:t>References</w:t>
      </w:r>
      <w:bookmarkEnd w:id="334"/>
    </w:p>
    <w:p w14:paraId="3CE9E44C" w14:textId="77777777" w:rsidR="009F400E" w:rsidRPr="00F352E1" w:rsidRDefault="009F400E" w:rsidP="003708B0">
      <w:pPr>
        <w:ind w:hanging="284"/>
        <w:rPr>
          <w:rStyle w:val="apple-style-span"/>
          <w:rFonts w:eastAsia="SimSun" w:cs="Arial"/>
          <w:color w:val="4F81BD" w:themeColor="accent1"/>
          <w:szCs w:val="22"/>
        </w:rPr>
      </w:pPr>
      <w:r w:rsidRPr="009A622B">
        <w:rPr>
          <w:lang w:val="en-US"/>
        </w:rPr>
        <w:t xml:space="preserve">Anderson MJ, Willis TJ (2003) </w:t>
      </w:r>
      <w:r w:rsidRPr="009A622B">
        <w:rPr>
          <w:rStyle w:val="apple-style-span"/>
          <w:rFonts w:eastAsia="SimSun" w:cs="Arial"/>
          <w:szCs w:val="22"/>
        </w:rPr>
        <w:t>Canonical analysis of principal coordinates: a useful method of constrained ordination for ecology.</w:t>
      </w:r>
      <w:r w:rsidRPr="009A622B">
        <w:rPr>
          <w:rStyle w:val="apple-converted-space"/>
          <w:rFonts w:cs="Arial"/>
          <w:szCs w:val="22"/>
        </w:rPr>
        <w:t> </w:t>
      </w:r>
      <w:r w:rsidRPr="009A622B">
        <w:rPr>
          <w:rStyle w:val="Emphasis"/>
          <w:rFonts w:cs="Arial"/>
          <w:i w:val="0"/>
          <w:szCs w:val="22"/>
        </w:rPr>
        <w:t>Ecology</w:t>
      </w:r>
      <w:r w:rsidRPr="009A622B">
        <w:rPr>
          <w:rStyle w:val="apple-converted-space"/>
          <w:rFonts w:cs="Arial"/>
          <w:i/>
          <w:szCs w:val="22"/>
        </w:rPr>
        <w:t> </w:t>
      </w:r>
      <w:r w:rsidRPr="009A622B">
        <w:rPr>
          <w:rStyle w:val="apple-style-span"/>
          <w:rFonts w:eastAsia="SimSun" w:cs="Arial"/>
          <w:szCs w:val="22"/>
        </w:rPr>
        <w:t>84</w:t>
      </w:r>
      <w:r w:rsidR="008D482D" w:rsidRPr="009A622B">
        <w:rPr>
          <w:rStyle w:val="apple-style-span"/>
          <w:rFonts w:eastAsia="SimSun" w:cs="Arial"/>
          <w:szCs w:val="22"/>
        </w:rPr>
        <w:t>:</w:t>
      </w:r>
      <w:r w:rsidRPr="009A622B">
        <w:rPr>
          <w:rStyle w:val="apple-style-span"/>
          <w:rFonts w:eastAsia="SimSun" w:cs="Arial"/>
          <w:szCs w:val="22"/>
        </w:rPr>
        <w:t>511–525</w:t>
      </w:r>
    </w:p>
    <w:p w14:paraId="73E7F9B1" w14:textId="77777777" w:rsidR="009F400E" w:rsidRPr="009A622B" w:rsidRDefault="009F400E" w:rsidP="003708B0">
      <w:pPr>
        <w:ind w:hanging="284"/>
      </w:pPr>
      <w:r w:rsidRPr="009A622B">
        <w:t>Anon</w:t>
      </w:r>
      <w:r w:rsidR="002F0B79" w:rsidRPr="009A622B">
        <w:t>.</w:t>
      </w:r>
      <w:r w:rsidRPr="009A622B">
        <w:t xml:space="preserve"> (2003) Reef Water Quality Protection Plan for catchments adjacent to the Great Barrier Reef World Heritage Area. The State of Queensland and Commonwealth of Australia. Queensland Department of Premier and Cabinet, Brisbane. 43p </w:t>
      </w:r>
    </w:p>
    <w:p w14:paraId="25630373" w14:textId="77777777" w:rsidR="009F400E" w:rsidRPr="00AC248D" w:rsidRDefault="009F400E" w:rsidP="003708B0">
      <w:pPr>
        <w:ind w:hanging="284"/>
        <w:rPr>
          <w:color w:val="000000" w:themeColor="text1"/>
          <w:lang w:eastAsia="en-GB"/>
        </w:rPr>
      </w:pPr>
      <w:r w:rsidRPr="00AC248D">
        <w:rPr>
          <w:color w:val="000000" w:themeColor="text1"/>
          <w:lang w:eastAsia="en-GB"/>
        </w:rPr>
        <w:t xml:space="preserve">Anon. (2009) Reef Water Quality Protection Plan 2009. For the Great Barrier Reef World Heritage Area and adjacent catchments. The State of Queensland and Commonwealth of Australia. Queensland Department of the Premier and Cabinet, Brisbane. 30 pp. </w:t>
      </w:r>
    </w:p>
    <w:p w14:paraId="628807E6" w14:textId="77777777" w:rsidR="009F400E" w:rsidRPr="00AC248D" w:rsidRDefault="009F400E" w:rsidP="003708B0">
      <w:pPr>
        <w:ind w:hanging="284"/>
        <w:rPr>
          <w:color w:val="000000" w:themeColor="text1"/>
          <w:lang w:val="en-US"/>
        </w:rPr>
      </w:pPr>
      <w:r w:rsidRPr="00AC248D">
        <w:rPr>
          <w:color w:val="000000" w:themeColor="text1"/>
          <w:lang w:val="en-US"/>
        </w:rPr>
        <w:t xml:space="preserve">Anon. (2011) </w:t>
      </w:r>
      <w:r w:rsidRPr="00AC248D">
        <w:rPr>
          <w:color w:val="000000" w:themeColor="text1"/>
        </w:rPr>
        <w:t xml:space="preserve">Reef Water Quality Protection Plan. First Report 2009 Baseline. </w:t>
      </w:r>
      <w:r w:rsidRPr="00AC248D">
        <w:rPr>
          <w:color w:val="000000" w:themeColor="text1"/>
          <w:lang w:val="en-US"/>
        </w:rPr>
        <w:t xml:space="preserve">The State of Queensland and Commonwealth of Australia. Queensland Department of Premier and Cabinet, Brisbane. 140 pp. Available at </w:t>
      </w:r>
      <w:hyperlink r:id="rId70" w:tooltip="Reef Water Quality Protection Plan. First Report 2009 Baseline. " w:history="1">
        <w:r w:rsidRPr="00AC248D">
          <w:rPr>
            <w:rStyle w:val="Hyperlink"/>
            <w:rFonts w:cs="Arial"/>
            <w:bCs/>
            <w:color w:val="000000" w:themeColor="text1"/>
            <w:szCs w:val="22"/>
            <w:lang w:val="en-US"/>
          </w:rPr>
          <w:t>www.reefplan.qld.gov.au</w:t>
        </w:r>
      </w:hyperlink>
    </w:p>
    <w:p w14:paraId="17A3FA71" w14:textId="77777777" w:rsidR="009F400E" w:rsidRPr="009A622B" w:rsidRDefault="009F400E" w:rsidP="003708B0">
      <w:pPr>
        <w:ind w:hanging="284"/>
        <w:rPr>
          <w:rStyle w:val="Hyperlink"/>
          <w:rFonts w:cs="Arial"/>
          <w:color w:val="auto"/>
          <w:szCs w:val="22"/>
          <w:lang w:eastAsia="en-GB"/>
        </w:rPr>
      </w:pPr>
      <w:r w:rsidRPr="009A622B">
        <w:rPr>
          <w:lang w:val="en-AU" w:eastAsia="en-AU"/>
        </w:rPr>
        <w:t xml:space="preserve">Anon. (2013) Reef Water Quality Protection Plan 2013.Securing the health and resilience of the Great Barrier Reef World Heritage Area and adjacent catchments. The State of Queensland. Reef Water Quality Protection Plan Secretariat, Brisbane. 34 p. </w:t>
      </w:r>
      <w:r w:rsidRPr="009A622B">
        <w:rPr>
          <w:lang w:eastAsia="en-GB"/>
        </w:rPr>
        <w:t xml:space="preserve">Available at </w:t>
      </w:r>
      <w:hyperlink r:id="rId71" w:tooltip="Reef Water Quality Protection Plan 2013.Securing the health and resilience of the Great Barrier Reef World Heritage Area and adjacent catchments." w:history="1">
        <w:r w:rsidRPr="009A622B">
          <w:rPr>
            <w:rStyle w:val="Hyperlink"/>
            <w:rFonts w:cs="Arial"/>
            <w:color w:val="auto"/>
            <w:szCs w:val="22"/>
            <w:lang w:eastAsia="en-GB"/>
          </w:rPr>
          <w:t>www.reefplan.qld.gov.au</w:t>
        </w:r>
      </w:hyperlink>
    </w:p>
    <w:p w14:paraId="08CB8C82" w14:textId="77777777" w:rsidR="009F400E" w:rsidRPr="009A622B" w:rsidRDefault="009F400E" w:rsidP="003708B0">
      <w:pPr>
        <w:ind w:hanging="284"/>
      </w:pPr>
      <w:r w:rsidRPr="009A622B">
        <w:t>Anthony KRN (1999) Coral suspension feeding on fine particulate matter. Journal of Experimental Marine Biology and Ecology 232:85-106</w:t>
      </w:r>
    </w:p>
    <w:p w14:paraId="03DA0756" w14:textId="77777777" w:rsidR="009F400E" w:rsidRPr="009A622B" w:rsidRDefault="009F400E" w:rsidP="003708B0">
      <w:pPr>
        <w:ind w:hanging="284"/>
      </w:pPr>
      <w:r w:rsidRPr="009A622B">
        <w:t>Anthony KRN, Fabricius KE (2000) Shifting roles of heterotrophy and autotrophy in coral energetics under varying turbidity. Journal of Experimental Marine Biology and Ecology 252:221-253</w:t>
      </w:r>
    </w:p>
    <w:p w14:paraId="5E5812E1" w14:textId="77777777" w:rsidR="009D3707" w:rsidRPr="009A622B" w:rsidRDefault="009D3707" w:rsidP="003708B0">
      <w:pPr>
        <w:ind w:hanging="284"/>
      </w:pPr>
      <w:r w:rsidRPr="009A622B">
        <w:t>Ayling A (1997) The biological status of fringing reefs in the Great Barrier Reef world heritage area. Proceedings of the State of the Great Barrier Reef World Heritage Area Workshop pp. 109-113</w:t>
      </w:r>
    </w:p>
    <w:p w14:paraId="73D93B1F" w14:textId="77777777" w:rsidR="009F400E" w:rsidRPr="009A622B" w:rsidRDefault="009F400E" w:rsidP="003708B0">
      <w:pPr>
        <w:ind w:hanging="284"/>
      </w:pPr>
      <w:r w:rsidRPr="009A622B">
        <w:t>Babcock RC, Smith L (2002) Effects of sedimentation on coral settlement and survivorship. In: Proceedings of the 9th International Coral Reef Symposium, Bali, Indonesia, 245–248</w:t>
      </w:r>
    </w:p>
    <w:p w14:paraId="6FBDF7FD" w14:textId="77777777" w:rsidR="009F400E" w:rsidRPr="009A622B" w:rsidRDefault="009F400E" w:rsidP="003708B0">
      <w:pPr>
        <w:ind w:hanging="284"/>
        <w:rPr>
          <w:lang w:eastAsia="en-AU"/>
        </w:rPr>
      </w:pPr>
      <w:r w:rsidRPr="009A622B">
        <w:rPr>
          <w:lang w:eastAsia="en-AU"/>
        </w:rPr>
        <w:t>Baird AH, Babcock RC, Mundy CP (2003) Habitat selection by larvae influences the depth distribution of six common coral species. Marine Ecology Progress Series 252:289-293</w:t>
      </w:r>
    </w:p>
    <w:p w14:paraId="65DF9C1E" w14:textId="77777777" w:rsidR="009F400E" w:rsidRPr="009A622B" w:rsidRDefault="009F400E" w:rsidP="003708B0">
      <w:pPr>
        <w:ind w:hanging="284"/>
        <w:rPr>
          <w:szCs w:val="24"/>
          <w:lang w:val="en-AU" w:eastAsia="en-AU"/>
        </w:rPr>
      </w:pPr>
      <w:r w:rsidRPr="009A622B">
        <w:rPr>
          <w:szCs w:val="24"/>
          <w:lang w:val="en-AU" w:eastAsia="en-AU"/>
        </w:rPr>
        <w:t>Bartley R, Corfield JP, Hawdon AA, Kinsey-Henderson AE, Abbott BN, Wilkinson SN, Keen RJ (2014</w:t>
      </w:r>
      <w:r w:rsidR="00DF305A" w:rsidRPr="009A622B">
        <w:rPr>
          <w:szCs w:val="24"/>
          <w:lang w:val="en-AU" w:eastAsia="en-AU"/>
        </w:rPr>
        <w:t>a</w:t>
      </w:r>
      <w:r w:rsidRPr="009A622B">
        <w:rPr>
          <w:szCs w:val="24"/>
          <w:lang w:val="en-AU" w:eastAsia="en-AU"/>
        </w:rPr>
        <w:t>) Can changes to pasture management reduce runoff and sediment loss to the Great Barrier Reef? The results of a 10-year study in the Burdekin catchment, Australia. The Rangeland Journal 36:67-84</w:t>
      </w:r>
    </w:p>
    <w:p w14:paraId="4E752ACD" w14:textId="77777777" w:rsidR="009F400E" w:rsidRPr="009A622B" w:rsidRDefault="009F400E" w:rsidP="003708B0">
      <w:pPr>
        <w:ind w:hanging="284"/>
        <w:rPr>
          <w:szCs w:val="24"/>
          <w:lang w:val="en-AU" w:eastAsia="en-AU"/>
        </w:rPr>
      </w:pPr>
      <w:r w:rsidRPr="009A622B">
        <w:rPr>
          <w:szCs w:val="24"/>
          <w:lang w:val="en-AU" w:eastAsia="en-AU"/>
        </w:rPr>
        <w:t>Bartley R, Bainbridge ZT, Lewis SE, Kroon FJ, Wilkinson SN, Brodie JE, Silburn DM (2014</w:t>
      </w:r>
      <w:r w:rsidR="00DF305A" w:rsidRPr="009A622B">
        <w:rPr>
          <w:szCs w:val="24"/>
          <w:lang w:val="en-AU" w:eastAsia="en-AU"/>
        </w:rPr>
        <w:t>b</w:t>
      </w:r>
      <w:r w:rsidRPr="009A622B">
        <w:rPr>
          <w:szCs w:val="24"/>
          <w:lang w:val="en-AU" w:eastAsia="en-AU"/>
        </w:rPr>
        <w:t>) Relating sediment impacts on coral reefs to watershed sources, processes and management: A review. Science of the Total Environment 468–469:1138-1153</w:t>
      </w:r>
    </w:p>
    <w:p w14:paraId="7FF7D6A2" w14:textId="77777777" w:rsidR="00952494" w:rsidRPr="009A622B" w:rsidRDefault="00952494" w:rsidP="003708B0">
      <w:pPr>
        <w:ind w:hanging="284"/>
        <w:rPr>
          <w:szCs w:val="24"/>
          <w:lang w:val="en-AU" w:eastAsia="en-AU"/>
        </w:rPr>
      </w:pPr>
      <w:r w:rsidRPr="009A622B">
        <w:rPr>
          <w:szCs w:val="22"/>
        </w:rPr>
        <w:t xml:space="preserve">Beeden, R.J., Turner, M.A., Dryden, J., Merida, F., Goudkamp, K., Malone, C., Marshall, P.A., Birtles, A. and Maynard, J.A. </w:t>
      </w:r>
      <w:r w:rsidR="00121B7E">
        <w:rPr>
          <w:szCs w:val="22"/>
        </w:rPr>
        <w:t>(</w:t>
      </w:r>
      <w:r w:rsidRPr="009A622B">
        <w:rPr>
          <w:szCs w:val="22"/>
        </w:rPr>
        <w:t>2014</w:t>
      </w:r>
      <w:r w:rsidR="00121B7E">
        <w:rPr>
          <w:szCs w:val="22"/>
        </w:rPr>
        <w:t>)</w:t>
      </w:r>
      <w:r w:rsidRPr="009A622B">
        <w:rPr>
          <w:szCs w:val="22"/>
        </w:rPr>
        <w:t xml:space="preserve">, Rapid survey protocol that provides dynamic information on reef condition to managers of the Great Barrier Reef, </w:t>
      </w:r>
      <w:r w:rsidRPr="009A622B">
        <w:rPr>
          <w:i/>
          <w:iCs/>
          <w:szCs w:val="22"/>
        </w:rPr>
        <w:t xml:space="preserve">Environmental Monitoring and Assessment </w:t>
      </w:r>
      <w:r w:rsidRPr="009A622B">
        <w:rPr>
          <w:szCs w:val="22"/>
        </w:rPr>
        <w:t>186(12): 8527-8540.</w:t>
      </w:r>
    </w:p>
    <w:p w14:paraId="61F1EEB9" w14:textId="77777777" w:rsidR="009F400E" w:rsidRPr="009A622B" w:rsidRDefault="009F400E" w:rsidP="003708B0">
      <w:pPr>
        <w:ind w:hanging="284"/>
        <w:rPr>
          <w:lang w:val="en-US"/>
        </w:rPr>
      </w:pPr>
      <w:r w:rsidRPr="009A622B">
        <w:rPr>
          <w:lang w:val="en-AU" w:eastAsia="en-AU"/>
        </w:rPr>
        <w:t>Belperio AP, Searle DE (1988) Terrigenous and carbonate sedimentation in the Great Barrier Reef province. In: J, D.L., H, R.H. (Eds.), Carbonate to Clastic Facies Changes. Developments in Sedimentology. Elsevier Science Publishers, Amsterdam, pp. 143–174</w:t>
      </w:r>
    </w:p>
    <w:p w14:paraId="19602260" w14:textId="77777777" w:rsidR="009F400E" w:rsidRPr="009A622B" w:rsidRDefault="009F400E" w:rsidP="003708B0">
      <w:pPr>
        <w:ind w:hanging="284"/>
        <w:rPr>
          <w:lang w:val="en-US"/>
        </w:rPr>
      </w:pPr>
      <w:r w:rsidRPr="009A622B">
        <w:rPr>
          <w:lang w:val="en-US"/>
        </w:rPr>
        <w:t>Bellwood DR, Hughes TP, Folke C, Nyström</w:t>
      </w:r>
      <w:r w:rsidR="00575B10" w:rsidRPr="009A622B">
        <w:rPr>
          <w:lang w:val="en-US"/>
        </w:rPr>
        <w:t xml:space="preserve">m </w:t>
      </w:r>
      <w:r w:rsidRPr="009A622B">
        <w:rPr>
          <w:lang w:val="en-US"/>
        </w:rPr>
        <w:t xml:space="preserve">(2004) Confronting the coral reef crisis. Nature 429:827-833 </w:t>
      </w:r>
    </w:p>
    <w:p w14:paraId="18137752" w14:textId="77777777" w:rsidR="009F400E" w:rsidRPr="009A622B" w:rsidRDefault="009F400E" w:rsidP="003708B0">
      <w:pPr>
        <w:ind w:hanging="284"/>
        <w:rPr>
          <w:lang w:val="en-AU" w:eastAsia="en-AU"/>
        </w:rPr>
      </w:pPr>
      <w:r w:rsidRPr="009A622B">
        <w:rPr>
          <w:lang w:val="en-AU" w:eastAsia="en-AU"/>
        </w:rPr>
        <w:t xml:space="preserve">Berkelmans R, De’ath G, Kininmonth S, Skirving WJ (2004) A comparison of the 1998 and 2002 coral bleaching events on the Great Barrier Reef: spatial correlation, patterns, and predictions. </w:t>
      </w:r>
      <w:r w:rsidRPr="009A622B">
        <w:rPr>
          <w:iCs/>
          <w:lang w:val="en-AU" w:eastAsia="en-AU"/>
        </w:rPr>
        <w:t>Coral reefs</w:t>
      </w:r>
      <w:r w:rsidRPr="009A622B">
        <w:rPr>
          <w:lang w:val="en-AU" w:eastAsia="en-AU"/>
        </w:rPr>
        <w:t xml:space="preserve">, </w:t>
      </w:r>
      <w:r w:rsidRPr="009A622B">
        <w:rPr>
          <w:iCs/>
          <w:lang w:val="en-AU" w:eastAsia="en-AU"/>
        </w:rPr>
        <w:t>23</w:t>
      </w:r>
      <w:r w:rsidRPr="009A622B">
        <w:rPr>
          <w:lang w:val="en-AU" w:eastAsia="en-AU"/>
        </w:rPr>
        <w:t>(1)</w:t>
      </w:r>
      <w:r w:rsidR="008D482D" w:rsidRPr="009A622B">
        <w:rPr>
          <w:lang w:val="en-AU" w:eastAsia="en-AU"/>
        </w:rPr>
        <w:t>:</w:t>
      </w:r>
      <w:r w:rsidRPr="009A622B">
        <w:rPr>
          <w:lang w:val="en-AU" w:eastAsia="en-AU"/>
        </w:rPr>
        <w:t>74-83</w:t>
      </w:r>
    </w:p>
    <w:p w14:paraId="3DD55257" w14:textId="77777777" w:rsidR="009F400E" w:rsidRPr="009A622B" w:rsidRDefault="009F400E" w:rsidP="003708B0">
      <w:pPr>
        <w:ind w:hanging="284"/>
        <w:rPr>
          <w:lang w:eastAsia="en-AU"/>
        </w:rPr>
      </w:pPr>
      <w:r w:rsidRPr="009A622B">
        <w:rPr>
          <w:lang w:eastAsia="en-AU"/>
        </w:rPr>
        <w:t>Berkelmans R, Jones A, Schaffelke B (2012) Salinity thresholds of Acropora spp. On the Great Barrier Reef. Coral Reefs 31:1103-1110</w:t>
      </w:r>
    </w:p>
    <w:p w14:paraId="3BC4AD5F" w14:textId="77777777" w:rsidR="00823BAC" w:rsidRPr="00424239" w:rsidRDefault="00823BAC" w:rsidP="00823BAC">
      <w:pPr>
        <w:ind w:hanging="284"/>
        <w:rPr>
          <w:rFonts w:cs="Arial"/>
          <w:color w:val="000000" w:themeColor="text1"/>
          <w:szCs w:val="22"/>
          <w:lang w:val="en-AU" w:eastAsia="en-AU"/>
        </w:rPr>
      </w:pPr>
      <w:r w:rsidRPr="00424239">
        <w:rPr>
          <w:rFonts w:cs="Arial"/>
          <w:color w:val="000000" w:themeColor="text1"/>
          <w:szCs w:val="22"/>
          <w:lang w:val="en-AU" w:eastAsia="en-AU"/>
        </w:rPr>
        <w:t>Bessell-Browne P, Negri AP, Fisher R, Clode PL, Jones R (2017</w:t>
      </w:r>
      <w:r>
        <w:rPr>
          <w:rFonts w:cs="Arial"/>
          <w:color w:val="000000" w:themeColor="text1"/>
          <w:szCs w:val="22"/>
          <w:lang w:val="en-AU" w:eastAsia="en-AU"/>
        </w:rPr>
        <w:t>a</w:t>
      </w:r>
      <w:r w:rsidRPr="00424239">
        <w:rPr>
          <w:rFonts w:cs="Arial"/>
          <w:color w:val="000000" w:themeColor="text1"/>
          <w:szCs w:val="22"/>
          <w:lang w:val="en-AU" w:eastAsia="en-AU"/>
        </w:rPr>
        <w:t>) </w:t>
      </w:r>
      <w:hyperlink r:id="rId72" w:tgtFrame="_blank" w:history="1">
        <w:r w:rsidRPr="00424239">
          <w:rPr>
            <w:rFonts w:cs="Arial"/>
            <w:iCs/>
            <w:color w:val="000000" w:themeColor="text1"/>
            <w:szCs w:val="22"/>
            <w:lang w:val="en-AU" w:eastAsia="en-AU"/>
          </w:rPr>
          <w:t>I</w:t>
        </w:r>
      </w:hyperlink>
      <w:hyperlink r:id="rId73" w:tgtFrame="_blank" w:history="1">
        <w:r w:rsidRPr="00424239">
          <w:rPr>
            <w:rFonts w:cs="Arial"/>
            <w:bCs/>
            <w:iCs/>
            <w:color w:val="000000" w:themeColor="text1"/>
            <w:szCs w:val="22"/>
            <w:lang w:val="en-AU" w:eastAsia="en-AU"/>
          </w:rPr>
          <w:t>mpacts of light limitation on corals and crustose coralline algae</w:t>
        </w:r>
      </w:hyperlink>
      <w:r>
        <w:rPr>
          <w:rFonts w:cs="Arial"/>
          <w:bCs/>
          <w:color w:val="000000" w:themeColor="text1"/>
          <w:szCs w:val="22"/>
          <w:lang w:val="en-AU" w:eastAsia="en-AU"/>
        </w:rPr>
        <w:t>.</w:t>
      </w:r>
      <w:r w:rsidRPr="00424239">
        <w:rPr>
          <w:rFonts w:cs="Arial"/>
          <w:color w:val="000000" w:themeColor="text1"/>
          <w:szCs w:val="22"/>
          <w:lang w:val="en-AU" w:eastAsia="en-AU"/>
        </w:rPr>
        <w:t> </w:t>
      </w:r>
      <w:r w:rsidRPr="00424239">
        <w:rPr>
          <w:rFonts w:cs="Arial"/>
          <w:i/>
          <w:color w:val="000000" w:themeColor="text1"/>
          <w:szCs w:val="22"/>
          <w:lang w:val="en-AU" w:eastAsia="en-AU"/>
        </w:rPr>
        <w:t>Scientific Reports</w:t>
      </w:r>
      <w:r>
        <w:rPr>
          <w:rFonts w:cs="Arial"/>
          <w:i/>
          <w:color w:val="000000" w:themeColor="text1"/>
          <w:szCs w:val="22"/>
          <w:lang w:val="en-AU" w:eastAsia="en-AU"/>
        </w:rPr>
        <w:t>.</w:t>
      </w:r>
      <w:r w:rsidRPr="00424239">
        <w:rPr>
          <w:rFonts w:cs="Arial"/>
          <w:color w:val="000000" w:themeColor="text1"/>
          <w:szCs w:val="22"/>
          <w:lang w:val="en-AU" w:eastAsia="en-AU"/>
        </w:rPr>
        <w:t> </w:t>
      </w:r>
      <w:hyperlink r:id="rId74" w:tgtFrame="_blank" w:history="1">
        <w:r w:rsidRPr="00424239">
          <w:rPr>
            <w:rFonts w:cs="Arial"/>
            <w:color w:val="000000" w:themeColor="text1"/>
            <w:szCs w:val="22"/>
            <w:lang w:val="en-AU" w:eastAsia="en-AU"/>
          </w:rPr>
          <w:t>doi:10.1038/s41598-017-11783-z</w:t>
        </w:r>
      </w:hyperlink>
    </w:p>
    <w:p w14:paraId="033BE038" w14:textId="77777777" w:rsidR="009765E9" w:rsidRPr="00424239" w:rsidRDefault="009765E9" w:rsidP="00424239">
      <w:pPr>
        <w:pStyle w:val="NormalWeb"/>
        <w:spacing w:before="0" w:beforeAutospacing="0" w:after="120" w:afterAutospacing="0"/>
        <w:ind w:hanging="284"/>
        <w:rPr>
          <w:rStyle w:val="Hyperlink"/>
          <w:rFonts w:ascii="Arial" w:eastAsia="SimSun" w:hAnsi="Arial" w:cs="Arial"/>
          <w:color w:val="000000" w:themeColor="text1"/>
          <w:sz w:val="22"/>
          <w:szCs w:val="22"/>
        </w:rPr>
      </w:pPr>
      <w:r w:rsidRPr="009A622B">
        <w:rPr>
          <w:rFonts w:ascii="Arial" w:hAnsi="Arial" w:cs="Arial"/>
          <w:sz w:val="22"/>
          <w:szCs w:val="22"/>
        </w:rPr>
        <w:t>Bessell-Browne P, Negri AP, Fisher R, Clode PL</w:t>
      </w:r>
      <w:r w:rsidR="00424239">
        <w:rPr>
          <w:rFonts w:ascii="Arial" w:hAnsi="Arial" w:cs="Arial"/>
          <w:sz w:val="22"/>
          <w:szCs w:val="22"/>
        </w:rPr>
        <w:t>, Jones R</w:t>
      </w:r>
      <w:r w:rsidRPr="009A622B">
        <w:rPr>
          <w:rFonts w:ascii="Arial" w:hAnsi="Arial" w:cs="Arial"/>
          <w:sz w:val="22"/>
          <w:szCs w:val="22"/>
        </w:rPr>
        <w:t xml:space="preserve"> (2017</w:t>
      </w:r>
      <w:r w:rsidR="004A1168">
        <w:rPr>
          <w:rFonts w:ascii="Arial" w:hAnsi="Arial" w:cs="Arial"/>
          <w:sz w:val="22"/>
          <w:szCs w:val="22"/>
        </w:rPr>
        <w:t>b</w:t>
      </w:r>
      <w:r w:rsidRPr="009A622B">
        <w:rPr>
          <w:rFonts w:ascii="Arial" w:hAnsi="Arial" w:cs="Arial"/>
          <w:sz w:val="22"/>
          <w:szCs w:val="22"/>
        </w:rPr>
        <w:t xml:space="preserve">) </w:t>
      </w:r>
      <w:hyperlink r:id="rId75" w:tgtFrame="_blank" w:history="1">
        <w:r w:rsidRPr="00BF78FE">
          <w:rPr>
            <w:rStyle w:val="Emphasis"/>
            <w:rFonts w:ascii="Arial" w:eastAsia="SimSun" w:hAnsi="Arial" w:cs="Arial"/>
            <w:bCs/>
            <w:i w:val="0"/>
            <w:sz w:val="22"/>
            <w:szCs w:val="22"/>
          </w:rPr>
          <w:t>Cumulative impacts: thermally bleached corals have reduced capacity to clear deposited sediment</w:t>
        </w:r>
      </w:hyperlink>
      <w:r w:rsidR="00424239">
        <w:rPr>
          <w:rStyle w:val="Emphasis"/>
          <w:rFonts w:ascii="Arial" w:eastAsia="SimSun" w:hAnsi="Arial" w:cs="Arial"/>
          <w:bCs/>
          <w:i w:val="0"/>
          <w:sz w:val="22"/>
          <w:szCs w:val="22"/>
        </w:rPr>
        <w:t>.</w:t>
      </w:r>
      <w:r w:rsidRPr="00BF78FE">
        <w:rPr>
          <w:rFonts w:ascii="Tahoma" w:hAnsi="Tahoma" w:cs="Tahoma"/>
          <w:sz w:val="18"/>
          <w:szCs w:val="18"/>
        </w:rPr>
        <w:t xml:space="preserve"> </w:t>
      </w:r>
      <w:r w:rsidRPr="00424239">
        <w:rPr>
          <w:rFonts w:ascii="Arial" w:hAnsi="Arial" w:cs="Arial"/>
          <w:i/>
          <w:sz w:val="22"/>
          <w:szCs w:val="22"/>
        </w:rPr>
        <w:t>Scientific Reports</w:t>
      </w:r>
      <w:r w:rsidR="00424239">
        <w:rPr>
          <w:rFonts w:ascii="Arial" w:hAnsi="Arial" w:cs="Arial"/>
          <w:sz w:val="22"/>
          <w:szCs w:val="22"/>
        </w:rPr>
        <w:t>.</w:t>
      </w:r>
      <w:r w:rsidRPr="00BF78FE">
        <w:rPr>
          <w:rFonts w:ascii="Arial" w:hAnsi="Arial" w:cs="Arial"/>
          <w:sz w:val="22"/>
          <w:szCs w:val="22"/>
        </w:rPr>
        <w:t xml:space="preserve"> </w:t>
      </w:r>
      <w:hyperlink r:id="rId76" w:tgtFrame="_blank" w:history="1">
        <w:r w:rsidRPr="00BF78FE">
          <w:rPr>
            <w:rStyle w:val="Hyperlink"/>
            <w:rFonts w:ascii="Arial" w:eastAsia="SimSun" w:hAnsi="Arial" w:cs="Arial"/>
            <w:color w:val="auto"/>
            <w:sz w:val="22"/>
            <w:szCs w:val="22"/>
          </w:rPr>
          <w:t>doi:10.1038/s41598-017-02810-0</w:t>
        </w:r>
      </w:hyperlink>
    </w:p>
    <w:p w14:paraId="2B157B7E" w14:textId="77777777" w:rsidR="009F400E" w:rsidRPr="009A622B" w:rsidRDefault="009F400E" w:rsidP="003708B0">
      <w:pPr>
        <w:ind w:hanging="284"/>
      </w:pPr>
      <w:r w:rsidRPr="009A622B">
        <w:t>Birrell CL, McCook LJ, Willis BL (2005) Effects of algal turfs and sediment on coral settlement. Marine Pollution Bulletin 51:408-414</w:t>
      </w:r>
    </w:p>
    <w:p w14:paraId="722F5EA0" w14:textId="77777777" w:rsidR="009F400E" w:rsidRPr="009A622B" w:rsidRDefault="009F400E" w:rsidP="003708B0">
      <w:pPr>
        <w:ind w:hanging="284"/>
        <w:rPr>
          <w:lang w:eastAsia="en-AU"/>
        </w:rPr>
      </w:pPr>
      <w:r w:rsidRPr="009A622B">
        <w:rPr>
          <w:lang w:eastAsia="en-AU"/>
        </w:rPr>
        <w:t>Birrell CL, McCook LJ, Willis BL, Diaz-Pulido GA (2008a) Effects of benthic algae on the replenishments of corals and the implications for the resilience of coral reefs. Oceanography and Marine Biology: An Annual Review 46:25-64</w:t>
      </w:r>
    </w:p>
    <w:p w14:paraId="1E4E0668" w14:textId="77777777" w:rsidR="009F400E" w:rsidRPr="009A622B" w:rsidRDefault="009F400E" w:rsidP="003708B0">
      <w:pPr>
        <w:ind w:hanging="284"/>
        <w:rPr>
          <w:lang w:eastAsia="en-AU"/>
        </w:rPr>
      </w:pPr>
      <w:r w:rsidRPr="009A622B">
        <w:rPr>
          <w:lang w:eastAsia="en-AU"/>
        </w:rPr>
        <w:t xml:space="preserve">Birrell CL, McCook LJ, Willis BL, Harrington L (2008b) Chemical effects of macroalgae on larval settlement of the broadcast spawning coral </w:t>
      </w:r>
      <w:r w:rsidRPr="009A622B">
        <w:rPr>
          <w:i/>
          <w:lang w:eastAsia="en-AU"/>
        </w:rPr>
        <w:t>Acropora millepora</w:t>
      </w:r>
      <w:r w:rsidRPr="009A622B">
        <w:rPr>
          <w:lang w:eastAsia="en-AU"/>
        </w:rPr>
        <w:t>. Marine Ecology Progress Series 362:129-137</w:t>
      </w:r>
    </w:p>
    <w:p w14:paraId="32587503" w14:textId="77777777" w:rsidR="009F400E" w:rsidRPr="00F352E1" w:rsidRDefault="009F400E" w:rsidP="003708B0">
      <w:pPr>
        <w:ind w:hanging="284"/>
        <w:rPr>
          <w:color w:val="4F81BD" w:themeColor="accent1"/>
          <w:lang w:val="en-US"/>
        </w:rPr>
      </w:pPr>
      <w:r w:rsidRPr="009A622B">
        <w:rPr>
          <w:lang w:val="en-US"/>
        </w:rPr>
        <w:t>Brinkman R, Herzfeld M, Andrewartha J, Rizwi F, Steinberg C, Spagnol S (2011) Hydrodynamics at the whole of GBR scale. AIMS Final Project Report MTSRF Project 2.5i.1, June 2011. Report to Reef and Rainforest Research Centre. Australian Institute of Marine Science, Townsville. 42pp</w:t>
      </w:r>
    </w:p>
    <w:p w14:paraId="068DB488" w14:textId="77777777" w:rsidR="009F400E" w:rsidRPr="009A622B" w:rsidRDefault="009F400E" w:rsidP="003708B0">
      <w:pPr>
        <w:ind w:hanging="284"/>
        <w:rPr>
          <w:lang w:val="en-AU" w:eastAsia="en-AU"/>
        </w:rPr>
      </w:pPr>
      <w:r w:rsidRPr="009A622B">
        <w:rPr>
          <w:lang w:val="en-AU" w:eastAsia="en-AU"/>
        </w:rPr>
        <w:t xml:space="preserve">Brodie J, Fabricius K, De’ath G, Okaji K (2005) Are increased nutrient inputs responsible for more outbreaks of crown-of-thorns starfish? An appraisal of the evidence. </w:t>
      </w:r>
      <w:r w:rsidRPr="009A622B">
        <w:rPr>
          <w:iCs/>
          <w:lang w:val="en-AU" w:eastAsia="en-AU"/>
        </w:rPr>
        <w:t>Marine Pollution Bulletin</w:t>
      </w:r>
      <w:r w:rsidRPr="009A622B">
        <w:rPr>
          <w:lang w:val="en-AU" w:eastAsia="en-AU"/>
        </w:rPr>
        <w:t xml:space="preserve">, </w:t>
      </w:r>
      <w:r w:rsidRPr="009A622B">
        <w:rPr>
          <w:iCs/>
          <w:lang w:val="en-AU" w:eastAsia="en-AU"/>
        </w:rPr>
        <w:t>51</w:t>
      </w:r>
      <w:r w:rsidRPr="009A622B">
        <w:rPr>
          <w:lang w:val="en-AU" w:eastAsia="en-AU"/>
        </w:rPr>
        <w:t>(1)</w:t>
      </w:r>
      <w:r w:rsidR="008D482D" w:rsidRPr="009A622B">
        <w:rPr>
          <w:lang w:val="en-AU" w:eastAsia="en-AU"/>
        </w:rPr>
        <w:t>:</w:t>
      </w:r>
      <w:r w:rsidRPr="009A622B">
        <w:rPr>
          <w:lang w:val="en-AU" w:eastAsia="en-AU"/>
        </w:rPr>
        <w:t>266-278</w:t>
      </w:r>
    </w:p>
    <w:p w14:paraId="055380FA" w14:textId="77777777" w:rsidR="009F400E" w:rsidRPr="009A622B" w:rsidRDefault="009F400E" w:rsidP="003708B0">
      <w:pPr>
        <w:ind w:hanging="284"/>
      </w:pPr>
      <w:r w:rsidRPr="009A622B">
        <w:t>Brodie JE, Kroon FJ, Schaffelke B, Wolanski EC, Lewis SE, Devlin MJ, Bohnet IC, Bainbridge ZT, Waterhouse J, Davis AM (2012b) Terrestrial pollutant runoff to the Great Barrier Reef: An update of issues, priorities and management responses. Marine Pollution Bulletin 65:81-100</w:t>
      </w:r>
    </w:p>
    <w:p w14:paraId="6F87B9CE" w14:textId="77777777" w:rsidR="009F400E" w:rsidRPr="009A622B" w:rsidRDefault="009F400E" w:rsidP="003708B0">
      <w:pPr>
        <w:ind w:hanging="284"/>
      </w:pPr>
      <w:r w:rsidRPr="009A622B">
        <w:t>Brodie J, Wolanski E, Lewis S, Bainbridge Z (2012a) An assessment of residence times of land-sourced contaminants in the Great Barrier Reef lagoon and the implications for management and reef recovery. Marine Pollution Bulletin 65:267-279</w:t>
      </w:r>
    </w:p>
    <w:p w14:paraId="44EFFC83" w14:textId="77777777" w:rsidR="009F400E" w:rsidRDefault="009F400E" w:rsidP="003708B0">
      <w:pPr>
        <w:ind w:hanging="284"/>
        <w:rPr>
          <w:lang w:bidi="en-US"/>
        </w:rPr>
      </w:pPr>
      <w:r w:rsidRPr="009A622B">
        <w:rPr>
          <w:lang w:bidi="en-US"/>
        </w:rPr>
        <w:t>Browne NK, Smithers SG, Perry CT (2010) Geomorphology and community structure of Middle Reef, central Great Barrier Reef, Australia: an inner-shelf turbid zone reef subject to episodic mortality events. Coral Reefs 29: 683-689</w:t>
      </w:r>
    </w:p>
    <w:p w14:paraId="45B6FDFD" w14:textId="77777777" w:rsidR="009F400E" w:rsidRPr="004A1168" w:rsidRDefault="009F400E" w:rsidP="003708B0">
      <w:pPr>
        <w:ind w:hanging="284"/>
        <w:rPr>
          <w:color w:val="000000" w:themeColor="text1"/>
          <w:lang w:bidi="en-US"/>
        </w:rPr>
      </w:pPr>
      <w:r w:rsidRPr="004A1168">
        <w:rPr>
          <w:color w:val="000000" w:themeColor="text1"/>
        </w:rPr>
        <w:t>Browne NK, Smithers SG, Perry CT (2012) Coral reefs of the turbid inner-shelf of the Great Barrier Reef, Australia: An environmental and geomorphic perspective on the occurrence, composition and growth. Earth-Science Reviews 115:1-20</w:t>
      </w:r>
    </w:p>
    <w:p w14:paraId="183AA8EE" w14:textId="77777777" w:rsidR="009F400E" w:rsidRPr="009A622B" w:rsidRDefault="009F400E" w:rsidP="003708B0">
      <w:pPr>
        <w:ind w:hanging="284"/>
      </w:pPr>
      <w:r w:rsidRPr="009A622B">
        <w:t>Bruno JF, Petes LE, Harvell CD, Hettinger A (2003) Nutrient enrichment can increase the severity of coral diseases. Ecology Letters 6:1056-1061</w:t>
      </w:r>
    </w:p>
    <w:p w14:paraId="1D6F7A05" w14:textId="77777777" w:rsidR="009F400E" w:rsidRPr="009A622B" w:rsidRDefault="009F400E" w:rsidP="003708B0">
      <w:pPr>
        <w:ind w:hanging="284"/>
      </w:pPr>
      <w:r w:rsidRPr="009A622B">
        <w:t>Bruno JF, Sweatman H, Precht WF, Selig ER, Schutte VGW (2009) Assessing evidence of phase shifts from coral to macroalgal dominance on coral reefs. Ecology 90:1478-1484</w:t>
      </w:r>
    </w:p>
    <w:p w14:paraId="58A8D733" w14:textId="77777777" w:rsidR="009F400E" w:rsidRPr="009A622B" w:rsidRDefault="009F400E" w:rsidP="003708B0">
      <w:pPr>
        <w:ind w:hanging="284"/>
        <w:rPr>
          <w:szCs w:val="24"/>
          <w:lang w:val="en-AU" w:eastAsia="en-AU"/>
        </w:rPr>
      </w:pPr>
      <w:r w:rsidRPr="009A622B">
        <w:rPr>
          <w:szCs w:val="24"/>
          <w:lang w:val="en-AU" w:eastAsia="en-AU"/>
        </w:rPr>
        <w:t>Caballes CF, Pratchett MS (2014) Reproductive biology and early life history of the crown-of-thorns starfish. In: Whitmore E (</w:t>
      </w:r>
      <w:r w:rsidR="001648C9" w:rsidRPr="009A622B">
        <w:rPr>
          <w:szCs w:val="24"/>
          <w:lang w:val="en-AU" w:eastAsia="en-AU"/>
        </w:rPr>
        <w:t>Ed</w:t>
      </w:r>
      <w:r w:rsidRPr="009A622B">
        <w:rPr>
          <w:szCs w:val="24"/>
          <w:lang w:val="en-AU" w:eastAsia="en-AU"/>
        </w:rPr>
        <w:t>) Echinoderms: ecology, habitats and reproductive biology. Nova Science Publishers, New York, NY, USA</w:t>
      </w:r>
    </w:p>
    <w:p w14:paraId="6054A102" w14:textId="77777777" w:rsidR="009F400E" w:rsidRPr="009A622B" w:rsidRDefault="009F400E" w:rsidP="003708B0">
      <w:pPr>
        <w:ind w:hanging="284"/>
        <w:rPr>
          <w:lang w:val="en-US"/>
        </w:rPr>
      </w:pPr>
      <w:r w:rsidRPr="009A622B">
        <w:rPr>
          <w:lang w:val="en-US"/>
        </w:rPr>
        <w:t>Carpenter KE, Abrar M, Aeby G, Aronson RB, Banks S, Bruckner A, Chiriboga A, Cortes J, Delbeek JC, DeVantier L, Edgar GJ, Edwards AJ, Fenner D, Guzman HM, Hoeksema BW, Hodgson G, Johan O, Licuanan WY, Livingstone SR, Lovell ER, Moore JA, Obura DO, Ochavillo D, Polidoro BA, Precht WF, Quibilan MC, Reboton C, Richards ZT, Rogers AD, Sanciangco J, Sheppard A, Sheppard C, Smith J, Stuart S, Turak E, Veron JEN, Wallace C, Weil E, Wood E (2008) One-Third of Reef-Building Corals Face Elevated Extinction Risk from Climate Change and Local Impacts. Science 321:560-563</w:t>
      </w:r>
    </w:p>
    <w:p w14:paraId="29B1AFA1" w14:textId="77777777" w:rsidR="009F400E" w:rsidRPr="009A622B" w:rsidRDefault="009F400E" w:rsidP="003708B0">
      <w:pPr>
        <w:ind w:hanging="284"/>
        <w:rPr>
          <w:lang w:val="en-AU"/>
        </w:rPr>
      </w:pPr>
      <w:r w:rsidRPr="009A622B">
        <w:t>Cheal AJ, , Emslie M, MacNeil MA, Miller I, Sweatman H (2013)</w:t>
      </w:r>
      <w:r w:rsidRPr="009A622B">
        <w:rPr>
          <w:lang w:val="en-AU"/>
        </w:rPr>
        <w:t xml:space="preserve"> Spatial variation in the functional characteristics of herbivorous fish communities and the resilience of coral reefs</w:t>
      </w:r>
      <w:r w:rsidR="002F16A2" w:rsidRPr="009A622B">
        <w:rPr>
          <w:lang w:val="en-AU"/>
        </w:rPr>
        <w:t>.</w:t>
      </w:r>
      <w:r w:rsidRPr="009A622B">
        <w:rPr>
          <w:lang w:val="en-AU"/>
        </w:rPr>
        <w:t xml:space="preserve"> Ecological Applications 23:174</w:t>
      </w:r>
      <w:r w:rsidR="002F16A2" w:rsidRPr="009A622B">
        <w:rPr>
          <w:lang w:val="en-AU"/>
        </w:rPr>
        <w:t>-</w:t>
      </w:r>
      <w:r w:rsidRPr="009A622B">
        <w:rPr>
          <w:lang w:val="en-AU"/>
        </w:rPr>
        <w:t>188</w:t>
      </w:r>
    </w:p>
    <w:p w14:paraId="20AB8E87" w14:textId="77777777" w:rsidR="009F400E" w:rsidRPr="009A622B" w:rsidRDefault="009F400E" w:rsidP="003708B0">
      <w:pPr>
        <w:ind w:hanging="284"/>
        <w:rPr>
          <w:lang w:eastAsia="en-AU"/>
        </w:rPr>
      </w:pPr>
      <w:r w:rsidRPr="009A622B">
        <w:t>Cheal AJ, MacNeil MA, Cripps E, Emslie M, Jonker M, Schaffelke B, Sweatman H (2010) Coral-macroalgal phase shifts or reef resilience: links with diversity and functional roles of herbivorous fishes on the Great Barrier Reef. Coral Reefs</w:t>
      </w:r>
      <w:r w:rsidRPr="009A622B">
        <w:rPr>
          <w:lang w:eastAsia="en-AU"/>
        </w:rPr>
        <w:t xml:space="preserve"> 29:1005-1015</w:t>
      </w:r>
    </w:p>
    <w:p w14:paraId="70879F1E" w14:textId="77777777" w:rsidR="00626D6B" w:rsidRDefault="00626D6B" w:rsidP="00626D6B">
      <w:pPr>
        <w:ind w:hanging="284"/>
        <w:rPr>
          <w:lang w:val="en-AU" w:eastAsia="en-AU"/>
        </w:rPr>
      </w:pPr>
      <w:r w:rsidRPr="00626D6B">
        <w:rPr>
          <w:lang w:val="en-AU" w:eastAsia="en-AU"/>
        </w:rPr>
        <w:t xml:space="preserve">Clark, T. R., Roff, G., Zhao, J. X., Feng, Y. X., Done, T. J., McCook, L. J., &amp; Pandolfi, J. M. (2017). U-Th dating reveals regional-scale decline of branching Acropora corals on the Great Barrier Reef over the past century. </w:t>
      </w:r>
      <w:r w:rsidRPr="00626D6B">
        <w:rPr>
          <w:iCs/>
          <w:lang w:val="en-AU" w:eastAsia="en-AU"/>
        </w:rPr>
        <w:t>Proceedings of the National Academy of Sciences</w:t>
      </w:r>
      <w:r w:rsidRPr="00626D6B">
        <w:rPr>
          <w:lang w:val="en-AU" w:eastAsia="en-AU"/>
        </w:rPr>
        <w:t xml:space="preserve">, </w:t>
      </w:r>
      <w:r w:rsidRPr="00626D6B">
        <w:rPr>
          <w:iCs/>
          <w:lang w:val="en-AU" w:eastAsia="en-AU"/>
        </w:rPr>
        <w:t>114</w:t>
      </w:r>
      <w:r w:rsidRPr="00626D6B">
        <w:rPr>
          <w:lang w:val="en-AU" w:eastAsia="en-AU"/>
        </w:rPr>
        <w:t>(39), 10350-10355.</w:t>
      </w:r>
    </w:p>
    <w:p w14:paraId="1DF02614" w14:textId="77777777" w:rsidR="00801D0C" w:rsidRPr="00626D6B" w:rsidRDefault="00801D0C" w:rsidP="00626D6B">
      <w:pPr>
        <w:ind w:hanging="284"/>
        <w:rPr>
          <w:lang w:val="en-AU" w:eastAsia="en-AU"/>
        </w:rPr>
      </w:pPr>
      <w:r>
        <w:rPr>
          <w:lang w:val="en-AU" w:eastAsia="en-AU"/>
        </w:rPr>
        <w:t>Connolly SR, Lopez-Yglesias MA, Anthony KRN (2012) Food availability promotes rapid recovery from thermal stress in scleractinian coral</w:t>
      </w:r>
      <w:r w:rsidR="00245FB4">
        <w:rPr>
          <w:lang w:val="en-AU" w:eastAsia="en-AU"/>
        </w:rPr>
        <w:t>. Coral Reefs 31:952-960</w:t>
      </w:r>
    </w:p>
    <w:p w14:paraId="20F1A190" w14:textId="77777777" w:rsidR="009F400E" w:rsidRPr="009A622B" w:rsidRDefault="009F400E" w:rsidP="003708B0">
      <w:pPr>
        <w:ind w:hanging="284"/>
        <w:rPr>
          <w:lang w:val="en-AU" w:eastAsia="en-AU"/>
        </w:rPr>
      </w:pPr>
      <w:r w:rsidRPr="009A622B">
        <w:rPr>
          <w:lang w:eastAsia="en-AU"/>
        </w:rPr>
        <w:t>Cooper TF, Uthicke S, Humphrey C, Fabricius KE (2007) Gradients in water column nutrients, sediment parameters, irradiance and coral reef development in the Whitsunday Region, central Great Barrier Reef. Estuarine, Coastal and Shelf Science 74:458-470</w:t>
      </w:r>
      <w:r w:rsidRPr="009A622B">
        <w:rPr>
          <w:lang w:val="en-AU" w:eastAsia="en-AU"/>
        </w:rPr>
        <w:t>Darnell R, Henderson B, Kroon FJ, Kuhnert P (2012) Statistical power of detecting trends in total suspended sediment loads to the Great Barrier Reef. Marine Pollution Bulletin 65:203-209</w:t>
      </w:r>
    </w:p>
    <w:p w14:paraId="70CFD20C" w14:textId="77777777" w:rsidR="00425F25" w:rsidRPr="000E2680" w:rsidRDefault="00121B7E" w:rsidP="00425F25">
      <w:pPr>
        <w:ind w:hanging="284"/>
        <w:rPr>
          <w:rFonts w:cs="Arial"/>
          <w:szCs w:val="22"/>
          <w:lang w:val="en-AU" w:eastAsia="en-AU"/>
        </w:rPr>
      </w:pPr>
      <w:r>
        <w:rPr>
          <w:rFonts w:cs="Arial"/>
          <w:szCs w:val="22"/>
          <w:lang w:val="en-AU" w:eastAsia="en-AU"/>
        </w:rPr>
        <w:t>Crain CM, Kroeker K, Halpern BS</w:t>
      </w:r>
      <w:r w:rsidR="00425F25" w:rsidRPr="000E2680">
        <w:rPr>
          <w:rFonts w:cs="Arial"/>
          <w:szCs w:val="22"/>
          <w:lang w:val="en-AU" w:eastAsia="en-AU"/>
        </w:rPr>
        <w:t xml:space="preserve"> </w:t>
      </w:r>
      <w:r>
        <w:rPr>
          <w:rFonts w:cs="Arial"/>
          <w:szCs w:val="22"/>
          <w:lang w:val="en-AU" w:eastAsia="en-AU"/>
        </w:rPr>
        <w:t>(</w:t>
      </w:r>
      <w:r w:rsidR="00425F25" w:rsidRPr="000E2680">
        <w:rPr>
          <w:rFonts w:cs="Arial"/>
          <w:szCs w:val="22"/>
          <w:lang w:val="en-AU" w:eastAsia="en-AU"/>
        </w:rPr>
        <w:t>2008</w:t>
      </w:r>
      <w:r>
        <w:rPr>
          <w:rFonts w:cs="Arial"/>
          <w:szCs w:val="22"/>
          <w:lang w:val="en-AU" w:eastAsia="en-AU"/>
        </w:rPr>
        <w:t>)</w:t>
      </w:r>
      <w:r w:rsidR="00425F25" w:rsidRPr="000E2680">
        <w:rPr>
          <w:rFonts w:cs="Arial"/>
          <w:szCs w:val="22"/>
          <w:lang w:val="en-AU" w:eastAsia="en-AU"/>
        </w:rPr>
        <w:t xml:space="preserve"> Interactive and cumulative effects of multiple human stressors in marine systems. </w:t>
      </w:r>
      <w:r w:rsidR="00425F25" w:rsidRPr="00245FB4">
        <w:rPr>
          <w:rFonts w:cs="Arial"/>
          <w:iCs/>
          <w:szCs w:val="22"/>
          <w:lang w:val="en-AU" w:eastAsia="en-AU"/>
        </w:rPr>
        <w:t>Ecology letters</w:t>
      </w:r>
      <w:r w:rsidR="00425F25" w:rsidRPr="00245FB4">
        <w:rPr>
          <w:rFonts w:cs="Arial"/>
          <w:szCs w:val="22"/>
          <w:lang w:val="en-AU" w:eastAsia="en-AU"/>
        </w:rPr>
        <w:t xml:space="preserve">, </w:t>
      </w:r>
      <w:r w:rsidR="00425F25" w:rsidRPr="00245FB4">
        <w:rPr>
          <w:rFonts w:cs="Arial"/>
          <w:iCs/>
          <w:szCs w:val="22"/>
          <w:lang w:val="en-AU" w:eastAsia="en-AU"/>
        </w:rPr>
        <w:t>11</w:t>
      </w:r>
      <w:r w:rsidR="00425F25" w:rsidRPr="00245FB4">
        <w:rPr>
          <w:rFonts w:cs="Arial"/>
          <w:szCs w:val="22"/>
          <w:lang w:val="en-AU" w:eastAsia="en-AU"/>
        </w:rPr>
        <w:t>(12</w:t>
      </w:r>
      <w:r w:rsidR="00425F25" w:rsidRPr="000E2680">
        <w:rPr>
          <w:rFonts w:cs="Arial"/>
          <w:szCs w:val="22"/>
          <w:lang w:val="en-AU" w:eastAsia="en-AU"/>
        </w:rPr>
        <w:t>), pp.1304-1315.</w:t>
      </w:r>
    </w:p>
    <w:p w14:paraId="6FBA1429" w14:textId="77777777" w:rsidR="009F400E" w:rsidRPr="000E2680" w:rsidRDefault="009F400E" w:rsidP="003708B0">
      <w:pPr>
        <w:ind w:hanging="284"/>
        <w:rPr>
          <w:lang w:val="en-US"/>
        </w:rPr>
      </w:pPr>
      <w:r w:rsidRPr="000E2680">
        <w:rPr>
          <w:lang w:val="en-US"/>
        </w:rPr>
        <w:t>De'ath G, Fabricius KE (2008) Water Quality of the Great Barrier Reef: Distributions, Effects on Reef Biota and Trigger Values for the Protection of Ecosystem Health. Research Publication No. 89. Great Barrier Marine Park Authority, Townsville, p. 104p</w:t>
      </w:r>
    </w:p>
    <w:p w14:paraId="50A46832" w14:textId="77777777" w:rsidR="009F400E" w:rsidRPr="000E2680" w:rsidRDefault="009F400E" w:rsidP="003708B0">
      <w:pPr>
        <w:ind w:hanging="284"/>
        <w:rPr>
          <w:lang w:val="en-US"/>
        </w:rPr>
      </w:pPr>
      <w:r w:rsidRPr="000E2680">
        <w:rPr>
          <w:lang w:val="en-US"/>
        </w:rPr>
        <w:t>De'ath G, Fabricius KE (2010) Water quality as a regional driver of coral biodiversity and macroalgae on the Great Barrier Reef. Ecological Applications 20:840–850</w:t>
      </w:r>
    </w:p>
    <w:p w14:paraId="4E3E3761" w14:textId="77777777" w:rsidR="009F400E" w:rsidRPr="000E2680" w:rsidRDefault="009F400E" w:rsidP="003708B0">
      <w:pPr>
        <w:ind w:hanging="284"/>
        <w:rPr>
          <w:rFonts w:eastAsia="MS Mincho"/>
          <w:lang w:eastAsia="ja-JP"/>
        </w:rPr>
      </w:pPr>
      <w:r w:rsidRPr="000E2680">
        <w:rPr>
          <w:rFonts w:eastAsia="MS Mincho"/>
          <w:lang w:eastAsia="ja-JP"/>
        </w:rPr>
        <w:t>De’ath G, Fabricius KE, Sweatman H, Puotinen</w:t>
      </w:r>
      <w:r w:rsidR="00197EF9" w:rsidRPr="000E2680">
        <w:rPr>
          <w:rFonts w:eastAsia="MS Mincho"/>
          <w:lang w:eastAsia="ja-JP"/>
        </w:rPr>
        <w:t xml:space="preserve"> M</w:t>
      </w:r>
      <w:r w:rsidR="00575B10" w:rsidRPr="000E2680">
        <w:rPr>
          <w:rFonts w:eastAsia="MS Mincho"/>
          <w:lang w:eastAsia="ja-JP"/>
        </w:rPr>
        <w:t xml:space="preserve"> </w:t>
      </w:r>
      <w:r w:rsidRPr="000E2680">
        <w:rPr>
          <w:rFonts w:eastAsia="MS Mincho"/>
          <w:lang w:eastAsia="ja-JP"/>
        </w:rPr>
        <w:t xml:space="preserve">(2012) The 27-year decline of coral cover on the Great Barrier Reef and its causes. Proceedings of the National Academy of Sciences 190(44):17995-17999 </w:t>
      </w:r>
    </w:p>
    <w:p w14:paraId="43DF6FAF" w14:textId="77777777" w:rsidR="009F400E" w:rsidRPr="00F352E1" w:rsidRDefault="009F400E" w:rsidP="003708B0">
      <w:pPr>
        <w:ind w:hanging="284"/>
        <w:rPr>
          <w:color w:val="4F81BD" w:themeColor="accent1"/>
        </w:rPr>
      </w:pPr>
      <w:r w:rsidRPr="000E2680">
        <w:t>DeVantier L, De’ath G, Turak E, Done TJ, Fabricius KE (2006) Species richness and community structure of reef-building corals on the nearshore Great Barrier Reef. Coral Reef 25:329-340</w:t>
      </w:r>
    </w:p>
    <w:p w14:paraId="6DCC788B" w14:textId="77777777" w:rsidR="009F400E" w:rsidRPr="000E2680" w:rsidRDefault="009F400E" w:rsidP="003708B0">
      <w:pPr>
        <w:ind w:hanging="284"/>
        <w:rPr>
          <w:rFonts w:eastAsia="MS Mincho"/>
          <w:lang w:eastAsia="ja-JP"/>
        </w:rPr>
      </w:pPr>
      <w:r w:rsidRPr="000E2680">
        <w:rPr>
          <w:rFonts w:eastAsia="MS Mincho"/>
          <w:lang w:eastAsia="ja-JP"/>
        </w:rPr>
        <w:t>Diaz-Pulido G, Harii S, McCook LJ, Hoegh-Guldberg O (2010) The impact of benthic algae on the settlement of a reef-building coral. Coral Reefs 29:203-208</w:t>
      </w:r>
    </w:p>
    <w:p w14:paraId="583962E2" w14:textId="77777777" w:rsidR="00782ECB" w:rsidRPr="000E2680" w:rsidRDefault="00782ECB" w:rsidP="003708B0">
      <w:pPr>
        <w:ind w:hanging="284"/>
        <w:rPr>
          <w:rFonts w:eastAsiaTheme="minorHAnsi"/>
          <w:lang w:val="en-AU"/>
        </w:rPr>
      </w:pPr>
      <w:r w:rsidRPr="000E2680">
        <w:rPr>
          <w:rFonts w:eastAsiaTheme="minorHAnsi"/>
          <w:lang w:val="en-AU"/>
        </w:rPr>
        <w:t>Diaz-Pulido G, McCook LJ (2003) Relative roles of herbivory and nutrients in the recruitment of coral-reef seaweeds. Ecology 84:2026-2033</w:t>
      </w:r>
    </w:p>
    <w:p w14:paraId="2C9351A4" w14:textId="77777777" w:rsidR="009F400E" w:rsidRPr="000E2680" w:rsidRDefault="009F400E" w:rsidP="003708B0">
      <w:pPr>
        <w:ind w:hanging="284"/>
        <w:rPr>
          <w:rFonts w:eastAsia="MS Mincho"/>
          <w:lang w:eastAsia="ja-JP"/>
        </w:rPr>
      </w:pPr>
      <w:r w:rsidRPr="000E2680">
        <w:rPr>
          <w:rFonts w:eastAsia="MS Mincho"/>
          <w:lang w:eastAsia="ja-JP"/>
        </w:rPr>
        <w:t xml:space="preserve">Diaz-Pulido G, McCook LJ, Dove S, Berkelmans R, Roff G, Kline DI, Weeks S, Evans RD, Williamson DH, Hoegh-Guldberg O (2009) Doom and Boom on a Resilient Reef: Climate Change, Algal Overgrowth and Coral Recovery. PLoS ONE 4(4): e5239 </w:t>
      </w:r>
    </w:p>
    <w:p w14:paraId="2AAFDCBE" w14:textId="77777777" w:rsidR="009F400E" w:rsidRPr="000E2680" w:rsidRDefault="009F400E" w:rsidP="003708B0">
      <w:pPr>
        <w:ind w:hanging="284"/>
        <w:rPr>
          <w:lang w:eastAsia="en-AU"/>
        </w:rPr>
      </w:pPr>
      <w:r w:rsidRPr="000E2680">
        <w:rPr>
          <w:lang w:eastAsia="en-AU"/>
        </w:rPr>
        <w:t>Done T, Turak E, Wakeford M, DeVantier L, McDonald A and Fisk D (2007) Decadal changes in turbid-water coral communities at Pandora Reef: loss of resilience or too soon to tell? Coral reefs 26:789–805</w:t>
      </w:r>
    </w:p>
    <w:p w14:paraId="37B42889" w14:textId="77777777" w:rsidR="009F400E" w:rsidRDefault="009F400E" w:rsidP="003708B0">
      <w:pPr>
        <w:ind w:hanging="284"/>
        <w:rPr>
          <w:rFonts w:eastAsia="MS Mincho"/>
          <w:lang w:eastAsia="ja-JP"/>
        </w:rPr>
      </w:pPr>
      <w:r w:rsidRPr="000E2680">
        <w:rPr>
          <w:rFonts w:eastAsia="MS Mincho"/>
          <w:lang w:eastAsia="ja-JP"/>
        </w:rPr>
        <w:t>Done TJ (1982) Patterns in the distribution of coral communities across the central Great Barrier Reef. Coral Reefs 1:95-107</w:t>
      </w:r>
    </w:p>
    <w:p w14:paraId="1583DC80" w14:textId="77777777" w:rsidR="004F1AD0" w:rsidRPr="000E2680" w:rsidRDefault="004F1AD0" w:rsidP="004F1AD0">
      <w:pPr>
        <w:ind w:hanging="284"/>
        <w:rPr>
          <w:rFonts w:eastAsia="MS Mincho"/>
          <w:lang w:eastAsia="ja-JP"/>
        </w:rPr>
      </w:pPr>
      <w:r w:rsidRPr="004F1AD0">
        <w:rPr>
          <w:rFonts w:eastAsia="MS Mincho"/>
          <w:lang w:eastAsia="ja-JP"/>
        </w:rPr>
        <w:t>Done T, Roelfsema C, Harvey A, Schuller L, Hill J, Schläppy M, Lea A, Bauer-Civiello A, Loder J</w:t>
      </w:r>
      <w:r>
        <w:rPr>
          <w:rFonts w:eastAsia="MS Mincho"/>
          <w:lang w:eastAsia="ja-JP"/>
        </w:rPr>
        <w:t xml:space="preserve"> (2017) </w:t>
      </w:r>
      <w:r w:rsidRPr="004F1AD0">
        <w:rPr>
          <w:rFonts w:eastAsia="MS Mincho"/>
          <w:lang w:eastAsia="ja-JP"/>
        </w:rPr>
        <w:t>Reliability and utility of citizen science reef monitoring data collected by Reef Check Australia, 2002–2015</w:t>
      </w:r>
      <w:r>
        <w:rPr>
          <w:rFonts w:eastAsia="MS Mincho"/>
          <w:lang w:eastAsia="ja-JP"/>
        </w:rPr>
        <w:t xml:space="preserve">. </w:t>
      </w:r>
      <w:r w:rsidRPr="004F1AD0">
        <w:rPr>
          <w:rFonts w:eastAsia="MS Mincho"/>
          <w:lang w:eastAsia="ja-JP"/>
        </w:rPr>
        <w:t xml:space="preserve">Marine Pollution Bulletin, vol. 117, issue 1-2 pp. 148-155 </w:t>
      </w:r>
    </w:p>
    <w:p w14:paraId="7EAECDF9" w14:textId="77777777" w:rsidR="004A1168" w:rsidRPr="00424239" w:rsidRDefault="004A1168" w:rsidP="004A1168">
      <w:pPr>
        <w:ind w:hanging="284"/>
        <w:rPr>
          <w:rFonts w:cs="Arial"/>
          <w:color w:val="000000" w:themeColor="text1"/>
          <w:szCs w:val="22"/>
          <w:lang w:val="en-AU" w:eastAsia="en-AU"/>
        </w:rPr>
      </w:pPr>
      <w:r w:rsidRPr="00424239">
        <w:rPr>
          <w:rFonts w:cs="Arial"/>
          <w:color w:val="000000" w:themeColor="text1"/>
          <w:szCs w:val="22"/>
          <w:lang w:val="en-AU" w:eastAsia="en-AU"/>
        </w:rPr>
        <w:t xml:space="preserve">Duckworth A, Giofre N, Jones R (2017) </w:t>
      </w:r>
      <w:hyperlink r:id="rId77" w:tgtFrame="_blank" w:history="1">
        <w:r w:rsidRPr="00424239">
          <w:rPr>
            <w:rFonts w:cs="Arial"/>
            <w:bCs/>
            <w:iCs/>
            <w:color w:val="000000" w:themeColor="text1"/>
            <w:szCs w:val="22"/>
            <w:lang w:val="en-AU" w:eastAsia="en-AU"/>
          </w:rPr>
          <w:t>Coral morphology and sedimentation</w:t>
        </w:r>
      </w:hyperlink>
      <w:r>
        <w:rPr>
          <w:rFonts w:cs="Arial"/>
          <w:color w:val="000000" w:themeColor="text1"/>
          <w:szCs w:val="22"/>
          <w:lang w:val="en-AU" w:eastAsia="en-AU"/>
        </w:rPr>
        <w:t>.</w:t>
      </w:r>
      <w:r w:rsidRPr="00424239">
        <w:rPr>
          <w:rFonts w:cs="Arial"/>
          <w:color w:val="000000" w:themeColor="text1"/>
          <w:szCs w:val="22"/>
          <w:lang w:val="en-AU" w:eastAsia="en-AU"/>
        </w:rPr>
        <w:t xml:space="preserve"> </w:t>
      </w:r>
      <w:r w:rsidRPr="00424239">
        <w:rPr>
          <w:rFonts w:cs="Arial"/>
          <w:i/>
          <w:color w:val="000000" w:themeColor="text1"/>
          <w:szCs w:val="22"/>
          <w:lang w:val="en-AU" w:eastAsia="en-AU"/>
        </w:rPr>
        <w:t>Marine Pollution Bulletin</w:t>
      </w:r>
      <w:r w:rsidRPr="00424239">
        <w:rPr>
          <w:rFonts w:cs="Arial"/>
          <w:color w:val="000000" w:themeColor="text1"/>
          <w:szCs w:val="22"/>
          <w:lang w:val="en-AU" w:eastAsia="en-AU"/>
        </w:rPr>
        <w:t xml:space="preserve"> </w:t>
      </w:r>
      <w:hyperlink r:id="rId78" w:tgtFrame="_blank" w:history="1">
        <w:r w:rsidRPr="00424239">
          <w:rPr>
            <w:rFonts w:cs="Arial"/>
            <w:color w:val="000000" w:themeColor="text1"/>
            <w:szCs w:val="22"/>
            <w:lang w:val="en-AU" w:eastAsia="en-AU"/>
          </w:rPr>
          <w:t>doi.org/10.1016/j.marpolbul.2017.08.036</w:t>
        </w:r>
      </w:hyperlink>
    </w:p>
    <w:p w14:paraId="1320C17F" w14:textId="77777777" w:rsidR="009F400E" w:rsidRPr="00D51F93" w:rsidRDefault="009F400E" w:rsidP="003708B0">
      <w:pPr>
        <w:ind w:hanging="284"/>
        <w:rPr>
          <w:lang w:eastAsia="en-AU"/>
        </w:rPr>
      </w:pPr>
      <w:r w:rsidRPr="00D51F93">
        <w:rPr>
          <w:lang w:eastAsia="en-AU"/>
        </w:rPr>
        <w:t>Erftemeijer PLA, Reigl B, Hoeksema BW, Todd PA (2012) Environmental impacts of dredging and other sediment disturbances on corals: A review. Marine Pollution Bulletin 64:1737-1765</w:t>
      </w:r>
    </w:p>
    <w:p w14:paraId="6AABD84F" w14:textId="77777777" w:rsidR="009F400E" w:rsidRPr="00D51F93" w:rsidRDefault="009F400E" w:rsidP="003708B0">
      <w:pPr>
        <w:ind w:hanging="284"/>
        <w:rPr>
          <w:lang w:val="en-US"/>
        </w:rPr>
      </w:pPr>
      <w:r w:rsidRPr="00D51F93">
        <w:rPr>
          <w:lang w:val="en-US"/>
        </w:rPr>
        <w:t>Fabricius KE (2005) Effects of terrestrial runoff on the ecology of corals and coral reefs: Review and synthesis. Marine Pollution Bulletin 50:125-146</w:t>
      </w:r>
    </w:p>
    <w:p w14:paraId="5D965139" w14:textId="77777777" w:rsidR="009F400E" w:rsidRPr="00D51F93" w:rsidRDefault="009F400E" w:rsidP="003708B0">
      <w:pPr>
        <w:ind w:hanging="284"/>
      </w:pPr>
      <w:r w:rsidRPr="00D51F93">
        <w:t>Fabricius KE (2011) Factors determining the resilience of coral reefs to eutrophication: a review and conceptual model. In: Dubinsky Z, Stambler N (</w:t>
      </w:r>
      <w:r w:rsidR="001648C9" w:rsidRPr="00D51F93">
        <w:t>Eds</w:t>
      </w:r>
      <w:r w:rsidRPr="00D51F93">
        <w:t>) Coral Reefs: An Ecosystem in</w:t>
      </w:r>
      <w:r w:rsidR="001648C9" w:rsidRPr="00D51F93">
        <w:t xml:space="preserve"> Transition, Springer Press, pp.</w:t>
      </w:r>
      <w:r w:rsidRPr="00D51F93">
        <w:t>493-506</w:t>
      </w:r>
    </w:p>
    <w:p w14:paraId="6AB6E194" w14:textId="77777777" w:rsidR="009F400E" w:rsidRPr="00D51F93" w:rsidRDefault="009F400E" w:rsidP="003708B0">
      <w:pPr>
        <w:ind w:hanging="284"/>
        <w:rPr>
          <w:lang w:eastAsia="en-AU"/>
        </w:rPr>
      </w:pPr>
      <w:r w:rsidRPr="00D51F93">
        <w:rPr>
          <w:rFonts w:eastAsia="MS Mincho"/>
          <w:lang w:eastAsia="ja-JP"/>
        </w:rPr>
        <w:t xml:space="preserve">Fabricius KE, Cooper TF, Humphrey C, Uthicke S, De’ath G, Davidson J, LeGrand H, Thompson A, Schaffelke B (2012) A bioindicator system for water quality on inshore coral reefs of the Great Barrier Reef. Marine Pollution Bulletin </w:t>
      </w:r>
      <w:r w:rsidRPr="00D51F93">
        <w:rPr>
          <w:lang w:eastAsia="en-AU"/>
        </w:rPr>
        <w:t>65:320-332</w:t>
      </w:r>
    </w:p>
    <w:p w14:paraId="04F8DDDC" w14:textId="77777777" w:rsidR="009F400E" w:rsidRPr="00D51F93" w:rsidRDefault="009F400E" w:rsidP="003708B0">
      <w:pPr>
        <w:ind w:hanging="284"/>
        <w:rPr>
          <w:lang w:val="en-AU"/>
        </w:rPr>
      </w:pPr>
      <w:r w:rsidRPr="00D51F93">
        <w:t>Fabricius KE, Cseke S, Humphrey CA, De’ath G (2013b) Does trophic status enhance or reduce the thermal tolerance of scleractinian corals? A review, experiment and conceptual framework. PLoS ONE 8 e54399</w:t>
      </w:r>
    </w:p>
    <w:p w14:paraId="5A63F465" w14:textId="77777777" w:rsidR="009F400E" w:rsidRPr="00D51F93" w:rsidRDefault="009F400E" w:rsidP="003708B0">
      <w:pPr>
        <w:ind w:hanging="284"/>
        <w:rPr>
          <w:rFonts w:eastAsia="MS Mincho"/>
          <w:lang w:eastAsia="ja-JP"/>
        </w:rPr>
      </w:pPr>
      <w:r w:rsidRPr="00D51F93">
        <w:rPr>
          <w:rFonts w:eastAsia="MS Mincho"/>
          <w:lang w:eastAsia="ja-JP"/>
        </w:rPr>
        <w:t>Fabricius KE, De’ath G (2001) Biodiversity on the Great Barrier Reef: Large-scale patterns and turbidity-related local loss of soft coral taxa. In Wolanski E (</w:t>
      </w:r>
      <w:r w:rsidR="001648C9" w:rsidRPr="00D51F93">
        <w:rPr>
          <w:rFonts w:eastAsia="MS Mincho"/>
          <w:lang w:eastAsia="ja-JP"/>
        </w:rPr>
        <w:t>Ed</w:t>
      </w:r>
      <w:r w:rsidRPr="00D51F93">
        <w:rPr>
          <w:rFonts w:eastAsia="MS Mincho"/>
          <w:lang w:eastAsia="ja-JP"/>
        </w:rPr>
        <w:t>) Biological-Physical Links: Oceanographic processes on the Great Barrier Reef. CRC Press, Boca Raton</w:t>
      </w:r>
    </w:p>
    <w:p w14:paraId="47A3BEBA" w14:textId="77777777" w:rsidR="009F400E" w:rsidRPr="00D51F93" w:rsidRDefault="009F400E" w:rsidP="003708B0">
      <w:pPr>
        <w:ind w:hanging="284"/>
        <w:rPr>
          <w:lang w:val="en-AU"/>
        </w:rPr>
      </w:pPr>
      <w:r w:rsidRPr="00D51F93">
        <w:rPr>
          <w:lang w:val="en-AU"/>
        </w:rPr>
        <w:t>Fabricius KE, De’ath G, Humphrey C, Zagorskis I, Schaffelke B (2013a) Intra-annual variation in turbidity in response to terrestrial runoff on near-shore coral reefs of the Great Barrier Reef, Estuarine Coastal and Shelf Science 116:57-65</w:t>
      </w:r>
    </w:p>
    <w:p w14:paraId="6FD8BEF5" w14:textId="77777777" w:rsidR="009F400E" w:rsidRPr="00D51F93" w:rsidRDefault="009F400E" w:rsidP="003708B0">
      <w:pPr>
        <w:ind w:hanging="284"/>
        <w:rPr>
          <w:rFonts w:eastAsia="MS Mincho"/>
          <w:lang w:eastAsia="ja-JP"/>
        </w:rPr>
      </w:pPr>
      <w:r w:rsidRPr="00D51F93">
        <w:rPr>
          <w:rFonts w:eastAsia="MS Mincho"/>
          <w:lang w:eastAsia="ja-JP"/>
        </w:rPr>
        <w:t>Fabricius KE, De’ath G, McCook L, Turak E, Williams DMcB (2005) Changes in algal, coral and fish assemblages along water quality gradients on the inshore Great Barrier Reef. Marine Pollution Bulletin 51:384-396</w:t>
      </w:r>
    </w:p>
    <w:p w14:paraId="6922B197" w14:textId="77777777" w:rsidR="00B102BD" w:rsidRPr="00D51F93" w:rsidRDefault="00B102BD" w:rsidP="003708B0">
      <w:pPr>
        <w:ind w:hanging="284"/>
        <w:rPr>
          <w:rFonts w:eastAsia="MS Mincho" w:cs="Arial"/>
          <w:szCs w:val="22"/>
          <w:lang w:eastAsia="ja-JP"/>
        </w:rPr>
      </w:pPr>
      <w:r w:rsidRPr="00D51F93">
        <w:rPr>
          <w:rFonts w:eastAsiaTheme="minorHAnsi" w:cs="Arial"/>
          <w:szCs w:val="22"/>
          <w:lang w:val="en-AU"/>
        </w:rPr>
        <w:t>Fabricius KE, De’ath G, Puotinen MJ, Done T, Cooper TF, Burgess SC (2008) Disturbance gradients on inshore and offshore coral reefs caused by a severe tropical cyclone. Limnology and Oceanography 53(2): 690-704</w:t>
      </w:r>
    </w:p>
    <w:p w14:paraId="7303DFF8" w14:textId="77777777" w:rsidR="009F400E" w:rsidRPr="00D51F93" w:rsidRDefault="009F400E" w:rsidP="003708B0">
      <w:pPr>
        <w:ind w:hanging="284"/>
      </w:pPr>
      <w:r w:rsidRPr="00D51F93">
        <w:t>Fabricius KE, Logan M, Weeks S, Brodie J (2014) Assessing inter- and intra-annual changes in water clarity in response to river run-off on the central Great Barrier Reef from 10 years of MODIS-Aqua data. Marine Pollution Bulletin 84:191-200</w:t>
      </w:r>
    </w:p>
    <w:p w14:paraId="76B41F6E" w14:textId="77777777" w:rsidR="00127227" w:rsidRPr="00D51F93" w:rsidRDefault="00127227" w:rsidP="003708B0">
      <w:pPr>
        <w:ind w:hanging="284"/>
        <w:rPr>
          <w:lang w:val="en-US"/>
        </w:rPr>
      </w:pPr>
      <w:r w:rsidRPr="00D51F93">
        <w:t xml:space="preserve">Fabricius KE, Logan M, Weeks SJ, Lewis SE, Brodie J (2016) Changes in water clarity in response to river discharges on the Great Barrier Reef continental shelf: 2002-2013. </w:t>
      </w:r>
      <w:r w:rsidRPr="00D51F93">
        <w:rPr>
          <w:lang w:val="en-AU"/>
        </w:rPr>
        <w:t>Estuarine Coastal and Shelf Science 173:A1-A15</w:t>
      </w:r>
    </w:p>
    <w:p w14:paraId="7726C65A" w14:textId="77777777" w:rsidR="009F400E" w:rsidRPr="00D51F93" w:rsidRDefault="009F400E" w:rsidP="003708B0">
      <w:pPr>
        <w:ind w:hanging="284"/>
        <w:rPr>
          <w:rFonts w:eastAsia="MS Mincho"/>
          <w:lang w:eastAsia="ja-JP"/>
        </w:rPr>
      </w:pPr>
      <w:r w:rsidRPr="00D51F93">
        <w:rPr>
          <w:rFonts w:eastAsia="MS Mincho"/>
          <w:lang w:eastAsia="ja-JP"/>
        </w:rPr>
        <w:t xml:space="preserve">Fabricius KE, Okaji K, De’ath G (2010) Three lines of evidence to link outbreaks of the crown-of-thorns seastar </w:t>
      </w:r>
      <w:r w:rsidRPr="00D51F93">
        <w:rPr>
          <w:rFonts w:eastAsia="MS Mincho"/>
          <w:i/>
          <w:iCs/>
          <w:lang w:eastAsia="ja-JP"/>
        </w:rPr>
        <w:t xml:space="preserve">Acanthaster planci </w:t>
      </w:r>
      <w:r w:rsidRPr="00D51F93">
        <w:rPr>
          <w:rFonts w:eastAsia="MS Mincho"/>
          <w:lang w:eastAsia="ja-JP"/>
        </w:rPr>
        <w:t>to the release of larval food limitation. Coral Reefs 29:593-605</w:t>
      </w:r>
    </w:p>
    <w:p w14:paraId="25947397" w14:textId="77777777" w:rsidR="009F400E" w:rsidRPr="00D51F93" w:rsidRDefault="009F400E" w:rsidP="003708B0">
      <w:pPr>
        <w:ind w:hanging="284"/>
        <w:rPr>
          <w:rFonts w:eastAsia="MS Mincho"/>
          <w:lang w:eastAsia="ja-JP"/>
        </w:rPr>
      </w:pPr>
      <w:r w:rsidRPr="00D51F93">
        <w:rPr>
          <w:rFonts w:eastAsia="MS Mincho"/>
          <w:lang w:eastAsia="ja-JP"/>
        </w:rPr>
        <w:t>Fabricius KE, Wild C, Wolanski E, Abele D (2003) Effects of transparent exopolymer particles and muddy terrigenous sediments on survival of hard coral recruits. Estuarine, Costal and Shelf Science 57:613-621</w:t>
      </w:r>
    </w:p>
    <w:p w14:paraId="4B233C4D" w14:textId="77777777" w:rsidR="009F400E" w:rsidRPr="00D51F93" w:rsidRDefault="009F400E" w:rsidP="003708B0">
      <w:pPr>
        <w:ind w:hanging="284"/>
        <w:rPr>
          <w:rFonts w:eastAsia="MS Mincho"/>
          <w:lang w:eastAsia="ja-JP"/>
        </w:rPr>
      </w:pPr>
      <w:r w:rsidRPr="00D51F93">
        <w:rPr>
          <w:rFonts w:eastAsia="MS Mincho"/>
          <w:lang w:eastAsia="ja-JP"/>
        </w:rPr>
        <w:t>Fabricius KE, Wolanski E (2000) Rapid smothering of coral reef organisms by muddy marine snow. Estuarine, Costal and Shelf Science 50:115-120</w:t>
      </w:r>
    </w:p>
    <w:p w14:paraId="21CD24A6" w14:textId="77777777" w:rsidR="00573FD8" w:rsidRPr="00D51F93" w:rsidRDefault="00573FD8" w:rsidP="003708B0">
      <w:pPr>
        <w:ind w:hanging="284"/>
        <w:rPr>
          <w:lang w:val="en-US"/>
        </w:rPr>
      </w:pPr>
      <w:r w:rsidRPr="00D51F93">
        <w:rPr>
          <w:lang w:val="en-US"/>
        </w:rPr>
        <w:t>Fabricius KE, Logan M, Weeks SJ, Lewis SE, Brodie J</w:t>
      </w:r>
      <w:r w:rsidRPr="00D51F93" w:rsidDel="007E7510">
        <w:rPr>
          <w:lang w:val="en-US"/>
        </w:rPr>
        <w:t xml:space="preserve"> </w:t>
      </w:r>
      <w:r w:rsidRPr="00D51F93">
        <w:rPr>
          <w:lang w:val="en-US"/>
        </w:rPr>
        <w:t xml:space="preserve">(2016) Changes in water clarity in response to river discharges on the Great Barrier Reef continental shelf: 2002-2013. Estuarine Coastal and Shelf Science </w:t>
      </w:r>
    </w:p>
    <w:p w14:paraId="5603C381" w14:textId="77777777" w:rsidR="009F400E" w:rsidRPr="00D51F93" w:rsidRDefault="009F400E" w:rsidP="003708B0">
      <w:pPr>
        <w:ind w:hanging="284"/>
        <w:rPr>
          <w:rFonts w:eastAsia="MS Mincho"/>
        </w:rPr>
      </w:pPr>
      <w:r w:rsidRPr="00D51F93">
        <w:rPr>
          <w:rFonts w:eastAsia="MS Mincho"/>
        </w:rPr>
        <w:t xml:space="preserve">Foster NL, Box SJ, Mumby PJ (2008) Competitive effects of macroalgae on the fecundity of the reef-building coral </w:t>
      </w:r>
      <w:r w:rsidRPr="00D51F93">
        <w:rPr>
          <w:rFonts w:eastAsia="MS Mincho"/>
          <w:i/>
        </w:rPr>
        <w:t>Montastrea annularis</w:t>
      </w:r>
      <w:r w:rsidRPr="00D51F93">
        <w:rPr>
          <w:rFonts w:eastAsia="MS Mincho"/>
        </w:rPr>
        <w:t>. Marine Ecology Progress Series 367:143-152</w:t>
      </w:r>
    </w:p>
    <w:p w14:paraId="6970057A" w14:textId="77777777" w:rsidR="009F400E" w:rsidRPr="00D51F93" w:rsidRDefault="009F400E" w:rsidP="003708B0">
      <w:pPr>
        <w:ind w:hanging="284"/>
        <w:rPr>
          <w:lang w:val="en-US"/>
        </w:rPr>
      </w:pPr>
      <w:r w:rsidRPr="00D51F93">
        <w:rPr>
          <w:lang w:val="en-US"/>
        </w:rPr>
        <w:t>Furnas M, Alongi D, McKinnon AD, Trott L, Skuza</w:t>
      </w:r>
      <w:r w:rsidR="00575B10" w:rsidRPr="00D51F93">
        <w:rPr>
          <w:lang w:val="en-US"/>
        </w:rPr>
        <w:t xml:space="preserve">m </w:t>
      </w:r>
      <w:r w:rsidRPr="00D51F93">
        <w:rPr>
          <w:lang w:val="en-US"/>
        </w:rPr>
        <w:t xml:space="preserve">(2011) Regional-scale nitrogen and phosphorus budgets for the northern (14°S) and central (17°S) Great Barrier Reef shelf ecosystem. Continental Shelf Research </w:t>
      </w:r>
      <w:r w:rsidRPr="00D51F93">
        <w:t>31:1967-1990</w:t>
      </w:r>
    </w:p>
    <w:p w14:paraId="098EFC74" w14:textId="77777777" w:rsidR="009F400E" w:rsidRPr="00D51F93" w:rsidRDefault="009F400E" w:rsidP="003708B0">
      <w:pPr>
        <w:ind w:hanging="284"/>
        <w:rPr>
          <w:rFonts w:eastAsia="MS Mincho"/>
          <w:lang w:eastAsia="ja-JP"/>
        </w:rPr>
      </w:pPr>
      <w:r w:rsidRPr="00D51F93">
        <w:rPr>
          <w:rFonts w:eastAsia="MS Mincho"/>
          <w:lang w:eastAsia="ja-JP"/>
        </w:rPr>
        <w:t>Furnas M</w:t>
      </w:r>
      <w:r w:rsidRPr="00D51F93">
        <w:t xml:space="preserve">, Brinkman R, Fabricius K, Tonin H, Schaffelke B (2013) Linkages between river runoff, phytoplankton blooms and primary outbreaks of crown-of-thorns seastars in the Northern GBR. Chapter 3 in </w:t>
      </w:r>
      <w:r w:rsidRPr="00D51F93">
        <w:rPr>
          <w:lang w:val="en-US"/>
        </w:rPr>
        <w:t xml:space="preserve">Waterhouse </w:t>
      </w:r>
      <w:r w:rsidRPr="00D51F93">
        <w:rPr>
          <w:i/>
          <w:lang w:val="en-US"/>
        </w:rPr>
        <w:t>et al.</w:t>
      </w:r>
      <w:r w:rsidRPr="00D51F93">
        <w:rPr>
          <w:lang w:val="en-US"/>
        </w:rPr>
        <w:t xml:space="preserve"> </w:t>
      </w:r>
      <w:r w:rsidRPr="00D51F93">
        <w:rPr>
          <w:i/>
          <w:iCs/>
          <w:lang w:val="en-US"/>
        </w:rPr>
        <w:t>Assessment of the relative risk of water quality to ecosystems of the Great Barrier Reef</w:t>
      </w:r>
      <w:r w:rsidRPr="00D51F93">
        <w:rPr>
          <w:lang w:val="en-US"/>
        </w:rPr>
        <w:t>. Department of the Environment and Heritage Protection, Queensland Government, Brisbane</w:t>
      </w:r>
    </w:p>
    <w:p w14:paraId="4D77AD88" w14:textId="77777777" w:rsidR="009F400E" w:rsidRPr="00D51F93" w:rsidRDefault="009F400E" w:rsidP="003708B0">
      <w:pPr>
        <w:ind w:hanging="284"/>
        <w:rPr>
          <w:lang w:val="en-US"/>
        </w:rPr>
      </w:pPr>
      <w:r w:rsidRPr="00D51F93">
        <w:rPr>
          <w:lang w:val="en-US"/>
        </w:rPr>
        <w:t>Furnas MJ, Mitchell AW, Skuza M, Brodie J (2005) In the other 90%: Phytoplankton responses to enhanced nutrient availability in the Great Barrier Reef lagoon. Marine Pollution Bulletin 51: 253-256</w:t>
      </w:r>
      <w:r w:rsidR="00E75F5C" w:rsidRPr="00D51F93">
        <w:rPr>
          <w:lang w:val="en-US"/>
        </w:rPr>
        <w:t xml:space="preserve"> </w:t>
      </w:r>
    </w:p>
    <w:p w14:paraId="03490783" w14:textId="77777777" w:rsidR="009D3707" w:rsidRPr="00F352E1" w:rsidRDefault="009D3707" w:rsidP="003708B0">
      <w:pPr>
        <w:ind w:hanging="284"/>
        <w:rPr>
          <w:color w:val="4F81BD" w:themeColor="accent1"/>
        </w:rPr>
      </w:pPr>
      <w:r w:rsidRPr="00FC556A">
        <w:t xml:space="preserve">Garde LA, Spillman CM, Heron S, Beeden R (2014) </w:t>
      </w:r>
      <w:hyperlink r:id="rId79" w:history="1">
        <w:r w:rsidRPr="00FC556A">
          <w:rPr>
            <w:rStyle w:val="Hyperlink"/>
            <w:rFonts w:cs="Arial"/>
            <w:color w:val="auto"/>
            <w:szCs w:val="22"/>
            <w:u w:val="none"/>
          </w:rPr>
          <w:t>ReefTemp Next Generation: A New Operational System for Monitoring Reef Thermal Stress, Journal of Operational Oceanography, 7:21-33</w:t>
        </w:r>
      </w:hyperlink>
      <w:r w:rsidRPr="00F352E1">
        <w:rPr>
          <w:color w:val="4F81BD" w:themeColor="accent1"/>
        </w:rPr>
        <w:t xml:space="preserve"> </w:t>
      </w:r>
    </w:p>
    <w:p w14:paraId="23B1DC8C" w14:textId="77777777" w:rsidR="009F400E" w:rsidRPr="00FC556A" w:rsidRDefault="009F400E" w:rsidP="003708B0">
      <w:pPr>
        <w:ind w:hanging="284"/>
      </w:pPr>
      <w:r w:rsidRPr="00FC556A">
        <w:t>Garzon-Garcia A, Wallace R, Huggins R, Turner RDR, Smith RA, Orr D, Ferguson B, Gardiner R, Thomson B, Warne MS</w:t>
      </w:r>
      <w:r w:rsidR="0021071D" w:rsidRPr="00FC556A">
        <w:t>tJ</w:t>
      </w:r>
      <w:r w:rsidRPr="00FC556A">
        <w:t xml:space="preserve"> </w:t>
      </w:r>
      <w:r w:rsidR="0021071D" w:rsidRPr="00FC556A">
        <w:t>(</w:t>
      </w:r>
      <w:r w:rsidRPr="00FC556A">
        <w:t>2015</w:t>
      </w:r>
      <w:r w:rsidR="0021071D" w:rsidRPr="00FC556A">
        <w:t>)</w:t>
      </w:r>
      <w:r w:rsidRPr="00FC556A">
        <w:t xml:space="preserve"> Total suspended solids, nutrient and pesticide loads (2013–2014) for rivers that discharge to the Great Barrier Reef – Great Barrier Reef Catchment Loads Monitoring Program. Department of Science, Information Technology and Innovation. Brisbane</w:t>
      </w:r>
    </w:p>
    <w:p w14:paraId="7966A3ED" w14:textId="77777777" w:rsidR="00CB47F4" w:rsidRPr="00FC556A" w:rsidRDefault="00CB47F4" w:rsidP="003708B0">
      <w:pPr>
        <w:ind w:hanging="284"/>
      </w:pPr>
      <w:r w:rsidRPr="00FC556A">
        <w:t xml:space="preserve">Graham </w:t>
      </w:r>
      <w:r w:rsidR="008E2554" w:rsidRPr="00FC556A">
        <w:t>NAJ, Jennings S, MacNeil MA, Mouillot D, Wilson SK (</w:t>
      </w:r>
      <w:r w:rsidRPr="00FC556A">
        <w:t>2015</w:t>
      </w:r>
      <w:r w:rsidR="008E2554" w:rsidRPr="00FC556A">
        <w:t>) Predicting climate-driven regime shifts versus rebound potential in coral reefs. Nature</w:t>
      </w:r>
      <w:r w:rsidRPr="00FC556A">
        <w:t xml:space="preserve"> </w:t>
      </w:r>
      <w:r w:rsidR="008E2554" w:rsidRPr="00FC556A">
        <w:rPr>
          <w:iCs/>
          <w:szCs w:val="22"/>
        </w:rPr>
        <w:t>518</w:t>
      </w:r>
      <w:r w:rsidR="008E2554" w:rsidRPr="00FC556A">
        <w:rPr>
          <w:szCs w:val="22"/>
        </w:rPr>
        <w:t>(7537):94-97</w:t>
      </w:r>
      <w:r w:rsidR="008E2554" w:rsidRPr="00FC556A">
        <w:rPr>
          <w:highlight w:val="yellow"/>
        </w:rPr>
        <w:t xml:space="preserve"> </w:t>
      </w:r>
    </w:p>
    <w:p w14:paraId="71ABAD5C" w14:textId="77777777" w:rsidR="009F400E" w:rsidRPr="00FC556A" w:rsidRDefault="009F400E" w:rsidP="003708B0">
      <w:pPr>
        <w:ind w:hanging="284"/>
        <w:rPr>
          <w:lang w:val="en-US"/>
        </w:rPr>
      </w:pPr>
      <w:r w:rsidRPr="00FC556A">
        <w:rPr>
          <w:lang w:val="en-US"/>
        </w:rPr>
        <w:t xml:space="preserve">Great Barrier Reef Marine Park Authority (2010) Water Quality Guidelines for the Great Barrier Reef Marine Park. </w:t>
      </w:r>
      <w:r w:rsidRPr="00FC556A">
        <w:t xml:space="preserve">Revised Edition 2010. </w:t>
      </w:r>
      <w:r w:rsidRPr="00FC556A">
        <w:rPr>
          <w:lang w:val="en-US"/>
        </w:rPr>
        <w:t>Great Barrier Reef Marine Park Authority, Townsville. 100p</w:t>
      </w:r>
    </w:p>
    <w:p w14:paraId="6226A2C6" w14:textId="77777777" w:rsidR="009F400E" w:rsidRPr="00FC556A" w:rsidRDefault="009F400E" w:rsidP="003708B0">
      <w:pPr>
        <w:ind w:hanging="284"/>
      </w:pPr>
      <w:r w:rsidRPr="00FC556A">
        <w:t xml:space="preserve">Great Barrier Reef Marine Park Authority (2014a) </w:t>
      </w:r>
      <w:r w:rsidRPr="00FC556A">
        <w:rPr>
          <w:lang w:bidi="en-US"/>
        </w:rPr>
        <w:t>Great Barrier Reef Region</w:t>
      </w:r>
      <w:r w:rsidRPr="00FC556A">
        <w:t xml:space="preserve"> </w:t>
      </w:r>
      <w:r w:rsidRPr="00FC556A">
        <w:rPr>
          <w:lang w:bidi="en-US"/>
        </w:rPr>
        <w:t>Strategic Assessment</w:t>
      </w:r>
      <w:r w:rsidRPr="00FC556A">
        <w:t>. Great Barrier Reef Marine Park Authority, Townsville</w:t>
      </w:r>
    </w:p>
    <w:p w14:paraId="7F3F659C" w14:textId="77777777" w:rsidR="009F400E" w:rsidRPr="00FC556A" w:rsidRDefault="009F400E" w:rsidP="003708B0">
      <w:pPr>
        <w:ind w:hanging="284"/>
        <w:rPr>
          <w:lang w:eastAsia="en-AU"/>
        </w:rPr>
      </w:pPr>
      <w:r w:rsidRPr="00FC556A">
        <w:rPr>
          <w:lang w:val="en-AU" w:eastAsia="en-AU"/>
        </w:rPr>
        <w:t xml:space="preserve">Great Barrier Reef Marine Park Authority (2014b) </w:t>
      </w:r>
      <w:r w:rsidRPr="00FC556A">
        <w:rPr>
          <w:iCs/>
          <w:lang w:val="en-AU" w:eastAsia="en-AU"/>
        </w:rPr>
        <w:t>Great Barrier Reef Outlook Report 2014</w:t>
      </w:r>
      <w:r w:rsidRPr="00FC556A">
        <w:rPr>
          <w:lang w:val="en-AU" w:eastAsia="en-AU"/>
        </w:rPr>
        <w:t xml:space="preserve">, </w:t>
      </w:r>
      <w:r w:rsidRPr="00FC556A">
        <w:t>Great Barrier Reef Marine Park Authority</w:t>
      </w:r>
      <w:r w:rsidRPr="00FC556A">
        <w:rPr>
          <w:lang w:val="en-AU" w:eastAsia="en-AU"/>
        </w:rPr>
        <w:t>, Townsville.</w:t>
      </w:r>
    </w:p>
    <w:p w14:paraId="3E2A1027" w14:textId="77777777" w:rsidR="00C814DD" w:rsidRDefault="00C814DD" w:rsidP="003708B0">
      <w:pPr>
        <w:ind w:hanging="284"/>
        <w:rPr>
          <w:rFonts w:eastAsiaTheme="minorHAnsi"/>
        </w:rPr>
      </w:pPr>
      <w:r w:rsidRPr="00FC556A">
        <w:rPr>
          <w:rFonts w:eastAsiaTheme="minorHAnsi"/>
        </w:rPr>
        <w:t xml:space="preserve">Great Barrier Reef Marine Park Authority </w:t>
      </w:r>
      <w:r w:rsidR="00850212" w:rsidRPr="00FC556A">
        <w:rPr>
          <w:rFonts w:eastAsiaTheme="minorHAnsi"/>
        </w:rPr>
        <w:t>(</w:t>
      </w:r>
      <w:r w:rsidRPr="00FC556A">
        <w:rPr>
          <w:rFonts w:eastAsiaTheme="minorHAnsi"/>
        </w:rPr>
        <w:t>2016</w:t>
      </w:r>
      <w:r w:rsidR="00850212" w:rsidRPr="00FC556A">
        <w:rPr>
          <w:rFonts w:eastAsiaTheme="minorHAnsi"/>
        </w:rPr>
        <w:t>b)</w:t>
      </w:r>
      <w:r w:rsidRPr="00FC556A">
        <w:rPr>
          <w:rFonts w:eastAsiaTheme="minorHAnsi"/>
        </w:rPr>
        <w:t xml:space="preserve"> </w:t>
      </w:r>
      <w:r w:rsidRPr="00FC556A">
        <w:rPr>
          <w:rFonts w:eastAsiaTheme="minorHAnsi"/>
          <w:iCs/>
        </w:rPr>
        <w:t>Interim report: 2016 coral bleaching event on the Great Barrier Reef</w:t>
      </w:r>
      <w:r w:rsidRPr="00FC556A">
        <w:rPr>
          <w:rFonts w:eastAsiaTheme="minorHAnsi"/>
        </w:rPr>
        <w:t>, GBRMPA, Townsville.</w:t>
      </w:r>
    </w:p>
    <w:p w14:paraId="6EBA7305" w14:textId="77777777" w:rsidR="009B08E0" w:rsidRPr="00FC556A" w:rsidRDefault="009B08E0" w:rsidP="003708B0">
      <w:pPr>
        <w:ind w:hanging="284"/>
        <w:rPr>
          <w:rFonts w:eastAsiaTheme="minorHAnsi"/>
          <w:lang w:val="en-AU"/>
        </w:rPr>
      </w:pPr>
      <w:r>
        <w:rPr>
          <w:color w:val="222222"/>
        </w:rPr>
        <w:t>Gustafsson MSM, Baird ME, Ralph PJ (2014)  Modeling photoinhibition</w:t>
      </w:r>
      <w:r>
        <w:rPr>
          <w:rFonts w:ascii="Cambria Math" w:hAnsi="Cambria Math" w:cs="Cambria Math"/>
          <w:color w:val="222222"/>
        </w:rPr>
        <w:t>‐</w:t>
      </w:r>
      <w:r>
        <w:rPr>
          <w:color w:val="222222"/>
        </w:rPr>
        <w:t xml:space="preserve">driven bleaching in Scleractinian coral as a function of light, temperature, and heterotrophy. </w:t>
      </w:r>
      <w:r>
        <w:rPr>
          <w:i/>
          <w:iCs/>
          <w:color w:val="222222"/>
        </w:rPr>
        <w:t>Limnology and Oceanography</w:t>
      </w:r>
      <w:r>
        <w:rPr>
          <w:color w:val="222222"/>
        </w:rPr>
        <w:t xml:space="preserve">, </w:t>
      </w:r>
      <w:r>
        <w:rPr>
          <w:i/>
          <w:iCs/>
          <w:color w:val="222222"/>
        </w:rPr>
        <w:t>59</w:t>
      </w:r>
      <w:r>
        <w:rPr>
          <w:color w:val="222222"/>
        </w:rPr>
        <w:t>(2), 603-622.</w:t>
      </w:r>
    </w:p>
    <w:p w14:paraId="01DB7245" w14:textId="77777777" w:rsidR="009F400E" w:rsidRPr="00FC556A" w:rsidRDefault="004C7D77" w:rsidP="003708B0">
      <w:pPr>
        <w:ind w:hanging="284"/>
        <w:rPr>
          <w:lang w:eastAsia="en-AU"/>
        </w:rPr>
      </w:pPr>
      <w:r w:rsidRPr="00FC556A">
        <w:rPr>
          <w:lang w:eastAsia="en-AU"/>
        </w:rPr>
        <w:t>Haapkylä</w:t>
      </w:r>
      <w:r w:rsidR="009F400E" w:rsidRPr="00FC556A">
        <w:rPr>
          <w:lang w:eastAsia="en-AU"/>
        </w:rPr>
        <w:t xml:space="preserve"> J, Melbourne-Thomas J, Flavell M, Willis B (2013) Disease outbreaks, bleaching and a cyclone drive changes in coral assemblages on an inshore reef of the Great Barrier Reef. Coral Reefs 32:815-824</w:t>
      </w:r>
    </w:p>
    <w:p w14:paraId="5ABB6076" w14:textId="77777777" w:rsidR="009F400E" w:rsidRPr="00FC556A" w:rsidRDefault="009F400E" w:rsidP="003708B0">
      <w:pPr>
        <w:ind w:hanging="284"/>
        <w:rPr>
          <w:lang w:eastAsia="en-AU"/>
        </w:rPr>
      </w:pPr>
      <w:r w:rsidRPr="00FC556A">
        <w:rPr>
          <w:lang w:eastAsia="en-AU"/>
        </w:rPr>
        <w:t xml:space="preserve">Haapkylä J, Unsworth R, Flavell M, Bourne D, Schaffelke B, Willis BL (2011) Seasonal rainfall and runoff promote coral disease on an inshore reef of the Great Barrier Reef, Australia. PLoS One. 6(2): e16893 </w:t>
      </w:r>
    </w:p>
    <w:p w14:paraId="61706CD4" w14:textId="77777777" w:rsidR="00720C7E" w:rsidRPr="00FC556A" w:rsidRDefault="00720C7E" w:rsidP="003708B0">
      <w:pPr>
        <w:ind w:hanging="284"/>
        <w:rPr>
          <w:lang w:eastAsia="en-AU"/>
        </w:rPr>
      </w:pPr>
      <w:r w:rsidRPr="00FC556A">
        <w:rPr>
          <w:lang w:eastAsia="en-AU"/>
        </w:rPr>
        <w:t>Halpern BS, Frazier M, Potapenko J, Casey KS, Koenig K, Longo C, Stewart Lowndes J, Rockwood</w:t>
      </w:r>
      <w:r w:rsidR="00355016" w:rsidRPr="00FC556A">
        <w:rPr>
          <w:lang w:eastAsia="en-AU"/>
        </w:rPr>
        <w:t xml:space="preserve"> C, Selig ER, Selkoe KA, Walbridge S (2015) Spatial and temporal changes in cumulative human impacts on the world’s oceans. Nature Communications 6:7615 DOI:10.1038/ncomms8615</w:t>
      </w:r>
    </w:p>
    <w:p w14:paraId="310BE951" w14:textId="77777777" w:rsidR="009F400E" w:rsidRPr="00FC556A" w:rsidRDefault="009F400E" w:rsidP="003708B0">
      <w:pPr>
        <w:ind w:hanging="284"/>
        <w:rPr>
          <w:rFonts w:eastAsia="MS Mincho"/>
        </w:rPr>
      </w:pPr>
      <w:r w:rsidRPr="00FC556A">
        <w:rPr>
          <w:rFonts w:eastAsia="MS Mincho"/>
        </w:rPr>
        <w:t>Harrison PL, Wallace CC (1990) Reproduction, dispersal and recruitment of Scleractinian corals. In Dubinsky Z (</w:t>
      </w:r>
      <w:r w:rsidR="001648C9" w:rsidRPr="00FC556A">
        <w:rPr>
          <w:rFonts w:eastAsia="MS Mincho"/>
        </w:rPr>
        <w:t>Ed</w:t>
      </w:r>
      <w:r w:rsidRPr="00FC556A">
        <w:rPr>
          <w:rFonts w:eastAsia="MS Mincho"/>
        </w:rPr>
        <w:t>) Ecosystems of the world 25: Coral Reefs. Elsevier, New York, pp 133-202</w:t>
      </w:r>
    </w:p>
    <w:p w14:paraId="31029C46" w14:textId="77777777" w:rsidR="009F400E" w:rsidRPr="00F352E1" w:rsidRDefault="009F400E" w:rsidP="003708B0">
      <w:pPr>
        <w:ind w:hanging="284"/>
        <w:rPr>
          <w:color w:val="4F81BD" w:themeColor="accent1"/>
          <w:lang w:eastAsia="en-AU"/>
        </w:rPr>
      </w:pPr>
      <w:r w:rsidRPr="00FC556A">
        <w:rPr>
          <w:lang w:eastAsia="en-AU"/>
        </w:rPr>
        <w:t xml:space="preserve">Hauri C, Fabricius K, Schaffelke B, Humphrey C (2010) Chemical and physical environmental conditions underneath mat- and canopy-forming macroalgae, and the effects on understory corals. PLoS ONE 5(9): e12685 </w:t>
      </w:r>
    </w:p>
    <w:p w14:paraId="4C31E6B8" w14:textId="77777777" w:rsidR="009F400E" w:rsidRDefault="009F400E" w:rsidP="003708B0">
      <w:pPr>
        <w:ind w:hanging="284"/>
        <w:rPr>
          <w:lang w:val="en-US"/>
        </w:rPr>
      </w:pPr>
      <w:r w:rsidRPr="00FC556A">
        <w:rPr>
          <w:lang w:val="en-US"/>
        </w:rPr>
        <w:t>Hoegh-Guldberg O (1999) Climate change, coral bleaching and the future of the world’s coral reefs. Marine and Freshwater Research 50:839-866</w:t>
      </w:r>
    </w:p>
    <w:p w14:paraId="316D1103" w14:textId="77777777" w:rsidR="00F149F5" w:rsidRDefault="00F149F5" w:rsidP="00F149F5">
      <w:pPr>
        <w:ind w:hanging="284"/>
      </w:pPr>
      <w:r w:rsidRPr="00FC556A">
        <w:t>Hughes TP, Rodrigues MJ, Bellwood DR, Ceccarelli D, Hoegh-Guldberg O, McCook L, Moltschaniwskyj N, Pratchett MS, Steneck RS, Willis B (2007) Phase Shifts, Herbivory, and the Resilience of Coral Reefs to Climate Change. Current Biology 17:360-365</w:t>
      </w:r>
    </w:p>
    <w:p w14:paraId="403276B5" w14:textId="77777777" w:rsidR="009F400E" w:rsidRPr="00FC556A" w:rsidRDefault="009F400E" w:rsidP="003708B0">
      <w:pPr>
        <w:ind w:hanging="284"/>
      </w:pPr>
      <w:r w:rsidRPr="00FC556A">
        <w:t xml:space="preserve">Hughes TP, Graham NAJ, Jackson JBC, Mumby PJ, Steneck RS (2010) Rising to the challenge of sustaining coral reef resilience. Trends in Ecology and Evolution 25(11):633-642 </w:t>
      </w:r>
    </w:p>
    <w:p w14:paraId="6B00D6B1" w14:textId="77777777" w:rsidR="0030493B" w:rsidRDefault="0030493B" w:rsidP="0030493B">
      <w:pPr>
        <w:ind w:hanging="284"/>
        <w:rPr>
          <w:iCs/>
          <w:lang w:val="en-AU"/>
        </w:rPr>
      </w:pPr>
      <w:r w:rsidRPr="0030493B">
        <w:rPr>
          <w:iCs/>
          <w:lang w:val="en-AU"/>
        </w:rPr>
        <w:t>Hughes TP, Kerry JT, Alvarez-Noriega M, Alvarez-Romero JG, Anderson K</w:t>
      </w:r>
      <w:r>
        <w:rPr>
          <w:iCs/>
          <w:lang w:val="en-AU"/>
        </w:rPr>
        <w:t xml:space="preserve">D, Baird AH </w:t>
      </w:r>
      <w:r w:rsidRPr="0030493B">
        <w:rPr>
          <w:i/>
          <w:iCs/>
          <w:lang w:val="en-AU"/>
        </w:rPr>
        <w:t>et al</w:t>
      </w:r>
      <w:r>
        <w:rPr>
          <w:iCs/>
          <w:lang w:val="en-AU"/>
        </w:rPr>
        <w:t xml:space="preserve">. (2017) Global </w:t>
      </w:r>
      <w:r w:rsidRPr="0030493B">
        <w:rPr>
          <w:iCs/>
          <w:lang w:val="en-AU"/>
        </w:rPr>
        <w:t>warming and recurrent mass bleaching of corals.</w:t>
      </w:r>
      <w:r>
        <w:rPr>
          <w:iCs/>
          <w:lang w:val="en-AU"/>
        </w:rPr>
        <w:t xml:space="preserve"> </w:t>
      </w:r>
      <w:r w:rsidRPr="0030493B">
        <w:rPr>
          <w:iCs/>
          <w:lang w:val="en-AU"/>
        </w:rPr>
        <w:t>Nature 543 373:377 doi: 10.1038/nature21707</w:t>
      </w:r>
    </w:p>
    <w:p w14:paraId="1A393572" w14:textId="77777777" w:rsidR="00F149F5" w:rsidRPr="0030493B" w:rsidRDefault="00F149F5" w:rsidP="0030493B">
      <w:pPr>
        <w:ind w:hanging="284"/>
        <w:rPr>
          <w:iCs/>
          <w:lang w:val="en-AU"/>
        </w:rPr>
      </w:pPr>
      <w:r w:rsidRPr="00F16BE4">
        <w:rPr>
          <w:lang w:eastAsia="en-AU"/>
        </w:rPr>
        <w:t xml:space="preserve">Hughes TP, Anderson KD, Connolly SR, Heron SF, Kerry JT, Lough JM, Baird AH, Baum JK, Berumen ML, Bridge TC, Claar DC, Eakin CM, Gilmour JP, Graham NAJ, Harrison H, Hobbs J-PA, Hoey AS, Hoogenboom M, Lowe RJ, McCulloch MT, Pandolfi JM, Pratchett M, Schoepf V, Torda G, Wilson SK </w:t>
      </w:r>
      <w:r w:rsidR="00E8761D">
        <w:rPr>
          <w:lang w:eastAsia="en-AU"/>
        </w:rPr>
        <w:t>(</w:t>
      </w:r>
      <w:r w:rsidRPr="00F16BE4">
        <w:rPr>
          <w:lang w:eastAsia="en-AU"/>
        </w:rPr>
        <w:t>2018</w:t>
      </w:r>
      <w:r w:rsidR="00E8761D">
        <w:rPr>
          <w:lang w:eastAsia="en-AU"/>
        </w:rPr>
        <w:t>)</w:t>
      </w:r>
      <w:r w:rsidRPr="00F16BE4">
        <w:rPr>
          <w:lang w:eastAsia="en-AU"/>
        </w:rPr>
        <w:t xml:space="preserve"> Spatial and temporal patterns of mass bleaching of corals in the Anthropocene. </w:t>
      </w:r>
      <w:r w:rsidRPr="00A07CD1">
        <w:rPr>
          <w:lang w:eastAsia="en-AU"/>
        </w:rPr>
        <w:t>Science 369 (6371): 80-83. DOI: 10.</w:t>
      </w:r>
      <w:r>
        <w:rPr>
          <w:lang w:eastAsia="en-AU"/>
        </w:rPr>
        <w:t>1126/science.aan8048</w:t>
      </w:r>
    </w:p>
    <w:p w14:paraId="1FC414AF" w14:textId="77777777" w:rsidR="00295F29" w:rsidRPr="00FC556A" w:rsidRDefault="00295F29" w:rsidP="003708B0">
      <w:pPr>
        <w:ind w:hanging="284"/>
        <w:rPr>
          <w:szCs w:val="22"/>
        </w:rPr>
      </w:pPr>
      <w:r w:rsidRPr="00FC556A">
        <w:rPr>
          <w:szCs w:val="22"/>
        </w:rPr>
        <w:t>Jones AM, Berkelmans R (2014) Floodimpacts in Keppel Bay, Southern Great Barrier Reef in the aftermath of cyclonic rainfall. PLOS one doi:10.1371/journal.pone.0084739</w:t>
      </w:r>
    </w:p>
    <w:p w14:paraId="405A2EE1" w14:textId="77777777" w:rsidR="009F400E" w:rsidRPr="00FC556A" w:rsidRDefault="009F400E" w:rsidP="003708B0">
      <w:pPr>
        <w:ind w:hanging="284"/>
      </w:pPr>
      <w:r w:rsidRPr="00FC556A">
        <w:t>Jonker M, Johns K, Osborne K (2008) Surveys of benthic reef communities using underwater digital photography and counts of juvenile corals. Long-term Monitoring of the Great Barrier Reef, Standard Operational Procedure Number 10, Australian Institute of Marine Science, Townsville</w:t>
      </w:r>
    </w:p>
    <w:p w14:paraId="5EC53525" w14:textId="77777777" w:rsidR="00AC6B85" w:rsidRPr="00FC556A" w:rsidRDefault="00AC6B85" w:rsidP="003708B0">
      <w:pPr>
        <w:ind w:hanging="284"/>
      </w:pPr>
      <w:r w:rsidRPr="00FC556A">
        <w:t xml:space="preserve">Joo M, Raymond MA, McNeil VH, Huggins R, Turner RD, Choy S (2012) Estimates of sediment and nutrient loads in 10 major catchments draining to the Great Barrier Reef during 2006–2009. </w:t>
      </w:r>
      <w:r w:rsidRPr="00FC556A">
        <w:rPr>
          <w:iCs/>
        </w:rPr>
        <w:t>Marine pollution bulletin</w:t>
      </w:r>
      <w:r w:rsidRPr="00FC556A">
        <w:t xml:space="preserve">, </w:t>
      </w:r>
      <w:r w:rsidRPr="00FC556A">
        <w:rPr>
          <w:iCs/>
        </w:rPr>
        <w:t>65</w:t>
      </w:r>
      <w:r w:rsidRPr="00FC556A">
        <w:t>(4):150-166</w:t>
      </w:r>
    </w:p>
    <w:p w14:paraId="4E94AA40" w14:textId="77777777" w:rsidR="009F400E" w:rsidRPr="00F352E1" w:rsidRDefault="00AC6B85" w:rsidP="003708B0">
      <w:pPr>
        <w:ind w:hanging="284"/>
        <w:rPr>
          <w:color w:val="4F81BD" w:themeColor="accent1"/>
        </w:rPr>
      </w:pPr>
      <w:r w:rsidRPr="00F352E1">
        <w:rPr>
          <w:color w:val="4F81BD" w:themeColor="accent1"/>
        </w:rPr>
        <w:t xml:space="preserve"> </w:t>
      </w:r>
      <w:r w:rsidR="009F400E" w:rsidRPr="00FC556A">
        <w:t>Kaczmarsky L, Richardson LL (2010) Do elevated nutrients and organic carbon on Philippine reefs increase the prevalence of coral disease? Coral Reefs 30:253-257</w:t>
      </w:r>
    </w:p>
    <w:p w14:paraId="385442FA" w14:textId="77777777" w:rsidR="00425F25" w:rsidRDefault="00425F25" w:rsidP="00425F25">
      <w:pPr>
        <w:pStyle w:val="Reportrefs"/>
        <w:spacing w:after="120"/>
        <w:ind w:left="0" w:hanging="284"/>
        <w:rPr>
          <w:rFonts w:cs="Arial"/>
          <w:sz w:val="22"/>
          <w:szCs w:val="22"/>
        </w:rPr>
      </w:pPr>
      <w:r w:rsidRPr="00FC556A">
        <w:rPr>
          <w:rFonts w:cs="Arial"/>
          <w:sz w:val="22"/>
          <w:szCs w:val="22"/>
        </w:rPr>
        <w:t>Karr JR (2006) Seven foundations of biological monitoring and assessment. Biologia Ambientale 20(2):7-18</w:t>
      </w:r>
    </w:p>
    <w:p w14:paraId="139A2F9D" w14:textId="77777777" w:rsidR="009273EC" w:rsidRPr="00FC556A" w:rsidRDefault="009273EC" w:rsidP="00425F25">
      <w:pPr>
        <w:pStyle w:val="Reportrefs"/>
        <w:spacing w:after="120"/>
        <w:ind w:left="0" w:hanging="284"/>
        <w:rPr>
          <w:rFonts w:cs="Arial"/>
          <w:sz w:val="22"/>
          <w:szCs w:val="22"/>
        </w:rPr>
      </w:pPr>
      <w:r>
        <w:rPr>
          <w:rFonts w:cs="Arial"/>
          <w:sz w:val="22"/>
          <w:szCs w:val="22"/>
        </w:rPr>
        <w:t>Kennedy EV, Ordonez A, Diaz-Pulido G (2018) Coral bleaching in the inshore Great Barrier Reef: a case study from the Keppel Islands</w:t>
      </w:r>
      <w:r w:rsidR="005C16D7">
        <w:rPr>
          <w:rFonts w:cs="Arial"/>
          <w:sz w:val="22"/>
          <w:szCs w:val="22"/>
        </w:rPr>
        <w:t>. Marine and Freshwater Research 69:191-197</w:t>
      </w:r>
    </w:p>
    <w:p w14:paraId="1D2155C1" w14:textId="77777777" w:rsidR="009F400E" w:rsidRPr="00FC556A" w:rsidRDefault="009F400E" w:rsidP="003708B0">
      <w:pPr>
        <w:ind w:hanging="284"/>
      </w:pPr>
      <w:r w:rsidRPr="00FC556A">
        <w:t>Kline DL, Kuntz NM, Breitbart M, Knowlton N, Rohwer F (2006) Role of elevated organic carbon levels and microbial activity in coral mortality. Marine Ecology Progress Series 314:119–125</w:t>
      </w:r>
    </w:p>
    <w:p w14:paraId="22E39E0A" w14:textId="77777777" w:rsidR="009F400E" w:rsidRPr="00FC556A" w:rsidRDefault="009F400E" w:rsidP="003708B0">
      <w:pPr>
        <w:ind w:hanging="284"/>
        <w:rPr>
          <w:lang w:val="en-AU"/>
        </w:rPr>
      </w:pPr>
      <w:r w:rsidRPr="00FC556A">
        <w:rPr>
          <w:lang w:val="en-AU"/>
        </w:rPr>
        <w:t xml:space="preserve">Kroon FJ, Kuhnert PM, Henderson BL, Wilkinson SN, Kinsey-Henderson A, Abbott B, Brodie JE, Turner RDR (2012) River loads of suspended solids, nitrogen, phosphorus and herbicides delivered to the Great Barrier Reef lagoon. Marine Pollution Bulletin 65:167–181 </w:t>
      </w:r>
    </w:p>
    <w:p w14:paraId="11329FB5" w14:textId="77777777" w:rsidR="009F400E" w:rsidRPr="00FC556A" w:rsidRDefault="009F400E" w:rsidP="003708B0">
      <w:pPr>
        <w:ind w:hanging="284"/>
        <w:rPr>
          <w:szCs w:val="24"/>
          <w:lang w:val="en-AU" w:eastAsia="en-AU"/>
        </w:rPr>
      </w:pPr>
      <w:r w:rsidRPr="00FC556A">
        <w:rPr>
          <w:szCs w:val="24"/>
          <w:lang w:val="en-AU" w:eastAsia="en-AU"/>
        </w:rPr>
        <w:t>Kroon FJ, Schaffelke B, Bartley R (2014) Informing policy to protect coastal coral reefs: Insight from a global review of reducing agricultural pollution to coastal ecosystems. Marine Pollution Bulletin 85:33-41</w:t>
      </w:r>
    </w:p>
    <w:p w14:paraId="5E258D76" w14:textId="77777777" w:rsidR="009F400E" w:rsidRPr="00FC556A" w:rsidRDefault="009F400E" w:rsidP="003708B0">
      <w:pPr>
        <w:ind w:hanging="284"/>
        <w:rPr>
          <w:lang w:val="en-AU" w:eastAsia="en-AU"/>
        </w:rPr>
      </w:pPr>
      <w:r w:rsidRPr="00FC556A">
        <w:rPr>
          <w:lang w:val="en-AU" w:eastAsia="en-AU"/>
        </w:rPr>
        <w:t xml:space="preserve">Kuntz N, Kline D, Sandin S, Rohwer F (2005) Pathologies and mortality rates caused by organic carbon and nutrient stressors in three Caribbean coral species. </w:t>
      </w:r>
      <w:r w:rsidRPr="00FC556A">
        <w:t xml:space="preserve">Marine Ecology Progress Series </w:t>
      </w:r>
      <w:r w:rsidRPr="00FC556A">
        <w:rPr>
          <w:lang w:val="en-AU" w:eastAsia="en-AU"/>
        </w:rPr>
        <w:t>294:173–180</w:t>
      </w:r>
    </w:p>
    <w:p w14:paraId="61B0D63C" w14:textId="77777777" w:rsidR="009F400E" w:rsidRPr="0030493B" w:rsidRDefault="009F400E" w:rsidP="003708B0">
      <w:pPr>
        <w:ind w:hanging="284"/>
        <w:rPr>
          <w:lang w:val="en-US"/>
        </w:rPr>
      </w:pPr>
      <w:r w:rsidRPr="0030493B">
        <w:rPr>
          <w:lang w:val="en-US"/>
        </w:rPr>
        <w:t>Lambrechts J, Humphrey C, McKinna L, Gourge O, Fabricius KE, Mehta AJ, Lewis S, Wolanski E (2010) Importance of wave-induced bed liquefaction in the fine sediment budget of Cleveland Bay, Great Barrier Reef. Estuarine, Coastal and Shelf Science 89:154-162</w:t>
      </w:r>
    </w:p>
    <w:p w14:paraId="5817AAFD" w14:textId="77777777" w:rsidR="009F400E" w:rsidRPr="0030493B" w:rsidRDefault="009F400E" w:rsidP="003708B0">
      <w:pPr>
        <w:ind w:hanging="284"/>
        <w:rPr>
          <w:lang w:val="en-US"/>
        </w:rPr>
      </w:pPr>
      <w:r w:rsidRPr="0030493B">
        <w:rPr>
          <w:lang w:val="en-US"/>
        </w:rPr>
        <w:t>Larcombe P, Ridd PV, Prytz A, Wilson B (1995) Factors controlling suspended sediment on inner-shelf coral reefs. Townsville, Australia. Coral Reefs 14:163-171</w:t>
      </w:r>
    </w:p>
    <w:p w14:paraId="1F079B08" w14:textId="77777777" w:rsidR="009F400E" w:rsidRPr="0030493B" w:rsidRDefault="009F400E" w:rsidP="003708B0">
      <w:pPr>
        <w:ind w:hanging="284"/>
        <w:rPr>
          <w:rStyle w:val="Strong"/>
          <w:rFonts w:cs="Arial"/>
          <w:b w:val="0"/>
          <w:szCs w:val="22"/>
        </w:rPr>
      </w:pPr>
      <w:r w:rsidRPr="0030493B">
        <w:rPr>
          <w:lang w:val="pt-PT"/>
        </w:rPr>
        <w:t xml:space="preserve">Lønborg C, Álvarez-Salgado XA, Martínez-Garcia S, Teira E (2011) </w:t>
      </w:r>
      <w:r w:rsidRPr="0030493B">
        <w:t xml:space="preserve">Carbon cycling and bacterial growth efficiency </w:t>
      </w:r>
      <w:r w:rsidRPr="0030493B">
        <w:rPr>
          <w:bCs/>
        </w:rPr>
        <w:t xml:space="preserve">in a coastal upwelling system (NW Iberian Peninsula). </w:t>
      </w:r>
      <w:r w:rsidRPr="0030493B">
        <w:t>Aquatic Microbial Ecology</w:t>
      </w:r>
      <w:r w:rsidRPr="0030493B">
        <w:rPr>
          <w:rStyle w:val="Strong"/>
          <w:rFonts w:cs="Arial"/>
          <w:szCs w:val="22"/>
        </w:rPr>
        <w:t xml:space="preserve"> </w:t>
      </w:r>
      <w:r w:rsidRPr="0030493B">
        <w:rPr>
          <w:rStyle w:val="Strong"/>
          <w:rFonts w:cs="Arial"/>
          <w:b w:val="0"/>
          <w:szCs w:val="22"/>
        </w:rPr>
        <w:t>63:183-191</w:t>
      </w:r>
    </w:p>
    <w:p w14:paraId="01D343B3" w14:textId="77777777" w:rsidR="00E8277D" w:rsidRPr="0030493B" w:rsidRDefault="00E8277D" w:rsidP="003708B0">
      <w:pPr>
        <w:ind w:hanging="284"/>
      </w:pPr>
      <w:r w:rsidRPr="0030493B">
        <w:t>Lønborg C, Devlin M, Brinkman R, Costello P, da Silva E, Davidson J, Gunn K, Logan M, Petus C, Schaffelke B, Skuza M, Tonin H, Tracey D, Wright</w:t>
      </w:r>
      <w:r w:rsidR="00575B10" w:rsidRPr="0030493B">
        <w:t xml:space="preserve">m </w:t>
      </w:r>
      <w:r w:rsidRPr="0030493B">
        <w:t>and Zagorskis I (</w:t>
      </w:r>
      <w:r w:rsidR="008E6F11" w:rsidRPr="0030493B">
        <w:t>2015</w:t>
      </w:r>
      <w:r w:rsidRPr="0030493B">
        <w:t xml:space="preserve">) Reef Rescue Marine Monitoring Program. Annual Report of AIMS and JCU Activities 2014 to 2015– Inshore water quality monitoring. Report for the Great Barrier Reef Marine Park Authority. Australian Institute of Marine Science and JCU </w:t>
      </w:r>
      <w:r w:rsidRPr="0030493B">
        <w:rPr>
          <w:lang w:eastAsia="en-GB"/>
        </w:rPr>
        <w:t>TropWATER</w:t>
      </w:r>
      <w:r w:rsidRPr="0030493B">
        <w:t>, Townsville.168p</w:t>
      </w:r>
    </w:p>
    <w:p w14:paraId="20D8C993" w14:textId="77777777" w:rsidR="009F400E" w:rsidRPr="0030493B" w:rsidRDefault="009F400E" w:rsidP="003708B0">
      <w:pPr>
        <w:ind w:hanging="284"/>
      </w:pPr>
      <w:r w:rsidRPr="0030493B">
        <w:t xml:space="preserve">Luick JL, Mason L, Hardy T, Furnas MJ (2007) Circulation in the Great Barrier Reef Lagoon using numerical tracers and </w:t>
      </w:r>
      <w:r w:rsidRPr="0030493B">
        <w:rPr>
          <w:i/>
        </w:rPr>
        <w:t>in situ</w:t>
      </w:r>
      <w:r w:rsidRPr="0030493B">
        <w:t xml:space="preserve"> data. Continental Shelf Research 27:757-778</w:t>
      </w:r>
    </w:p>
    <w:p w14:paraId="37B9D1F0" w14:textId="77777777" w:rsidR="00C70CED" w:rsidRPr="0030493B" w:rsidRDefault="009F400E" w:rsidP="003708B0">
      <w:pPr>
        <w:ind w:hanging="284"/>
      </w:pPr>
      <w:r w:rsidRPr="0030493B">
        <w:rPr>
          <w:rFonts w:eastAsia="MS Mincho"/>
        </w:rPr>
        <w:t>McCook LJ, Jompa J, Diaz-Pulido G (2001) Competition between corals and algae on coral reefs: a review of evidence and mechanisms. Coral Reefs 19:400-417</w:t>
      </w:r>
      <w:r w:rsidR="00C70CED" w:rsidRPr="0030493B">
        <w:t xml:space="preserve"> </w:t>
      </w:r>
    </w:p>
    <w:p w14:paraId="6EB7C43E" w14:textId="77777777" w:rsidR="00C70CED" w:rsidRPr="0030493B" w:rsidRDefault="00C70CED" w:rsidP="003708B0">
      <w:pPr>
        <w:ind w:hanging="284"/>
      </w:pPr>
      <w:r w:rsidRPr="0030493B">
        <w:t xml:space="preserve">Mackenzie JB, Munday PL, Willis BL, Miller DJ, Van Oppen MJH (2004) Unexpected patterns of genetic structuring among locations but not colour morphs in </w:t>
      </w:r>
      <w:r w:rsidRPr="0030493B">
        <w:rPr>
          <w:i/>
        </w:rPr>
        <w:t>Acropora nasuta</w:t>
      </w:r>
      <w:r w:rsidRPr="0030493B">
        <w:t xml:space="preserve"> (Cnidaria; Scleractinia). Molecular Ecology 13(1):9-20 </w:t>
      </w:r>
    </w:p>
    <w:p w14:paraId="1AF0797C" w14:textId="77777777" w:rsidR="00C814DD" w:rsidRPr="0030493B" w:rsidRDefault="00C814DD" w:rsidP="003708B0">
      <w:pPr>
        <w:ind w:hanging="284"/>
        <w:rPr>
          <w:rFonts w:eastAsiaTheme="minorHAnsi"/>
          <w:spacing w:val="3"/>
          <w:shd w:val="clear" w:color="auto" w:fill="FFFFFF"/>
        </w:rPr>
      </w:pPr>
      <w:r w:rsidRPr="0030493B">
        <w:t>Mann, ME, Ramstor</w:t>
      </w:r>
      <w:r w:rsidR="00121B7E">
        <w:t>f S, Steinman BA, Tingley M,</w:t>
      </w:r>
      <w:r w:rsidRPr="0030493B">
        <w:t xml:space="preserve"> Miller SK </w:t>
      </w:r>
      <w:r w:rsidR="00121B7E">
        <w:t>(</w:t>
      </w:r>
      <w:r w:rsidRPr="0030493B">
        <w:t>2016</w:t>
      </w:r>
      <w:r w:rsidR="00121B7E">
        <w:t>)</w:t>
      </w:r>
      <w:r w:rsidRPr="0030493B">
        <w:t xml:space="preserve"> The likelihood of recent record warmth, </w:t>
      </w:r>
      <w:r w:rsidRPr="0030493B">
        <w:rPr>
          <w:i/>
          <w:iCs/>
        </w:rPr>
        <w:t xml:space="preserve">Scientific Reports </w:t>
      </w:r>
      <w:r w:rsidRPr="0030493B">
        <w:t>6: 19831.</w:t>
      </w:r>
      <w:r w:rsidRPr="0030493B">
        <w:rPr>
          <w:rFonts w:eastAsiaTheme="minorHAnsi"/>
          <w:spacing w:val="3"/>
          <w:shd w:val="clear" w:color="auto" w:fill="FFFFFF"/>
        </w:rPr>
        <w:t xml:space="preserve"> doi:</w:t>
      </w:r>
      <w:r w:rsidR="00121B7E">
        <w:rPr>
          <w:rFonts w:eastAsiaTheme="minorHAnsi"/>
          <w:spacing w:val="3"/>
          <w:shd w:val="clear" w:color="auto" w:fill="FFFFFF"/>
        </w:rPr>
        <w:t xml:space="preserve"> 10.1038/srep19831</w:t>
      </w:r>
    </w:p>
    <w:p w14:paraId="1671405F" w14:textId="77777777" w:rsidR="00C70CED" w:rsidRPr="0028011D" w:rsidRDefault="00C70CED" w:rsidP="003708B0">
      <w:pPr>
        <w:ind w:hanging="284"/>
        <w:rPr>
          <w:color w:val="000000" w:themeColor="text1"/>
        </w:rPr>
      </w:pPr>
      <w:r w:rsidRPr="0028011D">
        <w:rPr>
          <w:color w:val="000000" w:themeColor="text1"/>
          <w:lang w:val="en-AU" w:eastAsia="en-AU"/>
        </w:rPr>
        <w:t>Marshall PA, Baird AH (2000) Bleaching of corals on the Great Barrier Reef: differential susceptibilities among taxa. Coral Reefs 19:155-163</w:t>
      </w:r>
    </w:p>
    <w:p w14:paraId="11BF4A71" w14:textId="77777777" w:rsidR="00C70CED" w:rsidRPr="0030493B" w:rsidRDefault="00C70CED" w:rsidP="003708B0">
      <w:pPr>
        <w:ind w:hanging="284"/>
        <w:rPr>
          <w:lang w:val="en-US"/>
        </w:rPr>
      </w:pPr>
      <w:r w:rsidRPr="0030493B">
        <w:rPr>
          <w:lang w:val="en-US"/>
        </w:rPr>
        <w:t>Marshall PA, Johnson JE (2007) The Great Barrier Reef and climate change: vulnerability and management implications. In: Johnson JE, Marshall PA (</w:t>
      </w:r>
      <w:r w:rsidR="0033244F" w:rsidRPr="0030493B">
        <w:rPr>
          <w:lang w:val="en-US"/>
        </w:rPr>
        <w:t>Eds</w:t>
      </w:r>
      <w:r w:rsidRPr="0030493B">
        <w:rPr>
          <w:lang w:val="en-US"/>
        </w:rPr>
        <w:t>) Climate change and the Great Barrier Reef. Great Barrier Reef Marine Park Authority and the Australian Greenhouse Office, Australia, pp 774-801</w:t>
      </w:r>
    </w:p>
    <w:p w14:paraId="729780ED" w14:textId="77777777" w:rsidR="009D540B" w:rsidRPr="002F5721" w:rsidRDefault="009D540B" w:rsidP="003708B0">
      <w:pPr>
        <w:ind w:hanging="284"/>
        <w:rPr>
          <w:rFonts w:eastAsia="MS Mincho"/>
        </w:rPr>
      </w:pPr>
      <w:r w:rsidRPr="002F5721">
        <w:rPr>
          <w:rFonts w:eastAsia="MS Mincho"/>
        </w:rPr>
        <w:t>Maxim L, Spangenberg JH, O’Conner</w:t>
      </w:r>
      <w:r w:rsidR="00575B10" w:rsidRPr="002F5721">
        <w:rPr>
          <w:rFonts w:eastAsia="MS Mincho"/>
        </w:rPr>
        <w:t xml:space="preserve">m </w:t>
      </w:r>
      <w:r w:rsidRPr="002F5721">
        <w:rPr>
          <w:rFonts w:eastAsia="MS Mincho"/>
        </w:rPr>
        <w:t>(2009) An analysis of risks for biodiversity under the DPSIR framework</w:t>
      </w:r>
      <w:r w:rsidR="0078561E" w:rsidRPr="002F5721">
        <w:rPr>
          <w:rFonts w:eastAsia="MS Mincho"/>
        </w:rPr>
        <w:t>. Ecological Economics 69:12-23</w:t>
      </w:r>
    </w:p>
    <w:p w14:paraId="393A06EC" w14:textId="77777777" w:rsidR="009F400E" w:rsidRPr="002F5721" w:rsidRDefault="009F400E" w:rsidP="003708B0">
      <w:pPr>
        <w:ind w:hanging="284"/>
        <w:rPr>
          <w:rFonts w:eastAsia="MS Mincho"/>
        </w:rPr>
      </w:pPr>
      <w:r w:rsidRPr="002F5721">
        <w:t>Miller IR, Jonker M, Coleman G (2009) Crown-of-thorns seastars and coral surveys using the manta tow and SCUBA Search techniques. Long-term Monitoring of the Great Barrier Reef Standard Operational Procedure Number 9, Edition 3. Australian Institute of Marine Science, Townsville</w:t>
      </w:r>
    </w:p>
    <w:p w14:paraId="02286B46" w14:textId="77777777" w:rsidR="00936552" w:rsidRPr="002F5721" w:rsidRDefault="009F400E" w:rsidP="00936552">
      <w:pPr>
        <w:ind w:hanging="284"/>
        <w:rPr>
          <w:lang w:val="en-US"/>
        </w:rPr>
      </w:pPr>
      <w:r w:rsidRPr="002F5721">
        <w:rPr>
          <w:lang w:val="en-US"/>
        </w:rPr>
        <w:t>Mora C (2008) A clear human footprint in the coral reefs of the Caribbean. Proceedings of the Royal Society B 275:767-773</w:t>
      </w:r>
    </w:p>
    <w:p w14:paraId="63A8003E" w14:textId="77777777" w:rsidR="00936552" w:rsidRPr="002F5721" w:rsidRDefault="00936552" w:rsidP="00936552">
      <w:pPr>
        <w:ind w:hanging="284"/>
        <w:rPr>
          <w:rFonts w:cs="Arial"/>
          <w:szCs w:val="22"/>
          <w:lang w:val="en-AU" w:eastAsia="en-AU"/>
        </w:rPr>
      </w:pPr>
      <w:r w:rsidRPr="002F5721">
        <w:rPr>
          <w:rFonts w:cs="Arial"/>
          <w:szCs w:val="22"/>
          <w:lang w:val="en-AU" w:eastAsia="en-AU"/>
        </w:rPr>
        <w:t>Morgan KM, Perry CT, Smithers SG, Johnson JA, Daniell JJ (2016) Evidence of extensive reef development and high coral cover in nearshore environments: implications for understanding coral adaptation in turbid settings. Scientific Reports. 6:29616</w:t>
      </w:r>
      <w:r w:rsidR="00B8145F" w:rsidRPr="002F5721">
        <w:rPr>
          <w:rFonts w:cs="Arial"/>
          <w:szCs w:val="22"/>
          <w:lang w:val="en-AU" w:eastAsia="en-AU"/>
        </w:rPr>
        <w:t>,</w:t>
      </w:r>
      <w:r w:rsidR="00E75F5C" w:rsidRPr="002F5721">
        <w:rPr>
          <w:rFonts w:cs="Arial"/>
          <w:szCs w:val="22"/>
          <w:lang w:val="en-AU" w:eastAsia="en-AU"/>
        </w:rPr>
        <w:t xml:space="preserve"> </w:t>
      </w:r>
      <w:r w:rsidR="00B8145F" w:rsidRPr="002F5721">
        <w:rPr>
          <w:rFonts w:eastAsiaTheme="minorHAnsi" w:cs="Arial"/>
          <w:szCs w:val="22"/>
          <w:lang w:val="en-AU"/>
        </w:rPr>
        <w:t>DOI</w:t>
      </w:r>
      <w:r w:rsidRPr="002F5721">
        <w:rPr>
          <w:rFonts w:eastAsiaTheme="minorHAnsi" w:cs="Arial"/>
          <w:szCs w:val="22"/>
          <w:lang w:val="en-AU"/>
        </w:rPr>
        <w:t>: 10.1038/srep29616</w:t>
      </w:r>
    </w:p>
    <w:p w14:paraId="3F1E43FC" w14:textId="77777777" w:rsidR="009F400E" w:rsidRPr="002F5721" w:rsidRDefault="009F400E" w:rsidP="003708B0">
      <w:pPr>
        <w:ind w:hanging="284"/>
        <w:rPr>
          <w:rFonts w:eastAsia="MS Mincho"/>
          <w:lang w:val="en-AU" w:eastAsia="ja-JP"/>
        </w:rPr>
      </w:pPr>
      <w:r w:rsidRPr="002F5721">
        <w:rPr>
          <w:rFonts w:eastAsia="MS Mincho"/>
          <w:lang w:val="en-AU" w:eastAsia="ja-JP"/>
        </w:rPr>
        <w:t xml:space="preserve">Morrow KM, Ritson-Williams R, Ross C, Liles MR, Paul VJ (2012) Macroalgal extracts induce bacterial assemblage shifts and </w:t>
      </w:r>
      <w:r w:rsidR="0033244F" w:rsidRPr="002F5721">
        <w:rPr>
          <w:rFonts w:eastAsia="MS Mincho"/>
          <w:lang w:val="en-AU" w:eastAsia="ja-JP"/>
        </w:rPr>
        <w:t>sub lethal</w:t>
      </w:r>
      <w:r w:rsidRPr="002F5721">
        <w:rPr>
          <w:rFonts w:eastAsia="MS Mincho"/>
          <w:lang w:val="en-AU" w:eastAsia="ja-JP"/>
        </w:rPr>
        <w:t xml:space="preserve"> tissue stress in Caribbean corals. PLoS ONE 7(9):e44859</w:t>
      </w:r>
    </w:p>
    <w:p w14:paraId="0722F5E3" w14:textId="77777777" w:rsidR="00841A85" w:rsidRPr="002F5721" w:rsidRDefault="00841A85" w:rsidP="003708B0">
      <w:pPr>
        <w:ind w:hanging="284"/>
        <w:rPr>
          <w:rFonts w:eastAsia="MS Mincho"/>
          <w:lang w:val="en-AU" w:eastAsia="ja-JP"/>
        </w:rPr>
      </w:pPr>
      <w:r w:rsidRPr="002F5721">
        <w:rPr>
          <w:rFonts w:eastAsia="MS Mincho"/>
          <w:lang w:val="en-AU" w:eastAsia="ja-JP"/>
        </w:rPr>
        <w:t>Muir PR, Wallace CC, Done T, Aguirre DJ (2015) Limited scope for latitudinal extension of reef corals. Science 348:1135-1138</w:t>
      </w:r>
    </w:p>
    <w:p w14:paraId="633FC90C" w14:textId="77777777" w:rsidR="009F400E" w:rsidRPr="002F5721" w:rsidRDefault="009F400E" w:rsidP="003708B0">
      <w:pPr>
        <w:ind w:hanging="284"/>
        <w:rPr>
          <w:lang w:eastAsia="en-GB"/>
        </w:rPr>
      </w:pPr>
      <w:r w:rsidRPr="002F5721">
        <w:rPr>
          <w:lang w:eastAsia="en-GB"/>
        </w:rPr>
        <w:t>Negri AP, Flores F, Röthig T, Uthicke S (2011) Herbicides increase the vulnerability of corals to rising sea surface temperature. Limnology and Oceanography 56:471-485</w:t>
      </w:r>
    </w:p>
    <w:p w14:paraId="2110CB6B" w14:textId="77777777" w:rsidR="009F400E" w:rsidRPr="002F5721" w:rsidRDefault="009F400E" w:rsidP="003708B0">
      <w:pPr>
        <w:ind w:hanging="284"/>
      </w:pPr>
      <w:r w:rsidRPr="002F5721">
        <w:t>Osborne K, Dolman AM, Burgess SC, Johns KA (2011) Disturbance and the Dynamics of Coral Cover on the Great Barrier Reef (1995–2009). PLoS ONE 6:e17516</w:t>
      </w:r>
    </w:p>
    <w:p w14:paraId="1C589D97" w14:textId="77777777" w:rsidR="00DF2D4E" w:rsidRDefault="00DF2D4E" w:rsidP="003708B0">
      <w:pPr>
        <w:ind w:hanging="284"/>
        <w:rPr>
          <w:lang w:val="en-AU" w:eastAsia="en-AU"/>
        </w:rPr>
      </w:pPr>
      <w:r w:rsidRPr="002F5721">
        <w:rPr>
          <w:lang w:val="en-AU" w:eastAsia="en-AU"/>
        </w:rPr>
        <w:t>Petus C, Devlin M, Thompson A, McKenzie L, Teixeira da Silva E, Collier C, Tracey D, Martin K (2016) Estimating the Exposure of Coral Reefs and Seagrass Meadows to Land-Sourced Contaminants in River Flood Plumes of the Great Barrier Reef: Validating a Simple Satellite Risk Framework with Environmental Data. Remote Sensing 8(3):210</w:t>
      </w:r>
    </w:p>
    <w:p w14:paraId="0DC60AA3" w14:textId="2638AF06" w:rsidR="002F49B2" w:rsidRPr="002F5721" w:rsidRDefault="002F49B2" w:rsidP="003708B0">
      <w:pPr>
        <w:ind w:hanging="284"/>
        <w:rPr>
          <w:lang w:val="en-AU" w:eastAsia="en-AU"/>
        </w:rPr>
      </w:pPr>
      <w:r w:rsidRPr="002F49B2">
        <w:rPr>
          <w:lang w:val="en-AU" w:eastAsia="en-AU"/>
        </w:rPr>
        <w:t>Martyn Plummer (2003). JAGS: A Program for Analysis of Bayesian Graphical Models Using Gibbs Sampling, Proceedings of the 3rd International Workshop on Distributed Statistical Computing (DSC 2003), March 20–22, Vienna, Austria. ISSN 1609-395X.</w:t>
      </w:r>
    </w:p>
    <w:p w14:paraId="0EA27BE8" w14:textId="77777777" w:rsidR="009F400E" w:rsidRPr="002F5721" w:rsidRDefault="009F400E" w:rsidP="003708B0">
      <w:pPr>
        <w:ind w:hanging="284"/>
        <w:rPr>
          <w:lang w:eastAsia="en-AU"/>
        </w:rPr>
      </w:pPr>
      <w:r w:rsidRPr="002F5721">
        <w:rPr>
          <w:lang w:eastAsia="en-AU"/>
        </w:rPr>
        <w:t xml:space="preserve">Pratchett MS (2007) Feeding preferences of </w:t>
      </w:r>
      <w:r w:rsidRPr="002F5721">
        <w:rPr>
          <w:i/>
          <w:lang w:eastAsia="en-AU"/>
        </w:rPr>
        <w:t>Acanthastrea planci</w:t>
      </w:r>
      <w:r w:rsidRPr="002F5721">
        <w:rPr>
          <w:lang w:eastAsia="en-AU"/>
        </w:rPr>
        <w:t xml:space="preserve"> (Echinodermata: Asteroidea) under controlled conditions of food availability 1. </w:t>
      </w:r>
      <w:r w:rsidRPr="002F5721">
        <w:rPr>
          <w:iCs/>
          <w:lang w:eastAsia="en-AU"/>
        </w:rPr>
        <w:t>Pacific Science</w:t>
      </w:r>
      <w:r w:rsidRPr="002F5721">
        <w:rPr>
          <w:lang w:eastAsia="en-AU"/>
        </w:rPr>
        <w:t xml:space="preserve"> </w:t>
      </w:r>
      <w:r w:rsidRPr="002F5721">
        <w:rPr>
          <w:iCs/>
          <w:lang w:eastAsia="en-AU"/>
        </w:rPr>
        <w:t>61</w:t>
      </w:r>
      <w:r w:rsidRPr="002F5721">
        <w:rPr>
          <w:lang w:eastAsia="en-AU"/>
        </w:rPr>
        <w:t>(1): 113-120</w:t>
      </w:r>
    </w:p>
    <w:p w14:paraId="0A7822CA" w14:textId="77777777" w:rsidR="007823F7" w:rsidRPr="002F5721" w:rsidRDefault="007823F7" w:rsidP="003708B0">
      <w:pPr>
        <w:ind w:hanging="284"/>
        <w:rPr>
          <w:lang w:eastAsia="en-AU"/>
        </w:rPr>
      </w:pPr>
      <w:r w:rsidRPr="002F5721">
        <w:rPr>
          <w:lang w:eastAsia="en-AU"/>
        </w:rPr>
        <w:t>Pratchett MS, Caballes CF, Rivera-Posada Ja, Sweatman HPA (2014) Limits to understanding and managing outbreaks of crown-of-thorns starfish (</w:t>
      </w:r>
      <w:r w:rsidRPr="002F5721">
        <w:rPr>
          <w:i/>
          <w:lang w:eastAsia="en-AU"/>
        </w:rPr>
        <w:t>Acanthaster</w:t>
      </w:r>
      <w:r w:rsidRPr="002F5721">
        <w:rPr>
          <w:lang w:eastAsia="en-AU"/>
        </w:rPr>
        <w:t xml:space="preserve"> spp.) Oceanography and Marine Biology: An Annual Review 52:133-200 </w:t>
      </w:r>
    </w:p>
    <w:p w14:paraId="3DDB5901" w14:textId="77777777" w:rsidR="00C814DD" w:rsidRPr="00B13DEA" w:rsidRDefault="00327673" w:rsidP="00B13DEA">
      <w:pPr>
        <w:ind w:hanging="284"/>
        <w:rPr>
          <w:rFonts w:eastAsia="MinionPro-Regular"/>
        </w:rPr>
      </w:pPr>
      <w:r w:rsidRPr="002F5721">
        <w:rPr>
          <w:rFonts w:eastAsia="MinionPro-Regular"/>
        </w:rPr>
        <w:t>Puotinen M, Maynard JA, Beeden R, Radford B, Williams GJ (2016)</w:t>
      </w:r>
      <w:r w:rsidRPr="002F5721">
        <w:rPr>
          <w:rFonts w:eastAsia="MinionPro-Regular"/>
          <w:i/>
          <w:iCs/>
        </w:rPr>
        <w:t xml:space="preserve"> </w:t>
      </w:r>
      <w:r w:rsidRPr="002F5721">
        <w:rPr>
          <w:rFonts w:eastAsia="MinionPro-Regular"/>
        </w:rPr>
        <w:t xml:space="preserve">A robust operational model for predicting where tropical cyclone waves damage coral reefs. </w:t>
      </w:r>
      <w:r w:rsidRPr="002F5721">
        <w:rPr>
          <w:rFonts w:eastAsia="MinionPro-Regular"/>
          <w:i/>
          <w:iCs/>
        </w:rPr>
        <w:t xml:space="preserve">Sci. Rep. </w:t>
      </w:r>
      <w:r w:rsidRPr="002F5721">
        <w:rPr>
          <w:rFonts w:eastAsia="MinionPro-Regular"/>
          <w:b/>
          <w:bCs/>
        </w:rPr>
        <w:t>6</w:t>
      </w:r>
      <w:r w:rsidRPr="002F5721">
        <w:rPr>
          <w:rFonts w:eastAsia="MinionPro-Regular"/>
        </w:rPr>
        <w:t xml:space="preserve">, 26009; doi: 10.1038/srep26009 </w:t>
      </w:r>
    </w:p>
    <w:p w14:paraId="22F248FE" w14:textId="77777777" w:rsidR="0078561E" w:rsidRDefault="0078561E" w:rsidP="003708B0">
      <w:pPr>
        <w:ind w:hanging="284"/>
      </w:pPr>
      <w:r w:rsidRPr="002F5721">
        <w:t xml:space="preserve">Rehr AP, Small MJ, Bradley P, Fisher WS, Vega A, Black K, Stockton T (2012) A </w:t>
      </w:r>
      <w:r w:rsidR="0033244F" w:rsidRPr="002F5721">
        <w:t>decision</w:t>
      </w:r>
      <w:r w:rsidRPr="002F5721">
        <w:t xml:space="preserve"> support framework for science-based multi-stakeholder deliberation: A coral reef example. Environmental Assessment 50:1204-1218</w:t>
      </w:r>
    </w:p>
    <w:p w14:paraId="43E6F2A5" w14:textId="77777777" w:rsidR="00B57B0C" w:rsidRPr="00B57B0C" w:rsidRDefault="00B57B0C" w:rsidP="00B57B0C">
      <w:pPr>
        <w:ind w:hanging="284"/>
        <w:jc w:val="left"/>
        <w:rPr>
          <w:rFonts w:cs="Arial"/>
          <w:color w:val="000000" w:themeColor="text1"/>
          <w:szCs w:val="22"/>
        </w:rPr>
      </w:pPr>
      <w:r w:rsidRPr="00B57B0C">
        <w:rPr>
          <w:rFonts w:cs="Arial"/>
          <w:color w:val="000000" w:themeColor="text1"/>
          <w:szCs w:val="22"/>
        </w:rPr>
        <w:t xml:space="preserve">Ricardo G, Jones, Negri A, Stocker R (2016) </w:t>
      </w:r>
      <w:hyperlink r:id="rId80" w:tgtFrame="_blank" w:history="1">
        <w:r w:rsidRPr="00B57B0C">
          <w:rPr>
            <w:rStyle w:val="Hyperlink"/>
            <w:rFonts w:eastAsia="SimSun" w:cs="Arial"/>
            <w:bCs/>
            <w:iCs/>
            <w:color w:val="000000" w:themeColor="text1"/>
            <w:szCs w:val="22"/>
            <w:u w:val="none"/>
          </w:rPr>
          <w:t>That sinking feeling: Suspended sediments can prevent the ascent of coral egg bundles.</w:t>
        </w:r>
      </w:hyperlink>
      <w:r w:rsidRPr="00B57B0C">
        <w:rPr>
          <w:rFonts w:cs="Arial"/>
          <w:color w:val="000000" w:themeColor="text1"/>
          <w:szCs w:val="22"/>
        </w:rPr>
        <w:t xml:space="preserve"> </w:t>
      </w:r>
      <w:r w:rsidRPr="00B57B0C">
        <w:rPr>
          <w:rFonts w:cs="Arial"/>
          <w:i/>
          <w:color w:val="000000" w:themeColor="text1"/>
          <w:szCs w:val="22"/>
        </w:rPr>
        <w:t>Scientific Reports</w:t>
      </w:r>
      <w:r>
        <w:rPr>
          <w:rFonts w:cs="Arial"/>
          <w:i/>
          <w:color w:val="000000" w:themeColor="text1"/>
          <w:szCs w:val="22"/>
        </w:rPr>
        <w:t>.</w:t>
      </w:r>
      <w:r w:rsidRPr="00B57B0C">
        <w:rPr>
          <w:rFonts w:cs="Arial"/>
          <w:color w:val="000000" w:themeColor="text1"/>
          <w:szCs w:val="22"/>
        </w:rPr>
        <w:t xml:space="preserve"> doi:10.1038/srep21567</w:t>
      </w:r>
    </w:p>
    <w:p w14:paraId="0DF76A87" w14:textId="77777777" w:rsidR="004A1168" w:rsidRPr="004A1168" w:rsidRDefault="004A1168" w:rsidP="004A1168">
      <w:pPr>
        <w:ind w:hanging="284"/>
        <w:rPr>
          <w:rFonts w:cs="Arial"/>
          <w:color w:val="000000" w:themeColor="text1"/>
          <w:szCs w:val="22"/>
          <w:lang w:val="en-AU" w:eastAsia="en-AU"/>
        </w:rPr>
      </w:pPr>
      <w:r w:rsidRPr="00424239">
        <w:rPr>
          <w:rFonts w:cs="Arial"/>
          <w:color w:val="000000" w:themeColor="text1"/>
          <w:szCs w:val="22"/>
          <w:lang w:val="en-AU" w:eastAsia="en-AU"/>
        </w:rPr>
        <w:t xml:space="preserve">Ricardo GF, Jones RJ, Nordborg M, Negri AP (2017) </w:t>
      </w:r>
      <w:hyperlink r:id="rId81" w:tgtFrame="_blank" w:history="1">
        <w:r w:rsidRPr="00424239">
          <w:rPr>
            <w:rFonts w:cs="Arial"/>
            <w:bCs/>
            <w:iCs/>
            <w:color w:val="000000" w:themeColor="text1"/>
            <w:szCs w:val="22"/>
            <w:lang w:val="en-AU" w:eastAsia="en-AU"/>
          </w:rPr>
          <w:t xml:space="preserve">Settlement patterns of the coral </w:t>
        </w:r>
        <w:r w:rsidRPr="00424239">
          <w:rPr>
            <w:rFonts w:cs="Arial"/>
            <w:bCs/>
            <w:i/>
            <w:iCs/>
            <w:color w:val="000000" w:themeColor="text1"/>
            <w:szCs w:val="22"/>
            <w:lang w:val="en-AU" w:eastAsia="en-AU"/>
          </w:rPr>
          <w:t>Acropora millepora</w:t>
        </w:r>
        <w:r w:rsidRPr="00424239">
          <w:rPr>
            <w:rFonts w:cs="Arial"/>
            <w:bCs/>
            <w:iCs/>
            <w:color w:val="000000" w:themeColor="text1"/>
            <w:szCs w:val="22"/>
            <w:lang w:val="en-AU" w:eastAsia="en-AU"/>
          </w:rPr>
          <w:t xml:space="preserve"> on sediment-laden surfaces</w:t>
        </w:r>
      </w:hyperlink>
      <w:r w:rsidRPr="00424239">
        <w:rPr>
          <w:rFonts w:cs="Arial"/>
          <w:color w:val="000000" w:themeColor="text1"/>
          <w:szCs w:val="22"/>
          <w:lang w:val="en-AU" w:eastAsia="en-AU"/>
        </w:rPr>
        <w:t xml:space="preserve">. </w:t>
      </w:r>
      <w:r w:rsidRPr="00424239">
        <w:rPr>
          <w:rFonts w:cs="Arial"/>
          <w:i/>
          <w:color w:val="000000" w:themeColor="text1"/>
          <w:szCs w:val="22"/>
          <w:lang w:val="en-AU" w:eastAsia="en-AU"/>
        </w:rPr>
        <w:t>Science of The Total Environment</w:t>
      </w:r>
      <w:r w:rsidRPr="00424239">
        <w:rPr>
          <w:rFonts w:cs="Arial"/>
          <w:color w:val="000000" w:themeColor="text1"/>
          <w:szCs w:val="22"/>
          <w:lang w:val="en-AU" w:eastAsia="en-AU"/>
        </w:rPr>
        <w:t xml:space="preserve"> </w:t>
      </w:r>
      <w:hyperlink r:id="rId82" w:tgtFrame="_blank" w:history="1">
        <w:r w:rsidRPr="00424239">
          <w:rPr>
            <w:rFonts w:cs="Arial"/>
            <w:color w:val="000000" w:themeColor="text1"/>
            <w:szCs w:val="22"/>
            <w:lang w:val="en-AU" w:eastAsia="en-AU"/>
          </w:rPr>
          <w:t>doi.org/10.1016/j.scitotenv.2017.07.153</w:t>
        </w:r>
      </w:hyperlink>
    </w:p>
    <w:p w14:paraId="67BE7490" w14:textId="77777777" w:rsidR="009F400E" w:rsidRPr="002F5721" w:rsidRDefault="009F400E" w:rsidP="003708B0">
      <w:pPr>
        <w:ind w:hanging="284"/>
        <w:rPr>
          <w:rStyle w:val="Hyperlink"/>
          <w:color w:val="auto"/>
        </w:rPr>
      </w:pPr>
      <w:r w:rsidRPr="002F5721">
        <w:t xml:space="preserve">Ridgeway G (2007) Generalized boosted models: a guide to the gbm package, </w:t>
      </w:r>
      <w:hyperlink r:id="rId83" w:history="1">
        <w:r w:rsidRPr="002F5721">
          <w:rPr>
            <w:rStyle w:val="Hyperlink"/>
            <w:color w:val="auto"/>
          </w:rPr>
          <w:t>http://www.saedsayad.com/docs/gbm2.pdf</w:t>
        </w:r>
      </w:hyperlink>
    </w:p>
    <w:p w14:paraId="108AA902" w14:textId="77777777" w:rsidR="009F400E" w:rsidRPr="002F5721" w:rsidRDefault="009F400E" w:rsidP="003708B0">
      <w:pPr>
        <w:ind w:hanging="284"/>
      </w:pPr>
      <w:r w:rsidRPr="002F5721">
        <w:t>Rogers CS (1990) Responses of coral reefs and reef organisms to sedimentation. Marine Ecology progress Series 62:185-202</w:t>
      </w:r>
    </w:p>
    <w:p w14:paraId="32826C66" w14:textId="77777777" w:rsidR="003C0F6F" w:rsidRPr="002F5721" w:rsidRDefault="009F400E" w:rsidP="003C0F6F">
      <w:pPr>
        <w:ind w:hanging="284"/>
        <w:rPr>
          <w:rFonts w:eastAsia="MS Mincho" w:cs="HelveticaNeue-Bold"/>
          <w:bCs/>
          <w:szCs w:val="30"/>
          <w:lang w:eastAsia="en-AU"/>
        </w:rPr>
      </w:pPr>
      <w:r w:rsidRPr="002F5721">
        <w:t>Schaffelke B, Anthony K, Blake J, Brodie J, Collier C, Devlin M, Fabricius K, Martin K, McKenzie L, Negri A, Ronan M, Thompson A, Warne</w:t>
      </w:r>
      <w:r w:rsidR="00575B10" w:rsidRPr="002F5721">
        <w:t xml:space="preserve">m </w:t>
      </w:r>
      <w:r w:rsidRPr="002F5721">
        <w:t>(</w:t>
      </w:r>
      <w:r w:rsidRPr="002F5721">
        <w:rPr>
          <w:bCs/>
          <w:i/>
        </w:rPr>
        <w:t xml:space="preserve">2013) </w:t>
      </w:r>
      <w:r w:rsidRPr="002F5721">
        <w:rPr>
          <w:bCs/>
        </w:rPr>
        <w:t>Supporting evidence to</w:t>
      </w:r>
      <w:r w:rsidRPr="002F5721">
        <w:rPr>
          <w:bCs/>
          <w:i/>
        </w:rPr>
        <w:t xml:space="preserve"> Scientific consensus statement: </w:t>
      </w:r>
      <w:r w:rsidRPr="002F5721">
        <w:rPr>
          <w:i/>
        </w:rPr>
        <w:t>Land use impacts on Great Barrier Reef water quality and ecosystem condition.</w:t>
      </w:r>
      <w:r w:rsidRPr="002F5721">
        <w:t xml:space="preserve"> </w:t>
      </w:r>
      <w:r w:rsidRPr="002F5721">
        <w:rPr>
          <w:i/>
        </w:rPr>
        <w:t>Chapter 1, Marine and Coastal ecosystem impacts</w:t>
      </w:r>
      <w:r w:rsidRPr="002F5721">
        <w:t>, Reef Water Quality Protection Plan Secretariat, Brisbane.</w:t>
      </w:r>
      <w:r w:rsidRPr="002F5721">
        <w:rPr>
          <w:u w:val="single"/>
        </w:rPr>
        <w:t xml:space="preserve"> </w:t>
      </w:r>
      <w:r w:rsidRPr="002F5721">
        <w:t xml:space="preserve">Available at: </w:t>
      </w:r>
      <w:hyperlink r:id="rId84" w:history="1">
        <w:r w:rsidR="003C0F6F" w:rsidRPr="002F5721">
          <w:rPr>
            <w:rStyle w:val="Hyperlink"/>
            <w:rFonts w:eastAsia="MS Mincho" w:cs="HelveticaNeue-Bold"/>
            <w:bCs/>
            <w:color w:val="auto"/>
            <w:szCs w:val="30"/>
            <w:lang w:eastAsia="en-AU"/>
          </w:rPr>
          <w:t>www.reefplan.qld.gov.au</w:t>
        </w:r>
      </w:hyperlink>
    </w:p>
    <w:p w14:paraId="50854126" w14:textId="77777777" w:rsidR="009F400E" w:rsidRPr="002F5721" w:rsidRDefault="009F400E" w:rsidP="003708B0">
      <w:pPr>
        <w:ind w:hanging="284"/>
      </w:pPr>
      <w:r w:rsidRPr="002F5721">
        <w:t>Schaffelke B, Mellors J, Duke NC (2005) Water quality in the Great Barrier Reef region: responses of mangrove, seagrass and macroalgal communities. Marine Pollution Bulletin 51:279-296</w:t>
      </w:r>
    </w:p>
    <w:p w14:paraId="23211C35" w14:textId="77777777" w:rsidR="009F400E" w:rsidRPr="004F0E49" w:rsidRDefault="009F400E" w:rsidP="003708B0">
      <w:pPr>
        <w:ind w:hanging="284"/>
        <w:rPr>
          <w:lang w:eastAsia="en-AU"/>
        </w:rPr>
      </w:pPr>
      <w:r w:rsidRPr="004F0E49">
        <w:t xml:space="preserve">Smith LD (2008) </w:t>
      </w:r>
      <w:r w:rsidRPr="004F0E49">
        <w:rPr>
          <w:lang w:eastAsia="en-AU"/>
        </w:rPr>
        <w:t>Resilience of coral communities on an isolated system of reefs following catastrophic mass-bleaching. Coral Reefs 27:197-205</w:t>
      </w:r>
    </w:p>
    <w:p w14:paraId="4843E915" w14:textId="77777777" w:rsidR="009F400E" w:rsidRPr="004F0E49" w:rsidRDefault="009F400E" w:rsidP="003708B0">
      <w:pPr>
        <w:ind w:hanging="284"/>
        <w:rPr>
          <w:lang w:val="en-AU" w:eastAsia="en-AU"/>
        </w:rPr>
      </w:pPr>
      <w:r w:rsidRPr="004F0E49">
        <w:rPr>
          <w:rFonts w:eastAsia="Calibri"/>
        </w:rPr>
        <w:t xml:space="preserve">Sofonia JJ, Anthony KRN (2008) High-sediment tolerance in the reef coral Turbinaria mesenterina from the inner Great Barrier Reef lagoon (Australia). </w:t>
      </w:r>
      <w:r w:rsidRPr="004F0E49">
        <w:rPr>
          <w:rFonts w:eastAsia="Calibri"/>
          <w:lang w:val="en-AU" w:eastAsia="en-AU"/>
        </w:rPr>
        <w:t>Estuar</w:t>
      </w:r>
      <w:r w:rsidR="0021071D" w:rsidRPr="004F0E49">
        <w:rPr>
          <w:rFonts w:eastAsia="Calibri"/>
          <w:lang w:val="en-AU" w:eastAsia="en-AU"/>
        </w:rPr>
        <w:t>ine &amp;</w:t>
      </w:r>
      <w:r w:rsidRPr="004F0E49">
        <w:rPr>
          <w:rFonts w:eastAsia="Calibri"/>
          <w:lang w:val="en-AU" w:eastAsia="en-AU"/>
        </w:rPr>
        <w:t xml:space="preserve"> Coast</w:t>
      </w:r>
      <w:r w:rsidR="0021071D" w:rsidRPr="004F0E49">
        <w:rPr>
          <w:rFonts w:eastAsia="Calibri"/>
          <w:lang w:val="en-AU" w:eastAsia="en-AU"/>
        </w:rPr>
        <w:t>al</w:t>
      </w:r>
      <w:r w:rsidRPr="004F0E49">
        <w:rPr>
          <w:rFonts w:eastAsia="Calibri"/>
          <w:lang w:val="en-AU" w:eastAsia="en-AU"/>
        </w:rPr>
        <w:t xml:space="preserve"> Shelf Sci</w:t>
      </w:r>
      <w:r w:rsidR="005167C9" w:rsidRPr="004F0E49">
        <w:rPr>
          <w:rFonts w:eastAsia="Calibri"/>
          <w:lang w:val="en-AU" w:eastAsia="en-AU"/>
        </w:rPr>
        <w:t>ence</w:t>
      </w:r>
      <w:r w:rsidRPr="004F0E49">
        <w:rPr>
          <w:rFonts w:eastAsia="Calibri"/>
          <w:lang w:val="en-AU" w:eastAsia="en-AU"/>
        </w:rPr>
        <w:t xml:space="preserve"> 78: 748–752</w:t>
      </w:r>
    </w:p>
    <w:p w14:paraId="70519D92" w14:textId="77777777" w:rsidR="009F400E" w:rsidRDefault="009F400E" w:rsidP="003708B0">
      <w:pPr>
        <w:ind w:hanging="284"/>
      </w:pPr>
      <w:r w:rsidRPr="004F0E49">
        <w:t xml:space="preserve">Stafford-Smith MG, Ormond RFG (1992) Sediment-rejection Mechanisms of 42 Species of Australian Scleractinian Corals. Australian Journal of Marine and Freshwater Research 43:683-705 </w:t>
      </w:r>
    </w:p>
    <w:p w14:paraId="453DCE17" w14:textId="427CB42B" w:rsidR="00D80595" w:rsidRPr="00C82ABC" w:rsidRDefault="00D80595" w:rsidP="003708B0">
      <w:pPr>
        <w:ind w:hanging="284"/>
        <w:rPr>
          <w:lang w:val="en-AU"/>
        </w:rPr>
      </w:pPr>
      <w:r w:rsidRPr="00C82ABC">
        <w:rPr>
          <w:lang w:val="en-AU"/>
        </w:rPr>
        <w:t xml:space="preserve">Stansinopoulos DM, Rigby RA, Heller G, Voudouris v, De Bastiani F (2017) </w:t>
      </w:r>
      <w:r w:rsidRPr="00D80595">
        <w:rPr>
          <w:i/>
          <w:lang w:val="en-AU"/>
        </w:rPr>
        <w:t>Flexible regression and Smoothing: Using GAMLSS in R</w:t>
      </w:r>
      <w:r w:rsidRPr="00C82ABC">
        <w:rPr>
          <w:lang w:val="en-AU"/>
        </w:rPr>
        <w:t>, Chapman and Hall/CRC.</w:t>
      </w:r>
    </w:p>
    <w:p w14:paraId="0616ED2B" w14:textId="77777777" w:rsidR="009F400E" w:rsidRDefault="009F400E" w:rsidP="003708B0">
      <w:pPr>
        <w:ind w:hanging="284"/>
        <w:rPr>
          <w:rFonts w:eastAsiaTheme="minorHAnsi"/>
          <w:lang w:val="en-AU"/>
        </w:rPr>
      </w:pPr>
      <w:r w:rsidRPr="004F0E49">
        <w:rPr>
          <w:rFonts w:eastAsiaTheme="minorHAnsi"/>
          <w:lang w:val="en-AU"/>
        </w:rPr>
        <w:t>Steffen W, Hughes L, Karoly, D (2013) The Critical Decade: Extreme Weather. Climate Commission Secretariat, Department of Industry, Innovation, Climate Change, Science, Research and Tertiary Education, Commonwealth of Australia, 63p</w:t>
      </w:r>
    </w:p>
    <w:p w14:paraId="3895394D" w14:textId="77777777" w:rsidR="009F400E" w:rsidRPr="004F0E49" w:rsidRDefault="009F400E" w:rsidP="003708B0">
      <w:pPr>
        <w:ind w:hanging="284"/>
      </w:pPr>
      <w:r w:rsidRPr="004F0E49">
        <w:t>Sweatman H, Thompson A, Delean S, Davidson J, Neale S (2007) Status of inshore reefs of the Great Barrier Reef 2004. Australian Institute of Marine Science, Townsville</w:t>
      </w:r>
    </w:p>
    <w:p w14:paraId="4FC41F08" w14:textId="77777777" w:rsidR="009F400E" w:rsidRPr="004F0E49" w:rsidRDefault="009F400E" w:rsidP="003708B0">
      <w:pPr>
        <w:ind w:hanging="284"/>
        <w:rPr>
          <w:rFonts w:eastAsia="MS Mincho"/>
          <w:lang w:eastAsia="ja-JP"/>
        </w:rPr>
      </w:pPr>
      <w:r w:rsidRPr="004F0E49">
        <w:rPr>
          <w:lang w:val="en-AU" w:eastAsia="en-AU"/>
        </w:rPr>
        <w:t xml:space="preserve">Tanner, J. E. (1995) Competition between scleractinian corals and macroalgae: an experimental investigation of coral growth, survival and reproduction. </w:t>
      </w:r>
      <w:r w:rsidRPr="004F0E49">
        <w:rPr>
          <w:iCs/>
          <w:lang w:val="en-AU" w:eastAsia="en-AU"/>
        </w:rPr>
        <w:t>Journal of Experimental Marine Biology and Ecology</w:t>
      </w:r>
      <w:r w:rsidRPr="004F0E49">
        <w:rPr>
          <w:lang w:val="en-AU" w:eastAsia="en-AU"/>
        </w:rPr>
        <w:t xml:space="preserve"> </w:t>
      </w:r>
      <w:r w:rsidRPr="004F0E49">
        <w:rPr>
          <w:iCs/>
          <w:lang w:val="en-AU" w:eastAsia="en-AU"/>
        </w:rPr>
        <w:t>190</w:t>
      </w:r>
      <w:r w:rsidRPr="004F0E49">
        <w:rPr>
          <w:lang w:val="en-AU" w:eastAsia="en-AU"/>
        </w:rPr>
        <w:t>(2): 151-168</w:t>
      </w:r>
    </w:p>
    <w:p w14:paraId="31E74A80" w14:textId="77777777" w:rsidR="009F400E" w:rsidRPr="00F352E1" w:rsidRDefault="009F400E" w:rsidP="003708B0">
      <w:pPr>
        <w:ind w:hanging="284"/>
        <w:rPr>
          <w:rFonts w:eastAsia="MS Mincho"/>
          <w:color w:val="4F81BD" w:themeColor="accent1"/>
          <w:sz w:val="20"/>
          <w:lang w:eastAsia="ja-JP"/>
        </w:rPr>
      </w:pPr>
      <w:r w:rsidRPr="004F0E49">
        <w:rPr>
          <w:rFonts w:eastAsia="MS Mincho"/>
          <w:lang w:eastAsia="ja-JP"/>
        </w:rPr>
        <w:t xml:space="preserve">Thompson A, Brando VE, Schaffelke B, Schroeder T (2014a) </w:t>
      </w:r>
      <w:r w:rsidRPr="004F0E49">
        <w:t xml:space="preserve">Coral community responses to declining water quality: Whitsunday Islands, Great Barrier Reef, Australia. Coral Reefs 33:923-938 </w:t>
      </w:r>
    </w:p>
    <w:p w14:paraId="1121ED1D" w14:textId="77777777" w:rsidR="009F400E" w:rsidRPr="004F0E49" w:rsidRDefault="009F400E" w:rsidP="003708B0">
      <w:pPr>
        <w:ind w:hanging="284"/>
        <w:rPr>
          <w:lang w:val="en-US"/>
        </w:rPr>
      </w:pPr>
      <w:r w:rsidRPr="004F0E49">
        <w:rPr>
          <w:lang w:val="en-US"/>
        </w:rPr>
        <w:t>Thompson A, Schaffelke B, De’ath G, Cripps E, Sweatman H (2010) Water Quality and Ecos</w:t>
      </w:r>
      <w:r w:rsidR="004F0E49" w:rsidRPr="004F0E49">
        <w:rPr>
          <w:lang w:val="en-US"/>
        </w:rPr>
        <w:t>ystem Monitoring Program</w:t>
      </w:r>
      <w:r w:rsidRPr="004F0E49">
        <w:rPr>
          <w:lang w:val="en-US"/>
        </w:rPr>
        <w:t>-Reef Water Quality Protection Plan. Synthesis and spatial analysis of inshore monitoring data 2005-08. Report to the Great Barrier Reef Marine Park Authority. Australian Institute of Marine Science, Townsville. 81p</w:t>
      </w:r>
    </w:p>
    <w:p w14:paraId="5D92387E" w14:textId="77777777" w:rsidR="009F400E" w:rsidRDefault="009F400E" w:rsidP="003708B0">
      <w:pPr>
        <w:ind w:hanging="284"/>
        <w:rPr>
          <w:lang w:val="en-AU"/>
        </w:rPr>
      </w:pPr>
      <w:r w:rsidRPr="004F0E49">
        <w:rPr>
          <w:lang w:val="en-AU"/>
        </w:rPr>
        <w:t>Thompson A, Schaffelke B, Logan M, Costello P, Davidson J, Doyle J, Furnas M, Gunn K, Liddy M, Skuza M, Uthicke S, Wright</w:t>
      </w:r>
      <w:r w:rsidR="00575B10" w:rsidRPr="004F0E49">
        <w:rPr>
          <w:lang w:val="en-AU"/>
        </w:rPr>
        <w:t xml:space="preserve">m </w:t>
      </w:r>
      <w:r w:rsidRPr="004F0E49">
        <w:rPr>
          <w:lang w:val="en-AU"/>
        </w:rPr>
        <w:t>and Zagorskis I (2013) Reef Rescue Marine Monitoring Program. Annual Report of AIMS Activities 2012 to 2013– Inshore water quality and coral reef monitoring. Report for the Great Barrier Reef Marine Park Authority. Australian Institute of Marine Science, Townsville. 182</w:t>
      </w:r>
      <w:r w:rsidR="005167C9" w:rsidRPr="004F0E49">
        <w:rPr>
          <w:lang w:val="en-AU"/>
        </w:rPr>
        <w:t>p</w:t>
      </w:r>
      <w:r w:rsidRPr="004F0E49">
        <w:rPr>
          <w:lang w:val="en-AU"/>
        </w:rPr>
        <w:t xml:space="preserve"> </w:t>
      </w:r>
    </w:p>
    <w:p w14:paraId="4D8E1423" w14:textId="77777777" w:rsidR="009D3707" w:rsidRPr="004F0E49" w:rsidRDefault="009D3707" w:rsidP="003708B0">
      <w:pPr>
        <w:ind w:hanging="284"/>
      </w:pPr>
      <w:r w:rsidRPr="004F0E49">
        <w:t>Thompson A, Lønborg C, C</w:t>
      </w:r>
      <w:r w:rsidR="0049629B" w:rsidRPr="004F0E49">
        <w:t>ostello P, Davidson J, Logan M,</w:t>
      </w:r>
      <w:r w:rsidRPr="004F0E49">
        <w:t xml:space="preserve"> Furnas M, Gunn K, Liddy M, Skuza M, Uthicke S, Wright</w:t>
      </w:r>
      <w:r w:rsidR="00052B5C" w:rsidRPr="004F0E49">
        <w:t xml:space="preserve"> M</w:t>
      </w:r>
      <w:r w:rsidR="00575B10" w:rsidRPr="004F0E49">
        <w:t xml:space="preserve"> </w:t>
      </w:r>
      <w:r w:rsidRPr="004F0E49">
        <w:t>and Zagorskis I, Schaffelke B (2014</w:t>
      </w:r>
      <w:r w:rsidR="0049629B" w:rsidRPr="004F0E49">
        <w:t>b</w:t>
      </w:r>
      <w:r w:rsidRPr="004F0E49">
        <w:t>) Marine Monitoring Program</w:t>
      </w:r>
      <w:r w:rsidR="00052B5C" w:rsidRPr="004F0E49">
        <w:t>:</w:t>
      </w:r>
      <w:r w:rsidRPr="004F0E49">
        <w:t xml:space="preserve"> Annual Report of AIMS Activities 2013 to 2014– Inshore water quality and coral reef monitoring. Report for the Great Barrier Reef Marine Park Authority. Australian Institute of Marine Science 146p</w:t>
      </w:r>
    </w:p>
    <w:p w14:paraId="5EA75ECD" w14:textId="77777777" w:rsidR="00052B5C" w:rsidRDefault="00052B5C" w:rsidP="00052B5C">
      <w:pPr>
        <w:ind w:hanging="284"/>
      </w:pPr>
      <w:r w:rsidRPr="004F0E49">
        <w:t>Thompson A, Costello P, Davidson J, Logan M, Gunn K, Schaffelke B (2016) Marine Monitoring Program: Annual report for inshore coral reef monitoring. Report for the Great Barrier Reef Marine Park Authority. Australian Institute of Marine Science 133p</w:t>
      </w:r>
    </w:p>
    <w:p w14:paraId="55ECC161" w14:textId="77777777" w:rsidR="0028011D" w:rsidRDefault="0028011D" w:rsidP="0028011D">
      <w:pPr>
        <w:ind w:hanging="284"/>
      </w:pPr>
      <w:r w:rsidRPr="004F0E49">
        <w:t xml:space="preserve">Thompson A, Costello P, Davidson J, Logan M, </w:t>
      </w:r>
      <w:r>
        <w:t>Coleman G, Gunn K, Schaffelke B (2017</w:t>
      </w:r>
      <w:r w:rsidRPr="004F0E49">
        <w:t>) Mar</w:t>
      </w:r>
      <w:r w:rsidR="004731EC">
        <w:t>ine Monitoring Program: Annual R</w:t>
      </w:r>
      <w:r w:rsidRPr="004F0E49">
        <w:t xml:space="preserve">eport for </w:t>
      </w:r>
      <w:r w:rsidR="004731EC">
        <w:t xml:space="preserve">inshore </w:t>
      </w:r>
      <w:r w:rsidRPr="004F0E49">
        <w:t>coral reef monitoring</w:t>
      </w:r>
      <w:r>
        <w:t>: 2015</w:t>
      </w:r>
      <w:r w:rsidR="004731EC">
        <w:t xml:space="preserve"> to </w:t>
      </w:r>
      <w:r>
        <w:t>2016</w:t>
      </w:r>
      <w:r w:rsidRPr="004F0E49">
        <w:t xml:space="preserve">. </w:t>
      </w:r>
      <w:r w:rsidR="004731EC">
        <w:t>Report for the Great Barrier Reef Marine Park Authority, Great Barrier Reef Marine Park Authority, Townsville.</w:t>
      </w:r>
      <w:r w:rsidR="004731EC" w:rsidRPr="004F0E49">
        <w:t xml:space="preserve"> </w:t>
      </w:r>
      <w:r w:rsidRPr="004F0E49">
        <w:t>13</w:t>
      </w:r>
      <w:r w:rsidR="004731EC">
        <w:t>3 p</w:t>
      </w:r>
      <w:r w:rsidRPr="004F0E49">
        <w:t>p</w:t>
      </w:r>
    </w:p>
    <w:p w14:paraId="76C37715" w14:textId="77777777" w:rsidR="009F400E" w:rsidRPr="004F0E49" w:rsidRDefault="009F400E" w:rsidP="003708B0">
      <w:pPr>
        <w:ind w:hanging="284"/>
      </w:pPr>
      <w:r w:rsidRPr="004F0E49">
        <w:t>Turner RDR, Huggins R, Wallace R, Smith RA, Vardy S</w:t>
      </w:r>
      <w:r w:rsidR="005167C9" w:rsidRPr="004F0E49">
        <w:t>,</w:t>
      </w:r>
      <w:r w:rsidRPr="004F0E49">
        <w:t xml:space="preserve"> Warne MSt</w:t>
      </w:r>
      <w:r w:rsidR="005167C9" w:rsidRPr="004F0E49">
        <w:t>J</w:t>
      </w:r>
      <w:r w:rsidRPr="004F0E49">
        <w:t xml:space="preserve"> (2012) Sediment, nutrient, and pesticide loads: Great Barrier Reef Catchment Loads Monitoring Program 2009–2010. Department of Science, Information Technology, Innovation and the Arts, Brisbane</w:t>
      </w:r>
    </w:p>
    <w:p w14:paraId="43BC6075" w14:textId="77777777" w:rsidR="009F400E" w:rsidRPr="004F0E49" w:rsidRDefault="009F400E" w:rsidP="003708B0">
      <w:pPr>
        <w:ind w:hanging="284"/>
      </w:pPr>
      <w:r w:rsidRPr="004F0E49">
        <w:t>Turner RDR, Huggins R, Wallace R, Smith RA, Vardy S</w:t>
      </w:r>
      <w:r w:rsidR="005167C9" w:rsidRPr="004F0E49">
        <w:t>,</w:t>
      </w:r>
      <w:r w:rsidRPr="004F0E49">
        <w:t xml:space="preserve"> Warne MStJ (2013) Total suspended solids, nutrient and pesticide loads (2010–2011) for rivers that discharge to the Great Barrier Reef: Great Barrier Reef Catchment Loads Monitoring Program 2010–2011. Department of Science, Information Technology, Innovation and the Arts, Brisbane. </w:t>
      </w:r>
    </w:p>
    <w:p w14:paraId="2CCD3DD9" w14:textId="77777777" w:rsidR="009F400E" w:rsidRPr="004F0E49" w:rsidRDefault="009F400E" w:rsidP="003708B0">
      <w:pPr>
        <w:ind w:hanging="284"/>
      </w:pPr>
      <w:r w:rsidRPr="004F0E49">
        <w:rPr>
          <w:rFonts w:eastAsia="MS Mincho"/>
        </w:rPr>
        <w:t xml:space="preserve">Uthicke S, Thompson A, Schaffelke B (2010) </w:t>
      </w:r>
      <w:r w:rsidRPr="004F0E49">
        <w:t>Effectiveness of benthic foraminiferal and coral assemblages as water quality indicators on inshore reefs of the Great Barrier Reef, Australia. Coral Reefs 29:209-225</w:t>
      </w:r>
    </w:p>
    <w:p w14:paraId="58CA8366" w14:textId="77777777" w:rsidR="009F400E" w:rsidRPr="004F0E49" w:rsidRDefault="009F400E" w:rsidP="003708B0">
      <w:pPr>
        <w:ind w:hanging="284"/>
      </w:pPr>
      <w:r w:rsidRPr="004F0E49">
        <w:t>van Dam JW, Negri AP, Uthicke S, Muller JF (2011) Chemical pollution on coral reefs: exposure and ecological effects. In: Sanchez-Bayo F, van den Brink PJ, Mann RM (Eds.), Ecological Impact of Toxic Chemicals. Bentham Science Publishers Ltd.</w:t>
      </w:r>
      <w:r w:rsidR="00E75F5C" w:rsidRPr="004F0E49">
        <w:t xml:space="preserve"> </w:t>
      </w:r>
    </w:p>
    <w:p w14:paraId="6C1FCA87" w14:textId="77777777" w:rsidR="009F400E" w:rsidRPr="004F0E49" w:rsidRDefault="00D310C2" w:rsidP="003708B0">
      <w:pPr>
        <w:ind w:hanging="284"/>
      </w:pPr>
      <w:r w:rsidRPr="004F0E49">
        <w:t>v</w:t>
      </w:r>
      <w:r w:rsidR="009F400E" w:rsidRPr="004F0E49">
        <w:t>an Woesik R (1991) Immediate impact of the January 1991 floods on the coral assemblages of the Keppel Islands. Research Publication No. 23, GBRMPA</w:t>
      </w:r>
    </w:p>
    <w:p w14:paraId="1AA97B28" w14:textId="77777777" w:rsidR="009F400E" w:rsidRPr="004F0E49" w:rsidRDefault="009F400E" w:rsidP="003708B0">
      <w:pPr>
        <w:ind w:hanging="284"/>
      </w:pPr>
      <w:r w:rsidRPr="004F0E49">
        <w:t>van Woesik R, Done TJ (1997) Coral communities and reef growth in the southern Great Barrier Reef. Coral Reefs 16:103-115</w:t>
      </w:r>
    </w:p>
    <w:p w14:paraId="72E66666" w14:textId="77777777" w:rsidR="009F400E" w:rsidRPr="004F0E49" w:rsidRDefault="009F400E" w:rsidP="003708B0">
      <w:pPr>
        <w:ind w:hanging="284"/>
      </w:pPr>
      <w:r w:rsidRPr="004F0E49">
        <w:t>van Woesik R, Tomascik T, Blake S (1999) Coral assemblages and physico-chemical characteristics of the Whitsunday Islands: evidence of recent community changes. Marine and Freshwater Research 50:427-440</w:t>
      </w:r>
    </w:p>
    <w:p w14:paraId="0BF35217" w14:textId="77777777" w:rsidR="005167C9" w:rsidRPr="004F0E49" w:rsidRDefault="009F400E" w:rsidP="003708B0">
      <w:pPr>
        <w:ind w:hanging="284"/>
      </w:pPr>
      <w:r w:rsidRPr="004F0E49">
        <w:t>Vega Thurber RL, Burkepile DE, Fuchs C, Shantz AA, McMinds R, Zaneveld JR (2013) Chronic nutrient enrichment increases prevalence and severity of coral disease and bleaching.</w:t>
      </w:r>
      <w:r w:rsidR="00E75F5C" w:rsidRPr="004F0E49">
        <w:t xml:space="preserve"> </w:t>
      </w:r>
      <w:r w:rsidRPr="004F0E49">
        <w:t>Glob</w:t>
      </w:r>
      <w:r w:rsidR="005167C9" w:rsidRPr="004F0E49">
        <w:t>al</w:t>
      </w:r>
      <w:r w:rsidRPr="004F0E49">
        <w:t xml:space="preserve"> Chang</w:t>
      </w:r>
      <w:r w:rsidR="005167C9" w:rsidRPr="004F0E49">
        <w:t>e</w:t>
      </w:r>
      <w:r w:rsidRPr="004F0E49">
        <w:t xml:space="preserve"> Biol</w:t>
      </w:r>
      <w:r w:rsidR="005167C9" w:rsidRPr="004F0E49">
        <w:t>ogy</w:t>
      </w:r>
      <w:r w:rsidRPr="004F0E49">
        <w:t xml:space="preserve"> 2014 Feb; 20(2):544-54</w:t>
      </w:r>
    </w:p>
    <w:p w14:paraId="10A0F9BA" w14:textId="77777777" w:rsidR="009F400E" w:rsidRPr="004F0E49" w:rsidRDefault="009F400E" w:rsidP="003708B0">
      <w:pPr>
        <w:ind w:hanging="284"/>
        <w:rPr>
          <w:lang w:val="en-AU"/>
        </w:rPr>
      </w:pPr>
      <w:r w:rsidRPr="004F0E49">
        <w:rPr>
          <w:lang w:val="en-AU"/>
        </w:rPr>
        <w:t xml:space="preserve">Vega Thurber R, Burkepile DE, Correa AMS, Thurber AR, Shantz AA (2012) Macroalgae decrease growth and alter microbial community structure of the reef-building coral, </w:t>
      </w:r>
      <w:r w:rsidRPr="004F0E49">
        <w:rPr>
          <w:i/>
          <w:lang w:val="en-AU"/>
        </w:rPr>
        <w:t>Porites astreoides</w:t>
      </w:r>
      <w:r w:rsidRPr="004F0E49">
        <w:rPr>
          <w:lang w:val="en-AU"/>
        </w:rPr>
        <w:t>. PLoS ONE 7(9): e44246</w:t>
      </w:r>
    </w:p>
    <w:p w14:paraId="0A98FEFC" w14:textId="77777777" w:rsidR="009F400E" w:rsidRPr="00B13DEA" w:rsidRDefault="009F400E" w:rsidP="003708B0">
      <w:pPr>
        <w:ind w:hanging="284"/>
      </w:pPr>
      <w:r w:rsidRPr="00B13DEA">
        <w:t>Voss JD, Richardson LL (2006) Nutrient enrichment enhances black band disease progression in corals. Coral Reefs 25:569-576</w:t>
      </w:r>
    </w:p>
    <w:p w14:paraId="2A7AB5AE" w14:textId="77777777" w:rsidR="009F400E" w:rsidRPr="00B13DEA" w:rsidRDefault="009F400E" w:rsidP="003708B0">
      <w:pPr>
        <w:ind w:hanging="284"/>
      </w:pPr>
      <w:r w:rsidRPr="00B13DEA">
        <w:t xml:space="preserve">Wallace R, Huggins R, Smith R, Turner R, Vardy S and Warne MStJ </w:t>
      </w:r>
      <w:r w:rsidR="00493E76" w:rsidRPr="00B13DEA">
        <w:t>(</w:t>
      </w:r>
      <w:r w:rsidRPr="00B13DEA">
        <w:t>2014</w:t>
      </w:r>
      <w:r w:rsidR="00493E76" w:rsidRPr="00B13DEA">
        <w:t>)</w:t>
      </w:r>
      <w:r w:rsidRPr="00B13DEA">
        <w:t xml:space="preserve"> Total suspended solids, nutrient and pesticide loads (2011–2012) for rivers that discharge to the Great Barrier Reef – Great Barrier Reef Catchment Loads Monitoring Program 2011–2012. Department of Science, Information Technology, In</w:t>
      </w:r>
      <w:r w:rsidR="002C56B6" w:rsidRPr="00B13DEA">
        <w:t>novation and the Arts. Brisbane</w:t>
      </w:r>
    </w:p>
    <w:p w14:paraId="4098AD87" w14:textId="77777777" w:rsidR="009F400E" w:rsidRPr="00B13DEA" w:rsidRDefault="009F400E" w:rsidP="003708B0">
      <w:pPr>
        <w:ind w:hanging="284"/>
      </w:pPr>
      <w:r w:rsidRPr="00B13DEA">
        <w:t xml:space="preserve">Wallace R, Huggins R, Smith RA, Turner RDR, Garzon-Garcia A and Warne MS J </w:t>
      </w:r>
      <w:r w:rsidR="00493E76" w:rsidRPr="00B13DEA">
        <w:t>(</w:t>
      </w:r>
      <w:r w:rsidRPr="00B13DEA">
        <w:t>2015</w:t>
      </w:r>
      <w:r w:rsidR="00493E76" w:rsidRPr="00B13DEA">
        <w:t>)</w:t>
      </w:r>
      <w:r w:rsidRPr="00B13DEA">
        <w:t xml:space="preserve"> Total suspended solids, nutrient and pesticide loads (2012–2013) for rivers that discharge to the Great Barrier Reef – Great Barrier Reef Catchment Loads Monitoring Program 2012–2013. Department of Science, Information Tech</w:t>
      </w:r>
      <w:r w:rsidR="002C56B6" w:rsidRPr="00B13DEA">
        <w:t>nology and Innovation. Brisbane</w:t>
      </w:r>
    </w:p>
    <w:p w14:paraId="3C45DB4D" w14:textId="77777777" w:rsidR="00342701" w:rsidRPr="00E8761D" w:rsidRDefault="00342701" w:rsidP="003708B0">
      <w:pPr>
        <w:ind w:hanging="284"/>
        <w:rPr>
          <w:lang w:val="en-AU"/>
        </w:rPr>
      </w:pPr>
      <w:r w:rsidRPr="00E8761D">
        <w:rPr>
          <w:lang w:val="en-AU"/>
        </w:rPr>
        <w:t xml:space="preserve">Waterhouse J, Lønborg C, Brinkman R, Costello P, da Silva E, Davidson J, Gunn K, Lewis S, Logan M, Petus C, Schaffelke B, Skuza M, Tonin H, Tracey D, Wright M and Zagorskis I (2017) </w:t>
      </w:r>
      <w:r w:rsidRPr="00E8761D">
        <w:t>Marine Monitoring Program: Annual Report for inshore</w:t>
      </w:r>
      <w:r w:rsidR="00E8761D">
        <w:t xml:space="preserve"> water quality monitoring, 2016-2017</w:t>
      </w:r>
      <w:r w:rsidRPr="00E8761D">
        <w:t>. Report for the Great Barrier Reef Marine Park Authority</w:t>
      </w:r>
      <w:r w:rsidRPr="00E8761D">
        <w:rPr>
          <w:lang w:val="en-AU"/>
        </w:rPr>
        <w:t xml:space="preserve">. Australian Institute of Marine Science and JCU </w:t>
      </w:r>
      <w:r w:rsidRPr="00E8761D">
        <w:rPr>
          <w:rFonts w:cs="Tahoma"/>
          <w:lang w:val="en-AU" w:eastAsia="en-GB"/>
        </w:rPr>
        <w:t>TropWATER</w:t>
      </w:r>
      <w:r w:rsidRPr="00E8761D">
        <w:rPr>
          <w:lang w:val="en-AU"/>
        </w:rPr>
        <w:t>, Townsville</w:t>
      </w:r>
    </w:p>
    <w:p w14:paraId="5EFAE8D8" w14:textId="77777777" w:rsidR="00B13DEA" w:rsidRPr="00E8761D" w:rsidRDefault="00B13DEA" w:rsidP="00B13DEA">
      <w:pPr>
        <w:ind w:hanging="284"/>
      </w:pPr>
      <w:r w:rsidRPr="00E8761D">
        <w:rPr>
          <w:lang w:val="en-AU"/>
        </w:rPr>
        <w:t xml:space="preserve">Waterhouse J, Lønborg C, Brinkman R, Costello P, da Silva E, Davidson J, Gunn K, Lewis S, Logan M, Petus C, Schaffelke B, Skuza M, Tonin H, Tracey D, Wright M and Zagorskis I (2018) </w:t>
      </w:r>
      <w:r w:rsidRPr="00E8761D">
        <w:t>Marine Monitoring Program: Annual Report for inshore water quality monitoring, 2015-2016. Report for the Great Barrier Reef Marine Park Authority</w:t>
      </w:r>
      <w:r w:rsidRPr="00E8761D">
        <w:rPr>
          <w:lang w:val="en-AU"/>
        </w:rPr>
        <w:t xml:space="preserve">. Australian Institute of Marine Science and JCU </w:t>
      </w:r>
      <w:r w:rsidRPr="00E8761D">
        <w:rPr>
          <w:rFonts w:cs="Tahoma"/>
          <w:lang w:val="en-AU" w:eastAsia="en-GB"/>
        </w:rPr>
        <w:t>TropWATER</w:t>
      </w:r>
      <w:r w:rsidRPr="00E8761D">
        <w:rPr>
          <w:lang w:val="en-AU"/>
        </w:rPr>
        <w:t>, Townsville</w:t>
      </w:r>
    </w:p>
    <w:p w14:paraId="5AC3986F" w14:textId="77777777" w:rsidR="009F400E" w:rsidRPr="00B13DEA" w:rsidRDefault="00CD7A57" w:rsidP="003708B0">
      <w:pPr>
        <w:ind w:hanging="284"/>
        <w:rPr>
          <w:rFonts w:eastAsiaTheme="minorHAnsi"/>
          <w:lang w:val="en-AU"/>
        </w:rPr>
      </w:pPr>
      <w:r w:rsidRPr="00F352E1">
        <w:rPr>
          <w:rFonts w:eastAsiaTheme="minorHAnsi"/>
          <w:color w:val="4F81BD" w:themeColor="accent1"/>
          <w:lang w:val="en-AU"/>
        </w:rPr>
        <w:t xml:space="preserve"> </w:t>
      </w:r>
      <w:r w:rsidR="009F400E" w:rsidRPr="00B13DEA">
        <w:rPr>
          <w:rFonts w:eastAsiaTheme="minorHAnsi"/>
          <w:lang w:val="en-AU"/>
        </w:rPr>
        <w:t xml:space="preserve">Waters DK, Carroll C, Ellis R, Hateley L, McCloskey GL, Packett R, Dougall C, Fentie </w:t>
      </w:r>
      <w:r w:rsidR="0021071D" w:rsidRPr="00B13DEA">
        <w:rPr>
          <w:rFonts w:eastAsiaTheme="minorHAnsi"/>
          <w:lang w:val="en-AU"/>
        </w:rPr>
        <w:t xml:space="preserve">B </w:t>
      </w:r>
      <w:r w:rsidR="00493E76" w:rsidRPr="00B13DEA">
        <w:rPr>
          <w:rFonts w:eastAsiaTheme="minorHAnsi"/>
          <w:lang w:val="en-AU"/>
        </w:rPr>
        <w:t>(</w:t>
      </w:r>
      <w:r w:rsidR="009F400E" w:rsidRPr="00B13DEA">
        <w:rPr>
          <w:rFonts w:eastAsiaTheme="minorHAnsi"/>
          <w:lang w:val="en-AU"/>
        </w:rPr>
        <w:t>2014</w:t>
      </w:r>
      <w:r w:rsidR="00493E76" w:rsidRPr="00B13DEA">
        <w:rPr>
          <w:rFonts w:eastAsiaTheme="minorHAnsi"/>
          <w:lang w:val="en-AU"/>
        </w:rPr>
        <w:t>)</w:t>
      </w:r>
      <w:r w:rsidR="009F400E" w:rsidRPr="00B13DEA">
        <w:rPr>
          <w:rFonts w:eastAsiaTheme="minorHAnsi"/>
          <w:lang w:val="en-AU"/>
        </w:rPr>
        <w:t xml:space="preserve"> </w:t>
      </w:r>
      <w:r w:rsidR="009F400E" w:rsidRPr="00B13DEA">
        <w:rPr>
          <w:rFonts w:eastAsiaTheme="minorHAnsi"/>
          <w:i/>
          <w:iCs/>
          <w:lang w:val="en-AU"/>
        </w:rPr>
        <w:t>Modelling reductions of pollutant loads due to improved management practices in the Great Barrier Reef catchments – Whole of GBR, Technical Report, Volume 1</w:t>
      </w:r>
      <w:r w:rsidR="009F400E" w:rsidRPr="00B13DEA">
        <w:rPr>
          <w:rFonts w:eastAsiaTheme="minorHAnsi"/>
          <w:lang w:val="en-AU"/>
        </w:rPr>
        <w:t xml:space="preserve">, Queensland Department of Natural Resources and Mines, Toowoomba, Queensland (ISBN: 978-1-7423-0999) </w:t>
      </w:r>
    </w:p>
    <w:p w14:paraId="1CBBBEBB" w14:textId="77777777" w:rsidR="002F16A2" w:rsidRPr="00B13DEA" w:rsidRDefault="002F16A2" w:rsidP="003708B0">
      <w:pPr>
        <w:ind w:hanging="284"/>
        <w:rPr>
          <w:rFonts w:eastAsiaTheme="minorHAnsi"/>
          <w:lang w:val="en-AU"/>
        </w:rPr>
      </w:pPr>
      <w:r w:rsidRPr="00B13DEA">
        <w:rPr>
          <w:rFonts w:eastAsiaTheme="minorHAnsi"/>
          <w:lang w:val="en-AU"/>
        </w:rPr>
        <w:t>Weber M, de Beer D, Lott C, Polerecky L, Kohls K, Abed RMM, Ferdelman TG, Fabricius KE (2012) Mechanisms of damage to corals exposed to sedimentation. Proceedings of the National Academy of Sciences 109(24):E1558-E1567</w:t>
      </w:r>
    </w:p>
    <w:p w14:paraId="6990CEB1" w14:textId="77777777" w:rsidR="009F400E" w:rsidRPr="00B13DEA" w:rsidRDefault="009F400E" w:rsidP="003708B0">
      <w:pPr>
        <w:ind w:hanging="284"/>
        <w:rPr>
          <w:rFonts w:eastAsiaTheme="minorHAnsi"/>
        </w:rPr>
      </w:pPr>
      <w:r w:rsidRPr="00B13DEA">
        <w:rPr>
          <w:rFonts w:eastAsiaTheme="minorHAnsi"/>
          <w:lang w:val="en-AU"/>
        </w:rPr>
        <w:t xml:space="preserve">Wiedenmann J, D'Angelo C, Smith EG, Hunt AN, Legiret FE, Postle AD, Achterberg EP (2013) </w:t>
      </w:r>
      <w:r w:rsidRPr="00B13DEA">
        <w:rPr>
          <w:rFonts w:eastAsiaTheme="minorHAnsi"/>
        </w:rPr>
        <w:t>Nutrient enrichment can increase the susceptibility of reef corals to bleaching. Nature Climate. Change 3:160-164</w:t>
      </w:r>
    </w:p>
    <w:p w14:paraId="7356566E" w14:textId="77777777" w:rsidR="009F400E" w:rsidRPr="00B13DEA" w:rsidRDefault="009F400E" w:rsidP="003708B0">
      <w:pPr>
        <w:ind w:hanging="284"/>
      </w:pPr>
      <w:r w:rsidRPr="00B13DEA">
        <w:t>Wismer S, Hoey AS, Bellwood DR (2009) Cross-shelf benthic community structure on the Great Barrier Reef: relationships between macroalgal cover and herbivore biomass. Marine Ecology Progress Series 376:45-54</w:t>
      </w:r>
    </w:p>
    <w:p w14:paraId="523EBD02" w14:textId="77777777" w:rsidR="009F400E" w:rsidRPr="00B13DEA" w:rsidRDefault="009F400E" w:rsidP="00F93E8D">
      <w:pPr>
        <w:ind w:hanging="284"/>
        <w:rPr>
          <w:lang w:val="en-US"/>
        </w:rPr>
      </w:pPr>
      <w:r w:rsidRPr="00B13DEA">
        <w:rPr>
          <w:lang w:val="en-US"/>
        </w:rPr>
        <w:t>Wolanski E, Fabricius KE, Cooper TF, Humphrey C (2008) Wet season fine sediment dynamics on the inner shelf of the Great Barrier Reef. Estuarine, Coastal and Shelf Science 77:755-762</w:t>
      </w:r>
    </w:p>
    <w:p w14:paraId="4BE5EA17" w14:textId="77777777" w:rsidR="009F400E" w:rsidRDefault="009F400E" w:rsidP="003708B0">
      <w:pPr>
        <w:ind w:hanging="284"/>
      </w:pPr>
      <w:r w:rsidRPr="00B13DEA">
        <w:t>Wood SN (2006) Generalized Additive Models: An Introduction with R. Chapman &amp; Hall/CRC</w:t>
      </w:r>
    </w:p>
    <w:p w14:paraId="3AA3AAF1" w14:textId="0984A804" w:rsidR="0032242F" w:rsidRPr="00B13DEA" w:rsidRDefault="0032242F" w:rsidP="003708B0">
      <w:pPr>
        <w:ind w:hanging="284"/>
      </w:pPr>
      <w:r>
        <w:t>Wood SN (2011) Fast stable restricted maximum likelihood and marginal likelihood estimation of semiparametric generalized linear models. Journal of the Royal Statistical Society (B) 73(1):3-36</w:t>
      </w:r>
    </w:p>
    <w:p w14:paraId="4E525191" w14:textId="77777777" w:rsidR="00F93E8D" w:rsidRPr="00B13DEA" w:rsidRDefault="00DC1160" w:rsidP="00F93E8D">
      <w:pPr>
        <w:pStyle w:val="CommentText"/>
        <w:numPr>
          <w:ilvl w:val="0"/>
          <w:numId w:val="0"/>
        </w:numPr>
        <w:ind w:hanging="284"/>
        <w:rPr>
          <w:rFonts w:ascii="Arial" w:eastAsiaTheme="minorHAnsi" w:hAnsi="Arial" w:cs="Arial"/>
          <w:sz w:val="22"/>
          <w:szCs w:val="22"/>
        </w:rPr>
      </w:pPr>
      <w:r w:rsidRPr="00B13DEA">
        <w:rPr>
          <w:rFonts w:ascii="Arial" w:eastAsiaTheme="minorHAnsi" w:hAnsi="Arial" w:cs="Arial"/>
          <w:sz w:val="22"/>
          <w:szCs w:val="22"/>
        </w:rPr>
        <w:t>Wooldridge</w:t>
      </w:r>
      <w:r w:rsidR="00F93E8D" w:rsidRPr="00B13DEA">
        <w:rPr>
          <w:rFonts w:ascii="Arial" w:eastAsiaTheme="minorHAnsi" w:hAnsi="Arial" w:cs="Arial"/>
          <w:sz w:val="22"/>
          <w:szCs w:val="22"/>
        </w:rPr>
        <w:t xml:space="preserve"> S</w:t>
      </w:r>
      <w:r w:rsidRPr="00B13DEA">
        <w:rPr>
          <w:rFonts w:ascii="Arial" w:eastAsiaTheme="minorHAnsi" w:hAnsi="Arial" w:cs="Arial"/>
          <w:sz w:val="22"/>
          <w:szCs w:val="22"/>
        </w:rPr>
        <w:t>A</w:t>
      </w:r>
      <w:r w:rsidR="000350F4" w:rsidRPr="00B13DEA">
        <w:rPr>
          <w:rFonts w:ascii="Arial" w:eastAsiaTheme="minorHAnsi" w:hAnsi="Arial" w:cs="Arial"/>
          <w:sz w:val="22"/>
          <w:szCs w:val="22"/>
        </w:rPr>
        <w:t xml:space="preserve"> (2016)</w:t>
      </w:r>
      <w:r w:rsidR="00F93E8D" w:rsidRPr="00B13DEA">
        <w:rPr>
          <w:rFonts w:ascii="Arial" w:eastAsiaTheme="minorHAnsi" w:hAnsi="Arial" w:cs="Arial"/>
          <w:sz w:val="22"/>
          <w:szCs w:val="22"/>
        </w:rPr>
        <w:t xml:space="preserve"> Excess seawater nutrients, enlarged algal symbiont densities and bleaching sensitive reef locations: 1. Identifying thresholds of concern for the Great Barrier Reef, Austr</w:t>
      </w:r>
      <w:r w:rsidRPr="00B13DEA">
        <w:rPr>
          <w:rFonts w:ascii="Arial" w:eastAsiaTheme="minorHAnsi" w:hAnsi="Arial" w:cs="Arial"/>
          <w:sz w:val="22"/>
          <w:szCs w:val="22"/>
        </w:rPr>
        <w:t>alia. Marine Pollution Bulletin</w:t>
      </w:r>
      <w:r w:rsidR="000350F4" w:rsidRPr="00B13DEA">
        <w:rPr>
          <w:rFonts w:ascii="Arial" w:eastAsiaTheme="minorHAnsi" w:hAnsi="Arial" w:cs="Arial"/>
          <w:sz w:val="22"/>
          <w:szCs w:val="22"/>
        </w:rPr>
        <w:t xml:space="preserve"> </w:t>
      </w:r>
      <w:hyperlink r:id="rId85" w:history="1">
        <w:r w:rsidR="000350F4" w:rsidRPr="00B13DEA">
          <w:rPr>
            <w:rStyle w:val="Hyperlink"/>
            <w:rFonts w:ascii="Arial" w:eastAsiaTheme="minorHAnsi" w:hAnsi="Arial" w:cs="Arial"/>
            <w:color w:val="auto"/>
            <w:sz w:val="22"/>
            <w:szCs w:val="22"/>
          </w:rPr>
          <w:t>http://dx.doi.org/10.1016/j.marpolbul.2016.04.054</w:t>
        </w:r>
      </w:hyperlink>
    </w:p>
    <w:p w14:paraId="47100004" w14:textId="77777777" w:rsidR="009F400E" w:rsidRPr="00B13DEA" w:rsidRDefault="009F400E" w:rsidP="003708B0">
      <w:pPr>
        <w:ind w:hanging="284"/>
        <w:rPr>
          <w:lang w:eastAsia="en-AU"/>
        </w:rPr>
      </w:pPr>
      <w:r w:rsidRPr="00B13DEA">
        <w:rPr>
          <w:lang w:eastAsia="en-AU"/>
        </w:rPr>
        <w:t xml:space="preserve">Wooldridge S, Done T (2004) Learning to predict large-scale coral bleaching from past events: A Bayesian approach using remotely sensed data, </w:t>
      </w:r>
      <w:r w:rsidR="00036C05">
        <w:rPr>
          <w:lang w:eastAsia="en-AU"/>
        </w:rPr>
        <w:t>in situ</w:t>
      </w:r>
      <w:r w:rsidRPr="00B13DEA">
        <w:rPr>
          <w:lang w:eastAsia="en-AU"/>
        </w:rPr>
        <w:t xml:space="preserve"> data, and environmental proxies. Coral Reefs 23:96–108</w:t>
      </w:r>
    </w:p>
    <w:p w14:paraId="4BDD7936" w14:textId="77777777" w:rsidR="00BD5570" w:rsidRPr="00B13DEA" w:rsidRDefault="00BD5570" w:rsidP="003708B0">
      <w:pPr>
        <w:ind w:hanging="284"/>
        <w:rPr>
          <w:lang w:eastAsia="en-AU"/>
        </w:rPr>
      </w:pPr>
      <w:r w:rsidRPr="00B13DEA">
        <w:rPr>
          <w:lang w:eastAsia="en-AU"/>
        </w:rPr>
        <w:t>Wooldridge S, Brodie JE (2015) Environmental triggers for primary outbreaks of crown-of-thorns starfish on the Great Barrier Reef, Australia</w:t>
      </w:r>
      <w:r w:rsidR="000B42CD" w:rsidRPr="00B13DEA">
        <w:rPr>
          <w:lang w:eastAsia="en-AU"/>
        </w:rPr>
        <w:t>. Marine Pollution Bulletin. http://dx.doi.org/10.1016/j.marpollbul.2015.08.049</w:t>
      </w:r>
    </w:p>
    <w:p w14:paraId="61ACB5F8" w14:textId="2AD578C4" w:rsidR="002F49B2" w:rsidRPr="002A728C" w:rsidRDefault="003668DB" w:rsidP="002F49B2">
      <w:pPr>
        <w:ind w:hanging="284"/>
        <w:rPr>
          <w:color w:val="000000" w:themeColor="text1"/>
        </w:rPr>
      </w:pPr>
      <w:r w:rsidRPr="002A728C">
        <w:rPr>
          <w:color w:val="000000" w:themeColor="text1"/>
        </w:rPr>
        <w:t>Su Y-S</w:t>
      </w:r>
      <w:r w:rsidR="0032242F" w:rsidRPr="002A728C">
        <w:rPr>
          <w:color w:val="000000" w:themeColor="text1"/>
        </w:rPr>
        <w:t xml:space="preserve">, </w:t>
      </w:r>
      <w:r w:rsidR="002F49B2" w:rsidRPr="002A728C">
        <w:rPr>
          <w:color w:val="000000" w:themeColor="text1"/>
        </w:rPr>
        <w:t>Yajima</w:t>
      </w:r>
      <w:r w:rsidR="0032242F" w:rsidRPr="002A728C">
        <w:rPr>
          <w:color w:val="000000" w:themeColor="text1"/>
        </w:rPr>
        <w:t xml:space="preserve"> M</w:t>
      </w:r>
      <w:r w:rsidR="002F49B2" w:rsidRPr="002A728C">
        <w:rPr>
          <w:color w:val="000000" w:themeColor="text1"/>
        </w:rPr>
        <w:t>, (2015). R2jags: Using R to Run 'JAGS'. R package version 0.5-7.</w:t>
      </w:r>
    </w:p>
    <w:p w14:paraId="0A7FEBB4" w14:textId="39CDDE2F" w:rsidR="009E3F08" w:rsidRPr="002A728C" w:rsidRDefault="002F49B2" w:rsidP="002F49B2">
      <w:pPr>
        <w:ind w:hanging="284"/>
        <w:rPr>
          <w:color w:val="000000" w:themeColor="text1"/>
        </w:rPr>
      </w:pPr>
      <w:r w:rsidRPr="002A728C">
        <w:rPr>
          <w:color w:val="000000" w:themeColor="text1"/>
        </w:rPr>
        <w:t xml:space="preserve">  https://CRAN.R-project.org/package=R2jags</w:t>
      </w:r>
    </w:p>
    <w:p w14:paraId="68821F1F" w14:textId="77777777" w:rsidR="007E5B6D" w:rsidRPr="00F352E1" w:rsidRDefault="007E5B6D" w:rsidP="003708B0">
      <w:pPr>
        <w:ind w:hanging="284"/>
        <w:rPr>
          <w:color w:val="4F81BD" w:themeColor="accent1"/>
        </w:rPr>
      </w:pPr>
      <w:r w:rsidRPr="00F352E1">
        <w:rPr>
          <w:color w:val="4F81BD" w:themeColor="accent1"/>
        </w:rPr>
        <w:br w:type="page"/>
      </w:r>
    </w:p>
    <w:p w14:paraId="62F0D415" w14:textId="6800F2DD" w:rsidR="008A1A24" w:rsidRPr="00F352E1" w:rsidRDefault="008A1A24" w:rsidP="00121B7E">
      <w:pPr>
        <w:pStyle w:val="Heading1"/>
      </w:pPr>
      <w:bookmarkStart w:id="335" w:name="_Toc374701392"/>
      <w:bookmarkStart w:id="336" w:name="_Toc437424461"/>
      <w:bookmarkStart w:id="337" w:name="_Toc437424585"/>
      <w:bookmarkStart w:id="338" w:name="_Toc437432514"/>
      <w:bookmarkStart w:id="339" w:name="_Toc437432587"/>
      <w:bookmarkStart w:id="340" w:name="_Ref503361256"/>
      <w:bookmarkStart w:id="341" w:name="_Toc514408447"/>
      <w:bookmarkEnd w:id="283"/>
      <w:bookmarkEnd w:id="332"/>
      <w:bookmarkEnd w:id="333"/>
      <w:r w:rsidRPr="00F352E1">
        <w:t xml:space="preserve">Appendix </w:t>
      </w:r>
      <w:r w:rsidR="000D268E" w:rsidRPr="00F352E1">
        <w:t>1</w:t>
      </w:r>
      <w:r w:rsidRPr="00F352E1">
        <w:t>: Additional Informatio</w:t>
      </w:r>
      <w:bookmarkEnd w:id="335"/>
      <w:bookmarkEnd w:id="336"/>
      <w:bookmarkEnd w:id="337"/>
      <w:bookmarkEnd w:id="338"/>
      <w:bookmarkEnd w:id="339"/>
      <w:r w:rsidR="0063376B" w:rsidRPr="00F352E1">
        <w:t>n</w:t>
      </w:r>
      <w:bookmarkEnd w:id="340"/>
      <w:bookmarkEnd w:id="341"/>
    </w:p>
    <w:p w14:paraId="4C051214" w14:textId="77777777" w:rsidR="009F052E" w:rsidRPr="00F352E1" w:rsidRDefault="009F052E" w:rsidP="006F0445">
      <w:pPr>
        <w:rPr>
          <w:color w:val="4F81BD" w:themeColor="accent1"/>
        </w:rPr>
      </w:pPr>
    </w:p>
    <w:p w14:paraId="79936B0B" w14:textId="77777777" w:rsidR="006F0445" w:rsidRPr="00F352E1" w:rsidRDefault="006F0445">
      <w:pPr>
        <w:jc w:val="left"/>
        <w:rPr>
          <w:color w:val="4F81BD" w:themeColor="accent1"/>
        </w:rPr>
      </w:pPr>
      <w:r w:rsidRPr="00F352E1">
        <w:rPr>
          <w:color w:val="4F81BD" w:themeColor="accent1"/>
        </w:rPr>
        <w:br w:type="page"/>
      </w:r>
    </w:p>
    <w:p w14:paraId="277E86C6" w14:textId="77777777" w:rsidR="00E6123B" w:rsidRPr="00F352E1" w:rsidRDefault="00B14D94" w:rsidP="00606A50">
      <w:pPr>
        <w:pStyle w:val="Caption"/>
      </w:pPr>
      <w:bookmarkStart w:id="342" w:name="_Ref501104907"/>
      <w:bookmarkStart w:id="343" w:name="_Toc498591416"/>
      <w:bookmarkStart w:id="344" w:name="_Ref498591822"/>
      <w:bookmarkStart w:id="345" w:name="_Ref469727648"/>
      <w:bookmarkStart w:id="346" w:name="_Toc437424423"/>
      <w:bookmarkStart w:id="347" w:name="_Toc437424547"/>
      <w:bookmarkStart w:id="348" w:name="_Toc437432478"/>
      <w:bookmarkStart w:id="349" w:name="_Toc437432551"/>
      <w:bookmarkStart w:id="350" w:name="_Toc437598175"/>
      <w:bookmarkStart w:id="351" w:name="_Toc471373377"/>
      <w:r>
        <w:t xml:space="preserve">Table A1. </w:t>
      </w:r>
      <w:r>
        <w:fldChar w:fldCharType="begin"/>
      </w:r>
      <w:r>
        <w:instrText xml:space="preserve"> SEQ Table_A1. \* ARABIC </w:instrText>
      </w:r>
      <w:r>
        <w:fldChar w:fldCharType="separate"/>
      </w:r>
      <w:r w:rsidR="00A75175">
        <w:rPr>
          <w:noProof/>
        </w:rPr>
        <w:t>1</w:t>
      </w:r>
      <w:r>
        <w:fldChar w:fldCharType="end"/>
      </w:r>
      <w:bookmarkEnd w:id="342"/>
      <w:r>
        <w:t xml:space="preserve"> </w:t>
      </w:r>
      <w:r w:rsidR="00D07CD0" w:rsidRPr="00D07CD0">
        <w:t>Thresholds for proportion of macroalgae in the algae communities</w:t>
      </w:r>
      <w:bookmarkEnd w:id="343"/>
      <w:bookmarkEnd w:id="344"/>
    </w:p>
    <w:tbl>
      <w:tblPr>
        <w:tblStyle w:val="TableGrid"/>
        <w:tblW w:w="0" w:type="auto"/>
        <w:tblInd w:w="108" w:type="dxa"/>
        <w:tblLook w:val="04A0" w:firstRow="1" w:lastRow="0" w:firstColumn="1" w:lastColumn="0" w:noHBand="0" w:noVBand="1"/>
        <w:tblCaption w:val="Table A1. 1 Thresholds for proportion of macroalgae in the algae communities"/>
        <w:tblDescription w:val="a table of the upper and lower thresholds used for scoring the macroalgae metric at each reef and depth."/>
      </w:tblPr>
      <w:tblGrid>
        <w:gridCol w:w="1486"/>
        <w:gridCol w:w="694"/>
        <w:gridCol w:w="694"/>
        <w:gridCol w:w="694"/>
        <w:gridCol w:w="701"/>
        <w:gridCol w:w="267"/>
        <w:gridCol w:w="1560"/>
        <w:gridCol w:w="708"/>
        <w:gridCol w:w="709"/>
        <w:gridCol w:w="709"/>
        <w:gridCol w:w="709"/>
      </w:tblGrid>
      <w:tr w:rsidR="001B5635" w:rsidRPr="001B5635" w14:paraId="00596B42" w14:textId="77777777" w:rsidTr="001E472C">
        <w:trPr>
          <w:cantSplit/>
          <w:trHeight w:hRule="exact" w:val="284"/>
          <w:tblHeader/>
        </w:trPr>
        <w:tc>
          <w:tcPr>
            <w:tcW w:w="1486" w:type="dxa"/>
            <w:vMerge w:val="restart"/>
            <w:tcBorders>
              <w:top w:val="single" w:sz="4" w:space="0" w:color="auto"/>
              <w:left w:val="single" w:sz="4" w:space="0" w:color="auto"/>
              <w:bottom w:val="single" w:sz="4" w:space="0" w:color="auto"/>
              <w:right w:val="single" w:sz="4" w:space="0" w:color="auto"/>
            </w:tcBorders>
            <w:noWrap/>
            <w:vAlign w:val="center"/>
            <w:hideMark/>
          </w:tcPr>
          <w:bookmarkEnd w:id="345"/>
          <w:bookmarkEnd w:id="346"/>
          <w:bookmarkEnd w:id="347"/>
          <w:bookmarkEnd w:id="348"/>
          <w:bookmarkEnd w:id="349"/>
          <w:bookmarkEnd w:id="350"/>
          <w:bookmarkEnd w:id="351"/>
          <w:p w14:paraId="3C05247C" w14:textId="77777777" w:rsidR="00A175A4" w:rsidRPr="001B5635" w:rsidRDefault="00A175A4" w:rsidP="00A175A4">
            <w:pPr>
              <w:jc w:val="center"/>
              <w:rPr>
                <w:rFonts w:ascii="Arial Narrow" w:hAnsi="Arial Narrow"/>
                <w:lang w:eastAsia="zh-CN"/>
              </w:rPr>
            </w:pPr>
            <w:r w:rsidRPr="001B5635">
              <w:rPr>
                <w:rFonts w:ascii="Arial Narrow" w:hAnsi="Arial Narrow"/>
              </w:rPr>
              <w:t>Reef</w:t>
            </w:r>
          </w:p>
        </w:tc>
        <w:tc>
          <w:tcPr>
            <w:tcW w:w="1388" w:type="dxa"/>
            <w:gridSpan w:val="2"/>
            <w:tcBorders>
              <w:top w:val="single" w:sz="4" w:space="0" w:color="auto"/>
              <w:left w:val="single" w:sz="4" w:space="0" w:color="auto"/>
              <w:bottom w:val="single" w:sz="4" w:space="0" w:color="auto"/>
              <w:right w:val="single" w:sz="4" w:space="0" w:color="auto"/>
            </w:tcBorders>
            <w:noWrap/>
            <w:vAlign w:val="center"/>
            <w:hideMark/>
          </w:tcPr>
          <w:p w14:paraId="2C55789F" w14:textId="77777777" w:rsidR="00A175A4" w:rsidRPr="001B5635" w:rsidRDefault="00AA72A3" w:rsidP="00A175A4">
            <w:pPr>
              <w:jc w:val="center"/>
              <w:rPr>
                <w:rFonts w:ascii="Arial Narrow" w:hAnsi="Arial Narrow"/>
                <w:lang w:eastAsia="zh-CN"/>
              </w:rPr>
            </w:pPr>
            <w:r w:rsidRPr="001B5635">
              <w:rPr>
                <w:rFonts w:ascii="Arial Narrow" w:hAnsi="Arial Narrow"/>
              </w:rPr>
              <w:t>2 m</w:t>
            </w:r>
            <w:r w:rsidR="00A175A4" w:rsidRPr="001B5635">
              <w:rPr>
                <w:rFonts w:ascii="Arial Narrow" w:hAnsi="Arial Narrow"/>
              </w:rPr>
              <w:t xml:space="preserve"> Depth</w:t>
            </w:r>
          </w:p>
        </w:tc>
        <w:tc>
          <w:tcPr>
            <w:tcW w:w="1395" w:type="dxa"/>
            <w:gridSpan w:val="2"/>
            <w:tcBorders>
              <w:top w:val="single" w:sz="4" w:space="0" w:color="auto"/>
              <w:left w:val="single" w:sz="4" w:space="0" w:color="auto"/>
              <w:bottom w:val="single" w:sz="4" w:space="0" w:color="auto"/>
              <w:right w:val="single" w:sz="4" w:space="0" w:color="auto"/>
            </w:tcBorders>
            <w:noWrap/>
            <w:vAlign w:val="center"/>
            <w:hideMark/>
          </w:tcPr>
          <w:p w14:paraId="660141DA" w14:textId="77777777" w:rsidR="00A175A4" w:rsidRPr="001B5635" w:rsidRDefault="00AA72A3" w:rsidP="00A175A4">
            <w:pPr>
              <w:jc w:val="center"/>
              <w:rPr>
                <w:rFonts w:ascii="Arial Narrow" w:hAnsi="Arial Narrow"/>
                <w:lang w:eastAsia="zh-CN"/>
              </w:rPr>
            </w:pPr>
            <w:r w:rsidRPr="001B5635">
              <w:rPr>
                <w:rFonts w:ascii="Arial Narrow" w:hAnsi="Arial Narrow"/>
              </w:rPr>
              <w:t>5 m</w:t>
            </w:r>
            <w:r w:rsidR="00A175A4" w:rsidRPr="001B5635">
              <w:rPr>
                <w:rFonts w:ascii="Arial Narrow" w:hAnsi="Arial Narrow"/>
              </w:rPr>
              <w:t xml:space="preserve"> Depth</w:t>
            </w:r>
          </w:p>
        </w:tc>
        <w:tc>
          <w:tcPr>
            <w:tcW w:w="267" w:type="dxa"/>
            <w:tcBorders>
              <w:top w:val="single" w:sz="4" w:space="0" w:color="auto"/>
              <w:left w:val="single" w:sz="4" w:space="0" w:color="auto"/>
              <w:bottom w:val="nil"/>
              <w:right w:val="single" w:sz="4" w:space="0" w:color="auto"/>
            </w:tcBorders>
            <w:noWrap/>
            <w:vAlign w:val="center"/>
          </w:tcPr>
          <w:p w14:paraId="59483D15" w14:textId="77777777" w:rsidR="00A175A4" w:rsidRPr="001B5635" w:rsidRDefault="00A175A4" w:rsidP="00A175A4">
            <w:pPr>
              <w:jc w:val="center"/>
              <w:rPr>
                <w:rFonts w:ascii="Arial Narrow" w:hAnsi="Arial Narrow"/>
                <w:lang w:eastAsia="zh-CN"/>
              </w:rPr>
            </w:pPr>
          </w:p>
        </w:tc>
        <w:tc>
          <w:tcPr>
            <w:tcW w:w="1560" w:type="dxa"/>
            <w:vMerge w:val="restart"/>
            <w:tcBorders>
              <w:top w:val="single" w:sz="4" w:space="0" w:color="auto"/>
              <w:left w:val="single" w:sz="4" w:space="0" w:color="auto"/>
              <w:bottom w:val="single" w:sz="4" w:space="0" w:color="auto"/>
              <w:right w:val="single" w:sz="4" w:space="0" w:color="auto"/>
            </w:tcBorders>
            <w:noWrap/>
            <w:vAlign w:val="center"/>
            <w:hideMark/>
          </w:tcPr>
          <w:p w14:paraId="435C3641" w14:textId="77777777" w:rsidR="00A175A4" w:rsidRPr="001B5635" w:rsidRDefault="00A175A4" w:rsidP="00A175A4">
            <w:pPr>
              <w:jc w:val="center"/>
              <w:rPr>
                <w:rFonts w:ascii="Arial Narrow" w:hAnsi="Arial Narrow"/>
                <w:lang w:eastAsia="zh-CN"/>
              </w:rPr>
            </w:pPr>
            <w:r w:rsidRPr="001B5635">
              <w:rPr>
                <w:rFonts w:ascii="Arial Narrow" w:hAnsi="Arial Narrow"/>
              </w:rPr>
              <w:t>Reef</w:t>
            </w:r>
          </w:p>
        </w:tc>
        <w:tc>
          <w:tcPr>
            <w:tcW w:w="1417" w:type="dxa"/>
            <w:gridSpan w:val="2"/>
            <w:tcBorders>
              <w:top w:val="single" w:sz="4" w:space="0" w:color="auto"/>
              <w:left w:val="single" w:sz="4" w:space="0" w:color="auto"/>
              <w:bottom w:val="single" w:sz="4" w:space="0" w:color="auto"/>
              <w:right w:val="single" w:sz="4" w:space="0" w:color="auto"/>
            </w:tcBorders>
            <w:noWrap/>
            <w:vAlign w:val="center"/>
            <w:hideMark/>
          </w:tcPr>
          <w:p w14:paraId="439A3D78" w14:textId="77777777" w:rsidR="00A175A4" w:rsidRPr="001B5635" w:rsidRDefault="00AA72A3" w:rsidP="00A175A4">
            <w:pPr>
              <w:jc w:val="center"/>
              <w:rPr>
                <w:rFonts w:ascii="Arial Narrow" w:hAnsi="Arial Narrow"/>
                <w:lang w:eastAsia="zh-CN"/>
              </w:rPr>
            </w:pPr>
            <w:r w:rsidRPr="001B5635">
              <w:rPr>
                <w:rFonts w:ascii="Arial Narrow" w:hAnsi="Arial Narrow"/>
              </w:rPr>
              <w:t>2 m</w:t>
            </w:r>
            <w:r w:rsidR="00A175A4" w:rsidRPr="001B5635">
              <w:rPr>
                <w:rFonts w:ascii="Arial Narrow" w:hAnsi="Arial Narrow"/>
              </w:rPr>
              <w:t xml:space="preserve"> Depth</w:t>
            </w:r>
          </w:p>
        </w:tc>
        <w:tc>
          <w:tcPr>
            <w:tcW w:w="1418" w:type="dxa"/>
            <w:gridSpan w:val="2"/>
            <w:tcBorders>
              <w:top w:val="single" w:sz="4" w:space="0" w:color="auto"/>
              <w:left w:val="single" w:sz="4" w:space="0" w:color="auto"/>
              <w:bottom w:val="single" w:sz="4" w:space="0" w:color="auto"/>
              <w:right w:val="single" w:sz="4" w:space="0" w:color="auto"/>
            </w:tcBorders>
            <w:noWrap/>
            <w:vAlign w:val="center"/>
            <w:hideMark/>
          </w:tcPr>
          <w:p w14:paraId="0F3506FA" w14:textId="77777777" w:rsidR="00A175A4" w:rsidRPr="001B5635" w:rsidRDefault="00AA72A3" w:rsidP="00A175A4">
            <w:pPr>
              <w:jc w:val="center"/>
              <w:rPr>
                <w:rFonts w:ascii="Arial Narrow" w:hAnsi="Arial Narrow"/>
                <w:lang w:eastAsia="zh-CN"/>
              </w:rPr>
            </w:pPr>
            <w:r w:rsidRPr="001B5635">
              <w:rPr>
                <w:rFonts w:ascii="Arial Narrow" w:hAnsi="Arial Narrow"/>
              </w:rPr>
              <w:t>5 m</w:t>
            </w:r>
            <w:r w:rsidR="00A175A4" w:rsidRPr="001B5635">
              <w:rPr>
                <w:rFonts w:ascii="Arial Narrow" w:hAnsi="Arial Narrow"/>
              </w:rPr>
              <w:t xml:space="preserve"> Depth</w:t>
            </w:r>
          </w:p>
        </w:tc>
      </w:tr>
      <w:tr w:rsidR="001B5635" w:rsidRPr="001B5635" w14:paraId="056A80C9" w14:textId="77777777" w:rsidTr="001E472C">
        <w:trPr>
          <w:cantSplit/>
          <w:trHeight w:hRule="exact" w:val="851"/>
          <w:tblHeader/>
        </w:trPr>
        <w:tc>
          <w:tcPr>
            <w:tcW w:w="1486" w:type="dxa"/>
            <w:vMerge/>
            <w:tcBorders>
              <w:top w:val="single" w:sz="4" w:space="0" w:color="auto"/>
              <w:left w:val="single" w:sz="4" w:space="0" w:color="auto"/>
              <w:bottom w:val="single" w:sz="4" w:space="0" w:color="auto"/>
              <w:right w:val="single" w:sz="4" w:space="0" w:color="auto"/>
            </w:tcBorders>
            <w:vAlign w:val="center"/>
            <w:hideMark/>
          </w:tcPr>
          <w:p w14:paraId="01746C91" w14:textId="77777777" w:rsidR="00A175A4" w:rsidRPr="001B5635" w:rsidRDefault="00A175A4" w:rsidP="00A175A4">
            <w:pPr>
              <w:rPr>
                <w:rFonts w:ascii="Arial Narrow" w:eastAsia="SimSun" w:hAnsi="Arial Narrow"/>
                <w:lang w:val="en-US" w:eastAsia="zh-CN"/>
              </w:rPr>
            </w:pPr>
          </w:p>
        </w:tc>
        <w:tc>
          <w:tcPr>
            <w:tcW w:w="694" w:type="dxa"/>
            <w:tcBorders>
              <w:top w:val="single" w:sz="4" w:space="0" w:color="auto"/>
              <w:left w:val="single" w:sz="4" w:space="0" w:color="auto"/>
              <w:bottom w:val="single" w:sz="4" w:space="0" w:color="auto"/>
              <w:right w:val="single" w:sz="4" w:space="0" w:color="auto"/>
            </w:tcBorders>
            <w:noWrap/>
            <w:textDirection w:val="btLr"/>
            <w:hideMark/>
          </w:tcPr>
          <w:p w14:paraId="6A75A2E2" w14:textId="77777777" w:rsidR="00A175A4" w:rsidRPr="001B5635" w:rsidRDefault="00A175A4" w:rsidP="00A175A4">
            <w:pPr>
              <w:ind w:left="113" w:right="113"/>
              <w:rPr>
                <w:rFonts w:ascii="Arial Narrow" w:hAnsi="Arial Narrow"/>
                <w:lang w:eastAsia="zh-CN"/>
              </w:rPr>
            </w:pPr>
            <w:r w:rsidRPr="001B5635">
              <w:rPr>
                <w:rFonts w:ascii="Arial Narrow" w:hAnsi="Arial Narrow"/>
              </w:rPr>
              <w:t>Upper</w:t>
            </w:r>
          </w:p>
        </w:tc>
        <w:tc>
          <w:tcPr>
            <w:tcW w:w="694" w:type="dxa"/>
            <w:tcBorders>
              <w:top w:val="single" w:sz="4" w:space="0" w:color="auto"/>
              <w:left w:val="single" w:sz="4" w:space="0" w:color="auto"/>
              <w:bottom w:val="single" w:sz="4" w:space="0" w:color="auto"/>
              <w:right w:val="single" w:sz="4" w:space="0" w:color="auto"/>
            </w:tcBorders>
            <w:noWrap/>
            <w:textDirection w:val="btLr"/>
            <w:hideMark/>
          </w:tcPr>
          <w:p w14:paraId="3DF6A6C2" w14:textId="77777777" w:rsidR="00A175A4" w:rsidRPr="001B5635" w:rsidRDefault="00A175A4" w:rsidP="00A175A4">
            <w:pPr>
              <w:ind w:left="113" w:right="113"/>
              <w:rPr>
                <w:rFonts w:ascii="Arial Narrow" w:hAnsi="Arial Narrow"/>
                <w:lang w:eastAsia="zh-CN"/>
              </w:rPr>
            </w:pPr>
            <w:r w:rsidRPr="001B5635">
              <w:rPr>
                <w:rFonts w:ascii="Arial Narrow" w:hAnsi="Arial Narrow"/>
              </w:rPr>
              <w:t>Lower</w:t>
            </w:r>
          </w:p>
        </w:tc>
        <w:tc>
          <w:tcPr>
            <w:tcW w:w="694" w:type="dxa"/>
            <w:tcBorders>
              <w:top w:val="single" w:sz="4" w:space="0" w:color="auto"/>
              <w:left w:val="single" w:sz="4" w:space="0" w:color="auto"/>
              <w:bottom w:val="single" w:sz="4" w:space="0" w:color="auto"/>
              <w:right w:val="single" w:sz="4" w:space="0" w:color="auto"/>
            </w:tcBorders>
            <w:noWrap/>
            <w:textDirection w:val="btLr"/>
            <w:hideMark/>
          </w:tcPr>
          <w:p w14:paraId="3A6839CB" w14:textId="77777777" w:rsidR="00A175A4" w:rsidRPr="001B5635" w:rsidRDefault="00A175A4" w:rsidP="00A175A4">
            <w:pPr>
              <w:ind w:left="113" w:right="113"/>
              <w:rPr>
                <w:rFonts w:ascii="Arial Narrow" w:hAnsi="Arial Narrow"/>
                <w:lang w:eastAsia="zh-CN"/>
              </w:rPr>
            </w:pPr>
            <w:r w:rsidRPr="001B5635">
              <w:rPr>
                <w:rFonts w:ascii="Arial Narrow" w:hAnsi="Arial Narrow"/>
              </w:rPr>
              <w:t>Upper</w:t>
            </w:r>
          </w:p>
        </w:tc>
        <w:tc>
          <w:tcPr>
            <w:tcW w:w="701" w:type="dxa"/>
            <w:tcBorders>
              <w:top w:val="single" w:sz="4" w:space="0" w:color="auto"/>
              <w:left w:val="single" w:sz="4" w:space="0" w:color="auto"/>
              <w:bottom w:val="single" w:sz="4" w:space="0" w:color="auto"/>
              <w:right w:val="single" w:sz="4" w:space="0" w:color="auto"/>
            </w:tcBorders>
            <w:noWrap/>
            <w:textDirection w:val="btLr"/>
            <w:hideMark/>
          </w:tcPr>
          <w:p w14:paraId="4B7DE801" w14:textId="77777777" w:rsidR="00A175A4" w:rsidRPr="001B5635" w:rsidRDefault="00A175A4" w:rsidP="00A175A4">
            <w:pPr>
              <w:ind w:left="113" w:right="113"/>
              <w:rPr>
                <w:rFonts w:ascii="Arial Narrow" w:hAnsi="Arial Narrow"/>
                <w:lang w:eastAsia="zh-CN"/>
              </w:rPr>
            </w:pPr>
            <w:r w:rsidRPr="001B5635">
              <w:rPr>
                <w:rFonts w:ascii="Arial Narrow" w:hAnsi="Arial Narrow"/>
              </w:rPr>
              <w:t>Lower</w:t>
            </w:r>
          </w:p>
        </w:tc>
        <w:tc>
          <w:tcPr>
            <w:tcW w:w="267" w:type="dxa"/>
            <w:tcBorders>
              <w:top w:val="nil"/>
              <w:left w:val="single" w:sz="4" w:space="0" w:color="auto"/>
              <w:bottom w:val="nil"/>
              <w:right w:val="single" w:sz="4" w:space="0" w:color="auto"/>
            </w:tcBorders>
            <w:noWrap/>
            <w:hideMark/>
          </w:tcPr>
          <w:p w14:paraId="383A3E3D" w14:textId="77777777" w:rsidR="00A175A4" w:rsidRPr="001B5635" w:rsidRDefault="00A175A4" w:rsidP="00A175A4">
            <w:pPr>
              <w:rPr>
                <w:rFonts w:ascii="Arial Narrow" w:hAnsi="Arial Narrow"/>
                <w:lang w:eastAsia="zh-CN"/>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14:paraId="2D7275C4" w14:textId="77777777" w:rsidR="00A175A4" w:rsidRPr="001B5635" w:rsidRDefault="00A175A4" w:rsidP="00A175A4">
            <w:pPr>
              <w:rPr>
                <w:rFonts w:ascii="Arial Narrow" w:eastAsia="SimSun" w:hAnsi="Arial Narrow"/>
                <w:lang w:val="en-US" w:eastAsia="zh-CN"/>
              </w:rPr>
            </w:pPr>
          </w:p>
        </w:tc>
        <w:tc>
          <w:tcPr>
            <w:tcW w:w="708" w:type="dxa"/>
            <w:tcBorders>
              <w:top w:val="single" w:sz="4" w:space="0" w:color="auto"/>
              <w:left w:val="single" w:sz="4" w:space="0" w:color="auto"/>
              <w:bottom w:val="single" w:sz="4" w:space="0" w:color="auto"/>
              <w:right w:val="single" w:sz="4" w:space="0" w:color="auto"/>
            </w:tcBorders>
            <w:noWrap/>
            <w:textDirection w:val="btLr"/>
            <w:hideMark/>
          </w:tcPr>
          <w:p w14:paraId="1B1C9E3F" w14:textId="77777777" w:rsidR="00A175A4" w:rsidRPr="001B5635" w:rsidRDefault="00A175A4" w:rsidP="00A175A4">
            <w:pPr>
              <w:ind w:left="113" w:right="113"/>
              <w:rPr>
                <w:rFonts w:ascii="Arial Narrow" w:hAnsi="Arial Narrow"/>
                <w:lang w:eastAsia="zh-CN"/>
              </w:rPr>
            </w:pPr>
            <w:r w:rsidRPr="001B5635">
              <w:rPr>
                <w:rFonts w:ascii="Arial Narrow" w:hAnsi="Arial Narrow"/>
              </w:rPr>
              <w:t>Upper</w:t>
            </w:r>
          </w:p>
        </w:tc>
        <w:tc>
          <w:tcPr>
            <w:tcW w:w="709" w:type="dxa"/>
            <w:tcBorders>
              <w:top w:val="single" w:sz="4" w:space="0" w:color="auto"/>
              <w:left w:val="single" w:sz="4" w:space="0" w:color="auto"/>
              <w:bottom w:val="single" w:sz="4" w:space="0" w:color="auto"/>
              <w:right w:val="single" w:sz="4" w:space="0" w:color="auto"/>
            </w:tcBorders>
            <w:noWrap/>
            <w:textDirection w:val="btLr"/>
            <w:hideMark/>
          </w:tcPr>
          <w:p w14:paraId="33EF99A6" w14:textId="77777777" w:rsidR="00A175A4" w:rsidRPr="001B5635" w:rsidRDefault="00A175A4" w:rsidP="00A175A4">
            <w:pPr>
              <w:ind w:left="113" w:right="113"/>
              <w:rPr>
                <w:rFonts w:ascii="Arial Narrow" w:hAnsi="Arial Narrow"/>
                <w:lang w:eastAsia="zh-CN"/>
              </w:rPr>
            </w:pPr>
            <w:r w:rsidRPr="001B5635">
              <w:rPr>
                <w:rFonts w:ascii="Arial Narrow" w:hAnsi="Arial Narrow"/>
              </w:rPr>
              <w:t>Lower</w:t>
            </w:r>
          </w:p>
        </w:tc>
        <w:tc>
          <w:tcPr>
            <w:tcW w:w="709" w:type="dxa"/>
            <w:tcBorders>
              <w:top w:val="single" w:sz="4" w:space="0" w:color="auto"/>
              <w:left w:val="single" w:sz="4" w:space="0" w:color="auto"/>
              <w:bottom w:val="single" w:sz="4" w:space="0" w:color="auto"/>
              <w:right w:val="single" w:sz="4" w:space="0" w:color="auto"/>
            </w:tcBorders>
            <w:noWrap/>
            <w:textDirection w:val="btLr"/>
            <w:hideMark/>
          </w:tcPr>
          <w:p w14:paraId="09E64914" w14:textId="77777777" w:rsidR="00A175A4" w:rsidRPr="001B5635" w:rsidRDefault="00A175A4" w:rsidP="00A175A4">
            <w:pPr>
              <w:ind w:left="113" w:right="113"/>
              <w:rPr>
                <w:rFonts w:ascii="Arial Narrow" w:hAnsi="Arial Narrow"/>
                <w:lang w:eastAsia="zh-CN"/>
              </w:rPr>
            </w:pPr>
            <w:r w:rsidRPr="001B5635">
              <w:rPr>
                <w:rFonts w:ascii="Arial Narrow" w:hAnsi="Arial Narrow"/>
              </w:rPr>
              <w:t>Upper</w:t>
            </w:r>
          </w:p>
        </w:tc>
        <w:tc>
          <w:tcPr>
            <w:tcW w:w="709" w:type="dxa"/>
            <w:tcBorders>
              <w:top w:val="single" w:sz="4" w:space="0" w:color="auto"/>
              <w:left w:val="single" w:sz="4" w:space="0" w:color="auto"/>
              <w:bottom w:val="single" w:sz="4" w:space="0" w:color="auto"/>
              <w:right w:val="single" w:sz="4" w:space="0" w:color="auto"/>
            </w:tcBorders>
            <w:noWrap/>
            <w:textDirection w:val="btLr"/>
            <w:hideMark/>
          </w:tcPr>
          <w:p w14:paraId="628E3A96" w14:textId="77777777" w:rsidR="00A175A4" w:rsidRPr="001B5635" w:rsidRDefault="00A175A4" w:rsidP="00A175A4">
            <w:pPr>
              <w:ind w:left="113" w:right="113"/>
              <w:rPr>
                <w:rFonts w:ascii="Arial Narrow" w:hAnsi="Arial Narrow"/>
                <w:lang w:eastAsia="zh-CN"/>
              </w:rPr>
            </w:pPr>
            <w:r w:rsidRPr="001B5635">
              <w:rPr>
                <w:rFonts w:ascii="Arial Narrow" w:hAnsi="Arial Narrow"/>
              </w:rPr>
              <w:t>Lower</w:t>
            </w:r>
          </w:p>
        </w:tc>
      </w:tr>
      <w:tr w:rsidR="001B5635" w:rsidRPr="001B5635" w14:paraId="081DACA0"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61DB4EE6" w14:textId="77777777" w:rsidR="00A175A4" w:rsidRPr="001B5635" w:rsidRDefault="00A175A4" w:rsidP="00A175A4">
            <w:pPr>
              <w:rPr>
                <w:rFonts w:ascii="Arial Narrow" w:hAnsi="Arial Narrow"/>
                <w:lang w:eastAsia="zh-CN"/>
              </w:rPr>
            </w:pPr>
            <w:r w:rsidRPr="001B5635">
              <w:rPr>
                <w:rFonts w:ascii="Arial Narrow" w:hAnsi="Arial Narrow"/>
              </w:rPr>
              <w:t>Barnards</w:t>
            </w:r>
          </w:p>
        </w:tc>
        <w:tc>
          <w:tcPr>
            <w:tcW w:w="694" w:type="dxa"/>
            <w:tcBorders>
              <w:top w:val="single" w:sz="4" w:space="0" w:color="auto"/>
              <w:left w:val="single" w:sz="4" w:space="0" w:color="auto"/>
              <w:bottom w:val="single" w:sz="4" w:space="0" w:color="auto"/>
              <w:right w:val="single" w:sz="4" w:space="0" w:color="auto"/>
            </w:tcBorders>
            <w:noWrap/>
            <w:hideMark/>
          </w:tcPr>
          <w:p w14:paraId="356EAA04" w14:textId="77777777" w:rsidR="00A175A4" w:rsidRPr="001B5635" w:rsidRDefault="00A175A4" w:rsidP="00A175A4">
            <w:pPr>
              <w:rPr>
                <w:rFonts w:ascii="Arial Narrow" w:hAnsi="Arial Narrow"/>
                <w:lang w:eastAsia="zh-CN"/>
              </w:rPr>
            </w:pPr>
            <w:r w:rsidRPr="001B5635">
              <w:rPr>
                <w:rFonts w:ascii="Arial Narrow" w:hAnsi="Arial Narrow"/>
              </w:rPr>
              <w:t>23</w:t>
            </w:r>
          </w:p>
        </w:tc>
        <w:tc>
          <w:tcPr>
            <w:tcW w:w="694" w:type="dxa"/>
            <w:tcBorders>
              <w:top w:val="single" w:sz="4" w:space="0" w:color="auto"/>
              <w:left w:val="single" w:sz="4" w:space="0" w:color="auto"/>
              <w:bottom w:val="single" w:sz="4" w:space="0" w:color="auto"/>
              <w:right w:val="single" w:sz="4" w:space="0" w:color="auto"/>
            </w:tcBorders>
            <w:noWrap/>
            <w:hideMark/>
          </w:tcPr>
          <w:p w14:paraId="717D3AD6" w14:textId="77777777" w:rsidR="00A175A4" w:rsidRPr="001B5635" w:rsidRDefault="00A175A4" w:rsidP="00A175A4">
            <w:pPr>
              <w:rPr>
                <w:rFonts w:ascii="Arial Narrow" w:hAnsi="Arial Narrow"/>
                <w:lang w:eastAsia="zh-CN"/>
              </w:rPr>
            </w:pPr>
            <w:r w:rsidRPr="001B5635">
              <w:rPr>
                <w:rFonts w:ascii="Arial Narrow" w:hAnsi="Arial Narrow"/>
              </w:rPr>
              <w:t>4.8</w:t>
            </w:r>
          </w:p>
        </w:tc>
        <w:tc>
          <w:tcPr>
            <w:tcW w:w="694" w:type="dxa"/>
            <w:tcBorders>
              <w:top w:val="single" w:sz="4" w:space="0" w:color="auto"/>
              <w:left w:val="single" w:sz="4" w:space="0" w:color="auto"/>
              <w:bottom w:val="single" w:sz="4" w:space="0" w:color="auto"/>
              <w:right w:val="single" w:sz="4" w:space="0" w:color="auto"/>
            </w:tcBorders>
            <w:noWrap/>
            <w:hideMark/>
          </w:tcPr>
          <w:p w14:paraId="6C470658" w14:textId="77777777" w:rsidR="00A175A4" w:rsidRPr="001B5635" w:rsidRDefault="00A175A4" w:rsidP="00A175A4">
            <w:pPr>
              <w:rPr>
                <w:rFonts w:ascii="Arial Narrow" w:hAnsi="Arial Narrow"/>
                <w:lang w:eastAsia="zh-CN"/>
              </w:rPr>
            </w:pPr>
            <w:r w:rsidRPr="001B5635">
              <w:rPr>
                <w:rFonts w:ascii="Arial Narrow" w:hAnsi="Arial Narrow"/>
              </w:rPr>
              <w:t>20.8</w:t>
            </w:r>
          </w:p>
        </w:tc>
        <w:tc>
          <w:tcPr>
            <w:tcW w:w="701" w:type="dxa"/>
            <w:tcBorders>
              <w:top w:val="single" w:sz="4" w:space="0" w:color="auto"/>
              <w:left w:val="single" w:sz="4" w:space="0" w:color="auto"/>
              <w:bottom w:val="single" w:sz="4" w:space="0" w:color="auto"/>
              <w:right w:val="single" w:sz="4" w:space="0" w:color="auto"/>
            </w:tcBorders>
            <w:noWrap/>
            <w:hideMark/>
          </w:tcPr>
          <w:p w14:paraId="7BCB5FAB" w14:textId="77777777" w:rsidR="00A175A4" w:rsidRPr="001B5635" w:rsidRDefault="00A175A4" w:rsidP="00A175A4">
            <w:pPr>
              <w:rPr>
                <w:rFonts w:ascii="Arial Narrow" w:hAnsi="Arial Narrow"/>
                <w:lang w:eastAsia="zh-CN"/>
              </w:rPr>
            </w:pPr>
            <w:r w:rsidRPr="001B5635">
              <w:rPr>
                <w:rFonts w:ascii="Arial Narrow" w:hAnsi="Arial Narrow"/>
              </w:rPr>
              <w:t>1.7</w:t>
            </w:r>
          </w:p>
        </w:tc>
        <w:tc>
          <w:tcPr>
            <w:tcW w:w="267" w:type="dxa"/>
            <w:tcBorders>
              <w:top w:val="nil"/>
              <w:left w:val="single" w:sz="4" w:space="0" w:color="auto"/>
              <w:bottom w:val="nil"/>
              <w:right w:val="single" w:sz="4" w:space="0" w:color="auto"/>
            </w:tcBorders>
            <w:noWrap/>
            <w:hideMark/>
          </w:tcPr>
          <w:p w14:paraId="44220D25" w14:textId="77777777" w:rsidR="00A175A4" w:rsidRPr="001B5635" w:rsidRDefault="00A175A4" w:rsidP="00A175A4">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hideMark/>
          </w:tcPr>
          <w:p w14:paraId="695F1F2D" w14:textId="77777777" w:rsidR="00A175A4" w:rsidRPr="001B5635" w:rsidRDefault="00A175A4" w:rsidP="00A175A4">
            <w:pPr>
              <w:rPr>
                <w:rFonts w:ascii="Arial Narrow" w:hAnsi="Arial Narrow"/>
                <w:lang w:eastAsia="zh-CN"/>
              </w:rPr>
            </w:pPr>
            <w:r w:rsidRPr="001B5635">
              <w:rPr>
                <w:rFonts w:ascii="Arial Narrow" w:hAnsi="Arial Narrow"/>
              </w:rPr>
              <w:t>Keppels South</w:t>
            </w:r>
          </w:p>
        </w:tc>
        <w:tc>
          <w:tcPr>
            <w:tcW w:w="708" w:type="dxa"/>
            <w:tcBorders>
              <w:top w:val="single" w:sz="4" w:space="0" w:color="auto"/>
              <w:left w:val="single" w:sz="4" w:space="0" w:color="auto"/>
              <w:bottom w:val="single" w:sz="4" w:space="0" w:color="auto"/>
              <w:right w:val="single" w:sz="4" w:space="0" w:color="auto"/>
            </w:tcBorders>
            <w:noWrap/>
            <w:hideMark/>
          </w:tcPr>
          <w:p w14:paraId="013C0048" w14:textId="77777777" w:rsidR="00A175A4" w:rsidRPr="001B5635" w:rsidRDefault="00A175A4" w:rsidP="00A175A4">
            <w:pPr>
              <w:rPr>
                <w:rFonts w:ascii="Arial Narrow" w:hAnsi="Arial Narrow"/>
                <w:lang w:eastAsia="zh-CN"/>
              </w:rPr>
            </w:pPr>
            <w:r w:rsidRPr="001B5635">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hideMark/>
          </w:tcPr>
          <w:p w14:paraId="75E37217" w14:textId="77777777" w:rsidR="00A175A4" w:rsidRPr="001B5635" w:rsidRDefault="00A175A4" w:rsidP="00A175A4">
            <w:pPr>
              <w:rPr>
                <w:rFonts w:ascii="Arial Narrow" w:hAnsi="Arial Narrow"/>
                <w:lang w:eastAsia="zh-CN"/>
              </w:rPr>
            </w:pPr>
            <w:r w:rsidRPr="001B5635">
              <w:rPr>
                <w:rFonts w:ascii="Arial Narrow" w:hAnsi="Arial Narrow"/>
              </w:rPr>
              <w:t>3.9</w:t>
            </w:r>
          </w:p>
        </w:tc>
        <w:tc>
          <w:tcPr>
            <w:tcW w:w="709" w:type="dxa"/>
            <w:tcBorders>
              <w:top w:val="single" w:sz="4" w:space="0" w:color="auto"/>
              <w:left w:val="single" w:sz="4" w:space="0" w:color="auto"/>
              <w:bottom w:val="single" w:sz="4" w:space="0" w:color="auto"/>
              <w:right w:val="single" w:sz="4" w:space="0" w:color="auto"/>
            </w:tcBorders>
            <w:noWrap/>
            <w:hideMark/>
          </w:tcPr>
          <w:p w14:paraId="319CD571" w14:textId="77777777" w:rsidR="00A175A4" w:rsidRPr="001B5635" w:rsidRDefault="00A175A4" w:rsidP="00A175A4">
            <w:pPr>
              <w:rPr>
                <w:rFonts w:ascii="Arial Narrow" w:hAnsi="Arial Narrow"/>
                <w:lang w:eastAsia="zh-CN"/>
              </w:rPr>
            </w:pPr>
            <w:r w:rsidRPr="001B5635">
              <w:rPr>
                <w:rFonts w:ascii="Arial Narrow" w:hAnsi="Arial Narrow"/>
              </w:rPr>
              <w:t>24</w:t>
            </w:r>
          </w:p>
        </w:tc>
        <w:tc>
          <w:tcPr>
            <w:tcW w:w="709" w:type="dxa"/>
            <w:tcBorders>
              <w:top w:val="single" w:sz="4" w:space="0" w:color="auto"/>
              <w:left w:val="single" w:sz="4" w:space="0" w:color="auto"/>
              <w:bottom w:val="single" w:sz="4" w:space="0" w:color="auto"/>
              <w:right w:val="single" w:sz="4" w:space="0" w:color="auto"/>
            </w:tcBorders>
            <w:noWrap/>
            <w:hideMark/>
          </w:tcPr>
          <w:p w14:paraId="68B52372" w14:textId="77777777" w:rsidR="00A175A4" w:rsidRPr="001B5635" w:rsidRDefault="00A175A4" w:rsidP="00A175A4">
            <w:pPr>
              <w:rPr>
                <w:rFonts w:ascii="Arial Narrow" w:hAnsi="Arial Narrow"/>
                <w:lang w:eastAsia="zh-CN"/>
              </w:rPr>
            </w:pPr>
            <w:r w:rsidRPr="001B5635">
              <w:rPr>
                <w:rFonts w:ascii="Arial Narrow" w:hAnsi="Arial Narrow"/>
              </w:rPr>
              <w:t>1.7</w:t>
            </w:r>
          </w:p>
        </w:tc>
      </w:tr>
      <w:tr w:rsidR="001B5635" w:rsidRPr="001B5635" w14:paraId="7AF3165C"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7574324A" w14:textId="77777777" w:rsidR="00A175A4" w:rsidRPr="001B5635" w:rsidRDefault="00A175A4" w:rsidP="00A175A4">
            <w:pPr>
              <w:rPr>
                <w:rFonts w:ascii="Arial Narrow" w:hAnsi="Arial Narrow"/>
                <w:lang w:eastAsia="zh-CN"/>
              </w:rPr>
            </w:pPr>
            <w:r w:rsidRPr="001B5635">
              <w:rPr>
                <w:rFonts w:ascii="Arial Narrow" w:hAnsi="Arial Narrow"/>
              </w:rPr>
              <w:t>Barren</w:t>
            </w:r>
          </w:p>
        </w:tc>
        <w:tc>
          <w:tcPr>
            <w:tcW w:w="694" w:type="dxa"/>
            <w:tcBorders>
              <w:top w:val="single" w:sz="4" w:space="0" w:color="auto"/>
              <w:left w:val="single" w:sz="4" w:space="0" w:color="auto"/>
              <w:bottom w:val="single" w:sz="4" w:space="0" w:color="auto"/>
              <w:right w:val="single" w:sz="4" w:space="0" w:color="auto"/>
            </w:tcBorders>
            <w:noWrap/>
            <w:hideMark/>
          </w:tcPr>
          <w:p w14:paraId="05BA3B9F" w14:textId="77777777" w:rsidR="00A175A4" w:rsidRPr="001B5635" w:rsidRDefault="00A175A4" w:rsidP="00A175A4">
            <w:pPr>
              <w:rPr>
                <w:rFonts w:ascii="Arial Narrow" w:hAnsi="Arial Narrow"/>
                <w:lang w:eastAsia="zh-CN"/>
              </w:rPr>
            </w:pPr>
            <w:r w:rsidRPr="001B5635">
              <w:rPr>
                <w:rFonts w:ascii="Arial Narrow" w:hAnsi="Arial Narrow"/>
              </w:rPr>
              <w:t>13</w:t>
            </w:r>
          </w:p>
        </w:tc>
        <w:tc>
          <w:tcPr>
            <w:tcW w:w="694" w:type="dxa"/>
            <w:tcBorders>
              <w:top w:val="single" w:sz="4" w:space="0" w:color="auto"/>
              <w:left w:val="single" w:sz="4" w:space="0" w:color="auto"/>
              <w:bottom w:val="single" w:sz="4" w:space="0" w:color="auto"/>
              <w:right w:val="single" w:sz="4" w:space="0" w:color="auto"/>
            </w:tcBorders>
            <w:noWrap/>
            <w:hideMark/>
          </w:tcPr>
          <w:p w14:paraId="548DE441" w14:textId="77777777" w:rsidR="00A175A4" w:rsidRPr="001B5635" w:rsidRDefault="00A175A4" w:rsidP="00A175A4">
            <w:pPr>
              <w:rPr>
                <w:rFonts w:ascii="Arial Narrow" w:hAnsi="Arial Narrow"/>
                <w:lang w:eastAsia="zh-CN"/>
              </w:rPr>
            </w:pPr>
            <w:r w:rsidRPr="001B5635">
              <w:rPr>
                <w:rFonts w:ascii="Arial Narrow" w:hAnsi="Arial Narrow"/>
              </w:rPr>
              <w:t>3.7</w:t>
            </w:r>
          </w:p>
        </w:tc>
        <w:tc>
          <w:tcPr>
            <w:tcW w:w="694" w:type="dxa"/>
            <w:tcBorders>
              <w:top w:val="single" w:sz="4" w:space="0" w:color="auto"/>
              <w:left w:val="single" w:sz="4" w:space="0" w:color="auto"/>
              <w:bottom w:val="single" w:sz="4" w:space="0" w:color="auto"/>
              <w:right w:val="single" w:sz="4" w:space="0" w:color="auto"/>
            </w:tcBorders>
            <w:noWrap/>
            <w:hideMark/>
          </w:tcPr>
          <w:p w14:paraId="627A72DE" w14:textId="77777777" w:rsidR="00A175A4" w:rsidRPr="001B5635" w:rsidRDefault="00A175A4" w:rsidP="00A175A4">
            <w:pPr>
              <w:rPr>
                <w:rFonts w:ascii="Arial Narrow" w:hAnsi="Arial Narrow"/>
                <w:lang w:eastAsia="zh-CN"/>
              </w:rPr>
            </w:pPr>
            <w:r w:rsidRPr="001B5635">
              <w:rPr>
                <w:rFonts w:ascii="Arial Narrow" w:hAnsi="Arial Narrow"/>
              </w:rPr>
              <w:t>12.6</w:t>
            </w:r>
          </w:p>
        </w:tc>
        <w:tc>
          <w:tcPr>
            <w:tcW w:w="701" w:type="dxa"/>
            <w:tcBorders>
              <w:top w:val="single" w:sz="4" w:space="0" w:color="auto"/>
              <w:left w:val="single" w:sz="4" w:space="0" w:color="auto"/>
              <w:bottom w:val="single" w:sz="4" w:space="0" w:color="auto"/>
              <w:right w:val="single" w:sz="4" w:space="0" w:color="auto"/>
            </w:tcBorders>
            <w:noWrap/>
            <w:hideMark/>
          </w:tcPr>
          <w:p w14:paraId="0E95A603" w14:textId="77777777" w:rsidR="00A175A4" w:rsidRPr="001B5635" w:rsidRDefault="00A175A4" w:rsidP="00A175A4">
            <w:pPr>
              <w:rPr>
                <w:rFonts w:ascii="Arial Narrow" w:hAnsi="Arial Narrow"/>
                <w:lang w:eastAsia="zh-CN"/>
              </w:rPr>
            </w:pPr>
            <w:r w:rsidRPr="001B5635">
              <w:rPr>
                <w:rFonts w:ascii="Arial Narrow" w:hAnsi="Arial Narrow"/>
              </w:rPr>
              <w:t>1.6</w:t>
            </w:r>
          </w:p>
        </w:tc>
        <w:tc>
          <w:tcPr>
            <w:tcW w:w="267" w:type="dxa"/>
            <w:tcBorders>
              <w:top w:val="nil"/>
              <w:left w:val="single" w:sz="4" w:space="0" w:color="auto"/>
              <w:bottom w:val="nil"/>
              <w:right w:val="single" w:sz="4" w:space="0" w:color="auto"/>
            </w:tcBorders>
            <w:noWrap/>
            <w:hideMark/>
          </w:tcPr>
          <w:p w14:paraId="1E0E8221" w14:textId="77777777" w:rsidR="00A175A4" w:rsidRPr="001B5635" w:rsidRDefault="00A175A4" w:rsidP="00A175A4">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hideMark/>
          </w:tcPr>
          <w:p w14:paraId="2DA2F8F1" w14:textId="77777777" w:rsidR="00A175A4" w:rsidRPr="001B5635" w:rsidRDefault="00A175A4" w:rsidP="00A175A4">
            <w:pPr>
              <w:rPr>
                <w:rFonts w:ascii="Arial Narrow" w:hAnsi="Arial Narrow"/>
                <w:lang w:eastAsia="zh-CN"/>
              </w:rPr>
            </w:pPr>
            <w:r w:rsidRPr="001B5635">
              <w:rPr>
                <w:rFonts w:ascii="Arial Narrow" w:hAnsi="Arial Narrow"/>
              </w:rPr>
              <w:t>King</w:t>
            </w:r>
          </w:p>
        </w:tc>
        <w:tc>
          <w:tcPr>
            <w:tcW w:w="708" w:type="dxa"/>
            <w:tcBorders>
              <w:top w:val="single" w:sz="4" w:space="0" w:color="auto"/>
              <w:left w:val="single" w:sz="4" w:space="0" w:color="auto"/>
              <w:bottom w:val="single" w:sz="4" w:space="0" w:color="auto"/>
              <w:right w:val="single" w:sz="4" w:space="0" w:color="auto"/>
            </w:tcBorders>
            <w:noWrap/>
            <w:hideMark/>
          </w:tcPr>
          <w:p w14:paraId="6034FDEE" w14:textId="77777777" w:rsidR="00A175A4" w:rsidRPr="001B5635" w:rsidRDefault="00A175A4" w:rsidP="00A175A4">
            <w:pPr>
              <w:rPr>
                <w:rFonts w:ascii="Arial Narrow" w:hAnsi="Arial Narrow"/>
                <w:lang w:eastAsia="zh-CN"/>
              </w:rPr>
            </w:pPr>
            <w:r w:rsidRPr="001B5635">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hideMark/>
          </w:tcPr>
          <w:p w14:paraId="6BFE7F21" w14:textId="77777777" w:rsidR="00A175A4" w:rsidRPr="001B5635" w:rsidRDefault="00A175A4" w:rsidP="00A175A4">
            <w:pPr>
              <w:rPr>
                <w:rFonts w:ascii="Arial Narrow" w:hAnsi="Arial Narrow"/>
                <w:lang w:eastAsia="zh-CN"/>
              </w:rPr>
            </w:pPr>
            <w:r w:rsidRPr="001B5635">
              <w:rPr>
                <w:rFonts w:ascii="Arial Narrow" w:hAnsi="Arial Narrow"/>
              </w:rPr>
              <w:t>6.2</w:t>
            </w:r>
          </w:p>
        </w:tc>
        <w:tc>
          <w:tcPr>
            <w:tcW w:w="709" w:type="dxa"/>
            <w:tcBorders>
              <w:top w:val="single" w:sz="4" w:space="0" w:color="auto"/>
              <w:left w:val="single" w:sz="4" w:space="0" w:color="auto"/>
              <w:bottom w:val="single" w:sz="4" w:space="0" w:color="auto"/>
              <w:right w:val="single" w:sz="4" w:space="0" w:color="auto"/>
            </w:tcBorders>
            <w:noWrap/>
            <w:hideMark/>
          </w:tcPr>
          <w:p w14:paraId="1D6015DE" w14:textId="77777777" w:rsidR="00A175A4" w:rsidRPr="001B5635" w:rsidRDefault="00A175A4" w:rsidP="00A175A4">
            <w:pPr>
              <w:rPr>
                <w:rFonts w:ascii="Arial Narrow" w:hAnsi="Arial Narrow"/>
                <w:lang w:eastAsia="zh-CN"/>
              </w:rPr>
            </w:pPr>
            <w:r w:rsidRPr="001B5635">
              <w:rPr>
                <w:rFonts w:ascii="Arial Narrow" w:hAnsi="Arial Narrow"/>
              </w:rPr>
              <w:t>24.8</w:t>
            </w:r>
          </w:p>
        </w:tc>
        <w:tc>
          <w:tcPr>
            <w:tcW w:w="709" w:type="dxa"/>
            <w:tcBorders>
              <w:top w:val="single" w:sz="4" w:space="0" w:color="auto"/>
              <w:left w:val="single" w:sz="4" w:space="0" w:color="auto"/>
              <w:bottom w:val="single" w:sz="4" w:space="0" w:color="auto"/>
              <w:right w:val="single" w:sz="4" w:space="0" w:color="auto"/>
            </w:tcBorders>
            <w:noWrap/>
            <w:hideMark/>
          </w:tcPr>
          <w:p w14:paraId="0A33A950" w14:textId="77777777" w:rsidR="00A175A4" w:rsidRPr="001B5635" w:rsidRDefault="00A175A4" w:rsidP="00A175A4">
            <w:pPr>
              <w:rPr>
                <w:rFonts w:ascii="Arial Narrow" w:hAnsi="Arial Narrow"/>
                <w:lang w:eastAsia="zh-CN"/>
              </w:rPr>
            </w:pPr>
            <w:r w:rsidRPr="001B5635">
              <w:rPr>
                <w:rFonts w:ascii="Arial Narrow" w:hAnsi="Arial Narrow"/>
              </w:rPr>
              <w:t>1.8</w:t>
            </w:r>
          </w:p>
        </w:tc>
      </w:tr>
      <w:tr w:rsidR="001B5635" w:rsidRPr="001B5635" w14:paraId="7907EB82"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tcPr>
          <w:p w14:paraId="5AADBF61" w14:textId="77777777" w:rsidR="00E6123B" w:rsidRPr="001B5635" w:rsidRDefault="00E6123B" w:rsidP="00E6123B">
            <w:pPr>
              <w:rPr>
                <w:rFonts w:ascii="Arial Narrow" w:hAnsi="Arial Narrow"/>
              </w:rPr>
            </w:pPr>
            <w:r w:rsidRPr="001B5635">
              <w:rPr>
                <w:rFonts w:ascii="Arial Narrow" w:hAnsi="Arial Narrow"/>
              </w:rPr>
              <w:t>Bedarra</w:t>
            </w:r>
          </w:p>
        </w:tc>
        <w:tc>
          <w:tcPr>
            <w:tcW w:w="694" w:type="dxa"/>
            <w:tcBorders>
              <w:top w:val="single" w:sz="4" w:space="0" w:color="auto"/>
              <w:left w:val="single" w:sz="4" w:space="0" w:color="auto"/>
              <w:bottom w:val="single" w:sz="4" w:space="0" w:color="auto"/>
              <w:right w:val="single" w:sz="4" w:space="0" w:color="auto"/>
            </w:tcBorders>
            <w:noWrap/>
          </w:tcPr>
          <w:p w14:paraId="5693E519" w14:textId="77777777" w:rsidR="00E6123B" w:rsidRPr="001B5635" w:rsidRDefault="00E6123B" w:rsidP="00E6123B">
            <w:pPr>
              <w:rPr>
                <w:rFonts w:ascii="Arial Narrow" w:hAnsi="Arial Narrow"/>
                <w:lang w:eastAsia="zh-CN"/>
              </w:rPr>
            </w:pPr>
            <w:r w:rsidRPr="001B5635">
              <w:rPr>
                <w:rFonts w:ascii="Arial Narrow" w:hAnsi="Arial Narrow"/>
              </w:rPr>
              <w:t>23</w:t>
            </w:r>
          </w:p>
        </w:tc>
        <w:tc>
          <w:tcPr>
            <w:tcW w:w="694" w:type="dxa"/>
            <w:tcBorders>
              <w:top w:val="single" w:sz="4" w:space="0" w:color="auto"/>
              <w:left w:val="single" w:sz="4" w:space="0" w:color="auto"/>
              <w:bottom w:val="single" w:sz="4" w:space="0" w:color="auto"/>
              <w:right w:val="single" w:sz="4" w:space="0" w:color="auto"/>
            </w:tcBorders>
            <w:noWrap/>
          </w:tcPr>
          <w:p w14:paraId="02C8C967" w14:textId="77777777" w:rsidR="00E6123B" w:rsidRPr="001B5635" w:rsidRDefault="00E6123B" w:rsidP="00E6123B">
            <w:pPr>
              <w:rPr>
                <w:rFonts w:ascii="Arial Narrow" w:hAnsi="Arial Narrow"/>
                <w:lang w:eastAsia="zh-CN"/>
              </w:rPr>
            </w:pPr>
            <w:r w:rsidRPr="001B5635">
              <w:rPr>
                <w:rFonts w:ascii="Arial Narrow" w:hAnsi="Arial Narrow"/>
              </w:rPr>
              <w:t>5.3</w:t>
            </w:r>
          </w:p>
        </w:tc>
        <w:tc>
          <w:tcPr>
            <w:tcW w:w="694" w:type="dxa"/>
            <w:tcBorders>
              <w:top w:val="single" w:sz="4" w:space="0" w:color="auto"/>
              <w:left w:val="single" w:sz="4" w:space="0" w:color="auto"/>
              <w:bottom w:val="single" w:sz="4" w:space="0" w:color="auto"/>
              <w:right w:val="single" w:sz="4" w:space="0" w:color="auto"/>
            </w:tcBorders>
            <w:noWrap/>
          </w:tcPr>
          <w:p w14:paraId="6BE3154F" w14:textId="77777777" w:rsidR="00E6123B" w:rsidRPr="001B5635" w:rsidRDefault="00E6123B" w:rsidP="00E6123B">
            <w:pPr>
              <w:rPr>
                <w:rFonts w:ascii="Arial Narrow" w:hAnsi="Arial Narrow"/>
              </w:rPr>
            </w:pPr>
            <w:r w:rsidRPr="001B5635">
              <w:rPr>
                <w:rFonts w:ascii="Arial Narrow" w:hAnsi="Arial Narrow"/>
              </w:rPr>
              <w:t>15.6</w:t>
            </w:r>
          </w:p>
        </w:tc>
        <w:tc>
          <w:tcPr>
            <w:tcW w:w="701" w:type="dxa"/>
            <w:tcBorders>
              <w:top w:val="single" w:sz="4" w:space="0" w:color="auto"/>
              <w:left w:val="single" w:sz="4" w:space="0" w:color="auto"/>
              <w:bottom w:val="single" w:sz="4" w:space="0" w:color="auto"/>
              <w:right w:val="single" w:sz="4" w:space="0" w:color="auto"/>
            </w:tcBorders>
            <w:noWrap/>
          </w:tcPr>
          <w:p w14:paraId="01B56DF1" w14:textId="77777777" w:rsidR="00E6123B" w:rsidRPr="001B5635" w:rsidRDefault="00E6123B" w:rsidP="00E6123B">
            <w:pPr>
              <w:rPr>
                <w:rFonts w:ascii="Arial Narrow" w:hAnsi="Arial Narrow"/>
              </w:rPr>
            </w:pPr>
            <w:r w:rsidRPr="001B5635">
              <w:rPr>
                <w:rFonts w:ascii="Arial Narrow" w:hAnsi="Arial Narrow"/>
              </w:rPr>
              <w:t>1.9</w:t>
            </w:r>
          </w:p>
        </w:tc>
        <w:tc>
          <w:tcPr>
            <w:tcW w:w="267" w:type="dxa"/>
            <w:tcBorders>
              <w:top w:val="nil"/>
              <w:left w:val="single" w:sz="4" w:space="0" w:color="auto"/>
              <w:bottom w:val="nil"/>
              <w:right w:val="single" w:sz="4" w:space="0" w:color="auto"/>
            </w:tcBorders>
            <w:noWrap/>
          </w:tcPr>
          <w:p w14:paraId="284772DF" w14:textId="77777777" w:rsidR="00E6123B" w:rsidRPr="001B563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80E90F5" w14:textId="77777777" w:rsidR="00E6123B" w:rsidRPr="001B5635" w:rsidRDefault="00E6123B" w:rsidP="00E6123B">
            <w:pPr>
              <w:rPr>
                <w:rFonts w:ascii="Arial Narrow" w:hAnsi="Arial Narrow"/>
              </w:rPr>
            </w:pPr>
            <w:r w:rsidRPr="001B5635">
              <w:rPr>
                <w:rFonts w:ascii="Arial Narrow" w:hAnsi="Arial Narrow"/>
              </w:rPr>
              <w:t>Lady Elliot</w:t>
            </w:r>
          </w:p>
        </w:tc>
        <w:tc>
          <w:tcPr>
            <w:tcW w:w="708" w:type="dxa"/>
            <w:tcBorders>
              <w:top w:val="single" w:sz="4" w:space="0" w:color="auto"/>
              <w:left w:val="single" w:sz="4" w:space="0" w:color="auto"/>
              <w:bottom w:val="single" w:sz="4" w:space="0" w:color="auto"/>
              <w:right w:val="single" w:sz="4" w:space="0" w:color="auto"/>
            </w:tcBorders>
            <w:noWrap/>
          </w:tcPr>
          <w:p w14:paraId="41DBDD79" w14:textId="77777777" w:rsidR="00E6123B" w:rsidRPr="001B5635" w:rsidRDefault="00E6123B" w:rsidP="00E6123B">
            <w:pPr>
              <w:rPr>
                <w:rFonts w:ascii="Arial Narrow" w:hAnsi="Arial Narrow"/>
              </w:rPr>
            </w:pPr>
            <w:r w:rsidRPr="001B5635">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2ACC35F6" w14:textId="77777777" w:rsidR="00E6123B" w:rsidRPr="001B5635" w:rsidRDefault="00E6123B" w:rsidP="00E6123B">
            <w:pPr>
              <w:rPr>
                <w:rFonts w:ascii="Arial Narrow" w:hAnsi="Arial Narrow"/>
              </w:rPr>
            </w:pPr>
            <w:r w:rsidRPr="001B5635">
              <w:rPr>
                <w:rFonts w:ascii="Arial Narrow" w:hAnsi="Arial Narrow"/>
              </w:rPr>
              <w:t>6.1</w:t>
            </w:r>
          </w:p>
        </w:tc>
        <w:tc>
          <w:tcPr>
            <w:tcW w:w="709" w:type="dxa"/>
            <w:tcBorders>
              <w:top w:val="single" w:sz="4" w:space="0" w:color="auto"/>
              <w:left w:val="single" w:sz="4" w:space="0" w:color="auto"/>
              <w:bottom w:val="single" w:sz="4" w:space="0" w:color="auto"/>
              <w:right w:val="single" w:sz="4" w:space="0" w:color="auto"/>
            </w:tcBorders>
            <w:noWrap/>
          </w:tcPr>
          <w:p w14:paraId="773EF162" w14:textId="77777777" w:rsidR="00E6123B" w:rsidRPr="001B5635" w:rsidRDefault="00E6123B" w:rsidP="00E6123B">
            <w:pPr>
              <w:rPr>
                <w:rFonts w:ascii="Arial Narrow" w:hAnsi="Arial Narrow"/>
              </w:rPr>
            </w:pPr>
            <w:r w:rsidRPr="001B5635">
              <w:rPr>
                <w:rFonts w:ascii="Arial Narrow" w:hAnsi="Arial Narrow"/>
              </w:rPr>
              <w:t>15.3</w:t>
            </w:r>
          </w:p>
        </w:tc>
        <w:tc>
          <w:tcPr>
            <w:tcW w:w="709" w:type="dxa"/>
            <w:tcBorders>
              <w:top w:val="single" w:sz="4" w:space="0" w:color="auto"/>
              <w:left w:val="single" w:sz="4" w:space="0" w:color="auto"/>
              <w:bottom w:val="single" w:sz="4" w:space="0" w:color="auto"/>
              <w:right w:val="single" w:sz="4" w:space="0" w:color="auto"/>
            </w:tcBorders>
            <w:noWrap/>
          </w:tcPr>
          <w:p w14:paraId="44BF46B2" w14:textId="77777777" w:rsidR="00E6123B" w:rsidRPr="001B5635" w:rsidRDefault="00E6123B" w:rsidP="00E6123B">
            <w:pPr>
              <w:rPr>
                <w:rFonts w:ascii="Arial Narrow" w:hAnsi="Arial Narrow"/>
              </w:rPr>
            </w:pPr>
            <w:r w:rsidRPr="001B5635">
              <w:rPr>
                <w:rFonts w:ascii="Arial Narrow" w:hAnsi="Arial Narrow"/>
              </w:rPr>
              <w:t>1.9</w:t>
            </w:r>
          </w:p>
        </w:tc>
      </w:tr>
      <w:tr w:rsidR="001B5635" w:rsidRPr="001B5635" w14:paraId="0A62749B"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3FE2DA0E" w14:textId="77777777" w:rsidR="00E6123B" w:rsidRPr="001B5635" w:rsidRDefault="00E6123B" w:rsidP="00E6123B">
            <w:pPr>
              <w:rPr>
                <w:rFonts w:ascii="Arial Narrow" w:hAnsi="Arial Narrow"/>
                <w:lang w:eastAsia="zh-CN"/>
              </w:rPr>
            </w:pPr>
            <w:r w:rsidRPr="001B5635">
              <w:rPr>
                <w:rFonts w:ascii="Arial Narrow" w:hAnsi="Arial Narrow"/>
              </w:rPr>
              <w:t>Border</w:t>
            </w:r>
          </w:p>
        </w:tc>
        <w:tc>
          <w:tcPr>
            <w:tcW w:w="694" w:type="dxa"/>
            <w:tcBorders>
              <w:top w:val="single" w:sz="4" w:space="0" w:color="auto"/>
              <w:left w:val="single" w:sz="4" w:space="0" w:color="auto"/>
              <w:bottom w:val="single" w:sz="4" w:space="0" w:color="auto"/>
              <w:right w:val="single" w:sz="4" w:space="0" w:color="auto"/>
            </w:tcBorders>
            <w:noWrap/>
            <w:hideMark/>
          </w:tcPr>
          <w:p w14:paraId="7CD4206D" w14:textId="77777777" w:rsidR="00E6123B" w:rsidRPr="001B5635" w:rsidRDefault="00E6123B" w:rsidP="00E6123B">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70ECF187" w14:textId="77777777" w:rsidR="00E6123B" w:rsidRPr="001B5635" w:rsidRDefault="00E6123B" w:rsidP="00E6123B">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4CFAB2AA" w14:textId="77777777" w:rsidR="00E6123B" w:rsidRPr="001B5635" w:rsidRDefault="00E6123B" w:rsidP="00E6123B">
            <w:pPr>
              <w:rPr>
                <w:rFonts w:ascii="Arial Narrow" w:hAnsi="Arial Narrow"/>
                <w:lang w:eastAsia="zh-CN"/>
              </w:rPr>
            </w:pPr>
            <w:r w:rsidRPr="001B5635">
              <w:rPr>
                <w:rFonts w:ascii="Arial Narrow" w:hAnsi="Arial Narrow"/>
              </w:rPr>
              <w:t>8.2</w:t>
            </w:r>
          </w:p>
        </w:tc>
        <w:tc>
          <w:tcPr>
            <w:tcW w:w="701" w:type="dxa"/>
            <w:tcBorders>
              <w:top w:val="single" w:sz="4" w:space="0" w:color="auto"/>
              <w:left w:val="single" w:sz="4" w:space="0" w:color="auto"/>
              <w:bottom w:val="single" w:sz="4" w:space="0" w:color="auto"/>
              <w:right w:val="single" w:sz="4" w:space="0" w:color="auto"/>
            </w:tcBorders>
            <w:noWrap/>
            <w:hideMark/>
          </w:tcPr>
          <w:p w14:paraId="48A50FE1" w14:textId="77777777" w:rsidR="00E6123B" w:rsidRPr="001B5635" w:rsidRDefault="00E6123B" w:rsidP="00E6123B">
            <w:pPr>
              <w:rPr>
                <w:rFonts w:ascii="Arial Narrow" w:hAnsi="Arial Narrow"/>
                <w:lang w:eastAsia="zh-CN"/>
              </w:rPr>
            </w:pPr>
            <w:r w:rsidRPr="001B5635">
              <w:rPr>
                <w:rFonts w:ascii="Arial Narrow" w:hAnsi="Arial Narrow"/>
              </w:rPr>
              <w:t>1.4</w:t>
            </w:r>
          </w:p>
        </w:tc>
        <w:tc>
          <w:tcPr>
            <w:tcW w:w="267" w:type="dxa"/>
            <w:tcBorders>
              <w:top w:val="nil"/>
              <w:left w:val="single" w:sz="4" w:space="0" w:color="auto"/>
              <w:bottom w:val="nil"/>
              <w:right w:val="single" w:sz="4" w:space="0" w:color="auto"/>
            </w:tcBorders>
            <w:noWrap/>
            <w:hideMark/>
          </w:tcPr>
          <w:p w14:paraId="7F5F08B2" w14:textId="77777777" w:rsidR="00E6123B" w:rsidRPr="001B563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7BDD8C52" w14:textId="77777777" w:rsidR="00E6123B" w:rsidRPr="001B5635" w:rsidRDefault="00E6123B" w:rsidP="00E6123B">
            <w:pPr>
              <w:rPr>
                <w:rFonts w:ascii="Arial Narrow" w:hAnsi="Arial Narrow"/>
                <w:lang w:eastAsia="zh-CN"/>
              </w:rPr>
            </w:pPr>
            <w:r w:rsidRPr="001B5635">
              <w:rPr>
                <w:rFonts w:ascii="Arial Narrow" w:hAnsi="Arial Narrow"/>
              </w:rPr>
              <w:t>Langford</w:t>
            </w:r>
          </w:p>
        </w:tc>
        <w:tc>
          <w:tcPr>
            <w:tcW w:w="708" w:type="dxa"/>
            <w:tcBorders>
              <w:top w:val="single" w:sz="4" w:space="0" w:color="auto"/>
              <w:left w:val="single" w:sz="4" w:space="0" w:color="auto"/>
              <w:bottom w:val="single" w:sz="4" w:space="0" w:color="auto"/>
              <w:right w:val="single" w:sz="4" w:space="0" w:color="auto"/>
            </w:tcBorders>
            <w:noWrap/>
          </w:tcPr>
          <w:p w14:paraId="7D5D2923" w14:textId="77777777" w:rsidR="00E6123B" w:rsidRPr="001B5635" w:rsidRDefault="00E6123B" w:rsidP="00E6123B">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7A000D96" w14:textId="77777777" w:rsidR="00E6123B" w:rsidRPr="001B5635" w:rsidRDefault="00E6123B" w:rsidP="00E6123B">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6F1626A8" w14:textId="77777777" w:rsidR="00E6123B" w:rsidRPr="001B5635" w:rsidRDefault="00E6123B" w:rsidP="00E6123B">
            <w:pPr>
              <w:rPr>
                <w:rFonts w:ascii="Arial Narrow" w:hAnsi="Arial Narrow"/>
                <w:lang w:eastAsia="zh-CN"/>
              </w:rPr>
            </w:pPr>
            <w:r w:rsidRPr="001B5635">
              <w:rPr>
                <w:rFonts w:ascii="Arial Narrow" w:hAnsi="Arial Narrow"/>
              </w:rPr>
              <w:t>7.9</w:t>
            </w:r>
          </w:p>
        </w:tc>
        <w:tc>
          <w:tcPr>
            <w:tcW w:w="709" w:type="dxa"/>
            <w:tcBorders>
              <w:top w:val="single" w:sz="4" w:space="0" w:color="auto"/>
              <w:left w:val="single" w:sz="4" w:space="0" w:color="auto"/>
              <w:bottom w:val="single" w:sz="4" w:space="0" w:color="auto"/>
              <w:right w:val="single" w:sz="4" w:space="0" w:color="auto"/>
            </w:tcBorders>
            <w:noWrap/>
          </w:tcPr>
          <w:p w14:paraId="3FD5DBEA" w14:textId="77777777" w:rsidR="00E6123B" w:rsidRPr="001B5635" w:rsidRDefault="00E6123B" w:rsidP="00E6123B">
            <w:pPr>
              <w:rPr>
                <w:rFonts w:ascii="Arial Narrow" w:hAnsi="Arial Narrow"/>
                <w:lang w:eastAsia="zh-CN"/>
              </w:rPr>
            </w:pPr>
            <w:r w:rsidRPr="001B5635">
              <w:rPr>
                <w:rFonts w:ascii="Arial Narrow" w:hAnsi="Arial Narrow"/>
              </w:rPr>
              <w:t>1.4</w:t>
            </w:r>
          </w:p>
        </w:tc>
      </w:tr>
      <w:tr w:rsidR="001B5635" w:rsidRPr="001B5635" w14:paraId="1DF68D9E"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7E20148E" w14:textId="77777777" w:rsidR="00E6123B" w:rsidRPr="001B5635" w:rsidRDefault="00E6123B" w:rsidP="00E6123B">
            <w:pPr>
              <w:rPr>
                <w:rFonts w:ascii="Arial Narrow" w:hAnsi="Arial Narrow"/>
                <w:lang w:eastAsia="zh-CN"/>
              </w:rPr>
            </w:pPr>
            <w:r w:rsidRPr="001B5635">
              <w:rPr>
                <w:rFonts w:ascii="Arial Narrow" w:hAnsi="Arial Narrow"/>
              </w:rPr>
              <w:t>Daydream</w:t>
            </w:r>
          </w:p>
        </w:tc>
        <w:tc>
          <w:tcPr>
            <w:tcW w:w="694" w:type="dxa"/>
            <w:tcBorders>
              <w:top w:val="single" w:sz="4" w:space="0" w:color="auto"/>
              <w:left w:val="single" w:sz="4" w:space="0" w:color="auto"/>
              <w:bottom w:val="single" w:sz="4" w:space="0" w:color="auto"/>
              <w:right w:val="single" w:sz="4" w:space="0" w:color="auto"/>
            </w:tcBorders>
            <w:noWrap/>
            <w:hideMark/>
          </w:tcPr>
          <w:p w14:paraId="2FC178E8" w14:textId="77777777" w:rsidR="00E6123B" w:rsidRPr="001B5635" w:rsidRDefault="00E6123B" w:rsidP="00E6123B">
            <w:pPr>
              <w:rPr>
                <w:rFonts w:ascii="Arial Narrow" w:hAnsi="Arial Narrow"/>
                <w:lang w:eastAsia="zh-CN"/>
              </w:rPr>
            </w:pPr>
            <w:r w:rsidRPr="001B5635">
              <w:rPr>
                <w:rFonts w:ascii="Arial Narrow" w:hAnsi="Arial Narrow"/>
              </w:rPr>
              <w:t>13.5</w:t>
            </w:r>
          </w:p>
        </w:tc>
        <w:tc>
          <w:tcPr>
            <w:tcW w:w="694" w:type="dxa"/>
            <w:tcBorders>
              <w:top w:val="single" w:sz="4" w:space="0" w:color="auto"/>
              <w:left w:val="single" w:sz="4" w:space="0" w:color="auto"/>
              <w:bottom w:val="single" w:sz="4" w:space="0" w:color="auto"/>
              <w:right w:val="single" w:sz="4" w:space="0" w:color="auto"/>
            </w:tcBorders>
            <w:noWrap/>
            <w:hideMark/>
          </w:tcPr>
          <w:p w14:paraId="2C4836B9" w14:textId="77777777" w:rsidR="00E6123B" w:rsidRPr="001B5635" w:rsidRDefault="00E6123B" w:rsidP="00E6123B">
            <w:pPr>
              <w:rPr>
                <w:rFonts w:ascii="Arial Narrow" w:hAnsi="Arial Narrow"/>
                <w:lang w:eastAsia="zh-CN"/>
              </w:rPr>
            </w:pPr>
            <w:r w:rsidRPr="001B5635">
              <w:rPr>
                <w:rFonts w:ascii="Arial Narrow" w:hAnsi="Arial Narrow"/>
              </w:rPr>
              <w:t>3.5</w:t>
            </w:r>
          </w:p>
        </w:tc>
        <w:tc>
          <w:tcPr>
            <w:tcW w:w="694" w:type="dxa"/>
            <w:tcBorders>
              <w:top w:val="single" w:sz="4" w:space="0" w:color="auto"/>
              <w:left w:val="single" w:sz="4" w:space="0" w:color="auto"/>
              <w:bottom w:val="single" w:sz="4" w:space="0" w:color="auto"/>
              <w:right w:val="single" w:sz="4" w:space="0" w:color="auto"/>
            </w:tcBorders>
            <w:noWrap/>
            <w:hideMark/>
          </w:tcPr>
          <w:p w14:paraId="696813E6" w14:textId="77777777" w:rsidR="00E6123B" w:rsidRPr="001B5635" w:rsidRDefault="00E6123B" w:rsidP="00E6123B">
            <w:pPr>
              <w:rPr>
                <w:rFonts w:ascii="Arial Narrow" w:hAnsi="Arial Narrow"/>
                <w:lang w:eastAsia="zh-CN"/>
              </w:rPr>
            </w:pPr>
            <w:r w:rsidRPr="001B5635">
              <w:rPr>
                <w:rFonts w:ascii="Arial Narrow" w:hAnsi="Arial Narrow"/>
              </w:rPr>
              <w:t>10.4</w:t>
            </w:r>
          </w:p>
        </w:tc>
        <w:tc>
          <w:tcPr>
            <w:tcW w:w="701" w:type="dxa"/>
            <w:tcBorders>
              <w:top w:val="single" w:sz="4" w:space="0" w:color="auto"/>
              <w:left w:val="single" w:sz="4" w:space="0" w:color="auto"/>
              <w:bottom w:val="single" w:sz="4" w:space="0" w:color="auto"/>
              <w:right w:val="single" w:sz="4" w:space="0" w:color="auto"/>
            </w:tcBorders>
            <w:noWrap/>
            <w:hideMark/>
          </w:tcPr>
          <w:p w14:paraId="58D03D56" w14:textId="77777777" w:rsidR="00E6123B" w:rsidRPr="001B5635" w:rsidRDefault="00E6123B" w:rsidP="00E6123B">
            <w:pPr>
              <w:rPr>
                <w:rFonts w:ascii="Arial Narrow" w:hAnsi="Arial Narrow"/>
                <w:lang w:eastAsia="zh-CN"/>
              </w:rPr>
            </w:pPr>
            <w:r w:rsidRPr="001B5635">
              <w:rPr>
                <w:rFonts w:ascii="Arial Narrow" w:hAnsi="Arial Narrow"/>
              </w:rPr>
              <w:t>1.5</w:t>
            </w:r>
          </w:p>
        </w:tc>
        <w:tc>
          <w:tcPr>
            <w:tcW w:w="267" w:type="dxa"/>
            <w:tcBorders>
              <w:top w:val="nil"/>
              <w:left w:val="single" w:sz="4" w:space="0" w:color="auto"/>
              <w:bottom w:val="nil"/>
              <w:right w:val="single" w:sz="4" w:space="0" w:color="auto"/>
            </w:tcBorders>
            <w:noWrap/>
            <w:hideMark/>
          </w:tcPr>
          <w:p w14:paraId="47CE03D4" w14:textId="77777777" w:rsidR="00E6123B" w:rsidRPr="001B563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4575B1F5" w14:textId="77777777" w:rsidR="00E6123B" w:rsidRPr="001B5635" w:rsidRDefault="00E6123B" w:rsidP="00E6123B">
            <w:pPr>
              <w:rPr>
                <w:rFonts w:ascii="Arial Narrow" w:hAnsi="Arial Narrow"/>
                <w:lang w:eastAsia="zh-CN"/>
              </w:rPr>
            </w:pPr>
            <w:r w:rsidRPr="001B5635">
              <w:rPr>
                <w:rFonts w:ascii="Arial Narrow" w:hAnsi="Arial Narrow"/>
              </w:rPr>
              <w:t>Low Isles</w:t>
            </w:r>
          </w:p>
        </w:tc>
        <w:tc>
          <w:tcPr>
            <w:tcW w:w="708" w:type="dxa"/>
            <w:tcBorders>
              <w:top w:val="single" w:sz="4" w:space="0" w:color="auto"/>
              <w:left w:val="single" w:sz="4" w:space="0" w:color="auto"/>
              <w:bottom w:val="single" w:sz="4" w:space="0" w:color="auto"/>
              <w:right w:val="single" w:sz="4" w:space="0" w:color="auto"/>
            </w:tcBorders>
            <w:noWrap/>
          </w:tcPr>
          <w:p w14:paraId="4F38EAF4" w14:textId="77777777" w:rsidR="00E6123B" w:rsidRPr="001B5635" w:rsidRDefault="00E6123B" w:rsidP="00E6123B">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559A8282" w14:textId="77777777" w:rsidR="00E6123B" w:rsidRPr="001B5635" w:rsidRDefault="00E6123B" w:rsidP="00E6123B">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238D9656" w14:textId="77777777" w:rsidR="00E6123B" w:rsidRPr="001B5635" w:rsidRDefault="00E6123B" w:rsidP="00E6123B">
            <w:pPr>
              <w:rPr>
                <w:rFonts w:ascii="Arial Narrow" w:hAnsi="Arial Narrow"/>
                <w:lang w:eastAsia="zh-CN"/>
              </w:rPr>
            </w:pPr>
            <w:r w:rsidRPr="001B5635">
              <w:rPr>
                <w:rFonts w:ascii="Arial Narrow" w:hAnsi="Arial Narrow"/>
              </w:rPr>
              <w:t>8.9</w:t>
            </w:r>
          </w:p>
        </w:tc>
        <w:tc>
          <w:tcPr>
            <w:tcW w:w="709" w:type="dxa"/>
            <w:tcBorders>
              <w:top w:val="single" w:sz="4" w:space="0" w:color="auto"/>
              <w:left w:val="single" w:sz="4" w:space="0" w:color="auto"/>
              <w:bottom w:val="single" w:sz="4" w:space="0" w:color="auto"/>
              <w:right w:val="single" w:sz="4" w:space="0" w:color="auto"/>
            </w:tcBorders>
            <w:noWrap/>
          </w:tcPr>
          <w:p w14:paraId="09CD244F" w14:textId="77777777" w:rsidR="00E6123B" w:rsidRPr="001B5635" w:rsidRDefault="00E6123B" w:rsidP="00E6123B">
            <w:pPr>
              <w:rPr>
                <w:rFonts w:ascii="Arial Narrow" w:hAnsi="Arial Narrow"/>
                <w:lang w:eastAsia="zh-CN"/>
              </w:rPr>
            </w:pPr>
            <w:r w:rsidRPr="001B5635">
              <w:rPr>
                <w:rFonts w:ascii="Arial Narrow" w:hAnsi="Arial Narrow"/>
              </w:rPr>
              <w:t>1.4</w:t>
            </w:r>
          </w:p>
        </w:tc>
      </w:tr>
      <w:tr w:rsidR="001B5635" w:rsidRPr="001B5635" w14:paraId="234B0380"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16A3B29A" w14:textId="77777777" w:rsidR="00E6123B" w:rsidRPr="001B5635" w:rsidRDefault="00E6123B" w:rsidP="00E6123B">
            <w:pPr>
              <w:rPr>
                <w:rFonts w:ascii="Arial Narrow" w:hAnsi="Arial Narrow"/>
                <w:lang w:eastAsia="zh-CN"/>
              </w:rPr>
            </w:pPr>
            <w:r w:rsidRPr="001B5635">
              <w:rPr>
                <w:rFonts w:ascii="Arial Narrow" w:hAnsi="Arial Narrow"/>
              </w:rPr>
              <w:t>Dent</w:t>
            </w:r>
          </w:p>
        </w:tc>
        <w:tc>
          <w:tcPr>
            <w:tcW w:w="694" w:type="dxa"/>
            <w:tcBorders>
              <w:top w:val="single" w:sz="4" w:space="0" w:color="auto"/>
              <w:left w:val="single" w:sz="4" w:space="0" w:color="auto"/>
              <w:bottom w:val="single" w:sz="4" w:space="0" w:color="auto"/>
              <w:right w:val="single" w:sz="4" w:space="0" w:color="auto"/>
            </w:tcBorders>
            <w:noWrap/>
            <w:hideMark/>
          </w:tcPr>
          <w:p w14:paraId="21078D5F" w14:textId="77777777" w:rsidR="00E6123B" w:rsidRPr="001B5635" w:rsidRDefault="00E6123B" w:rsidP="00E6123B">
            <w:pPr>
              <w:rPr>
                <w:rFonts w:ascii="Arial Narrow" w:hAnsi="Arial Narrow"/>
                <w:lang w:eastAsia="zh-CN"/>
              </w:rPr>
            </w:pPr>
            <w:r w:rsidRPr="001B5635">
              <w:rPr>
                <w:rFonts w:ascii="Arial Narrow" w:hAnsi="Arial Narrow"/>
              </w:rPr>
              <w:t>11.6</w:t>
            </w:r>
          </w:p>
        </w:tc>
        <w:tc>
          <w:tcPr>
            <w:tcW w:w="694" w:type="dxa"/>
            <w:tcBorders>
              <w:top w:val="single" w:sz="4" w:space="0" w:color="auto"/>
              <w:left w:val="single" w:sz="4" w:space="0" w:color="auto"/>
              <w:bottom w:val="single" w:sz="4" w:space="0" w:color="auto"/>
              <w:right w:val="single" w:sz="4" w:space="0" w:color="auto"/>
            </w:tcBorders>
            <w:noWrap/>
            <w:hideMark/>
          </w:tcPr>
          <w:p w14:paraId="39C73DAB" w14:textId="77777777" w:rsidR="00E6123B" w:rsidRPr="001B5635" w:rsidRDefault="00E6123B" w:rsidP="00E6123B">
            <w:pPr>
              <w:rPr>
                <w:rFonts w:ascii="Arial Narrow" w:hAnsi="Arial Narrow"/>
                <w:lang w:eastAsia="zh-CN"/>
              </w:rPr>
            </w:pPr>
            <w:r w:rsidRPr="001B5635">
              <w:rPr>
                <w:rFonts w:ascii="Arial Narrow" w:hAnsi="Arial Narrow"/>
              </w:rPr>
              <w:t>3.5</w:t>
            </w:r>
          </w:p>
        </w:tc>
        <w:tc>
          <w:tcPr>
            <w:tcW w:w="694" w:type="dxa"/>
            <w:tcBorders>
              <w:top w:val="single" w:sz="4" w:space="0" w:color="auto"/>
              <w:left w:val="single" w:sz="4" w:space="0" w:color="auto"/>
              <w:bottom w:val="single" w:sz="4" w:space="0" w:color="auto"/>
              <w:right w:val="single" w:sz="4" w:space="0" w:color="auto"/>
            </w:tcBorders>
            <w:noWrap/>
            <w:hideMark/>
          </w:tcPr>
          <w:p w14:paraId="2B959FE4" w14:textId="77777777" w:rsidR="00E6123B" w:rsidRPr="001B5635" w:rsidRDefault="00E6123B" w:rsidP="00E6123B">
            <w:pPr>
              <w:rPr>
                <w:rFonts w:ascii="Arial Narrow" w:hAnsi="Arial Narrow"/>
                <w:lang w:eastAsia="zh-CN"/>
              </w:rPr>
            </w:pPr>
            <w:r w:rsidRPr="001B5635">
              <w:rPr>
                <w:rFonts w:ascii="Arial Narrow" w:hAnsi="Arial Narrow"/>
              </w:rPr>
              <w:t>10.2</w:t>
            </w:r>
          </w:p>
        </w:tc>
        <w:tc>
          <w:tcPr>
            <w:tcW w:w="701" w:type="dxa"/>
            <w:tcBorders>
              <w:top w:val="single" w:sz="4" w:space="0" w:color="auto"/>
              <w:left w:val="single" w:sz="4" w:space="0" w:color="auto"/>
              <w:bottom w:val="single" w:sz="4" w:space="0" w:color="auto"/>
              <w:right w:val="single" w:sz="4" w:space="0" w:color="auto"/>
            </w:tcBorders>
            <w:noWrap/>
            <w:hideMark/>
          </w:tcPr>
          <w:p w14:paraId="2623AE58" w14:textId="77777777" w:rsidR="00E6123B" w:rsidRPr="001B5635" w:rsidRDefault="00E6123B" w:rsidP="00E6123B">
            <w:pPr>
              <w:rPr>
                <w:rFonts w:ascii="Arial Narrow" w:hAnsi="Arial Narrow"/>
                <w:lang w:eastAsia="zh-CN"/>
              </w:rPr>
            </w:pPr>
            <w:r w:rsidRPr="001B5635">
              <w:rPr>
                <w:rFonts w:ascii="Arial Narrow" w:hAnsi="Arial Narrow"/>
              </w:rPr>
              <w:t>1.5</w:t>
            </w:r>
          </w:p>
        </w:tc>
        <w:tc>
          <w:tcPr>
            <w:tcW w:w="267" w:type="dxa"/>
            <w:tcBorders>
              <w:top w:val="nil"/>
              <w:left w:val="single" w:sz="4" w:space="0" w:color="auto"/>
              <w:bottom w:val="nil"/>
              <w:right w:val="single" w:sz="4" w:space="0" w:color="auto"/>
            </w:tcBorders>
            <w:noWrap/>
            <w:hideMark/>
          </w:tcPr>
          <w:p w14:paraId="41E42881" w14:textId="77777777" w:rsidR="00E6123B" w:rsidRPr="001B563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68F2C217" w14:textId="77777777" w:rsidR="00E6123B" w:rsidRPr="001B5635" w:rsidRDefault="00E6123B" w:rsidP="00E6123B">
            <w:pPr>
              <w:rPr>
                <w:rFonts w:ascii="Arial Narrow" w:hAnsi="Arial Narrow"/>
                <w:lang w:eastAsia="zh-CN"/>
              </w:rPr>
            </w:pPr>
            <w:r w:rsidRPr="001B5635">
              <w:rPr>
                <w:rFonts w:ascii="Arial Narrow" w:hAnsi="Arial Narrow"/>
              </w:rPr>
              <w:t>Magnetic</w:t>
            </w:r>
          </w:p>
        </w:tc>
        <w:tc>
          <w:tcPr>
            <w:tcW w:w="708" w:type="dxa"/>
            <w:tcBorders>
              <w:top w:val="single" w:sz="4" w:space="0" w:color="auto"/>
              <w:left w:val="single" w:sz="4" w:space="0" w:color="auto"/>
              <w:bottom w:val="single" w:sz="4" w:space="0" w:color="auto"/>
              <w:right w:val="single" w:sz="4" w:space="0" w:color="auto"/>
            </w:tcBorders>
            <w:noWrap/>
          </w:tcPr>
          <w:p w14:paraId="440CD568" w14:textId="77777777" w:rsidR="00E6123B" w:rsidRPr="001B5635" w:rsidRDefault="00E6123B" w:rsidP="00E6123B">
            <w:pPr>
              <w:rPr>
                <w:rFonts w:ascii="Arial Narrow" w:hAnsi="Arial Narrow"/>
                <w:lang w:eastAsia="zh-CN"/>
              </w:rPr>
            </w:pPr>
            <w:r w:rsidRPr="001B5635">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3B63C395" w14:textId="77777777" w:rsidR="00E6123B" w:rsidRPr="001B5635" w:rsidRDefault="00E6123B" w:rsidP="00E6123B">
            <w:pPr>
              <w:rPr>
                <w:rFonts w:ascii="Arial Narrow" w:hAnsi="Arial Narrow"/>
                <w:lang w:eastAsia="zh-CN"/>
              </w:rPr>
            </w:pPr>
            <w:r w:rsidRPr="001B5635">
              <w:rPr>
                <w:rFonts w:ascii="Arial Narrow" w:hAnsi="Arial Narrow"/>
              </w:rPr>
              <w:t>6.4</w:t>
            </w:r>
          </w:p>
        </w:tc>
        <w:tc>
          <w:tcPr>
            <w:tcW w:w="709" w:type="dxa"/>
            <w:tcBorders>
              <w:top w:val="single" w:sz="4" w:space="0" w:color="auto"/>
              <w:left w:val="single" w:sz="4" w:space="0" w:color="auto"/>
              <w:bottom w:val="single" w:sz="4" w:space="0" w:color="auto"/>
              <w:right w:val="single" w:sz="4" w:space="0" w:color="auto"/>
            </w:tcBorders>
            <w:noWrap/>
          </w:tcPr>
          <w:p w14:paraId="7D530BEF" w14:textId="77777777" w:rsidR="00E6123B" w:rsidRPr="001B5635" w:rsidRDefault="00E6123B" w:rsidP="00E6123B">
            <w:pPr>
              <w:rPr>
                <w:rFonts w:ascii="Arial Narrow" w:hAnsi="Arial Narrow"/>
                <w:lang w:eastAsia="zh-CN"/>
              </w:rPr>
            </w:pPr>
            <w:r w:rsidRPr="001B5635">
              <w:rPr>
                <w:rFonts w:ascii="Arial Narrow" w:hAnsi="Arial Narrow"/>
              </w:rPr>
              <w:t>19</w:t>
            </w:r>
          </w:p>
        </w:tc>
        <w:tc>
          <w:tcPr>
            <w:tcW w:w="709" w:type="dxa"/>
            <w:tcBorders>
              <w:top w:val="single" w:sz="4" w:space="0" w:color="auto"/>
              <w:left w:val="single" w:sz="4" w:space="0" w:color="auto"/>
              <w:bottom w:val="single" w:sz="4" w:space="0" w:color="auto"/>
              <w:right w:val="single" w:sz="4" w:space="0" w:color="auto"/>
            </w:tcBorders>
            <w:noWrap/>
          </w:tcPr>
          <w:p w14:paraId="75FDC3BC" w14:textId="77777777" w:rsidR="00E6123B" w:rsidRPr="001B5635" w:rsidRDefault="00E6123B" w:rsidP="00E6123B">
            <w:pPr>
              <w:rPr>
                <w:rFonts w:ascii="Arial Narrow" w:hAnsi="Arial Narrow"/>
                <w:lang w:eastAsia="zh-CN"/>
              </w:rPr>
            </w:pPr>
            <w:r w:rsidRPr="001B5635">
              <w:rPr>
                <w:rFonts w:ascii="Arial Narrow" w:hAnsi="Arial Narrow"/>
              </w:rPr>
              <w:t>2</w:t>
            </w:r>
          </w:p>
        </w:tc>
      </w:tr>
      <w:tr w:rsidR="001B5635" w:rsidRPr="001B5635" w14:paraId="74827B8C"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0FD21740" w14:textId="77777777" w:rsidR="00E6123B" w:rsidRPr="001B5635" w:rsidRDefault="00E6123B" w:rsidP="00E6123B">
            <w:pPr>
              <w:rPr>
                <w:rFonts w:ascii="Arial Narrow" w:hAnsi="Arial Narrow"/>
                <w:lang w:eastAsia="zh-CN"/>
              </w:rPr>
            </w:pPr>
            <w:r w:rsidRPr="001B5635">
              <w:rPr>
                <w:rFonts w:ascii="Arial Narrow" w:hAnsi="Arial Narrow"/>
              </w:rPr>
              <w:t>Double Cone</w:t>
            </w:r>
          </w:p>
        </w:tc>
        <w:tc>
          <w:tcPr>
            <w:tcW w:w="694" w:type="dxa"/>
            <w:tcBorders>
              <w:top w:val="single" w:sz="4" w:space="0" w:color="auto"/>
              <w:left w:val="single" w:sz="4" w:space="0" w:color="auto"/>
              <w:bottom w:val="single" w:sz="4" w:space="0" w:color="auto"/>
              <w:right w:val="single" w:sz="4" w:space="0" w:color="auto"/>
            </w:tcBorders>
            <w:noWrap/>
            <w:hideMark/>
          </w:tcPr>
          <w:p w14:paraId="09D2AC40" w14:textId="77777777" w:rsidR="00E6123B" w:rsidRPr="001B5635" w:rsidRDefault="00E6123B" w:rsidP="00E6123B">
            <w:pPr>
              <w:rPr>
                <w:rFonts w:ascii="Arial Narrow" w:hAnsi="Arial Narrow"/>
                <w:lang w:eastAsia="zh-CN"/>
              </w:rPr>
            </w:pPr>
            <w:r w:rsidRPr="001B5635">
              <w:rPr>
                <w:rFonts w:ascii="Arial Narrow" w:hAnsi="Arial Narrow"/>
              </w:rPr>
              <w:t>8.9</w:t>
            </w:r>
          </w:p>
        </w:tc>
        <w:tc>
          <w:tcPr>
            <w:tcW w:w="694" w:type="dxa"/>
            <w:tcBorders>
              <w:top w:val="single" w:sz="4" w:space="0" w:color="auto"/>
              <w:left w:val="single" w:sz="4" w:space="0" w:color="auto"/>
              <w:bottom w:val="single" w:sz="4" w:space="0" w:color="auto"/>
              <w:right w:val="single" w:sz="4" w:space="0" w:color="auto"/>
            </w:tcBorders>
            <w:noWrap/>
            <w:hideMark/>
          </w:tcPr>
          <w:p w14:paraId="7226B6FD" w14:textId="77777777" w:rsidR="00E6123B" w:rsidRPr="001B5635" w:rsidRDefault="00E6123B" w:rsidP="00E6123B">
            <w:pPr>
              <w:rPr>
                <w:rFonts w:ascii="Arial Narrow" w:hAnsi="Arial Narrow"/>
                <w:lang w:eastAsia="zh-CN"/>
              </w:rPr>
            </w:pPr>
            <w:r w:rsidRPr="001B5635">
              <w:rPr>
                <w:rFonts w:ascii="Arial Narrow" w:hAnsi="Arial Narrow"/>
              </w:rPr>
              <w:t>3.4</w:t>
            </w:r>
          </w:p>
        </w:tc>
        <w:tc>
          <w:tcPr>
            <w:tcW w:w="694" w:type="dxa"/>
            <w:tcBorders>
              <w:top w:val="single" w:sz="4" w:space="0" w:color="auto"/>
              <w:left w:val="single" w:sz="4" w:space="0" w:color="auto"/>
              <w:bottom w:val="single" w:sz="4" w:space="0" w:color="auto"/>
              <w:right w:val="single" w:sz="4" w:space="0" w:color="auto"/>
            </w:tcBorders>
            <w:noWrap/>
            <w:hideMark/>
          </w:tcPr>
          <w:p w14:paraId="5246FA66" w14:textId="77777777" w:rsidR="00E6123B" w:rsidRPr="001B5635" w:rsidRDefault="00E6123B" w:rsidP="00E6123B">
            <w:pPr>
              <w:rPr>
                <w:rFonts w:ascii="Arial Narrow" w:hAnsi="Arial Narrow"/>
                <w:lang w:eastAsia="zh-CN"/>
              </w:rPr>
            </w:pPr>
            <w:r w:rsidRPr="001B5635">
              <w:rPr>
                <w:rFonts w:ascii="Arial Narrow" w:hAnsi="Arial Narrow"/>
              </w:rPr>
              <w:t>7.6</w:t>
            </w:r>
          </w:p>
        </w:tc>
        <w:tc>
          <w:tcPr>
            <w:tcW w:w="701" w:type="dxa"/>
            <w:tcBorders>
              <w:top w:val="single" w:sz="4" w:space="0" w:color="auto"/>
              <w:left w:val="single" w:sz="4" w:space="0" w:color="auto"/>
              <w:bottom w:val="single" w:sz="4" w:space="0" w:color="auto"/>
              <w:right w:val="single" w:sz="4" w:space="0" w:color="auto"/>
            </w:tcBorders>
            <w:noWrap/>
            <w:hideMark/>
          </w:tcPr>
          <w:p w14:paraId="080109E1" w14:textId="77777777" w:rsidR="00E6123B" w:rsidRPr="001B5635" w:rsidRDefault="00E6123B" w:rsidP="00E6123B">
            <w:pPr>
              <w:rPr>
                <w:rFonts w:ascii="Arial Narrow" w:hAnsi="Arial Narrow"/>
                <w:lang w:eastAsia="zh-CN"/>
              </w:rPr>
            </w:pPr>
            <w:r w:rsidRPr="001B5635">
              <w:rPr>
                <w:rFonts w:ascii="Arial Narrow" w:hAnsi="Arial Narrow"/>
              </w:rPr>
              <w:t>1.4</w:t>
            </w:r>
          </w:p>
        </w:tc>
        <w:tc>
          <w:tcPr>
            <w:tcW w:w="267" w:type="dxa"/>
            <w:tcBorders>
              <w:top w:val="nil"/>
              <w:left w:val="single" w:sz="4" w:space="0" w:color="auto"/>
              <w:bottom w:val="nil"/>
              <w:right w:val="single" w:sz="4" w:space="0" w:color="auto"/>
            </w:tcBorders>
            <w:noWrap/>
            <w:hideMark/>
          </w:tcPr>
          <w:p w14:paraId="2AE4A2A7" w14:textId="77777777" w:rsidR="00E6123B" w:rsidRPr="001B563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2040B710" w14:textId="77777777" w:rsidR="00E6123B" w:rsidRPr="001B5635" w:rsidRDefault="00E6123B" w:rsidP="00E6123B">
            <w:pPr>
              <w:rPr>
                <w:rFonts w:ascii="Arial Narrow" w:hAnsi="Arial Narrow"/>
                <w:lang w:eastAsia="zh-CN"/>
              </w:rPr>
            </w:pPr>
            <w:r w:rsidRPr="001B5635">
              <w:rPr>
                <w:rFonts w:ascii="Arial Narrow" w:hAnsi="Arial Narrow"/>
              </w:rPr>
              <w:t>Middle Rf</w:t>
            </w:r>
          </w:p>
        </w:tc>
        <w:tc>
          <w:tcPr>
            <w:tcW w:w="708" w:type="dxa"/>
            <w:tcBorders>
              <w:top w:val="single" w:sz="4" w:space="0" w:color="auto"/>
              <w:left w:val="single" w:sz="4" w:space="0" w:color="auto"/>
              <w:bottom w:val="single" w:sz="4" w:space="0" w:color="auto"/>
              <w:right w:val="single" w:sz="4" w:space="0" w:color="auto"/>
            </w:tcBorders>
            <w:noWrap/>
          </w:tcPr>
          <w:p w14:paraId="6DBBA4D8" w14:textId="77777777" w:rsidR="00E6123B" w:rsidRPr="001B5635" w:rsidRDefault="00E6123B" w:rsidP="00E6123B">
            <w:pPr>
              <w:rPr>
                <w:rFonts w:ascii="Arial Narrow" w:hAnsi="Arial Narrow"/>
                <w:lang w:eastAsia="zh-CN"/>
              </w:rPr>
            </w:pPr>
            <w:r w:rsidRPr="001B5635">
              <w:rPr>
                <w:rFonts w:ascii="Arial Narrow" w:hAnsi="Arial Narrow"/>
              </w:rPr>
              <w:t>21.9</w:t>
            </w:r>
          </w:p>
        </w:tc>
        <w:tc>
          <w:tcPr>
            <w:tcW w:w="709" w:type="dxa"/>
            <w:tcBorders>
              <w:top w:val="single" w:sz="4" w:space="0" w:color="auto"/>
              <w:left w:val="single" w:sz="4" w:space="0" w:color="auto"/>
              <w:bottom w:val="single" w:sz="4" w:space="0" w:color="auto"/>
              <w:right w:val="single" w:sz="4" w:space="0" w:color="auto"/>
            </w:tcBorders>
            <w:noWrap/>
          </w:tcPr>
          <w:p w14:paraId="52AFEFF9" w14:textId="77777777" w:rsidR="00E6123B" w:rsidRPr="001B5635" w:rsidRDefault="00E6123B" w:rsidP="00E6123B">
            <w:pPr>
              <w:rPr>
                <w:rFonts w:ascii="Arial Narrow" w:hAnsi="Arial Narrow"/>
                <w:lang w:eastAsia="zh-CN"/>
              </w:rPr>
            </w:pPr>
            <w:r w:rsidRPr="001B5635">
              <w:rPr>
                <w:rFonts w:ascii="Arial Narrow" w:hAnsi="Arial Narrow"/>
              </w:rPr>
              <w:t>5.5</w:t>
            </w:r>
          </w:p>
        </w:tc>
        <w:tc>
          <w:tcPr>
            <w:tcW w:w="709" w:type="dxa"/>
            <w:tcBorders>
              <w:top w:val="single" w:sz="4" w:space="0" w:color="auto"/>
              <w:left w:val="single" w:sz="4" w:space="0" w:color="auto"/>
              <w:bottom w:val="single" w:sz="4" w:space="0" w:color="auto"/>
              <w:right w:val="single" w:sz="4" w:space="0" w:color="auto"/>
            </w:tcBorders>
            <w:noWrap/>
          </w:tcPr>
          <w:p w14:paraId="429606E3" w14:textId="77777777" w:rsidR="00E6123B" w:rsidRPr="001B5635" w:rsidRDefault="00E6123B" w:rsidP="00E6123B">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10930DBB" w14:textId="77777777" w:rsidR="00E6123B" w:rsidRPr="001B5635" w:rsidRDefault="00E6123B" w:rsidP="00E6123B">
            <w:pPr>
              <w:rPr>
                <w:rFonts w:ascii="Arial Narrow" w:hAnsi="Arial Narrow"/>
                <w:lang w:eastAsia="zh-CN"/>
              </w:rPr>
            </w:pPr>
          </w:p>
        </w:tc>
      </w:tr>
      <w:tr w:rsidR="001B5635" w:rsidRPr="001B5635" w14:paraId="1B842769"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4CCAA80A" w14:textId="77777777" w:rsidR="00E6123B" w:rsidRPr="001B5635" w:rsidRDefault="00E6123B" w:rsidP="00E6123B">
            <w:pPr>
              <w:rPr>
                <w:rFonts w:ascii="Arial Narrow" w:hAnsi="Arial Narrow"/>
                <w:lang w:eastAsia="zh-CN"/>
              </w:rPr>
            </w:pPr>
            <w:r w:rsidRPr="001B5635">
              <w:rPr>
                <w:rFonts w:ascii="Arial Narrow" w:hAnsi="Arial Narrow"/>
              </w:rPr>
              <w:t>Dunk North</w:t>
            </w:r>
          </w:p>
        </w:tc>
        <w:tc>
          <w:tcPr>
            <w:tcW w:w="694" w:type="dxa"/>
            <w:tcBorders>
              <w:top w:val="single" w:sz="4" w:space="0" w:color="auto"/>
              <w:left w:val="single" w:sz="4" w:space="0" w:color="auto"/>
              <w:bottom w:val="single" w:sz="4" w:space="0" w:color="auto"/>
              <w:right w:val="single" w:sz="4" w:space="0" w:color="auto"/>
            </w:tcBorders>
            <w:noWrap/>
            <w:hideMark/>
          </w:tcPr>
          <w:p w14:paraId="159D5CFB" w14:textId="77777777" w:rsidR="00E6123B" w:rsidRPr="001B5635" w:rsidRDefault="00E6123B" w:rsidP="00E6123B">
            <w:pPr>
              <w:rPr>
                <w:rFonts w:ascii="Arial Narrow" w:hAnsi="Arial Narrow"/>
                <w:lang w:eastAsia="zh-CN"/>
              </w:rPr>
            </w:pPr>
            <w:r w:rsidRPr="001B5635">
              <w:rPr>
                <w:rFonts w:ascii="Arial Narrow" w:hAnsi="Arial Narrow"/>
              </w:rPr>
              <w:t>23</w:t>
            </w:r>
          </w:p>
        </w:tc>
        <w:tc>
          <w:tcPr>
            <w:tcW w:w="694" w:type="dxa"/>
            <w:tcBorders>
              <w:top w:val="single" w:sz="4" w:space="0" w:color="auto"/>
              <w:left w:val="single" w:sz="4" w:space="0" w:color="auto"/>
              <w:bottom w:val="single" w:sz="4" w:space="0" w:color="auto"/>
              <w:right w:val="single" w:sz="4" w:space="0" w:color="auto"/>
            </w:tcBorders>
            <w:noWrap/>
            <w:hideMark/>
          </w:tcPr>
          <w:p w14:paraId="5104B863" w14:textId="77777777" w:rsidR="00E6123B" w:rsidRPr="001B5635" w:rsidRDefault="00E6123B" w:rsidP="00E6123B">
            <w:pPr>
              <w:rPr>
                <w:rFonts w:ascii="Arial Narrow" w:hAnsi="Arial Narrow"/>
                <w:lang w:eastAsia="zh-CN"/>
              </w:rPr>
            </w:pPr>
            <w:r w:rsidRPr="001B5635">
              <w:rPr>
                <w:rFonts w:ascii="Arial Narrow" w:hAnsi="Arial Narrow"/>
              </w:rPr>
              <w:t>4.6</w:t>
            </w:r>
          </w:p>
        </w:tc>
        <w:tc>
          <w:tcPr>
            <w:tcW w:w="694" w:type="dxa"/>
            <w:tcBorders>
              <w:top w:val="single" w:sz="4" w:space="0" w:color="auto"/>
              <w:left w:val="single" w:sz="4" w:space="0" w:color="auto"/>
              <w:bottom w:val="single" w:sz="4" w:space="0" w:color="auto"/>
              <w:right w:val="single" w:sz="4" w:space="0" w:color="auto"/>
            </w:tcBorders>
            <w:noWrap/>
            <w:hideMark/>
          </w:tcPr>
          <w:p w14:paraId="3D229870" w14:textId="77777777" w:rsidR="00E6123B" w:rsidRPr="001B5635" w:rsidRDefault="00E6123B" w:rsidP="00E6123B">
            <w:pPr>
              <w:rPr>
                <w:rFonts w:ascii="Arial Narrow" w:hAnsi="Arial Narrow"/>
                <w:lang w:eastAsia="zh-CN"/>
              </w:rPr>
            </w:pPr>
            <w:r w:rsidRPr="001B5635">
              <w:rPr>
                <w:rFonts w:ascii="Arial Narrow" w:hAnsi="Arial Narrow"/>
              </w:rPr>
              <w:t>13.5</w:t>
            </w:r>
          </w:p>
        </w:tc>
        <w:tc>
          <w:tcPr>
            <w:tcW w:w="701" w:type="dxa"/>
            <w:tcBorders>
              <w:top w:val="single" w:sz="4" w:space="0" w:color="auto"/>
              <w:left w:val="single" w:sz="4" w:space="0" w:color="auto"/>
              <w:bottom w:val="single" w:sz="4" w:space="0" w:color="auto"/>
              <w:right w:val="single" w:sz="4" w:space="0" w:color="auto"/>
            </w:tcBorders>
            <w:noWrap/>
            <w:hideMark/>
          </w:tcPr>
          <w:p w14:paraId="733EDECB" w14:textId="77777777" w:rsidR="00E6123B" w:rsidRPr="001B5635" w:rsidRDefault="00E6123B" w:rsidP="00E6123B">
            <w:pPr>
              <w:rPr>
                <w:rFonts w:ascii="Arial Narrow" w:hAnsi="Arial Narrow"/>
                <w:lang w:eastAsia="zh-CN"/>
              </w:rPr>
            </w:pPr>
            <w:r w:rsidRPr="001B5635">
              <w:rPr>
                <w:rFonts w:ascii="Arial Narrow" w:hAnsi="Arial Narrow"/>
              </w:rPr>
              <w:t>1.7</w:t>
            </w:r>
          </w:p>
        </w:tc>
        <w:tc>
          <w:tcPr>
            <w:tcW w:w="267" w:type="dxa"/>
            <w:tcBorders>
              <w:top w:val="nil"/>
              <w:left w:val="single" w:sz="4" w:space="0" w:color="auto"/>
              <w:bottom w:val="nil"/>
              <w:right w:val="single" w:sz="4" w:space="0" w:color="auto"/>
            </w:tcBorders>
            <w:noWrap/>
            <w:hideMark/>
          </w:tcPr>
          <w:p w14:paraId="4DF61758" w14:textId="77777777" w:rsidR="00E6123B" w:rsidRPr="001B563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74EA5FB6" w14:textId="77777777" w:rsidR="00E6123B" w:rsidRPr="001B5635" w:rsidRDefault="00E6123B" w:rsidP="00E6123B">
            <w:pPr>
              <w:rPr>
                <w:rFonts w:ascii="Arial Narrow" w:hAnsi="Arial Narrow"/>
                <w:lang w:eastAsia="zh-CN"/>
              </w:rPr>
            </w:pPr>
            <w:r w:rsidRPr="001B5635">
              <w:rPr>
                <w:rFonts w:ascii="Arial Narrow" w:hAnsi="Arial Narrow"/>
              </w:rPr>
              <w:t>Middle</w:t>
            </w:r>
          </w:p>
        </w:tc>
        <w:tc>
          <w:tcPr>
            <w:tcW w:w="708" w:type="dxa"/>
            <w:tcBorders>
              <w:top w:val="single" w:sz="4" w:space="0" w:color="auto"/>
              <w:left w:val="single" w:sz="4" w:space="0" w:color="auto"/>
              <w:bottom w:val="single" w:sz="4" w:space="0" w:color="auto"/>
              <w:right w:val="single" w:sz="4" w:space="0" w:color="auto"/>
            </w:tcBorders>
            <w:noWrap/>
          </w:tcPr>
          <w:p w14:paraId="5E66B3AA" w14:textId="77777777" w:rsidR="00E6123B" w:rsidRPr="001B5635" w:rsidRDefault="00E6123B" w:rsidP="00E6123B">
            <w:pPr>
              <w:rPr>
                <w:rFonts w:ascii="Arial Narrow" w:hAnsi="Arial Narrow"/>
                <w:lang w:eastAsia="zh-CN"/>
              </w:rPr>
            </w:pPr>
            <w:r w:rsidRPr="001B5635">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250765FD" w14:textId="77777777" w:rsidR="00E6123B" w:rsidRPr="001B5635" w:rsidRDefault="00E6123B" w:rsidP="00E6123B">
            <w:pPr>
              <w:rPr>
                <w:rFonts w:ascii="Arial Narrow" w:hAnsi="Arial Narrow"/>
                <w:lang w:eastAsia="zh-CN"/>
              </w:rPr>
            </w:pPr>
            <w:r w:rsidRPr="001B5635">
              <w:rPr>
                <w:rFonts w:ascii="Arial Narrow" w:hAnsi="Arial Narrow"/>
              </w:rPr>
              <w:t>5.2</w:t>
            </w:r>
          </w:p>
        </w:tc>
        <w:tc>
          <w:tcPr>
            <w:tcW w:w="709" w:type="dxa"/>
            <w:tcBorders>
              <w:top w:val="single" w:sz="4" w:space="0" w:color="auto"/>
              <w:left w:val="single" w:sz="4" w:space="0" w:color="auto"/>
              <w:bottom w:val="single" w:sz="4" w:space="0" w:color="auto"/>
              <w:right w:val="single" w:sz="4" w:space="0" w:color="auto"/>
            </w:tcBorders>
            <w:noWrap/>
          </w:tcPr>
          <w:p w14:paraId="27E05D99" w14:textId="77777777" w:rsidR="00E6123B" w:rsidRPr="001B5635" w:rsidRDefault="00E6123B" w:rsidP="00E6123B">
            <w:pPr>
              <w:rPr>
                <w:rFonts w:ascii="Arial Narrow" w:hAnsi="Arial Narrow"/>
                <w:lang w:eastAsia="zh-CN"/>
              </w:rPr>
            </w:pPr>
            <w:r w:rsidRPr="001B5635">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65738362" w14:textId="77777777" w:rsidR="00E6123B" w:rsidRPr="001B5635" w:rsidRDefault="00E6123B" w:rsidP="00E6123B">
            <w:pPr>
              <w:rPr>
                <w:rFonts w:ascii="Arial Narrow" w:hAnsi="Arial Narrow"/>
                <w:lang w:eastAsia="zh-CN"/>
              </w:rPr>
            </w:pPr>
            <w:r w:rsidRPr="001B5635">
              <w:rPr>
                <w:rFonts w:ascii="Arial Narrow" w:hAnsi="Arial Narrow"/>
              </w:rPr>
              <w:t>1.8</w:t>
            </w:r>
          </w:p>
        </w:tc>
      </w:tr>
      <w:tr w:rsidR="001B5635" w:rsidRPr="001B5635" w14:paraId="0351C9BF"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37E8B4B2" w14:textId="77777777" w:rsidR="00E6123B" w:rsidRPr="001B5635" w:rsidRDefault="00E6123B" w:rsidP="00E6123B">
            <w:pPr>
              <w:rPr>
                <w:rFonts w:ascii="Arial Narrow" w:hAnsi="Arial Narrow"/>
                <w:lang w:eastAsia="zh-CN"/>
              </w:rPr>
            </w:pPr>
            <w:r w:rsidRPr="001B5635">
              <w:rPr>
                <w:rFonts w:ascii="Arial Narrow" w:hAnsi="Arial Narrow"/>
              </w:rPr>
              <w:t>Dunk South</w:t>
            </w:r>
          </w:p>
        </w:tc>
        <w:tc>
          <w:tcPr>
            <w:tcW w:w="694" w:type="dxa"/>
            <w:tcBorders>
              <w:top w:val="single" w:sz="4" w:space="0" w:color="auto"/>
              <w:left w:val="single" w:sz="4" w:space="0" w:color="auto"/>
              <w:bottom w:val="single" w:sz="4" w:space="0" w:color="auto"/>
              <w:right w:val="single" w:sz="4" w:space="0" w:color="auto"/>
            </w:tcBorders>
            <w:noWrap/>
            <w:hideMark/>
          </w:tcPr>
          <w:p w14:paraId="7568EA6D" w14:textId="77777777" w:rsidR="00E6123B" w:rsidRPr="001B5635" w:rsidRDefault="00E6123B" w:rsidP="00E6123B">
            <w:pPr>
              <w:rPr>
                <w:rFonts w:ascii="Arial Narrow" w:hAnsi="Arial Narrow"/>
                <w:lang w:eastAsia="zh-CN"/>
              </w:rPr>
            </w:pPr>
            <w:r w:rsidRPr="001B5635">
              <w:rPr>
                <w:rFonts w:ascii="Arial Narrow" w:hAnsi="Arial Narrow"/>
              </w:rPr>
              <w:t>23</w:t>
            </w:r>
          </w:p>
        </w:tc>
        <w:tc>
          <w:tcPr>
            <w:tcW w:w="694" w:type="dxa"/>
            <w:tcBorders>
              <w:top w:val="single" w:sz="4" w:space="0" w:color="auto"/>
              <w:left w:val="single" w:sz="4" w:space="0" w:color="auto"/>
              <w:bottom w:val="single" w:sz="4" w:space="0" w:color="auto"/>
              <w:right w:val="single" w:sz="4" w:space="0" w:color="auto"/>
            </w:tcBorders>
            <w:noWrap/>
            <w:hideMark/>
          </w:tcPr>
          <w:p w14:paraId="54F648AA" w14:textId="77777777" w:rsidR="00E6123B" w:rsidRPr="001B5635" w:rsidRDefault="00E6123B" w:rsidP="00E6123B">
            <w:pPr>
              <w:rPr>
                <w:rFonts w:ascii="Arial Narrow" w:hAnsi="Arial Narrow"/>
                <w:lang w:eastAsia="zh-CN"/>
              </w:rPr>
            </w:pPr>
            <w:r w:rsidRPr="001B5635">
              <w:rPr>
                <w:rFonts w:ascii="Arial Narrow" w:hAnsi="Arial Narrow"/>
              </w:rPr>
              <w:t>5.3</w:t>
            </w:r>
          </w:p>
        </w:tc>
        <w:tc>
          <w:tcPr>
            <w:tcW w:w="694" w:type="dxa"/>
            <w:tcBorders>
              <w:top w:val="single" w:sz="4" w:space="0" w:color="auto"/>
              <w:left w:val="single" w:sz="4" w:space="0" w:color="auto"/>
              <w:bottom w:val="single" w:sz="4" w:space="0" w:color="auto"/>
              <w:right w:val="single" w:sz="4" w:space="0" w:color="auto"/>
            </w:tcBorders>
            <w:noWrap/>
            <w:hideMark/>
          </w:tcPr>
          <w:p w14:paraId="074E7F59" w14:textId="77777777" w:rsidR="00E6123B" w:rsidRPr="001B5635" w:rsidRDefault="00E6123B" w:rsidP="00E6123B">
            <w:pPr>
              <w:rPr>
                <w:rFonts w:ascii="Arial Narrow" w:hAnsi="Arial Narrow"/>
                <w:lang w:eastAsia="zh-CN"/>
              </w:rPr>
            </w:pPr>
            <w:r w:rsidRPr="001B5635">
              <w:rPr>
                <w:rFonts w:ascii="Arial Narrow" w:hAnsi="Arial Narrow"/>
              </w:rPr>
              <w:t>15.6</w:t>
            </w:r>
          </w:p>
        </w:tc>
        <w:tc>
          <w:tcPr>
            <w:tcW w:w="701" w:type="dxa"/>
            <w:tcBorders>
              <w:top w:val="single" w:sz="4" w:space="0" w:color="auto"/>
              <w:left w:val="single" w:sz="4" w:space="0" w:color="auto"/>
              <w:bottom w:val="single" w:sz="4" w:space="0" w:color="auto"/>
              <w:right w:val="single" w:sz="4" w:space="0" w:color="auto"/>
            </w:tcBorders>
            <w:noWrap/>
            <w:hideMark/>
          </w:tcPr>
          <w:p w14:paraId="697827C9" w14:textId="77777777" w:rsidR="00E6123B" w:rsidRPr="001B5635" w:rsidRDefault="00E6123B" w:rsidP="00E6123B">
            <w:pPr>
              <w:rPr>
                <w:rFonts w:ascii="Arial Narrow" w:hAnsi="Arial Narrow"/>
                <w:lang w:eastAsia="zh-CN"/>
              </w:rPr>
            </w:pPr>
            <w:r w:rsidRPr="001B5635">
              <w:rPr>
                <w:rFonts w:ascii="Arial Narrow" w:hAnsi="Arial Narrow"/>
              </w:rPr>
              <w:t>1.9</w:t>
            </w:r>
          </w:p>
        </w:tc>
        <w:tc>
          <w:tcPr>
            <w:tcW w:w="267" w:type="dxa"/>
            <w:tcBorders>
              <w:top w:val="nil"/>
              <w:left w:val="single" w:sz="4" w:space="0" w:color="auto"/>
              <w:bottom w:val="nil"/>
              <w:right w:val="single" w:sz="4" w:space="0" w:color="auto"/>
            </w:tcBorders>
            <w:noWrap/>
            <w:hideMark/>
          </w:tcPr>
          <w:p w14:paraId="419B3B89" w14:textId="77777777" w:rsidR="00E6123B" w:rsidRPr="001B563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7B47D7B9" w14:textId="77777777" w:rsidR="00E6123B" w:rsidRPr="001B5635" w:rsidRDefault="00E6123B" w:rsidP="00E6123B">
            <w:pPr>
              <w:rPr>
                <w:rFonts w:ascii="Arial Narrow" w:hAnsi="Arial Narrow"/>
                <w:lang w:eastAsia="zh-CN"/>
              </w:rPr>
            </w:pPr>
            <w:r w:rsidRPr="001B5635">
              <w:rPr>
                <w:rFonts w:ascii="Arial Narrow" w:hAnsi="Arial Narrow"/>
              </w:rPr>
              <w:t>North Keppel</w:t>
            </w:r>
          </w:p>
        </w:tc>
        <w:tc>
          <w:tcPr>
            <w:tcW w:w="708" w:type="dxa"/>
            <w:tcBorders>
              <w:top w:val="single" w:sz="4" w:space="0" w:color="auto"/>
              <w:left w:val="single" w:sz="4" w:space="0" w:color="auto"/>
              <w:bottom w:val="single" w:sz="4" w:space="0" w:color="auto"/>
              <w:right w:val="single" w:sz="4" w:space="0" w:color="auto"/>
            </w:tcBorders>
            <w:noWrap/>
          </w:tcPr>
          <w:p w14:paraId="0E2BD610" w14:textId="77777777" w:rsidR="00E6123B" w:rsidRPr="001B5635" w:rsidRDefault="00E6123B" w:rsidP="00E6123B">
            <w:pPr>
              <w:rPr>
                <w:rFonts w:ascii="Arial Narrow" w:hAnsi="Arial Narrow"/>
                <w:lang w:eastAsia="zh-CN"/>
              </w:rPr>
            </w:pPr>
            <w:r w:rsidRPr="001B5635">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42BFCF0C" w14:textId="77777777" w:rsidR="00E6123B" w:rsidRPr="001B5635" w:rsidRDefault="00E6123B" w:rsidP="00E6123B">
            <w:pPr>
              <w:rPr>
                <w:rFonts w:ascii="Arial Narrow" w:hAnsi="Arial Narrow"/>
                <w:lang w:eastAsia="zh-CN"/>
              </w:rPr>
            </w:pPr>
            <w:r w:rsidRPr="001B5635">
              <w:rPr>
                <w:rFonts w:ascii="Arial Narrow" w:hAnsi="Arial Narrow"/>
              </w:rPr>
              <w:t>5.1</w:t>
            </w:r>
          </w:p>
        </w:tc>
        <w:tc>
          <w:tcPr>
            <w:tcW w:w="709" w:type="dxa"/>
            <w:tcBorders>
              <w:top w:val="single" w:sz="4" w:space="0" w:color="auto"/>
              <w:left w:val="single" w:sz="4" w:space="0" w:color="auto"/>
              <w:bottom w:val="single" w:sz="4" w:space="0" w:color="auto"/>
              <w:right w:val="single" w:sz="4" w:space="0" w:color="auto"/>
            </w:tcBorders>
            <w:noWrap/>
          </w:tcPr>
          <w:p w14:paraId="5376D1C8" w14:textId="77777777" w:rsidR="00E6123B" w:rsidRPr="001B5635" w:rsidRDefault="00E6123B" w:rsidP="00E6123B">
            <w:pPr>
              <w:rPr>
                <w:rFonts w:ascii="Arial Narrow" w:hAnsi="Arial Narrow"/>
                <w:lang w:eastAsia="zh-CN"/>
              </w:rPr>
            </w:pPr>
            <w:r w:rsidRPr="001B5635">
              <w:rPr>
                <w:rFonts w:ascii="Arial Narrow" w:hAnsi="Arial Narrow"/>
              </w:rPr>
              <w:t>22.6</w:t>
            </w:r>
          </w:p>
        </w:tc>
        <w:tc>
          <w:tcPr>
            <w:tcW w:w="709" w:type="dxa"/>
            <w:tcBorders>
              <w:top w:val="single" w:sz="4" w:space="0" w:color="auto"/>
              <w:left w:val="single" w:sz="4" w:space="0" w:color="auto"/>
              <w:bottom w:val="single" w:sz="4" w:space="0" w:color="auto"/>
              <w:right w:val="single" w:sz="4" w:space="0" w:color="auto"/>
            </w:tcBorders>
            <w:noWrap/>
          </w:tcPr>
          <w:p w14:paraId="105AB801" w14:textId="77777777" w:rsidR="00E6123B" w:rsidRPr="001B5635" w:rsidRDefault="00E6123B" w:rsidP="00E6123B">
            <w:pPr>
              <w:rPr>
                <w:rFonts w:ascii="Arial Narrow" w:hAnsi="Arial Narrow"/>
                <w:lang w:eastAsia="zh-CN"/>
              </w:rPr>
            </w:pPr>
            <w:r w:rsidRPr="001B5635">
              <w:rPr>
                <w:rFonts w:ascii="Arial Narrow" w:hAnsi="Arial Narrow"/>
              </w:rPr>
              <w:t>1.8</w:t>
            </w:r>
          </w:p>
        </w:tc>
      </w:tr>
      <w:tr w:rsidR="001B5635" w:rsidRPr="001B5635" w14:paraId="3023FB27"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73B54D85" w14:textId="77777777" w:rsidR="00E6123B" w:rsidRPr="001B5635" w:rsidRDefault="00E6123B" w:rsidP="00E6123B">
            <w:pPr>
              <w:rPr>
                <w:rFonts w:ascii="Arial Narrow" w:hAnsi="Arial Narrow"/>
                <w:lang w:eastAsia="zh-CN"/>
              </w:rPr>
            </w:pPr>
            <w:r w:rsidRPr="001B5635">
              <w:rPr>
                <w:rFonts w:ascii="Arial Narrow" w:hAnsi="Arial Narrow"/>
              </w:rPr>
              <w:t>Fitzroy East</w:t>
            </w:r>
          </w:p>
        </w:tc>
        <w:tc>
          <w:tcPr>
            <w:tcW w:w="694" w:type="dxa"/>
            <w:tcBorders>
              <w:top w:val="single" w:sz="4" w:space="0" w:color="auto"/>
              <w:left w:val="single" w:sz="4" w:space="0" w:color="auto"/>
              <w:bottom w:val="single" w:sz="4" w:space="0" w:color="auto"/>
              <w:right w:val="single" w:sz="4" w:space="0" w:color="auto"/>
            </w:tcBorders>
            <w:noWrap/>
            <w:hideMark/>
          </w:tcPr>
          <w:p w14:paraId="0D6BDCCF" w14:textId="77777777" w:rsidR="00E6123B" w:rsidRPr="001B5635" w:rsidRDefault="00E6123B" w:rsidP="00E6123B">
            <w:pPr>
              <w:rPr>
                <w:rFonts w:ascii="Arial Narrow" w:hAnsi="Arial Narrow"/>
                <w:lang w:eastAsia="zh-CN"/>
              </w:rPr>
            </w:pPr>
            <w:r w:rsidRPr="001B5635">
              <w:rPr>
                <w:rFonts w:ascii="Arial Narrow" w:hAnsi="Arial Narrow"/>
              </w:rPr>
              <w:t>11.7</w:t>
            </w:r>
          </w:p>
        </w:tc>
        <w:tc>
          <w:tcPr>
            <w:tcW w:w="694" w:type="dxa"/>
            <w:tcBorders>
              <w:top w:val="single" w:sz="4" w:space="0" w:color="auto"/>
              <w:left w:val="single" w:sz="4" w:space="0" w:color="auto"/>
              <w:bottom w:val="single" w:sz="4" w:space="0" w:color="auto"/>
              <w:right w:val="single" w:sz="4" w:space="0" w:color="auto"/>
            </w:tcBorders>
            <w:noWrap/>
            <w:hideMark/>
          </w:tcPr>
          <w:p w14:paraId="7E02B48E" w14:textId="77777777" w:rsidR="00E6123B" w:rsidRPr="001B5635" w:rsidRDefault="00E6123B" w:rsidP="00E6123B">
            <w:pPr>
              <w:rPr>
                <w:rFonts w:ascii="Arial Narrow" w:hAnsi="Arial Narrow"/>
                <w:lang w:eastAsia="zh-CN"/>
              </w:rPr>
            </w:pPr>
            <w:r w:rsidRPr="001B5635">
              <w:rPr>
                <w:rFonts w:ascii="Arial Narrow" w:hAnsi="Arial Narrow"/>
              </w:rPr>
              <w:t>3.5</w:t>
            </w:r>
          </w:p>
        </w:tc>
        <w:tc>
          <w:tcPr>
            <w:tcW w:w="694" w:type="dxa"/>
            <w:tcBorders>
              <w:top w:val="single" w:sz="4" w:space="0" w:color="auto"/>
              <w:left w:val="single" w:sz="4" w:space="0" w:color="auto"/>
              <w:bottom w:val="single" w:sz="4" w:space="0" w:color="auto"/>
              <w:right w:val="single" w:sz="4" w:space="0" w:color="auto"/>
            </w:tcBorders>
            <w:noWrap/>
            <w:hideMark/>
          </w:tcPr>
          <w:p w14:paraId="48D5B71A" w14:textId="77777777" w:rsidR="00E6123B" w:rsidRPr="001B5635" w:rsidRDefault="00E6123B" w:rsidP="00E6123B">
            <w:pPr>
              <w:rPr>
                <w:rFonts w:ascii="Arial Narrow" w:hAnsi="Arial Narrow"/>
                <w:lang w:eastAsia="zh-CN"/>
              </w:rPr>
            </w:pPr>
            <w:r w:rsidRPr="001B5635">
              <w:rPr>
                <w:rFonts w:ascii="Arial Narrow" w:hAnsi="Arial Narrow"/>
              </w:rPr>
              <w:t>10</w:t>
            </w:r>
          </w:p>
        </w:tc>
        <w:tc>
          <w:tcPr>
            <w:tcW w:w="701" w:type="dxa"/>
            <w:tcBorders>
              <w:top w:val="single" w:sz="4" w:space="0" w:color="auto"/>
              <w:left w:val="single" w:sz="4" w:space="0" w:color="auto"/>
              <w:bottom w:val="single" w:sz="4" w:space="0" w:color="auto"/>
              <w:right w:val="single" w:sz="4" w:space="0" w:color="auto"/>
            </w:tcBorders>
            <w:noWrap/>
            <w:hideMark/>
          </w:tcPr>
          <w:p w14:paraId="49DE42AD" w14:textId="77777777" w:rsidR="00E6123B" w:rsidRPr="001B5635" w:rsidRDefault="00E6123B" w:rsidP="00E6123B">
            <w:pPr>
              <w:rPr>
                <w:rFonts w:ascii="Arial Narrow" w:hAnsi="Arial Narrow"/>
                <w:lang w:eastAsia="zh-CN"/>
              </w:rPr>
            </w:pPr>
            <w:r w:rsidRPr="001B5635">
              <w:rPr>
                <w:rFonts w:ascii="Arial Narrow" w:hAnsi="Arial Narrow"/>
              </w:rPr>
              <w:t>1.5</w:t>
            </w:r>
          </w:p>
        </w:tc>
        <w:tc>
          <w:tcPr>
            <w:tcW w:w="267" w:type="dxa"/>
            <w:tcBorders>
              <w:top w:val="nil"/>
              <w:left w:val="single" w:sz="4" w:space="0" w:color="auto"/>
              <w:bottom w:val="nil"/>
              <w:right w:val="single" w:sz="4" w:space="0" w:color="auto"/>
            </w:tcBorders>
            <w:noWrap/>
            <w:hideMark/>
          </w:tcPr>
          <w:p w14:paraId="6EB0C5B4" w14:textId="77777777" w:rsidR="00E6123B" w:rsidRPr="001B563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0E9D88F3" w14:textId="77777777" w:rsidR="00E6123B" w:rsidRPr="001B5635" w:rsidRDefault="00E6123B" w:rsidP="00E6123B">
            <w:pPr>
              <w:rPr>
                <w:rFonts w:ascii="Arial Narrow" w:hAnsi="Arial Narrow"/>
                <w:lang w:eastAsia="zh-CN"/>
              </w:rPr>
            </w:pPr>
            <w:r w:rsidRPr="001B5635">
              <w:rPr>
                <w:rFonts w:ascii="Arial Narrow" w:hAnsi="Arial Narrow"/>
              </w:rPr>
              <w:t>Palms East</w:t>
            </w:r>
          </w:p>
        </w:tc>
        <w:tc>
          <w:tcPr>
            <w:tcW w:w="708" w:type="dxa"/>
            <w:tcBorders>
              <w:top w:val="single" w:sz="4" w:space="0" w:color="auto"/>
              <w:left w:val="single" w:sz="4" w:space="0" w:color="auto"/>
              <w:bottom w:val="single" w:sz="4" w:space="0" w:color="auto"/>
              <w:right w:val="single" w:sz="4" w:space="0" w:color="auto"/>
            </w:tcBorders>
            <w:noWrap/>
          </w:tcPr>
          <w:p w14:paraId="4C9B7DCF" w14:textId="77777777" w:rsidR="00E6123B" w:rsidRPr="001B5635" w:rsidRDefault="00E6123B" w:rsidP="00E6123B">
            <w:pPr>
              <w:rPr>
                <w:rFonts w:ascii="Arial Narrow" w:hAnsi="Arial Narrow"/>
                <w:lang w:eastAsia="zh-CN"/>
              </w:rPr>
            </w:pPr>
            <w:r w:rsidRPr="001B5635">
              <w:rPr>
                <w:rFonts w:ascii="Arial Narrow" w:hAnsi="Arial Narrow"/>
              </w:rPr>
              <w:t>12.2</w:t>
            </w:r>
          </w:p>
        </w:tc>
        <w:tc>
          <w:tcPr>
            <w:tcW w:w="709" w:type="dxa"/>
            <w:tcBorders>
              <w:top w:val="single" w:sz="4" w:space="0" w:color="auto"/>
              <w:left w:val="single" w:sz="4" w:space="0" w:color="auto"/>
              <w:bottom w:val="single" w:sz="4" w:space="0" w:color="auto"/>
              <w:right w:val="single" w:sz="4" w:space="0" w:color="auto"/>
            </w:tcBorders>
            <w:noWrap/>
          </w:tcPr>
          <w:p w14:paraId="04365C7F" w14:textId="77777777" w:rsidR="00E6123B" w:rsidRPr="001B5635" w:rsidRDefault="00E6123B" w:rsidP="00E6123B">
            <w:pPr>
              <w:rPr>
                <w:rFonts w:ascii="Arial Narrow" w:hAnsi="Arial Narrow"/>
                <w:lang w:eastAsia="zh-CN"/>
              </w:rPr>
            </w:pPr>
            <w:r w:rsidRPr="001B5635">
              <w:rPr>
                <w:rFonts w:ascii="Arial Narrow" w:hAnsi="Arial Narrow"/>
              </w:rPr>
              <w:t>3.6</w:t>
            </w:r>
          </w:p>
        </w:tc>
        <w:tc>
          <w:tcPr>
            <w:tcW w:w="709" w:type="dxa"/>
            <w:tcBorders>
              <w:top w:val="single" w:sz="4" w:space="0" w:color="auto"/>
              <w:left w:val="single" w:sz="4" w:space="0" w:color="auto"/>
              <w:bottom w:val="single" w:sz="4" w:space="0" w:color="auto"/>
              <w:right w:val="single" w:sz="4" w:space="0" w:color="auto"/>
            </w:tcBorders>
            <w:noWrap/>
          </w:tcPr>
          <w:p w14:paraId="34873600" w14:textId="77777777" w:rsidR="00E6123B" w:rsidRPr="001B5635" w:rsidRDefault="00E6123B" w:rsidP="00E6123B">
            <w:pPr>
              <w:rPr>
                <w:rFonts w:ascii="Arial Narrow" w:hAnsi="Arial Narrow"/>
                <w:lang w:eastAsia="zh-CN"/>
              </w:rPr>
            </w:pPr>
            <w:r w:rsidRPr="001B5635">
              <w:rPr>
                <w:rFonts w:ascii="Arial Narrow" w:hAnsi="Arial Narrow"/>
              </w:rPr>
              <w:t>10.5</w:t>
            </w:r>
          </w:p>
        </w:tc>
        <w:tc>
          <w:tcPr>
            <w:tcW w:w="709" w:type="dxa"/>
            <w:tcBorders>
              <w:top w:val="single" w:sz="4" w:space="0" w:color="auto"/>
              <w:left w:val="single" w:sz="4" w:space="0" w:color="auto"/>
              <w:bottom w:val="single" w:sz="4" w:space="0" w:color="auto"/>
              <w:right w:val="single" w:sz="4" w:space="0" w:color="auto"/>
            </w:tcBorders>
            <w:noWrap/>
          </w:tcPr>
          <w:p w14:paraId="422F6AE0" w14:textId="77777777" w:rsidR="00E6123B" w:rsidRPr="001B5635" w:rsidRDefault="00E6123B" w:rsidP="00E6123B">
            <w:pPr>
              <w:rPr>
                <w:rFonts w:ascii="Arial Narrow" w:hAnsi="Arial Narrow"/>
                <w:lang w:eastAsia="zh-CN"/>
              </w:rPr>
            </w:pPr>
            <w:r w:rsidRPr="001B5635">
              <w:rPr>
                <w:rFonts w:ascii="Arial Narrow" w:hAnsi="Arial Narrow"/>
              </w:rPr>
              <w:t>1.5</w:t>
            </w:r>
          </w:p>
        </w:tc>
      </w:tr>
      <w:tr w:rsidR="001B5635" w:rsidRPr="001B5635" w14:paraId="3FB0DAA2"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6F66D098" w14:textId="77777777" w:rsidR="00E6123B" w:rsidRPr="001B5635" w:rsidRDefault="00E6123B" w:rsidP="00E6123B">
            <w:pPr>
              <w:rPr>
                <w:rFonts w:ascii="Arial Narrow" w:hAnsi="Arial Narrow"/>
                <w:lang w:eastAsia="zh-CN"/>
              </w:rPr>
            </w:pPr>
            <w:r w:rsidRPr="001B5635">
              <w:rPr>
                <w:rFonts w:ascii="Arial Narrow" w:hAnsi="Arial Narrow"/>
              </w:rPr>
              <w:t>Fitzroy West</w:t>
            </w:r>
          </w:p>
        </w:tc>
        <w:tc>
          <w:tcPr>
            <w:tcW w:w="694" w:type="dxa"/>
            <w:tcBorders>
              <w:top w:val="single" w:sz="4" w:space="0" w:color="auto"/>
              <w:left w:val="single" w:sz="4" w:space="0" w:color="auto"/>
              <w:bottom w:val="single" w:sz="4" w:space="0" w:color="auto"/>
              <w:right w:val="single" w:sz="4" w:space="0" w:color="auto"/>
            </w:tcBorders>
            <w:noWrap/>
            <w:hideMark/>
          </w:tcPr>
          <w:p w14:paraId="565D57B8" w14:textId="77777777" w:rsidR="00E6123B" w:rsidRPr="001B5635" w:rsidRDefault="00E6123B" w:rsidP="00E6123B">
            <w:pPr>
              <w:rPr>
                <w:rFonts w:ascii="Arial Narrow" w:hAnsi="Arial Narrow"/>
                <w:lang w:eastAsia="zh-CN"/>
              </w:rPr>
            </w:pPr>
            <w:r w:rsidRPr="001B5635">
              <w:rPr>
                <w:rFonts w:ascii="Arial Narrow" w:hAnsi="Arial Narrow"/>
              </w:rPr>
              <w:t>12.5</w:t>
            </w:r>
          </w:p>
        </w:tc>
        <w:tc>
          <w:tcPr>
            <w:tcW w:w="694" w:type="dxa"/>
            <w:tcBorders>
              <w:top w:val="single" w:sz="4" w:space="0" w:color="auto"/>
              <w:left w:val="single" w:sz="4" w:space="0" w:color="auto"/>
              <w:bottom w:val="single" w:sz="4" w:space="0" w:color="auto"/>
              <w:right w:val="single" w:sz="4" w:space="0" w:color="auto"/>
            </w:tcBorders>
            <w:noWrap/>
            <w:hideMark/>
          </w:tcPr>
          <w:p w14:paraId="55FB1B76" w14:textId="77777777" w:rsidR="00E6123B" w:rsidRPr="001B5635" w:rsidRDefault="00E6123B" w:rsidP="00E6123B">
            <w:pPr>
              <w:rPr>
                <w:rFonts w:ascii="Arial Narrow" w:hAnsi="Arial Narrow"/>
                <w:lang w:eastAsia="zh-CN"/>
              </w:rPr>
            </w:pPr>
            <w:r w:rsidRPr="001B5635">
              <w:rPr>
                <w:rFonts w:ascii="Arial Narrow" w:hAnsi="Arial Narrow"/>
              </w:rPr>
              <w:t>3.3</w:t>
            </w:r>
          </w:p>
        </w:tc>
        <w:tc>
          <w:tcPr>
            <w:tcW w:w="694" w:type="dxa"/>
            <w:tcBorders>
              <w:top w:val="single" w:sz="4" w:space="0" w:color="auto"/>
              <w:left w:val="single" w:sz="4" w:space="0" w:color="auto"/>
              <w:bottom w:val="single" w:sz="4" w:space="0" w:color="auto"/>
              <w:right w:val="single" w:sz="4" w:space="0" w:color="auto"/>
            </w:tcBorders>
            <w:noWrap/>
            <w:hideMark/>
          </w:tcPr>
          <w:p w14:paraId="1D59741B" w14:textId="77777777" w:rsidR="00E6123B" w:rsidRPr="001B5635" w:rsidRDefault="00E6123B" w:rsidP="00E6123B">
            <w:pPr>
              <w:rPr>
                <w:rFonts w:ascii="Arial Narrow" w:hAnsi="Arial Narrow"/>
                <w:lang w:eastAsia="zh-CN"/>
              </w:rPr>
            </w:pPr>
            <w:r w:rsidRPr="001B5635">
              <w:rPr>
                <w:rFonts w:ascii="Arial Narrow" w:hAnsi="Arial Narrow"/>
              </w:rPr>
              <w:t>13.3</w:t>
            </w:r>
          </w:p>
        </w:tc>
        <w:tc>
          <w:tcPr>
            <w:tcW w:w="701" w:type="dxa"/>
            <w:tcBorders>
              <w:top w:val="single" w:sz="4" w:space="0" w:color="auto"/>
              <w:left w:val="single" w:sz="4" w:space="0" w:color="auto"/>
              <w:bottom w:val="single" w:sz="4" w:space="0" w:color="auto"/>
              <w:right w:val="single" w:sz="4" w:space="0" w:color="auto"/>
            </w:tcBorders>
            <w:noWrap/>
            <w:hideMark/>
          </w:tcPr>
          <w:p w14:paraId="0BC7FB6A" w14:textId="77777777" w:rsidR="00E6123B" w:rsidRPr="001B5635" w:rsidRDefault="00E6123B" w:rsidP="00E6123B">
            <w:pPr>
              <w:rPr>
                <w:rFonts w:ascii="Arial Narrow" w:hAnsi="Arial Narrow"/>
                <w:lang w:eastAsia="zh-CN"/>
              </w:rPr>
            </w:pPr>
            <w:r w:rsidRPr="001B5635">
              <w:rPr>
                <w:rFonts w:ascii="Arial Narrow" w:hAnsi="Arial Narrow"/>
              </w:rPr>
              <w:t>1.5</w:t>
            </w:r>
          </w:p>
        </w:tc>
        <w:tc>
          <w:tcPr>
            <w:tcW w:w="267" w:type="dxa"/>
            <w:tcBorders>
              <w:top w:val="nil"/>
              <w:left w:val="single" w:sz="4" w:space="0" w:color="auto"/>
              <w:bottom w:val="nil"/>
              <w:right w:val="single" w:sz="4" w:space="0" w:color="auto"/>
            </w:tcBorders>
            <w:noWrap/>
            <w:hideMark/>
          </w:tcPr>
          <w:p w14:paraId="1204CF8D" w14:textId="77777777" w:rsidR="00E6123B" w:rsidRPr="001B563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D9B16FB" w14:textId="77777777" w:rsidR="00E6123B" w:rsidRPr="001B5635" w:rsidRDefault="00E6123B" w:rsidP="00E6123B">
            <w:pPr>
              <w:rPr>
                <w:rFonts w:ascii="Arial Narrow" w:hAnsi="Arial Narrow"/>
                <w:lang w:eastAsia="zh-CN"/>
              </w:rPr>
            </w:pPr>
            <w:r w:rsidRPr="001B5635">
              <w:rPr>
                <w:rFonts w:ascii="Arial Narrow" w:hAnsi="Arial Narrow"/>
              </w:rPr>
              <w:t>Palms West</w:t>
            </w:r>
          </w:p>
        </w:tc>
        <w:tc>
          <w:tcPr>
            <w:tcW w:w="708" w:type="dxa"/>
            <w:tcBorders>
              <w:top w:val="single" w:sz="4" w:space="0" w:color="auto"/>
              <w:left w:val="single" w:sz="4" w:space="0" w:color="auto"/>
              <w:bottom w:val="single" w:sz="4" w:space="0" w:color="auto"/>
              <w:right w:val="single" w:sz="4" w:space="0" w:color="auto"/>
            </w:tcBorders>
            <w:noWrap/>
          </w:tcPr>
          <w:p w14:paraId="21CD9552" w14:textId="77777777" w:rsidR="00E6123B" w:rsidRPr="001B5635" w:rsidRDefault="00E6123B" w:rsidP="00E6123B">
            <w:pPr>
              <w:rPr>
                <w:rFonts w:ascii="Arial Narrow" w:hAnsi="Arial Narrow"/>
                <w:lang w:eastAsia="zh-CN"/>
              </w:rPr>
            </w:pPr>
            <w:r w:rsidRPr="001B5635">
              <w:rPr>
                <w:rFonts w:ascii="Arial Narrow" w:hAnsi="Arial Narrow"/>
              </w:rPr>
              <w:t>12.8</w:t>
            </w:r>
          </w:p>
        </w:tc>
        <w:tc>
          <w:tcPr>
            <w:tcW w:w="709" w:type="dxa"/>
            <w:tcBorders>
              <w:top w:val="single" w:sz="4" w:space="0" w:color="auto"/>
              <w:left w:val="single" w:sz="4" w:space="0" w:color="auto"/>
              <w:bottom w:val="single" w:sz="4" w:space="0" w:color="auto"/>
              <w:right w:val="single" w:sz="4" w:space="0" w:color="auto"/>
            </w:tcBorders>
            <w:noWrap/>
          </w:tcPr>
          <w:p w14:paraId="66E6211C" w14:textId="77777777" w:rsidR="00E6123B" w:rsidRPr="001B5635" w:rsidRDefault="00E6123B" w:rsidP="00E6123B">
            <w:pPr>
              <w:rPr>
                <w:rFonts w:ascii="Arial Narrow" w:hAnsi="Arial Narrow"/>
                <w:lang w:eastAsia="zh-CN"/>
              </w:rPr>
            </w:pPr>
            <w:r w:rsidRPr="001B5635">
              <w:rPr>
                <w:rFonts w:ascii="Arial Narrow" w:hAnsi="Arial Narrow"/>
              </w:rPr>
              <w:t>3.4</w:t>
            </w:r>
          </w:p>
        </w:tc>
        <w:tc>
          <w:tcPr>
            <w:tcW w:w="709" w:type="dxa"/>
            <w:tcBorders>
              <w:top w:val="single" w:sz="4" w:space="0" w:color="auto"/>
              <w:left w:val="single" w:sz="4" w:space="0" w:color="auto"/>
              <w:bottom w:val="single" w:sz="4" w:space="0" w:color="auto"/>
              <w:right w:val="single" w:sz="4" w:space="0" w:color="auto"/>
            </w:tcBorders>
            <w:noWrap/>
          </w:tcPr>
          <w:p w14:paraId="25912376" w14:textId="77777777" w:rsidR="00E6123B" w:rsidRPr="001B5635" w:rsidRDefault="00E6123B" w:rsidP="00E6123B">
            <w:pPr>
              <w:rPr>
                <w:rFonts w:ascii="Arial Narrow" w:hAnsi="Arial Narrow"/>
                <w:lang w:eastAsia="zh-CN"/>
              </w:rPr>
            </w:pPr>
            <w:r w:rsidRPr="001B5635">
              <w:rPr>
                <w:rFonts w:ascii="Arial Narrow" w:hAnsi="Arial Narrow"/>
              </w:rPr>
              <w:t>17.5</w:t>
            </w:r>
          </w:p>
        </w:tc>
        <w:tc>
          <w:tcPr>
            <w:tcW w:w="709" w:type="dxa"/>
            <w:tcBorders>
              <w:top w:val="single" w:sz="4" w:space="0" w:color="auto"/>
              <w:left w:val="single" w:sz="4" w:space="0" w:color="auto"/>
              <w:bottom w:val="single" w:sz="4" w:space="0" w:color="auto"/>
              <w:right w:val="single" w:sz="4" w:space="0" w:color="auto"/>
            </w:tcBorders>
            <w:noWrap/>
          </w:tcPr>
          <w:p w14:paraId="4C0A3C1C" w14:textId="77777777" w:rsidR="00E6123B" w:rsidRPr="001B5635" w:rsidRDefault="00E6123B" w:rsidP="00E6123B">
            <w:pPr>
              <w:rPr>
                <w:rFonts w:ascii="Arial Narrow" w:hAnsi="Arial Narrow"/>
                <w:lang w:eastAsia="zh-CN"/>
              </w:rPr>
            </w:pPr>
            <w:r w:rsidRPr="001B5635">
              <w:rPr>
                <w:rFonts w:ascii="Arial Narrow" w:hAnsi="Arial Narrow"/>
              </w:rPr>
              <w:t>1.5</w:t>
            </w:r>
          </w:p>
        </w:tc>
      </w:tr>
      <w:tr w:rsidR="001B5635" w:rsidRPr="001B5635" w14:paraId="46FE6F59"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7EC0583B" w14:textId="77777777" w:rsidR="00E6123B" w:rsidRPr="001B5635" w:rsidRDefault="00E6123B" w:rsidP="00E6123B">
            <w:pPr>
              <w:rPr>
                <w:rFonts w:ascii="Arial Narrow" w:hAnsi="Arial Narrow"/>
                <w:lang w:eastAsia="zh-CN"/>
              </w:rPr>
            </w:pPr>
            <w:r w:rsidRPr="001B5635">
              <w:rPr>
                <w:rFonts w:ascii="Arial Narrow" w:hAnsi="Arial Narrow"/>
              </w:rPr>
              <w:t>Franklands East</w:t>
            </w:r>
          </w:p>
        </w:tc>
        <w:tc>
          <w:tcPr>
            <w:tcW w:w="694" w:type="dxa"/>
            <w:tcBorders>
              <w:top w:val="single" w:sz="4" w:space="0" w:color="auto"/>
              <w:left w:val="single" w:sz="4" w:space="0" w:color="auto"/>
              <w:bottom w:val="single" w:sz="4" w:space="0" w:color="auto"/>
              <w:right w:val="single" w:sz="4" w:space="0" w:color="auto"/>
            </w:tcBorders>
            <w:noWrap/>
            <w:hideMark/>
          </w:tcPr>
          <w:p w14:paraId="3405D867" w14:textId="77777777" w:rsidR="00E6123B" w:rsidRPr="001B5635" w:rsidRDefault="00E6123B" w:rsidP="00E6123B">
            <w:pPr>
              <w:rPr>
                <w:rFonts w:ascii="Arial Narrow" w:hAnsi="Arial Narrow"/>
                <w:lang w:eastAsia="zh-CN"/>
              </w:rPr>
            </w:pPr>
            <w:r w:rsidRPr="001B5635">
              <w:rPr>
                <w:rFonts w:ascii="Arial Narrow" w:hAnsi="Arial Narrow"/>
              </w:rPr>
              <w:t>12.2</w:t>
            </w:r>
          </w:p>
        </w:tc>
        <w:tc>
          <w:tcPr>
            <w:tcW w:w="694" w:type="dxa"/>
            <w:tcBorders>
              <w:top w:val="single" w:sz="4" w:space="0" w:color="auto"/>
              <w:left w:val="single" w:sz="4" w:space="0" w:color="auto"/>
              <w:bottom w:val="single" w:sz="4" w:space="0" w:color="auto"/>
              <w:right w:val="single" w:sz="4" w:space="0" w:color="auto"/>
            </w:tcBorders>
            <w:noWrap/>
            <w:hideMark/>
          </w:tcPr>
          <w:p w14:paraId="5F4BC2C1" w14:textId="77777777" w:rsidR="00E6123B" w:rsidRPr="001B5635" w:rsidRDefault="00E6123B" w:rsidP="00E6123B">
            <w:pPr>
              <w:rPr>
                <w:rFonts w:ascii="Arial Narrow" w:hAnsi="Arial Narrow"/>
                <w:lang w:eastAsia="zh-CN"/>
              </w:rPr>
            </w:pPr>
            <w:r w:rsidRPr="001B5635">
              <w:rPr>
                <w:rFonts w:ascii="Arial Narrow" w:hAnsi="Arial Narrow"/>
              </w:rPr>
              <w:t>3.4</w:t>
            </w:r>
          </w:p>
        </w:tc>
        <w:tc>
          <w:tcPr>
            <w:tcW w:w="694" w:type="dxa"/>
            <w:tcBorders>
              <w:top w:val="single" w:sz="4" w:space="0" w:color="auto"/>
              <w:left w:val="single" w:sz="4" w:space="0" w:color="auto"/>
              <w:bottom w:val="single" w:sz="4" w:space="0" w:color="auto"/>
              <w:right w:val="single" w:sz="4" w:space="0" w:color="auto"/>
            </w:tcBorders>
            <w:noWrap/>
            <w:hideMark/>
          </w:tcPr>
          <w:p w14:paraId="787B500F" w14:textId="77777777" w:rsidR="00E6123B" w:rsidRPr="001B5635" w:rsidRDefault="00E6123B" w:rsidP="00E6123B">
            <w:pPr>
              <w:rPr>
                <w:rFonts w:ascii="Arial Narrow" w:hAnsi="Arial Narrow"/>
                <w:lang w:eastAsia="zh-CN"/>
              </w:rPr>
            </w:pPr>
            <w:r w:rsidRPr="001B5635">
              <w:rPr>
                <w:rFonts w:ascii="Arial Narrow" w:hAnsi="Arial Narrow"/>
              </w:rPr>
              <w:t>10.5</w:t>
            </w:r>
          </w:p>
        </w:tc>
        <w:tc>
          <w:tcPr>
            <w:tcW w:w="701" w:type="dxa"/>
            <w:tcBorders>
              <w:top w:val="single" w:sz="4" w:space="0" w:color="auto"/>
              <w:left w:val="single" w:sz="4" w:space="0" w:color="auto"/>
              <w:bottom w:val="single" w:sz="4" w:space="0" w:color="auto"/>
              <w:right w:val="single" w:sz="4" w:space="0" w:color="auto"/>
            </w:tcBorders>
            <w:noWrap/>
            <w:hideMark/>
          </w:tcPr>
          <w:p w14:paraId="2DBB4982" w14:textId="77777777" w:rsidR="00E6123B" w:rsidRPr="001B5635" w:rsidRDefault="00E6123B" w:rsidP="00E6123B">
            <w:pPr>
              <w:rPr>
                <w:rFonts w:ascii="Arial Narrow" w:hAnsi="Arial Narrow"/>
                <w:lang w:eastAsia="zh-CN"/>
              </w:rPr>
            </w:pPr>
            <w:r w:rsidRPr="001B5635">
              <w:rPr>
                <w:rFonts w:ascii="Arial Narrow" w:hAnsi="Arial Narrow"/>
              </w:rPr>
              <w:t>1.5</w:t>
            </w:r>
          </w:p>
        </w:tc>
        <w:tc>
          <w:tcPr>
            <w:tcW w:w="267" w:type="dxa"/>
            <w:tcBorders>
              <w:top w:val="nil"/>
              <w:left w:val="single" w:sz="4" w:space="0" w:color="auto"/>
              <w:bottom w:val="nil"/>
              <w:right w:val="single" w:sz="4" w:space="0" w:color="auto"/>
            </w:tcBorders>
            <w:noWrap/>
            <w:hideMark/>
          </w:tcPr>
          <w:p w14:paraId="04FFD606" w14:textId="77777777" w:rsidR="00E6123B" w:rsidRPr="001B563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65C256D4" w14:textId="77777777" w:rsidR="00E6123B" w:rsidRPr="001B5635" w:rsidRDefault="00E6123B" w:rsidP="00E6123B">
            <w:pPr>
              <w:rPr>
                <w:rFonts w:ascii="Arial Narrow" w:hAnsi="Arial Narrow"/>
                <w:lang w:eastAsia="zh-CN"/>
              </w:rPr>
            </w:pPr>
            <w:r w:rsidRPr="001B5635">
              <w:rPr>
                <w:rFonts w:ascii="Arial Narrow" w:hAnsi="Arial Narrow"/>
              </w:rPr>
              <w:t>Pandora North</w:t>
            </w:r>
          </w:p>
        </w:tc>
        <w:tc>
          <w:tcPr>
            <w:tcW w:w="708" w:type="dxa"/>
            <w:tcBorders>
              <w:top w:val="single" w:sz="4" w:space="0" w:color="auto"/>
              <w:left w:val="single" w:sz="4" w:space="0" w:color="auto"/>
              <w:bottom w:val="single" w:sz="4" w:space="0" w:color="auto"/>
              <w:right w:val="single" w:sz="4" w:space="0" w:color="auto"/>
            </w:tcBorders>
            <w:noWrap/>
          </w:tcPr>
          <w:p w14:paraId="6B89FB20" w14:textId="77777777" w:rsidR="00E6123B" w:rsidRPr="001B5635" w:rsidRDefault="00E6123B" w:rsidP="00E6123B">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2773DAFC" w14:textId="77777777" w:rsidR="00E6123B" w:rsidRPr="001B5635" w:rsidRDefault="00E6123B" w:rsidP="00E6123B">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22A4BFCE" w14:textId="77777777" w:rsidR="00E6123B" w:rsidRPr="001B5635" w:rsidRDefault="00E6123B" w:rsidP="00E6123B">
            <w:pPr>
              <w:rPr>
                <w:rFonts w:ascii="Arial Narrow" w:hAnsi="Arial Narrow"/>
                <w:lang w:eastAsia="zh-CN"/>
              </w:rPr>
            </w:pPr>
            <w:r w:rsidRPr="001B5635">
              <w:rPr>
                <w:rFonts w:ascii="Arial Narrow" w:hAnsi="Arial Narrow"/>
              </w:rPr>
              <w:t>13.1</w:t>
            </w:r>
          </w:p>
        </w:tc>
        <w:tc>
          <w:tcPr>
            <w:tcW w:w="709" w:type="dxa"/>
            <w:tcBorders>
              <w:top w:val="single" w:sz="4" w:space="0" w:color="auto"/>
              <w:left w:val="single" w:sz="4" w:space="0" w:color="auto"/>
              <w:bottom w:val="single" w:sz="4" w:space="0" w:color="auto"/>
              <w:right w:val="single" w:sz="4" w:space="0" w:color="auto"/>
            </w:tcBorders>
            <w:noWrap/>
          </w:tcPr>
          <w:p w14:paraId="255EF58A" w14:textId="77777777" w:rsidR="00E6123B" w:rsidRPr="001B5635" w:rsidRDefault="00E6123B" w:rsidP="00E6123B">
            <w:pPr>
              <w:rPr>
                <w:rFonts w:ascii="Arial Narrow" w:hAnsi="Arial Narrow"/>
                <w:lang w:eastAsia="zh-CN"/>
              </w:rPr>
            </w:pPr>
            <w:r w:rsidRPr="001B5635">
              <w:rPr>
                <w:rFonts w:ascii="Arial Narrow" w:hAnsi="Arial Narrow"/>
              </w:rPr>
              <w:t>1.6</w:t>
            </w:r>
          </w:p>
        </w:tc>
      </w:tr>
      <w:tr w:rsidR="001B5635" w:rsidRPr="001B5635" w14:paraId="4DF93B75"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2A02765C" w14:textId="77777777" w:rsidR="00E6123B" w:rsidRPr="001B5635" w:rsidRDefault="00E6123B" w:rsidP="00E6123B">
            <w:pPr>
              <w:rPr>
                <w:rFonts w:ascii="Arial Narrow" w:hAnsi="Arial Narrow"/>
                <w:lang w:eastAsia="zh-CN"/>
              </w:rPr>
            </w:pPr>
            <w:r w:rsidRPr="001B5635">
              <w:rPr>
                <w:rFonts w:ascii="Arial Narrow" w:hAnsi="Arial Narrow"/>
              </w:rPr>
              <w:t>Franklands West</w:t>
            </w:r>
          </w:p>
        </w:tc>
        <w:tc>
          <w:tcPr>
            <w:tcW w:w="694" w:type="dxa"/>
            <w:tcBorders>
              <w:top w:val="single" w:sz="4" w:space="0" w:color="auto"/>
              <w:left w:val="single" w:sz="4" w:space="0" w:color="auto"/>
              <w:bottom w:val="single" w:sz="4" w:space="0" w:color="auto"/>
              <w:right w:val="single" w:sz="4" w:space="0" w:color="auto"/>
            </w:tcBorders>
            <w:noWrap/>
            <w:hideMark/>
          </w:tcPr>
          <w:p w14:paraId="3B8376C6" w14:textId="77777777" w:rsidR="00E6123B" w:rsidRPr="001B5635" w:rsidRDefault="00E6123B" w:rsidP="00E6123B">
            <w:pPr>
              <w:rPr>
                <w:rFonts w:ascii="Arial Narrow" w:hAnsi="Arial Narrow"/>
                <w:lang w:eastAsia="zh-CN"/>
              </w:rPr>
            </w:pPr>
            <w:r w:rsidRPr="001B5635">
              <w:rPr>
                <w:rFonts w:ascii="Arial Narrow" w:hAnsi="Arial Narrow"/>
              </w:rPr>
              <w:t>11.4</w:t>
            </w:r>
          </w:p>
        </w:tc>
        <w:tc>
          <w:tcPr>
            <w:tcW w:w="694" w:type="dxa"/>
            <w:tcBorders>
              <w:top w:val="single" w:sz="4" w:space="0" w:color="auto"/>
              <w:left w:val="single" w:sz="4" w:space="0" w:color="auto"/>
              <w:bottom w:val="single" w:sz="4" w:space="0" w:color="auto"/>
              <w:right w:val="single" w:sz="4" w:space="0" w:color="auto"/>
            </w:tcBorders>
            <w:noWrap/>
            <w:hideMark/>
          </w:tcPr>
          <w:p w14:paraId="3D704B1E" w14:textId="77777777" w:rsidR="00E6123B" w:rsidRPr="001B5635" w:rsidRDefault="00E6123B" w:rsidP="00E6123B">
            <w:pPr>
              <w:rPr>
                <w:rFonts w:ascii="Arial Narrow" w:hAnsi="Arial Narrow"/>
                <w:lang w:eastAsia="zh-CN"/>
              </w:rPr>
            </w:pPr>
            <w:r w:rsidRPr="001B5635">
              <w:rPr>
                <w:rFonts w:ascii="Arial Narrow" w:hAnsi="Arial Narrow"/>
              </w:rPr>
              <w:t>3.4</w:t>
            </w:r>
          </w:p>
        </w:tc>
        <w:tc>
          <w:tcPr>
            <w:tcW w:w="694" w:type="dxa"/>
            <w:tcBorders>
              <w:top w:val="single" w:sz="4" w:space="0" w:color="auto"/>
              <w:left w:val="single" w:sz="4" w:space="0" w:color="auto"/>
              <w:bottom w:val="single" w:sz="4" w:space="0" w:color="auto"/>
              <w:right w:val="single" w:sz="4" w:space="0" w:color="auto"/>
            </w:tcBorders>
            <w:noWrap/>
            <w:hideMark/>
          </w:tcPr>
          <w:p w14:paraId="17FE98CA" w14:textId="77777777" w:rsidR="00E6123B" w:rsidRPr="001B5635" w:rsidRDefault="00E6123B" w:rsidP="00E6123B">
            <w:pPr>
              <w:rPr>
                <w:rFonts w:ascii="Arial Narrow" w:hAnsi="Arial Narrow"/>
                <w:lang w:eastAsia="zh-CN"/>
              </w:rPr>
            </w:pPr>
            <w:r w:rsidRPr="001B5635">
              <w:rPr>
                <w:rFonts w:ascii="Arial Narrow" w:hAnsi="Arial Narrow"/>
              </w:rPr>
              <w:t>15.8</w:t>
            </w:r>
          </w:p>
        </w:tc>
        <w:tc>
          <w:tcPr>
            <w:tcW w:w="701" w:type="dxa"/>
            <w:tcBorders>
              <w:top w:val="single" w:sz="4" w:space="0" w:color="auto"/>
              <w:left w:val="single" w:sz="4" w:space="0" w:color="auto"/>
              <w:bottom w:val="single" w:sz="4" w:space="0" w:color="auto"/>
              <w:right w:val="single" w:sz="4" w:space="0" w:color="auto"/>
            </w:tcBorders>
            <w:noWrap/>
            <w:hideMark/>
          </w:tcPr>
          <w:p w14:paraId="1D383D86" w14:textId="77777777" w:rsidR="00E6123B" w:rsidRPr="001B5635" w:rsidRDefault="00E6123B" w:rsidP="00E6123B">
            <w:pPr>
              <w:rPr>
                <w:rFonts w:ascii="Arial Narrow" w:hAnsi="Arial Narrow"/>
                <w:lang w:eastAsia="zh-CN"/>
              </w:rPr>
            </w:pPr>
            <w:r w:rsidRPr="001B5635">
              <w:rPr>
                <w:rFonts w:ascii="Arial Narrow" w:hAnsi="Arial Narrow"/>
              </w:rPr>
              <w:t>1.5</w:t>
            </w:r>
          </w:p>
        </w:tc>
        <w:tc>
          <w:tcPr>
            <w:tcW w:w="267" w:type="dxa"/>
            <w:tcBorders>
              <w:top w:val="nil"/>
              <w:left w:val="single" w:sz="4" w:space="0" w:color="auto"/>
              <w:bottom w:val="nil"/>
              <w:right w:val="single" w:sz="4" w:space="0" w:color="auto"/>
            </w:tcBorders>
            <w:noWrap/>
            <w:hideMark/>
          </w:tcPr>
          <w:p w14:paraId="119D03BE" w14:textId="77777777" w:rsidR="00E6123B" w:rsidRPr="001B563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4FA53D21" w14:textId="77777777" w:rsidR="00E6123B" w:rsidRPr="001B5635" w:rsidRDefault="00E6123B" w:rsidP="00E6123B">
            <w:pPr>
              <w:rPr>
                <w:rFonts w:ascii="Arial Narrow" w:hAnsi="Arial Narrow"/>
                <w:lang w:eastAsia="zh-CN"/>
              </w:rPr>
            </w:pPr>
            <w:r w:rsidRPr="001B5635">
              <w:rPr>
                <w:rFonts w:ascii="Arial Narrow" w:hAnsi="Arial Narrow"/>
              </w:rPr>
              <w:t>Pandora</w:t>
            </w:r>
          </w:p>
        </w:tc>
        <w:tc>
          <w:tcPr>
            <w:tcW w:w="708" w:type="dxa"/>
            <w:tcBorders>
              <w:top w:val="single" w:sz="4" w:space="0" w:color="auto"/>
              <w:left w:val="single" w:sz="4" w:space="0" w:color="auto"/>
              <w:bottom w:val="single" w:sz="4" w:space="0" w:color="auto"/>
              <w:right w:val="single" w:sz="4" w:space="0" w:color="auto"/>
            </w:tcBorders>
            <w:noWrap/>
          </w:tcPr>
          <w:p w14:paraId="1127022B" w14:textId="77777777" w:rsidR="00E6123B" w:rsidRPr="001B5635" w:rsidRDefault="00E6123B" w:rsidP="00E6123B">
            <w:pPr>
              <w:rPr>
                <w:rFonts w:ascii="Arial Narrow" w:hAnsi="Arial Narrow"/>
                <w:lang w:eastAsia="zh-CN"/>
              </w:rPr>
            </w:pPr>
            <w:r w:rsidRPr="001B5635">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208AE3AB" w14:textId="77777777" w:rsidR="00E6123B" w:rsidRPr="001B5635" w:rsidRDefault="00E6123B" w:rsidP="00E6123B">
            <w:pPr>
              <w:rPr>
                <w:rFonts w:ascii="Arial Narrow" w:hAnsi="Arial Narrow"/>
                <w:lang w:eastAsia="zh-CN"/>
              </w:rPr>
            </w:pPr>
            <w:r w:rsidRPr="001B5635">
              <w:rPr>
                <w:rFonts w:ascii="Arial Narrow" w:hAnsi="Arial Narrow"/>
              </w:rPr>
              <w:t>4.7</w:t>
            </w:r>
          </w:p>
        </w:tc>
        <w:tc>
          <w:tcPr>
            <w:tcW w:w="709" w:type="dxa"/>
            <w:tcBorders>
              <w:top w:val="single" w:sz="4" w:space="0" w:color="auto"/>
              <w:left w:val="single" w:sz="4" w:space="0" w:color="auto"/>
              <w:bottom w:val="single" w:sz="4" w:space="0" w:color="auto"/>
              <w:right w:val="single" w:sz="4" w:space="0" w:color="auto"/>
            </w:tcBorders>
            <w:noWrap/>
          </w:tcPr>
          <w:p w14:paraId="0B4CEBDE" w14:textId="77777777" w:rsidR="00E6123B" w:rsidRPr="001B5635" w:rsidRDefault="00E6123B" w:rsidP="00E6123B">
            <w:pPr>
              <w:rPr>
                <w:rFonts w:ascii="Arial Narrow" w:hAnsi="Arial Narrow"/>
                <w:lang w:eastAsia="zh-CN"/>
              </w:rPr>
            </w:pPr>
            <w:r w:rsidRPr="001B5635">
              <w:rPr>
                <w:rFonts w:ascii="Arial Narrow" w:hAnsi="Arial Narrow"/>
              </w:rPr>
              <w:t>16.2</w:t>
            </w:r>
          </w:p>
        </w:tc>
        <w:tc>
          <w:tcPr>
            <w:tcW w:w="709" w:type="dxa"/>
            <w:tcBorders>
              <w:top w:val="single" w:sz="4" w:space="0" w:color="auto"/>
              <w:left w:val="single" w:sz="4" w:space="0" w:color="auto"/>
              <w:bottom w:val="single" w:sz="4" w:space="0" w:color="auto"/>
              <w:right w:val="single" w:sz="4" w:space="0" w:color="auto"/>
            </w:tcBorders>
            <w:noWrap/>
          </w:tcPr>
          <w:p w14:paraId="210167D6" w14:textId="77777777" w:rsidR="00E6123B" w:rsidRPr="001B5635" w:rsidRDefault="00E6123B" w:rsidP="00E6123B">
            <w:pPr>
              <w:rPr>
                <w:rFonts w:ascii="Arial Narrow" w:hAnsi="Arial Narrow"/>
                <w:lang w:eastAsia="zh-CN"/>
              </w:rPr>
            </w:pPr>
            <w:r w:rsidRPr="001B5635">
              <w:rPr>
                <w:rFonts w:ascii="Arial Narrow" w:hAnsi="Arial Narrow"/>
              </w:rPr>
              <w:t>1.6</w:t>
            </w:r>
          </w:p>
        </w:tc>
      </w:tr>
      <w:tr w:rsidR="001B5635" w:rsidRPr="001B5635" w14:paraId="7E218FEF"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6D6AD29D" w14:textId="77777777" w:rsidR="00E6123B" w:rsidRPr="001B5635" w:rsidRDefault="00E6123B" w:rsidP="00E6123B">
            <w:pPr>
              <w:rPr>
                <w:rFonts w:ascii="Arial Narrow" w:hAnsi="Arial Narrow"/>
                <w:lang w:eastAsia="zh-CN"/>
              </w:rPr>
            </w:pPr>
            <w:r w:rsidRPr="001B5635">
              <w:rPr>
                <w:rFonts w:ascii="Arial Narrow" w:hAnsi="Arial Narrow"/>
              </w:rPr>
              <w:t>Green</w:t>
            </w:r>
          </w:p>
        </w:tc>
        <w:tc>
          <w:tcPr>
            <w:tcW w:w="694" w:type="dxa"/>
            <w:tcBorders>
              <w:top w:val="single" w:sz="4" w:space="0" w:color="auto"/>
              <w:left w:val="single" w:sz="4" w:space="0" w:color="auto"/>
              <w:bottom w:val="single" w:sz="4" w:space="0" w:color="auto"/>
              <w:right w:val="single" w:sz="4" w:space="0" w:color="auto"/>
            </w:tcBorders>
            <w:noWrap/>
            <w:hideMark/>
          </w:tcPr>
          <w:p w14:paraId="361ECC71" w14:textId="77777777" w:rsidR="00E6123B" w:rsidRPr="001B5635" w:rsidRDefault="00E6123B" w:rsidP="00E6123B">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5695EB2F" w14:textId="77777777" w:rsidR="00E6123B" w:rsidRPr="001B5635" w:rsidRDefault="00E6123B" w:rsidP="00E6123B">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506C45A3" w14:textId="77777777" w:rsidR="00E6123B" w:rsidRPr="001B5635" w:rsidRDefault="00E6123B" w:rsidP="00E6123B">
            <w:pPr>
              <w:rPr>
                <w:rFonts w:ascii="Arial Narrow" w:hAnsi="Arial Narrow"/>
                <w:lang w:eastAsia="zh-CN"/>
              </w:rPr>
            </w:pPr>
            <w:r w:rsidRPr="001B5635">
              <w:rPr>
                <w:rFonts w:ascii="Arial Narrow" w:hAnsi="Arial Narrow"/>
              </w:rPr>
              <w:t>11.9</w:t>
            </w:r>
          </w:p>
        </w:tc>
        <w:tc>
          <w:tcPr>
            <w:tcW w:w="701" w:type="dxa"/>
            <w:tcBorders>
              <w:top w:val="single" w:sz="4" w:space="0" w:color="auto"/>
              <w:left w:val="single" w:sz="4" w:space="0" w:color="auto"/>
              <w:bottom w:val="single" w:sz="4" w:space="0" w:color="auto"/>
              <w:right w:val="single" w:sz="4" w:space="0" w:color="auto"/>
            </w:tcBorders>
            <w:noWrap/>
            <w:hideMark/>
          </w:tcPr>
          <w:p w14:paraId="64B856B4" w14:textId="77777777" w:rsidR="00E6123B" w:rsidRPr="001B5635" w:rsidRDefault="00E6123B" w:rsidP="00E6123B">
            <w:pPr>
              <w:rPr>
                <w:rFonts w:ascii="Arial Narrow" w:hAnsi="Arial Narrow"/>
                <w:lang w:eastAsia="zh-CN"/>
              </w:rPr>
            </w:pPr>
            <w:r w:rsidRPr="001B5635">
              <w:rPr>
                <w:rFonts w:ascii="Arial Narrow" w:hAnsi="Arial Narrow"/>
              </w:rPr>
              <w:t>1.6</w:t>
            </w:r>
          </w:p>
        </w:tc>
        <w:tc>
          <w:tcPr>
            <w:tcW w:w="267" w:type="dxa"/>
            <w:tcBorders>
              <w:top w:val="nil"/>
              <w:left w:val="single" w:sz="4" w:space="0" w:color="auto"/>
              <w:bottom w:val="nil"/>
              <w:right w:val="single" w:sz="4" w:space="0" w:color="auto"/>
            </w:tcBorders>
            <w:noWrap/>
            <w:hideMark/>
          </w:tcPr>
          <w:p w14:paraId="0EE32517" w14:textId="77777777" w:rsidR="00E6123B" w:rsidRPr="001B563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3B1293D6" w14:textId="77777777" w:rsidR="00E6123B" w:rsidRPr="001B5635" w:rsidRDefault="00E6123B" w:rsidP="00E6123B">
            <w:pPr>
              <w:rPr>
                <w:rFonts w:ascii="Arial Narrow" w:hAnsi="Arial Narrow"/>
                <w:lang w:eastAsia="zh-CN"/>
              </w:rPr>
            </w:pPr>
            <w:r w:rsidRPr="001B5635">
              <w:rPr>
                <w:rFonts w:ascii="Arial Narrow" w:hAnsi="Arial Narrow"/>
              </w:rPr>
              <w:t>Peak</w:t>
            </w:r>
          </w:p>
        </w:tc>
        <w:tc>
          <w:tcPr>
            <w:tcW w:w="708" w:type="dxa"/>
            <w:tcBorders>
              <w:top w:val="single" w:sz="4" w:space="0" w:color="auto"/>
              <w:left w:val="single" w:sz="4" w:space="0" w:color="auto"/>
              <w:bottom w:val="single" w:sz="4" w:space="0" w:color="auto"/>
              <w:right w:val="single" w:sz="4" w:space="0" w:color="auto"/>
            </w:tcBorders>
            <w:noWrap/>
          </w:tcPr>
          <w:p w14:paraId="52BE4039" w14:textId="77777777" w:rsidR="00E6123B" w:rsidRPr="001B5635" w:rsidRDefault="00E6123B" w:rsidP="00E6123B">
            <w:pPr>
              <w:rPr>
                <w:rFonts w:ascii="Arial Narrow" w:hAnsi="Arial Narrow"/>
                <w:lang w:eastAsia="zh-CN"/>
              </w:rPr>
            </w:pPr>
            <w:r w:rsidRPr="001B5635">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67B2AF7C" w14:textId="77777777" w:rsidR="00E6123B" w:rsidRPr="001B5635" w:rsidRDefault="00E6123B" w:rsidP="00E6123B">
            <w:pPr>
              <w:rPr>
                <w:rFonts w:ascii="Arial Narrow" w:hAnsi="Arial Narrow"/>
                <w:lang w:eastAsia="zh-CN"/>
              </w:rPr>
            </w:pPr>
            <w:r w:rsidRPr="001B5635">
              <w:rPr>
                <w:rFonts w:ascii="Arial Narrow" w:hAnsi="Arial Narrow"/>
              </w:rPr>
              <w:t>6.3</w:t>
            </w:r>
          </w:p>
        </w:tc>
        <w:tc>
          <w:tcPr>
            <w:tcW w:w="709" w:type="dxa"/>
            <w:tcBorders>
              <w:top w:val="single" w:sz="4" w:space="0" w:color="auto"/>
              <w:left w:val="single" w:sz="4" w:space="0" w:color="auto"/>
              <w:bottom w:val="single" w:sz="4" w:space="0" w:color="auto"/>
              <w:right w:val="single" w:sz="4" w:space="0" w:color="auto"/>
            </w:tcBorders>
            <w:noWrap/>
          </w:tcPr>
          <w:p w14:paraId="4D030DA6" w14:textId="77777777" w:rsidR="00E6123B" w:rsidRPr="001B5635" w:rsidRDefault="00E6123B" w:rsidP="00E6123B">
            <w:pPr>
              <w:rPr>
                <w:rFonts w:ascii="Arial Narrow" w:hAnsi="Arial Narrow"/>
                <w:lang w:eastAsia="zh-CN"/>
              </w:rPr>
            </w:pPr>
            <w:r w:rsidRPr="001B5635">
              <w:rPr>
                <w:rFonts w:ascii="Arial Narrow" w:hAnsi="Arial Narrow"/>
              </w:rPr>
              <w:t>19.1</w:t>
            </w:r>
          </w:p>
        </w:tc>
        <w:tc>
          <w:tcPr>
            <w:tcW w:w="709" w:type="dxa"/>
            <w:tcBorders>
              <w:top w:val="single" w:sz="4" w:space="0" w:color="auto"/>
              <w:left w:val="single" w:sz="4" w:space="0" w:color="auto"/>
              <w:bottom w:val="single" w:sz="4" w:space="0" w:color="auto"/>
              <w:right w:val="single" w:sz="4" w:space="0" w:color="auto"/>
            </w:tcBorders>
            <w:noWrap/>
          </w:tcPr>
          <w:p w14:paraId="092F7ED6" w14:textId="77777777" w:rsidR="00E6123B" w:rsidRPr="001B5635" w:rsidRDefault="00E6123B" w:rsidP="00E6123B">
            <w:pPr>
              <w:rPr>
                <w:rFonts w:ascii="Arial Narrow" w:hAnsi="Arial Narrow"/>
                <w:lang w:eastAsia="zh-CN"/>
              </w:rPr>
            </w:pPr>
            <w:r w:rsidRPr="001B5635">
              <w:rPr>
                <w:rFonts w:ascii="Arial Narrow" w:hAnsi="Arial Narrow"/>
              </w:rPr>
              <w:t>2</w:t>
            </w:r>
          </w:p>
        </w:tc>
      </w:tr>
      <w:tr w:rsidR="001B5635" w:rsidRPr="001B5635" w14:paraId="3090836C"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689BCCDE" w14:textId="77777777" w:rsidR="00E6123B" w:rsidRPr="001B5635" w:rsidRDefault="00E6123B" w:rsidP="00E6123B">
            <w:pPr>
              <w:rPr>
                <w:rFonts w:ascii="Arial Narrow" w:hAnsi="Arial Narrow"/>
                <w:lang w:eastAsia="zh-CN"/>
              </w:rPr>
            </w:pPr>
            <w:r w:rsidRPr="001B5635">
              <w:rPr>
                <w:rFonts w:ascii="Arial Narrow" w:hAnsi="Arial Narrow"/>
              </w:rPr>
              <w:t>Havannah North</w:t>
            </w:r>
          </w:p>
        </w:tc>
        <w:tc>
          <w:tcPr>
            <w:tcW w:w="694" w:type="dxa"/>
            <w:tcBorders>
              <w:top w:val="single" w:sz="4" w:space="0" w:color="auto"/>
              <w:left w:val="single" w:sz="4" w:space="0" w:color="auto"/>
              <w:bottom w:val="single" w:sz="4" w:space="0" w:color="auto"/>
              <w:right w:val="single" w:sz="4" w:space="0" w:color="auto"/>
            </w:tcBorders>
            <w:noWrap/>
            <w:hideMark/>
          </w:tcPr>
          <w:p w14:paraId="3C0F4308" w14:textId="77777777" w:rsidR="00E6123B" w:rsidRPr="001B5635" w:rsidRDefault="00E6123B" w:rsidP="00E6123B">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308B5057" w14:textId="77777777" w:rsidR="00E6123B" w:rsidRPr="001B5635" w:rsidRDefault="00E6123B" w:rsidP="00E6123B">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6B95E98D" w14:textId="77777777" w:rsidR="00E6123B" w:rsidRPr="001B5635" w:rsidRDefault="00E6123B" w:rsidP="00E6123B">
            <w:pPr>
              <w:rPr>
                <w:rFonts w:ascii="Arial Narrow" w:hAnsi="Arial Narrow"/>
                <w:lang w:eastAsia="zh-CN"/>
              </w:rPr>
            </w:pPr>
            <w:r w:rsidRPr="001B5635">
              <w:rPr>
                <w:rFonts w:ascii="Arial Narrow" w:hAnsi="Arial Narrow"/>
              </w:rPr>
              <w:t>21.7</w:t>
            </w:r>
          </w:p>
        </w:tc>
        <w:tc>
          <w:tcPr>
            <w:tcW w:w="701" w:type="dxa"/>
            <w:tcBorders>
              <w:top w:val="single" w:sz="4" w:space="0" w:color="auto"/>
              <w:left w:val="single" w:sz="4" w:space="0" w:color="auto"/>
              <w:bottom w:val="single" w:sz="4" w:space="0" w:color="auto"/>
              <w:right w:val="single" w:sz="4" w:space="0" w:color="auto"/>
            </w:tcBorders>
            <w:noWrap/>
            <w:hideMark/>
          </w:tcPr>
          <w:p w14:paraId="712DBF27" w14:textId="77777777" w:rsidR="00E6123B" w:rsidRPr="001B5635" w:rsidRDefault="00E6123B" w:rsidP="00E6123B">
            <w:pPr>
              <w:rPr>
                <w:rFonts w:ascii="Arial Narrow" w:hAnsi="Arial Narrow"/>
                <w:lang w:eastAsia="zh-CN"/>
              </w:rPr>
            </w:pPr>
            <w:r w:rsidRPr="001B5635">
              <w:rPr>
                <w:rFonts w:ascii="Arial Narrow" w:hAnsi="Arial Narrow"/>
              </w:rPr>
              <w:t>1.5</w:t>
            </w:r>
          </w:p>
        </w:tc>
        <w:tc>
          <w:tcPr>
            <w:tcW w:w="267" w:type="dxa"/>
            <w:tcBorders>
              <w:top w:val="nil"/>
              <w:left w:val="single" w:sz="4" w:space="0" w:color="auto"/>
              <w:bottom w:val="single" w:sz="4" w:space="0" w:color="auto"/>
              <w:right w:val="single" w:sz="4" w:space="0" w:color="auto"/>
            </w:tcBorders>
            <w:noWrap/>
            <w:hideMark/>
          </w:tcPr>
          <w:p w14:paraId="030B41F8" w14:textId="77777777" w:rsidR="00E6123B" w:rsidRPr="001B563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61EE71E0" w14:textId="77777777" w:rsidR="00E6123B" w:rsidRPr="001B5635" w:rsidRDefault="00E6123B" w:rsidP="00E6123B">
            <w:pPr>
              <w:rPr>
                <w:rFonts w:ascii="Arial Narrow" w:hAnsi="Arial Narrow"/>
                <w:lang w:eastAsia="zh-CN"/>
              </w:rPr>
            </w:pPr>
            <w:r w:rsidRPr="001B5635">
              <w:rPr>
                <w:rFonts w:ascii="Arial Narrow" w:hAnsi="Arial Narrow"/>
              </w:rPr>
              <w:t>Pelican</w:t>
            </w:r>
          </w:p>
        </w:tc>
        <w:tc>
          <w:tcPr>
            <w:tcW w:w="708" w:type="dxa"/>
            <w:tcBorders>
              <w:top w:val="single" w:sz="4" w:space="0" w:color="auto"/>
              <w:left w:val="single" w:sz="4" w:space="0" w:color="auto"/>
              <w:bottom w:val="single" w:sz="4" w:space="0" w:color="auto"/>
              <w:right w:val="single" w:sz="4" w:space="0" w:color="auto"/>
            </w:tcBorders>
            <w:noWrap/>
          </w:tcPr>
          <w:p w14:paraId="139393B8" w14:textId="77777777" w:rsidR="00E6123B" w:rsidRPr="001B5635" w:rsidRDefault="00E6123B" w:rsidP="00E6123B">
            <w:pPr>
              <w:rPr>
                <w:rFonts w:ascii="Arial Narrow" w:hAnsi="Arial Narrow"/>
                <w:lang w:eastAsia="zh-CN"/>
              </w:rPr>
            </w:pPr>
            <w:r w:rsidRPr="001B5635">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1F96AF32" w14:textId="77777777" w:rsidR="00E6123B" w:rsidRPr="001B5635" w:rsidRDefault="00E6123B" w:rsidP="00E6123B">
            <w:pPr>
              <w:rPr>
                <w:rFonts w:ascii="Arial Narrow" w:hAnsi="Arial Narrow"/>
                <w:lang w:eastAsia="zh-CN"/>
              </w:rPr>
            </w:pPr>
            <w:r w:rsidRPr="001B5635">
              <w:rPr>
                <w:rFonts w:ascii="Arial Narrow" w:hAnsi="Arial Narrow"/>
              </w:rPr>
              <w:t>6.4</w:t>
            </w:r>
          </w:p>
        </w:tc>
        <w:tc>
          <w:tcPr>
            <w:tcW w:w="709" w:type="dxa"/>
            <w:tcBorders>
              <w:top w:val="single" w:sz="4" w:space="0" w:color="auto"/>
              <w:left w:val="single" w:sz="4" w:space="0" w:color="auto"/>
              <w:bottom w:val="single" w:sz="4" w:space="0" w:color="auto"/>
              <w:right w:val="single" w:sz="4" w:space="0" w:color="auto"/>
            </w:tcBorders>
            <w:noWrap/>
          </w:tcPr>
          <w:p w14:paraId="72CBD13A" w14:textId="77777777" w:rsidR="00E6123B" w:rsidRPr="001B5635" w:rsidRDefault="00E6123B" w:rsidP="00E6123B">
            <w:pPr>
              <w:rPr>
                <w:rFonts w:ascii="Arial Narrow" w:hAnsi="Arial Narrow"/>
                <w:lang w:eastAsia="zh-CN"/>
              </w:rPr>
            </w:pPr>
            <w:r w:rsidRPr="001B5635">
              <w:rPr>
                <w:rFonts w:ascii="Arial Narrow" w:hAnsi="Arial Narrow"/>
              </w:rPr>
              <w:t>18.8</w:t>
            </w:r>
          </w:p>
        </w:tc>
        <w:tc>
          <w:tcPr>
            <w:tcW w:w="709" w:type="dxa"/>
            <w:tcBorders>
              <w:top w:val="single" w:sz="4" w:space="0" w:color="auto"/>
              <w:left w:val="single" w:sz="4" w:space="0" w:color="auto"/>
              <w:bottom w:val="single" w:sz="4" w:space="0" w:color="auto"/>
              <w:right w:val="single" w:sz="4" w:space="0" w:color="auto"/>
            </w:tcBorders>
            <w:noWrap/>
          </w:tcPr>
          <w:p w14:paraId="10268387" w14:textId="77777777" w:rsidR="00E6123B" w:rsidRPr="001B5635" w:rsidRDefault="00E6123B" w:rsidP="00E6123B">
            <w:pPr>
              <w:rPr>
                <w:rFonts w:ascii="Arial Narrow" w:hAnsi="Arial Narrow"/>
                <w:lang w:eastAsia="zh-CN"/>
              </w:rPr>
            </w:pPr>
            <w:r w:rsidRPr="001B5635">
              <w:rPr>
                <w:rFonts w:ascii="Arial Narrow" w:hAnsi="Arial Narrow"/>
              </w:rPr>
              <w:t>2</w:t>
            </w:r>
          </w:p>
        </w:tc>
      </w:tr>
      <w:tr w:rsidR="001B5635" w:rsidRPr="001B5635" w14:paraId="6B42558D"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330E949C" w14:textId="77777777" w:rsidR="00E6123B" w:rsidRPr="001B5635" w:rsidRDefault="00E6123B" w:rsidP="00E6123B">
            <w:pPr>
              <w:rPr>
                <w:rFonts w:ascii="Arial Narrow" w:hAnsi="Arial Narrow"/>
                <w:lang w:eastAsia="zh-CN"/>
              </w:rPr>
            </w:pPr>
            <w:r w:rsidRPr="001B5635">
              <w:rPr>
                <w:rFonts w:ascii="Arial Narrow" w:hAnsi="Arial Narrow"/>
              </w:rPr>
              <w:t>Havannah</w:t>
            </w:r>
          </w:p>
        </w:tc>
        <w:tc>
          <w:tcPr>
            <w:tcW w:w="694" w:type="dxa"/>
            <w:tcBorders>
              <w:top w:val="single" w:sz="4" w:space="0" w:color="auto"/>
              <w:left w:val="single" w:sz="4" w:space="0" w:color="auto"/>
              <w:bottom w:val="single" w:sz="4" w:space="0" w:color="auto"/>
              <w:right w:val="single" w:sz="4" w:space="0" w:color="auto"/>
            </w:tcBorders>
            <w:noWrap/>
            <w:hideMark/>
          </w:tcPr>
          <w:p w14:paraId="5167FE5C" w14:textId="77777777" w:rsidR="00E6123B" w:rsidRPr="001B5635" w:rsidRDefault="00E6123B" w:rsidP="00E6123B">
            <w:pPr>
              <w:rPr>
                <w:rFonts w:ascii="Arial Narrow" w:hAnsi="Arial Narrow"/>
                <w:lang w:eastAsia="zh-CN"/>
              </w:rPr>
            </w:pPr>
            <w:r w:rsidRPr="001B5635">
              <w:rPr>
                <w:rFonts w:ascii="Arial Narrow" w:hAnsi="Arial Narrow"/>
              </w:rPr>
              <w:t>18.2</w:t>
            </w:r>
          </w:p>
        </w:tc>
        <w:tc>
          <w:tcPr>
            <w:tcW w:w="694" w:type="dxa"/>
            <w:tcBorders>
              <w:top w:val="single" w:sz="4" w:space="0" w:color="auto"/>
              <w:left w:val="single" w:sz="4" w:space="0" w:color="auto"/>
              <w:bottom w:val="single" w:sz="4" w:space="0" w:color="auto"/>
              <w:right w:val="single" w:sz="4" w:space="0" w:color="auto"/>
            </w:tcBorders>
            <w:noWrap/>
            <w:hideMark/>
          </w:tcPr>
          <w:p w14:paraId="1D95F986" w14:textId="77777777" w:rsidR="00E6123B" w:rsidRPr="001B5635" w:rsidRDefault="00E6123B" w:rsidP="00E6123B">
            <w:pPr>
              <w:rPr>
                <w:rFonts w:ascii="Arial Narrow" w:hAnsi="Arial Narrow"/>
                <w:lang w:eastAsia="zh-CN"/>
              </w:rPr>
            </w:pPr>
            <w:r w:rsidRPr="001B5635">
              <w:rPr>
                <w:rFonts w:ascii="Arial Narrow" w:hAnsi="Arial Narrow"/>
              </w:rPr>
              <w:t>3.4</w:t>
            </w:r>
          </w:p>
        </w:tc>
        <w:tc>
          <w:tcPr>
            <w:tcW w:w="694" w:type="dxa"/>
            <w:tcBorders>
              <w:top w:val="single" w:sz="4" w:space="0" w:color="auto"/>
              <w:left w:val="single" w:sz="4" w:space="0" w:color="auto"/>
              <w:bottom w:val="single" w:sz="4" w:space="0" w:color="auto"/>
              <w:right w:val="single" w:sz="4" w:space="0" w:color="auto"/>
            </w:tcBorders>
            <w:noWrap/>
            <w:hideMark/>
          </w:tcPr>
          <w:p w14:paraId="1D9244F3" w14:textId="77777777" w:rsidR="00E6123B" w:rsidRPr="001B5635" w:rsidRDefault="00E6123B" w:rsidP="00E6123B">
            <w:pPr>
              <w:rPr>
                <w:rFonts w:ascii="Arial Narrow" w:hAnsi="Arial Narrow"/>
                <w:lang w:eastAsia="zh-CN"/>
              </w:rPr>
            </w:pPr>
            <w:r w:rsidRPr="001B5635">
              <w:rPr>
                <w:rFonts w:ascii="Arial Narrow" w:hAnsi="Arial Narrow"/>
              </w:rPr>
              <w:t>25</w:t>
            </w:r>
          </w:p>
        </w:tc>
        <w:tc>
          <w:tcPr>
            <w:tcW w:w="701" w:type="dxa"/>
            <w:tcBorders>
              <w:top w:val="single" w:sz="4" w:space="0" w:color="auto"/>
              <w:left w:val="single" w:sz="4" w:space="0" w:color="auto"/>
              <w:bottom w:val="single" w:sz="4" w:space="0" w:color="auto"/>
              <w:right w:val="single" w:sz="4" w:space="0" w:color="auto"/>
            </w:tcBorders>
            <w:noWrap/>
            <w:hideMark/>
          </w:tcPr>
          <w:p w14:paraId="0F6BEBC2" w14:textId="77777777" w:rsidR="00E6123B" w:rsidRPr="001B5635" w:rsidRDefault="00E6123B" w:rsidP="00E6123B">
            <w:pPr>
              <w:rPr>
                <w:rFonts w:ascii="Arial Narrow" w:hAnsi="Arial Narrow"/>
                <w:lang w:eastAsia="zh-CN"/>
              </w:rPr>
            </w:pPr>
            <w:r w:rsidRPr="001B5635">
              <w:rPr>
                <w:rFonts w:ascii="Arial Narrow" w:hAnsi="Arial Narrow"/>
              </w:rPr>
              <w:t>1.6</w:t>
            </w:r>
          </w:p>
        </w:tc>
        <w:tc>
          <w:tcPr>
            <w:tcW w:w="267" w:type="dxa"/>
            <w:tcBorders>
              <w:top w:val="single" w:sz="4" w:space="0" w:color="auto"/>
              <w:left w:val="single" w:sz="4" w:space="0" w:color="auto"/>
              <w:bottom w:val="nil"/>
              <w:right w:val="single" w:sz="4" w:space="0" w:color="auto"/>
            </w:tcBorders>
            <w:noWrap/>
            <w:hideMark/>
          </w:tcPr>
          <w:p w14:paraId="3A401DE9" w14:textId="77777777" w:rsidR="00E6123B" w:rsidRPr="001B563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48C84278" w14:textId="77777777" w:rsidR="00E6123B" w:rsidRPr="001B5635" w:rsidRDefault="00E6123B" w:rsidP="00E6123B">
            <w:pPr>
              <w:rPr>
                <w:rFonts w:ascii="Arial Narrow" w:hAnsi="Arial Narrow"/>
                <w:lang w:eastAsia="zh-CN"/>
              </w:rPr>
            </w:pPr>
            <w:r w:rsidRPr="001B5635">
              <w:rPr>
                <w:rFonts w:ascii="Arial Narrow" w:hAnsi="Arial Narrow"/>
              </w:rPr>
              <w:t>Pine</w:t>
            </w:r>
          </w:p>
        </w:tc>
        <w:tc>
          <w:tcPr>
            <w:tcW w:w="708" w:type="dxa"/>
            <w:tcBorders>
              <w:top w:val="single" w:sz="4" w:space="0" w:color="auto"/>
              <w:left w:val="single" w:sz="4" w:space="0" w:color="auto"/>
              <w:bottom w:val="single" w:sz="4" w:space="0" w:color="auto"/>
              <w:right w:val="single" w:sz="4" w:space="0" w:color="auto"/>
            </w:tcBorders>
            <w:noWrap/>
          </w:tcPr>
          <w:p w14:paraId="45AAD2BB" w14:textId="77777777" w:rsidR="00E6123B" w:rsidRPr="001B5635" w:rsidRDefault="00E6123B" w:rsidP="00E6123B">
            <w:pPr>
              <w:rPr>
                <w:rFonts w:ascii="Arial Narrow" w:hAnsi="Arial Narrow"/>
                <w:lang w:eastAsia="zh-CN"/>
              </w:rPr>
            </w:pPr>
            <w:r w:rsidRPr="001B5635">
              <w:rPr>
                <w:rFonts w:ascii="Arial Narrow" w:hAnsi="Arial Narrow"/>
              </w:rPr>
              <w:t>18.3</w:t>
            </w:r>
          </w:p>
        </w:tc>
        <w:tc>
          <w:tcPr>
            <w:tcW w:w="709" w:type="dxa"/>
            <w:tcBorders>
              <w:top w:val="single" w:sz="4" w:space="0" w:color="auto"/>
              <w:left w:val="single" w:sz="4" w:space="0" w:color="auto"/>
              <w:bottom w:val="single" w:sz="4" w:space="0" w:color="auto"/>
              <w:right w:val="single" w:sz="4" w:space="0" w:color="auto"/>
            </w:tcBorders>
            <w:noWrap/>
          </w:tcPr>
          <w:p w14:paraId="4563214E" w14:textId="77777777" w:rsidR="00E6123B" w:rsidRPr="001B5635" w:rsidRDefault="00E6123B" w:rsidP="00E6123B">
            <w:pPr>
              <w:rPr>
                <w:rFonts w:ascii="Arial Narrow" w:hAnsi="Arial Narrow"/>
                <w:lang w:eastAsia="zh-CN"/>
              </w:rPr>
            </w:pPr>
            <w:r w:rsidRPr="001B5635">
              <w:rPr>
                <w:rFonts w:ascii="Arial Narrow" w:hAnsi="Arial Narrow"/>
              </w:rPr>
              <w:t>4.4</w:t>
            </w:r>
          </w:p>
        </w:tc>
        <w:tc>
          <w:tcPr>
            <w:tcW w:w="709" w:type="dxa"/>
            <w:tcBorders>
              <w:top w:val="single" w:sz="4" w:space="0" w:color="auto"/>
              <w:left w:val="single" w:sz="4" w:space="0" w:color="auto"/>
              <w:bottom w:val="single" w:sz="4" w:space="0" w:color="auto"/>
              <w:right w:val="single" w:sz="4" w:space="0" w:color="auto"/>
            </w:tcBorders>
            <w:noWrap/>
          </w:tcPr>
          <w:p w14:paraId="07019138" w14:textId="77777777" w:rsidR="00E6123B" w:rsidRPr="001B5635" w:rsidRDefault="00E6123B" w:rsidP="00E6123B">
            <w:pPr>
              <w:rPr>
                <w:rFonts w:ascii="Arial Narrow" w:hAnsi="Arial Narrow"/>
                <w:lang w:eastAsia="zh-CN"/>
              </w:rPr>
            </w:pPr>
            <w:r w:rsidRPr="001B5635">
              <w:rPr>
                <w:rFonts w:ascii="Arial Narrow" w:hAnsi="Arial Narrow"/>
              </w:rPr>
              <w:t>11.2</w:t>
            </w:r>
          </w:p>
        </w:tc>
        <w:tc>
          <w:tcPr>
            <w:tcW w:w="709" w:type="dxa"/>
            <w:tcBorders>
              <w:top w:val="single" w:sz="4" w:space="0" w:color="auto"/>
              <w:left w:val="single" w:sz="4" w:space="0" w:color="auto"/>
              <w:bottom w:val="single" w:sz="4" w:space="0" w:color="auto"/>
              <w:right w:val="single" w:sz="4" w:space="0" w:color="auto"/>
            </w:tcBorders>
            <w:noWrap/>
          </w:tcPr>
          <w:p w14:paraId="622CC9B0" w14:textId="77777777" w:rsidR="00E6123B" w:rsidRPr="001B5635" w:rsidRDefault="00E6123B" w:rsidP="00E6123B">
            <w:pPr>
              <w:rPr>
                <w:rFonts w:ascii="Arial Narrow" w:hAnsi="Arial Narrow"/>
                <w:lang w:eastAsia="zh-CN"/>
              </w:rPr>
            </w:pPr>
            <w:r w:rsidRPr="001B5635">
              <w:rPr>
                <w:rFonts w:ascii="Arial Narrow" w:hAnsi="Arial Narrow"/>
              </w:rPr>
              <w:t>1.6</w:t>
            </w:r>
          </w:p>
        </w:tc>
      </w:tr>
      <w:tr w:rsidR="001B5635" w:rsidRPr="001B5635" w14:paraId="65FFA99A"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6AD902A6" w14:textId="77777777" w:rsidR="00E6123B" w:rsidRPr="001B5635" w:rsidRDefault="00E6123B" w:rsidP="00E6123B">
            <w:pPr>
              <w:rPr>
                <w:rFonts w:ascii="Arial Narrow" w:hAnsi="Arial Narrow"/>
                <w:lang w:eastAsia="zh-CN"/>
              </w:rPr>
            </w:pPr>
            <w:r w:rsidRPr="001B5635">
              <w:rPr>
                <w:rFonts w:ascii="Arial Narrow" w:hAnsi="Arial Narrow"/>
              </w:rPr>
              <w:t>Hayman</w:t>
            </w:r>
          </w:p>
        </w:tc>
        <w:tc>
          <w:tcPr>
            <w:tcW w:w="694" w:type="dxa"/>
            <w:tcBorders>
              <w:top w:val="single" w:sz="4" w:space="0" w:color="auto"/>
              <w:left w:val="single" w:sz="4" w:space="0" w:color="auto"/>
              <w:bottom w:val="single" w:sz="4" w:space="0" w:color="auto"/>
              <w:right w:val="single" w:sz="4" w:space="0" w:color="auto"/>
            </w:tcBorders>
            <w:noWrap/>
            <w:hideMark/>
          </w:tcPr>
          <w:p w14:paraId="22478109" w14:textId="77777777" w:rsidR="00E6123B" w:rsidRPr="001B5635" w:rsidRDefault="00E6123B" w:rsidP="00E6123B">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2C2DEAF2" w14:textId="77777777" w:rsidR="00E6123B" w:rsidRPr="001B5635" w:rsidRDefault="00E6123B" w:rsidP="00E6123B">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789B13FC" w14:textId="77777777" w:rsidR="00E6123B" w:rsidRPr="001B5635" w:rsidRDefault="00E6123B" w:rsidP="00E6123B">
            <w:pPr>
              <w:rPr>
                <w:rFonts w:ascii="Arial Narrow" w:hAnsi="Arial Narrow"/>
                <w:lang w:eastAsia="zh-CN"/>
              </w:rPr>
            </w:pPr>
            <w:r w:rsidRPr="001B5635">
              <w:rPr>
                <w:rFonts w:ascii="Arial Narrow" w:hAnsi="Arial Narrow"/>
              </w:rPr>
              <w:t>9.4</w:t>
            </w:r>
          </w:p>
        </w:tc>
        <w:tc>
          <w:tcPr>
            <w:tcW w:w="701" w:type="dxa"/>
            <w:tcBorders>
              <w:top w:val="single" w:sz="4" w:space="0" w:color="auto"/>
              <w:left w:val="single" w:sz="4" w:space="0" w:color="auto"/>
              <w:bottom w:val="single" w:sz="4" w:space="0" w:color="auto"/>
              <w:right w:val="single" w:sz="4" w:space="0" w:color="auto"/>
            </w:tcBorders>
            <w:noWrap/>
            <w:hideMark/>
          </w:tcPr>
          <w:p w14:paraId="705AB516" w14:textId="77777777" w:rsidR="00E6123B" w:rsidRPr="001B5635" w:rsidRDefault="00E6123B" w:rsidP="00E6123B">
            <w:pPr>
              <w:rPr>
                <w:rFonts w:ascii="Arial Narrow" w:hAnsi="Arial Narrow"/>
                <w:lang w:eastAsia="zh-CN"/>
              </w:rPr>
            </w:pPr>
            <w:r w:rsidRPr="001B5635">
              <w:rPr>
                <w:rFonts w:ascii="Arial Narrow" w:hAnsi="Arial Narrow"/>
              </w:rPr>
              <w:t>1.4</w:t>
            </w:r>
          </w:p>
        </w:tc>
        <w:tc>
          <w:tcPr>
            <w:tcW w:w="267" w:type="dxa"/>
            <w:tcBorders>
              <w:top w:val="nil"/>
              <w:left w:val="single" w:sz="4" w:space="0" w:color="auto"/>
              <w:bottom w:val="nil"/>
              <w:right w:val="single" w:sz="4" w:space="0" w:color="auto"/>
            </w:tcBorders>
            <w:noWrap/>
            <w:hideMark/>
          </w:tcPr>
          <w:p w14:paraId="62E207A6" w14:textId="77777777" w:rsidR="00E6123B" w:rsidRPr="001B563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144C527C" w14:textId="77777777" w:rsidR="00E6123B" w:rsidRPr="001B5635" w:rsidRDefault="00E6123B" w:rsidP="00E6123B">
            <w:pPr>
              <w:rPr>
                <w:rFonts w:ascii="Arial Narrow" w:hAnsi="Arial Narrow"/>
                <w:lang w:eastAsia="zh-CN"/>
              </w:rPr>
            </w:pPr>
            <w:r w:rsidRPr="001B5635">
              <w:rPr>
                <w:rFonts w:ascii="Arial Narrow" w:hAnsi="Arial Narrow"/>
              </w:rPr>
              <w:t>Seaforth</w:t>
            </w:r>
          </w:p>
        </w:tc>
        <w:tc>
          <w:tcPr>
            <w:tcW w:w="708" w:type="dxa"/>
            <w:tcBorders>
              <w:top w:val="single" w:sz="4" w:space="0" w:color="auto"/>
              <w:left w:val="single" w:sz="4" w:space="0" w:color="auto"/>
              <w:bottom w:val="single" w:sz="4" w:space="0" w:color="auto"/>
              <w:right w:val="single" w:sz="4" w:space="0" w:color="auto"/>
            </w:tcBorders>
            <w:noWrap/>
          </w:tcPr>
          <w:p w14:paraId="4F051718" w14:textId="77777777" w:rsidR="00E6123B" w:rsidRPr="001B5635" w:rsidRDefault="00E6123B" w:rsidP="00E6123B">
            <w:pPr>
              <w:rPr>
                <w:rFonts w:ascii="Arial Narrow" w:hAnsi="Arial Narrow"/>
                <w:lang w:eastAsia="zh-CN"/>
              </w:rPr>
            </w:pPr>
            <w:r w:rsidRPr="001B5635">
              <w:rPr>
                <w:rFonts w:ascii="Arial Narrow" w:hAnsi="Arial Narrow"/>
              </w:rPr>
              <w:t>11.8</w:t>
            </w:r>
          </w:p>
        </w:tc>
        <w:tc>
          <w:tcPr>
            <w:tcW w:w="709" w:type="dxa"/>
            <w:tcBorders>
              <w:top w:val="single" w:sz="4" w:space="0" w:color="auto"/>
              <w:left w:val="single" w:sz="4" w:space="0" w:color="auto"/>
              <w:bottom w:val="single" w:sz="4" w:space="0" w:color="auto"/>
              <w:right w:val="single" w:sz="4" w:space="0" w:color="auto"/>
            </w:tcBorders>
            <w:noWrap/>
          </w:tcPr>
          <w:p w14:paraId="1153C877" w14:textId="77777777" w:rsidR="00E6123B" w:rsidRPr="001B5635" w:rsidRDefault="00E6123B" w:rsidP="00E6123B">
            <w:pPr>
              <w:rPr>
                <w:rFonts w:ascii="Arial Narrow" w:hAnsi="Arial Narrow"/>
                <w:lang w:eastAsia="zh-CN"/>
              </w:rPr>
            </w:pPr>
            <w:r w:rsidRPr="001B5635">
              <w:rPr>
                <w:rFonts w:ascii="Arial Narrow" w:hAnsi="Arial Narrow"/>
              </w:rPr>
              <w:t>3.4</w:t>
            </w:r>
          </w:p>
        </w:tc>
        <w:tc>
          <w:tcPr>
            <w:tcW w:w="709" w:type="dxa"/>
            <w:tcBorders>
              <w:top w:val="single" w:sz="4" w:space="0" w:color="auto"/>
              <w:left w:val="single" w:sz="4" w:space="0" w:color="auto"/>
              <w:bottom w:val="single" w:sz="4" w:space="0" w:color="auto"/>
              <w:right w:val="single" w:sz="4" w:space="0" w:color="auto"/>
            </w:tcBorders>
            <w:noWrap/>
          </w:tcPr>
          <w:p w14:paraId="563E416A" w14:textId="77777777" w:rsidR="00E6123B" w:rsidRPr="001B5635" w:rsidRDefault="00E6123B" w:rsidP="00E6123B">
            <w:pPr>
              <w:rPr>
                <w:rFonts w:ascii="Arial Narrow" w:hAnsi="Arial Narrow"/>
                <w:lang w:eastAsia="zh-CN"/>
              </w:rPr>
            </w:pPr>
            <w:r w:rsidRPr="001B5635">
              <w:rPr>
                <w:rFonts w:ascii="Arial Narrow" w:hAnsi="Arial Narrow"/>
              </w:rPr>
              <w:t>10.2</w:t>
            </w:r>
          </w:p>
        </w:tc>
        <w:tc>
          <w:tcPr>
            <w:tcW w:w="709" w:type="dxa"/>
            <w:tcBorders>
              <w:top w:val="single" w:sz="4" w:space="0" w:color="auto"/>
              <w:left w:val="single" w:sz="4" w:space="0" w:color="auto"/>
              <w:bottom w:val="single" w:sz="4" w:space="0" w:color="auto"/>
              <w:right w:val="single" w:sz="4" w:space="0" w:color="auto"/>
            </w:tcBorders>
            <w:noWrap/>
          </w:tcPr>
          <w:p w14:paraId="2D606496" w14:textId="77777777" w:rsidR="00E6123B" w:rsidRPr="001B5635" w:rsidRDefault="00E6123B" w:rsidP="00E6123B">
            <w:pPr>
              <w:rPr>
                <w:rFonts w:ascii="Arial Narrow" w:hAnsi="Arial Narrow"/>
                <w:lang w:eastAsia="zh-CN"/>
              </w:rPr>
            </w:pPr>
            <w:r w:rsidRPr="001B5635">
              <w:rPr>
                <w:rFonts w:ascii="Arial Narrow" w:hAnsi="Arial Narrow"/>
              </w:rPr>
              <w:t>1.4</w:t>
            </w:r>
          </w:p>
        </w:tc>
      </w:tr>
      <w:tr w:rsidR="001B5635" w:rsidRPr="001B5635" w14:paraId="7E30B6BC"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1C1A745B" w14:textId="77777777" w:rsidR="00E6123B" w:rsidRPr="001B5635" w:rsidRDefault="00E6123B" w:rsidP="00E6123B">
            <w:pPr>
              <w:rPr>
                <w:rFonts w:ascii="Arial Narrow" w:hAnsi="Arial Narrow"/>
                <w:lang w:eastAsia="zh-CN"/>
              </w:rPr>
            </w:pPr>
            <w:r w:rsidRPr="001B5635">
              <w:rPr>
                <w:rFonts w:ascii="Arial Narrow" w:hAnsi="Arial Narrow"/>
              </w:rPr>
              <w:t>High East</w:t>
            </w:r>
          </w:p>
        </w:tc>
        <w:tc>
          <w:tcPr>
            <w:tcW w:w="694" w:type="dxa"/>
            <w:tcBorders>
              <w:top w:val="single" w:sz="4" w:space="0" w:color="auto"/>
              <w:left w:val="single" w:sz="4" w:space="0" w:color="auto"/>
              <w:bottom w:val="single" w:sz="4" w:space="0" w:color="auto"/>
              <w:right w:val="single" w:sz="4" w:space="0" w:color="auto"/>
            </w:tcBorders>
            <w:noWrap/>
            <w:hideMark/>
          </w:tcPr>
          <w:p w14:paraId="3DEE80C1" w14:textId="77777777" w:rsidR="00E6123B" w:rsidRPr="001B5635" w:rsidRDefault="00E6123B" w:rsidP="00E6123B">
            <w:pPr>
              <w:rPr>
                <w:rFonts w:ascii="Arial Narrow" w:hAnsi="Arial Narrow"/>
                <w:lang w:eastAsia="zh-CN"/>
              </w:rPr>
            </w:pPr>
            <w:r w:rsidRPr="001B5635">
              <w:rPr>
                <w:rFonts w:ascii="Arial Narrow" w:hAnsi="Arial Narrow"/>
              </w:rPr>
              <w:t>11.2</w:t>
            </w:r>
          </w:p>
        </w:tc>
        <w:tc>
          <w:tcPr>
            <w:tcW w:w="694" w:type="dxa"/>
            <w:tcBorders>
              <w:top w:val="single" w:sz="4" w:space="0" w:color="auto"/>
              <w:left w:val="single" w:sz="4" w:space="0" w:color="auto"/>
              <w:bottom w:val="single" w:sz="4" w:space="0" w:color="auto"/>
              <w:right w:val="single" w:sz="4" w:space="0" w:color="auto"/>
            </w:tcBorders>
            <w:noWrap/>
            <w:hideMark/>
          </w:tcPr>
          <w:p w14:paraId="01CE40B6" w14:textId="77777777" w:rsidR="00E6123B" w:rsidRPr="001B5635" w:rsidRDefault="00E6123B" w:rsidP="00E6123B">
            <w:pPr>
              <w:rPr>
                <w:rFonts w:ascii="Arial Narrow" w:hAnsi="Arial Narrow"/>
                <w:lang w:eastAsia="zh-CN"/>
              </w:rPr>
            </w:pPr>
            <w:r w:rsidRPr="001B5635">
              <w:rPr>
                <w:rFonts w:ascii="Arial Narrow" w:hAnsi="Arial Narrow"/>
              </w:rPr>
              <w:t>3.4</w:t>
            </w:r>
          </w:p>
        </w:tc>
        <w:tc>
          <w:tcPr>
            <w:tcW w:w="694" w:type="dxa"/>
            <w:tcBorders>
              <w:top w:val="single" w:sz="4" w:space="0" w:color="auto"/>
              <w:left w:val="single" w:sz="4" w:space="0" w:color="auto"/>
              <w:bottom w:val="single" w:sz="4" w:space="0" w:color="auto"/>
              <w:right w:val="single" w:sz="4" w:space="0" w:color="auto"/>
            </w:tcBorders>
            <w:noWrap/>
            <w:hideMark/>
          </w:tcPr>
          <w:p w14:paraId="60953C5D" w14:textId="77777777" w:rsidR="00E6123B" w:rsidRPr="001B5635" w:rsidRDefault="00E6123B" w:rsidP="00E6123B">
            <w:pPr>
              <w:rPr>
                <w:rFonts w:ascii="Arial Narrow" w:hAnsi="Arial Narrow"/>
                <w:lang w:eastAsia="zh-CN"/>
              </w:rPr>
            </w:pPr>
            <w:r w:rsidRPr="001B5635">
              <w:rPr>
                <w:rFonts w:ascii="Arial Narrow" w:hAnsi="Arial Narrow"/>
              </w:rPr>
              <w:t>13</w:t>
            </w:r>
          </w:p>
        </w:tc>
        <w:tc>
          <w:tcPr>
            <w:tcW w:w="701" w:type="dxa"/>
            <w:tcBorders>
              <w:top w:val="single" w:sz="4" w:space="0" w:color="auto"/>
              <w:left w:val="single" w:sz="4" w:space="0" w:color="auto"/>
              <w:bottom w:val="single" w:sz="4" w:space="0" w:color="auto"/>
              <w:right w:val="single" w:sz="4" w:space="0" w:color="auto"/>
            </w:tcBorders>
            <w:noWrap/>
            <w:hideMark/>
          </w:tcPr>
          <w:p w14:paraId="5839A91B" w14:textId="77777777" w:rsidR="00E6123B" w:rsidRPr="001B5635" w:rsidRDefault="00E6123B" w:rsidP="00E6123B">
            <w:pPr>
              <w:rPr>
                <w:rFonts w:ascii="Arial Narrow" w:hAnsi="Arial Narrow"/>
                <w:lang w:eastAsia="zh-CN"/>
              </w:rPr>
            </w:pPr>
            <w:r w:rsidRPr="001B5635">
              <w:rPr>
                <w:rFonts w:ascii="Arial Narrow" w:hAnsi="Arial Narrow"/>
              </w:rPr>
              <w:t>1.4</w:t>
            </w:r>
          </w:p>
        </w:tc>
        <w:tc>
          <w:tcPr>
            <w:tcW w:w="267" w:type="dxa"/>
            <w:tcBorders>
              <w:top w:val="nil"/>
              <w:left w:val="single" w:sz="4" w:space="0" w:color="auto"/>
              <w:bottom w:val="nil"/>
              <w:right w:val="single" w:sz="4" w:space="0" w:color="auto"/>
            </w:tcBorders>
            <w:noWrap/>
            <w:hideMark/>
          </w:tcPr>
          <w:p w14:paraId="3719622D" w14:textId="77777777" w:rsidR="00E6123B" w:rsidRPr="001B563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63D82B5E" w14:textId="77777777" w:rsidR="00E6123B" w:rsidRPr="001B5635" w:rsidRDefault="00E6123B" w:rsidP="00E6123B">
            <w:pPr>
              <w:rPr>
                <w:rFonts w:ascii="Arial Narrow" w:hAnsi="Arial Narrow"/>
                <w:lang w:eastAsia="zh-CN"/>
              </w:rPr>
            </w:pPr>
            <w:r w:rsidRPr="001B5635">
              <w:rPr>
                <w:rFonts w:ascii="Arial Narrow" w:hAnsi="Arial Narrow"/>
              </w:rPr>
              <w:t>Shute Harbour</w:t>
            </w:r>
          </w:p>
        </w:tc>
        <w:tc>
          <w:tcPr>
            <w:tcW w:w="708" w:type="dxa"/>
            <w:tcBorders>
              <w:top w:val="single" w:sz="4" w:space="0" w:color="auto"/>
              <w:left w:val="single" w:sz="4" w:space="0" w:color="auto"/>
              <w:bottom w:val="single" w:sz="4" w:space="0" w:color="auto"/>
              <w:right w:val="single" w:sz="4" w:space="0" w:color="auto"/>
            </w:tcBorders>
            <w:noWrap/>
          </w:tcPr>
          <w:p w14:paraId="770498E0" w14:textId="77777777" w:rsidR="00E6123B" w:rsidRPr="001B5635" w:rsidRDefault="00E6123B" w:rsidP="00E6123B">
            <w:pPr>
              <w:rPr>
                <w:rFonts w:ascii="Arial Narrow" w:hAnsi="Arial Narrow"/>
                <w:lang w:eastAsia="zh-CN"/>
              </w:rPr>
            </w:pPr>
            <w:r w:rsidRPr="001B5635">
              <w:rPr>
                <w:rFonts w:ascii="Arial Narrow" w:hAnsi="Arial Narrow"/>
              </w:rPr>
              <w:t>17.6</w:t>
            </w:r>
          </w:p>
        </w:tc>
        <w:tc>
          <w:tcPr>
            <w:tcW w:w="709" w:type="dxa"/>
            <w:tcBorders>
              <w:top w:val="single" w:sz="4" w:space="0" w:color="auto"/>
              <w:left w:val="single" w:sz="4" w:space="0" w:color="auto"/>
              <w:bottom w:val="single" w:sz="4" w:space="0" w:color="auto"/>
              <w:right w:val="single" w:sz="4" w:space="0" w:color="auto"/>
            </w:tcBorders>
            <w:noWrap/>
          </w:tcPr>
          <w:p w14:paraId="0669C084" w14:textId="77777777" w:rsidR="00E6123B" w:rsidRPr="001B5635" w:rsidRDefault="00E6123B" w:rsidP="00E6123B">
            <w:pPr>
              <w:rPr>
                <w:rFonts w:ascii="Arial Narrow" w:hAnsi="Arial Narrow"/>
                <w:lang w:eastAsia="zh-CN"/>
              </w:rPr>
            </w:pPr>
            <w:r w:rsidRPr="001B5635">
              <w:rPr>
                <w:rFonts w:ascii="Arial Narrow" w:hAnsi="Arial Narrow"/>
              </w:rPr>
              <w:t>4.2</w:t>
            </w:r>
          </w:p>
        </w:tc>
        <w:tc>
          <w:tcPr>
            <w:tcW w:w="709" w:type="dxa"/>
            <w:tcBorders>
              <w:top w:val="single" w:sz="4" w:space="0" w:color="auto"/>
              <w:left w:val="single" w:sz="4" w:space="0" w:color="auto"/>
              <w:bottom w:val="single" w:sz="4" w:space="0" w:color="auto"/>
              <w:right w:val="single" w:sz="4" w:space="0" w:color="auto"/>
            </w:tcBorders>
            <w:noWrap/>
          </w:tcPr>
          <w:p w14:paraId="220B343D" w14:textId="77777777" w:rsidR="00E6123B" w:rsidRPr="001B5635" w:rsidRDefault="00E6123B" w:rsidP="00E6123B">
            <w:pPr>
              <w:rPr>
                <w:rFonts w:ascii="Arial Narrow" w:hAnsi="Arial Narrow"/>
                <w:lang w:eastAsia="zh-CN"/>
              </w:rPr>
            </w:pPr>
            <w:r w:rsidRPr="001B5635">
              <w:rPr>
                <w:rFonts w:ascii="Arial Narrow" w:hAnsi="Arial Narrow"/>
              </w:rPr>
              <w:t>11.7</w:t>
            </w:r>
          </w:p>
        </w:tc>
        <w:tc>
          <w:tcPr>
            <w:tcW w:w="709" w:type="dxa"/>
            <w:tcBorders>
              <w:top w:val="single" w:sz="4" w:space="0" w:color="auto"/>
              <w:left w:val="single" w:sz="4" w:space="0" w:color="auto"/>
              <w:bottom w:val="single" w:sz="4" w:space="0" w:color="auto"/>
              <w:right w:val="single" w:sz="4" w:space="0" w:color="auto"/>
            </w:tcBorders>
            <w:noWrap/>
          </w:tcPr>
          <w:p w14:paraId="22DFC90D" w14:textId="77777777" w:rsidR="00E6123B" w:rsidRPr="001B5635" w:rsidRDefault="00E6123B" w:rsidP="00E6123B">
            <w:pPr>
              <w:rPr>
                <w:rFonts w:ascii="Arial Narrow" w:hAnsi="Arial Narrow"/>
                <w:lang w:eastAsia="zh-CN"/>
              </w:rPr>
            </w:pPr>
            <w:r w:rsidRPr="001B5635">
              <w:rPr>
                <w:rFonts w:ascii="Arial Narrow" w:hAnsi="Arial Narrow"/>
              </w:rPr>
              <w:t>1.6</w:t>
            </w:r>
          </w:p>
        </w:tc>
      </w:tr>
      <w:tr w:rsidR="001B5635" w:rsidRPr="001B5635" w14:paraId="6D2B45D3"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2DDF4149" w14:textId="77777777" w:rsidR="00E6123B" w:rsidRPr="001B5635" w:rsidRDefault="00E6123B" w:rsidP="00E6123B">
            <w:pPr>
              <w:rPr>
                <w:rFonts w:ascii="Arial Narrow" w:hAnsi="Arial Narrow"/>
                <w:lang w:eastAsia="zh-CN"/>
              </w:rPr>
            </w:pPr>
            <w:r w:rsidRPr="001B5635">
              <w:rPr>
                <w:rFonts w:ascii="Arial Narrow" w:hAnsi="Arial Narrow"/>
              </w:rPr>
              <w:t>High West</w:t>
            </w:r>
          </w:p>
        </w:tc>
        <w:tc>
          <w:tcPr>
            <w:tcW w:w="694" w:type="dxa"/>
            <w:tcBorders>
              <w:top w:val="single" w:sz="4" w:space="0" w:color="auto"/>
              <w:left w:val="single" w:sz="4" w:space="0" w:color="auto"/>
              <w:bottom w:val="single" w:sz="4" w:space="0" w:color="auto"/>
              <w:right w:val="single" w:sz="4" w:space="0" w:color="auto"/>
            </w:tcBorders>
            <w:noWrap/>
            <w:hideMark/>
          </w:tcPr>
          <w:p w14:paraId="68D85214" w14:textId="77777777" w:rsidR="00E6123B" w:rsidRPr="001B5635" w:rsidRDefault="00E6123B" w:rsidP="00E6123B">
            <w:pPr>
              <w:rPr>
                <w:rFonts w:ascii="Arial Narrow" w:hAnsi="Arial Narrow"/>
                <w:lang w:eastAsia="zh-CN"/>
              </w:rPr>
            </w:pPr>
            <w:r w:rsidRPr="001B5635">
              <w:rPr>
                <w:rFonts w:ascii="Arial Narrow" w:hAnsi="Arial Narrow"/>
              </w:rPr>
              <w:t>22.4</w:t>
            </w:r>
          </w:p>
        </w:tc>
        <w:tc>
          <w:tcPr>
            <w:tcW w:w="694" w:type="dxa"/>
            <w:tcBorders>
              <w:top w:val="single" w:sz="4" w:space="0" w:color="auto"/>
              <w:left w:val="single" w:sz="4" w:space="0" w:color="auto"/>
              <w:bottom w:val="single" w:sz="4" w:space="0" w:color="auto"/>
              <w:right w:val="single" w:sz="4" w:space="0" w:color="auto"/>
            </w:tcBorders>
            <w:noWrap/>
            <w:hideMark/>
          </w:tcPr>
          <w:p w14:paraId="4DD1AAD2" w14:textId="77777777" w:rsidR="00E6123B" w:rsidRPr="001B5635" w:rsidRDefault="00E6123B" w:rsidP="00E6123B">
            <w:pPr>
              <w:rPr>
                <w:rFonts w:ascii="Arial Narrow" w:hAnsi="Arial Narrow"/>
                <w:lang w:eastAsia="zh-CN"/>
              </w:rPr>
            </w:pPr>
            <w:r w:rsidRPr="001B5635">
              <w:rPr>
                <w:rFonts w:ascii="Arial Narrow" w:hAnsi="Arial Narrow"/>
              </w:rPr>
              <w:t>4.4</w:t>
            </w:r>
          </w:p>
        </w:tc>
        <w:tc>
          <w:tcPr>
            <w:tcW w:w="694" w:type="dxa"/>
            <w:tcBorders>
              <w:top w:val="single" w:sz="4" w:space="0" w:color="auto"/>
              <w:left w:val="single" w:sz="4" w:space="0" w:color="auto"/>
              <w:bottom w:val="single" w:sz="4" w:space="0" w:color="auto"/>
              <w:right w:val="single" w:sz="4" w:space="0" w:color="auto"/>
            </w:tcBorders>
            <w:noWrap/>
            <w:hideMark/>
          </w:tcPr>
          <w:p w14:paraId="7F932728" w14:textId="77777777" w:rsidR="00E6123B" w:rsidRPr="001B5635" w:rsidRDefault="00E6123B" w:rsidP="00E6123B">
            <w:pPr>
              <w:rPr>
                <w:rFonts w:ascii="Arial Narrow" w:hAnsi="Arial Narrow"/>
                <w:lang w:eastAsia="zh-CN"/>
              </w:rPr>
            </w:pPr>
            <w:r w:rsidRPr="001B5635">
              <w:rPr>
                <w:rFonts w:ascii="Arial Narrow" w:hAnsi="Arial Narrow"/>
              </w:rPr>
              <w:t>12.1</w:t>
            </w:r>
          </w:p>
        </w:tc>
        <w:tc>
          <w:tcPr>
            <w:tcW w:w="701" w:type="dxa"/>
            <w:tcBorders>
              <w:top w:val="single" w:sz="4" w:space="0" w:color="auto"/>
              <w:left w:val="single" w:sz="4" w:space="0" w:color="auto"/>
              <w:bottom w:val="single" w:sz="4" w:space="0" w:color="auto"/>
              <w:right w:val="single" w:sz="4" w:space="0" w:color="auto"/>
            </w:tcBorders>
            <w:noWrap/>
            <w:hideMark/>
          </w:tcPr>
          <w:p w14:paraId="4B5226D0" w14:textId="77777777" w:rsidR="00E6123B" w:rsidRPr="001B5635" w:rsidRDefault="00E6123B" w:rsidP="00E6123B">
            <w:pPr>
              <w:rPr>
                <w:rFonts w:ascii="Arial Narrow" w:hAnsi="Arial Narrow"/>
                <w:lang w:eastAsia="zh-CN"/>
              </w:rPr>
            </w:pPr>
            <w:r w:rsidRPr="001B5635">
              <w:rPr>
                <w:rFonts w:ascii="Arial Narrow" w:hAnsi="Arial Narrow"/>
              </w:rPr>
              <w:t>1.6</w:t>
            </w:r>
          </w:p>
        </w:tc>
        <w:tc>
          <w:tcPr>
            <w:tcW w:w="267" w:type="dxa"/>
            <w:tcBorders>
              <w:top w:val="nil"/>
              <w:left w:val="single" w:sz="4" w:space="0" w:color="auto"/>
              <w:bottom w:val="nil"/>
              <w:right w:val="single" w:sz="4" w:space="0" w:color="auto"/>
            </w:tcBorders>
            <w:noWrap/>
            <w:hideMark/>
          </w:tcPr>
          <w:p w14:paraId="29A7C804" w14:textId="77777777" w:rsidR="00E6123B" w:rsidRPr="001B563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24B0FBC0" w14:textId="77777777" w:rsidR="00E6123B" w:rsidRPr="001B5635" w:rsidRDefault="00E6123B" w:rsidP="00E6123B">
            <w:pPr>
              <w:rPr>
                <w:rFonts w:ascii="Arial Narrow" w:hAnsi="Arial Narrow"/>
                <w:lang w:eastAsia="zh-CN"/>
              </w:rPr>
            </w:pPr>
            <w:r w:rsidRPr="001B5635">
              <w:rPr>
                <w:rFonts w:ascii="Arial Narrow" w:hAnsi="Arial Narrow"/>
              </w:rPr>
              <w:t>Snapper North</w:t>
            </w:r>
          </w:p>
        </w:tc>
        <w:tc>
          <w:tcPr>
            <w:tcW w:w="708" w:type="dxa"/>
            <w:tcBorders>
              <w:top w:val="single" w:sz="4" w:space="0" w:color="auto"/>
              <w:left w:val="single" w:sz="4" w:space="0" w:color="auto"/>
              <w:bottom w:val="single" w:sz="4" w:space="0" w:color="auto"/>
              <w:right w:val="single" w:sz="4" w:space="0" w:color="auto"/>
            </w:tcBorders>
            <w:noWrap/>
          </w:tcPr>
          <w:p w14:paraId="34B6B45D" w14:textId="77777777" w:rsidR="00E6123B" w:rsidRPr="001B5635" w:rsidRDefault="00E6123B" w:rsidP="00E6123B">
            <w:pPr>
              <w:rPr>
                <w:rFonts w:ascii="Arial Narrow" w:hAnsi="Arial Narrow"/>
                <w:lang w:eastAsia="zh-CN"/>
              </w:rPr>
            </w:pPr>
            <w:r w:rsidRPr="001B5635">
              <w:rPr>
                <w:rFonts w:ascii="Arial Narrow" w:hAnsi="Arial Narrow"/>
              </w:rPr>
              <w:t>18.7</w:t>
            </w:r>
          </w:p>
        </w:tc>
        <w:tc>
          <w:tcPr>
            <w:tcW w:w="709" w:type="dxa"/>
            <w:tcBorders>
              <w:top w:val="single" w:sz="4" w:space="0" w:color="auto"/>
              <w:left w:val="single" w:sz="4" w:space="0" w:color="auto"/>
              <w:bottom w:val="single" w:sz="4" w:space="0" w:color="auto"/>
              <w:right w:val="single" w:sz="4" w:space="0" w:color="auto"/>
            </w:tcBorders>
            <w:noWrap/>
          </w:tcPr>
          <w:p w14:paraId="603235CA" w14:textId="77777777" w:rsidR="00E6123B" w:rsidRPr="001B5635" w:rsidRDefault="00E6123B" w:rsidP="00E6123B">
            <w:pPr>
              <w:rPr>
                <w:rFonts w:ascii="Arial Narrow" w:hAnsi="Arial Narrow"/>
                <w:lang w:eastAsia="zh-CN"/>
              </w:rPr>
            </w:pPr>
            <w:r w:rsidRPr="001B5635">
              <w:rPr>
                <w:rFonts w:ascii="Arial Narrow" w:hAnsi="Arial Narrow"/>
              </w:rPr>
              <w:t>4.4</w:t>
            </w:r>
          </w:p>
        </w:tc>
        <w:tc>
          <w:tcPr>
            <w:tcW w:w="709" w:type="dxa"/>
            <w:tcBorders>
              <w:top w:val="single" w:sz="4" w:space="0" w:color="auto"/>
              <w:left w:val="single" w:sz="4" w:space="0" w:color="auto"/>
              <w:bottom w:val="single" w:sz="4" w:space="0" w:color="auto"/>
              <w:right w:val="single" w:sz="4" w:space="0" w:color="auto"/>
            </w:tcBorders>
            <w:noWrap/>
          </w:tcPr>
          <w:p w14:paraId="014676B4" w14:textId="77777777" w:rsidR="00E6123B" w:rsidRPr="001B5635" w:rsidRDefault="00E6123B" w:rsidP="00E6123B">
            <w:pPr>
              <w:rPr>
                <w:rFonts w:ascii="Arial Narrow" w:hAnsi="Arial Narrow"/>
                <w:lang w:eastAsia="zh-CN"/>
              </w:rPr>
            </w:pPr>
            <w:r w:rsidRPr="001B5635">
              <w:rPr>
                <w:rFonts w:ascii="Arial Narrow" w:hAnsi="Arial Narrow"/>
              </w:rPr>
              <w:t>11.3</w:t>
            </w:r>
          </w:p>
        </w:tc>
        <w:tc>
          <w:tcPr>
            <w:tcW w:w="709" w:type="dxa"/>
            <w:tcBorders>
              <w:top w:val="single" w:sz="4" w:space="0" w:color="auto"/>
              <w:left w:val="single" w:sz="4" w:space="0" w:color="auto"/>
              <w:bottom w:val="single" w:sz="4" w:space="0" w:color="auto"/>
              <w:right w:val="single" w:sz="4" w:space="0" w:color="auto"/>
            </w:tcBorders>
            <w:noWrap/>
          </w:tcPr>
          <w:p w14:paraId="07449596" w14:textId="77777777" w:rsidR="00E6123B" w:rsidRPr="001B5635" w:rsidRDefault="00E6123B" w:rsidP="00E6123B">
            <w:pPr>
              <w:rPr>
                <w:rFonts w:ascii="Arial Narrow" w:hAnsi="Arial Narrow"/>
                <w:lang w:eastAsia="zh-CN"/>
              </w:rPr>
            </w:pPr>
            <w:r w:rsidRPr="001B5635">
              <w:rPr>
                <w:rFonts w:ascii="Arial Narrow" w:hAnsi="Arial Narrow"/>
              </w:rPr>
              <w:t>1.6</w:t>
            </w:r>
          </w:p>
        </w:tc>
      </w:tr>
      <w:tr w:rsidR="001B5635" w:rsidRPr="001B5635" w14:paraId="2D6527E3"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3022AD0C" w14:textId="77777777" w:rsidR="00E6123B" w:rsidRPr="001B5635" w:rsidRDefault="00E6123B" w:rsidP="00E6123B">
            <w:pPr>
              <w:rPr>
                <w:rFonts w:ascii="Arial Narrow" w:hAnsi="Arial Narrow"/>
                <w:lang w:eastAsia="zh-CN"/>
              </w:rPr>
            </w:pPr>
            <w:r w:rsidRPr="001B5635">
              <w:rPr>
                <w:rFonts w:ascii="Arial Narrow" w:hAnsi="Arial Narrow"/>
              </w:rPr>
              <w:t>Hook</w:t>
            </w:r>
          </w:p>
        </w:tc>
        <w:tc>
          <w:tcPr>
            <w:tcW w:w="694" w:type="dxa"/>
            <w:tcBorders>
              <w:top w:val="single" w:sz="4" w:space="0" w:color="auto"/>
              <w:left w:val="single" w:sz="4" w:space="0" w:color="auto"/>
              <w:bottom w:val="single" w:sz="4" w:space="0" w:color="auto"/>
              <w:right w:val="single" w:sz="4" w:space="0" w:color="auto"/>
            </w:tcBorders>
            <w:noWrap/>
            <w:hideMark/>
          </w:tcPr>
          <w:p w14:paraId="3D556B1E" w14:textId="77777777" w:rsidR="00E6123B" w:rsidRPr="001B5635" w:rsidRDefault="00E6123B" w:rsidP="00E6123B">
            <w:pPr>
              <w:rPr>
                <w:rFonts w:ascii="Arial Narrow" w:hAnsi="Arial Narrow"/>
                <w:lang w:eastAsia="zh-CN"/>
              </w:rPr>
            </w:pPr>
            <w:r w:rsidRPr="001B5635">
              <w:rPr>
                <w:rFonts w:ascii="Arial Narrow" w:hAnsi="Arial Narrow"/>
              </w:rPr>
              <w:t>9.3</w:t>
            </w:r>
          </w:p>
        </w:tc>
        <w:tc>
          <w:tcPr>
            <w:tcW w:w="694" w:type="dxa"/>
            <w:tcBorders>
              <w:top w:val="single" w:sz="4" w:space="0" w:color="auto"/>
              <w:left w:val="single" w:sz="4" w:space="0" w:color="auto"/>
              <w:bottom w:val="single" w:sz="4" w:space="0" w:color="auto"/>
              <w:right w:val="single" w:sz="4" w:space="0" w:color="auto"/>
            </w:tcBorders>
            <w:noWrap/>
            <w:hideMark/>
          </w:tcPr>
          <w:p w14:paraId="10FB3BDD" w14:textId="77777777" w:rsidR="00E6123B" w:rsidRPr="001B5635" w:rsidRDefault="00E6123B" w:rsidP="00E6123B">
            <w:pPr>
              <w:rPr>
                <w:rFonts w:ascii="Arial Narrow" w:hAnsi="Arial Narrow"/>
                <w:lang w:eastAsia="zh-CN"/>
              </w:rPr>
            </w:pPr>
            <w:r w:rsidRPr="001B5635">
              <w:rPr>
                <w:rFonts w:ascii="Arial Narrow" w:hAnsi="Arial Narrow"/>
              </w:rPr>
              <w:t>3.4</w:t>
            </w:r>
          </w:p>
        </w:tc>
        <w:tc>
          <w:tcPr>
            <w:tcW w:w="694" w:type="dxa"/>
            <w:tcBorders>
              <w:top w:val="single" w:sz="4" w:space="0" w:color="auto"/>
              <w:left w:val="single" w:sz="4" w:space="0" w:color="auto"/>
              <w:bottom w:val="single" w:sz="4" w:space="0" w:color="auto"/>
              <w:right w:val="single" w:sz="4" w:space="0" w:color="auto"/>
            </w:tcBorders>
            <w:noWrap/>
            <w:hideMark/>
          </w:tcPr>
          <w:p w14:paraId="11343839" w14:textId="77777777" w:rsidR="00E6123B" w:rsidRPr="001B5635" w:rsidRDefault="00E6123B" w:rsidP="00E6123B">
            <w:pPr>
              <w:rPr>
                <w:rFonts w:ascii="Arial Narrow" w:hAnsi="Arial Narrow"/>
                <w:lang w:eastAsia="zh-CN"/>
              </w:rPr>
            </w:pPr>
            <w:r w:rsidRPr="001B5635">
              <w:rPr>
                <w:rFonts w:ascii="Arial Narrow" w:hAnsi="Arial Narrow"/>
              </w:rPr>
              <w:t>8.1</w:t>
            </w:r>
          </w:p>
        </w:tc>
        <w:tc>
          <w:tcPr>
            <w:tcW w:w="701" w:type="dxa"/>
            <w:tcBorders>
              <w:top w:val="single" w:sz="4" w:space="0" w:color="auto"/>
              <w:left w:val="single" w:sz="4" w:space="0" w:color="auto"/>
              <w:bottom w:val="single" w:sz="4" w:space="0" w:color="auto"/>
              <w:right w:val="single" w:sz="4" w:space="0" w:color="auto"/>
            </w:tcBorders>
            <w:noWrap/>
            <w:hideMark/>
          </w:tcPr>
          <w:p w14:paraId="1B5D9942" w14:textId="77777777" w:rsidR="00E6123B" w:rsidRPr="001B5635" w:rsidRDefault="00E6123B" w:rsidP="00E6123B">
            <w:pPr>
              <w:rPr>
                <w:rFonts w:ascii="Arial Narrow" w:hAnsi="Arial Narrow"/>
                <w:lang w:eastAsia="zh-CN"/>
              </w:rPr>
            </w:pPr>
            <w:r w:rsidRPr="001B5635">
              <w:rPr>
                <w:rFonts w:ascii="Arial Narrow" w:hAnsi="Arial Narrow"/>
              </w:rPr>
              <w:t>1.4</w:t>
            </w:r>
          </w:p>
        </w:tc>
        <w:tc>
          <w:tcPr>
            <w:tcW w:w="267" w:type="dxa"/>
            <w:tcBorders>
              <w:top w:val="nil"/>
              <w:left w:val="single" w:sz="4" w:space="0" w:color="auto"/>
              <w:bottom w:val="nil"/>
              <w:right w:val="single" w:sz="4" w:space="0" w:color="auto"/>
            </w:tcBorders>
            <w:noWrap/>
            <w:hideMark/>
          </w:tcPr>
          <w:p w14:paraId="70CD3571" w14:textId="77777777" w:rsidR="00E6123B" w:rsidRPr="001B563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0B88204C" w14:textId="77777777" w:rsidR="00E6123B" w:rsidRPr="001B5635" w:rsidRDefault="00E6123B" w:rsidP="00E6123B">
            <w:pPr>
              <w:rPr>
                <w:rFonts w:ascii="Arial Narrow" w:hAnsi="Arial Narrow"/>
                <w:lang w:eastAsia="zh-CN"/>
              </w:rPr>
            </w:pPr>
            <w:r w:rsidRPr="001B5635">
              <w:rPr>
                <w:rFonts w:ascii="Arial Narrow" w:hAnsi="Arial Narrow"/>
              </w:rPr>
              <w:t>Snapper South</w:t>
            </w:r>
          </w:p>
        </w:tc>
        <w:tc>
          <w:tcPr>
            <w:tcW w:w="708" w:type="dxa"/>
            <w:tcBorders>
              <w:top w:val="single" w:sz="4" w:space="0" w:color="auto"/>
              <w:left w:val="single" w:sz="4" w:space="0" w:color="auto"/>
              <w:bottom w:val="single" w:sz="4" w:space="0" w:color="auto"/>
              <w:right w:val="single" w:sz="4" w:space="0" w:color="auto"/>
            </w:tcBorders>
            <w:noWrap/>
          </w:tcPr>
          <w:p w14:paraId="004BBAFC" w14:textId="77777777" w:rsidR="00E6123B" w:rsidRPr="001B5635" w:rsidRDefault="00E6123B" w:rsidP="00E6123B">
            <w:pPr>
              <w:rPr>
                <w:rFonts w:ascii="Arial Narrow" w:hAnsi="Arial Narrow"/>
                <w:lang w:eastAsia="zh-CN"/>
              </w:rPr>
            </w:pPr>
            <w:r w:rsidRPr="001B5635">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745111F0" w14:textId="77777777" w:rsidR="00E6123B" w:rsidRPr="001B5635" w:rsidRDefault="00E6123B" w:rsidP="00E6123B">
            <w:pPr>
              <w:rPr>
                <w:rFonts w:ascii="Arial Narrow" w:hAnsi="Arial Narrow"/>
                <w:lang w:eastAsia="zh-CN"/>
              </w:rPr>
            </w:pPr>
            <w:r w:rsidRPr="001B5635">
              <w:rPr>
                <w:rFonts w:ascii="Arial Narrow" w:hAnsi="Arial Narrow"/>
              </w:rPr>
              <w:t>4.4</w:t>
            </w:r>
          </w:p>
        </w:tc>
        <w:tc>
          <w:tcPr>
            <w:tcW w:w="709" w:type="dxa"/>
            <w:tcBorders>
              <w:top w:val="single" w:sz="4" w:space="0" w:color="auto"/>
              <w:left w:val="single" w:sz="4" w:space="0" w:color="auto"/>
              <w:bottom w:val="single" w:sz="4" w:space="0" w:color="auto"/>
              <w:right w:val="single" w:sz="4" w:space="0" w:color="auto"/>
            </w:tcBorders>
            <w:noWrap/>
          </w:tcPr>
          <w:p w14:paraId="652A0D76" w14:textId="77777777" w:rsidR="00E6123B" w:rsidRPr="001B5635" w:rsidRDefault="00E6123B" w:rsidP="00E6123B">
            <w:pPr>
              <w:rPr>
                <w:rFonts w:ascii="Arial Narrow" w:hAnsi="Arial Narrow"/>
                <w:lang w:eastAsia="zh-CN"/>
              </w:rPr>
            </w:pPr>
            <w:r w:rsidRPr="001B5635">
              <w:rPr>
                <w:rFonts w:ascii="Arial Narrow" w:hAnsi="Arial Narrow"/>
              </w:rPr>
              <w:t>13.1</w:t>
            </w:r>
          </w:p>
        </w:tc>
        <w:tc>
          <w:tcPr>
            <w:tcW w:w="709" w:type="dxa"/>
            <w:tcBorders>
              <w:top w:val="single" w:sz="4" w:space="0" w:color="auto"/>
              <w:left w:val="single" w:sz="4" w:space="0" w:color="auto"/>
              <w:bottom w:val="single" w:sz="4" w:space="0" w:color="auto"/>
              <w:right w:val="single" w:sz="4" w:space="0" w:color="auto"/>
            </w:tcBorders>
            <w:noWrap/>
          </w:tcPr>
          <w:p w14:paraId="1953580A" w14:textId="77777777" w:rsidR="00E6123B" w:rsidRPr="001B5635" w:rsidRDefault="00E6123B" w:rsidP="00E6123B">
            <w:pPr>
              <w:rPr>
                <w:rFonts w:ascii="Arial Narrow" w:hAnsi="Arial Narrow"/>
                <w:lang w:eastAsia="zh-CN"/>
              </w:rPr>
            </w:pPr>
            <w:r w:rsidRPr="001B5635">
              <w:rPr>
                <w:rFonts w:ascii="Arial Narrow" w:hAnsi="Arial Narrow"/>
              </w:rPr>
              <w:t>1.6</w:t>
            </w:r>
          </w:p>
        </w:tc>
      </w:tr>
      <w:tr w:rsidR="001B5635" w:rsidRPr="001B5635" w14:paraId="10D5CBA2" w14:textId="77777777" w:rsidTr="001E472C">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1CB80868" w14:textId="77777777" w:rsidR="00E6123B" w:rsidRPr="001B5635" w:rsidRDefault="00E6123B" w:rsidP="00E6123B">
            <w:pPr>
              <w:rPr>
                <w:rFonts w:ascii="Arial Narrow" w:hAnsi="Arial Narrow"/>
                <w:lang w:eastAsia="zh-CN"/>
              </w:rPr>
            </w:pPr>
            <w:r w:rsidRPr="001B5635">
              <w:rPr>
                <w:rFonts w:ascii="Arial Narrow" w:hAnsi="Arial Narrow"/>
              </w:rPr>
              <w:t>Keppels South</w:t>
            </w:r>
          </w:p>
        </w:tc>
        <w:tc>
          <w:tcPr>
            <w:tcW w:w="694" w:type="dxa"/>
            <w:tcBorders>
              <w:top w:val="single" w:sz="4" w:space="0" w:color="auto"/>
              <w:left w:val="single" w:sz="4" w:space="0" w:color="auto"/>
              <w:bottom w:val="single" w:sz="4" w:space="0" w:color="auto"/>
              <w:right w:val="single" w:sz="4" w:space="0" w:color="auto"/>
            </w:tcBorders>
            <w:noWrap/>
            <w:hideMark/>
          </w:tcPr>
          <w:p w14:paraId="5B27488F" w14:textId="77777777" w:rsidR="00E6123B" w:rsidRPr="001B5635" w:rsidRDefault="00E6123B" w:rsidP="00E6123B">
            <w:pPr>
              <w:rPr>
                <w:rFonts w:ascii="Arial Narrow" w:hAnsi="Arial Narrow"/>
                <w:lang w:eastAsia="zh-CN"/>
              </w:rPr>
            </w:pPr>
            <w:r w:rsidRPr="001B5635">
              <w:rPr>
                <w:rFonts w:ascii="Arial Narrow" w:hAnsi="Arial Narrow"/>
              </w:rPr>
              <w:t>23</w:t>
            </w:r>
          </w:p>
        </w:tc>
        <w:tc>
          <w:tcPr>
            <w:tcW w:w="694" w:type="dxa"/>
            <w:tcBorders>
              <w:top w:val="single" w:sz="4" w:space="0" w:color="auto"/>
              <w:left w:val="single" w:sz="4" w:space="0" w:color="auto"/>
              <w:bottom w:val="single" w:sz="4" w:space="0" w:color="auto"/>
              <w:right w:val="single" w:sz="4" w:space="0" w:color="auto"/>
            </w:tcBorders>
            <w:noWrap/>
            <w:hideMark/>
          </w:tcPr>
          <w:p w14:paraId="0D177A6E" w14:textId="77777777" w:rsidR="00E6123B" w:rsidRPr="001B5635" w:rsidRDefault="00E6123B" w:rsidP="00E6123B">
            <w:pPr>
              <w:rPr>
                <w:rFonts w:ascii="Arial Narrow" w:hAnsi="Arial Narrow"/>
                <w:lang w:eastAsia="zh-CN"/>
              </w:rPr>
            </w:pPr>
            <w:r w:rsidRPr="001B5635">
              <w:rPr>
                <w:rFonts w:ascii="Arial Narrow" w:hAnsi="Arial Narrow"/>
              </w:rPr>
              <w:t>3.9</w:t>
            </w:r>
          </w:p>
        </w:tc>
        <w:tc>
          <w:tcPr>
            <w:tcW w:w="694" w:type="dxa"/>
            <w:tcBorders>
              <w:top w:val="single" w:sz="4" w:space="0" w:color="auto"/>
              <w:left w:val="single" w:sz="4" w:space="0" w:color="auto"/>
              <w:bottom w:val="single" w:sz="4" w:space="0" w:color="auto"/>
              <w:right w:val="single" w:sz="4" w:space="0" w:color="auto"/>
            </w:tcBorders>
            <w:noWrap/>
            <w:hideMark/>
          </w:tcPr>
          <w:p w14:paraId="58C097B0" w14:textId="77777777" w:rsidR="00E6123B" w:rsidRPr="001B5635" w:rsidRDefault="00E6123B" w:rsidP="00E6123B">
            <w:pPr>
              <w:rPr>
                <w:rFonts w:ascii="Arial Narrow" w:hAnsi="Arial Narrow"/>
                <w:lang w:eastAsia="zh-CN"/>
              </w:rPr>
            </w:pPr>
            <w:r w:rsidRPr="001B5635">
              <w:rPr>
                <w:rFonts w:ascii="Arial Narrow" w:hAnsi="Arial Narrow"/>
              </w:rPr>
              <w:t>24</w:t>
            </w:r>
          </w:p>
        </w:tc>
        <w:tc>
          <w:tcPr>
            <w:tcW w:w="701" w:type="dxa"/>
            <w:tcBorders>
              <w:top w:val="single" w:sz="4" w:space="0" w:color="auto"/>
              <w:left w:val="single" w:sz="4" w:space="0" w:color="auto"/>
              <w:bottom w:val="single" w:sz="4" w:space="0" w:color="auto"/>
              <w:right w:val="single" w:sz="4" w:space="0" w:color="auto"/>
            </w:tcBorders>
            <w:noWrap/>
            <w:hideMark/>
          </w:tcPr>
          <w:p w14:paraId="6F8830F2" w14:textId="77777777" w:rsidR="00E6123B" w:rsidRPr="001B5635" w:rsidRDefault="00E6123B" w:rsidP="00E6123B">
            <w:pPr>
              <w:rPr>
                <w:rFonts w:ascii="Arial Narrow" w:hAnsi="Arial Narrow"/>
                <w:lang w:eastAsia="zh-CN"/>
              </w:rPr>
            </w:pPr>
            <w:r w:rsidRPr="001B5635">
              <w:rPr>
                <w:rFonts w:ascii="Arial Narrow" w:hAnsi="Arial Narrow"/>
              </w:rPr>
              <w:t>1.7</w:t>
            </w:r>
          </w:p>
        </w:tc>
        <w:tc>
          <w:tcPr>
            <w:tcW w:w="267" w:type="dxa"/>
            <w:tcBorders>
              <w:top w:val="nil"/>
              <w:left w:val="single" w:sz="4" w:space="0" w:color="auto"/>
              <w:bottom w:val="single" w:sz="4" w:space="0" w:color="auto"/>
              <w:right w:val="single" w:sz="4" w:space="0" w:color="auto"/>
            </w:tcBorders>
            <w:noWrap/>
            <w:hideMark/>
          </w:tcPr>
          <w:p w14:paraId="56CAB756" w14:textId="77777777" w:rsidR="00E6123B" w:rsidRPr="001B5635" w:rsidRDefault="00E6123B" w:rsidP="00E6123B">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39E84F29" w14:textId="77777777" w:rsidR="00E6123B" w:rsidRPr="001B5635" w:rsidRDefault="00E6123B" w:rsidP="00E6123B">
            <w:pPr>
              <w:rPr>
                <w:rFonts w:ascii="Arial Narrow" w:hAnsi="Arial Narrow"/>
                <w:lang w:eastAsia="zh-CN"/>
              </w:rPr>
            </w:pPr>
          </w:p>
        </w:tc>
        <w:tc>
          <w:tcPr>
            <w:tcW w:w="708" w:type="dxa"/>
            <w:tcBorders>
              <w:top w:val="single" w:sz="4" w:space="0" w:color="auto"/>
              <w:left w:val="single" w:sz="4" w:space="0" w:color="auto"/>
              <w:bottom w:val="single" w:sz="4" w:space="0" w:color="auto"/>
              <w:right w:val="single" w:sz="4" w:space="0" w:color="auto"/>
            </w:tcBorders>
            <w:noWrap/>
          </w:tcPr>
          <w:p w14:paraId="2031A778" w14:textId="77777777" w:rsidR="00E6123B" w:rsidRPr="001B5635" w:rsidRDefault="00E6123B" w:rsidP="00E6123B">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2BF27CB0" w14:textId="77777777" w:rsidR="00E6123B" w:rsidRPr="001B5635" w:rsidRDefault="00E6123B" w:rsidP="00E6123B">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10A63A77" w14:textId="77777777" w:rsidR="00E6123B" w:rsidRPr="001B5635" w:rsidRDefault="00E6123B" w:rsidP="00E6123B">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541DA87E" w14:textId="77777777" w:rsidR="00E6123B" w:rsidRPr="001B5635" w:rsidRDefault="00E6123B" w:rsidP="00E6123B">
            <w:pPr>
              <w:rPr>
                <w:rFonts w:ascii="Arial Narrow" w:hAnsi="Arial Narrow"/>
                <w:lang w:eastAsia="zh-CN"/>
              </w:rPr>
            </w:pPr>
          </w:p>
        </w:tc>
      </w:tr>
    </w:tbl>
    <w:p w14:paraId="74F1C1DE" w14:textId="77777777" w:rsidR="00A175A4" w:rsidRPr="00F352E1" w:rsidRDefault="00A175A4" w:rsidP="00A175A4">
      <w:pPr>
        <w:rPr>
          <w:rFonts w:asciiTheme="minorHAnsi" w:hAnsiTheme="minorHAnsi" w:cstheme="minorBidi"/>
          <w:color w:val="4F81BD" w:themeColor="accent1"/>
          <w:szCs w:val="22"/>
        </w:rPr>
      </w:pPr>
    </w:p>
    <w:p w14:paraId="79A74E71" w14:textId="77777777" w:rsidR="006F0445" w:rsidRPr="00F352E1" w:rsidRDefault="006F0445">
      <w:pPr>
        <w:jc w:val="left"/>
        <w:rPr>
          <w:rFonts w:asciiTheme="minorHAnsi" w:hAnsiTheme="minorHAnsi" w:cstheme="minorBidi"/>
          <w:color w:val="4F81BD" w:themeColor="accent1"/>
          <w:szCs w:val="22"/>
        </w:rPr>
      </w:pPr>
      <w:r w:rsidRPr="00F352E1">
        <w:rPr>
          <w:rFonts w:asciiTheme="minorHAnsi" w:hAnsiTheme="minorHAnsi" w:cstheme="minorBidi"/>
          <w:color w:val="4F81BD" w:themeColor="accent1"/>
          <w:szCs w:val="22"/>
        </w:rPr>
        <w:br w:type="page"/>
      </w:r>
    </w:p>
    <w:p w14:paraId="22793B5D" w14:textId="77777777" w:rsidR="009F052E" w:rsidRPr="008A0C2A" w:rsidRDefault="00B14D94" w:rsidP="00606A50">
      <w:pPr>
        <w:pStyle w:val="Caption"/>
        <w:rPr>
          <w:rStyle w:val="IntenseReference"/>
          <w:rFonts w:eastAsia="SimSun"/>
        </w:rPr>
      </w:pPr>
      <w:bookmarkStart w:id="352" w:name="_Ref501104890"/>
      <w:bookmarkStart w:id="353" w:name="_Toc498591417"/>
      <w:r>
        <w:t xml:space="preserve">Table A1. </w:t>
      </w:r>
      <w:r>
        <w:fldChar w:fldCharType="begin"/>
      </w:r>
      <w:r>
        <w:instrText xml:space="preserve"> SEQ Table_A1. \* ARABIC </w:instrText>
      </w:r>
      <w:r>
        <w:fldChar w:fldCharType="separate"/>
      </w:r>
      <w:r w:rsidR="00A75175">
        <w:rPr>
          <w:noProof/>
        </w:rPr>
        <w:t>2</w:t>
      </w:r>
      <w:r>
        <w:fldChar w:fldCharType="end"/>
      </w:r>
      <w:bookmarkEnd w:id="352"/>
      <w:r>
        <w:t xml:space="preserve"> </w:t>
      </w:r>
      <w:r w:rsidR="00D07CD0" w:rsidRPr="0091564F">
        <w:t>Eigenvalues for hard coral genera along constrained water quality axis.</w:t>
      </w:r>
      <w:r w:rsidR="00D07CD0" w:rsidRPr="000F777A">
        <w:t xml:space="preserve"> </w:t>
      </w:r>
      <w:r w:rsidR="00D07CD0" w:rsidRPr="008A0C2A">
        <w:rPr>
          <w:rStyle w:val="IntenseReference"/>
          <w:rFonts w:eastAsia="SimSun"/>
        </w:rPr>
        <w:t>* indicates genera with both low cover (maximum &lt; 0.5% on any reef) and limited distribution (present on &lt; 25% of reefs).</w:t>
      </w:r>
      <w:bookmarkEnd w:id="353"/>
    </w:p>
    <w:tbl>
      <w:tblPr>
        <w:tblStyle w:val="TableGrid"/>
        <w:tblW w:w="0" w:type="auto"/>
        <w:tblInd w:w="142" w:type="dxa"/>
        <w:tblLayout w:type="fixed"/>
        <w:tblLook w:val="04A0" w:firstRow="1" w:lastRow="0" w:firstColumn="1" w:lastColumn="0" w:noHBand="0" w:noVBand="1"/>
        <w:tblCaption w:val="Table A1. 2 Eigenvalues for hard coral genera along constrained water quality axis. * indicates genera with both low cover (maximum &lt; 0.5% on any reef) and limited distribution (present on &lt; 25% of reefs)."/>
        <w:tblDescription w:val="A table of eignevalues for each genus that are used to scale cover estimates in the estimation of community composition scores "/>
      </w:tblPr>
      <w:tblGrid>
        <w:gridCol w:w="2093"/>
        <w:gridCol w:w="850"/>
        <w:gridCol w:w="851"/>
        <w:gridCol w:w="2069"/>
        <w:gridCol w:w="766"/>
        <w:gridCol w:w="851"/>
      </w:tblGrid>
      <w:tr w:rsidR="00F352E1" w:rsidRPr="000F777A" w14:paraId="6AC1810A" w14:textId="77777777" w:rsidTr="00A175A4">
        <w:trPr>
          <w:trHeight w:val="300"/>
          <w:tblHeader/>
        </w:trPr>
        <w:tc>
          <w:tcPr>
            <w:tcW w:w="2093" w:type="dxa"/>
            <w:shd w:val="clear" w:color="auto" w:fill="D9D9D9" w:themeFill="background1" w:themeFillShade="D9"/>
            <w:noWrap/>
            <w:vAlign w:val="bottom"/>
            <w:hideMark/>
          </w:tcPr>
          <w:p w14:paraId="1FE7316F" w14:textId="77777777" w:rsidR="009F052E" w:rsidRPr="000F777A" w:rsidRDefault="009F052E" w:rsidP="00A175A4">
            <w:pPr>
              <w:jc w:val="center"/>
              <w:rPr>
                <w:rFonts w:ascii="Arial Narrow" w:hAnsi="Arial Narrow"/>
                <w:b/>
              </w:rPr>
            </w:pPr>
            <w:r w:rsidRPr="000F777A">
              <w:rPr>
                <w:rFonts w:ascii="Arial Narrow" w:hAnsi="Arial Narrow"/>
                <w:b/>
              </w:rPr>
              <w:t>Genus</w:t>
            </w:r>
          </w:p>
        </w:tc>
        <w:tc>
          <w:tcPr>
            <w:tcW w:w="850" w:type="dxa"/>
            <w:shd w:val="clear" w:color="auto" w:fill="D9D9D9" w:themeFill="background1" w:themeFillShade="D9"/>
            <w:noWrap/>
            <w:vAlign w:val="bottom"/>
            <w:hideMark/>
          </w:tcPr>
          <w:p w14:paraId="03603037" w14:textId="77777777" w:rsidR="009F052E" w:rsidRPr="000F777A" w:rsidRDefault="009F052E" w:rsidP="00A175A4">
            <w:pPr>
              <w:jc w:val="center"/>
              <w:rPr>
                <w:rFonts w:ascii="Arial Narrow" w:hAnsi="Arial Narrow"/>
                <w:b/>
              </w:rPr>
            </w:pPr>
            <w:r w:rsidRPr="000F777A">
              <w:rPr>
                <w:rFonts w:ascii="Arial Narrow" w:hAnsi="Arial Narrow"/>
                <w:b/>
              </w:rPr>
              <w:t>2 m</w:t>
            </w:r>
          </w:p>
        </w:tc>
        <w:tc>
          <w:tcPr>
            <w:tcW w:w="851" w:type="dxa"/>
            <w:tcBorders>
              <w:right w:val="thinThickThinLargeGap" w:sz="24" w:space="0" w:color="auto"/>
            </w:tcBorders>
            <w:shd w:val="clear" w:color="auto" w:fill="D9D9D9" w:themeFill="background1" w:themeFillShade="D9"/>
            <w:noWrap/>
            <w:vAlign w:val="bottom"/>
            <w:hideMark/>
          </w:tcPr>
          <w:p w14:paraId="1C266CFF" w14:textId="77777777" w:rsidR="009F052E" w:rsidRPr="000F777A" w:rsidRDefault="009F052E" w:rsidP="00A175A4">
            <w:pPr>
              <w:jc w:val="center"/>
              <w:rPr>
                <w:rFonts w:ascii="Arial Narrow" w:hAnsi="Arial Narrow"/>
                <w:b/>
              </w:rPr>
            </w:pPr>
            <w:r w:rsidRPr="000F777A">
              <w:rPr>
                <w:rFonts w:ascii="Arial Narrow" w:hAnsi="Arial Narrow"/>
                <w:b/>
              </w:rPr>
              <w:t>5 m</w:t>
            </w:r>
          </w:p>
        </w:tc>
        <w:tc>
          <w:tcPr>
            <w:tcW w:w="2069" w:type="dxa"/>
            <w:tcBorders>
              <w:left w:val="thinThickThinLargeGap" w:sz="24" w:space="0" w:color="auto"/>
            </w:tcBorders>
            <w:shd w:val="clear" w:color="auto" w:fill="D9D9D9" w:themeFill="background1" w:themeFillShade="D9"/>
            <w:vAlign w:val="bottom"/>
          </w:tcPr>
          <w:p w14:paraId="09304343" w14:textId="77777777" w:rsidR="009F052E" w:rsidRPr="000F777A" w:rsidRDefault="009F052E" w:rsidP="00A175A4">
            <w:pPr>
              <w:jc w:val="center"/>
              <w:rPr>
                <w:rFonts w:ascii="Arial Narrow" w:hAnsi="Arial Narrow"/>
                <w:b/>
              </w:rPr>
            </w:pPr>
            <w:r w:rsidRPr="000F777A">
              <w:rPr>
                <w:rFonts w:ascii="Arial Narrow" w:hAnsi="Arial Narrow"/>
                <w:b/>
              </w:rPr>
              <w:t>Genus</w:t>
            </w:r>
          </w:p>
        </w:tc>
        <w:tc>
          <w:tcPr>
            <w:tcW w:w="766" w:type="dxa"/>
            <w:shd w:val="clear" w:color="auto" w:fill="D9D9D9" w:themeFill="background1" w:themeFillShade="D9"/>
            <w:vAlign w:val="bottom"/>
          </w:tcPr>
          <w:p w14:paraId="1B9125E7" w14:textId="77777777" w:rsidR="009F052E" w:rsidRPr="000F777A" w:rsidRDefault="009F052E" w:rsidP="00A175A4">
            <w:pPr>
              <w:jc w:val="center"/>
              <w:rPr>
                <w:rFonts w:ascii="Arial Narrow" w:hAnsi="Arial Narrow"/>
                <w:b/>
              </w:rPr>
            </w:pPr>
            <w:r w:rsidRPr="000F777A">
              <w:rPr>
                <w:rFonts w:ascii="Arial Narrow" w:hAnsi="Arial Narrow"/>
                <w:b/>
              </w:rPr>
              <w:t>2 m</w:t>
            </w:r>
          </w:p>
        </w:tc>
        <w:tc>
          <w:tcPr>
            <w:tcW w:w="851" w:type="dxa"/>
            <w:shd w:val="clear" w:color="auto" w:fill="D9D9D9" w:themeFill="background1" w:themeFillShade="D9"/>
            <w:vAlign w:val="bottom"/>
          </w:tcPr>
          <w:p w14:paraId="2A67CA1D" w14:textId="77777777" w:rsidR="009F052E" w:rsidRPr="000F777A" w:rsidRDefault="009F052E" w:rsidP="00A175A4">
            <w:pPr>
              <w:jc w:val="center"/>
              <w:rPr>
                <w:rFonts w:ascii="Arial Narrow" w:hAnsi="Arial Narrow"/>
                <w:b/>
              </w:rPr>
            </w:pPr>
            <w:r w:rsidRPr="000F777A">
              <w:rPr>
                <w:rFonts w:ascii="Arial Narrow" w:hAnsi="Arial Narrow"/>
                <w:b/>
              </w:rPr>
              <w:t>5 m</w:t>
            </w:r>
          </w:p>
        </w:tc>
      </w:tr>
      <w:tr w:rsidR="00F352E1" w:rsidRPr="000F777A" w14:paraId="013FAF8F" w14:textId="77777777" w:rsidTr="00A175A4">
        <w:trPr>
          <w:trHeight w:val="255"/>
        </w:trPr>
        <w:tc>
          <w:tcPr>
            <w:tcW w:w="2093" w:type="dxa"/>
            <w:noWrap/>
            <w:hideMark/>
          </w:tcPr>
          <w:p w14:paraId="1C8059EA" w14:textId="77777777" w:rsidR="009F052E" w:rsidRPr="000F777A" w:rsidRDefault="009F052E" w:rsidP="00A175A4">
            <w:pPr>
              <w:jc w:val="left"/>
              <w:rPr>
                <w:rFonts w:ascii="Arial Narrow" w:hAnsi="Arial Narrow"/>
                <w:i/>
              </w:rPr>
            </w:pPr>
            <w:r w:rsidRPr="000F777A">
              <w:rPr>
                <w:rFonts w:ascii="Arial Narrow" w:hAnsi="Arial Narrow"/>
                <w:i/>
              </w:rPr>
              <w:t>Psammocora</w:t>
            </w:r>
          </w:p>
        </w:tc>
        <w:tc>
          <w:tcPr>
            <w:tcW w:w="850" w:type="dxa"/>
            <w:noWrap/>
            <w:vAlign w:val="center"/>
            <w:hideMark/>
          </w:tcPr>
          <w:p w14:paraId="03063476" w14:textId="77777777" w:rsidR="009F052E" w:rsidRPr="000F777A" w:rsidRDefault="009F052E" w:rsidP="00A175A4">
            <w:pPr>
              <w:jc w:val="center"/>
              <w:rPr>
                <w:rFonts w:ascii="Arial Narrow" w:hAnsi="Arial Narrow"/>
              </w:rPr>
            </w:pPr>
            <w:r w:rsidRPr="000F777A">
              <w:rPr>
                <w:rFonts w:ascii="Arial Narrow" w:hAnsi="Arial Narrow"/>
              </w:rPr>
              <w:t>-0.194</w:t>
            </w:r>
          </w:p>
        </w:tc>
        <w:tc>
          <w:tcPr>
            <w:tcW w:w="851" w:type="dxa"/>
            <w:tcBorders>
              <w:right w:val="thinThickThinLargeGap" w:sz="24" w:space="0" w:color="auto"/>
            </w:tcBorders>
            <w:noWrap/>
            <w:vAlign w:val="center"/>
            <w:hideMark/>
          </w:tcPr>
          <w:p w14:paraId="20174D2A" w14:textId="77777777" w:rsidR="009F052E" w:rsidRPr="000F777A" w:rsidRDefault="009F052E" w:rsidP="00A175A4">
            <w:pPr>
              <w:jc w:val="center"/>
              <w:rPr>
                <w:rFonts w:ascii="Arial Narrow" w:hAnsi="Arial Narrow"/>
              </w:rPr>
            </w:pPr>
            <w:r w:rsidRPr="000F777A">
              <w:rPr>
                <w:rFonts w:ascii="Arial Narrow" w:hAnsi="Arial Narrow"/>
              </w:rPr>
              <w:t>-0.366</w:t>
            </w:r>
          </w:p>
        </w:tc>
        <w:tc>
          <w:tcPr>
            <w:tcW w:w="2069" w:type="dxa"/>
            <w:tcBorders>
              <w:left w:val="thinThickThinLargeGap" w:sz="24" w:space="0" w:color="auto"/>
            </w:tcBorders>
          </w:tcPr>
          <w:p w14:paraId="38F803E0" w14:textId="77777777" w:rsidR="009F052E" w:rsidRPr="000F777A" w:rsidRDefault="009F052E" w:rsidP="00A175A4">
            <w:pPr>
              <w:jc w:val="left"/>
              <w:rPr>
                <w:rFonts w:ascii="Arial Narrow" w:hAnsi="Arial Narrow"/>
                <w:i/>
              </w:rPr>
            </w:pPr>
            <w:r w:rsidRPr="000F777A">
              <w:rPr>
                <w:rFonts w:ascii="Arial Narrow" w:hAnsi="Arial Narrow"/>
                <w:i/>
              </w:rPr>
              <w:t>Scolymia *</w:t>
            </w:r>
          </w:p>
        </w:tc>
        <w:tc>
          <w:tcPr>
            <w:tcW w:w="766" w:type="dxa"/>
            <w:vAlign w:val="center"/>
          </w:tcPr>
          <w:p w14:paraId="1DB97B06" w14:textId="77777777" w:rsidR="009F052E" w:rsidRPr="000F777A" w:rsidRDefault="009F052E" w:rsidP="00A175A4">
            <w:pPr>
              <w:jc w:val="center"/>
              <w:rPr>
                <w:rFonts w:ascii="Arial Narrow" w:hAnsi="Arial Narrow"/>
              </w:rPr>
            </w:pPr>
            <w:r w:rsidRPr="000F777A">
              <w:rPr>
                <w:rFonts w:ascii="Arial Narrow" w:hAnsi="Arial Narrow"/>
              </w:rPr>
              <w:t>0.001</w:t>
            </w:r>
          </w:p>
        </w:tc>
        <w:tc>
          <w:tcPr>
            <w:tcW w:w="851" w:type="dxa"/>
            <w:vAlign w:val="center"/>
          </w:tcPr>
          <w:p w14:paraId="6FB15611" w14:textId="77777777" w:rsidR="009F052E" w:rsidRPr="000F777A" w:rsidRDefault="009F052E" w:rsidP="00A175A4">
            <w:pPr>
              <w:jc w:val="center"/>
              <w:rPr>
                <w:rFonts w:ascii="Arial Narrow" w:hAnsi="Arial Narrow"/>
              </w:rPr>
            </w:pPr>
            <w:r w:rsidRPr="000F777A">
              <w:rPr>
                <w:rFonts w:ascii="Arial Narrow" w:hAnsi="Arial Narrow"/>
              </w:rPr>
              <w:t>0.000</w:t>
            </w:r>
          </w:p>
        </w:tc>
      </w:tr>
      <w:tr w:rsidR="00F352E1" w:rsidRPr="000F777A" w14:paraId="1C58CDF6" w14:textId="77777777" w:rsidTr="00A175A4">
        <w:trPr>
          <w:trHeight w:val="255"/>
        </w:trPr>
        <w:tc>
          <w:tcPr>
            <w:tcW w:w="2093" w:type="dxa"/>
            <w:noWrap/>
            <w:hideMark/>
          </w:tcPr>
          <w:p w14:paraId="033EAB4A" w14:textId="77777777" w:rsidR="009F052E" w:rsidRPr="000F777A" w:rsidRDefault="009F052E" w:rsidP="00A175A4">
            <w:pPr>
              <w:jc w:val="left"/>
              <w:rPr>
                <w:rFonts w:ascii="Arial Narrow" w:hAnsi="Arial Narrow"/>
                <w:i/>
              </w:rPr>
            </w:pPr>
            <w:r w:rsidRPr="000F777A">
              <w:rPr>
                <w:rFonts w:ascii="Arial Narrow" w:hAnsi="Arial Narrow"/>
                <w:i/>
              </w:rPr>
              <w:t>Turbinaria</w:t>
            </w:r>
          </w:p>
        </w:tc>
        <w:tc>
          <w:tcPr>
            <w:tcW w:w="850" w:type="dxa"/>
            <w:noWrap/>
            <w:vAlign w:val="center"/>
            <w:hideMark/>
          </w:tcPr>
          <w:p w14:paraId="163DDB0D" w14:textId="77777777" w:rsidR="009F052E" w:rsidRPr="000F777A" w:rsidRDefault="009F052E" w:rsidP="00A175A4">
            <w:pPr>
              <w:jc w:val="center"/>
              <w:rPr>
                <w:rFonts w:ascii="Arial Narrow" w:hAnsi="Arial Narrow"/>
              </w:rPr>
            </w:pPr>
            <w:r w:rsidRPr="000F777A">
              <w:rPr>
                <w:rFonts w:ascii="Arial Narrow" w:hAnsi="Arial Narrow"/>
              </w:rPr>
              <w:t>-0.279</w:t>
            </w:r>
          </w:p>
        </w:tc>
        <w:tc>
          <w:tcPr>
            <w:tcW w:w="851" w:type="dxa"/>
            <w:tcBorders>
              <w:right w:val="thinThickThinLargeGap" w:sz="24" w:space="0" w:color="auto"/>
            </w:tcBorders>
            <w:noWrap/>
            <w:vAlign w:val="center"/>
            <w:hideMark/>
          </w:tcPr>
          <w:p w14:paraId="5E09444B" w14:textId="77777777" w:rsidR="009F052E" w:rsidRPr="000F777A" w:rsidRDefault="009F052E" w:rsidP="00A175A4">
            <w:pPr>
              <w:jc w:val="center"/>
              <w:rPr>
                <w:rFonts w:ascii="Arial Narrow" w:hAnsi="Arial Narrow"/>
              </w:rPr>
            </w:pPr>
            <w:r w:rsidRPr="000F777A">
              <w:rPr>
                <w:rFonts w:ascii="Arial Narrow" w:hAnsi="Arial Narrow"/>
              </w:rPr>
              <w:t>-0.307</w:t>
            </w:r>
          </w:p>
        </w:tc>
        <w:tc>
          <w:tcPr>
            <w:tcW w:w="2069" w:type="dxa"/>
            <w:tcBorders>
              <w:left w:val="thinThickThinLargeGap" w:sz="24" w:space="0" w:color="auto"/>
            </w:tcBorders>
          </w:tcPr>
          <w:p w14:paraId="248DD624" w14:textId="77777777" w:rsidR="009F052E" w:rsidRPr="000F777A" w:rsidRDefault="009F052E" w:rsidP="00A175A4">
            <w:pPr>
              <w:jc w:val="left"/>
              <w:rPr>
                <w:rFonts w:ascii="Arial Narrow" w:hAnsi="Arial Narrow"/>
                <w:i/>
              </w:rPr>
            </w:pPr>
            <w:r w:rsidRPr="000F777A">
              <w:rPr>
                <w:rFonts w:ascii="Arial Narrow" w:hAnsi="Arial Narrow"/>
                <w:i/>
              </w:rPr>
              <w:t>Ctenactis *</w:t>
            </w:r>
          </w:p>
        </w:tc>
        <w:tc>
          <w:tcPr>
            <w:tcW w:w="766" w:type="dxa"/>
            <w:vAlign w:val="center"/>
          </w:tcPr>
          <w:p w14:paraId="705CD9A0" w14:textId="77777777" w:rsidR="009F052E" w:rsidRPr="000F777A" w:rsidRDefault="009F052E" w:rsidP="00A175A4">
            <w:pPr>
              <w:jc w:val="center"/>
              <w:rPr>
                <w:rFonts w:ascii="Arial Narrow" w:hAnsi="Arial Narrow"/>
              </w:rPr>
            </w:pPr>
            <w:r w:rsidRPr="000F777A">
              <w:rPr>
                <w:rFonts w:ascii="Arial Narrow" w:hAnsi="Arial Narrow"/>
              </w:rPr>
              <w:t>0.016</w:t>
            </w:r>
          </w:p>
        </w:tc>
        <w:tc>
          <w:tcPr>
            <w:tcW w:w="851" w:type="dxa"/>
            <w:vAlign w:val="center"/>
          </w:tcPr>
          <w:p w14:paraId="3515B1F5" w14:textId="77777777" w:rsidR="009F052E" w:rsidRPr="000F777A" w:rsidRDefault="009F052E" w:rsidP="00A175A4">
            <w:pPr>
              <w:jc w:val="center"/>
              <w:rPr>
                <w:rFonts w:ascii="Arial Narrow" w:hAnsi="Arial Narrow"/>
              </w:rPr>
            </w:pPr>
            <w:r w:rsidRPr="000F777A">
              <w:rPr>
                <w:rFonts w:ascii="Arial Narrow" w:hAnsi="Arial Narrow"/>
              </w:rPr>
              <w:t>0.001</w:t>
            </w:r>
          </w:p>
        </w:tc>
      </w:tr>
      <w:tr w:rsidR="00F352E1" w:rsidRPr="000F777A" w14:paraId="74BA942A" w14:textId="77777777" w:rsidTr="00A175A4">
        <w:trPr>
          <w:trHeight w:val="255"/>
        </w:trPr>
        <w:tc>
          <w:tcPr>
            <w:tcW w:w="2093" w:type="dxa"/>
            <w:noWrap/>
            <w:hideMark/>
          </w:tcPr>
          <w:p w14:paraId="15E21490" w14:textId="77777777" w:rsidR="009F052E" w:rsidRPr="000F777A" w:rsidRDefault="009F052E" w:rsidP="00A175A4">
            <w:pPr>
              <w:jc w:val="left"/>
              <w:rPr>
                <w:rFonts w:ascii="Arial Narrow" w:hAnsi="Arial Narrow"/>
                <w:i/>
              </w:rPr>
            </w:pPr>
            <w:r w:rsidRPr="000F777A">
              <w:rPr>
                <w:rFonts w:ascii="Arial Narrow" w:hAnsi="Arial Narrow"/>
                <w:i/>
              </w:rPr>
              <w:t>Goniopora</w:t>
            </w:r>
          </w:p>
        </w:tc>
        <w:tc>
          <w:tcPr>
            <w:tcW w:w="850" w:type="dxa"/>
            <w:noWrap/>
            <w:vAlign w:val="center"/>
            <w:hideMark/>
          </w:tcPr>
          <w:p w14:paraId="1D3B82A6" w14:textId="77777777" w:rsidR="009F052E" w:rsidRPr="000F777A" w:rsidRDefault="009F052E" w:rsidP="00A175A4">
            <w:pPr>
              <w:jc w:val="center"/>
              <w:rPr>
                <w:rFonts w:ascii="Arial Narrow" w:hAnsi="Arial Narrow"/>
              </w:rPr>
            </w:pPr>
            <w:r w:rsidRPr="000F777A">
              <w:rPr>
                <w:rFonts w:ascii="Arial Narrow" w:hAnsi="Arial Narrow"/>
              </w:rPr>
              <w:t>-0.320</w:t>
            </w:r>
          </w:p>
        </w:tc>
        <w:tc>
          <w:tcPr>
            <w:tcW w:w="851" w:type="dxa"/>
            <w:tcBorders>
              <w:right w:val="thinThickThinLargeGap" w:sz="24" w:space="0" w:color="auto"/>
            </w:tcBorders>
            <w:noWrap/>
            <w:vAlign w:val="center"/>
            <w:hideMark/>
          </w:tcPr>
          <w:p w14:paraId="0F0FE5D6" w14:textId="77777777" w:rsidR="009F052E" w:rsidRPr="000F777A" w:rsidRDefault="009F052E" w:rsidP="00A175A4">
            <w:pPr>
              <w:jc w:val="center"/>
              <w:rPr>
                <w:rFonts w:ascii="Arial Narrow" w:hAnsi="Arial Narrow"/>
              </w:rPr>
            </w:pPr>
            <w:r w:rsidRPr="000F777A">
              <w:rPr>
                <w:rFonts w:ascii="Arial Narrow" w:hAnsi="Arial Narrow"/>
              </w:rPr>
              <w:t>-0.304</w:t>
            </w:r>
          </w:p>
        </w:tc>
        <w:tc>
          <w:tcPr>
            <w:tcW w:w="2069" w:type="dxa"/>
            <w:tcBorders>
              <w:left w:val="thinThickThinLargeGap" w:sz="24" w:space="0" w:color="auto"/>
            </w:tcBorders>
          </w:tcPr>
          <w:p w14:paraId="6FF0F9D0" w14:textId="77777777" w:rsidR="009F052E" w:rsidRPr="000F777A" w:rsidRDefault="009F052E" w:rsidP="00A175A4">
            <w:pPr>
              <w:jc w:val="left"/>
              <w:rPr>
                <w:rFonts w:ascii="Arial Narrow" w:hAnsi="Arial Narrow"/>
                <w:i/>
              </w:rPr>
            </w:pPr>
            <w:r w:rsidRPr="000F777A">
              <w:rPr>
                <w:rFonts w:ascii="Arial Narrow" w:hAnsi="Arial Narrow"/>
                <w:i/>
              </w:rPr>
              <w:t>Anacropora *</w:t>
            </w:r>
          </w:p>
        </w:tc>
        <w:tc>
          <w:tcPr>
            <w:tcW w:w="766" w:type="dxa"/>
            <w:vAlign w:val="center"/>
          </w:tcPr>
          <w:p w14:paraId="0AAC8DD0" w14:textId="77777777" w:rsidR="009F052E" w:rsidRPr="000F777A" w:rsidRDefault="009F052E" w:rsidP="00A175A4">
            <w:pPr>
              <w:jc w:val="center"/>
              <w:rPr>
                <w:rFonts w:ascii="Arial Narrow" w:hAnsi="Arial Narrow"/>
              </w:rPr>
            </w:pPr>
          </w:p>
        </w:tc>
        <w:tc>
          <w:tcPr>
            <w:tcW w:w="851" w:type="dxa"/>
            <w:vAlign w:val="center"/>
          </w:tcPr>
          <w:p w14:paraId="18C911BF" w14:textId="77777777" w:rsidR="009F052E" w:rsidRPr="000F777A" w:rsidRDefault="009F052E" w:rsidP="00A175A4">
            <w:pPr>
              <w:jc w:val="center"/>
              <w:rPr>
                <w:rFonts w:ascii="Arial Narrow" w:hAnsi="Arial Narrow"/>
              </w:rPr>
            </w:pPr>
            <w:r w:rsidRPr="000F777A">
              <w:rPr>
                <w:rFonts w:ascii="Arial Narrow" w:hAnsi="Arial Narrow"/>
              </w:rPr>
              <w:t>0.001</w:t>
            </w:r>
          </w:p>
        </w:tc>
      </w:tr>
      <w:tr w:rsidR="00F352E1" w:rsidRPr="000F777A" w14:paraId="0C302E9B" w14:textId="77777777" w:rsidTr="00A175A4">
        <w:trPr>
          <w:trHeight w:val="255"/>
        </w:trPr>
        <w:tc>
          <w:tcPr>
            <w:tcW w:w="2093" w:type="dxa"/>
            <w:noWrap/>
            <w:hideMark/>
          </w:tcPr>
          <w:p w14:paraId="34D30FE9" w14:textId="77777777" w:rsidR="009F052E" w:rsidRPr="000F777A" w:rsidRDefault="009F052E" w:rsidP="00A175A4">
            <w:pPr>
              <w:jc w:val="left"/>
              <w:rPr>
                <w:rFonts w:ascii="Arial Narrow" w:hAnsi="Arial Narrow"/>
                <w:i/>
              </w:rPr>
            </w:pPr>
            <w:r w:rsidRPr="000F777A">
              <w:rPr>
                <w:rFonts w:ascii="Arial Narrow" w:hAnsi="Arial Narrow"/>
                <w:i/>
              </w:rPr>
              <w:t>Goniastrea</w:t>
            </w:r>
          </w:p>
        </w:tc>
        <w:tc>
          <w:tcPr>
            <w:tcW w:w="850" w:type="dxa"/>
            <w:noWrap/>
            <w:vAlign w:val="center"/>
            <w:hideMark/>
          </w:tcPr>
          <w:p w14:paraId="201632D7" w14:textId="77777777" w:rsidR="009F052E" w:rsidRPr="000F777A" w:rsidRDefault="009F052E" w:rsidP="00A175A4">
            <w:pPr>
              <w:jc w:val="center"/>
              <w:rPr>
                <w:rFonts w:ascii="Arial Narrow" w:hAnsi="Arial Narrow"/>
              </w:rPr>
            </w:pPr>
            <w:r w:rsidRPr="000F777A">
              <w:rPr>
                <w:rFonts w:ascii="Arial Narrow" w:hAnsi="Arial Narrow"/>
              </w:rPr>
              <w:t>-0.115</w:t>
            </w:r>
          </w:p>
        </w:tc>
        <w:tc>
          <w:tcPr>
            <w:tcW w:w="851" w:type="dxa"/>
            <w:tcBorders>
              <w:right w:val="thinThickThinLargeGap" w:sz="24" w:space="0" w:color="auto"/>
            </w:tcBorders>
            <w:noWrap/>
            <w:vAlign w:val="center"/>
            <w:hideMark/>
          </w:tcPr>
          <w:p w14:paraId="0EA929BE" w14:textId="77777777" w:rsidR="009F052E" w:rsidRPr="000F777A" w:rsidRDefault="009F052E" w:rsidP="00A175A4">
            <w:pPr>
              <w:jc w:val="center"/>
              <w:rPr>
                <w:rFonts w:ascii="Arial Narrow" w:hAnsi="Arial Narrow"/>
              </w:rPr>
            </w:pPr>
            <w:r w:rsidRPr="000F777A">
              <w:rPr>
                <w:rFonts w:ascii="Arial Narrow" w:hAnsi="Arial Narrow"/>
              </w:rPr>
              <w:t>-0.278</w:t>
            </w:r>
          </w:p>
        </w:tc>
        <w:tc>
          <w:tcPr>
            <w:tcW w:w="2069" w:type="dxa"/>
            <w:tcBorders>
              <w:left w:val="thinThickThinLargeGap" w:sz="24" w:space="0" w:color="auto"/>
            </w:tcBorders>
          </w:tcPr>
          <w:p w14:paraId="0AB30404" w14:textId="77777777" w:rsidR="009F052E" w:rsidRPr="000F777A" w:rsidRDefault="009F052E" w:rsidP="00A175A4">
            <w:pPr>
              <w:jc w:val="left"/>
              <w:rPr>
                <w:rFonts w:ascii="Arial Narrow" w:hAnsi="Arial Narrow"/>
              </w:rPr>
            </w:pPr>
            <w:r w:rsidRPr="000F777A">
              <w:rPr>
                <w:rFonts w:ascii="Arial Narrow" w:hAnsi="Arial Narrow"/>
                <w:i/>
              </w:rPr>
              <w:t>Physogyra</w:t>
            </w:r>
          </w:p>
        </w:tc>
        <w:tc>
          <w:tcPr>
            <w:tcW w:w="766" w:type="dxa"/>
            <w:vAlign w:val="center"/>
          </w:tcPr>
          <w:p w14:paraId="10ADC474" w14:textId="77777777" w:rsidR="009F052E" w:rsidRPr="000F777A" w:rsidRDefault="009F052E" w:rsidP="00A175A4">
            <w:pPr>
              <w:jc w:val="center"/>
              <w:rPr>
                <w:rFonts w:ascii="Arial Narrow" w:hAnsi="Arial Narrow"/>
              </w:rPr>
            </w:pPr>
            <w:r w:rsidRPr="000F777A">
              <w:rPr>
                <w:rFonts w:ascii="Arial Narrow" w:hAnsi="Arial Narrow"/>
              </w:rPr>
              <w:t>0</w:t>
            </w:r>
          </w:p>
        </w:tc>
        <w:tc>
          <w:tcPr>
            <w:tcW w:w="851" w:type="dxa"/>
            <w:vAlign w:val="center"/>
          </w:tcPr>
          <w:p w14:paraId="7556560D" w14:textId="77777777" w:rsidR="009F052E" w:rsidRPr="000F777A" w:rsidRDefault="009F052E" w:rsidP="00A175A4">
            <w:pPr>
              <w:jc w:val="center"/>
              <w:rPr>
                <w:rFonts w:ascii="Arial Narrow" w:hAnsi="Arial Narrow"/>
              </w:rPr>
            </w:pPr>
            <w:r w:rsidRPr="000F777A">
              <w:rPr>
                <w:rFonts w:ascii="Arial Narrow" w:hAnsi="Arial Narrow"/>
              </w:rPr>
              <w:t>0.001</w:t>
            </w:r>
          </w:p>
        </w:tc>
      </w:tr>
      <w:tr w:rsidR="00F352E1" w:rsidRPr="000F777A" w14:paraId="0D9A431B" w14:textId="77777777" w:rsidTr="00A175A4">
        <w:trPr>
          <w:trHeight w:val="255"/>
        </w:trPr>
        <w:tc>
          <w:tcPr>
            <w:tcW w:w="2093" w:type="dxa"/>
            <w:noWrap/>
            <w:hideMark/>
          </w:tcPr>
          <w:p w14:paraId="2F78A9C8" w14:textId="77777777" w:rsidR="009F052E" w:rsidRPr="000F777A" w:rsidRDefault="009F052E" w:rsidP="00A175A4">
            <w:pPr>
              <w:jc w:val="left"/>
              <w:rPr>
                <w:rFonts w:ascii="Arial Narrow" w:hAnsi="Arial Narrow"/>
                <w:i/>
              </w:rPr>
            </w:pPr>
            <w:r w:rsidRPr="000F777A">
              <w:rPr>
                <w:rFonts w:ascii="Arial Narrow" w:hAnsi="Arial Narrow"/>
                <w:i/>
              </w:rPr>
              <w:t>Pachyseris</w:t>
            </w:r>
          </w:p>
        </w:tc>
        <w:tc>
          <w:tcPr>
            <w:tcW w:w="850" w:type="dxa"/>
            <w:noWrap/>
            <w:vAlign w:val="center"/>
            <w:hideMark/>
          </w:tcPr>
          <w:p w14:paraId="43161D58" w14:textId="77777777" w:rsidR="009F052E" w:rsidRPr="000F777A" w:rsidRDefault="009F052E" w:rsidP="00A175A4">
            <w:pPr>
              <w:jc w:val="center"/>
              <w:rPr>
                <w:rFonts w:ascii="Arial Narrow" w:hAnsi="Arial Narrow"/>
              </w:rPr>
            </w:pPr>
            <w:r w:rsidRPr="000F777A">
              <w:rPr>
                <w:rFonts w:ascii="Arial Narrow" w:hAnsi="Arial Narrow"/>
              </w:rPr>
              <w:t>-0.077</w:t>
            </w:r>
          </w:p>
        </w:tc>
        <w:tc>
          <w:tcPr>
            <w:tcW w:w="851" w:type="dxa"/>
            <w:tcBorders>
              <w:right w:val="thinThickThinLargeGap" w:sz="24" w:space="0" w:color="auto"/>
            </w:tcBorders>
            <w:noWrap/>
            <w:vAlign w:val="center"/>
            <w:hideMark/>
          </w:tcPr>
          <w:p w14:paraId="4270A1F2" w14:textId="77777777" w:rsidR="009F052E" w:rsidRPr="000F777A" w:rsidRDefault="009F052E" w:rsidP="00A175A4">
            <w:pPr>
              <w:jc w:val="center"/>
              <w:rPr>
                <w:rFonts w:ascii="Arial Narrow" w:hAnsi="Arial Narrow"/>
              </w:rPr>
            </w:pPr>
            <w:r w:rsidRPr="000F777A">
              <w:rPr>
                <w:rFonts w:ascii="Arial Narrow" w:hAnsi="Arial Narrow"/>
              </w:rPr>
              <w:t>-0.235</w:t>
            </w:r>
          </w:p>
        </w:tc>
        <w:tc>
          <w:tcPr>
            <w:tcW w:w="2069" w:type="dxa"/>
            <w:tcBorders>
              <w:left w:val="thinThickThinLargeGap" w:sz="24" w:space="0" w:color="auto"/>
            </w:tcBorders>
          </w:tcPr>
          <w:p w14:paraId="760186BF" w14:textId="77777777" w:rsidR="009F052E" w:rsidRPr="000F777A" w:rsidRDefault="009F052E" w:rsidP="00A175A4">
            <w:pPr>
              <w:jc w:val="left"/>
              <w:rPr>
                <w:rFonts w:ascii="Arial Narrow" w:hAnsi="Arial Narrow"/>
                <w:i/>
              </w:rPr>
            </w:pPr>
            <w:r w:rsidRPr="000F777A">
              <w:rPr>
                <w:rFonts w:ascii="Arial Narrow" w:hAnsi="Arial Narrow"/>
                <w:i/>
              </w:rPr>
              <w:t>Cynarina *</w:t>
            </w:r>
          </w:p>
        </w:tc>
        <w:tc>
          <w:tcPr>
            <w:tcW w:w="766" w:type="dxa"/>
            <w:vAlign w:val="center"/>
          </w:tcPr>
          <w:p w14:paraId="339B3251" w14:textId="77777777" w:rsidR="009F052E" w:rsidRPr="000F777A" w:rsidRDefault="009F052E" w:rsidP="00A175A4">
            <w:pPr>
              <w:jc w:val="center"/>
              <w:rPr>
                <w:rFonts w:ascii="Arial Narrow" w:hAnsi="Arial Narrow"/>
              </w:rPr>
            </w:pPr>
            <w:r w:rsidRPr="000F777A">
              <w:rPr>
                <w:rFonts w:ascii="Arial Narrow" w:hAnsi="Arial Narrow"/>
              </w:rPr>
              <w:t>-0.000</w:t>
            </w:r>
          </w:p>
        </w:tc>
        <w:tc>
          <w:tcPr>
            <w:tcW w:w="851" w:type="dxa"/>
            <w:vAlign w:val="center"/>
          </w:tcPr>
          <w:p w14:paraId="63E61AAD" w14:textId="77777777" w:rsidR="009F052E" w:rsidRPr="000F777A" w:rsidRDefault="009F052E" w:rsidP="00A175A4">
            <w:pPr>
              <w:jc w:val="center"/>
              <w:rPr>
                <w:rFonts w:ascii="Arial Narrow" w:hAnsi="Arial Narrow"/>
              </w:rPr>
            </w:pPr>
            <w:r w:rsidRPr="000F777A">
              <w:rPr>
                <w:rFonts w:ascii="Arial Narrow" w:hAnsi="Arial Narrow"/>
              </w:rPr>
              <w:t>0.004</w:t>
            </w:r>
          </w:p>
        </w:tc>
      </w:tr>
      <w:tr w:rsidR="00F352E1" w:rsidRPr="000F777A" w14:paraId="5BE4585B" w14:textId="77777777" w:rsidTr="00A175A4">
        <w:trPr>
          <w:trHeight w:val="255"/>
        </w:trPr>
        <w:tc>
          <w:tcPr>
            <w:tcW w:w="2093" w:type="dxa"/>
            <w:noWrap/>
            <w:hideMark/>
          </w:tcPr>
          <w:p w14:paraId="720D17A1" w14:textId="77777777" w:rsidR="009F052E" w:rsidRPr="000F777A" w:rsidRDefault="009F052E" w:rsidP="00A175A4">
            <w:pPr>
              <w:jc w:val="left"/>
              <w:rPr>
                <w:rFonts w:ascii="Arial Narrow" w:hAnsi="Arial Narrow"/>
                <w:i/>
              </w:rPr>
            </w:pPr>
            <w:r w:rsidRPr="000F777A">
              <w:rPr>
                <w:rFonts w:ascii="Arial Narrow" w:hAnsi="Arial Narrow"/>
                <w:i/>
              </w:rPr>
              <w:t>Favites</w:t>
            </w:r>
          </w:p>
        </w:tc>
        <w:tc>
          <w:tcPr>
            <w:tcW w:w="850" w:type="dxa"/>
            <w:noWrap/>
            <w:vAlign w:val="center"/>
            <w:hideMark/>
          </w:tcPr>
          <w:p w14:paraId="7B507DDC" w14:textId="77777777" w:rsidR="009F052E" w:rsidRPr="000F777A" w:rsidRDefault="009F052E" w:rsidP="00A175A4">
            <w:pPr>
              <w:jc w:val="center"/>
              <w:rPr>
                <w:rFonts w:ascii="Arial Narrow" w:hAnsi="Arial Narrow"/>
              </w:rPr>
            </w:pPr>
            <w:r w:rsidRPr="000F777A">
              <w:rPr>
                <w:rFonts w:ascii="Arial Narrow" w:hAnsi="Arial Narrow"/>
              </w:rPr>
              <w:t>-0.096</w:t>
            </w:r>
          </w:p>
        </w:tc>
        <w:tc>
          <w:tcPr>
            <w:tcW w:w="851" w:type="dxa"/>
            <w:tcBorders>
              <w:right w:val="thinThickThinLargeGap" w:sz="24" w:space="0" w:color="auto"/>
            </w:tcBorders>
            <w:noWrap/>
            <w:vAlign w:val="center"/>
            <w:hideMark/>
          </w:tcPr>
          <w:p w14:paraId="59F96339" w14:textId="77777777" w:rsidR="009F052E" w:rsidRPr="000F777A" w:rsidRDefault="009F052E" w:rsidP="00A175A4">
            <w:pPr>
              <w:jc w:val="center"/>
              <w:rPr>
                <w:rFonts w:ascii="Arial Narrow" w:hAnsi="Arial Narrow"/>
              </w:rPr>
            </w:pPr>
            <w:r w:rsidRPr="000F777A">
              <w:rPr>
                <w:rFonts w:ascii="Arial Narrow" w:hAnsi="Arial Narrow"/>
              </w:rPr>
              <w:t>-0.230</w:t>
            </w:r>
          </w:p>
        </w:tc>
        <w:tc>
          <w:tcPr>
            <w:tcW w:w="2069" w:type="dxa"/>
            <w:tcBorders>
              <w:left w:val="thinThickThinLargeGap" w:sz="24" w:space="0" w:color="auto"/>
            </w:tcBorders>
          </w:tcPr>
          <w:p w14:paraId="4F6056C0" w14:textId="77777777" w:rsidR="009F052E" w:rsidRPr="000F777A" w:rsidRDefault="009F052E" w:rsidP="00A175A4">
            <w:pPr>
              <w:jc w:val="left"/>
              <w:rPr>
                <w:rFonts w:ascii="Arial Narrow" w:hAnsi="Arial Narrow"/>
                <w:i/>
              </w:rPr>
            </w:pPr>
            <w:r w:rsidRPr="000F777A">
              <w:rPr>
                <w:rFonts w:ascii="Arial Narrow" w:hAnsi="Arial Narrow"/>
                <w:i/>
              </w:rPr>
              <w:t>Sandalolitha*</w:t>
            </w:r>
          </w:p>
        </w:tc>
        <w:tc>
          <w:tcPr>
            <w:tcW w:w="766" w:type="dxa"/>
            <w:vAlign w:val="center"/>
          </w:tcPr>
          <w:p w14:paraId="3DECE3CF" w14:textId="77777777" w:rsidR="009F052E" w:rsidRPr="000F777A" w:rsidRDefault="009F052E" w:rsidP="00A175A4">
            <w:pPr>
              <w:jc w:val="center"/>
              <w:rPr>
                <w:rFonts w:ascii="Arial Narrow" w:hAnsi="Arial Narrow"/>
              </w:rPr>
            </w:pPr>
            <w:r w:rsidRPr="000F777A">
              <w:rPr>
                <w:rFonts w:ascii="Arial Narrow" w:hAnsi="Arial Narrow"/>
              </w:rPr>
              <w:t>0.003</w:t>
            </w:r>
          </w:p>
        </w:tc>
        <w:tc>
          <w:tcPr>
            <w:tcW w:w="851" w:type="dxa"/>
            <w:vAlign w:val="center"/>
          </w:tcPr>
          <w:p w14:paraId="43EC50CB" w14:textId="77777777" w:rsidR="009F052E" w:rsidRPr="000F777A" w:rsidRDefault="009F052E" w:rsidP="00A175A4">
            <w:pPr>
              <w:jc w:val="center"/>
              <w:rPr>
                <w:rFonts w:ascii="Arial Narrow" w:hAnsi="Arial Narrow"/>
              </w:rPr>
            </w:pPr>
            <w:r w:rsidRPr="000F777A">
              <w:rPr>
                <w:rFonts w:ascii="Arial Narrow" w:hAnsi="Arial Narrow"/>
              </w:rPr>
              <w:t>0.005</w:t>
            </w:r>
          </w:p>
        </w:tc>
      </w:tr>
      <w:tr w:rsidR="00F352E1" w:rsidRPr="000F777A" w14:paraId="04587ADF" w14:textId="77777777" w:rsidTr="00A175A4">
        <w:trPr>
          <w:trHeight w:val="255"/>
        </w:trPr>
        <w:tc>
          <w:tcPr>
            <w:tcW w:w="2093" w:type="dxa"/>
            <w:noWrap/>
            <w:hideMark/>
          </w:tcPr>
          <w:p w14:paraId="621E8861" w14:textId="77777777" w:rsidR="009F052E" w:rsidRPr="000F777A" w:rsidRDefault="009F052E" w:rsidP="00A175A4">
            <w:pPr>
              <w:jc w:val="left"/>
              <w:rPr>
                <w:rFonts w:ascii="Arial Narrow" w:hAnsi="Arial Narrow"/>
                <w:i/>
              </w:rPr>
            </w:pPr>
            <w:r w:rsidRPr="000F777A">
              <w:rPr>
                <w:rFonts w:ascii="Arial Narrow" w:hAnsi="Arial Narrow"/>
                <w:i/>
              </w:rPr>
              <w:t xml:space="preserve">Alveopora </w:t>
            </w:r>
          </w:p>
        </w:tc>
        <w:tc>
          <w:tcPr>
            <w:tcW w:w="850" w:type="dxa"/>
            <w:noWrap/>
            <w:vAlign w:val="center"/>
            <w:hideMark/>
          </w:tcPr>
          <w:p w14:paraId="4862CB9A" w14:textId="77777777" w:rsidR="009F052E" w:rsidRPr="000F777A" w:rsidRDefault="009F052E" w:rsidP="00A175A4">
            <w:pPr>
              <w:jc w:val="center"/>
              <w:rPr>
                <w:rFonts w:ascii="Arial Narrow" w:hAnsi="Arial Narrow"/>
              </w:rPr>
            </w:pPr>
            <w:r w:rsidRPr="000F777A">
              <w:rPr>
                <w:rFonts w:ascii="Arial Narrow" w:hAnsi="Arial Narrow"/>
              </w:rPr>
              <w:t>-0.076</w:t>
            </w:r>
          </w:p>
        </w:tc>
        <w:tc>
          <w:tcPr>
            <w:tcW w:w="851" w:type="dxa"/>
            <w:tcBorders>
              <w:right w:val="thinThickThinLargeGap" w:sz="24" w:space="0" w:color="auto"/>
            </w:tcBorders>
            <w:noWrap/>
            <w:vAlign w:val="center"/>
            <w:hideMark/>
          </w:tcPr>
          <w:p w14:paraId="1129AF09" w14:textId="77777777" w:rsidR="009F052E" w:rsidRPr="000F777A" w:rsidRDefault="009F052E" w:rsidP="00A175A4">
            <w:pPr>
              <w:jc w:val="center"/>
              <w:rPr>
                <w:rFonts w:ascii="Arial Narrow" w:hAnsi="Arial Narrow"/>
              </w:rPr>
            </w:pPr>
            <w:r w:rsidRPr="000F777A">
              <w:rPr>
                <w:rFonts w:ascii="Arial Narrow" w:hAnsi="Arial Narrow"/>
              </w:rPr>
              <w:t>-0.221</w:t>
            </w:r>
          </w:p>
        </w:tc>
        <w:tc>
          <w:tcPr>
            <w:tcW w:w="2069" w:type="dxa"/>
            <w:tcBorders>
              <w:left w:val="thinThickThinLargeGap" w:sz="24" w:space="0" w:color="auto"/>
            </w:tcBorders>
          </w:tcPr>
          <w:p w14:paraId="072CA8D1" w14:textId="77777777" w:rsidR="009F052E" w:rsidRPr="000F777A" w:rsidRDefault="009F052E" w:rsidP="00A175A4">
            <w:pPr>
              <w:jc w:val="left"/>
              <w:rPr>
                <w:rFonts w:ascii="Arial Narrow" w:hAnsi="Arial Narrow"/>
                <w:i/>
              </w:rPr>
            </w:pPr>
            <w:r w:rsidRPr="000F777A">
              <w:rPr>
                <w:rFonts w:ascii="Arial Narrow" w:hAnsi="Arial Narrow"/>
                <w:i/>
              </w:rPr>
              <w:t>Montastrea</w:t>
            </w:r>
          </w:p>
        </w:tc>
        <w:tc>
          <w:tcPr>
            <w:tcW w:w="766" w:type="dxa"/>
            <w:vAlign w:val="center"/>
          </w:tcPr>
          <w:p w14:paraId="57550469" w14:textId="77777777" w:rsidR="009F052E" w:rsidRPr="000F777A" w:rsidRDefault="009F052E" w:rsidP="00A175A4">
            <w:pPr>
              <w:jc w:val="center"/>
              <w:rPr>
                <w:rFonts w:ascii="Arial Narrow" w:hAnsi="Arial Narrow"/>
              </w:rPr>
            </w:pPr>
            <w:r w:rsidRPr="000F777A">
              <w:rPr>
                <w:rFonts w:ascii="Arial Narrow" w:hAnsi="Arial Narrow"/>
              </w:rPr>
              <w:t>0.019</w:t>
            </w:r>
          </w:p>
        </w:tc>
        <w:tc>
          <w:tcPr>
            <w:tcW w:w="851" w:type="dxa"/>
            <w:vAlign w:val="center"/>
          </w:tcPr>
          <w:p w14:paraId="7397099B" w14:textId="77777777" w:rsidR="009F052E" w:rsidRPr="000F777A" w:rsidRDefault="009F052E" w:rsidP="00A175A4">
            <w:pPr>
              <w:jc w:val="center"/>
              <w:rPr>
                <w:rFonts w:ascii="Arial Narrow" w:hAnsi="Arial Narrow"/>
              </w:rPr>
            </w:pPr>
            <w:r w:rsidRPr="000F777A">
              <w:rPr>
                <w:rFonts w:ascii="Arial Narrow" w:hAnsi="Arial Narrow"/>
              </w:rPr>
              <w:t>0.005</w:t>
            </w:r>
          </w:p>
        </w:tc>
      </w:tr>
      <w:tr w:rsidR="00F352E1" w:rsidRPr="000F777A" w14:paraId="6AE1C2DA" w14:textId="77777777" w:rsidTr="00A175A4">
        <w:trPr>
          <w:trHeight w:val="255"/>
        </w:trPr>
        <w:tc>
          <w:tcPr>
            <w:tcW w:w="2093" w:type="dxa"/>
            <w:noWrap/>
            <w:hideMark/>
          </w:tcPr>
          <w:p w14:paraId="516E5E5B" w14:textId="77777777" w:rsidR="009F052E" w:rsidRPr="000F777A" w:rsidRDefault="009F052E" w:rsidP="00A175A4">
            <w:pPr>
              <w:jc w:val="left"/>
              <w:rPr>
                <w:rFonts w:ascii="Arial Narrow" w:hAnsi="Arial Narrow"/>
                <w:i/>
              </w:rPr>
            </w:pPr>
            <w:r w:rsidRPr="000F777A">
              <w:rPr>
                <w:rFonts w:ascii="Arial Narrow" w:hAnsi="Arial Narrow"/>
                <w:i/>
              </w:rPr>
              <w:t>Hydnophora</w:t>
            </w:r>
          </w:p>
        </w:tc>
        <w:tc>
          <w:tcPr>
            <w:tcW w:w="850" w:type="dxa"/>
            <w:noWrap/>
            <w:vAlign w:val="center"/>
            <w:hideMark/>
          </w:tcPr>
          <w:p w14:paraId="12269C62" w14:textId="77777777" w:rsidR="009F052E" w:rsidRPr="000F777A" w:rsidRDefault="009F052E" w:rsidP="00A175A4">
            <w:pPr>
              <w:jc w:val="center"/>
              <w:rPr>
                <w:rFonts w:ascii="Arial Narrow" w:hAnsi="Arial Narrow"/>
              </w:rPr>
            </w:pPr>
            <w:r w:rsidRPr="000F777A">
              <w:rPr>
                <w:rFonts w:ascii="Arial Narrow" w:hAnsi="Arial Narrow"/>
              </w:rPr>
              <w:t>-0.047</w:t>
            </w:r>
          </w:p>
        </w:tc>
        <w:tc>
          <w:tcPr>
            <w:tcW w:w="851" w:type="dxa"/>
            <w:tcBorders>
              <w:right w:val="thinThickThinLargeGap" w:sz="24" w:space="0" w:color="auto"/>
            </w:tcBorders>
            <w:noWrap/>
            <w:vAlign w:val="center"/>
            <w:hideMark/>
          </w:tcPr>
          <w:p w14:paraId="6E4A0E7A" w14:textId="77777777" w:rsidR="009F052E" w:rsidRPr="000F777A" w:rsidRDefault="009F052E" w:rsidP="00A175A4">
            <w:pPr>
              <w:jc w:val="center"/>
              <w:rPr>
                <w:rFonts w:ascii="Arial Narrow" w:hAnsi="Arial Narrow"/>
              </w:rPr>
            </w:pPr>
            <w:r w:rsidRPr="000F777A">
              <w:rPr>
                <w:rFonts w:ascii="Arial Narrow" w:hAnsi="Arial Narrow"/>
              </w:rPr>
              <w:t>-0.213</w:t>
            </w:r>
          </w:p>
        </w:tc>
        <w:tc>
          <w:tcPr>
            <w:tcW w:w="2069" w:type="dxa"/>
            <w:tcBorders>
              <w:left w:val="thinThickThinLargeGap" w:sz="24" w:space="0" w:color="auto"/>
            </w:tcBorders>
          </w:tcPr>
          <w:p w14:paraId="2A1A44F9" w14:textId="77777777" w:rsidR="009F052E" w:rsidRPr="000F777A" w:rsidRDefault="009F052E" w:rsidP="00A175A4">
            <w:pPr>
              <w:jc w:val="left"/>
              <w:rPr>
                <w:rFonts w:ascii="Arial Narrow" w:hAnsi="Arial Narrow"/>
                <w:i/>
              </w:rPr>
            </w:pPr>
            <w:r w:rsidRPr="000F777A">
              <w:rPr>
                <w:rFonts w:ascii="Arial Narrow" w:hAnsi="Arial Narrow"/>
                <w:i/>
              </w:rPr>
              <w:t>Fungia</w:t>
            </w:r>
          </w:p>
        </w:tc>
        <w:tc>
          <w:tcPr>
            <w:tcW w:w="766" w:type="dxa"/>
            <w:vAlign w:val="center"/>
          </w:tcPr>
          <w:p w14:paraId="4CD4D89A" w14:textId="77777777" w:rsidR="009F052E" w:rsidRPr="000F777A" w:rsidRDefault="009F052E" w:rsidP="00A175A4">
            <w:pPr>
              <w:jc w:val="center"/>
              <w:rPr>
                <w:rFonts w:ascii="Arial Narrow" w:hAnsi="Arial Narrow"/>
              </w:rPr>
            </w:pPr>
            <w:r w:rsidRPr="000F777A">
              <w:rPr>
                <w:rFonts w:ascii="Arial Narrow" w:hAnsi="Arial Narrow"/>
              </w:rPr>
              <w:t>0.013</w:t>
            </w:r>
          </w:p>
        </w:tc>
        <w:tc>
          <w:tcPr>
            <w:tcW w:w="851" w:type="dxa"/>
            <w:vAlign w:val="center"/>
          </w:tcPr>
          <w:p w14:paraId="1C86651D" w14:textId="77777777" w:rsidR="009F052E" w:rsidRPr="000F777A" w:rsidRDefault="009F052E" w:rsidP="00A175A4">
            <w:pPr>
              <w:jc w:val="center"/>
              <w:rPr>
                <w:rFonts w:ascii="Arial Narrow" w:hAnsi="Arial Narrow"/>
              </w:rPr>
            </w:pPr>
            <w:r w:rsidRPr="000F777A">
              <w:rPr>
                <w:rFonts w:ascii="Arial Narrow" w:hAnsi="Arial Narrow"/>
              </w:rPr>
              <w:t>0.015</w:t>
            </w:r>
          </w:p>
        </w:tc>
      </w:tr>
      <w:tr w:rsidR="00F352E1" w:rsidRPr="000F777A" w14:paraId="29B02306" w14:textId="77777777" w:rsidTr="00A175A4">
        <w:trPr>
          <w:trHeight w:val="255"/>
        </w:trPr>
        <w:tc>
          <w:tcPr>
            <w:tcW w:w="2093" w:type="dxa"/>
            <w:noWrap/>
            <w:hideMark/>
          </w:tcPr>
          <w:p w14:paraId="71FD23AC" w14:textId="77777777" w:rsidR="009F052E" w:rsidRPr="000F777A" w:rsidRDefault="009F052E" w:rsidP="00A175A4">
            <w:pPr>
              <w:jc w:val="left"/>
              <w:rPr>
                <w:rFonts w:ascii="Arial Narrow" w:hAnsi="Arial Narrow"/>
                <w:i/>
              </w:rPr>
            </w:pPr>
            <w:r w:rsidRPr="000F777A">
              <w:rPr>
                <w:rFonts w:ascii="Arial Narrow" w:hAnsi="Arial Narrow"/>
                <w:i/>
              </w:rPr>
              <w:t>Cyphastrea</w:t>
            </w:r>
          </w:p>
        </w:tc>
        <w:tc>
          <w:tcPr>
            <w:tcW w:w="850" w:type="dxa"/>
            <w:noWrap/>
            <w:vAlign w:val="center"/>
            <w:hideMark/>
          </w:tcPr>
          <w:p w14:paraId="174E6EB4" w14:textId="77777777" w:rsidR="009F052E" w:rsidRPr="000F777A" w:rsidRDefault="009F052E" w:rsidP="00A175A4">
            <w:pPr>
              <w:jc w:val="center"/>
              <w:rPr>
                <w:rFonts w:ascii="Arial Narrow" w:hAnsi="Arial Narrow"/>
              </w:rPr>
            </w:pPr>
            <w:r w:rsidRPr="000F777A">
              <w:rPr>
                <w:rFonts w:ascii="Arial Narrow" w:hAnsi="Arial Narrow"/>
              </w:rPr>
              <w:t>-0.386</w:t>
            </w:r>
          </w:p>
        </w:tc>
        <w:tc>
          <w:tcPr>
            <w:tcW w:w="851" w:type="dxa"/>
            <w:tcBorders>
              <w:right w:val="thinThickThinLargeGap" w:sz="24" w:space="0" w:color="auto"/>
            </w:tcBorders>
            <w:noWrap/>
            <w:vAlign w:val="center"/>
            <w:hideMark/>
          </w:tcPr>
          <w:p w14:paraId="36F9B48D" w14:textId="77777777" w:rsidR="009F052E" w:rsidRPr="000F777A" w:rsidRDefault="009F052E" w:rsidP="00A175A4">
            <w:pPr>
              <w:jc w:val="center"/>
              <w:rPr>
                <w:rFonts w:ascii="Arial Narrow" w:hAnsi="Arial Narrow"/>
              </w:rPr>
            </w:pPr>
            <w:r w:rsidRPr="000F777A">
              <w:rPr>
                <w:rFonts w:ascii="Arial Narrow" w:hAnsi="Arial Narrow"/>
              </w:rPr>
              <w:t>-0.193</w:t>
            </w:r>
          </w:p>
        </w:tc>
        <w:tc>
          <w:tcPr>
            <w:tcW w:w="2069" w:type="dxa"/>
            <w:tcBorders>
              <w:left w:val="thinThickThinLargeGap" w:sz="24" w:space="0" w:color="auto"/>
            </w:tcBorders>
          </w:tcPr>
          <w:p w14:paraId="249051CD" w14:textId="77777777" w:rsidR="009F052E" w:rsidRPr="000F777A" w:rsidRDefault="009F052E" w:rsidP="00A175A4">
            <w:pPr>
              <w:jc w:val="left"/>
              <w:rPr>
                <w:rFonts w:ascii="Arial Narrow" w:hAnsi="Arial Narrow"/>
                <w:i/>
              </w:rPr>
            </w:pPr>
            <w:r w:rsidRPr="000F777A">
              <w:rPr>
                <w:rFonts w:ascii="Arial Narrow" w:hAnsi="Arial Narrow"/>
              </w:rPr>
              <w:t xml:space="preserve">Encrusting </w:t>
            </w:r>
            <w:r w:rsidRPr="000F777A">
              <w:rPr>
                <w:rFonts w:ascii="Arial Narrow" w:hAnsi="Arial Narrow"/>
                <w:i/>
              </w:rPr>
              <w:t>Acropora</w:t>
            </w:r>
          </w:p>
        </w:tc>
        <w:tc>
          <w:tcPr>
            <w:tcW w:w="766" w:type="dxa"/>
            <w:vAlign w:val="center"/>
          </w:tcPr>
          <w:p w14:paraId="4F9EF160" w14:textId="77777777" w:rsidR="009F052E" w:rsidRPr="000F777A" w:rsidRDefault="009F052E" w:rsidP="00A175A4">
            <w:pPr>
              <w:jc w:val="center"/>
              <w:rPr>
                <w:rFonts w:ascii="Arial Narrow" w:hAnsi="Arial Narrow"/>
              </w:rPr>
            </w:pPr>
            <w:r w:rsidRPr="000F777A">
              <w:rPr>
                <w:rFonts w:ascii="Arial Narrow" w:hAnsi="Arial Narrow"/>
              </w:rPr>
              <w:t>0.048</w:t>
            </w:r>
          </w:p>
        </w:tc>
        <w:tc>
          <w:tcPr>
            <w:tcW w:w="851" w:type="dxa"/>
            <w:vAlign w:val="center"/>
          </w:tcPr>
          <w:p w14:paraId="1F9EC9CB" w14:textId="77777777" w:rsidR="009F052E" w:rsidRPr="000F777A" w:rsidRDefault="009F052E" w:rsidP="00A175A4">
            <w:pPr>
              <w:jc w:val="center"/>
              <w:rPr>
                <w:rFonts w:ascii="Arial Narrow" w:hAnsi="Arial Narrow"/>
              </w:rPr>
            </w:pPr>
            <w:r w:rsidRPr="000F777A">
              <w:rPr>
                <w:rFonts w:ascii="Arial Narrow" w:hAnsi="Arial Narrow"/>
              </w:rPr>
              <w:t>0.015</w:t>
            </w:r>
          </w:p>
        </w:tc>
      </w:tr>
      <w:tr w:rsidR="00F352E1" w:rsidRPr="000F777A" w14:paraId="2D15EE50" w14:textId="77777777" w:rsidTr="00A175A4">
        <w:trPr>
          <w:trHeight w:val="255"/>
        </w:trPr>
        <w:tc>
          <w:tcPr>
            <w:tcW w:w="2093" w:type="dxa"/>
            <w:noWrap/>
            <w:hideMark/>
          </w:tcPr>
          <w:p w14:paraId="653C7272" w14:textId="77777777" w:rsidR="009F052E" w:rsidRPr="000F777A" w:rsidRDefault="009F052E" w:rsidP="00A175A4">
            <w:pPr>
              <w:jc w:val="left"/>
              <w:rPr>
                <w:rFonts w:ascii="Arial Narrow" w:hAnsi="Arial Narrow"/>
                <w:i/>
              </w:rPr>
            </w:pPr>
            <w:r w:rsidRPr="000F777A">
              <w:rPr>
                <w:rFonts w:ascii="Arial Narrow" w:hAnsi="Arial Narrow"/>
                <w:i/>
              </w:rPr>
              <w:t>Galaxea</w:t>
            </w:r>
          </w:p>
        </w:tc>
        <w:tc>
          <w:tcPr>
            <w:tcW w:w="850" w:type="dxa"/>
            <w:noWrap/>
            <w:vAlign w:val="center"/>
            <w:hideMark/>
          </w:tcPr>
          <w:p w14:paraId="5AFF7460" w14:textId="77777777" w:rsidR="009F052E" w:rsidRPr="000F777A" w:rsidRDefault="009F052E" w:rsidP="00A175A4">
            <w:pPr>
              <w:jc w:val="center"/>
              <w:rPr>
                <w:rFonts w:ascii="Arial Narrow" w:hAnsi="Arial Narrow"/>
              </w:rPr>
            </w:pPr>
            <w:r w:rsidRPr="000F777A">
              <w:rPr>
                <w:rFonts w:ascii="Arial Narrow" w:hAnsi="Arial Narrow"/>
              </w:rPr>
              <w:t>-0.081</w:t>
            </w:r>
          </w:p>
        </w:tc>
        <w:tc>
          <w:tcPr>
            <w:tcW w:w="851" w:type="dxa"/>
            <w:tcBorders>
              <w:right w:val="thinThickThinLargeGap" w:sz="24" w:space="0" w:color="auto"/>
            </w:tcBorders>
            <w:noWrap/>
            <w:vAlign w:val="center"/>
            <w:hideMark/>
          </w:tcPr>
          <w:p w14:paraId="15207579" w14:textId="77777777" w:rsidR="009F052E" w:rsidRPr="000F777A" w:rsidRDefault="009F052E" w:rsidP="00A175A4">
            <w:pPr>
              <w:jc w:val="center"/>
              <w:rPr>
                <w:rFonts w:ascii="Arial Narrow" w:hAnsi="Arial Narrow"/>
              </w:rPr>
            </w:pPr>
            <w:r w:rsidRPr="000F777A">
              <w:rPr>
                <w:rFonts w:ascii="Arial Narrow" w:hAnsi="Arial Narrow"/>
              </w:rPr>
              <w:t>-0.159</w:t>
            </w:r>
          </w:p>
        </w:tc>
        <w:tc>
          <w:tcPr>
            <w:tcW w:w="2069" w:type="dxa"/>
            <w:tcBorders>
              <w:left w:val="thinThickThinLargeGap" w:sz="24" w:space="0" w:color="auto"/>
            </w:tcBorders>
          </w:tcPr>
          <w:p w14:paraId="19475A55" w14:textId="77777777" w:rsidR="009F052E" w:rsidRPr="000F777A" w:rsidRDefault="009F052E" w:rsidP="00A175A4">
            <w:pPr>
              <w:jc w:val="left"/>
              <w:rPr>
                <w:rFonts w:ascii="Arial Narrow" w:hAnsi="Arial Narrow"/>
              </w:rPr>
            </w:pPr>
            <w:r w:rsidRPr="000F777A">
              <w:rPr>
                <w:rFonts w:ascii="Arial Narrow" w:hAnsi="Arial Narrow"/>
                <w:i/>
              </w:rPr>
              <w:t>Acanthastrea *</w:t>
            </w:r>
          </w:p>
        </w:tc>
        <w:tc>
          <w:tcPr>
            <w:tcW w:w="766" w:type="dxa"/>
            <w:vAlign w:val="center"/>
          </w:tcPr>
          <w:p w14:paraId="61612B45" w14:textId="77777777" w:rsidR="009F052E" w:rsidRPr="000F777A" w:rsidRDefault="009F052E" w:rsidP="00A175A4">
            <w:pPr>
              <w:jc w:val="center"/>
              <w:rPr>
                <w:rFonts w:ascii="Arial Narrow" w:hAnsi="Arial Narrow"/>
              </w:rPr>
            </w:pPr>
            <w:r w:rsidRPr="000F777A">
              <w:rPr>
                <w:rFonts w:ascii="Arial Narrow" w:hAnsi="Arial Narrow"/>
              </w:rPr>
              <w:t>-0.014</w:t>
            </w:r>
          </w:p>
        </w:tc>
        <w:tc>
          <w:tcPr>
            <w:tcW w:w="851" w:type="dxa"/>
            <w:vAlign w:val="center"/>
          </w:tcPr>
          <w:p w14:paraId="67C5DF57" w14:textId="77777777" w:rsidR="009F052E" w:rsidRPr="000F777A" w:rsidRDefault="009F052E" w:rsidP="00A175A4">
            <w:pPr>
              <w:jc w:val="center"/>
              <w:rPr>
                <w:rFonts w:ascii="Arial Narrow" w:hAnsi="Arial Narrow"/>
              </w:rPr>
            </w:pPr>
            <w:r w:rsidRPr="000F777A">
              <w:rPr>
                <w:rFonts w:ascii="Arial Narrow" w:hAnsi="Arial Narrow"/>
              </w:rPr>
              <w:t>0.017</w:t>
            </w:r>
          </w:p>
        </w:tc>
      </w:tr>
      <w:tr w:rsidR="00F352E1" w:rsidRPr="000F777A" w14:paraId="13472FD6" w14:textId="77777777" w:rsidTr="00A175A4">
        <w:trPr>
          <w:trHeight w:val="255"/>
        </w:trPr>
        <w:tc>
          <w:tcPr>
            <w:tcW w:w="2093" w:type="dxa"/>
            <w:noWrap/>
            <w:hideMark/>
          </w:tcPr>
          <w:p w14:paraId="3D644782" w14:textId="77777777" w:rsidR="009F052E" w:rsidRPr="000F777A" w:rsidRDefault="009F052E" w:rsidP="00A175A4">
            <w:pPr>
              <w:jc w:val="left"/>
              <w:rPr>
                <w:rFonts w:ascii="Arial Narrow" w:hAnsi="Arial Narrow"/>
                <w:i/>
              </w:rPr>
            </w:pPr>
            <w:r w:rsidRPr="000F777A">
              <w:rPr>
                <w:rFonts w:ascii="Arial Narrow" w:hAnsi="Arial Narrow"/>
                <w:i/>
              </w:rPr>
              <w:t>Mycedium</w:t>
            </w:r>
          </w:p>
        </w:tc>
        <w:tc>
          <w:tcPr>
            <w:tcW w:w="850" w:type="dxa"/>
            <w:noWrap/>
            <w:vAlign w:val="center"/>
            <w:hideMark/>
          </w:tcPr>
          <w:p w14:paraId="4B1814E7" w14:textId="77777777" w:rsidR="009F052E" w:rsidRPr="000F777A" w:rsidRDefault="009F052E" w:rsidP="00A175A4">
            <w:pPr>
              <w:jc w:val="center"/>
              <w:rPr>
                <w:rFonts w:ascii="Arial Narrow" w:hAnsi="Arial Narrow"/>
              </w:rPr>
            </w:pPr>
            <w:r w:rsidRPr="000F777A">
              <w:rPr>
                <w:rFonts w:ascii="Arial Narrow" w:hAnsi="Arial Narrow"/>
              </w:rPr>
              <w:t>-0.017</w:t>
            </w:r>
          </w:p>
        </w:tc>
        <w:tc>
          <w:tcPr>
            <w:tcW w:w="851" w:type="dxa"/>
            <w:tcBorders>
              <w:right w:val="thinThickThinLargeGap" w:sz="24" w:space="0" w:color="auto"/>
            </w:tcBorders>
            <w:noWrap/>
            <w:vAlign w:val="center"/>
            <w:hideMark/>
          </w:tcPr>
          <w:p w14:paraId="75E6B11D" w14:textId="77777777" w:rsidR="009F052E" w:rsidRPr="000F777A" w:rsidRDefault="009F052E" w:rsidP="00A175A4">
            <w:pPr>
              <w:jc w:val="center"/>
              <w:rPr>
                <w:rFonts w:ascii="Arial Narrow" w:hAnsi="Arial Narrow"/>
              </w:rPr>
            </w:pPr>
            <w:r w:rsidRPr="000F777A">
              <w:rPr>
                <w:rFonts w:ascii="Arial Narrow" w:hAnsi="Arial Narrow"/>
              </w:rPr>
              <w:t>-0.151</w:t>
            </w:r>
          </w:p>
        </w:tc>
        <w:tc>
          <w:tcPr>
            <w:tcW w:w="2069" w:type="dxa"/>
            <w:tcBorders>
              <w:left w:val="thinThickThinLargeGap" w:sz="24" w:space="0" w:color="auto"/>
            </w:tcBorders>
          </w:tcPr>
          <w:p w14:paraId="2E25A584" w14:textId="77777777" w:rsidR="009F052E" w:rsidRPr="000F777A" w:rsidRDefault="009F052E" w:rsidP="00A175A4">
            <w:pPr>
              <w:jc w:val="left"/>
              <w:rPr>
                <w:rFonts w:ascii="Arial Narrow" w:hAnsi="Arial Narrow"/>
                <w:i/>
              </w:rPr>
            </w:pPr>
            <w:r w:rsidRPr="000F777A">
              <w:rPr>
                <w:rFonts w:ascii="Arial Narrow" w:hAnsi="Arial Narrow"/>
                <w:i/>
              </w:rPr>
              <w:t>Symphyllia</w:t>
            </w:r>
          </w:p>
        </w:tc>
        <w:tc>
          <w:tcPr>
            <w:tcW w:w="766" w:type="dxa"/>
            <w:vAlign w:val="center"/>
          </w:tcPr>
          <w:p w14:paraId="754B75B8" w14:textId="77777777" w:rsidR="009F052E" w:rsidRPr="000F777A" w:rsidRDefault="009F052E" w:rsidP="00A175A4">
            <w:pPr>
              <w:jc w:val="center"/>
              <w:rPr>
                <w:rFonts w:ascii="Arial Narrow" w:hAnsi="Arial Narrow"/>
              </w:rPr>
            </w:pPr>
            <w:r w:rsidRPr="000F777A">
              <w:rPr>
                <w:rFonts w:ascii="Arial Narrow" w:hAnsi="Arial Narrow"/>
              </w:rPr>
              <w:t>0.034</w:t>
            </w:r>
          </w:p>
        </w:tc>
        <w:tc>
          <w:tcPr>
            <w:tcW w:w="851" w:type="dxa"/>
            <w:vAlign w:val="center"/>
          </w:tcPr>
          <w:p w14:paraId="6AEFF998" w14:textId="77777777" w:rsidR="009F052E" w:rsidRPr="000F777A" w:rsidRDefault="009F052E" w:rsidP="00A175A4">
            <w:pPr>
              <w:jc w:val="center"/>
              <w:rPr>
                <w:rFonts w:ascii="Arial Narrow" w:hAnsi="Arial Narrow"/>
              </w:rPr>
            </w:pPr>
            <w:r w:rsidRPr="000F777A">
              <w:rPr>
                <w:rFonts w:ascii="Arial Narrow" w:hAnsi="Arial Narrow"/>
              </w:rPr>
              <w:t>0.018</w:t>
            </w:r>
          </w:p>
        </w:tc>
      </w:tr>
      <w:tr w:rsidR="00F352E1" w:rsidRPr="000F777A" w14:paraId="2538BB57" w14:textId="77777777" w:rsidTr="00A175A4">
        <w:trPr>
          <w:trHeight w:val="255"/>
        </w:trPr>
        <w:tc>
          <w:tcPr>
            <w:tcW w:w="2093" w:type="dxa"/>
            <w:noWrap/>
            <w:hideMark/>
          </w:tcPr>
          <w:p w14:paraId="2D02E2B6" w14:textId="77777777" w:rsidR="009F052E" w:rsidRPr="000F777A" w:rsidRDefault="009F052E" w:rsidP="00A175A4">
            <w:pPr>
              <w:jc w:val="left"/>
              <w:rPr>
                <w:rFonts w:ascii="Arial Narrow" w:hAnsi="Arial Narrow"/>
                <w:i/>
              </w:rPr>
            </w:pPr>
            <w:r w:rsidRPr="000F777A">
              <w:rPr>
                <w:rFonts w:ascii="Arial Narrow" w:hAnsi="Arial Narrow"/>
                <w:i/>
              </w:rPr>
              <w:t>Favia</w:t>
            </w:r>
          </w:p>
        </w:tc>
        <w:tc>
          <w:tcPr>
            <w:tcW w:w="850" w:type="dxa"/>
            <w:noWrap/>
            <w:vAlign w:val="center"/>
            <w:hideMark/>
          </w:tcPr>
          <w:p w14:paraId="62C01BE8" w14:textId="77777777" w:rsidR="009F052E" w:rsidRPr="000F777A" w:rsidRDefault="009F052E" w:rsidP="00A175A4">
            <w:pPr>
              <w:jc w:val="center"/>
              <w:rPr>
                <w:rFonts w:ascii="Arial Narrow" w:hAnsi="Arial Narrow"/>
              </w:rPr>
            </w:pPr>
            <w:r w:rsidRPr="000F777A">
              <w:rPr>
                <w:rFonts w:ascii="Arial Narrow" w:hAnsi="Arial Narrow"/>
              </w:rPr>
              <w:t>-0.134</w:t>
            </w:r>
          </w:p>
        </w:tc>
        <w:tc>
          <w:tcPr>
            <w:tcW w:w="851" w:type="dxa"/>
            <w:tcBorders>
              <w:right w:val="thinThickThinLargeGap" w:sz="24" w:space="0" w:color="auto"/>
            </w:tcBorders>
            <w:noWrap/>
            <w:vAlign w:val="center"/>
            <w:hideMark/>
          </w:tcPr>
          <w:p w14:paraId="7EFB9188" w14:textId="77777777" w:rsidR="009F052E" w:rsidRPr="000F777A" w:rsidRDefault="009F052E" w:rsidP="00A175A4">
            <w:pPr>
              <w:jc w:val="center"/>
              <w:rPr>
                <w:rFonts w:ascii="Arial Narrow" w:hAnsi="Arial Narrow"/>
              </w:rPr>
            </w:pPr>
            <w:r w:rsidRPr="000F777A">
              <w:rPr>
                <w:rFonts w:ascii="Arial Narrow" w:hAnsi="Arial Narrow"/>
              </w:rPr>
              <w:t>-0.136</w:t>
            </w:r>
          </w:p>
        </w:tc>
        <w:tc>
          <w:tcPr>
            <w:tcW w:w="2069" w:type="dxa"/>
            <w:tcBorders>
              <w:left w:val="thinThickThinLargeGap" w:sz="24" w:space="0" w:color="auto"/>
            </w:tcBorders>
          </w:tcPr>
          <w:p w14:paraId="140B1116" w14:textId="77777777" w:rsidR="009F052E" w:rsidRPr="000F777A" w:rsidRDefault="009F052E" w:rsidP="00A175A4">
            <w:pPr>
              <w:jc w:val="left"/>
              <w:rPr>
                <w:rFonts w:ascii="Arial Narrow" w:hAnsi="Arial Narrow"/>
              </w:rPr>
            </w:pPr>
            <w:r w:rsidRPr="000F777A">
              <w:rPr>
                <w:rFonts w:ascii="Arial Narrow" w:hAnsi="Arial Narrow"/>
                <w:i/>
              </w:rPr>
              <w:t>Seriatopora</w:t>
            </w:r>
          </w:p>
        </w:tc>
        <w:tc>
          <w:tcPr>
            <w:tcW w:w="766" w:type="dxa"/>
            <w:vAlign w:val="center"/>
          </w:tcPr>
          <w:p w14:paraId="079B2414" w14:textId="77777777" w:rsidR="009F052E" w:rsidRPr="000F777A" w:rsidRDefault="009F052E" w:rsidP="00A175A4">
            <w:pPr>
              <w:jc w:val="center"/>
              <w:rPr>
                <w:rFonts w:ascii="Arial Narrow" w:hAnsi="Arial Narrow"/>
              </w:rPr>
            </w:pPr>
            <w:r w:rsidRPr="000F777A">
              <w:rPr>
                <w:rFonts w:ascii="Arial Narrow" w:hAnsi="Arial Narrow"/>
              </w:rPr>
              <w:t>0.05</w:t>
            </w:r>
          </w:p>
        </w:tc>
        <w:tc>
          <w:tcPr>
            <w:tcW w:w="851" w:type="dxa"/>
            <w:vAlign w:val="center"/>
          </w:tcPr>
          <w:p w14:paraId="65C3D7C0" w14:textId="77777777" w:rsidR="009F052E" w:rsidRPr="000F777A" w:rsidRDefault="009F052E" w:rsidP="00A175A4">
            <w:pPr>
              <w:jc w:val="center"/>
              <w:rPr>
                <w:rFonts w:ascii="Arial Narrow" w:hAnsi="Arial Narrow"/>
              </w:rPr>
            </w:pPr>
            <w:r w:rsidRPr="000F777A">
              <w:rPr>
                <w:rFonts w:ascii="Arial Narrow" w:hAnsi="Arial Narrow"/>
              </w:rPr>
              <w:t>0.027</w:t>
            </w:r>
          </w:p>
        </w:tc>
      </w:tr>
      <w:tr w:rsidR="00F352E1" w:rsidRPr="000F777A" w14:paraId="5248D619" w14:textId="77777777" w:rsidTr="00A175A4">
        <w:trPr>
          <w:trHeight w:val="255"/>
        </w:trPr>
        <w:tc>
          <w:tcPr>
            <w:tcW w:w="2093" w:type="dxa"/>
            <w:noWrap/>
            <w:hideMark/>
          </w:tcPr>
          <w:p w14:paraId="0C77C33D" w14:textId="77777777" w:rsidR="009F052E" w:rsidRPr="000F777A" w:rsidRDefault="009F052E" w:rsidP="00A175A4">
            <w:pPr>
              <w:jc w:val="left"/>
              <w:rPr>
                <w:rFonts w:ascii="Arial Narrow" w:hAnsi="Arial Narrow"/>
                <w:i/>
              </w:rPr>
            </w:pPr>
            <w:r w:rsidRPr="000F777A">
              <w:rPr>
                <w:rFonts w:ascii="Arial Narrow" w:hAnsi="Arial Narrow"/>
                <w:i/>
              </w:rPr>
              <w:t>Pectinia</w:t>
            </w:r>
          </w:p>
        </w:tc>
        <w:tc>
          <w:tcPr>
            <w:tcW w:w="850" w:type="dxa"/>
            <w:noWrap/>
            <w:vAlign w:val="center"/>
            <w:hideMark/>
          </w:tcPr>
          <w:p w14:paraId="6989AB56" w14:textId="77777777" w:rsidR="009F052E" w:rsidRPr="000F777A" w:rsidRDefault="009F052E" w:rsidP="00A175A4">
            <w:pPr>
              <w:jc w:val="center"/>
              <w:rPr>
                <w:rFonts w:ascii="Arial Narrow" w:hAnsi="Arial Narrow"/>
              </w:rPr>
            </w:pPr>
            <w:r w:rsidRPr="000F777A">
              <w:rPr>
                <w:rFonts w:ascii="Arial Narrow" w:hAnsi="Arial Narrow"/>
              </w:rPr>
              <w:t>-0.030</w:t>
            </w:r>
          </w:p>
        </w:tc>
        <w:tc>
          <w:tcPr>
            <w:tcW w:w="851" w:type="dxa"/>
            <w:tcBorders>
              <w:right w:val="thinThickThinLargeGap" w:sz="24" w:space="0" w:color="auto"/>
            </w:tcBorders>
            <w:noWrap/>
            <w:vAlign w:val="center"/>
            <w:hideMark/>
          </w:tcPr>
          <w:p w14:paraId="617EFA93" w14:textId="77777777" w:rsidR="009F052E" w:rsidRPr="000F777A" w:rsidRDefault="009F052E" w:rsidP="00A175A4">
            <w:pPr>
              <w:jc w:val="center"/>
              <w:rPr>
                <w:rFonts w:ascii="Arial Narrow" w:hAnsi="Arial Narrow"/>
              </w:rPr>
            </w:pPr>
            <w:r w:rsidRPr="000F777A">
              <w:rPr>
                <w:rFonts w:ascii="Arial Narrow" w:hAnsi="Arial Narrow"/>
              </w:rPr>
              <w:t>-0.126</w:t>
            </w:r>
          </w:p>
        </w:tc>
        <w:tc>
          <w:tcPr>
            <w:tcW w:w="2069" w:type="dxa"/>
            <w:tcBorders>
              <w:left w:val="thinThickThinLargeGap" w:sz="24" w:space="0" w:color="auto"/>
            </w:tcBorders>
          </w:tcPr>
          <w:p w14:paraId="5F5FCEAA" w14:textId="77777777" w:rsidR="009F052E" w:rsidRPr="000F777A" w:rsidRDefault="009F052E" w:rsidP="00A175A4">
            <w:pPr>
              <w:jc w:val="left"/>
              <w:rPr>
                <w:rFonts w:ascii="Arial Narrow" w:hAnsi="Arial Narrow"/>
                <w:i/>
              </w:rPr>
            </w:pPr>
            <w:r w:rsidRPr="000F777A">
              <w:rPr>
                <w:rFonts w:ascii="Arial Narrow" w:hAnsi="Arial Narrow"/>
                <w:i/>
              </w:rPr>
              <w:t>Stylophora</w:t>
            </w:r>
          </w:p>
        </w:tc>
        <w:tc>
          <w:tcPr>
            <w:tcW w:w="766" w:type="dxa"/>
            <w:vAlign w:val="center"/>
          </w:tcPr>
          <w:p w14:paraId="798833DC" w14:textId="77777777" w:rsidR="009F052E" w:rsidRPr="000F777A" w:rsidRDefault="009F052E" w:rsidP="00A175A4">
            <w:pPr>
              <w:jc w:val="center"/>
              <w:rPr>
                <w:rFonts w:ascii="Arial Narrow" w:hAnsi="Arial Narrow"/>
              </w:rPr>
            </w:pPr>
            <w:r w:rsidRPr="000F777A">
              <w:rPr>
                <w:rFonts w:ascii="Arial Narrow" w:hAnsi="Arial Narrow"/>
              </w:rPr>
              <w:t>0.035</w:t>
            </w:r>
          </w:p>
        </w:tc>
        <w:tc>
          <w:tcPr>
            <w:tcW w:w="851" w:type="dxa"/>
            <w:vAlign w:val="center"/>
          </w:tcPr>
          <w:p w14:paraId="793A7288" w14:textId="77777777" w:rsidR="009F052E" w:rsidRPr="000F777A" w:rsidRDefault="009F052E" w:rsidP="00A175A4">
            <w:pPr>
              <w:jc w:val="center"/>
              <w:rPr>
                <w:rFonts w:ascii="Arial Narrow" w:hAnsi="Arial Narrow"/>
              </w:rPr>
            </w:pPr>
            <w:r w:rsidRPr="000F777A">
              <w:rPr>
                <w:rFonts w:ascii="Arial Narrow" w:hAnsi="Arial Narrow"/>
              </w:rPr>
              <w:t>0.033</w:t>
            </w:r>
          </w:p>
        </w:tc>
      </w:tr>
      <w:tr w:rsidR="00F352E1" w:rsidRPr="000F777A" w14:paraId="65B1A6CB" w14:textId="77777777" w:rsidTr="00A175A4">
        <w:trPr>
          <w:trHeight w:val="255"/>
        </w:trPr>
        <w:tc>
          <w:tcPr>
            <w:tcW w:w="2093" w:type="dxa"/>
            <w:noWrap/>
            <w:hideMark/>
          </w:tcPr>
          <w:p w14:paraId="4F4A5F50" w14:textId="77777777" w:rsidR="009F052E" w:rsidRPr="000F777A" w:rsidRDefault="009F052E" w:rsidP="00A175A4">
            <w:pPr>
              <w:jc w:val="left"/>
              <w:rPr>
                <w:rFonts w:ascii="Arial Narrow" w:hAnsi="Arial Narrow"/>
                <w:i/>
              </w:rPr>
            </w:pPr>
            <w:r w:rsidRPr="000F777A">
              <w:rPr>
                <w:rFonts w:ascii="Arial Narrow" w:hAnsi="Arial Narrow"/>
                <w:i/>
              </w:rPr>
              <w:t>Podobacia</w:t>
            </w:r>
          </w:p>
        </w:tc>
        <w:tc>
          <w:tcPr>
            <w:tcW w:w="850" w:type="dxa"/>
            <w:noWrap/>
            <w:vAlign w:val="center"/>
            <w:hideMark/>
          </w:tcPr>
          <w:p w14:paraId="73375EEB" w14:textId="77777777" w:rsidR="009F052E" w:rsidRPr="000F777A" w:rsidRDefault="009F052E" w:rsidP="00A175A4">
            <w:pPr>
              <w:jc w:val="center"/>
              <w:rPr>
                <w:rFonts w:ascii="Arial Narrow" w:hAnsi="Arial Narrow"/>
              </w:rPr>
            </w:pPr>
            <w:r w:rsidRPr="000F777A">
              <w:rPr>
                <w:rFonts w:ascii="Arial Narrow" w:hAnsi="Arial Narrow"/>
              </w:rPr>
              <w:t>-0.025</w:t>
            </w:r>
          </w:p>
        </w:tc>
        <w:tc>
          <w:tcPr>
            <w:tcW w:w="851" w:type="dxa"/>
            <w:tcBorders>
              <w:right w:val="thinThickThinLargeGap" w:sz="24" w:space="0" w:color="auto"/>
            </w:tcBorders>
            <w:noWrap/>
            <w:vAlign w:val="center"/>
            <w:hideMark/>
          </w:tcPr>
          <w:p w14:paraId="2E415BED" w14:textId="77777777" w:rsidR="009F052E" w:rsidRPr="000F777A" w:rsidRDefault="009F052E" w:rsidP="00A175A4">
            <w:pPr>
              <w:jc w:val="center"/>
              <w:rPr>
                <w:rFonts w:ascii="Arial Narrow" w:hAnsi="Arial Narrow"/>
              </w:rPr>
            </w:pPr>
            <w:r w:rsidRPr="000F777A">
              <w:rPr>
                <w:rFonts w:ascii="Arial Narrow" w:hAnsi="Arial Narrow"/>
              </w:rPr>
              <w:t>-0.122</w:t>
            </w:r>
          </w:p>
        </w:tc>
        <w:tc>
          <w:tcPr>
            <w:tcW w:w="2069" w:type="dxa"/>
            <w:tcBorders>
              <w:left w:val="thinThickThinLargeGap" w:sz="24" w:space="0" w:color="auto"/>
            </w:tcBorders>
          </w:tcPr>
          <w:p w14:paraId="1C7064FF" w14:textId="77777777" w:rsidR="009F052E" w:rsidRPr="000F777A" w:rsidRDefault="009F052E" w:rsidP="00A175A4">
            <w:pPr>
              <w:jc w:val="left"/>
              <w:rPr>
                <w:rFonts w:ascii="Arial Narrow" w:hAnsi="Arial Narrow"/>
              </w:rPr>
            </w:pPr>
            <w:r w:rsidRPr="000F777A">
              <w:rPr>
                <w:rFonts w:ascii="Arial Narrow" w:hAnsi="Arial Narrow"/>
                <w:i/>
              </w:rPr>
              <w:t>Oulophyllia</w:t>
            </w:r>
          </w:p>
        </w:tc>
        <w:tc>
          <w:tcPr>
            <w:tcW w:w="766" w:type="dxa"/>
            <w:vAlign w:val="center"/>
          </w:tcPr>
          <w:p w14:paraId="1EDF5292" w14:textId="77777777" w:rsidR="009F052E" w:rsidRPr="000F777A" w:rsidRDefault="009F052E" w:rsidP="00A175A4">
            <w:pPr>
              <w:jc w:val="center"/>
              <w:rPr>
                <w:rFonts w:ascii="Arial Narrow" w:hAnsi="Arial Narrow"/>
              </w:rPr>
            </w:pPr>
            <w:r w:rsidRPr="000F777A">
              <w:rPr>
                <w:rFonts w:ascii="Arial Narrow" w:hAnsi="Arial Narrow"/>
              </w:rPr>
              <w:t>0.02</w:t>
            </w:r>
          </w:p>
        </w:tc>
        <w:tc>
          <w:tcPr>
            <w:tcW w:w="851" w:type="dxa"/>
            <w:vAlign w:val="center"/>
          </w:tcPr>
          <w:p w14:paraId="786F6CE6" w14:textId="77777777" w:rsidR="009F052E" w:rsidRPr="000F777A" w:rsidRDefault="009F052E" w:rsidP="00A175A4">
            <w:pPr>
              <w:jc w:val="center"/>
              <w:rPr>
                <w:rFonts w:ascii="Arial Narrow" w:hAnsi="Arial Narrow"/>
              </w:rPr>
            </w:pPr>
            <w:r w:rsidRPr="000F777A">
              <w:rPr>
                <w:rFonts w:ascii="Arial Narrow" w:hAnsi="Arial Narrow"/>
              </w:rPr>
              <w:t>0.037</w:t>
            </w:r>
          </w:p>
        </w:tc>
      </w:tr>
      <w:tr w:rsidR="00F352E1" w:rsidRPr="000F777A" w14:paraId="44D01DAC" w14:textId="77777777" w:rsidTr="00A175A4">
        <w:trPr>
          <w:trHeight w:val="255"/>
        </w:trPr>
        <w:tc>
          <w:tcPr>
            <w:tcW w:w="2093" w:type="dxa"/>
            <w:noWrap/>
            <w:hideMark/>
          </w:tcPr>
          <w:p w14:paraId="6B58A1AB" w14:textId="77777777" w:rsidR="009F052E" w:rsidRPr="000F777A" w:rsidRDefault="009F052E" w:rsidP="00A175A4">
            <w:pPr>
              <w:jc w:val="left"/>
              <w:rPr>
                <w:rFonts w:ascii="Arial Narrow" w:hAnsi="Arial Narrow"/>
                <w:i/>
              </w:rPr>
            </w:pPr>
            <w:r w:rsidRPr="000F777A">
              <w:rPr>
                <w:rFonts w:ascii="Arial Narrow" w:hAnsi="Arial Narrow"/>
                <w:i/>
              </w:rPr>
              <w:t>Plesiastrea</w:t>
            </w:r>
          </w:p>
        </w:tc>
        <w:tc>
          <w:tcPr>
            <w:tcW w:w="850" w:type="dxa"/>
            <w:noWrap/>
            <w:vAlign w:val="center"/>
            <w:hideMark/>
          </w:tcPr>
          <w:p w14:paraId="423F1ADA" w14:textId="77777777" w:rsidR="009F052E" w:rsidRPr="000F777A" w:rsidRDefault="009F052E" w:rsidP="00A175A4">
            <w:pPr>
              <w:jc w:val="center"/>
              <w:rPr>
                <w:rFonts w:ascii="Arial Narrow" w:hAnsi="Arial Narrow"/>
              </w:rPr>
            </w:pPr>
            <w:r w:rsidRPr="000F777A">
              <w:rPr>
                <w:rFonts w:ascii="Arial Narrow" w:hAnsi="Arial Narrow"/>
              </w:rPr>
              <w:t>-0.125</w:t>
            </w:r>
          </w:p>
        </w:tc>
        <w:tc>
          <w:tcPr>
            <w:tcW w:w="851" w:type="dxa"/>
            <w:tcBorders>
              <w:right w:val="thinThickThinLargeGap" w:sz="24" w:space="0" w:color="auto"/>
            </w:tcBorders>
            <w:noWrap/>
            <w:vAlign w:val="center"/>
            <w:hideMark/>
          </w:tcPr>
          <w:p w14:paraId="09F5EF3F" w14:textId="77777777" w:rsidR="009F052E" w:rsidRPr="000F777A" w:rsidRDefault="009F052E" w:rsidP="00A175A4">
            <w:pPr>
              <w:jc w:val="center"/>
              <w:rPr>
                <w:rFonts w:ascii="Arial Narrow" w:hAnsi="Arial Narrow"/>
              </w:rPr>
            </w:pPr>
            <w:r w:rsidRPr="000F777A">
              <w:rPr>
                <w:rFonts w:ascii="Arial Narrow" w:hAnsi="Arial Narrow"/>
              </w:rPr>
              <w:t>-0.114</w:t>
            </w:r>
          </w:p>
        </w:tc>
        <w:tc>
          <w:tcPr>
            <w:tcW w:w="2069" w:type="dxa"/>
            <w:tcBorders>
              <w:left w:val="thinThickThinLargeGap" w:sz="24" w:space="0" w:color="auto"/>
            </w:tcBorders>
          </w:tcPr>
          <w:p w14:paraId="3AE7F364" w14:textId="77777777" w:rsidR="009F052E" w:rsidRPr="000F777A" w:rsidRDefault="009F052E" w:rsidP="00A175A4">
            <w:pPr>
              <w:jc w:val="left"/>
              <w:rPr>
                <w:rFonts w:ascii="Arial Narrow" w:hAnsi="Arial Narrow"/>
              </w:rPr>
            </w:pPr>
            <w:r w:rsidRPr="000F777A">
              <w:rPr>
                <w:rFonts w:ascii="Arial Narrow" w:hAnsi="Arial Narrow"/>
              </w:rPr>
              <w:t xml:space="preserve">Digitate </w:t>
            </w:r>
            <w:r w:rsidRPr="000F777A">
              <w:rPr>
                <w:rFonts w:ascii="Arial Narrow" w:hAnsi="Arial Narrow"/>
                <w:i/>
              </w:rPr>
              <w:t>Acropora</w:t>
            </w:r>
          </w:p>
        </w:tc>
        <w:tc>
          <w:tcPr>
            <w:tcW w:w="766" w:type="dxa"/>
            <w:vAlign w:val="center"/>
          </w:tcPr>
          <w:p w14:paraId="6F71234F" w14:textId="77777777" w:rsidR="009F052E" w:rsidRPr="000F777A" w:rsidRDefault="009F052E" w:rsidP="00A175A4">
            <w:pPr>
              <w:jc w:val="center"/>
              <w:rPr>
                <w:rFonts w:ascii="Arial Narrow" w:hAnsi="Arial Narrow"/>
              </w:rPr>
            </w:pPr>
            <w:r w:rsidRPr="000F777A">
              <w:rPr>
                <w:rFonts w:ascii="Arial Narrow" w:hAnsi="Arial Narrow"/>
              </w:rPr>
              <w:t>0.034</w:t>
            </w:r>
          </w:p>
        </w:tc>
        <w:tc>
          <w:tcPr>
            <w:tcW w:w="851" w:type="dxa"/>
            <w:vAlign w:val="center"/>
          </w:tcPr>
          <w:p w14:paraId="626481B0" w14:textId="77777777" w:rsidR="009F052E" w:rsidRPr="000F777A" w:rsidRDefault="009F052E" w:rsidP="00A175A4">
            <w:pPr>
              <w:jc w:val="center"/>
              <w:rPr>
                <w:rFonts w:ascii="Arial Narrow" w:hAnsi="Arial Narrow"/>
              </w:rPr>
            </w:pPr>
            <w:r w:rsidRPr="000F777A">
              <w:rPr>
                <w:rFonts w:ascii="Arial Narrow" w:hAnsi="Arial Narrow"/>
              </w:rPr>
              <w:t>0.039</w:t>
            </w:r>
          </w:p>
        </w:tc>
      </w:tr>
      <w:tr w:rsidR="00F352E1" w:rsidRPr="000F777A" w14:paraId="18065F2E" w14:textId="77777777" w:rsidTr="00A175A4">
        <w:trPr>
          <w:trHeight w:val="255"/>
        </w:trPr>
        <w:tc>
          <w:tcPr>
            <w:tcW w:w="2093" w:type="dxa"/>
            <w:noWrap/>
            <w:hideMark/>
          </w:tcPr>
          <w:p w14:paraId="7F0F1610" w14:textId="77777777" w:rsidR="009F052E" w:rsidRPr="000F777A" w:rsidRDefault="009F052E" w:rsidP="00A175A4">
            <w:pPr>
              <w:jc w:val="left"/>
              <w:rPr>
                <w:rFonts w:ascii="Arial Narrow" w:hAnsi="Arial Narrow"/>
                <w:i/>
              </w:rPr>
            </w:pPr>
            <w:r w:rsidRPr="000F777A">
              <w:rPr>
                <w:rFonts w:ascii="Arial Narrow" w:hAnsi="Arial Narrow"/>
                <w:i/>
              </w:rPr>
              <w:t>Echinophyllia</w:t>
            </w:r>
          </w:p>
        </w:tc>
        <w:tc>
          <w:tcPr>
            <w:tcW w:w="850" w:type="dxa"/>
            <w:noWrap/>
            <w:vAlign w:val="center"/>
            <w:hideMark/>
          </w:tcPr>
          <w:p w14:paraId="00CE6811" w14:textId="77777777" w:rsidR="009F052E" w:rsidRPr="000F777A" w:rsidRDefault="009F052E" w:rsidP="00A175A4">
            <w:pPr>
              <w:jc w:val="center"/>
              <w:rPr>
                <w:rFonts w:ascii="Arial Narrow" w:hAnsi="Arial Narrow"/>
              </w:rPr>
            </w:pPr>
            <w:r w:rsidRPr="000F777A">
              <w:rPr>
                <w:rFonts w:ascii="Arial Narrow" w:hAnsi="Arial Narrow"/>
              </w:rPr>
              <w:t>-0.002</w:t>
            </w:r>
          </w:p>
        </w:tc>
        <w:tc>
          <w:tcPr>
            <w:tcW w:w="851" w:type="dxa"/>
            <w:tcBorders>
              <w:right w:val="thinThickThinLargeGap" w:sz="24" w:space="0" w:color="auto"/>
            </w:tcBorders>
            <w:noWrap/>
            <w:vAlign w:val="center"/>
            <w:hideMark/>
          </w:tcPr>
          <w:p w14:paraId="097AF838" w14:textId="77777777" w:rsidR="009F052E" w:rsidRPr="000F777A" w:rsidRDefault="009F052E" w:rsidP="00A175A4">
            <w:pPr>
              <w:jc w:val="center"/>
              <w:rPr>
                <w:rFonts w:ascii="Arial Narrow" w:hAnsi="Arial Narrow"/>
              </w:rPr>
            </w:pPr>
            <w:r w:rsidRPr="000F777A">
              <w:rPr>
                <w:rFonts w:ascii="Arial Narrow" w:hAnsi="Arial Narrow"/>
              </w:rPr>
              <w:t>-0.11</w:t>
            </w:r>
          </w:p>
        </w:tc>
        <w:tc>
          <w:tcPr>
            <w:tcW w:w="2069" w:type="dxa"/>
            <w:tcBorders>
              <w:left w:val="thinThickThinLargeGap" w:sz="24" w:space="0" w:color="auto"/>
            </w:tcBorders>
          </w:tcPr>
          <w:p w14:paraId="4D913DFB" w14:textId="77777777" w:rsidR="009F052E" w:rsidRPr="000F777A" w:rsidRDefault="009F052E" w:rsidP="00A175A4">
            <w:pPr>
              <w:jc w:val="left"/>
              <w:rPr>
                <w:rFonts w:ascii="Arial Narrow" w:hAnsi="Arial Narrow"/>
              </w:rPr>
            </w:pPr>
            <w:r w:rsidRPr="000F777A">
              <w:rPr>
                <w:rFonts w:ascii="Arial Narrow" w:hAnsi="Arial Narrow"/>
                <w:i/>
              </w:rPr>
              <w:t>Montipora</w:t>
            </w:r>
          </w:p>
        </w:tc>
        <w:tc>
          <w:tcPr>
            <w:tcW w:w="766" w:type="dxa"/>
            <w:vAlign w:val="center"/>
          </w:tcPr>
          <w:p w14:paraId="5803B005" w14:textId="77777777" w:rsidR="009F052E" w:rsidRPr="000F777A" w:rsidRDefault="009F052E" w:rsidP="00A175A4">
            <w:pPr>
              <w:jc w:val="center"/>
              <w:rPr>
                <w:rFonts w:ascii="Arial Narrow" w:hAnsi="Arial Narrow"/>
              </w:rPr>
            </w:pPr>
            <w:r w:rsidRPr="000F777A">
              <w:rPr>
                <w:rFonts w:ascii="Arial Narrow" w:hAnsi="Arial Narrow"/>
              </w:rPr>
              <w:t>-0.131</w:t>
            </w:r>
          </w:p>
        </w:tc>
        <w:tc>
          <w:tcPr>
            <w:tcW w:w="851" w:type="dxa"/>
            <w:vAlign w:val="center"/>
          </w:tcPr>
          <w:p w14:paraId="20848C48" w14:textId="77777777" w:rsidR="009F052E" w:rsidRPr="000F777A" w:rsidRDefault="009F052E" w:rsidP="00A175A4">
            <w:pPr>
              <w:jc w:val="center"/>
              <w:rPr>
                <w:rFonts w:ascii="Arial Narrow" w:hAnsi="Arial Narrow"/>
              </w:rPr>
            </w:pPr>
            <w:r w:rsidRPr="000F777A">
              <w:rPr>
                <w:rFonts w:ascii="Arial Narrow" w:hAnsi="Arial Narrow"/>
              </w:rPr>
              <w:t>0.045</w:t>
            </w:r>
          </w:p>
        </w:tc>
      </w:tr>
      <w:tr w:rsidR="00F352E1" w:rsidRPr="000F777A" w14:paraId="3DA68201" w14:textId="77777777" w:rsidTr="00A175A4">
        <w:trPr>
          <w:trHeight w:val="255"/>
        </w:trPr>
        <w:tc>
          <w:tcPr>
            <w:tcW w:w="2093" w:type="dxa"/>
            <w:noWrap/>
          </w:tcPr>
          <w:p w14:paraId="477E23F4" w14:textId="77777777" w:rsidR="009F052E" w:rsidRPr="000F777A" w:rsidRDefault="009F052E" w:rsidP="00A175A4">
            <w:pPr>
              <w:jc w:val="left"/>
              <w:rPr>
                <w:rFonts w:ascii="Arial Narrow" w:hAnsi="Arial Narrow"/>
                <w:i/>
              </w:rPr>
            </w:pPr>
            <w:r w:rsidRPr="000F777A">
              <w:rPr>
                <w:rFonts w:ascii="Arial Narrow" w:hAnsi="Arial Narrow"/>
                <w:i/>
              </w:rPr>
              <w:t>Moseleya *</w:t>
            </w:r>
          </w:p>
        </w:tc>
        <w:tc>
          <w:tcPr>
            <w:tcW w:w="850" w:type="dxa"/>
            <w:noWrap/>
            <w:vAlign w:val="center"/>
          </w:tcPr>
          <w:p w14:paraId="4D3622FA" w14:textId="77777777" w:rsidR="009F052E" w:rsidRPr="000F777A" w:rsidRDefault="009F052E" w:rsidP="00A175A4">
            <w:pPr>
              <w:jc w:val="center"/>
              <w:rPr>
                <w:rFonts w:ascii="Arial Narrow" w:hAnsi="Arial Narrow"/>
              </w:rPr>
            </w:pPr>
            <w:r w:rsidRPr="000F777A">
              <w:rPr>
                <w:rFonts w:ascii="Arial Narrow" w:hAnsi="Arial Narrow"/>
              </w:rPr>
              <w:t>-0.058</w:t>
            </w:r>
          </w:p>
        </w:tc>
        <w:tc>
          <w:tcPr>
            <w:tcW w:w="851" w:type="dxa"/>
            <w:tcBorders>
              <w:right w:val="thinThickThinLargeGap" w:sz="24" w:space="0" w:color="auto"/>
            </w:tcBorders>
            <w:noWrap/>
            <w:vAlign w:val="center"/>
          </w:tcPr>
          <w:p w14:paraId="30E8BAC5" w14:textId="77777777" w:rsidR="009F052E" w:rsidRPr="000F777A" w:rsidRDefault="009F052E" w:rsidP="00A175A4">
            <w:pPr>
              <w:jc w:val="center"/>
              <w:rPr>
                <w:rFonts w:ascii="Arial Narrow" w:hAnsi="Arial Narrow"/>
              </w:rPr>
            </w:pPr>
            <w:r w:rsidRPr="000F777A">
              <w:rPr>
                <w:rFonts w:ascii="Arial Narrow" w:hAnsi="Arial Narrow"/>
              </w:rPr>
              <w:t>-0.091</w:t>
            </w:r>
          </w:p>
        </w:tc>
        <w:tc>
          <w:tcPr>
            <w:tcW w:w="2069" w:type="dxa"/>
            <w:tcBorders>
              <w:left w:val="thinThickThinLargeGap" w:sz="24" w:space="0" w:color="auto"/>
            </w:tcBorders>
          </w:tcPr>
          <w:p w14:paraId="6B51EB42" w14:textId="77777777" w:rsidR="009F052E" w:rsidRPr="000F777A" w:rsidRDefault="009F052E" w:rsidP="00A175A4">
            <w:pPr>
              <w:jc w:val="left"/>
              <w:rPr>
                <w:rFonts w:ascii="Arial Narrow" w:hAnsi="Arial Narrow"/>
              </w:rPr>
            </w:pPr>
            <w:r w:rsidRPr="000F777A">
              <w:rPr>
                <w:rFonts w:ascii="Arial Narrow" w:hAnsi="Arial Narrow"/>
                <w:i/>
              </w:rPr>
              <w:t>Leptastrea *</w:t>
            </w:r>
          </w:p>
        </w:tc>
        <w:tc>
          <w:tcPr>
            <w:tcW w:w="766" w:type="dxa"/>
            <w:vAlign w:val="center"/>
          </w:tcPr>
          <w:p w14:paraId="40BB3F0F" w14:textId="77777777" w:rsidR="009F052E" w:rsidRPr="000F777A" w:rsidRDefault="009F052E" w:rsidP="00A175A4">
            <w:pPr>
              <w:jc w:val="center"/>
              <w:rPr>
                <w:rFonts w:ascii="Arial Narrow" w:hAnsi="Arial Narrow"/>
              </w:rPr>
            </w:pPr>
            <w:r w:rsidRPr="000F777A">
              <w:rPr>
                <w:rFonts w:ascii="Arial Narrow" w:hAnsi="Arial Narrow"/>
              </w:rPr>
              <w:t>0.022</w:t>
            </w:r>
          </w:p>
        </w:tc>
        <w:tc>
          <w:tcPr>
            <w:tcW w:w="851" w:type="dxa"/>
            <w:vAlign w:val="center"/>
          </w:tcPr>
          <w:p w14:paraId="6A6EF47E" w14:textId="77777777" w:rsidR="009F052E" w:rsidRPr="000F777A" w:rsidRDefault="009F052E" w:rsidP="00A175A4">
            <w:pPr>
              <w:jc w:val="center"/>
              <w:rPr>
                <w:rFonts w:ascii="Arial Narrow" w:hAnsi="Arial Narrow"/>
              </w:rPr>
            </w:pPr>
            <w:r w:rsidRPr="000F777A">
              <w:rPr>
                <w:rFonts w:ascii="Arial Narrow" w:hAnsi="Arial Narrow"/>
              </w:rPr>
              <w:t>0.048</w:t>
            </w:r>
          </w:p>
        </w:tc>
      </w:tr>
      <w:tr w:rsidR="00F352E1" w:rsidRPr="000F777A" w14:paraId="48B283FD" w14:textId="77777777" w:rsidTr="00A175A4">
        <w:trPr>
          <w:trHeight w:val="255"/>
        </w:trPr>
        <w:tc>
          <w:tcPr>
            <w:tcW w:w="2093" w:type="dxa"/>
            <w:noWrap/>
          </w:tcPr>
          <w:p w14:paraId="37D64059" w14:textId="77777777" w:rsidR="009F052E" w:rsidRPr="000F777A" w:rsidRDefault="009F052E" w:rsidP="00A175A4">
            <w:pPr>
              <w:jc w:val="left"/>
              <w:rPr>
                <w:rFonts w:ascii="Arial Narrow" w:hAnsi="Arial Narrow"/>
                <w:i/>
              </w:rPr>
            </w:pPr>
            <w:r w:rsidRPr="000F777A">
              <w:rPr>
                <w:rFonts w:ascii="Arial Narrow" w:hAnsi="Arial Narrow"/>
                <w:i/>
              </w:rPr>
              <w:t>Oxypora</w:t>
            </w:r>
          </w:p>
        </w:tc>
        <w:tc>
          <w:tcPr>
            <w:tcW w:w="850" w:type="dxa"/>
            <w:noWrap/>
            <w:vAlign w:val="center"/>
          </w:tcPr>
          <w:p w14:paraId="316F63F5" w14:textId="77777777" w:rsidR="009F052E" w:rsidRPr="000F777A" w:rsidRDefault="009F052E" w:rsidP="00A175A4">
            <w:pPr>
              <w:jc w:val="center"/>
              <w:rPr>
                <w:rFonts w:ascii="Arial Narrow" w:hAnsi="Arial Narrow"/>
              </w:rPr>
            </w:pPr>
            <w:r w:rsidRPr="000F777A">
              <w:rPr>
                <w:rFonts w:ascii="Arial Narrow" w:hAnsi="Arial Narrow"/>
              </w:rPr>
              <w:t>-0.008</w:t>
            </w:r>
          </w:p>
        </w:tc>
        <w:tc>
          <w:tcPr>
            <w:tcW w:w="851" w:type="dxa"/>
            <w:tcBorders>
              <w:right w:val="thinThickThinLargeGap" w:sz="24" w:space="0" w:color="auto"/>
            </w:tcBorders>
            <w:noWrap/>
            <w:vAlign w:val="center"/>
          </w:tcPr>
          <w:p w14:paraId="195A8EBD" w14:textId="77777777" w:rsidR="009F052E" w:rsidRPr="000F777A" w:rsidRDefault="009F052E" w:rsidP="00A175A4">
            <w:pPr>
              <w:jc w:val="center"/>
              <w:rPr>
                <w:rFonts w:ascii="Arial Narrow" w:hAnsi="Arial Narrow"/>
              </w:rPr>
            </w:pPr>
            <w:r w:rsidRPr="000F777A">
              <w:rPr>
                <w:rFonts w:ascii="Arial Narrow" w:hAnsi="Arial Narrow"/>
              </w:rPr>
              <w:t>-0.076</w:t>
            </w:r>
          </w:p>
        </w:tc>
        <w:tc>
          <w:tcPr>
            <w:tcW w:w="2069" w:type="dxa"/>
            <w:tcBorders>
              <w:left w:val="thinThickThinLargeGap" w:sz="24" w:space="0" w:color="auto"/>
            </w:tcBorders>
          </w:tcPr>
          <w:p w14:paraId="4222AF3E" w14:textId="77777777" w:rsidR="009F052E" w:rsidRPr="000F777A" w:rsidRDefault="009F052E" w:rsidP="00A175A4">
            <w:pPr>
              <w:jc w:val="left"/>
              <w:rPr>
                <w:rFonts w:ascii="Arial Narrow" w:hAnsi="Arial Narrow"/>
                <w:i/>
              </w:rPr>
            </w:pPr>
            <w:r w:rsidRPr="000F777A">
              <w:rPr>
                <w:rFonts w:ascii="Arial Narrow" w:hAnsi="Arial Narrow"/>
                <w:i/>
              </w:rPr>
              <w:t>Coeloseris</w:t>
            </w:r>
          </w:p>
        </w:tc>
        <w:tc>
          <w:tcPr>
            <w:tcW w:w="766" w:type="dxa"/>
            <w:vAlign w:val="center"/>
          </w:tcPr>
          <w:p w14:paraId="47A9BB69" w14:textId="77777777" w:rsidR="009F052E" w:rsidRPr="000F777A" w:rsidRDefault="009F052E" w:rsidP="00A175A4">
            <w:pPr>
              <w:jc w:val="center"/>
              <w:rPr>
                <w:rFonts w:ascii="Arial Narrow" w:hAnsi="Arial Narrow"/>
              </w:rPr>
            </w:pPr>
            <w:r w:rsidRPr="000F777A">
              <w:rPr>
                <w:rFonts w:ascii="Arial Narrow" w:hAnsi="Arial Narrow"/>
              </w:rPr>
              <w:t>0.052</w:t>
            </w:r>
          </w:p>
        </w:tc>
        <w:tc>
          <w:tcPr>
            <w:tcW w:w="851" w:type="dxa"/>
            <w:vAlign w:val="center"/>
          </w:tcPr>
          <w:p w14:paraId="55877579" w14:textId="77777777" w:rsidR="009F052E" w:rsidRPr="000F777A" w:rsidRDefault="009F052E" w:rsidP="00A175A4">
            <w:pPr>
              <w:jc w:val="center"/>
              <w:rPr>
                <w:rFonts w:ascii="Arial Narrow" w:hAnsi="Arial Narrow"/>
              </w:rPr>
            </w:pPr>
          </w:p>
        </w:tc>
      </w:tr>
      <w:tr w:rsidR="00F352E1" w:rsidRPr="000F777A" w14:paraId="1CF836C3" w14:textId="77777777" w:rsidTr="00A175A4">
        <w:trPr>
          <w:trHeight w:val="255"/>
        </w:trPr>
        <w:tc>
          <w:tcPr>
            <w:tcW w:w="2093" w:type="dxa"/>
            <w:noWrap/>
          </w:tcPr>
          <w:p w14:paraId="037E635F" w14:textId="77777777" w:rsidR="009F052E" w:rsidRPr="000F777A" w:rsidRDefault="009F052E" w:rsidP="00A175A4">
            <w:pPr>
              <w:jc w:val="left"/>
              <w:rPr>
                <w:rFonts w:ascii="Arial Narrow" w:hAnsi="Arial Narrow"/>
                <w:i/>
              </w:rPr>
            </w:pPr>
            <w:r w:rsidRPr="000F777A">
              <w:rPr>
                <w:rFonts w:ascii="Arial Narrow" w:hAnsi="Arial Narrow"/>
                <w:i/>
              </w:rPr>
              <w:t>Merulina</w:t>
            </w:r>
          </w:p>
        </w:tc>
        <w:tc>
          <w:tcPr>
            <w:tcW w:w="850" w:type="dxa"/>
            <w:noWrap/>
            <w:vAlign w:val="center"/>
          </w:tcPr>
          <w:p w14:paraId="22B6DA8D" w14:textId="77777777" w:rsidR="009F052E" w:rsidRPr="000F777A" w:rsidRDefault="009F052E" w:rsidP="00A175A4">
            <w:pPr>
              <w:jc w:val="center"/>
              <w:rPr>
                <w:rFonts w:ascii="Arial Narrow" w:hAnsi="Arial Narrow"/>
              </w:rPr>
            </w:pPr>
            <w:r w:rsidRPr="000F777A">
              <w:rPr>
                <w:rFonts w:ascii="Arial Narrow" w:hAnsi="Arial Narrow"/>
              </w:rPr>
              <w:t>-0.01</w:t>
            </w:r>
          </w:p>
        </w:tc>
        <w:tc>
          <w:tcPr>
            <w:tcW w:w="851" w:type="dxa"/>
            <w:tcBorders>
              <w:right w:val="thinThickThinLargeGap" w:sz="24" w:space="0" w:color="auto"/>
            </w:tcBorders>
            <w:noWrap/>
            <w:vAlign w:val="center"/>
          </w:tcPr>
          <w:p w14:paraId="5BEB1F0C" w14:textId="77777777" w:rsidR="009F052E" w:rsidRPr="000F777A" w:rsidRDefault="009F052E" w:rsidP="00A175A4">
            <w:pPr>
              <w:jc w:val="center"/>
              <w:rPr>
                <w:rFonts w:ascii="Arial Narrow" w:hAnsi="Arial Narrow"/>
              </w:rPr>
            </w:pPr>
            <w:r w:rsidRPr="000F777A">
              <w:rPr>
                <w:rFonts w:ascii="Arial Narrow" w:hAnsi="Arial Narrow"/>
              </w:rPr>
              <w:t>-0.073</w:t>
            </w:r>
          </w:p>
        </w:tc>
        <w:tc>
          <w:tcPr>
            <w:tcW w:w="2069" w:type="dxa"/>
            <w:tcBorders>
              <w:left w:val="thinThickThinLargeGap" w:sz="24" w:space="0" w:color="auto"/>
            </w:tcBorders>
          </w:tcPr>
          <w:p w14:paraId="661308AB" w14:textId="77777777" w:rsidR="009F052E" w:rsidRPr="000F777A" w:rsidRDefault="009F052E" w:rsidP="00A175A4">
            <w:pPr>
              <w:jc w:val="left"/>
              <w:rPr>
                <w:rFonts w:ascii="Arial Narrow" w:hAnsi="Arial Narrow"/>
              </w:rPr>
            </w:pPr>
            <w:r w:rsidRPr="000F777A">
              <w:rPr>
                <w:rFonts w:ascii="Arial Narrow" w:hAnsi="Arial Narrow"/>
              </w:rPr>
              <w:t xml:space="preserve">Bottlebrush </w:t>
            </w:r>
            <w:r w:rsidRPr="000F777A">
              <w:rPr>
                <w:rFonts w:ascii="Arial Narrow" w:hAnsi="Arial Narrow"/>
                <w:i/>
              </w:rPr>
              <w:t>Acropora</w:t>
            </w:r>
          </w:p>
        </w:tc>
        <w:tc>
          <w:tcPr>
            <w:tcW w:w="766" w:type="dxa"/>
            <w:vAlign w:val="center"/>
          </w:tcPr>
          <w:p w14:paraId="034064E3" w14:textId="77777777" w:rsidR="009F052E" w:rsidRPr="000F777A" w:rsidRDefault="009F052E" w:rsidP="00A175A4">
            <w:pPr>
              <w:jc w:val="center"/>
              <w:rPr>
                <w:rFonts w:ascii="Arial Narrow" w:hAnsi="Arial Narrow"/>
              </w:rPr>
            </w:pPr>
            <w:r w:rsidRPr="000F777A">
              <w:rPr>
                <w:rFonts w:ascii="Arial Narrow" w:hAnsi="Arial Narrow"/>
              </w:rPr>
              <w:t>0.153</w:t>
            </w:r>
          </w:p>
        </w:tc>
        <w:tc>
          <w:tcPr>
            <w:tcW w:w="851" w:type="dxa"/>
            <w:vAlign w:val="center"/>
          </w:tcPr>
          <w:p w14:paraId="586B06FF" w14:textId="77777777" w:rsidR="009F052E" w:rsidRPr="000F777A" w:rsidRDefault="009F052E" w:rsidP="00A175A4">
            <w:pPr>
              <w:jc w:val="center"/>
              <w:rPr>
                <w:rFonts w:ascii="Arial Narrow" w:hAnsi="Arial Narrow"/>
              </w:rPr>
            </w:pPr>
            <w:r w:rsidRPr="000F777A">
              <w:rPr>
                <w:rFonts w:ascii="Arial Narrow" w:hAnsi="Arial Narrow"/>
              </w:rPr>
              <w:t>0.070</w:t>
            </w:r>
          </w:p>
        </w:tc>
      </w:tr>
      <w:tr w:rsidR="00F352E1" w:rsidRPr="000F777A" w14:paraId="7B5F4115" w14:textId="77777777" w:rsidTr="00A175A4">
        <w:trPr>
          <w:trHeight w:val="255"/>
        </w:trPr>
        <w:tc>
          <w:tcPr>
            <w:tcW w:w="2093" w:type="dxa"/>
            <w:noWrap/>
            <w:hideMark/>
          </w:tcPr>
          <w:p w14:paraId="7959A450" w14:textId="77777777" w:rsidR="009F052E" w:rsidRPr="000F777A" w:rsidRDefault="009F052E" w:rsidP="00A175A4">
            <w:pPr>
              <w:jc w:val="left"/>
              <w:rPr>
                <w:rFonts w:ascii="Arial Narrow" w:hAnsi="Arial Narrow"/>
                <w:i/>
              </w:rPr>
            </w:pPr>
            <w:r w:rsidRPr="000F777A">
              <w:rPr>
                <w:rFonts w:ascii="Arial Narrow" w:hAnsi="Arial Narrow"/>
                <w:i/>
              </w:rPr>
              <w:t>Coscinaraea</w:t>
            </w:r>
          </w:p>
        </w:tc>
        <w:tc>
          <w:tcPr>
            <w:tcW w:w="850" w:type="dxa"/>
            <w:noWrap/>
            <w:vAlign w:val="center"/>
            <w:hideMark/>
          </w:tcPr>
          <w:p w14:paraId="7F018A38" w14:textId="77777777" w:rsidR="009F052E" w:rsidRPr="000F777A" w:rsidRDefault="009F052E" w:rsidP="00A175A4">
            <w:pPr>
              <w:jc w:val="center"/>
              <w:rPr>
                <w:rFonts w:ascii="Arial Narrow" w:hAnsi="Arial Narrow"/>
              </w:rPr>
            </w:pPr>
            <w:r w:rsidRPr="000F777A">
              <w:rPr>
                <w:rFonts w:ascii="Arial Narrow" w:hAnsi="Arial Narrow"/>
              </w:rPr>
              <w:t>-0.011</w:t>
            </w:r>
          </w:p>
        </w:tc>
        <w:tc>
          <w:tcPr>
            <w:tcW w:w="851" w:type="dxa"/>
            <w:tcBorders>
              <w:right w:val="thinThickThinLargeGap" w:sz="24" w:space="0" w:color="auto"/>
            </w:tcBorders>
            <w:noWrap/>
            <w:vAlign w:val="center"/>
            <w:hideMark/>
          </w:tcPr>
          <w:p w14:paraId="79207B9A" w14:textId="77777777" w:rsidR="009F052E" w:rsidRPr="000F777A" w:rsidRDefault="009F052E" w:rsidP="00A175A4">
            <w:pPr>
              <w:jc w:val="center"/>
              <w:rPr>
                <w:rFonts w:ascii="Arial Narrow" w:hAnsi="Arial Narrow"/>
              </w:rPr>
            </w:pPr>
            <w:r w:rsidRPr="000F777A">
              <w:rPr>
                <w:rFonts w:ascii="Arial Narrow" w:hAnsi="Arial Narrow"/>
              </w:rPr>
              <w:t>-0.062</w:t>
            </w:r>
          </w:p>
        </w:tc>
        <w:tc>
          <w:tcPr>
            <w:tcW w:w="2069" w:type="dxa"/>
            <w:tcBorders>
              <w:left w:val="thinThickThinLargeGap" w:sz="24" w:space="0" w:color="auto"/>
            </w:tcBorders>
          </w:tcPr>
          <w:p w14:paraId="6E32CD7C" w14:textId="77777777" w:rsidR="009F052E" w:rsidRPr="000F777A" w:rsidRDefault="009F052E" w:rsidP="00A175A4">
            <w:pPr>
              <w:jc w:val="left"/>
              <w:rPr>
                <w:rFonts w:ascii="Arial Narrow" w:hAnsi="Arial Narrow"/>
              </w:rPr>
            </w:pPr>
            <w:r w:rsidRPr="000F777A">
              <w:rPr>
                <w:rFonts w:ascii="Arial Narrow" w:hAnsi="Arial Narrow"/>
                <w:i/>
              </w:rPr>
              <w:t>Pocillopora</w:t>
            </w:r>
          </w:p>
        </w:tc>
        <w:tc>
          <w:tcPr>
            <w:tcW w:w="766" w:type="dxa"/>
            <w:vAlign w:val="center"/>
          </w:tcPr>
          <w:p w14:paraId="2E0208B5" w14:textId="77777777" w:rsidR="009F052E" w:rsidRPr="000F777A" w:rsidRDefault="009F052E" w:rsidP="00A175A4">
            <w:pPr>
              <w:jc w:val="center"/>
              <w:rPr>
                <w:rFonts w:ascii="Arial Narrow" w:hAnsi="Arial Narrow"/>
              </w:rPr>
            </w:pPr>
            <w:r w:rsidRPr="000F777A">
              <w:rPr>
                <w:rFonts w:ascii="Arial Narrow" w:hAnsi="Arial Narrow"/>
              </w:rPr>
              <w:t>0.058</w:t>
            </w:r>
          </w:p>
        </w:tc>
        <w:tc>
          <w:tcPr>
            <w:tcW w:w="851" w:type="dxa"/>
            <w:vAlign w:val="center"/>
          </w:tcPr>
          <w:p w14:paraId="1F14C892" w14:textId="77777777" w:rsidR="009F052E" w:rsidRPr="000F777A" w:rsidRDefault="009F052E" w:rsidP="00A175A4">
            <w:pPr>
              <w:jc w:val="center"/>
              <w:rPr>
                <w:rFonts w:ascii="Arial Narrow" w:hAnsi="Arial Narrow"/>
              </w:rPr>
            </w:pPr>
            <w:r w:rsidRPr="000F777A">
              <w:rPr>
                <w:rFonts w:ascii="Arial Narrow" w:hAnsi="Arial Narrow"/>
              </w:rPr>
              <w:t>0.074</w:t>
            </w:r>
          </w:p>
        </w:tc>
      </w:tr>
      <w:tr w:rsidR="00F352E1" w:rsidRPr="000F777A" w14:paraId="6FB73EB1" w14:textId="77777777" w:rsidTr="00A175A4">
        <w:trPr>
          <w:trHeight w:val="255"/>
        </w:trPr>
        <w:tc>
          <w:tcPr>
            <w:tcW w:w="2093" w:type="dxa"/>
            <w:noWrap/>
          </w:tcPr>
          <w:p w14:paraId="1050BDBD" w14:textId="77777777" w:rsidR="009F052E" w:rsidRPr="000F777A" w:rsidRDefault="009F052E" w:rsidP="00A175A4">
            <w:pPr>
              <w:jc w:val="left"/>
              <w:rPr>
                <w:rFonts w:ascii="Arial Narrow" w:hAnsi="Arial Narrow"/>
                <w:i/>
              </w:rPr>
            </w:pPr>
            <w:r w:rsidRPr="000F777A">
              <w:rPr>
                <w:rFonts w:ascii="Arial Narrow" w:hAnsi="Arial Narrow"/>
                <w:i/>
              </w:rPr>
              <w:t>Duncanopsammia *</w:t>
            </w:r>
          </w:p>
        </w:tc>
        <w:tc>
          <w:tcPr>
            <w:tcW w:w="850" w:type="dxa"/>
            <w:noWrap/>
            <w:vAlign w:val="center"/>
          </w:tcPr>
          <w:p w14:paraId="048BBFEC" w14:textId="77777777" w:rsidR="009F052E" w:rsidRPr="000F777A" w:rsidRDefault="009F052E" w:rsidP="00A175A4">
            <w:pPr>
              <w:jc w:val="center"/>
              <w:rPr>
                <w:rFonts w:ascii="Arial Narrow" w:hAnsi="Arial Narrow"/>
              </w:rPr>
            </w:pPr>
          </w:p>
        </w:tc>
        <w:tc>
          <w:tcPr>
            <w:tcW w:w="851" w:type="dxa"/>
            <w:tcBorders>
              <w:right w:val="thinThickThinLargeGap" w:sz="24" w:space="0" w:color="auto"/>
            </w:tcBorders>
            <w:noWrap/>
            <w:vAlign w:val="center"/>
          </w:tcPr>
          <w:p w14:paraId="004E866C" w14:textId="77777777" w:rsidR="009F052E" w:rsidRPr="000F777A" w:rsidRDefault="009F052E" w:rsidP="00A175A4">
            <w:pPr>
              <w:jc w:val="center"/>
              <w:rPr>
                <w:rFonts w:ascii="Arial Narrow" w:hAnsi="Arial Narrow"/>
              </w:rPr>
            </w:pPr>
            <w:r w:rsidRPr="000F777A">
              <w:rPr>
                <w:rFonts w:ascii="Arial Narrow" w:hAnsi="Arial Narrow"/>
              </w:rPr>
              <w:t>-0.042</w:t>
            </w:r>
          </w:p>
        </w:tc>
        <w:tc>
          <w:tcPr>
            <w:tcW w:w="2069" w:type="dxa"/>
            <w:tcBorders>
              <w:left w:val="thinThickThinLargeGap" w:sz="24" w:space="0" w:color="auto"/>
            </w:tcBorders>
          </w:tcPr>
          <w:p w14:paraId="5F878DDC" w14:textId="77777777" w:rsidR="009F052E" w:rsidRPr="000F777A" w:rsidRDefault="009F052E" w:rsidP="00A175A4">
            <w:pPr>
              <w:jc w:val="left"/>
              <w:rPr>
                <w:rFonts w:ascii="Arial Narrow" w:hAnsi="Arial Narrow"/>
              </w:rPr>
            </w:pPr>
            <w:r w:rsidRPr="000F777A">
              <w:rPr>
                <w:rFonts w:ascii="Arial Narrow" w:hAnsi="Arial Narrow"/>
              </w:rPr>
              <w:t xml:space="preserve">Branching </w:t>
            </w:r>
            <w:r w:rsidRPr="000F777A">
              <w:rPr>
                <w:rFonts w:ascii="Arial Narrow" w:hAnsi="Arial Narrow"/>
                <w:i/>
              </w:rPr>
              <w:t>Porites</w:t>
            </w:r>
          </w:p>
        </w:tc>
        <w:tc>
          <w:tcPr>
            <w:tcW w:w="766" w:type="dxa"/>
            <w:vAlign w:val="center"/>
          </w:tcPr>
          <w:p w14:paraId="6E5A2CB4" w14:textId="77777777" w:rsidR="009F052E" w:rsidRPr="000F777A" w:rsidRDefault="009F052E" w:rsidP="00A175A4">
            <w:pPr>
              <w:jc w:val="center"/>
              <w:rPr>
                <w:rFonts w:ascii="Arial Narrow" w:hAnsi="Arial Narrow"/>
              </w:rPr>
            </w:pPr>
            <w:r w:rsidRPr="000F777A">
              <w:rPr>
                <w:rFonts w:ascii="Arial Narrow" w:hAnsi="Arial Narrow"/>
              </w:rPr>
              <w:t>0.059</w:t>
            </w:r>
          </w:p>
        </w:tc>
        <w:tc>
          <w:tcPr>
            <w:tcW w:w="851" w:type="dxa"/>
            <w:vAlign w:val="center"/>
          </w:tcPr>
          <w:p w14:paraId="1471E051" w14:textId="77777777" w:rsidR="009F052E" w:rsidRPr="000F777A" w:rsidRDefault="009F052E" w:rsidP="00A175A4">
            <w:pPr>
              <w:jc w:val="center"/>
              <w:rPr>
                <w:rFonts w:ascii="Arial Narrow" w:hAnsi="Arial Narrow"/>
              </w:rPr>
            </w:pPr>
            <w:r w:rsidRPr="000F777A">
              <w:rPr>
                <w:rFonts w:ascii="Arial Narrow" w:hAnsi="Arial Narrow"/>
              </w:rPr>
              <w:t>0.075</w:t>
            </w:r>
          </w:p>
        </w:tc>
      </w:tr>
      <w:tr w:rsidR="00F352E1" w:rsidRPr="000F777A" w14:paraId="0F93BD2D" w14:textId="77777777" w:rsidTr="00A175A4">
        <w:trPr>
          <w:trHeight w:val="255"/>
        </w:trPr>
        <w:tc>
          <w:tcPr>
            <w:tcW w:w="2093" w:type="dxa"/>
            <w:noWrap/>
            <w:hideMark/>
          </w:tcPr>
          <w:p w14:paraId="63ED0023" w14:textId="77777777" w:rsidR="009F052E" w:rsidRPr="000F777A" w:rsidRDefault="009F052E" w:rsidP="00A175A4">
            <w:pPr>
              <w:jc w:val="left"/>
              <w:rPr>
                <w:rFonts w:ascii="Arial Narrow" w:hAnsi="Arial Narrow"/>
                <w:i/>
              </w:rPr>
            </w:pPr>
            <w:r w:rsidRPr="000F777A">
              <w:rPr>
                <w:rFonts w:ascii="Arial Narrow" w:hAnsi="Arial Narrow"/>
                <w:i/>
              </w:rPr>
              <w:t>Caulastrea</w:t>
            </w:r>
          </w:p>
        </w:tc>
        <w:tc>
          <w:tcPr>
            <w:tcW w:w="850" w:type="dxa"/>
            <w:noWrap/>
            <w:vAlign w:val="center"/>
            <w:hideMark/>
          </w:tcPr>
          <w:p w14:paraId="162B3807" w14:textId="77777777" w:rsidR="009F052E" w:rsidRPr="000F777A" w:rsidRDefault="009F052E" w:rsidP="00A175A4">
            <w:pPr>
              <w:jc w:val="center"/>
              <w:rPr>
                <w:rFonts w:ascii="Arial Narrow" w:hAnsi="Arial Narrow"/>
              </w:rPr>
            </w:pPr>
            <w:r w:rsidRPr="000F777A">
              <w:rPr>
                <w:rFonts w:ascii="Arial Narrow" w:hAnsi="Arial Narrow"/>
              </w:rPr>
              <w:t>0.007</w:t>
            </w:r>
          </w:p>
        </w:tc>
        <w:tc>
          <w:tcPr>
            <w:tcW w:w="851" w:type="dxa"/>
            <w:tcBorders>
              <w:right w:val="thinThickThinLargeGap" w:sz="24" w:space="0" w:color="auto"/>
            </w:tcBorders>
            <w:noWrap/>
            <w:vAlign w:val="center"/>
            <w:hideMark/>
          </w:tcPr>
          <w:p w14:paraId="13111AF2" w14:textId="77777777" w:rsidR="009F052E" w:rsidRPr="000F777A" w:rsidRDefault="009F052E" w:rsidP="00A175A4">
            <w:pPr>
              <w:jc w:val="center"/>
              <w:rPr>
                <w:rFonts w:ascii="Arial Narrow" w:hAnsi="Arial Narrow"/>
              </w:rPr>
            </w:pPr>
            <w:r w:rsidRPr="000F777A">
              <w:rPr>
                <w:rFonts w:ascii="Arial Narrow" w:hAnsi="Arial Narrow"/>
              </w:rPr>
              <w:t>-0.041</w:t>
            </w:r>
          </w:p>
        </w:tc>
        <w:tc>
          <w:tcPr>
            <w:tcW w:w="2069" w:type="dxa"/>
            <w:tcBorders>
              <w:left w:val="thinThickThinLargeGap" w:sz="24" w:space="0" w:color="auto"/>
            </w:tcBorders>
          </w:tcPr>
          <w:p w14:paraId="12436473" w14:textId="77777777" w:rsidR="009F052E" w:rsidRPr="000F777A" w:rsidRDefault="009F052E" w:rsidP="00A175A4">
            <w:pPr>
              <w:jc w:val="left"/>
              <w:rPr>
                <w:rFonts w:ascii="Arial Narrow" w:hAnsi="Arial Narrow"/>
              </w:rPr>
            </w:pPr>
            <w:r w:rsidRPr="000F777A">
              <w:rPr>
                <w:rFonts w:ascii="Arial Narrow" w:hAnsi="Arial Narrow"/>
                <w:i/>
              </w:rPr>
              <w:t>Leptoria</w:t>
            </w:r>
          </w:p>
        </w:tc>
        <w:tc>
          <w:tcPr>
            <w:tcW w:w="766" w:type="dxa"/>
            <w:vAlign w:val="center"/>
          </w:tcPr>
          <w:p w14:paraId="3E713B89" w14:textId="77777777" w:rsidR="009F052E" w:rsidRPr="000F777A" w:rsidRDefault="009F052E" w:rsidP="00A175A4">
            <w:pPr>
              <w:jc w:val="center"/>
              <w:rPr>
                <w:rFonts w:ascii="Arial Narrow" w:hAnsi="Arial Narrow"/>
              </w:rPr>
            </w:pPr>
            <w:r w:rsidRPr="000F777A">
              <w:rPr>
                <w:rFonts w:ascii="Arial Narrow" w:hAnsi="Arial Narrow"/>
              </w:rPr>
              <w:t>0.054</w:t>
            </w:r>
          </w:p>
        </w:tc>
        <w:tc>
          <w:tcPr>
            <w:tcW w:w="851" w:type="dxa"/>
            <w:vAlign w:val="center"/>
          </w:tcPr>
          <w:p w14:paraId="1905D39C" w14:textId="77777777" w:rsidR="009F052E" w:rsidRPr="000F777A" w:rsidRDefault="009F052E" w:rsidP="00A175A4">
            <w:pPr>
              <w:jc w:val="center"/>
              <w:rPr>
                <w:rFonts w:ascii="Arial Narrow" w:hAnsi="Arial Narrow"/>
              </w:rPr>
            </w:pPr>
            <w:r w:rsidRPr="000F777A">
              <w:rPr>
                <w:rFonts w:ascii="Arial Narrow" w:hAnsi="Arial Narrow"/>
              </w:rPr>
              <w:t>0.077</w:t>
            </w:r>
          </w:p>
        </w:tc>
      </w:tr>
      <w:tr w:rsidR="00F352E1" w:rsidRPr="000F777A" w14:paraId="2803693C" w14:textId="77777777" w:rsidTr="00A175A4">
        <w:trPr>
          <w:trHeight w:val="255"/>
        </w:trPr>
        <w:tc>
          <w:tcPr>
            <w:tcW w:w="2093" w:type="dxa"/>
            <w:noWrap/>
            <w:hideMark/>
          </w:tcPr>
          <w:p w14:paraId="31CD0EFC" w14:textId="77777777" w:rsidR="009F052E" w:rsidRPr="000F777A" w:rsidRDefault="009F052E" w:rsidP="00A175A4">
            <w:pPr>
              <w:jc w:val="left"/>
              <w:rPr>
                <w:rFonts w:ascii="Arial Narrow" w:hAnsi="Arial Narrow"/>
                <w:i/>
              </w:rPr>
            </w:pPr>
            <w:r w:rsidRPr="000F777A">
              <w:rPr>
                <w:rFonts w:ascii="Arial Narrow" w:hAnsi="Arial Narrow"/>
                <w:i/>
              </w:rPr>
              <w:t>Platygyra</w:t>
            </w:r>
          </w:p>
        </w:tc>
        <w:tc>
          <w:tcPr>
            <w:tcW w:w="850" w:type="dxa"/>
            <w:noWrap/>
            <w:vAlign w:val="center"/>
            <w:hideMark/>
          </w:tcPr>
          <w:p w14:paraId="22C4B6C3" w14:textId="77777777" w:rsidR="009F052E" w:rsidRPr="000F777A" w:rsidRDefault="009F052E" w:rsidP="00A175A4">
            <w:pPr>
              <w:jc w:val="center"/>
              <w:rPr>
                <w:rFonts w:ascii="Arial Narrow" w:hAnsi="Arial Narrow"/>
              </w:rPr>
            </w:pPr>
            <w:r w:rsidRPr="000F777A">
              <w:rPr>
                <w:rFonts w:ascii="Arial Narrow" w:hAnsi="Arial Narrow"/>
              </w:rPr>
              <w:t>0.048</w:t>
            </w:r>
          </w:p>
        </w:tc>
        <w:tc>
          <w:tcPr>
            <w:tcW w:w="851" w:type="dxa"/>
            <w:tcBorders>
              <w:right w:val="thinThickThinLargeGap" w:sz="24" w:space="0" w:color="auto"/>
            </w:tcBorders>
            <w:noWrap/>
            <w:vAlign w:val="center"/>
            <w:hideMark/>
          </w:tcPr>
          <w:p w14:paraId="6FA408D0" w14:textId="77777777" w:rsidR="009F052E" w:rsidRPr="000F777A" w:rsidRDefault="009F052E" w:rsidP="00A175A4">
            <w:pPr>
              <w:jc w:val="center"/>
              <w:rPr>
                <w:rFonts w:ascii="Arial Narrow" w:hAnsi="Arial Narrow"/>
              </w:rPr>
            </w:pPr>
            <w:r w:rsidRPr="000F777A">
              <w:rPr>
                <w:rFonts w:ascii="Arial Narrow" w:hAnsi="Arial Narrow"/>
              </w:rPr>
              <w:t>-0.040</w:t>
            </w:r>
          </w:p>
        </w:tc>
        <w:tc>
          <w:tcPr>
            <w:tcW w:w="2069" w:type="dxa"/>
            <w:tcBorders>
              <w:left w:val="thinThickThinLargeGap" w:sz="24" w:space="0" w:color="auto"/>
            </w:tcBorders>
          </w:tcPr>
          <w:p w14:paraId="02F319B0" w14:textId="77777777" w:rsidR="009F052E" w:rsidRPr="000F777A" w:rsidRDefault="009F052E" w:rsidP="00A175A4">
            <w:pPr>
              <w:jc w:val="left"/>
              <w:rPr>
                <w:rFonts w:ascii="Arial Narrow" w:hAnsi="Arial Narrow"/>
                <w:i/>
              </w:rPr>
            </w:pPr>
            <w:r w:rsidRPr="000F777A">
              <w:rPr>
                <w:rFonts w:ascii="Arial Narrow" w:hAnsi="Arial Narrow"/>
                <w:i/>
              </w:rPr>
              <w:t>Porites rus</w:t>
            </w:r>
          </w:p>
        </w:tc>
        <w:tc>
          <w:tcPr>
            <w:tcW w:w="766" w:type="dxa"/>
            <w:vAlign w:val="center"/>
          </w:tcPr>
          <w:p w14:paraId="432D2DCF" w14:textId="77777777" w:rsidR="009F052E" w:rsidRPr="000F777A" w:rsidRDefault="009F052E" w:rsidP="00A175A4">
            <w:pPr>
              <w:jc w:val="center"/>
              <w:rPr>
                <w:rFonts w:ascii="Arial Narrow" w:hAnsi="Arial Narrow"/>
              </w:rPr>
            </w:pPr>
            <w:r w:rsidRPr="000F777A">
              <w:rPr>
                <w:rFonts w:ascii="Arial Narrow" w:hAnsi="Arial Narrow"/>
              </w:rPr>
              <w:t>0.122</w:t>
            </w:r>
          </w:p>
        </w:tc>
        <w:tc>
          <w:tcPr>
            <w:tcW w:w="851" w:type="dxa"/>
            <w:vAlign w:val="center"/>
          </w:tcPr>
          <w:p w14:paraId="374332DF" w14:textId="77777777" w:rsidR="009F052E" w:rsidRPr="000F777A" w:rsidRDefault="009F052E" w:rsidP="00A175A4">
            <w:pPr>
              <w:jc w:val="center"/>
              <w:rPr>
                <w:rFonts w:ascii="Arial Narrow" w:hAnsi="Arial Narrow"/>
              </w:rPr>
            </w:pPr>
            <w:r w:rsidRPr="000F777A">
              <w:rPr>
                <w:rFonts w:ascii="Arial Narrow" w:hAnsi="Arial Narrow"/>
              </w:rPr>
              <w:t>0.087</w:t>
            </w:r>
          </w:p>
        </w:tc>
      </w:tr>
      <w:tr w:rsidR="00F352E1" w:rsidRPr="000F777A" w14:paraId="7C6B7C04" w14:textId="77777777" w:rsidTr="00A175A4">
        <w:trPr>
          <w:trHeight w:val="255"/>
        </w:trPr>
        <w:tc>
          <w:tcPr>
            <w:tcW w:w="2093" w:type="dxa"/>
            <w:noWrap/>
            <w:hideMark/>
          </w:tcPr>
          <w:p w14:paraId="25E8DC92" w14:textId="77777777" w:rsidR="009F052E" w:rsidRPr="000F777A" w:rsidRDefault="009F052E" w:rsidP="00A175A4">
            <w:pPr>
              <w:jc w:val="left"/>
              <w:rPr>
                <w:rFonts w:ascii="Arial Narrow" w:hAnsi="Arial Narrow"/>
                <w:i/>
              </w:rPr>
            </w:pPr>
            <w:r w:rsidRPr="000F777A">
              <w:rPr>
                <w:rFonts w:ascii="Arial Narrow" w:hAnsi="Arial Narrow"/>
                <w:i/>
              </w:rPr>
              <w:t>Herpolitha</w:t>
            </w:r>
          </w:p>
        </w:tc>
        <w:tc>
          <w:tcPr>
            <w:tcW w:w="850" w:type="dxa"/>
            <w:noWrap/>
            <w:vAlign w:val="center"/>
            <w:hideMark/>
          </w:tcPr>
          <w:p w14:paraId="7162823C" w14:textId="77777777" w:rsidR="009F052E" w:rsidRPr="000F777A" w:rsidRDefault="009F052E" w:rsidP="00A175A4">
            <w:pPr>
              <w:jc w:val="center"/>
              <w:rPr>
                <w:rFonts w:ascii="Arial Narrow" w:hAnsi="Arial Narrow"/>
              </w:rPr>
            </w:pPr>
            <w:r w:rsidRPr="000F777A">
              <w:rPr>
                <w:rFonts w:ascii="Arial Narrow" w:hAnsi="Arial Narrow"/>
              </w:rPr>
              <w:t>-0.013</w:t>
            </w:r>
          </w:p>
        </w:tc>
        <w:tc>
          <w:tcPr>
            <w:tcW w:w="851" w:type="dxa"/>
            <w:tcBorders>
              <w:right w:val="thinThickThinLargeGap" w:sz="24" w:space="0" w:color="auto"/>
            </w:tcBorders>
            <w:noWrap/>
            <w:vAlign w:val="center"/>
            <w:hideMark/>
          </w:tcPr>
          <w:p w14:paraId="6B2B36A6" w14:textId="77777777" w:rsidR="009F052E" w:rsidRPr="000F777A" w:rsidRDefault="009F052E" w:rsidP="00A175A4">
            <w:pPr>
              <w:jc w:val="center"/>
              <w:rPr>
                <w:rFonts w:ascii="Arial Narrow" w:hAnsi="Arial Narrow"/>
              </w:rPr>
            </w:pPr>
            <w:r w:rsidRPr="000F777A">
              <w:rPr>
                <w:rFonts w:ascii="Arial Narrow" w:hAnsi="Arial Narrow"/>
              </w:rPr>
              <w:t>-0.034</w:t>
            </w:r>
          </w:p>
        </w:tc>
        <w:tc>
          <w:tcPr>
            <w:tcW w:w="2069" w:type="dxa"/>
            <w:tcBorders>
              <w:left w:val="thinThickThinLargeGap" w:sz="24" w:space="0" w:color="auto"/>
            </w:tcBorders>
          </w:tcPr>
          <w:p w14:paraId="73DC6C12" w14:textId="77777777" w:rsidR="009F052E" w:rsidRPr="000F777A" w:rsidRDefault="009F052E" w:rsidP="00A175A4">
            <w:pPr>
              <w:jc w:val="left"/>
              <w:rPr>
                <w:rFonts w:ascii="Arial Narrow" w:hAnsi="Arial Narrow"/>
                <w:i/>
              </w:rPr>
            </w:pPr>
            <w:r w:rsidRPr="000F777A">
              <w:rPr>
                <w:rFonts w:ascii="Arial Narrow" w:hAnsi="Arial Narrow"/>
                <w:i/>
              </w:rPr>
              <w:t>Echinopora</w:t>
            </w:r>
          </w:p>
        </w:tc>
        <w:tc>
          <w:tcPr>
            <w:tcW w:w="766" w:type="dxa"/>
            <w:vAlign w:val="center"/>
          </w:tcPr>
          <w:p w14:paraId="6A2AF2C9" w14:textId="77777777" w:rsidR="009F052E" w:rsidRPr="000F777A" w:rsidRDefault="009F052E" w:rsidP="00A175A4">
            <w:pPr>
              <w:jc w:val="center"/>
              <w:rPr>
                <w:rFonts w:ascii="Arial Narrow" w:hAnsi="Arial Narrow"/>
              </w:rPr>
            </w:pPr>
            <w:r w:rsidRPr="000F777A">
              <w:rPr>
                <w:rFonts w:ascii="Arial Narrow" w:hAnsi="Arial Narrow"/>
              </w:rPr>
              <w:t>0.076</w:t>
            </w:r>
          </w:p>
        </w:tc>
        <w:tc>
          <w:tcPr>
            <w:tcW w:w="851" w:type="dxa"/>
            <w:vAlign w:val="center"/>
          </w:tcPr>
          <w:p w14:paraId="0CB0F9CA" w14:textId="77777777" w:rsidR="009F052E" w:rsidRPr="000F777A" w:rsidRDefault="009F052E" w:rsidP="00A175A4">
            <w:pPr>
              <w:jc w:val="center"/>
              <w:rPr>
                <w:rFonts w:ascii="Arial Narrow" w:hAnsi="Arial Narrow"/>
              </w:rPr>
            </w:pPr>
            <w:r w:rsidRPr="000F777A">
              <w:rPr>
                <w:rFonts w:ascii="Arial Narrow" w:hAnsi="Arial Narrow"/>
              </w:rPr>
              <w:t>0.096</w:t>
            </w:r>
          </w:p>
        </w:tc>
      </w:tr>
      <w:tr w:rsidR="00F352E1" w:rsidRPr="000F777A" w14:paraId="00E66BB8" w14:textId="77777777" w:rsidTr="00A175A4">
        <w:trPr>
          <w:trHeight w:val="255"/>
        </w:trPr>
        <w:tc>
          <w:tcPr>
            <w:tcW w:w="2093" w:type="dxa"/>
            <w:noWrap/>
            <w:hideMark/>
          </w:tcPr>
          <w:p w14:paraId="4281AA27" w14:textId="77777777" w:rsidR="009F052E" w:rsidRPr="000F777A" w:rsidRDefault="009F052E" w:rsidP="00A175A4">
            <w:pPr>
              <w:jc w:val="left"/>
              <w:rPr>
                <w:rFonts w:ascii="Arial Narrow" w:hAnsi="Arial Narrow"/>
                <w:i/>
              </w:rPr>
            </w:pPr>
            <w:r w:rsidRPr="000F777A">
              <w:rPr>
                <w:rFonts w:ascii="Arial Narrow" w:hAnsi="Arial Narrow"/>
                <w:i/>
              </w:rPr>
              <w:t>Lobophyllia</w:t>
            </w:r>
          </w:p>
        </w:tc>
        <w:tc>
          <w:tcPr>
            <w:tcW w:w="850" w:type="dxa"/>
            <w:noWrap/>
            <w:vAlign w:val="center"/>
            <w:hideMark/>
          </w:tcPr>
          <w:p w14:paraId="03696806" w14:textId="77777777" w:rsidR="009F052E" w:rsidRPr="000F777A" w:rsidRDefault="009F052E" w:rsidP="00A175A4">
            <w:pPr>
              <w:jc w:val="center"/>
              <w:rPr>
                <w:rFonts w:ascii="Arial Narrow" w:hAnsi="Arial Narrow"/>
              </w:rPr>
            </w:pPr>
            <w:r w:rsidRPr="000F777A">
              <w:rPr>
                <w:rFonts w:ascii="Arial Narrow" w:hAnsi="Arial Narrow"/>
              </w:rPr>
              <w:t>0.018</w:t>
            </w:r>
          </w:p>
        </w:tc>
        <w:tc>
          <w:tcPr>
            <w:tcW w:w="851" w:type="dxa"/>
            <w:tcBorders>
              <w:right w:val="thinThickThinLargeGap" w:sz="24" w:space="0" w:color="auto"/>
            </w:tcBorders>
            <w:noWrap/>
            <w:vAlign w:val="center"/>
            <w:hideMark/>
          </w:tcPr>
          <w:p w14:paraId="7DC85716" w14:textId="77777777" w:rsidR="009F052E" w:rsidRPr="000F777A" w:rsidRDefault="009F052E" w:rsidP="00A175A4">
            <w:pPr>
              <w:jc w:val="center"/>
              <w:rPr>
                <w:rFonts w:ascii="Arial Narrow" w:hAnsi="Arial Narrow"/>
              </w:rPr>
            </w:pPr>
            <w:r w:rsidRPr="000F777A">
              <w:rPr>
                <w:rFonts w:ascii="Arial Narrow" w:hAnsi="Arial Narrow"/>
              </w:rPr>
              <w:t>-0.034</w:t>
            </w:r>
          </w:p>
        </w:tc>
        <w:tc>
          <w:tcPr>
            <w:tcW w:w="2069" w:type="dxa"/>
            <w:tcBorders>
              <w:left w:val="thinThickThinLargeGap" w:sz="24" w:space="0" w:color="auto"/>
            </w:tcBorders>
          </w:tcPr>
          <w:p w14:paraId="09C1EDF1" w14:textId="77777777" w:rsidR="009F052E" w:rsidRPr="000F777A" w:rsidRDefault="009F052E" w:rsidP="00A175A4">
            <w:pPr>
              <w:jc w:val="left"/>
              <w:rPr>
                <w:rFonts w:ascii="Arial Narrow" w:hAnsi="Arial Narrow"/>
                <w:i/>
              </w:rPr>
            </w:pPr>
            <w:r w:rsidRPr="000F777A">
              <w:rPr>
                <w:rFonts w:ascii="Arial Narrow" w:hAnsi="Arial Narrow"/>
              </w:rPr>
              <w:t xml:space="preserve">Massive </w:t>
            </w:r>
            <w:r w:rsidRPr="000F777A">
              <w:rPr>
                <w:rFonts w:ascii="Arial Narrow" w:hAnsi="Arial Narrow"/>
                <w:i/>
              </w:rPr>
              <w:t>Porites</w:t>
            </w:r>
          </w:p>
        </w:tc>
        <w:tc>
          <w:tcPr>
            <w:tcW w:w="766" w:type="dxa"/>
            <w:vAlign w:val="center"/>
          </w:tcPr>
          <w:p w14:paraId="6FD1EF45" w14:textId="77777777" w:rsidR="009F052E" w:rsidRPr="000F777A" w:rsidRDefault="009F052E" w:rsidP="00A175A4">
            <w:pPr>
              <w:jc w:val="center"/>
              <w:rPr>
                <w:rFonts w:ascii="Arial Narrow" w:hAnsi="Arial Narrow"/>
              </w:rPr>
            </w:pPr>
            <w:r w:rsidRPr="000F777A">
              <w:rPr>
                <w:rFonts w:ascii="Arial Narrow" w:hAnsi="Arial Narrow"/>
              </w:rPr>
              <w:t>-0.054</w:t>
            </w:r>
          </w:p>
        </w:tc>
        <w:tc>
          <w:tcPr>
            <w:tcW w:w="851" w:type="dxa"/>
            <w:vAlign w:val="center"/>
          </w:tcPr>
          <w:p w14:paraId="63D51729" w14:textId="77777777" w:rsidR="009F052E" w:rsidRPr="000F777A" w:rsidRDefault="009F052E" w:rsidP="00A175A4">
            <w:pPr>
              <w:jc w:val="center"/>
              <w:rPr>
                <w:rFonts w:ascii="Arial Narrow" w:hAnsi="Arial Narrow"/>
              </w:rPr>
            </w:pPr>
            <w:r w:rsidRPr="000F777A">
              <w:rPr>
                <w:rFonts w:ascii="Arial Narrow" w:hAnsi="Arial Narrow"/>
              </w:rPr>
              <w:t>0.122</w:t>
            </w:r>
          </w:p>
        </w:tc>
      </w:tr>
      <w:tr w:rsidR="00F352E1" w:rsidRPr="000F777A" w14:paraId="54AB3E73" w14:textId="77777777" w:rsidTr="00A175A4">
        <w:trPr>
          <w:trHeight w:val="255"/>
        </w:trPr>
        <w:tc>
          <w:tcPr>
            <w:tcW w:w="2093" w:type="dxa"/>
            <w:noWrap/>
            <w:hideMark/>
          </w:tcPr>
          <w:p w14:paraId="22BF33EF" w14:textId="77777777" w:rsidR="009F052E" w:rsidRPr="000F777A" w:rsidRDefault="009F052E" w:rsidP="00A175A4">
            <w:pPr>
              <w:jc w:val="left"/>
              <w:rPr>
                <w:rFonts w:ascii="Arial Narrow" w:hAnsi="Arial Narrow"/>
                <w:i/>
              </w:rPr>
            </w:pPr>
            <w:r w:rsidRPr="000F777A">
              <w:rPr>
                <w:rFonts w:ascii="Arial Narrow" w:hAnsi="Arial Narrow"/>
                <w:i/>
              </w:rPr>
              <w:t>Pavona</w:t>
            </w:r>
          </w:p>
        </w:tc>
        <w:tc>
          <w:tcPr>
            <w:tcW w:w="850" w:type="dxa"/>
            <w:noWrap/>
            <w:vAlign w:val="center"/>
            <w:hideMark/>
          </w:tcPr>
          <w:p w14:paraId="1C38133F" w14:textId="77777777" w:rsidR="009F052E" w:rsidRPr="000F777A" w:rsidRDefault="009F052E" w:rsidP="00A175A4">
            <w:pPr>
              <w:jc w:val="center"/>
              <w:rPr>
                <w:rFonts w:ascii="Arial Narrow" w:hAnsi="Arial Narrow"/>
              </w:rPr>
            </w:pPr>
            <w:r w:rsidRPr="000F777A">
              <w:rPr>
                <w:rFonts w:ascii="Arial Narrow" w:hAnsi="Arial Narrow"/>
              </w:rPr>
              <w:t>-0.152</w:t>
            </w:r>
          </w:p>
        </w:tc>
        <w:tc>
          <w:tcPr>
            <w:tcW w:w="851" w:type="dxa"/>
            <w:tcBorders>
              <w:right w:val="thinThickThinLargeGap" w:sz="24" w:space="0" w:color="auto"/>
            </w:tcBorders>
            <w:noWrap/>
            <w:vAlign w:val="center"/>
            <w:hideMark/>
          </w:tcPr>
          <w:p w14:paraId="2E471870" w14:textId="77777777" w:rsidR="009F052E" w:rsidRPr="000F777A" w:rsidRDefault="009F052E" w:rsidP="00A175A4">
            <w:pPr>
              <w:jc w:val="center"/>
              <w:rPr>
                <w:rFonts w:ascii="Arial Narrow" w:hAnsi="Arial Narrow"/>
              </w:rPr>
            </w:pPr>
            <w:r w:rsidRPr="000F777A">
              <w:rPr>
                <w:rFonts w:ascii="Arial Narrow" w:hAnsi="Arial Narrow"/>
              </w:rPr>
              <w:t>-0.024</w:t>
            </w:r>
          </w:p>
        </w:tc>
        <w:tc>
          <w:tcPr>
            <w:tcW w:w="2069" w:type="dxa"/>
            <w:tcBorders>
              <w:left w:val="thinThickThinLargeGap" w:sz="24" w:space="0" w:color="auto"/>
            </w:tcBorders>
          </w:tcPr>
          <w:p w14:paraId="788159E3" w14:textId="77777777" w:rsidR="009F052E" w:rsidRPr="000F777A" w:rsidRDefault="009F052E" w:rsidP="00A175A4">
            <w:pPr>
              <w:jc w:val="left"/>
              <w:rPr>
                <w:rFonts w:ascii="Arial Narrow" w:hAnsi="Arial Narrow"/>
              </w:rPr>
            </w:pPr>
            <w:r w:rsidRPr="000F777A">
              <w:rPr>
                <w:rFonts w:ascii="Arial Narrow" w:hAnsi="Arial Narrow"/>
                <w:i/>
              </w:rPr>
              <w:t>Diploastrea</w:t>
            </w:r>
          </w:p>
        </w:tc>
        <w:tc>
          <w:tcPr>
            <w:tcW w:w="766" w:type="dxa"/>
            <w:vAlign w:val="center"/>
          </w:tcPr>
          <w:p w14:paraId="15624FD1" w14:textId="77777777" w:rsidR="009F052E" w:rsidRPr="000F777A" w:rsidRDefault="009F052E" w:rsidP="00A175A4">
            <w:pPr>
              <w:jc w:val="center"/>
              <w:rPr>
                <w:rFonts w:ascii="Arial Narrow" w:hAnsi="Arial Narrow"/>
              </w:rPr>
            </w:pPr>
            <w:r w:rsidRPr="000F777A">
              <w:rPr>
                <w:rFonts w:ascii="Arial Narrow" w:hAnsi="Arial Narrow"/>
              </w:rPr>
              <w:t>0.003</w:t>
            </w:r>
          </w:p>
        </w:tc>
        <w:tc>
          <w:tcPr>
            <w:tcW w:w="851" w:type="dxa"/>
            <w:vAlign w:val="center"/>
          </w:tcPr>
          <w:p w14:paraId="779CC7D5" w14:textId="77777777" w:rsidR="009F052E" w:rsidRPr="000F777A" w:rsidRDefault="009F052E" w:rsidP="00A175A4">
            <w:pPr>
              <w:jc w:val="center"/>
              <w:rPr>
                <w:rFonts w:ascii="Arial Narrow" w:hAnsi="Arial Narrow"/>
              </w:rPr>
            </w:pPr>
            <w:r w:rsidRPr="000F777A">
              <w:rPr>
                <w:rFonts w:ascii="Arial Narrow" w:hAnsi="Arial Narrow"/>
              </w:rPr>
              <w:t>0.173</w:t>
            </w:r>
          </w:p>
        </w:tc>
      </w:tr>
      <w:tr w:rsidR="00F352E1" w:rsidRPr="000F777A" w14:paraId="12C46F6E" w14:textId="77777777" w:rsidTr="00A175A4">
        <w:trPr>
          <w:trHeight w:val="255"/>
        </w:trPr>
        <w:tc>
          <w:tcPr>
            <w:tcW w:w="2093" w:type="dxa"/>
            <w:noWrap/>
            <w:hideMark/>
          </w:tcPr>
          <w:p w14:paraId="48879639" w14:textId="77777777" w:rsidR="009F052E" w:rsidRPr="000F777A" w:rsidRDefault="009F052E" w:rsidP="00A175A4">
            <w:pPr>
              <w:jc w:val="left"/>
              <w:rPr>
                <w:rFonts w:ascii="Arial Narrow" w:hAnsi="Arial Narrow"/>
                <w:i/>
              </w:rPr>
            </w:pPr>
            <w:r w:rsidRPr="000F777A">
              <w:rPr>
                <w:rFonts w:ascii="Arial Narrow" w:hAnsi="Arial Narrow"/>
                <w:i/>
              </w:rPr>
              <w:t>Astreopora</w:t>
            </w:r>
          </w:p>
        </w:tc>
        <w:tc>
          <w:tcPr>
            <w:tcW w:w="850" w:type="dxa"/>
            <w:noWrap/>
            <w:vAlign w:val="center"/>
            <w:hideMark/>
          </w:tcPr>
          <w:p w14:paraId="149AD762" w14:textId="77777777" w:rsidR="009F052E" w:rsidRPr="000F777A" w:rsidRDefault="009F052E" w:rsidP="00A175A4">
            <w:pPr>
              <w:jc w:val="center"/>
              <w:rPr>
                <w:rFonts w:ascii="Arial Narrow" w:hAnsi="Arial Narrow"/>
              </w:rPr>
            </w:pPr>
            <w:r w:rsidRPr="000F777A">
              <w:rPr>
                <w:rFonts w:ascii="Arial Narrow" w:hAnsi="Arial Narrow"/>
              </w:rPr>
              <w:t>0.031</w:t>
            </w:r>
          </w:p>
        </w:tc>
        <w:tc>
          <w:tcPr>
            <w:tcW w:w="851" w:type="dxa"/>
            <w:tcBorders>
              <w:right w:val="thinThickThinLargeGap" w:sz="24" w:space="0" w:color="auto"/>
            </w:tcBorders>
            <w:noWrap/>
            <w:vAlign w:val="center"/>
            <w:hideMark/>
          </w:tcPr>
          <w:p w14:paraId="134599CE" w14:textId="77777777" w:rsidR="009F052E" w:rsidRPr="000F777A" w:rsidRDefault="009F052E" w:rsidP="00A175A4">
            <w:pPr>
              <w:jc w:val="center"/>
              <w:rPr>
                <w:rFonts w:ascii="Arial Narrow" w:hAnsi="Arial Narrow"/>
              </w:rPr>
            </w:pPr>
            <w:r w:rsidRPr="000F777A">
              <w:rPr>
                <w:rFonts w:ascii="Arial Narrow" w:hAnsi="Arial Narrow"/>
              </w:rPr>
              <w:t>-0.023</w:t>
            </w:r>
          </w:p>
        </w:tc>
        <w:tc>
          <w:tcPr>
            <w:tcW w:w="2069" w:type="dxa"/>
            <w:tcBorders>
              <w:left w:val="thinThickThinLargeGap" w:sz="24" w:space="0" w:color="auto"/>
            </w:tcBorders>
          </w:tcPr>
          <w:p w14:paraId="702A2716" w14:textId="77777777" w:rsidR="009F052E" w:rsidRPr="000F777A" w:rsidRDefault="009F052E" w:rsidP="00A175A4">
            <w:pPr>
              <w:jc w:val="left"/>
              <w:rPr>
                <w:rFonts w:ascii="Arial Narrow" w:hAnsi="Arial Narrow"/>
                <w:i/>
              </w:rPr>
            </w:pPr>
            <w:r w:rsidRPr="000F777A">
              <w:rPr>
                <w:rFonts w:ascii="Arial Narrow" w:hAnsi="Arial Narrow"/>
              </w:rPr>
              <w:t xml:space="preserve">Tabulate </w:t>
            </w:r>
            <w:r w:rsidRPr="000F777A">
              <w:rPr>
                <w:rFonts w:ascii="Arial Narrow" w:hAnsi="Arial Narrow"/>
                <w:i/>
              </w:rPr>
              <w:t>Acropora</w:t>
            </w:r>
          </w:p>
        </w:tc>
        <w:tc>
          <w:tcPr>
            <w:tcW w:w="766" w:type="dxa"/>
            <w:vAlign w:val="center"/>
          </w:tcPr>
          <w:p w14:paraId="1C2A5A20" w14:textId="77777777" w:rsidR="009F052E" w:rsidRPr="000F777A" w:rsidRDefault="009F052E" w:rsidP="00A175A4">
            <w:pPr>
              <w:jc w:val="center"/>
              <w:rPr>
                <w:rFonts w:ascii="Arial Narrow" w:hAnsi="Arial Narrow"/>
              </w:rPr>
            </w:pPr>
            <w:r w:rsidRPr="000F777A">
              <w:rPr>
                <w:rFonts w:ascii="Arial Narrow" w:hAnsi="Arial Narrow"/>
              </w:rPr>
              <w:t>0.052</w:t>
            </w:r>
          </w:p>
        </w:tc>
        <w:tc>
          <w:tcPr>
            <w:tcW w:w="851" w:type="dxa"/>
            <w:vAlign w:val="center"/>
          </w:tcPr>
          <w:p w14:paraId="1FD03D17" w14:textId="77777777" w:rsidR="009F052E" w:rsidRPr="000F777A" w:rsidRDefault="009F052E" w:rsidP="00A175A4">
            <w:pPr>
              <w:jc w:val="center"/>
              <w:rPr>
                <w:rFonts w:ascii="Arial Narrow" w:hAnsi="Arial Narrow"/>
              </w:rPr>
            </w:pPr>
            <w:r w:rsidRPr="000F777A">
              <w:rPr>
                <w:rFonts w:ascii="Arial Narrow" w:hAnsi="Arial Narrow"/>
              </w:rPr>
              <w:t>0.224</w:t>
            </w:r>
          </w:p>
        </w:tc>
      </w:tr>
      <w:tr w:rsidR="00F352E1" w:rsidRPr="000F777A" w14:paraId="0B84154D" w14:textId="77777777" w:rsidTr="00A175A4">
        <w:trPr>
          <w:trHeight w:val="255"/>
        </w:trPr>
        <w:tc>
          <w:tcPr>
            <w:tcW w:w="2093" w:type="dxa"/>
            <w:noWrap/>
            <w:hideMark/>
          </w:tcPr>
          <w:p w14:paraId="14F37ACC" w14:textId="77777777" w:rsidR="009F052E" w:rsidRPr="000F777A" w:rsidRDefault="009F052E" w:rsidP="00A175A4">
            <w:pPr>
              <w:jc w:val="left"/>
              <w:rPr>
                <w:rFonts w:ascii="Arial Narrow" w:hAnsi="Arial Narrow"/>
                <w:i/>
              </w:rPr>
            </w:pPr>
            <w:r w:rsidRPr="000F777A">
              <w:rPr>
                <w:rFonts w:ascii="Arial Narrow" w:hAnsi="Arial Narrow"/>
                <w:i/>
              </w:rPr>
              <w:t xml:space="preserve">Euphyllia </w:t>
            </w:r>
          </w:p>
        </w:tc>
        <w:tc>
          <w:tcPr>
            <w:tcW w:w="850" w:type="dxa"/>
            <w:noWrap/>
            <w:vAlign w:val="center"/>
            <w:hideMark/>
          </w:tcPr>
          <w:p w14:paraId="5BBAA18D" w14:textId="77777777" w:rsidR="009F052E" w:rsidRPr="000F777A" w:rsidRDefault="009F052E" w:rsidP="00A175A4">
            <w:pPr>
              <w:jc w:val="center"/>
              <w:rPr>
                <w:rFonts w:ascii="Arial Narrow" w:hAnsi="Arial Narrow"/>
              </w:rPr>
            </w:pPr>
            <w:r w:rsidRPr="000F777A">
              <w:rPr>
                <w:rFonts w:ascii="Arial Narrow" w:hAnsi="Arial Narrow"/>
              </w:rPr>
              <w:t>-0.012</w:t>
            </w:r>
          </w:p>
        </w:tc>
        <w:tc>
          <w:tcPr>
            <w:tcW w:w="851" w:type="dxa"/>
            <w:tcBorders>
              <w:right w:val="thinThickThinLargeGap" w:sz="24" w:space="0" w:color="auto"/>
            </w:tcBorders>
            <w:noWrap/>
            <w:vAlign w:val="center"/>
            <w:hideMark/>
          </w:tcPr>
          <w:p w14:paraId="21D475F7" w14:textId="77777777" w:rsidR="009F052E" w:rsidRPr="000F777A" w:rsidRDefault="009F052E" w:rsidP="00A175A4">
            <w:pPr>
              <w:jc w:val="center"/>
              <w:rPr>
                <w:rFonts w:ascii="Arial Narrow" w:hAnsi="Arial Narrow"/>
              </w:rPr>
            </w:pPr>
            <w:r w:rsidRPr="000F777A">
              <w:rPr>
                <w:rFonts w:ascii="Arial Narrow" w:hAnsi="Arial Narrow"/>
              </w:rPr>
              <w:t>-0.023</w:t>
            </w:r>
          </w:p>
        </w:tc>
        <w:tc>
          <w:tcPr>
            <w:tcW w:w="2069" w:type="dxa"/>
            <w:tcBorders>
              <w:left w:val="thinThickThinLargeGap" w:sz="24" w:space="0" w:color="auto"/>
            </w:tcBorders>
          </w:tcPr>
          <w:p w14:paraId="6EBE531A" w14:textId="77777777" w:rsidR="009F052E" w:rsidRPr="000F777A" w:rsidRDefault="009F052E" w:rsidP="00A175A4">
            <w:pPr>
              <w:jc w:val="left"/>
              <w:rPr>
                <w:rFonts w:ascii="Arial Narrow" w:hAnsi="Arial Narrow"/>
              </w:rPr>
            </w:pPr>
            <w:r w:rsidRPr="000F777A">
              <w:rPr>
                <w:rFonts w:ascii="Arial Narrow" w:hAnsi="Arial Narrow"/>
              </w:rPr>
              <w:t xml:space="preserve">Corymbose </w:t>
            </w:r>
            <w:r w:rsidRPr="000F777A">
              <w:rPr>
                <w:rFonts w:ascii="Arial Narrow" w:hAnsi="Arial Narrow"/>
                <w:i/>
              </w:rPr>
              <w:t>Acropora</w:t>
            </w:r>
          </w:p>
        </w:tc>
        <w:tc>
          <w:tcPr>
            <w:tcW w:w="766" w:type="dxa"/>
            <w:vAlign w:val="center"/>
          </w:tcPr>
          <w:p w14:paraId="16870C80" w14:textId="77777777" w:rsidR="009F052E" w:rsidRPr="000F777A" w:rsidRDefault="009F052E" w:rsidP="00A175A4">
            <w:pPr>
              <w:jc w:val="center"/>
              <w:rPr>
                <w:rFonts w:ascii="Arial Narrow" w:hAnsi="Arial Narrow"/>
              </w:rPr>
            </w:pPr>
            <w:r w:rsidRPr="000F777A">
              <w:rPr>
                <w:rFonts w:ascii="Arial Narrow" w:hAnsi="Arial Narrow"/>
              </w:rPr>
              <w:t>0.060</w:t>
            </w:r>
          </w:p>
        </w:tc>
        <w:tc>
          <w:tcPr>
            <w:tcW w:w="851" w:type="dxa"/>
            <w:vAlign w:val="center"/>
          </w:tcPr>
          <w:p w14:paraId="55F74E4F" w14:textId="77777777" w:rsidR="009F052E" w:rsidRPr="000F777A" w:rsidRDefault="009F052E" w:rsidP="00A175A4">
            <w:pPr>
              <w:jc w:val="center"/>
              <w:rPr>
                <w:rFonts w:ascii="Arial Narrow" w:hAnsi="Arial Narrow"/>
              </w:rPr>
            </w:pPr>
            <w:r w:rsidRPr="000F777A">
              <w:rPr>
                <w:rFonts w:ascii="Arial Narrow" w:hAnsi="Arial Narrow"/>
              </w:rPr>
              <w:t>0.240</w:t>
            </w:r>
          </w:p>
        </w:tc>
      </w:tr>
      <w:tr w:rsidR="00F352E1" w:rsidRPr="000F777A" w14:paraId="2BD95E94" w14:textId="77777777" w:rsidTr="00A175A4">
        <w:trPr>
          <w:trHeight w:val="255"/>
        </w:trPr>
        <w:tc>
          <w:tcPr>
            <w:tcW w:w="2093" w:type="dxa"/>
            <w:noWrap/>
            <w:hideMark/>
          </w:tcPr>
          <w:p w14:paraId="6531F453" w14:textId="77777777" w:rsidR="009F052E" w:rsidRPr="000F777A" w:rsidRDefault="009F052E" w:rsidP="00A175A4">
            <w:pPr>
              <w:jc w:val="left"/>
              <w:rPr>
                <w:rFonts w:ascii="Arial Narrow" w:hAnsi="Arial Narrow"/>
              </w:rPr>
            </w:pPr>
            <w:r w:rsidRPr="000F777A">
              <w:rPr>
                <w:rFonts w:ascii="Arial Narrow" w:hAnsi="Arial Narrow"/>
                <w:i/>
              </w:rPr>
              <w:t>Leptoseris</w:t>
            </w:r>
          </w:p>
        </w:tc>
        <w:tc>
          <w:tcPr>
            <w:tcW w:w="850" w:type="dxa"/>
            <w:noWrap/>
            <w:vAlign w:val="center"/>
            <w:hideMark/>
          </w:tcPr>
          <w:p w14:paraId="48770DB0" w14:textId="77777777" w:rsidR="009F052E" w:rsidRPr="000F777A" w:rsidRDefault="009F052E" w:rsidP="00A175A4">
            <w:pPr>
              <w:jc w:val="center"/>
              <w:rPr>
                <w:rFonts w:ascii="Arial Narrow" w:hAnsi="Arial Narrow"/>
              </w:rPr>
            </w:pPr>
            <w:r w:rsidRPr="000F777A">
              <w:rPr>
                <w:rFonts w:ascii="Arial Narrow" w:hAnsi="Arial Narrow"/>
              </w:rPr>
              <w:t>-0.011</w:t>
            </w:r>
          </w:p>
        </w:tc>
        <w:tc>
          <w:tcPr>
            <w:tcW w:w="851" w:type="dxa"/>
            <w:tcBorders>
              <w:right w:val="thinThickThinLargeGap" w:sz="24" w:space="0" w:color="auto"/>
            </w:tcBorders>
            <w:noWrap/>
            <w:vAlign w:val="center"/>
            <w:hideMark/>
          </w:tcPr>
          <w:p w14:paraId="1A54E43E" w14:textId="77777777" w:rsidR="009F052E" w:rsidRPr="000F777A" w:rsidRDefault="009F052E" w:rsidP="00A175A4">
            <w:pPr>
              <w:jc w:val="center"/>
              <w:rPr>
                <w:rFonts w:ascii="Arial Narrow" w:hAnsi="Arial Narrow"/>
              </w:rPr>
            </w:pPr>
            <w:r w:rsidRPr="000F777A">
              <w:rPr>
                <w:rFonts w:ascii="Arial Narrow" w:hAnsi="Arial Narrow"/>
              </w:rPr>
              <w:t>-0.021</w:t>
            </w:r>
          </w:p>
        </w:tc>
        <w:tc>
          <w:tcPr>
            <w:tcW w:w="2069" w:type="dxa"/>
            <w:tcBorders>
              <w:left w:val="thinThickThinLargeGap" w:sz="24" w:space="0" w:color="auto"/>
            </w:tcBorders>
          </w:tcPr>
          <w:p w14:paraId="45C4E70E" w14:textId="77777777" w:rsidR="009F052E" w:rsidRPr="000F777A" w:rsidRDefault="009F052E" w:rsidP="00A175A4">
            <w:pPr>
              <w:jc w:val="left"/>
              <w:rPr>
                <w:rFonts w:ascii="Arial Narrow" w:hAnsi="Arial Narrow"/>
              </w:rPr>
            </w:pPr>
            <w:r w:rsidRPr="000F777A">
              <w:rPr>
                <w:rFonts w:ascii="Arial Narrow" w:hAnsi="Arial Narrow"/>
              </w:rPr>
              <w:t xml:space="preserve">Branching </w:t>
            </w:r>
            <w:r w:rsidRPr="000F777A">
              <w:rPr>
                <w:rFonts w:ascii="Arial Narrow" w:hAnsi="Arial Narrow"/>
                <w:i/>
              </w:rPr>
              <w:t>Acropora</w:t>
            </w:r>
          </w:p>
        </w:tc>
        <w:tc>
          <w:tcPr>
            <w:tcW w:w="766" w:type="dxa"/>
            <w:vAlign w:val="center"/>
          </w:tcPr>
          <w:p w14:paraId="2DE0D755" w14:textId="77777777" w:rsidR="009F052E" w:rsidRPr="000F777A" w:rsidRDefault="009F052E" w:rsidP="00A175A4">
            <w:pPr>
              <w:jc w:val="center"/>
              <w:rPr>
                <w:rFonts w:ascii="Arial Narrow" w:hAnsi="Arial Narrow"/>
              </w:rPr>
            </w:pPr>
            <w:r w:rsidRPr="000F777A">
              <w:rPr>
                <w:rFonts w:ascii="Arial Narrow" w:hAnsi="Arial Narrow"/>
              </w:rPr>
              <w:t>0.657</w:t>
            </w:r>
          </w:p>
        </w:tc>
        <w:tc>
          <w:tcPr>
            <w:tcW w:w="851" w:type="dxa"/>
            <w:vAlign w:val="center"/>
          </w:tcPr>
          <w:p w14:paraId="25B1AA27" w14:textId="77777777" w:rsidR="009F052E" w:rsidRPr="000F777A" w:rsidRDefault="009F052E" w:rsidP="00A175A4">
            <w:pPr>
              <w:jc w:val="center"/>
              <w:rPr>
                <w:rFonts w:ascii="Arial Narrow" w:hAnsi="Arial Narrow"/>
              </w:rPr>
            </w:pPr>
            <w:r w:rsidRPr="000F777A">
              <w:rPr>
                <w:rFonts w:ascii="Arial Narrow" w:hAnsi="Arial Narrow"/>
              </w:rPr>
              <w:t>0.810</w:t>
            </w:r>
          </w:p>
        </w:tc>
      </w:tr>
      <w:tr w:rsidR="00F352E1" w:rsidRPr="000F777A" w14:paraId="05101F91" w14:textId="77777777" w:rsidTr="00A175A4">
        <w:trPr>
          <w:trHeight w:val="255"/>
        </w:trPr>
        <w:tc>
          <w:tcPr>
            <w:tcW w:w="2093" w:type="dxa"/>
            <w:noWrap/>
          </w:tcPr>
          <w:p w14:paraId="4D0E2763" w14:textId="77777777" w:rsidR="009F052E" w:rsidRPr="000F777A" w:rsidRDefault="009F052E" w:rsidP="00A175A4">
            <w:pPr>
              <w:jc w:val="left"/>
              <w:rPr>
                <w:rFonts w:ascii="Arial Narrow" w:hAnsi="Arial Narrow"/>
                <w:i/>
              </w:rPr>
            </w:pPr>
            <w:r w:rsidRPr="000F777A">
              <w:rPr>
                <w:rFonts w:ascii="Arial Narrow" w:hAnsi="Arial Narrow"/>
                <w:i/>
              </w:rPr>
              <w:t>Palauastrea *</w:t>
            </w:r>
          </w:p>
        </w:tc>
        <w:tc>
          <w:tcPr>
            <w:tcW w:w="850" w:type="dxa"/>
            <w:noWrap/>
            <w:vAlign w:val="center"/>
          </w:tcPr>
          <w:p w14:paraId="3309CFB7" w14:textId="77777777" w:rsidR="009F052E" w:rsidRPr="000F777A" w:rsidRDefault="009F052E" w:rsidP="00A175A4">
            <w:pPr>
              <w:jc w:val="center"/>
              <w:rPr>
                <w:rFonts w:ascii="Arial Narrow" w:hAnsi="Arial Narrow"/>
              </w:rPr>
            </w:pPr>
            <w:r w:rsidRPr="000F777A">
              <w:rPr>
                <w:rFonts w:ascii="Arial Narrow" w:hAnsi="Arial Narrow"/>
              </w:rPr>
              <w:t>0.002</w:t>
            </w:r>
          </w:p>
        </w:tc>
        <w:tc>
          <w:tcPr>
            <w:tcW w:w="851" w:type="dxa"/>
            <w:tcBorders>
              <w:right w:val="thinThickThinLargeGap" w:sz="24" w:space="0" w:color="auto"/>
            </w:tcBorders>
            <w:noWrap/>
            <w:vAlign w:val="center"/>
          </w:tcPr>
          <w:p w14:paraId="1A7275A7" w14:textId="77777777" w:rsidR="009F052E" w:rsidRPr="000F777A" w:rsidRDefault="009F052E" w:rsidP="00A175A4">
            <w:pPr>
              <w:jc w:val="center"/>
              <w:rPr>
                <w:rFonts w:ascii="Arial Narrow" w:hAnsi="Arial Narrow"/>
              </w:rPr>
            </w:pPr>
            <w:r w:rsidRPr="000F777A">
              <w:rPr>
                <w:rFonts w:ascii="Arial Narrow" w:hAnsi="Arial Narrow"/>
              </w:rPr>
              <w:t>-0.021</w:t>
            </w:r>
          </w:p>
        </w:tc>
        <w:tc>
          <w:tcPr>
            <w:tcW w:w="2069" w:type="dxa"/>
            <w:tcBorders>
              <w:left w:val="thinThickThinLargeGap" w:sz="24" w:space="0" w:color="auto"/>
            </w:tcBorders>
          </w:tcPr>
          <w:p w14:paraId="341836CD" w14:textId="77777777" w:rsidR="009F052E" w:rsidRPr="000F777A" w:rsidRDefault="009F052E" w:rsidP="00A175A4">
            <w:pPr>
              <w:jc w:val="left"/>
              <w:rPr>
                <w:rFonts w:ascii="Arial Narrow" w:hAnsi="Arial Narrow"/>
              </w:rPr>
            </w:pPr>
          </w:p>
        </w:tc>
        <w:tc>
          <w:tcPr>
            <w:tcW w:w="766" w:type="dxa"/>
          </w:tcPr>
          <w:p w14:paraId="1FFB139E" w14:textId="77777777" w:rsidR="009F052E" w:rsidRPr="000F777A" w:rsidRDefault="009F052E" w:rsidP="00A175A4">
            <w:pPr>
              <w:jc w:val="left"/>
              <w:rPr>
                <w:rFonts w:ascii="Arial Narrow" w:hAnsi="Arial Narrow"/>
              </w:rPr>
            </w:pPr>
          </w:p>
        </w:tc>
        <w:tc>
          <w:tcPr>
            <w:tcW w:w="851" w:type="dxa"/>
          </w:tcPr>
          <w:p w14:paraId="7E2C5043" w14:textId="77777777" w:rsidR="009F052E" w:rsidRPr="000F777A" w:rsidRDefault="009F052E" w:rsidP="00A175A4">
            <w:pPr>
              <w:jc w:val="left"/>
              <w:rPr>
                <w:rFonts w:ascii="Arial Narrow" w:hAnsi="Arial Narrow"/>
              </w:rPr>
            </w:pPr>
          </w:p>
        </w:tc>
      </w:tr>
      <w:tr w:rsidR="00F352E1" w:rsidRPr="000F777A" w14:paraId="603701F7" w14:textId="77777777" w:rsidTr="00A175A4">
        <w:trPr>
          <w:trHeight w:val="255"/>
        </w:trPr>
        <w:tc>
          <w:tcPr>
            <w:tcW w:w="2093" w:type="dxa"/>
            <w:noWrap/>
          </w:tcPr>
          <w:p w14:paraId="5697AFA7" w14:textId="77777777" w:rsidR="009F052E" w:rsidRPr="000F777A" w:rsidRDefault="009F052E" w:rsidP="00A175A4">
            <w:pPr>
              <w:jc w:val="left"/>
              <w:rPr>
                <w:rFonts w:ascii="Arial Narrow" w:hAnsi="Arial Narrow"/>
                <w:i/>
              </w:rPr>
            </w:pPr>
            <w:r w:rsidRPr="000F777A">
              <w:rPr>
                <w:rFonts w:ascii="Arial Narrow" w:hAnsi="Arial Narrow"/>
                <w:i/>
              </w:rPr>
              <w:t>Polyphyllia *</w:t>
            </w:r>
          </w:p>
        </w:tc>
        <w:tc>
          <w:tcPr>
            <w:tcW w:w="850" w:type="dxa"/>
            <w:noWrap/>
            <w:vAlign w:val="center"/>
          </w:tcPr>
          <w:p w14:paraId="143A796E" w14:textId="77777777" w:rsidR="009F052E" w:rsidRPr="000F777A" w:rsidRDefault="009F052E" w:rsidP="00A175A4">
            <w:pPr>
              <w:jc w:val="center"/>
              <w:rPr>
                <w:rFonts w:ascii="Arial Narrow" w:hAnsi="Arial Narrow"/>
              </w:rPr>
            </w:pPr>
            <w:r w:rsidRPr="000F777A">
              <w:rPr>
                <w:rFonts w:ascii="Arial Narrow" w:hAnsi="Arial Narrow"/>
              </w:rPr>
              <w:t>0</w:t>
            </w:r>
          </w:p>
        </w:tc>
        <w:tc>
          <w:tcPr>
            <w:tcW w:w="851" w:type="dxa"/>
            <w:tcBorders>
              <w:right w:val="thinThickThinLargeGap" w:sz="24" w:space="0" w:color="auto"/>
            </w:tcBorders>
            <w:noWrap/>
            <w:vAlign w:val="center"/>
          </w:tcPr>
          <w:p w14:paraId="225129AF" w14:textId="77777777" w:rsidR="009F052E" w:rsidRPr="000F777A" w:rsidRDefault="009F052E" w:rsidP="00A175A4">
            <w:pPr>
              <w:jc w:val="center"/>
              <w:rPr>
                <w:rFonts w:ascii="Arial Narrow" w:hAnsi="Arial Narrow"/>
              </w:rPr>
            </w:pPr>
            <w:r w:rsidRPr="000F777A">
              <w:rPr>
                <w:rFonts w:ascii="Arial Narrow" w:hAnsi="Arial Narrow"/>
              </w:rPr>
              <w:t>-0.020</w:t>
            </w:r>
          </w:p>
        </w:tc>
        <w:tc>
          <w:tcPr>
            <w:tcW w:w="2069" w:type="dxa"/>
            <w:tcBorders>
              <w:left w:val="thinThickThinLargeGap" w:sz="24" w:space="0" w:color="auto"/>
            </w:tcBorders>
          </w:tcPr>
          <w:p w14:paraId="1EB8E54F" w14:textId="77777777" w:rsidR="009F052E" w:rsidRPr="000F777A" w:rsidRDefault="009F052E" w:rsidP="00A175A4">
            <w:pPr>
              <w:jc w:val="left"/>
              <w:rPr>
                <w:rFonts w:ascii="Arial Narrow" w:hAnsi="Arial Narrow"/>
                <w:i/>
              </w:rPr>
            </w:pPr>
          </w:p>
        </w:tc>
        <w:tc>
          <w:tcPr>
            <w:tcW w:w="766" w:type="dxa"/>
          </w:tcPr>
          <w:p w14:paraId="3641CD29" w14:textId="77777777" w:rsidR="009F052E" w:rsidRPr="000F777A" w:rsidRDefault="009F052E" w:rsidP="00A175A4">
            <w:pPr>
              <w:jc w:val="left"/>
              <w:rPr>
                <w:rFonts w:ascii="Arial Narrow" w:hAnsi="Arial Narrow"/>
              </w:rPr>
            </w:pPr>
          </w:p>
        </w:tc>
        <w:tc>
          <w:tcPr>
            <w:tcW w:w="851" w:type="dxa"/>
          </w:tcPr>
          <w:p w14:paraId="15685FFC" w14:textId="77777777" w:rsidR="009F052E" w:rsidRPr="000F777A" w:rsidRDefault="009F052E" w:rsidP="00A175A4">
            <w:pPr>
              <w:jc w:val="left"/>
              <w:rPr>
                <w:rFonts w:ascii="Arial Narrow" w:hAnsi="Arial Narrow"/>
              </w:rPr>
            </w:pPr>
          </w:p>
        </w:tc>
      </w:tr>
      <w:tr w:rsidR="00F352E1" w:rsidRPr="000F777A" w14:paraId="431823BF" w14:textId="77777777" w:rsidTr="00A175A4">
        <w:trPr>
          <w:trHeight w:val="255"/>
        </w:trPr>
        <w:tc>
          <w:tcPr>
            <w:tcW w:w="2093" w:type="dxa"/>
            <w:noWrap/>
            <w:hideMark/>
          </w:tcPr>
          <w:p w14:paraId="39533C25" w14:textId="77777777" w:rsidR="009F052E" w:rsidRPr="000F777A" w:rsidRDefault="009F052E" w:rsidP="00A175A4">
            <w:pPr>
              <w:jc w:val="left"/>
              <w:rPr>
                <w:rFonts w:ascii="Arial Narrow" w:hAnsi="Arial Narrow"/>
                <w:i/>
              </w:rPr>
            </w:pPr>
            <w:r w:rsidRPr="000F777A">
              <w:rPr>
                <w:rFonts w:ascii="Arial Narrow" w:hAnsi="Arial Narrow"/>
                <w:i/>
              </w:rPr>
              <w:t>Heliofungia</w:t>
            </w:r>
          </w:p>
        </w:tc>
        <w:tc>
          <w:tcPr>
            <w:tcW w:w="850" w:type="dxa"/>
            <w:noWrap/>
            <w:vAlign w:val="center"/>
            <w:hideMark/>
          </w:tcPr>
          <w:p w14:paraId="493721FF" w14:textId="77777777" w:rsidR="009F052E" w:rsidRPr="000F777A" w:rsidRDefault="009F052E" w:rsidP="00A175A4">
            <w:pPr>
              <w:jc w:val="center"/>
              <w:rPr>
                <w:rFonts w:ascii="Arial Narrow" w:hAnsi="Arial Narrow"/>
              </w:rPr>
            </w:pPr>
            <w:r w:rsidRPr="000F777A">
              <w:rPr>
                <w:rFonts w:ascii="Arial Narrow" w:hAnsi="Arial Narrow"/>
              </w:rPr>
              <w:t>0.015</w:t>
            </w:r>
          </w:p>
        </w:tc>
        <w:tc>
          <w:tcPr>
            <w:tcW w:w="851" w:type="dxa"/>
            <w:tcBorders>
              <w:right w:val="thinThickThinLargeGap" w:sz="24" w:space="0" w:color="auto"/>
            </w:tcBorders>
            <w:noWrap/>
            <w:vAlign w:val="center"/>
            <w:hideMark/>
          </w:tcPr>
          <w:p w14:paraId="63200335" w14:textId="77777777" w:rsidR="009F052E" w:rsidRPr="000F777A" w:rsidRDefault="009F052E" w:rsidP="00A175A4">
            <w:pPr>
              <w:jc w:val="center"/>
              <w:rPr>
                <w:rFonts w:ascii="Arial Narrow" w:hAnsi="Arial Narrow"/>
              </w:rPr>
            </w:pPr>
            <w:r w:rsidRPr="000F777A">
              <w:rPr>
                <w:rFonts w:ascii="Arial Narrow" w:hAnsi="Arial Narrow"/>
              </w:rPr>
              <w:t>-0.007</w:t>
            </w:r>
          </w:p>
        </w:tc>
        <w:tc>
          <w:tcPr>
            <w:tcW w:w="2069" w:type="dxa"/>
            <w:tcBorders>
              <w:left w:val="thinThickThinLargeGap" w:sz="24" w:space="0" w:color="auto"/>
            </w:tcBorders>
          </w:tcPr>
          <w:p w14:paraId="5E2804B5" w14:textId="77777777" w:rsidR="009F052E" w:rsidRPr="000F777A" w:rsidRDefault="009F052E" w:rsidP="00A175A4">
            <w:pPr>
              <w:jc w:val="left"/>
              <w:rPr>
                <w:rFonts w:ascii="Arial Narrow" w:hAnsi="Arial Narrow"/>
              </w:rPr>
            </w:pPr>
          </w:p>
        </w:tc>
        <w:tc>
          <w:tcPr>
            <w:tcW w:w="766" w:type="dxa"/>
          </w:tcPr>
          <w:p w14:paraId="404988A4" w14:textId="77777777" w:rsidR="009F052E" w:rsidRPr="000F777A" w:rsidRDefault="009F052E" w:rsidP="00A175A4">
            <w:pPr>
              <w:jc w:val="left"/>
              <w:rPr>
                <w:rFonts w:ascii="Arial Narrow" w:hAnsi="Arial Narrow"/>
              </w:rPr>
            </w:pPr>
          </w:p>
        </w:tc>
        <w:tc>
          <w:tcPr>
            <w:tcW w:w="851" w:type="dxa"/>
          </w:tcPr>
          <w:p w14:paraId="600BE334" w14:textId="77777777" w:rsidR="009F052E" w:rsidRPr="000F777A" w:rsidRDefault="009F052E" w:rsidP="00A175A4">
            <w:pPr>
              <w:jc w:val="left"/>
              <w:rPr>
                <w:rFonts w:ascii="Arial Narrow" w:hAnsi="Arial Narrow"/>
              </w:rPr>
            </w:pPr>
          </w:p>
        </w:tc>
      </w:tr>
      <w:tr w:rsidR="00F352E1" w:rsidRPr="000F777A" w14:paraId="5813434C" w14:textId="77777777" w:rsidTr="00A175A4">
        <w:trPr>
          <w:trHeight w:val="255"/>
        </w:trPr>
        <w:tc>
          <w:tcPr>
            <w:tcW w:w="2093" w:type="dxa"/>
            <w:noWrap/>
          </w:tcPr>
          <w:p w14:paraId="102038C5" w14:textId="77777777" w:rsidR="009F052E" w:rsidRPr="000F777A" w:rsidRDefault="009F052E" w:rsidP="00A175A4">
            <w:pPr>
              <w:jc w:val="left"/>
              <w:rPr>
                <w:rFonts w:ascii="Arial Narrow" w:hAnsi="Arial Narrow"/>
                <w:i/>
              </w:rPr>
            </w:pPr>
            <w:r w:rsidRPr="000F777A">
              <w:rPr>
                <w:rFonts w:ascii="Arial Narrow" w:hAnsi="Arial Narrow"/>
                <w:i/>
              </w:rPr>
              <w:t>Catalaphyllia *</w:t>
            </w:r>
          </w:p>
        </w:tc>
        <w:tc>
          <w:tcPr>
            <w:tcW w:w="850" w:type="dxa"/>
            <w:noWrap/>
            <w:vAlign w:val="center"/>
          </w:tcPr>
          <w:p w14:paraId="3F2EA400" w14:textId="77777777" w:rsidR="009F052E" w:rsidRPr="000F777A" w:rsidRDefault="009F052E" w:rsidP="00A175A4">
            <w:pPr>
              <w:jc w:val="center"/>
              <w:rPr>
                <w:rFonts w:ascii="Arial Narrow" w:hAnsi="Arial Narrow"/>
              </w:rPr>
            </w:pPr>
            <w:r w:rsidRPr="000F777A">
              <w:rPr>
                <w:rFonts w:ascii="Arial Narrow" w:hAnsi="Arial Narrow"/>
              </w:rPr>
              <w:t>-0.002</w:t>
            </w:r>
          </w:p>
        </w:tc>
        <w:tc>
          <w:tcPr>
            <w:tcW w:w="851" w:type="dxa"/>
            <w:tcBorders>
              <w:right w:val="thinThickThinLargeGap" w:sz="24" w:space="0" w:color="auto"/>
            </w:tcBorders>
            <w:noWrap/>
            <w:vAlign w:val="center"/>
          </w:tcPr>
          <w:p w14:paraId="7B5663F2" w14:textId="77777777" w:rsidR="009F052E" w:rsidRPr="000F777A" w:rsidRDefault="009F052E" w:rsidP="00A175A4">
            <w:pPr>
              <w:jc w:val="center"/>
              <w:rPr>
                <w:rFonts w:ascii="Arial Narrow" w:hAnsi="Arial Narrow"/>
              </w:rPr>
            </w:pPr>
            <w:r w:rsidRPr="000F777A">
              <w:rPr>
                <w:rFonts w:ascii="Arial Narrow" w:hAnsi="Arial Narrow"/>
              </w:rPr>
              <w:t>-0.006</w:t>
            </w:r>
          </w:p>
        </w:tc>
        <w:tc>
          <w:tcPr>
            <w:tcW w:w="2069" w:type="dxa"/>
            <w:tcBorders>
              <w:left w:val="thinThickThinLargeGap" w:sz="24" w:space="0" w:color="auto"/>
            </w:tcBorders>
          </w:tcPr>
          <w:p w14:paraId="3C4533D9" w14:textId="77777777" w:rsidR="009F052E" w:rsidRPr="000F777A" w:rsidRDefault="009F052E" w:rsidP="00A175A4">
            <w:pPr>
              <w:jc w:val="left"/>
              <w:rPr>
                <w:rFonts w:ascii="Arial Narrow" w:hAnsi="Arial Narrow"/>
                <w:i/>
              </w:rPr>
            </w:pPr>
          </w:p>
        </w:tc>
        <w:tc>
          <w:tcPr>
            <w:tcW w:w="766" w:type="dxa"/>
          </w:tcPr>
          <w:p w14:paraId="45E2EC44" w14:textId="77777777" w:rsidR="009F052E" w:rsidRPr="000F777A" w:rsidRDefault="009F052E" w:rsidP="00A175A4">
            <w:pPr>
              <w:jc w:val="left"/>
              <w:rPr>
                <w:rFonts w:ascii="Arial Narrow" w:hAnsi="Arial Narrow"/>
              </w:rPr>
            </w:pPr>
          </w:p>
        </w:tc>
        <w:tc>
          <w:tcPr>
            <w:tcW w:w="851" w:type="dxa"/>
          </w:tcPr>
          <w:p w14:paraId="2D8EBDC7" w14:textId="77777777" w:rsidR="009F052E" w:rsidRPr="000F777A" w:rsidRDefault="009F052E" w:rsidP="00A175A4">
            <w:pPr>
              <w:jc w:val="left"/>
              <w:rPr>
                <w:rFonts w:ascii="Arial Narrow" w:hAnsi="Arial Narrow"/>
              </w:rPr>
            </w:pPr>
          </w:p>
        </w:tc>
      </w:tr>
      <w:tr w:rsidR="00F352E1" w:rsidRPr="000F777A" w14:paraId="4F260B11" w14:textId="77777777" w:rsidTr="00A175A4">
        <w:trPr>
          <w:trHeight w:val="255"/>
        </w:trPr>
        <w:tc>
          <w:tcPr>
            <w:tcW w:w="2093" w:type="dxa"/>
            <w:noWrap/>
          </w:tcPr>
          <w:p w14:paraId="7609A9CD" w14:textId="77777777" w:rsidR="009F052E" w:rsidRPr="000F777A" w:rsidRDefault="009F052E" w:rsidP="00A175A4">
            <w:pPr>
              <w:jc w:val="left"/>
              <w:rPr>
                <w:rFonts w:ascii="Arial Narrow" w:hAnsi="Arial Narrow"/>
                <w:i/>
              </w:rPr>
            </w:pPr>
            <w:r w:rsidRPr="000F777A">
              <w:rPr>
                <w:rFonts w:ascii="Arial Narrow" w:hAnsi="Arial Narrow"/>
                <w:i/>
              </w:rPr>
              <w:t>Stylocoeniella *</w:t>
            </w:r>
          </w:p>
        </w:tc>
        <w:tc>
          <w:tcPr>
            <w:tcW w:w="850" w:type="dxa"/>
            <w:noWrap/>
            <w:vAlign w:val="center"/>
          </w:tcPr>
          <w:p w14:paraId="6BC40C97" w14:textId="77777777" w:rsidR="009F052E" w:rsidRPr="000F777A" w:rsidRDefault="009F052E" w:rsidP="00A175A4">
            <w:pPr>
              <w:jc w:val="center"/>
              <w:rPr>
                <w:rFonts w:ascii="Arial Narrow" w:hAnsi="Arial Narrow"/>
              </w:rPr>
            </w:pPr>
            <w:r w:rsidRPr="000F777A">
              <w:rPr>
                <w:rFonts w:ascii="Arial Narrow" w:hAnsi="Arial Narrow"/>
              </w:rPr>
              <w:t>0.004</w:t>
            </w:r>
          </w:p>
        </w:tc>
        <w:tc>
          <w:tcPr>
            <w:tcW w:w="851" w:type="dxa"/>
            <w:tcBorders>
              <w:right w:val="thinThickThinLargeGap" w:sz="24" w:space="0" w:color="auto"/>
            </w:tcBorders>
            <w:noWrap/>
            <w:vAlign w:val="center"/>
          </w:tcPr>
          <w:p w14:paraId="5B23E514" w14:textId="77777777" w:rsidR="009F052E" w:rsidRPr="000F777A" w:rsidRDefault="009F052E" w:rsidP="00A175A4">
            <w:pPr>
              <w:jc w:val="center"/>
              <w:rPr>
                <w:rFonts w:ascii="Arial Narrow" w:hAnsi="Arial Narrow"/>
              </w:rPr>
            </w:pPr>
            <w:r w:rsidRPr="000F777A">
              <w:rPr>
                <w:rFonts w:ascii="Arial Narrow" w:hAnsi="Arial Narrow"/>
              </w:rPr>
              <w:t>-0.006</w:t>
            </w:r>
          </w:p>
        </w:tc>
        <w:tc>
          <w:tcPr>
            <w:tcW w:w="2069" w:type="dxa"/>
            <w:tcBorders>
              <w:left w:val="thinThickThinLargeGap" w:sz="24" w:space="0" w:color="auto"/>
            </w:tcBorders>
          </w:tcPr>
          <w:p w14:paraId="0B182395" w14:textId="77777777" w:rsidR="009F052E" w:rsidRPr="000F777A" w:rsidRDefault="009F052E" w:rsidP="00A175A4">
            <w:pPr>
              <w:jc w:val="left"/>
              <w:rPr>
                <w:rFonts w:ascii="Arial Narrow" w:hAnsi="Arial Narrow"/>
                <w:i/>
              </w:rPr>
            </w:pPr>
          </w:p>
        </w:tc>
        <w:tc>
          <w:tcPr>
            <w:tcW w:w="766" w:type="dxa"/>
          </w:tcPr>
          <w:p w14:paraId="3819D383" w14:textId="77777777" w:rsidR="009F052E" w:rsidRPr="000F777A" w:rsidRDefault="009F052E" w:rsidP="00A175A4">
            <w:pPr>
              <w:jc w:val="left"/>
              <w:rPr>
                <w:rFonts w:ascii="Arial Narrow" w:hAnsi="Arial Narrow"/>
              </w:rPr>
            </w:pPr>
          </w:p>
        </w:tc>
        <w:tc>
          <w:tcPr>
            <w:tcW w:w="851" w:type="dxa"/>
          </w:tcPr>
          <w:p w14:paraId="51D40DE6" w14:textId="77777777" w:rsidR="009F052E" w:rsidRPr="000F777A" w:rsidRDefault="009F052E" w:rsidP="00A175A4">
            <w:pPr>
              <w:jc w:val="left"/>
              <w:rPr>
                <w:rFonts w:ascii="Arial Narrow" w:hAnsi="Arial Narrow"/>
              </w:rPr>
            </w:pPr>
          </w:p>
        </w:tc>
      </w:tr>
      <w:tr w:rsidR="00F352E1" w:rsidRPr="000F777A" w14:paraId="5294CE0F" w14:textId="77777777" w:rsidTr="00A175A4">
        <w:trPr>
          <w:trHeight w:val="255"/>
        </w:trPr>
        <w:tc>
          <w:tcPr>
            <w:tcW w:w="2093" w:type="dxa"/>
            <w:noWrap/>
          </w:tcPr>
          <w:p w14:paraId="01837534" w14:textId="77777777" w:rsidR="009F052E" w:rsidRPr="000F777A" w:rsidRDefault="009F052E" w:rsidP="00A175A4">
            <w:pPr>
              <w:jc w:val="left"/>
              <w:rPr>
                <w:rFonts w:ascii="Arial Narrow" w:hAnsi="Arial Narrow"/>
                <w:i/>
              </w:rPr>
            </w:pPr>
            <w:r w:rsidRPr="000F777A">
              <w:rPr>
                <w:rFonts w:ascii="Arial Narrow" w:hAnsi="Arial Narrow"/>
                <w:i/>
              </w:rPr>
              <w:t>Pseudosiderastrea *</w:t>
            </w:r>
          </w:p>
        </w:tc>
        <w:tc>
          <w:tcPr>
            <w:tcW w:w="850" w:type="dxa"/>
            <w:noWrap/>
            <w:vAlign w:val="center"/>
          </w:tcPr>
          <w:p w14:paraId="2B340031" w14:textId="77777777" w:rsidR="009F052E" w:rsidRPr="000F777A" w:rsidRDefault="009F052E" w:rsidP="00A175A4">
            <w:pPr>
              <w:jc w:val="center"/>
              <w:rPr>
                <w:rFonts w:ascii="Arial Narrow" w:hAnsi="Arial Narrow"/>
              </w:rPr>
            </w:pPr>
            <w:r w:rsidRPr="000F777A">
              <w:rPr>
                <w:rFonts w:ascii="Arial Narrow" w:hAnsi="Arial Narrow"/>
              </w:rPr>
              <w:t>-0.001</w:t>
            </w:r>
          </w:p>
        </w:tc>
        <w:tc>
          <w:tcPr>
            <w:tcW w:w="851" w:type="dxa"/>
            <w:tcBorders>
              <w:right w:val="thinThickThinLargeGap" w:sz="24" w:space="0" w:color="auto"/>
            </w:tcBorders>
            <w:noWrap/>
            <w:vAlign w:val="center"/>
          </w:tcPr>
          <w:p w14:paraId="04F82967" w14:textId="77777777" w:rsidR="009F052E" w:rsidRPr="000F777A" w:rsidRDefault="009F052E" w:rsidP="00A175A4">
            <w:pPr>
              <w:jc w:val="center"/>
              <w:rPr>
                <w:rFonts w:ascii="Arial Narrow" w:hAnsi="Arial Narrow"/>
              </w:rPr>
            </w:pPr>
            <w:r w:rsidRPr="000F777A">
              <w:rPr>
                <w:rFonts w:ascii="Arial Narrow" w:hAnsi="Arial Narrow"/>
              </w:rPr>
              <w:t>-0.006</w:t>
            </w:r>
          </w:p>
        </w:tc>
        <w:tc>
          <w:tcPr>
            <w:tcW w:w="2069" w:type="dxa"/>
            <w:tcBorders>
              <w:left w:val="thinThickThinLargeGap" w:sz="24" w:space="0" w:color="auto"/>
            </w:tcBorders>
          </w:tcPr>
          <w:p w14:paraId="3F590BFA" w14:textId="77777777" w:rsidR="009F052E" w:rsidRPr="000F777A" w:rsidRDefault="009F052E" w:rsidP="00A175A4">
            <w:pPr>
              <w:jc w:val="left"/>
              <w:rPr>
                <w:rFonts w:ascii="Arial Narrow" w:hAnsi="Arial Narrow"/>
                <w:i/>
              </w:rPr>
            </w:pPr>
          </w:p>
        </w:tc>
        <w:tc>
          <w:tcPr>
            <w:tcW w:w="766" w:type="dxa"/>
          </w:tcPr>
          <w:p w14:paraId="562D56D0" w14:textId="77777777" w:rsidR="009F052E" w:rsidRPr="000F777A" w:rsidRDefault="009F052E" w:rsidP="00A175A4">
            <w:pPr>
              <w:jc w:val="left"/>
              <w:rPr>
                <w:rFonts w:ascii="Arial Narrow" w:hAnsi="Arial Narrow"/>
              </w:rPr>
            </w:pPr>
          </w:p>
        </w:tc>
        <w:tc>
          <w:tcPr>
            <w:tcW w:w="851" w:type="dxa"/>
          </w:tcPr>
          <w:p w14:paraId="24685BC1" w14:textId="77777777" w:rsidR="009F052E" w:rsidRPr="000F777A" w:rsidRDefault="009F052E" w:rsidP="00A175A4">
            <w:pPr>
              <w:jc w:val="left"/>
              <w:rPr>
                <w:rFonts w:ascii="Arial Narrow" w:hAnsi="Arial Narrow"/>
              </w:rPr>
            </w:pPr>
          </w:p>
        </w:tc>
      </w:tr>
      <w:tr w:rsidR="00F352E1" w:rsidRPr="000F777A" w14:paraId="10813664" w14:textId="77777777" w:rsidTr="00A175A4">
        <w:trPr>
          <w:trHeight w:val="255"/>
        </w:trPr>
        <w:tc>
          <w:tcPr>
            <w:tcW w:w="2093" w:type="dxa"/>
            <w:noWrap/>
          </w:tcPr>
          <w:p w14:paraId="31B1F236" w14:textId="77777777" w:rsidR="009F052E" w:rsidRPr="000F777A" w:rsidRDefault="009F052E" w:rsidP="00A175A4">
            <w:pPr>
              <w:jc w:val="left"/>
              <w:rPr>
                <w:rFonts w:ascii="Arial Narrow" w:hAnsi="Arial Narrow"/>
                <w:i/>
              </w:rPr>
            </w:pPr>
            <w:r w:rsidRPr="000F777A">
              <w:rPr>
                <w:rFonts w:ascii="Arial Narrow" w:hAnsi="Arial Narrow"/>
                <w:i/>
              </w:rPr>
              <w:t>Gardineroseris *</w:t>
            </w:r>
          </w:p>
        </w:tc>
        <w:tc>
          <w:tcPr>
            <w:tcW w:w="850" w:type="dxa"/>
            <w:noWrap/>
            <w:vAlign w:val="center"/>
          </w:tcPr>
          <w:p w14:paraId="12A5D684" w14:textId="77777777" w:rsidR="009F052E" w:rsidRPr="000F777A" w:rsidRDefault="009F052E" w:rsidP="00A175A4">
            <w:pPr>
              <w:jc w:val="center"/>
              <w:rPr>
                <w:rFonts w:ascii="Arial Narrow" w:hAnsi="Arial Narrow"/>
              </w:rPr>
            </w:pPr>
            <w:r w:rsidRPr="000F777A">
              <w:rPr>
                <w:rFonts w:ascii="Arial Narrow" w:hAnsi="Arial Narrow"/>
              </w:rPr>
              <w:t>-0.004</w:t>
            </w:r>
          </w:p>
        </w:tc>
        <w:tc>
          <w:tcPr>
            <w:tcW w:w="851" w:type="dxa"/>
            <w:tcBorders>
              <w:right w:val="thinThickThinLargeGap" w:sz="24" w:space="0" w:color="auto"/>
            </w:tcBorders>
            <w:noWrap/>
            <w:vAlign w:val="center"/>
          </w:tcPr>
          <w:p w14:paraId="7F2331B5" w14:textId="77777777" w:rsidR="009F052E" w:rsidRPr="000F777A" w:rsidRDefault="009F052E" w:rsidP="00A175A4">
            <w:pPr>
              <w:jc w:val="center"/>
              <w:rPr>
                <w:rFonts w:ascii="Arial Narrow" w:hAnsi="Arial Narrow"/>
              </w:rPr>
            </w:pPr>
          </w:p>
        </w:tc>
        <w:tc>
          <w:tcPr>
            <w:tcW w:w="2069" w:type="dxa"/>
            <w:tcBorders>
              <w:left w:val="thinThickThinLargeGap" w:sz="24" w:space="0" w:color="auto"/>
            </w:tcBorders>
          </w:tcPr>
          <w:p w14:paraId="0436EFF5" w14:textId="77777777" w:rsidR="009F052E" w:rsidRPr="000F777A" w:rsidRDefault="009F052E" w:rsidP="00A175A4">
            <w:pPr>
              <w:jc w:val="left"/>
              <w:rPr>
                <w:rFonts w:ascii="Arial Narrow" w:hAnsi="Arial Narrow"/>
                <w:i/>
              </w:rPr>
            </w:pPr>
          </w:p>
        </w:tc>
        <w:tc>
          <w:tcPr>
            <w:tcW w:w="766" w:type="dxa"/>
          </w:tcPr>
          <w:p w14:paraId="4AA03F94" w14:textId="77777777" w:rsidR="009F052E" w:rsidRPr="000F777A" w:rsidRDefault="009F052E" w:rsidP="00A175A4">
            <w:pPr>
              <w:jc w:val="left"/>
              <w:rPr>
                <w:rFonts w:ascii="Arial Narrow" w:hAnsi="Arial Narrow"/>
              </w:rPr>
            </w:pPr>
          </w:p>
        </w:tc>
        <w:tc>
          <w:tcPr>
            <w:tcW w:w="851" w:type="dxa"/>
          </w:tcPr>
          <w:p w14:paraId="00B3E5BD" w14:textId="77777777" w:rsidR="009F052E" w:rsidRPr="000F777A" w:rsidRDefault="009F052E" w:rsidP="00A175A4">
            <w:pPr>
              <w:jc w:val="left"/>
              <w:rPr>
                <w:rFonts w:ascii="Arial Narrow" w:hAnsi="Arial Narrow"/>
              </w:rPr>
            </w:pPr>
          </w:p>
        </w:tc>
      </w:tr>
      <w:tr w:rsidR="00F352E1" w:rsidRPr="000F777A" w14:paraId="3F1248DF" w14:textId="77777777" w:rsidTr="00A175A4">
        <w:trPr>
          <w:trHeight w:val="255"/>
        </w:trPr>
        <w:tc>
          <w:tcPr>
            <w:tcW w:w="2093" w:type="dxa"/>
            <w:noWrap/>
            <w:hideMark/>
          </w:tcPr>
          <w:p w14:paraId="48104CAE" w14:textId="77777777" w:rsidR="009F052E" w:rsidRPr="000F777A" w:rsidRDefault="009F052E" w:rsidP="00A175A4">
            <w:pPr>
              <w:jc w:val="left"/>
              <w:rPr>
                <w:rFonts w:ascii="Arial Narrow" w:hAnsi="Arial Narrow"/>
                <w:i/>
              </w:rPr>
            </w:pPr>
            <w:r w:rsidRPr="000F777A">
              <w:rPr>
                <w:rFonts w:ascii="Arial Narrow" w:hAnsi="Arial Narrow"/>
              </w:rPr>
              <w:t xml:space="preserve">Submassive </w:t>
            </w:r>
            <w:r w:rsidRPr="000F777A">
              <w:rPr>
                <w:rFonts w:ascii="Arial Narrow" w:hAnsi="Arial Narrow"/>
                <w:i/>
              </w:rPr>
              <w:t>Porites</w:t>
            </w:r>
          </w:p>
        </w:tc>
        <w:tc>
          <w:tcPr>
            <w:tcW w:w="850" w:type="dxa"/>
            <w:noWrap/>
            <w:vAlign w:val="center"/>
            <w:hideMark/>
          </w:tcPr>
          <w:p w14:paraId="345A96F3" w14:textId="77777777" w:rsidR="009F052E" w:rsidRPr="000F777A" w:rsidRDefault="009F052E" w:rsidP="00A175A4">
            <w:pPr>
              <w:jc w:val="center"/>
              <w:rPr>
                <w:rFonts w:ascii="Arial Narrow" w:hAnsi="Arial Narrow"/>
              </w:rPr>
            </w:pPr>
            <w:r w:rsidRPr="000F777A">
              <w:rPr>
                <w:rFonts w:ascii="Arial Narrow" w:hAnsi="Arial Narrow"/>
              </w:rPr>
              <w:t>-0.047</w:t>
            </w:r>
          </w:p>
        </w:tc>
        <w:tc>
          <w:tcPr>
            <w:tcW w:w="851" w:type="dxa"/>
            <w:tcBorders>
              <w:right w:val="thinThickThinLargeGap" w:sz="24" w:space="0" w:color="auto"/>
            </w:tcBorders>
            <w:noWrap/>
            <w:vAlign w:val="center"/>
            <w:hideMark/>
          </w:tcPr>
          <w:p w14:paraId="125DC172" w14:textId="77777777" w:rsidR="009F052E" w:rsidRPr="000F777A" w:rsidRDefault="009F052E" w:rsidP="00A175A4">
            <w:pPr>
              <w:jc w:val="center"/>
              <w:rPr>
                <w:rFonts w:ascii="Arial Narrow" w:hAnsi="Arial Narrow"/>
              </w:rPr>
            </w:pPr>
            <w:r w:rsidRPr="000F777A">
              <w:rPr>
                <w:rFonts w:ascii="Arial Narrow" w:hAnsi="Arial Narrow"/>
              </w:rPr>
              <w:t>-0.005</w:t>
            </w:r>
          </w:p>
        </w:tc>
        <w:tc>
          <w:tcPr>
            <w:tcW w:w="2069" w:type="dxa"/>
            <w:tcBorders>
              <w:left w:val="thinThickThinLargeGap" w:sz="24" w:space="0" w:color="auto"/>
            </w:tcBorders>
          </w:tcPr>
          <w:p w14:paraId="31D2EBBC" w14:textId="77777777" w:rsidR="009F052E" w:rsidRPr="000F777A" w:rsidRDefault="009F052E" w:rsidP="00A175A4">
            <w:pPr>
              <w:jc w:val="left"/>
              <w:rPr>
                <w:rFonts w:ascii="Arial Narrow" w:hAnsi="Arial Narrow"/>
                <w:i/>
              </w:rPr>
            </w:pPr>
          </w:p>
        </w:tc>
        <w:tc>
          <w:tcPr>
            <w:tcW w:w="766" w:type="dxa"/>
          </w:tcPr>
          <w:p w14:paraId="03AA636B" w14:textId="77777777" w:rsidR="009F052E" w:rsidRPr="000F777A" w:rsidRDefault="009F052E" w:rsidP="00A175A4">
            <w:pPr>
              <w:jc w:val="left"/>
              <w:rPr>
                <w:rFonts w:ascii="Arial Narrow" w:hAnsi="Arial Narrow"/>
              </w:rPr>
            </w:pPr>
          </w:p>
        </w:tc>
        <w:tc>
          <w:tcPr>
            <w:tcW w:w="851" w:type="dxa"/>
          </w:tcPr>
          <w:p w14:paraId="3AB4A45D" w14:textId="77777777" w:rsidR="009F052E" w:rsidRPr="000F777A" w:rsidRDefault="009F052E" w:rsidP="00A175A4">
            <w:pPr>
              <w:jc w:val="left"/>
              <w:rPr>
                <w:rFonts w:ascii="Arial Narrow" w:hAnsi="Arial Narrow"/>
              </w:rPr>
            </w:pPr>
          </w:p>
        </w:tc>
      </w:tr>
      <w:tr w:rsidR="00F352E1" w:rsidRPr="000F777A" w14:paraId="69601FD4" w14:textId="77777777" w:rsidTr="00A175A4">
        <w:trPr>
          <w:trHeight w:val="255"/>
        </w:trPr>
        <w:tc>
          <w:tcPr>
            <w:tcW w:w="2093" w:type="dxa"/>
            <w:noWrap/>
            <w:hideMark/>
          </w:tcPr>
          <w:p w14:paraId="3B82589F" w14:textId="77777777" w:rsidR="009F052E" w:rsidRPr="000F777A" w:rsidRDefault="009F052E" w:rsidP="00A175A4">
            <w:pPr>
              <w:jc w:val="left"/>
              <w:rPr>
                <w:rFonts w:ascii="Arial Narrow" w:hAnsi="Arial Narrow"/>
                <w:i/>
              </w:rPr>
            </w:pPr>
            <w:r w:rsidRPr="000F777A">
              <w:rPr>
                <w:rFonts w:ascii="Arial Narrow" w:hAnsi="Arial Narrow"/>
              </w:rPr>
              <w:t xml:space="preserve">Submassive </w:t>
            </w:r>
            <w:r w:rsidRPr="000F777A">
              <w:rPr>
                <w:rFonts w:ascii="Arial Narrow" w:hAnsi="Arial Narrow"/>
                <w:i/>
              </w:rPr>
              <w:t>Acropora</w:t>
            </w:r>
          </w:p>
        </w:tc>
        <w:tc>
          <w:tcPr>
            <w:tcW w:w="850" w:type="dxa"/>
            <w:noWrap/>
            <w:vAlign w:val="center"/>
            <w:hideMark/>
          </w:tcPr>
          <w:p w14:paraId="128E9BCA" w14:textId="77777777" w:rsidR="009F052E" w:rsidRPr="000F777A" w:rsidRDefault="009F052E" w:rsidP="00A175A4">
            <w:pPr>
              <w:jc w:val="center"/>
              <w:rPr>
                <w:rFonts w:ascii="Arial Narrow" w:hAnsi="Arial Narrow"/>
              </w:rPr>
            </w:pPr>
            <w:r w:rsidRPr="000F777A">
              <w:rPr>
                <w:rFonts w:ascii="Arial Narrow" w:hAnsi="Arial Narrow"/>
              </w:rPr>
              <w:t>0.043</w:t>
            </w:r>
          </w:p>
        </w:tc>
        <w:tc>
          <w:tcPr>
            <w:tcW w:w="851" w:type="dxa"/>
            <w:tcBorders>
              <w:right w:val="thinThickThinLargeGap" w:sz="24" w:space="0" w:color="auto"/>
            </w:tcBorders>
            <w:noWrap/>
            <w:vAlign w:val="center"/>
            <w:hideMark/>
          </w:tcPr>
          <w:p w14:paraId="03FB4790" w14:textId="77777777" w:rsidR="009F052E" w:rsidRPr="000F777A" w:rsidRDefault="009F052E" w:rsidP="00A175A4">
            <w:pPr>
              <w:jc w:val="center"/>
              <w:rPr>
                <w:rFonts w:ascii="Arial Narrow" w:hAnsi="Arial Narrow"/>
              </w:rPr>
            </w:pPr>
            <w:r w:rsidRPr="000F777A">
              <w:rPr>
                <w:rFonts w:ascii="Arial Narrow" w:hAnsi="Arial Narrow"/>
              </w:rPr>
              <w:t>-0.004</w:t>
            </w:r>
          </w:p>
        </w:tc>
        <w:tc>
          <w:tcPr>
            <w:tcW w:w="2069" w:type="dxa"/>
            <w:tcBorders>
              <w:left w:val="thinThickThinLargeGap" w:sz="24" w:space="0" w:color="auto"/>
            </w:tcBorders>
          </w:tcPr>
          <w:p w14:paraId="59F5151C" w14:textId="77777777" w:rsidR="009F052E" w:rsidRPr="000F777A" w:rsidRDefault="009F052E" w:rsidP="00A175A4">
            <w:pPr>
              <w:jc w:val="left"/>
              <w:rPr>
                <w:rFonts w:ascii="Arial Narrow" w:hAnsi="Arial Narrow"/>
                <w:i/>
              </w:rPr>
            </w:pPr>
          </w:p>
        </w:tc>
        <w:tc>
          <w:tcPr>
            <w:tcW w:w="766" w:type="dxa"/>
          </w:tcPr>
          <w:p w14:paraId="2A37BD0C" w14:textId="77777777" w:rsidR="009F052E" w:rsidRPr="000F777A" w:rsidRDefault="009F052E" w:rsidP="00A175A4">
            <w:pPr>
              <w:jc w:val="left"/>
              <w:rPr>
                <w:rFonts w:ascii="Arial Narrow" w:hAnsi="Arial Narrow"/>
              </w:rPr>
            </w:pPr>
          </w:p>
        </w:tc>
        <w:tc>
          <w:tcPr>
            <w:tcW w:w="851" w:type="dxa"/>
          </w:tcPr>
          <w:p w14:paraId="375C4216" w14:textId="77777777" w:rsidR="009F052E" w:rsidRPr="000F777A" w:rsidRDefault="009F052E" w:rsidP="00A175A4">
            <w:pPr>
              <w:jc w:val="left"/>
              <w:rPr>
                <w:rFonts w:ascii="Arial Narrow" w:hAnsi="Arial Narrow"/>
              </w:rPr>
            </w:pPr>
          </w:p>
        </w:tc>
      </w:tr>
      <w:tr w:rsidR="00F352E1" w:rsidRPr="000F777A" w14:paraId="302584E1" w14:textId="77777777" w:rsidTr="00A175A4">
        <w:trPr>
          <w:trHeight w:val="255"/>
        </w:trPr>
        <w:tc>
          <w:tcPr>
            <w:tcW w:w="2093" w:type="dxa"/>
            <w:noWrap/>
          </w:tcPr>
          <w:p w14:paraId="27B2000D" w14:textId="77777777" w:rsidR="009F052E" w:rsidRPr="000F777A" w:rsidRDefault="009F052E" w:rsidP="00A175A4">
            <w:pPr>
              <w:jc w:val="left"/>
              <w:rPr>
                <w:rFonts w:ascii="Arial Narrow" w:hAnsi="Arial Narrow"/>
                <w:i/>
              </w:rPr>
            </w:pPr>
            <w:r w:rsidRPr="000F777A">
              <w:rPr>
                <w:rFonts w:ascii="Arial Narrow" w:hAnsi="Arial Narrow"/>
                <w:i/>
              </w:rPr>
              <w:t>Halomitra *</w:t>
            </w:r>
          </w:p>
        </w:tc>
        <w:tc>
          <w:tcPr>
            <w:tcW w:w="850" w:type="dxa"/>
            <w:noWrap/>
            <w:vAlign w:val="center"/>
          </w:tcPr>
          <w:p w14:paraId="72B8CC1C" w14:textId="77777777" w:rsidR="009F052E" w:rsidRPr="000F777A" w:rsidRDefault="009F052E" w:rsidP="00A175A4">
            <w:pPr>
              <w:jc w:val="center"/>
              <w:rPr>
                <w:rFonts w:ascii="Arial Narrow" w:hAnsi="Arial Narrow"/>
              </w:rPr>
            </w:pPr>
          </w:p>
        </w:tc>
        <w:tc>
          <w:tcPr>
            <w:tcW w:w="851" w:type="dxa"/>
            <w:tcBorders>
              <w:right w:val="thinThickThinLargeGap" w:sz="24" w:space="0" w:color="auto"/>
            </w:tcBorders>
            <w:noWrap/>
            <w:vAlign w:val="center"/>
          </w:tcPr>
          <w:p w14:paraId="367B42C3" w14:textId="77777777" w:rsidR="009F052E" w:rsidRPr="000F777A" w:rsidRDefault="009F052E" w:rsidP="00A175A4">
            <w:pPr>
              <w:jc w:val="center"/>
              <w:rPr>
                <w:rFonts w:ascii="Arial Narrow" w:hAnsi="Arial Narrow"/>
              </w:rPr>
            </w:pPr>
            <w:r w:rsidRPr="000F777A">
              <w:rPr>
                <w:rFonts w:ascii="Arial Narrow" w:hAnsi="Arial Narrow"/>
              </w:rPr>
              <w:t>-0.002</w:t>
            </w:r>
          </w:p>
        </w:tc>
        <w:tc>
          <w:tcPr>
            <w:tcW w:w="2069" w:type="dxa"/>
            <w:tcBorders>
              <w:left w:val="thinThickThinLargeGap" w:sz="24" w:space="0" w:color="auto"/>
            </w:tcBorders>
          </w:tcPr>
          <w:p w14:paraId="31BCFE98" w14:textId="77777777" w:rsidR="009F052E" w:rsidRPr="000F777A" w:rsidRDefault="009F052E" w:rsidP="00A175A4">
            <w:pPr>
              <w:jc w:val="left"/>
              <w:rPr>
                <w:rFonts w:ascii="Arial Narrow" w:hAnsi="Arial Narrow"/>
                <w:i/>
              </w:rPr>
            </w:pPr>
          </w:p>
        </w:tc>
        <w:tc>
          <w:tcPr>
            <w:tcW w:w="766" w:type="dxa"/>
          </w:tcPr>
          <w:p w14:paraId="3A7FD932" w14:textId="77777777" w:rsidR="009F052E" w:rsidRPr="000F777A" w:rsidRDefault="009F052E" w:rsidP="00A175A4">
            <w:pPr>
              <w:jc w:val="left"/>
              <w:rPr>
                <w:rFonts w:ascii="Arial Narrow" w:hAnsi="Arial Narrow"/>
              </w:rPr>
            </w:pPr>
          </w:p>
        </w:tc>
        <w:tc>
          <w:tcPr>
            <w:tcW w:w="851" w:type="dxa"/>
          </w:tcPr>
          <w:p w14:paraId="55BC340C" w14:textId="77777777" w:rsidR="009F052E" w:rsidRPr="000F777A" w:rsidRDefault="009F052E" w:rsidP="00A175A4">
            <w:pPr>
              <w:jc w:val="left"/>
              <w:rPr>
                <w:rFonts w:ascii="Arial Narrow" w:hAnsi="Arial Narrow"/>
              </w:rPr>
            </w:pPr>
          </w:p>
        </w:tc>
      </w:tr>
      <w:tr w:rsidR="00F352E1" w:rsidRPr="000F777A" w14:paraId="55D14B0C" w14:textId="77777777" w:rsidTr="00A175A4">
        <w:trPr>
          <w:trHeight w:val="255"/>
        </w:trPr>
        <w:tc>
          <w:tcPr>
            <w:tcW w:w="2093" w:type="dxa"/>
            <w:noWrap/>
          </w:tcPr>
          <w:p w14:paraId="2A678162" w14:textId="77777777" w:rsidR="009F052E" w:rsidRPr="000F777A" w:rsidRDefault="009F052E" w:rsidP="00A175A4">
            <w:pPr>
              <w:jc w:val="left"/>
              <w:rPr>
                <w:rFonts w:ascii="Arial Narrow" w:hAnsi="Arial Narrow"/>
                <w:i/>
              </w:rPr>
            </w:pPr>
            <w:r w:rsidRPr="000F777A">
              <w:rPr>
                <w:rFonts w:ascii="Arial Narrow" w:hAnsi="Arial Narrow"/>
                <w:i/>
              </w:rPr>
              <w:t>Plerogyra</w:t>
            </w:r>
          </w:p>
        </w:tc>
        <w:tc>
          <w:tcPr>
            <w:tcW w:w="850" w:type="dxa"/>
            <w:noWrap/>
            <w:vAlign w:val="center"/>
          </w:tcPr>
          <w:p w14:paraId="5FDB57AE" w14:textId="77777777" w:rsidR="009F052E" w:rsidRPr="000F777A" w:rsidRDefault="009F052E" w:rsidP="00A175A4">
            <w:pPr>
              <w:jc w:val="center"/>
              <w:rPr>
                <w:rFonts w:ascii="Arial Narrow" w:hAnsi="Arial Narrow"/>
              </w:rPr>
            </w:pPr>
            <w:r w:rsidRPr="000F777A">
              <w:rPr>
                <w:rFonts w:ascii="Arial Narrow" w:hAnsi="Arial Narrow"/>
              </w:rPr>
              <w:t>0.002</w:t>
            </w:r>
          </w:p>
        </w:tc>
        <w:tc>
          <w:tcPr>
            <w:tcW w:w="851" w:type="dxa"/>
            <w:tcBorders>
              <w:right w:val="thinThickThinLargeGap" w:sz="24" w:space="0" w:color="auto"/>
            </w:tcBorders>
            <w:noWrap/>
            <w:vAlign w:val="center"/>
          </w:tcPr>
          <w:p w14:paraId="7CBF8832" w14:textId="77777777" w:rsidR="009F052E" w:rsidRPr="000F777A" w:rsidRDefault="009F052E" w:rsidP="00A175A4">
            <w:pPr>
              <w:jc w:val="center"/>
              <w:rPr>
                <w:rFonts w:ascii="Arial Narrow" w:hAnsi="Arial Narrow"/>
              </w:rPr>
            </w:pPr>
            <w:r w:rsidRPr="000F777A">
              <w:rPr>
                <w:rFonts w:ascii="Arial Narrow" w:hAnsi="Arial Narrow"/>
              </w:rPr>
              <w:t>-0.001</w:t>
            </w:r>
          </w:p>
        </w:tc>
        <w:tc>
          <w:tcPr>
            <w:tcW w:w="2069" w:type="dxa"/>
            <w:tcBorders>
              <w:left w:val="thinThickThinLargeGap" w:sz="24" w:space="0" w:color="auto"/>
            </w:tcBorders>
          </w:tcPr>
          <w:p w14:paraId="5AD8EC22" w14:textId="77777777" w:rsidR="009F052E" w:rsidRPr="000F777A" w:rsidRDefault="009F052E" w:rsidP="00A175A4">
            <w:pPr>
              <w:jc w:val="left"/>
              <w:rPr>
                <w:rFonts w:ascii="Arial Narrow" w:hAnsi="Arial Narrow"/>
                <w:i/>
              </w:rPr>
            </w:pPr>
          </w:p>
        </w:tc>
        <w:tc>
          <w:tcPr>
            <w:tcW w:w="766" w:type="dxa"/>
          </w:tcPr>
          <w:p w14:paraId="4EE7CBDD" w14:textId="77777777" w:rsidR="009F052E" w:rsidRPr="000F777A" w:rsidRDefault="009F052E" w:rsidP="00A175A4">
            <w:pPr>
              <w:jc w:val="left"/>
              <w:rPr>
                <w:rFonts w:ascii="Arial Narrow" w:hAnsi="Arial Narrow"/>
              </w:rPr>
            </w:pPr>
          </w:p>
        </w:tc>
        <w:tc>
          <w:tcPr>
            <w:tcW w:w="851" w:type="dxa"/>
          </w:tcPr>
          <w:p w14:paraId="2D84AC43" w14:textId="77777777" w:rsidR="009F052E" w:rsidRPr="000F777A" w:rsidRDefault="009F052E" w:rsidP="00A175A4">
            <w:pPr>
              <w:jc w:val="left"/>
              <w:rPr>
                <w:rFonts w:ascii="Arial Narrow" w:hAnsi="Arial Narrow"/>
              </w:rPr>
            </w:pPr>
          </w:p>
        </w:tc>
      </w:tr>
      <w:tr w:rsidR="00F352E1" w:rsidRPr="000F777A" w14:paraId="4D1F6745" w14:textId="77777777" w:rsidTr="00A175A4">
        <w:trPr>
          <w:trHeight w:val="255"/>
        </w:trPr>
        <w:tc>
          <w:tcPr>
            <w:tcW w:w="2093" w:type="dxa"/>
            <w:noWrap/>
          </w:tcPr>
          <w:p w14:paraId="5938FADA" w14:textId="77777777" w:rsidR="009F052E" w:rsidRPr="000F777A" w:rsidRDefault="009F052E" w:rsidP="00A175A4">
            <w:pPr>
              <w:jc w:val="left"/>
              <w:rPr>
                <w:rFonts w:ascii="Arial Narrow" w:hAnsi="Arial Narrow"/>
                <w:i/>
              </w:rPr>
            </w:pPr>
            <w:r w:rsidRPr="000F777A">
              <w:rPr>
                <w:rFonts w:ascii="Arial Narrow" w:hAnsi="Arial Narrow"/>
                <w:i/>
              </w:rPr>
              <w:t>Lithophyllon*</w:t>
            </w:r>
          </w:p>
        </w:tc>
        <w:tc>
          <w:tcPr>
            <w:tcW w:w="850" w:type="dxa"/>
            <w:noWrap/>
            <w:vAlign w:val="center"/>
          </w:tcPr>
          <w:p w14:paraId="79FC61D2" w14:textId="77777777" w:rsidR="009F052E" w:rsidRPr="000F777A" w:rsidRDefault="009F052E" w:rsidP="00A175A4">
            <w:pPr>
              <w:jc w:val="center"/>
              <w:rPr>
                <w:rFonts w:ascii="Arial Narrow" w:hAnsi="Arial Narrow"/>
              </w:rPr>
            </w:pPr>
          </w:p>
        </w:tc>
        <w:tc>
          <w:tcPr>
            <w:tcW w:w="851" w:type="dxa"/>
            <w:tcBorders>
              <w:right w:val="thinThickThinLargeGap" w:sz="24" w:space="0" w:color="auto"/>
            </w:tcBorders>
            <w:noWrap/>
            <w:vAlign w:val="center"/>
          </w:tcPr>
          <w:p w14:paraId="6241B351" w14:textId="77777777" w:rsidR="009F052E" w:rsidRPr="000F777A" w:rsidRDefault="009F052E" w:rsidP="00A175A4">
            <w:pPr>
              <w:jc w:val="center"/>
              <w:rPr>
                <w:rFonts w:ascii="Arial Narrow" w:hAnsi="Arial Narrow"/>
              </w:rPr>
            </w:pPr>
            <w:r w:rsidRPr="000F777A">
              <w:rPr>
                <w:rFonts w:ascii="Arial Narrow" w:hAnsi="Arial Narrow"/>
              </w:rPr>
              <w:t>-0.001</w:t>
            </w:r>
          </w:p>
        </w:tc>
        <w:tc>
          <w:tcPr>
            <w:tcW w:w="2069" w:type="dxa"/>
            <w:tcBorders>
              <w:left w:val="thinThickThinLargeGap" w:sz="24" w:space="0" w:color="auto"/>
            </w:tcBorders>
          </w:tcPr>
          <w:p w14:paraId="0D891859" w14:textId="77777777" w:rsidR="009F052E" w:rsidRPr="000F777A" w:rsidRDefault="009F052E" w:rsidP="00A175A4">
            <w:pPr>
              <w:jc w:val="left"/>
              <w:rPr>
                <w:rFonts w:ascii="Arial Narrow" w:hAnsi="Arial Narrow"/>
                <w:i/>
              </w:rPr>
            </w:pPr>
          </w:p>
        </w:tc>
        <w:tc>
          <w:tcPr>
            <w:tcW w:w="766" w:type="dxa"/>
          </w:tcPr>
          <w:p w14:paraId="5F77D3B7" w14:textId="77777777" w:rsidR="009F052E" w:rsidRPr="000F777A" w:rsidRDefault="009F052E" w:rsidP="00A175A4">
            <w:pPr>
              <w:jc w:val="left"/>
              <w:rPr>
                <w:rFonts w:ascii="Arial Narrow" w:hAnsi="Arial Narrow"/>
              </w:rPr>
            </w:pPr>
          </w:p>
        </w:tc>
        <w:tc>
          <w:tcPr>
            <w:tcW w:w="851" w:type="dxa"/>
          </w:tcPr>
          <w:p w14:paraId="1301F4F7" w14:textId="77777777" w:rsidR="009F052E" w:rsidRPr="000F777A" w:rsidRDefault="009F052E" w:rsidP="00A175A4">
            <w:pPr>
              <w:jc w:val="left"/>
              <w:rPr>
                <w:rFonts w:ascii="Arial Narrow" w:hAnsi="Arial Narrow"/>
              </w:rPr>
            </w:pPr>
          </w:p>
        </w:tc>
      </w:tr>
      <w:tr w:rsidR="00F352E1" w:rsidRPr="000F777A" w14:paraId="2A501494" w14:textId="77777777" w:rsidTr="00A175A4">
        <w:trPr>
          <w:trHeight w:val="255"/>
        </w:trPr>
        <w:tc>
          <w:tcPr>
            <w:tcW w:w="2093" w:type="dxa"/>
            <w:noWrap/>
          </w:tcPr>
          <w:p w14:paraId="48C99D1B" w14:textId="77777777" w:rsidR="009F052E" w:rsidRPr="000F777A" w:rsidRDefault="009F052E" w:rsidP="00A175A4">
            <w:pPr>
              <w:jc w:val="left"/>
              <w:rPr>
                <w:rFonts w:ascii="Arial Narrow" w:hAnsi="Arial Narrow"/>
                <w:i/>
              </w:rPr>
            </w:pPr>
            <w:r w:rsidRPr="000F777A">
              <w:rPr>
                <w:rFonts w:ascii="Arial Narrow" w:hAnsi="Arial Narrow"/>
                <w:i/>
              </w:rPr>
              <w:t>Tubastrea*</w:t>
            </w:r>
          </w:p>
        </w:tc>
        <w:tc>
          <w:tcPr>
            <w:tcW w:w="850" w:type="dxa"/>
            <w:noWrap/>
            <w:vAlign w:val="center"/>
          </w:tcPr>
          <w:p w14:paraId="799CE2E1" w14:textId="77777777" w:rsidR="009F052E" w:rsidRPr="000F777A" w:rsidRDefault="009F052E" w:rsidP="00A175A4">
            <w:pPr>
              <w:jc w:val="center"/>
              <w:rPr>
                <w:rFonts w:ascii="Arial Narrow" w:hAnsi="Arial Narrow"/>
              </w:rPr>
            </w:pPr>
            <w:r w:rsidRPr="000F777A">
              <w:rPr>
                <w:rFonts w:ascii="Arial Narrow" w:hAnsi="Arial Narrow"/>
              </w:rPr>
              <w:t>0.005</w:t>
            </w:r>
          </w:p>
        </w:tc>
        <w:tc>
          <w:tcPr>
            <w:tcW w:w="851" w:type="dxa"/>
            <w:tcBorders>
              <w:right w:val="thinThickThinLargeGap" w:sz="24" w:space="0" w:color="auto"/>
            </w:tcBorders>
            <w:noWrap/>
            <w:vAlign w:val="center"/>
          </w:tcPr>
          <w:p w14:paraId="12B8DC49" w14:textId="77777777" w:rsidR="009F052E" w:rsidRPr="000F777A" w:rsidRDefault="009F052E" w:rsidP="00A175A4">
            <w:pPr>
              <w:jc w:val="center"/>
              <w:rPr>
                <w:rFonts w:ascii="Arial Narrow" w:hAnsi="Arial Narrow"/>
              </w:rPr>
            </w:pPr>
            <w:r w:rsidRPr="000F777A">
              <w:rPr>
                <w:rFonts w:ascii="Arial Narrow" w:hAnsi="Arial Narrow"/>
              </w:rPr>
              <w:t>-0.000</w:t>
            </w:r>
          </w:p>
        </w:tc>
        <w:tc>
          <w:tcPr>
            <w:tcW w:w="2069" w:type="dxa"/>
            <w:tcBorders>
              <w:left w:val="thinThickThinLargeGap" w:sz="24" w:space="0" w:color="auto"/>
            </w:tcBorders>
          </w:tcPr>
          <w:p w14:paraId="58E78A73" w14:textId="77777777" w:rsidR="009F052E" w:rsidRPr="000F777A" w:rsidRDefault="009F052E" w:rsidP="00A175A4">
            <w:pPr>
              <w:jc w:val="left"/>
              <w:rPr>
                <w:rFonts w:ascii="Arial Narrow" w:hAnsi="Arial Narrow"/>
                <w:i/>
              </w:rPr>
            </w:pPr>
          </w:p>
        </w:tc>
        <w:tc>
          <w:tcPr>
            <w:tcW w:w="766" w:type="dxa"/>
          </w:tcPr>
          <w:p w14:paraId="45B744E1" w14:textId="77777777" w:rsidR="009F052E" w:rsidRPr="000F777A" w:rsidRDefault="009F052E" w:rsidP="00A175A4">
            <w:pPr>
              <w:jc w:val="left"/>
              <w:rPr>
                <w:rFonts w:ascii="Arial Narrow" w:hAnsi="Arial Narrow"/>
              </w:rPr>
            </w:pPr>
          </w:p>
        </w:tc>
        <w:tc>
          <w:tcPr>
            <w:tcW w:w="851" w:type="dxa"/>
          </w:tcPr>
          <w:p w14:paraId="22DA432F" w14:textId="77777777" w:rsidR="009F052E" w:rsidRPr="000F777A" w:rsidRDefault="009F052E" w:rsidP="00A175A4">
            <w:pPr>
              <w:jc w:val="left"/>
              <w:rPr>
                <w:rFonts w:ascii="Arial Narrow" w:hAnsi="Arial Narrow"/>
              </w:rPr>
            </w:pPr>
          </w:p>
        </w:tc>
      </w:tr>
    </w:tbl>
    <w:p w14:paraId="5D323593" w14:textId="77777777" w:rsidR="00C83247" w:rsidRPr="000F777A" w:rsidRDefault="00C83247" w:rsidP="009F052E">
      <w:pPr>
        <w:keepNext/>
        <w:spacing w:after="0"/>
        <w:jc w:val="left"/>
        <w:sectPr w:rsidR="00C83247" w:rsidRPr="000F777A" w:rsidSect="00C83247">
          <w:pgSz w:w="11907" w:h="16840" w:code="9"/>
          <w:pgMar w:top="1440" w:right="1134" w:bottom="1440" w:left="1134" w:header="709" w:footer="709" w:gutter="0"/>
          <w:cols w:space="708"/>
          <w:docGrid w:linePitch="360"/>
        </w:sectPr>
      </w:pPr>
    </w:p>
    <w:p w14:paraId="6A3E3100" w14:textId="231F0C53" w:rsidR="00D05896" w:rsidRPr="00F352E1" w:rsidRDefault="00B14D94" w:rsidP="00606A50">
      <w:pPr>
        <w:pStyle w:val="Caption"/>
      </w:pPr>
      <w:bookmarkStart w:id="354" w:name="_Toc498591418"/>
      <w:r>
        <w:t xml:space="preserve">Table A1. </w:t>
      </w:r>
      <w:r>
        <w:fldChar w:fldCharType="begin"/>
      </w:r>
      <w:r>
        <w:instrText xml:space="preserve"> SEQ Table_A1. \* ARABIC </w:instrText>
      </w:r>
      <w:r>
        <w:fldChar w:fldCharType="separate"/>
      </w:r>
      <w:r w:rsidR="00A75175">
        <w:rPr>
          <w:noProof/>
        </w:rPr>
        <w:t>3</w:t>
      </w:r>
      <w:r>
        <w:fldChar w:fldCharType="end"/>
      </w:r>
      <w:r>
        <w:t xml:space="preserve"> </w:t>
      </w:r>
      <w:r w:rsidR="00D07CD0" w:rsidRPr="00F352E1">
        <w:t>Annual freshwater discharge for the major Reef Catchments</w:t>
      </w:r>
      <w:r w:rsidR="00D07CD0" w:rsidRPr="002956C7">
        <w:t xml:space="preserve">. </w:t>
      </w:r>
      <w:r w:rsidR="00D07CD0" w:rsidRPr="002956C7">
        <w:rPr>
          <w:rStyle w:val="IntenseReference"/>
          <w:rFonts w:eastAsia="SimSun"/>
          <w:bCs w:val="0"/>
          <w:szCs w:val="24"/>
        </w:rPr>
        <w:t xml:space="preserve">Values represented as proportional to the median (1986-2016). Flows corrected for ungauged area of catchments as per Waterhouse </w:t>
      </w:r>
      <w:r w:rsidR="00D07CD0" w:rsidRPr="002956C7">
        <w:rPr>
          <w:rStyle w:val="IntenseReference"/>
          <w:rFonts w:eastAsia="SimSun"/>
          <w:bCs w:val="0"/>
          <w:i/>
          <w:szCs w:val="24"/>
        </w:rPr>
        <w:t>et al</w:t>
      </w:r>
      <w:r w:rsidR="00D07CD0" w:rsidRPr="002956C7">
        <w:rPr>
          <w:rStyle w:val="IntenseReference"/>
          <w:rFonts w:eastAsia="SimSun"/>
          <w:bCs w:val="0"/>
          <w:szCs w:val="24"/>
        </w:rPr>
        <w:t>. 201</w:t>
      </w:r>
      <w:r w:rsidR="002956C7">
        <w:rPr>
          <w:rStyle w:val="IntenseReference"/>
          <w:rFonts w:eastAsia="SimSun"/>
          <w:bCs w:val="0"/>
          <w:szCs w:val="24"/>
        </w:rPr>
        <w:t>7</w:t>
      </w:r>
      <w:r w:rsidR="00D07CD0" w:rsidRPr="002956C7">
        <w:rPr>
          <w:rStyle w:val="IntenseReference"/>
          <w:rFonts w:eastAsia="SimSun"/>
          <w:bCs w:val="0"/>
          <w:szCs w:val="24"/>
        </w:rPr>
        <w:t>. Levels of exceedance of median flow expressed as multiples of median flow: Yellow = 1.5-1.9, Orange = 2.0-2.9, Red = 3.0 and above</w:t>
      </w:r>
      <w:bookmarkEnd w:id="354"/>
    </w:p>
    <w:tbl>
      <w:tblPr>
        <w:tblW w:w="13524" w:type="dxa"/>
        <w:tblLayout w:type="fixed"/>
        <w:tblCellMar>
          <w:left w:w="0" w:type="dxa"/>
          <w:right w:w="0" w:type="dxa"/>
        </w:tblCellMar>
        <w:tblLook w:val="04A0" w:firstRow="1" w:lastRow="0" w:firstColumn="1" w:lastColumn="0" w:noHBand="0" w:noVBand="1"/>
        <w:tblCaption w:val="Table A1. 3 Annual freshwater discharge for the major Reef Catchments. "/>
        <w:tblDescription w:val="A table listing the annual discharge of major rivers between 2001 and 2017. Values are expressed as a proportion of median flow."/>
      </w:tblPr>
      <w:tblGrid>
        <w:gridCol w:w="1295"/>
        <w:gridCol w:w="2215"/>
        <w:gridCol w:w="851"/>
        <w:gridCol w:w="539"/>
        <w:gridCol w:w="539"/>
        <w:gridCol w:w="539"/>
        <w:gridCol w:w="539"/>
        <w:gridCol w:w="539"/>
        <w:gridCol w:w="539"/>
        <w:gridCol w:w="539"/>
        <w:gridCol w:w="539"/>
        <w:gridCol w:w="539"/>
        <w:gridCol w:w="539"/>
        <w:gridCol w:w="539"/>
        <w:gridCol w:w="539"/>
        <w:gridCol w:w="539"/>
        <w:gridCol w:w="539"/>
        <w:gridCol w:w="539"/>
        <w:gridCol w:w="539"/>
        <w:gridCol w:w="539"/>
      </w:tblGrid>
      <w:tr w:rsidR="0079044F" w:rsidRPr="00F352E1" w14:paraId="17B5FF64" w14:textId="77777777" w:rsidTr="0079044F">
        <w:trPr>
          <w:tblHeader/>
        </w:trPr>
        <w:tc>
          <w:tcPr>
            <w:tcW w:w="1295"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6EEABCB7" w14:textId="77777777" w:rsidR="0079044F" w:rsidRPr="00121B7E" w:rsidRDefault="0079044F" w:rsidP="003E78FD">
            <w:pPr>
              <w:rPr>
                <w:color w:val="000000" w:themeColor="text1"/>
              </w:rPr>
            </w:pPr>
            <w:r w:rsidRPr="00121B7E">
              <w:rPr>
                <w:rFonts w:ascii="Arial Narrow Bold" w:hAnsi="Arial Narrow Bold" w:cs="Arial Narrow Bold"/>
                <w:color w:val="000000" w:themeColor="text1"/>
                <w:sz w:val="16"/>
              </w:rPr>
              <w:t>Region</w:t>
            </w:r>
          </w:p>
        </w:tc>
        <w:tc>
          <w:tcPr>
            <w:tcW w:w="2215"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3E56B204" w14:textId="77777777" w:rsidR="0079044F" w:rsidRPr="00121B7E" w:rsidRDefault="0079044F" w:rsidP="003E78FD">
            <w:pPr>
              <w:rPr>
                <w:color w:val="000000" w:themeColor="text1"/>
              </w:rPr>
            </w:pPr>
            <w:r w:rsidRPr="00121B7E">
              <w:rPr>
                <w:rFonts w:ascii="Arial Narrow Bold" w:hAnsi="Arial Narrow Bold" w:cs="Arial Narrow Bold"/>
                <w:color w:val="000000" w:themeColor="text1"/>
                <w:sz w:val="16"/>
              </w:rPr>
              <w:t>River</w:t>
            </w:r>
          </w:p>
        </w:tc>
        <w:tc>
          <w:tcPr>
            <w:tcW w:w="851"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EF80EE9" w14:textId="77777777" w:rsidR="0079044F" w:rsidRPr="00121B7E" w:rsidRDefault="0079044F" w:rsidP="003E78FD">
            <w:pPr>
              <w:rPr>
                <w:color w:val="000000" w:themeColor="text1"/>
              </w:rPr>
            </w:pPr>
            <w:r w:rsidRPr="00121B7E">
              <w:rPr>
                <w:rFonts w:ascii="Arial Narrow Bold" w:hAnsi="Arial Narrow Bold" w:cs="Arial Narrow Bold"/>
                <w:color w:val="000000" w:themeColor="text1"/>
                <w:sz w:val="16"/>
              </w:rPr>
              <w:t>Median</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2D60B0C0" w14:textId="77777777" w:rsidR="0079044F" w:rsidRPr="00121B7E" w:rsidRDefault="0079044F" w:rsidP="009149BF">
            <w:pPr>
              <w:jc w:val="center"/>
              <w:rPr>
                <w:color w:val="000000" w:themeColor="text1"/>
              </w:rPr>
            </w:pPr>
            <w:r w:rsidRPr="00121B7E">
              <w:rPr>
                <w:rFonts w:ascii="Arial Narrow Bold" w:hAnsi="Arial Narrow Bold" w:cs="Arial Narrow Bold"/>
                <w:color w:val="000000" w:themeColor="text1"/>
                <w:sz w:val="16"/>
              </w:rPr>
              <w:t>2001</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716980C0" w14:textId="77777777" w:rsidR="0079044F" w:rsidRPr="00121B7E" w:rsidRDefault="0079044F" w:rsidP="009149BF">
            <w:pPr>
              <w:jc w:val="center"/>
              <w:rPr>
                <w:color w:val="000000" w:themeColor="text1"/>
              </w:rPr>
            </w:pPr>
            <w:r w:rsidRPr="00121B7E">
              <w:rPr>
                <w:rFonts w:ascii="Arial Narrow Bold" w:hAnsi="Arial Narrow Bold" w:cs="Arial Narrow Bold"/>
                <w:color w:val="000000" w:themeColor="text1"/>
                <w:sz w:val="16"/>
              </w:rPr>
              <w:t>2002</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777D3F21" w14:textId="77777777" w:rsidR="0079044F" w:rsidRPr="00121B7E" w:rsidRDefault="0079044F" w:rsidP="009149BF">
            <w:pPr>
              <w:jc w:val="center"/>
              <w:rPr>
                <w:color w:val="000000" w:themeColor="text1"/>
              </w:rPr>
            </w:pPr>
            <w:r w:rsidRPr="00121B7E">
              <w:rPr>
                <w:rFonts w:ascii="Arial Narrow Bold" w:hAnsi="Arial Narrow Bold" w:cs="Arial Narrow Bold"/>
                <w:color w:val="000000" w:themeColor="text1"/>
                <w:sz w:val="16"/>
              </w:rPr>
              <w:t>2003</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AEBDF15" w14:textId="77777777" w:rsidR="0079044F" w:rsidRPr="00121B7E" w:rsidRDefault="0079044F" w:rsidP="009149BF">
            <w:pPr>
              <w:jc w:val="center"/>
              <w:rPr>
                <w:color w:val="000000" w:themeColor="text1"/>
              </w:rPr>
            </w:pPr>
            <w:r w:rsidRPr="00121B7E">
              <w:rPr>
                <w:rFonts w:ascii="Arial Narrow Bold" w:hAnsi="Arial Narrow Bold" w:cs="Arial Narrow Bold"/>
                <w:color w:val="000000" w:themeColor="text1"/>
                <w:sz w:val="16"/>
              </w:rPr>
              <w:t>2004</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65D9F979" w14:textId="77777777" w:rsidR="0079044F" w:rsidRPr="00121B7E" w:rsidRDefault="0079044F" w:rsidP="009149BF">
            <w:pPr>
              <w:jc w:val="center"/>
              <w:rPr>
                <w:color w:val="000000" w:themeColor="text1"/>
              </w:rPr>
            </w:pPr>
            <w:r w:rsidRPr="00121B7E">
              <w:rPr>
                <w:rFonts w:ascii="Arial Narrow Bold" w:hAnsi="Arial Narrow Bold" w:cs="Arial Narrow Bold"/>
                <w:color w:val="000000" w:themeColor="text1"/>
                <w:sz w:val="16"/>
              </w:rPr>
              <w:t>2005</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764496C8" w14:textId="77777777" w:rsidR="0079044F" w:rsidRPr="00121B7E" w:rsidRDefault="0079044F" w:rsidP="009149BF">
            <w:pPr>
              <w:jc w:val="center"/>
              <w:rPr>
                <w:color w:val="000000" w:themeColor="text1"/>
              </w:rPr>
            </w:pPr>
            <w:r w:rsidRPr="00121B7E">
              <w:rPr>
                <w:rFonts w:ascii="Arial Narrow Bold" w:hAnsi="Arial Narrow Bold" w:cs="Arial Narrow Bold"/>
                <w:color w:val="000000" w:themeColor="text1"/>
                <w:sz w:val="16"/>
              </w:rPr>
              <w:t>2006</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40597237" w14:textId="77777777" w:rsidR="0079044F" w:rsidRPr="00121B7E" w:rsidRDefault="0079044F" w:rsidP="009149BF">
            <w:pPr>
              <w:jc w:val="center"/>
              <w:rPr>
                <w:color w:val="000000" w:themeColor="text1"/>
              </w:rPr>
            </w:pPr>
            <w:r w:rsidRPr="00121B7E">
              <w:rPr>
                <w:rFonts w:ascii="Arial Narrow Bold" w:hAnsi="Arial Narrow Bold" w:cs="Arial Narrow Bold"/>
                <w:color w:val="000000" w:themeColor="text1"/>
                <w:sz w:val="16"/>
              </w:rPr>
              <w:t>2007</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427F6FB0" w14:textId="77777777" w:rsidR="0079044F" w:rsidRPr="00121B7E" w:rsidRDefault="0079044F" w:rsidP="009149BF">
            <w:pPr>
              <w:jc w:val="center"/>
              <w:rPr>
                <w:color w:val="000000" w:themeColor="text1"/>
              </w:rPr>
            </w:pPr>
            <w:r w:rsidRPr="00121B7E">
              <w:rPr>
                <w:rFonts w:ascii="Arial Narrow Bold" w:hAnsi="Arial Narrow Bold" w:cs="Arial Narrow Bold"/>
                <w:color w:val="000000" w:themeColor="text1"/>
                <w:sz w:val="16"/>
              </w:rPr>
              <w:t>2008</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2DEC8642" w14:textId="77777777" w:rsidR="0079044F" w:rsidRPr="00121B7E" w:rsidRDefault="0079044F" w:rsidP="009149BF">
            <w:pPr>
              <w:jc w:val="center"/>
              <w:rPr>
                <w:color w:val="000000" w:themeColor="text1"/>
              </w:rPr>
            </w:pPr>
            <w:r w:rsidRPr="00121B7E">
              <w:rPr>
                <w:rFonts w:ascii="Arial Narrow Bold" w:hAnsi="Arial Narrow Bold" w:cs="Arial Narrow Bold"/>
                <w:color w:val="000000" w:themeColor="text1"/>
                <w:sz w:val="16"/>
              </w:rPr>
              <w:t>2009</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65E76B37" w14:textId="77777777" w:rsidR="0079044F" w:rsidRPr="00121B7E" w:rsidRDefault="0079044F" w:rsidP="009149BF">
            <w:pPr>
              <w:jc w:val="center"/>
              <w:rPr>
                <w:color w:val="000000" w:themeColor="text1"/>
              </w:rPr>
            </w:pPr>
            <w:r w:rsidRPr="00121B7E">
              <w:rPr>
                <w:rFonts w:ascii="Arial Narrow Bold" w:hAnsi="Arial Narrow Bold" w:cs="Arial Narrow Bold"/>
                <w:color w:val="000000" w:themeColor="text1"/>
                <w:sz w:val="16"/>
              </w:rPr>
              <w:t>2010</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7A0903A1" w14:textId="77777777" w:rsidR="0079044F" w:rsidRPr="00121B7E" w:rsidRDefault="0079044F" w:rsidP="009149BF">
            <w:pPr>
              <w:jc w:val="center"/>
              <w:rPr>
                <w:color w:val="000000" w:themeColor="text1"/>
              </w:rPr>
            </w:pPr>
            <w:r w:rsidRPr="00121B7E">
              <w:rPr>
                <w:rFonts w:ascii="Arial Narrow Bold" w:hAnsi="Arial Narrow Bold" w:cs="Arial Narrow Bold"/>
                <w:color w:val="000000" w:themeColor="text1"/>
                <w:sz w:val="16"/>
              </w:rPr>
              <w:t>2011</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46DD31D9" w14:textId="77777777" w:rsidR="0079044F" w:rsidRPr="00121B7E" w:rsidRDefault="0079044F" w:rsidP="009149BF">
            <w:pPr>
              <w:jc w:val="center"/>
              <w:rPr>
                <w:color w:val="000000" w:themeColor="text1"/>
              </w:rPr>
            </w:pPr>
            <w:r w:rsidRPr="00121B7E">
              <w:rPr>
                <w:rFonts w:ascii="Arial Narrow Bold" w:hAnsi="Arial Narrow Bold" w:cs="Arial Narrow Bold"/>
                <w:color w:val="000000" w:themeColor="text1"/>
                <w:sz w:val="16"/>
              </w:rPr>
              <w:t>2012</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2ECE1D23" w14:textId="77777777" w:rsidR="0079044F" w:rsidRPr="00121B7E" w:rsidRDefault="0079044F" w:rsidP="009149BF">
            <w:pPr>
              <w:jc w:val="center"/>
              <w:rPr>
                <w:color w:val="000000" w:themeColor="text1"/>
              </w:rPr>
            </w:pPr>
            <w:r w:rsidRPr="00121B7E">
              <w:rPr>
                <w:rFonts w:ascii="Arial Narrow Bold" w:hAnsi="Arial Narrow Bold" w:cs="Arial Narrow Bold"/>
                <w:color w:val="000000" w:themeColor="text1"/>
                <w:sz w:val="16"/>
              </w:rPr>
              <w:t>2013</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3440903F" w14:textId="77777777" w:rsidR="0079044F" w:rsidRPr="00121B7E" w:rsidRDefault="0079044F" w:rsidP="009149BF">
            <w:pPr>
              <w:jc w:val="center"/>
              <w:rPr>
                <w:color w:val="000000" w:themeColor="text1"/>
              </w:rPr>
            </w:pPr>
            <w:r w:rsidRPr="00121B7E">
              <w:rPr>
                <w:rFonts w:ascii="Arial Narrow Bold" w:hAnsi="Arial Narrow Bold" w:cs="Arial Narrow Bold"/>
                <w:color w:val="000000" w:themeColor="text1"/>
                <w:sz w:val="16"/>
              </w:rPr>
              <w:t>2014</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2BEA9422" w14:textId="77777777" w:rsidR="0079044F" w:rsidRPr="00121B7E" w:rsidRDefault="0079044F" w:rsidP="009149BF">
            <w:pPr>
              <w:jc w:val="center"/>
              <w:rPr>
                <w:color w:val="000000" w:themeColor="text1"/>
              </w:rPr>
            </w:pPr>
            <w:r w:rsidRPr="00121B7E">
              <w:rPr>
                <w:rFonts w:ascii="Arial Narrow Bold" w:hAnsi="Arial Narrow Bold" w:cs="Arial Narrow Bold"/>
                <w:color w:val="000000" w:themeColor="text1"/>
                <w:sz w:val="16"/>
              </w:rPr>
              <w:t>2015</w:t>
            </w:r>
          </w:p>
        </w:tc>
        <w:tc>
          <w:tcPr>
            <w:tcW w:w="539"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6141AE9F" w14:textId="77777777" w:rsidR="0079044F" w:rsidRPr="00121B7E" w:rsidRDefault="0079044F" w:rsidP="009149BF">
            <w:pPr>
              <w:jc w:val="center"/>
              <w:rPr>
                <w:rFonts w:ascii="Arial Narrow Bold" w:hAnsi="Arial Narrow Bold" w:cs="Arial Narrow Bold"/>
                <w:color w:val="000000" w:themeColor="text1"/>
                <w:sz w:val="16"/>
              </w:rPr>
            </w:pPr>
            <w:r w:rsidRPr="00121B7E">
              <w:rPr>
                <w:rFonts w:ascii="Arial Narrow Bold" w:hAnsi="Arial Narrow Bold" w:cs="Arial Narrow Bold"/>
                <w:color w:val="000000" w:themeColor="text1"/>
                <w:sz w:val="16"/>
              </w:rPr>
              <w:t>2016</w:t>
            </w:r>
          </w:p>
        </w:tc>
        <w:tc>
          <w:tcPr>
            <w:tcW w:w="539" w:type="dxa"/>
            <w:tcBorders>
              <w:top w:val="single" w:sz="4" w:space="0" w:color="000000"/>
              <w:left w:val="single" w:sz="4" w:space="0" w:color="000000"/>
              <w:bottom w:val="single" w:sz="4" w:space="0" w:color="000000"/>
              <w:right w:val="single" w:sz="4" w:space="0" w:color="000000"/>
            </w:tcBorders>
            <w:shd w:val="clear" w:color="auto" w:fill="BEBEBE"/>
          </w:tcPr>
          <w:p w14:paraId="2FD4F489" w14:textId="77777777" w:rsidR="0079044F" w:rsidRPr="00121B7E" w:rsidRDefault="0079044F" w:rsidP="009149BF">
            <w:pPr>
              <w:jc w:val="center"/>
              <w:rPr>
                <w:rFonts w:ascii="Arial Narrow Bold" w:hAnsi="Arial Narrow Bold" w:cs="Arial Narrow Bold"/>
                <w:color w:val="000000" w:themeColor="text1"/>
                <w:sz w:val="16"/>
              </w:rPr>
            </w:pPr>
            <w:r w:rsidRPr="00121B7E">
              <w:rPr>
                <w:rFonts w:ascii="Arial Narrow Bold" w:hAnsi="Arial Narrow Bold" w:cs="Arial Narrow Bold"/>
                <w:color w:val="000000" w:themeColor="text1"/>
                <w:sz w:val="16"/>
              </w:rPr>
              <w:t>2017</w:t>
            </w:r>
          </w:p>
        </w:tc>
      </w:tr>
      <w:tr w:rsidR="0079044F" w:rsidRPr="00F352E1" w14:paraId="0E79CC0A" w14:textId="77777777" w:rsidTr="0079044F">
        <w:tc>
          <w:tcPr>
            <w:tcW w:w="1295" w:type="dxa"/>
            <w:vMerge w:val="restart"/>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C136E14" w14:textId="77777777" w:rsidR="0079044F" w:rsidRPr="00121B7E" w:rsidRDefault="0079044F" w:rsidP="003E78FD">
            <w:pPr>
              <w:rPr>
                <w:color w:val="000000" w:themeColor="text1"/>
              </w:rPr>
            </w:pPr>
            <w:r w:rsidRPr="00121B7E">
              <w:rPr>
                <w:rFonts w:ascii="Arial Narrow" w:hAnsi="Arial Narrow" w:cs="Arial Narrow"/>
                <w:color w:val="000000" w:themeColor="text1"/>
                <w:sz w:val="16"/>
              </w:rPr>
              <w:t>Wet Tropics</w:t>
            </w: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072CB6F" w14:textId="77777777" w:rsidR="0079044F" w:rsidRPr="00121B7E" w:rsidRDefault="0079044F" w:rsidP="003E78FD">
            <w:pPr>
              <w:rPr>
                <w:color w:val="000000" w:themeColor="text1"/>
              </w:rPr>
            </w:pPr>
            <w:r w:rsidRPr="00121B7E">
              <w:rPr>
                <w:rFonts w:ascii="Arial Narrow" w:hAnsi="Arial Narrow" w:cs="Arial Narrow"/>
                <w:color w:val="000000" w:themeColor="text1"/>
                <w:sz w:val="16"/>
              </w:rPr>
              <w:t>Daintree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5EF336D1" w14:textId="77777777" w:rsidR="0079044F" w:rsidRPr="00121B7E" w:rsidRDefault="0079044F" w:rsidP="00FB7676">
            <w:pPr>
              <w:jc w:val="center"/>
              <w:rPr>
                <w:rFonts w:ascii="Arial Narrow" w:hAnsi="Arial Narrow"/>
                <w:color w:val="000000" w:themeColor="text1"/>
                <w:sz w:val="16"/>
                <w:szCs w:val="16"/>
              </w:rPr>
            </w:pPr>
            <w:r w:rsidRPr="00121B7E">
              <w:rPr>
                <w:rFonts w:ascii="Arial Narrow" w:hAnsi="Arial Narrow"/>
                <w:color w:val="000000" w:themeColor="text1"/>
                <w:sz w:val="16"/>
                <w:szCs w:val="16"/>
              </w:rPr>
              <w:t>1722934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38AD36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FDE053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37A07A9"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6B84B6BC"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D632A0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40513A52"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7373076"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B4ADC1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1E9FAD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84871C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1.7</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0E40D1A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7B8CEA9"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7DD0A0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5D77AB3"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3.0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68B0709"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99AE39"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FFFFFF"/>
          </w:tcPr>
          <w:p w14:paraId="28BDA543" w14:textId="77777777" w:rsidR="0079044F" w:rsidRPr="00121B7E" w:rsidRDefault="00CB6D5E" w:rsidP="00CB6D5E">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1.1</w:t>
            </w:r>
          </w:p>
        </w:tc>
      </w:tr>
      <w:tr w:rsidR="0079044F" w:rsidRPr="00F352E1" w14:paraId="45B3FFB6" w14:textId="77777777" w:rsidTr="0079044F">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1956728" w14:textId="77777777" w:rsidR="0079044F" w:rsidRPr="00121B7E" w:rsidRDefault="0079044F"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BA36D55" w14:textId="77777777" w:rsidR="0079044F" w:rsidRPr="00121B7E" w:rsidRDefault="0079044F" w:rsidP="003E78FD">
            <w:pPr>
              <w:rPr>
                <w:rFonts w:ascii="Arial Narrow" w:hAnsi="Arial Narrow" w:cs="Arial Narrow"/>
                <w:color w:val="000000" w:themeColor="text1"/>
                <w:sz w:val="16"/>
              </w:rPr>
            </w:pPr>
            <w:r w:rsidRPr="00121B7E">
              <w:rPr>
                <w:rFonts w:ascii="Arial Narrow" w:hAnsi="Arial Narrow" w:cs="Arial Narrow"/>
                <w:color w:val="000000" w:themeColor="text1"/>
                <w:sz w:val="16"/>
              </w:rPr>
              <w:t>Mossman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17A61CD7" w14:textId="77777777" w:rsidR="0079044F" w:rsidRPr="00121B7E" w:rsidRDefault="0079044F" w:rsidP="00FB7676">
            <w:pPr>
              <w:jc w:val="center"/>
              <w:rPr>
                <w:rFonts w:ascii="Arial Narrow" w:hAnsi="Arial Narrow"/>
                <w:color w:val="000000" w:themeColor="text1"/>
                <w:sz w:val="16"/>
                <w:szCs w:val="16"/>
              </w:rPr>
            </w:pPr>
            <w:r w:rsidRPr="00121B7E">
              <w:rPr>
                <w:rFonts w:ascii="Arial Narrow" w:hAnsi="Arial Narrow"/>
                <w:color w:val="000000" w:themeColor="text1"/>
                <w:sz w:val="16"/>
                <w:szCs w:val="16"/>
              </w:rPr>
              <w:t>1207012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AAD181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D829FE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73CF718"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58E04AE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FA765E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43FE0A4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3DDA6E2"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957D217"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92399B7"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5CCE7C3"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70E3D4F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F6EF41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E9795F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685FE1D7"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167E426"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A866F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FFFF"/>
          </w:tcPr>
          <w:p w14:paraId="5C83C1F0" w14:textId="77777777" w:rsidR="0079044F" w:rsidRPr="00121B7E" w:rsidRDefault="00CB6D5E"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0.9</w:t>
            </w:r>
          </w:p>
        </w:tc>
      </w:tr>
      <w:tr w:rsidR="0079044F" w:rsidRPr="00F352E1" w14:paraId="1687345F" w14:textId="77777777" w:rsidTr="0079044F">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565B5B2" w14:textId="77777777" w:rsidR="0079044F" w:rsidRPr="00121B7E" w:rsidRDefault="0079044F"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9F83991" w14:textId="77777777" w:rsidR="0079044F" w:rsidRPr="00121B7E" w:rsidRDefault="0079044F" w:rsidP="003E78FD">
            <w:pPr>
              <w:rPr>
                <w:color w:val="000000" w:themeColor="text1"/>
              </w:rPr>
            </w:pPr>
            <w:r w:rsidRPr="00121B7E">
              <w:rPr>
                <w:rFonts w:ascii="Arial Narrow" w:hAnsi="Arial Narrow" w:cs="Arial Narrow"/>
                <w:color w:val="000000" w:themeColor="text1"/>
                <w:sz w:val="16"/>
              </w:rPr>
              <w:t>Barron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52C54997" w14:textId="77777777" w:rsidR="0079044F" w:rsidRPr="00121B7E" w:rsidRDefault="0079044F" w:rsidP="00FB7676">
            <w:pPr>
              <w:jc w:val="center"/>
              <w:rPr>
                <w:rFonts w:ascii="Arial Narrow" w:hAnsi="Arial Narrow"/>
                <w:color w:val="000000" w:themeColor="text1"/>
                <w:sz w:val="16"/>
                <w:szCs w:val="16"/>
              </w:rPr>
            </w:pPr>
            <w:r w:rsidRPr="00121B7E">
              <w:rPr>
                <w:rFonts w:ascii="Arial Narrow" w:hAnsi="Arial Narrow"/>
                <w:color w:val="000000" w:themeColor="text1"/>
                <w:sz w:val="16"/>
                <w:szCs w:val="16"/>
              </w:rPr>
              <w:t>526686</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75A4FE7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5C42367"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08F1B87"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6D200692"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0A90AE6"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7013D6C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4232CC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479417C"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3.4</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0AD1E33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105FB5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D88DE79"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4.0</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6CBB0E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F4F86A9"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8EDBFF6"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3EA0D8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166AC9"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FFFFFF"/>
          </w:tcPr>
          <w:p w14:paraId="680B59F7" w14:textId="77777777" w:rsidR="0079044F" w:rsidRPr="00121B7E" w:rsidRDefault="00CB6D5E"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0.5</w:t>
            </w:r>
          </w:p>
        </w:tc>
      </w:tr>
      <w:tr w:rsidR="0079044F" w:rsidRPr="00F352E1" w14:paraId="5189CDD8" w14:textId="77777777" w:rsidTr="0079044F">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BF0D99B" w14:textId="77777777" w:rsidR="0079044F" w:rsidRPr="00121B7E" w:rsidRDefault="0079044F"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1D8F8E2" w14:textId="77777777" w:rsidR="0079044F" w:rsidRPr="00121B7E" w:rsidRDefault="0079044F" w:rsidP="003E78FD">
            <w:pPr>
              <w:rPr>
                <w:color w:val="000000" w:themeColor="text1"/>
              </w:rPr>
            </w:pPr>
            <w:r w:rsidRPr="00121B7E">
              <w:rPr>
                <w:rFonts w:ascii="Arial Narrow" w:hAnsi="Arial Narrow" w:cs="Arial Narrow"/>
                <w:color w:val="000000" w:themeColor="text1"/>
                <w:sz w:val="16"/>
              </w:rPr>
              <w:t>Russell - Mulgrave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3BD0CD52" w14:textId="77777777" w:rsidR="0079044F" w:rsidRPr="00121B7E" w:rsidRDefault="0079044F" w:rsidP="00FB7676">
            <w:pPr>
              <w:jc w:val="center"/>
              <w:rPr>
                <w:rFonts w:ascii="Arial Narrow" w:hAnsi="Arial Narrow"/>
                <w:color w:val="000000" w:themeColor="text1"/>
                <w:sz w:val="16"/>
                <w:szCs w:val="16"/>
              </w:rPr>
            </w:pPr>
            <w:r w:rsidRPr="00121B7E">
              <w:rPr>
                <w:rFonts w:ascii="Arial Narrow" w:hAnsi="Arial Narrow"/>
                <w:color w:val="000000" w:themeColor="text1"/>
                <w:sz w:val="16"/>
                <w:szCs w:val="16"/>
              </w:rPr>
              <w:t>4457940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46186C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C7B43EC"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FE99C3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01A978A"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7344D6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C89E15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097F6D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0E6782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49BE097"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B03A1D2"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0563F28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65AB9B1"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192A70C"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21F58D8"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7A01601"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7925C3"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FFFFFF"/>
          </w:tcPr>
          <w:p w14:paraId="69AA9E5A" w14:textId="77777777" w:rsidR="0079044F" w:rsidRPr="00121B7E" w:rsidRDefault="00CB6D5E"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0.7</w:t>
            </w:r>
          </w:p>
        </w:tc>
      </w:tr>
      <w:tr w:rsidR="0079044F" w:rsidRPr="00F352E1" w14:paraId="35703205" w14:textId="77777777" w:rsidTr="00CB6D5E">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EAAA792" w14:textId="77777777" w:rsidR="0079044F" w:rsidRPr="00121B7E" w:rsidRDefault="0079044F"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3EB462E" w14:textId="77777777" w:rsidR="0079044F" w:rsidRPr="00121B7E" w:rsidRDefault="0079044F" w:rsidP="003E78FD">
            <w:pPr>
              <w:rPr>
                <w:color w:val="000000" w:themeColor="text1"/>
              </w:rPr>
            </w:pPr>
            <w:r w:rsidRPr="00121B7E">
              <w:rPr>
                <w:rFonts w:ascii="Arial Narrow" w:hAnsi="Arial Narrow" w:cs="Arial Narrow"/>
                <w:color w:val="000000" w:themeColor="text1"/>
                <w:sz w:val="16"/>
              </w:rPr>
              <w:t>Johnstone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53F0511D" w14:textId="77777777" w:rsidR="0079044F" w:rsidRPr="00121B7E" w:rsidRDefault="0079044F" w:rsidP="00FB7676">
            <w:pPr>
              <w:jc w:val="center"/>
              <w:rPr>
                <w:rFonts w:ascii="Arial Narrow" w:hAnsi="Arial Narrow"/>
                <w:color w:val="000000" w:themeColor="text1"/>
                <w:sz w:val="16"/>
                <w:szCs w:val="16"/>
              </w:rPr>
            </w:pPr>
            <w:r w:rsidRPr="00121B7E">
              <w:rPr>
                <w:rFonts w:ascii="Arial Narrow" w:hAnsi="Arial Narrow"/>
                <w:color w:val="000000" w:themeColor="text1"/>
                <w:sz w:val="16"/>
                <w:szCs w:val="16"/>
              </w:rPr>
              <w:t>4743915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564AFC9"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2B87B3A"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A5C254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C0FF4E1"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B3249E3"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3493D8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BCABA3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B55A239"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F3D35E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A4AC167"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30EA735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D58CD0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2BDF38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C359E6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0099229"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0.6</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38D4B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Pr>
          <w:p w14:paraId="4145FFB9" w14:textId="77777777" w:rsidR="00CB6D5E" w:rsidRPr="00121B7E" w:rsidRDefault="00CB6D5E" w:rsidP="00CB6D5E">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1.7</w:t>
            </w:r>
          </w:p>
        </w:tc>
      </w:tr>
      <w:tr w:rsidR="0079044F" w:rsidRPr="00F352E1" w14:paraId="78535F8E" w14:textId="77777777" w:rsidTr="0079044F">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C3BBAF7" w14:textId="77777777" w:rsidR="0079044F" w:rsidRPr="00121B7E" w:rsidRDefault="0079044F"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A8064B5" w14:textId="77777777" w:rsidR="0079044F" w:rsidRPr="00121B7E" w:rsidRDefault="0079044F" w:rsidP="00DA1069">
            <w:pPr>
              <w:rPr>
                <w:color w:val="000000" w:themeColor="text1"/>
              </w:rPr>
            </w:pPr>
            <w:r w:rsidRPr="00121B7E">
              <w:rPr>
                <w:rFonts w:ascii="Arial Narrow" w:hAnsi="Arial Narrow" w:cs="Arial Narrow"/>
                <w:color w:val="000000" w:themeColor="text1"/>
                <w:sz w:val="16"/>
              </w:rPr>
              <w:t>Tully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7AA43876" w14:textId="77777777" w:rsidR="0079044F" w:rsidRPr="00121B7E" w:rsidRDefault="0079044F" w:rsidP="00FB7676">
            <w:pPr>
              <w:jc w:val="center"/>
              <w:rPr>
                <w:rFonts w:ascii="Arial Narrow" w:hAnsi="Arial Narrow"/>
                <w:color w:val="000000" w:themeColor="text1"/>
                <w:sz w:val="16"/>
                <w:szCs w:val="16"/>
              </w:rPr>
            </w:pPr>
            <w:r w:rsidRPr="00121B7E">
              <w:rPr>
                <w:rFonts w:ascii="Arial Narrow" w:hAnsi="Arial Narrow"/>
                <w:color w:val="000000" w:themeColor="text1"/>
                <w:sz w:val="16"/>
                <w:szCs w:val="16"/>
              </w:rPr>
              <w:t>3536054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916F65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0F60C0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A39266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D8291BC"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51DB71C"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0067089"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217F69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C5AAE08"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DD3477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D6A3AD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5F60E97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3E8F7A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B72C7AC"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D62D5D2"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3B1A5F2"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37E16C"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FFFFFF"/>
          </w:tcPr>
          <w:p w14:paraId="77CFC206" w14:textId="77777777" w:rsidR="0079044F" w:rsidRPr="00121B7E" w:rsidRDefault="00673D1A"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NA</w:t>
            </w:r>
          </w:p>
        </w:tc>
      </w:tr>
      <w:tr w:rsidR="0079044F" w:rsidRPr="00F352E1" w14:paraId="004AB2DD" w14:textId="77777777" w:rsidTr="0079044F">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185C2B2" w14:textId="77777777" w:rsidR="0079044F" w:rsidRPr="00121B7E" w:rsidRDefault="0079044F"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38B0718" w14:textId="77777777" w:rsidR="0079044F" w:rsidRPr="00121B7E" w:rsidRDefault="0079044F" w:rsidP="003E78FD">
            <w:pPr>
              <w:rPr>
                <w:color w:val="000000" w:themeColor="text1"/>
              </w:rPr>
            </w:pPr>
            <w:r w:rsidRPr="00121B7E">
              <w:rPr>
                <w:rFonts w:ascii="Arial Narrow" w:hAnsi="Arial Narrow" w:cs="Arial Narrow"/>
                <w:color w:val="000000" w:themeColor="text1"/>
                <w:sz w:val="16"/>
              </w:rPr>
              <w:t>Murray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379C1B28" w14:textId="77777777" w:rsidR="0079044F" w:rsidRPr="00121B7E" w:rsidRDefault="0079044F" w:rsidP="00FB7676">
            <w:pPr>
              <w:jc w:val="center"/>
              <w:rPr>
                <w:rFonts w:ascii="Arial Narrow" w:hAnsi="Arial Narrow"/>
                <w:color w:val="000000" w:themeColor="text1"/>
                <w:sz w:val="16"/>
                <w:szCs w:val="16"/>
              </w:rPr>
            </w:pPr>
            <w:r w:rsidRPr="00121B7E">
              <w:rPr>
                <w:rFonts w:ascii="Arial Narrow" w:hAnsi="Arial Narrow"/>
                <w:color w:val="000000" w:themeColor="text1"/>
                <w:sz w:val="16"/>
                <w:szCs w:val="16"/>
              </w:rPr>
              <w:t>1227888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ACA95A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8DD57B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E7A7B6A"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BDD8857"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CC4751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7CD5E42"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CA5CE7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FEE5F7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66D0D63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4B68CC3"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A43090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3.5</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8BF2D7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93EE2D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C928642"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C359EE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1E6A79"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FFFFFF"/>
          </w:tcPr>
          <w:p w14:paraId="39E77A46" w14:textId="77777777" w:rsidR="0079044F" w:rsidRPr="00121B7E" w:rsidRDefault="00CB6D5E"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r>
      <w:tr w:rsidR="0079044F" w:rsidRPr="00F352E1" w14:paraId="551BEFDF" w14:textId="77777777" w:rsidTr="0079044F">
        <w:tc>
          <w:tcPr>
            <w:tcW w:w="1295"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CBC7D2F" w14:textId="77777777" w:rsidR="0079044F" w:rsidRPr="00121B7E" w:rsidRDefault="0079044F"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61B570E" w14:textId="77777777" w:rsidR="0079044F" w:rsidRPr="00121B7E" w:rsidRDefault="0079044F" w:rsidP="003E78FD">
            <w:pPr>
              <w:rPr>
                <w:color w:val="000000" w:themeColor="text1"/>
              </w:rPr>
            </w:pPr>
            <w:r w:rsidRPr="00121B7E">
              <w:rPr>
                <w:rFonts w:ascii="Arial Narrow" w:hAnsi="Arial Narrow" w:cs="Arial Narrow"/>
                <w:color w:val="000000" w:themeColor="text1"/>
                <w:sz w:val="16"/>
              </w:rPr>
              <w:t>Herbert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11E79A4B" w14:textId="77777777" w:rsidR="0079044F" w:rsidRPr="00121B7E" w:rsidRDefault="0079044F" w:rsidP="00FB7676">
            <w:pPr>
              <w:jc w:val="center"/>
              <w:rPr>
                <w:rFonts w:ascii="Arial Narrow" w:hAnsi="Arial Narrow"/>
                <w:color w:val="000000" w:themeColor="text1"/>
                <w:sz w:val="16"/>
                <w:szCs w:val="16"/>
              </w:rPr>
            </w:pPr>
            <w:r w:rsidRPr="00121B7E">
              <w:rPr>
                <w:rFonts w:ascii="Arial Narrow" w:hAnsi="Arial Narrow"/>
                <w:color w:val="000000" w:themeColor="text1"/>
                <w:sz w:val="16"/>
                <w:szCs w:val="16"/>
              </w:rPr>
              <w:t>3556376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D16D96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0A034EA"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D1ADAD6"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A4A17E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78338A2"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020582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3E3681A"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61D784C"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39CE70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558F01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FFE3F79"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3.5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7D5DE8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2C58A4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F576F7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85CB4C8"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9000D8"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FFFFFF"/>
          </w:tcPr>
          <w:p w14:paraId="1A7D5469" w14:textId="77777777" w:rsidR="0079044F" w:rsidRPr="00121B7E" w:rsidRDefault="00CB6D5E"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0.6</w:t>
            </w:r>
          </w:p>
        </w:tc>
      </w:tr>
      <w:tr w:rsidR="0079044F" w:rsidRPr="00F352E1" w14:paraId="611DBC6D" w14:textId="77777777" w:rsidTr="0079044F">
        <w:tc>
          <w:tcPr>
            <w:tcW w:w="1295" w:type="dxa"/>
            <w:vMerge w:val="restart"/>
            <w:tcBorders>
              <w:top w:val="single" w:sz="4" w:space="0" w:color="000000"/>
              <w:left w:val="single" w:sz="4" w:space="0" w:color="000000"/>
              <w:right w:val="single" w:sz="4" w:space="0" w:color="000000"/>
            </w:tcBorders>
            <w:shd w:val="clear" w:color="auto" w:fill="FFFFFF"/>
            <w:tcMar>
              <w:top w:w="40" w:type="dxa"/>
              <w:left w:w="40" w:type="dxa"/>
              <w:bottom w:w="40" w:type="dxa"/>
              <w:right w:w="40" w:type="dxa"/>
            </w:tcMar>
            <w:vAlign w:val="center"/>
          </w:tcPr>
          <w:p w14:paraId="2BCE32E7" w14:textId="77777777" w:rsidR="0079044F" w:rsidRPr="00121B7E" w:rsidRDefault="0079044F" w:rsidP="003E78FD">
            <w:pPr>
              <w:rPr>
                <w:rFonts w:ascii="Arial Narrow" w:hAnsi="Arial Narrow" w:cs="Arial Narrow"/>
                <w:color w:val="000000" w:themeColor="text1"/>
                <w:sz w:val="16"/>
              </w:rPr>
            </w:pPr>
            <w:r w:rsidRPr="00121B7E">
              <w:rPr>
                <w:rFonts w:ascii="Arial Narrow" w:hAnsi="Arial Narrow" w:cs="Arial Narrow"/>
                <w:color w:val="000000" w:themeColor="text1"/>
                <w:sz w:val="16"/>
              </w:rPr>
              <w:t>Burdekin</w:t>
            </w: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083892F" w14:textId="77777777" w:rsidR="0079044F" w:rsidRPr="00121B7E" w:rsidRDefault="0079044F" w:rsidP="003E78FD">
            <w:pPr>
              <w:rPr>
                <w:rFonts w:ascii="Arial Narrow" w:hAnsi="Arial Narrow" w:cs="Arial Narrow"/>
                <w:color w:val="000000" w:themeColor="text1"/>
                <w:sz w:val="16"/>
              </w:rPr>
            </w:pPr>
            <w:r w:rsidRPr="00121B7E">
              <w:rPr>
                <w:rFonts w:ascii="Arial Narrow" w:hAnsi="Arial Narrow" w:cs="Arial Narrow"/>
                <w:color w:val="000000" w:themeColor="text1"/>
                <w:sz w:val="16"/>
              </w:rPr>
              <w:t>Black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71328B91" w14:textId="77777777" w:rsidR="0079044F" w:rsidRPr="00121B7E" w:rsidRDefault="0079044F" w:rsidP="00FB7676">
            <w:pPr>
              <w:jc w:val="center"/>
              <w:rPr>
                <w:rFonts w:ascii="Arial Narrow" w:hAnsi="Arial Narrow"/>
                <w:color w:val="000000" w:themeColor="text1"/>
                <w:sz w:val="16"/>
                <w:szCs w:val="16"/>
              </w:rPr>
            </w:pPr>
            <w:r w:rsidRPr="00121B7E">
              <w:rPr>
                <w:rFonts w:ascii="Arial Narrow" w:hAnsi="Arial Narrow"/>
                <w:color w:val="000000" w:themeColor="text1"/>
                <w:sz w:val="16"/>
                <w:szCs w:val="16"/>
              </w:rPr>
              <w:t>228629</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3B211C0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03E31F6"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D0F5AE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11FDE31"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E9BA031"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35D5FF3"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6036E503"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2.5</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4FC881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3.2</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6FED38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5.4</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090663E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2.7</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5323CD3"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6.2</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3544A31"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3.3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3AEDD9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7678C97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2D6E87A"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0.1</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A153F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0.6</w:t>
            </w:r>
          </w:p>
        </w:tc>
        <w:tc>
          <w:tcPr>
            <w:tcW w:w="539" w:type="dxa"/>
            <w:tcBorders>
              <w:top w:val="single" w:sz="4" w:space="0" w:color="000000"/>
              <w:left w:val="single" w:sz="4" w:space="0" w:color="000000"/>
              <w:bottom w:val="single" w:sz="4" w:space="0" w:color="000000"/>
              <w:right w:val="single" w:sz="4" w:space="0" w:color="000000"/>
            </w:tcBorders>
            <w:shd w:val="clear" w:color="auto" w:fill="FFFFFF"/>
          </w:tcPr>
          <w:p w14:paraId="1D1F9ED9" w14:textId="77777777" w:rsidR="0079044F" w:rsidRPr="00121B7E" w:rsidRDefault="00673D1A"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NA</w:t>
            </w:r>
          </w:p>
        </w:tc>
      </w:tr>
      <w:tr w:rsidR="0079044F" w:rsidRPr="00F352E1" w14:paraId="0CC1E3E4" w14:textId="77777777" w:rsidTr="0079044F">
        <w:tc>
          <w:tcPr>
            <w:tcW w:w="1295"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4CD29A62" w14:textId="77777777" w:rsidR="0079044F" w:rsidRPr="00121B7E" w:rsidRDefault="0079044F" w:rsidP="003E78FD">
            <w:pPr>
              <w:rPr>
                <w:rFonts w:ascii="Arial Narrow" w:hAnsi="Arial Narrow" w:cs="Arial Narrow"/>
                <w:color w:val="000000" w:themeColor="text1"/>
                <w:sz w:val="16"/>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67973F3" w14:textId="77777777" w:rsidR="0079044F" w:rsidRPr="00121B7E" w:rsidRDefault="0079044F" w:rsidP="003E78FD">
            <w:pPr>
              <w:rPr>
                <w:rFonts w:ascii="Arial Narrow" w:hAnsi="Arial Narrow" w:cs="Arial Narrow"/>
                <w:color w:val="000000" w:themeColor="text1"/>
                <w:sz w:val="16"/>
              </w:rPr>
            </w:pPr>
            <w:r w:rsidRPr="00121B7E">
              <w:rPr>
                <w:rFonts w:ascii="Arial Narrow" w:hAnsi="Arial Narrow" w:cs="Arial Narrow"/>
                <w:color w:val="000000" w:themeColor="text1"/>
                <w:sz w:val="16"/>
              </w:rPr>
              <w:t>Ross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3C61FCA8" w14:textId="77777777" w:rsidR="0079044F" w:rsidRPr="00121B7E" w:rsidRDefault="0079044F" w:rsidP="00FB7676">
            <w:pPr>
              <w:jc w:val="center"/>
              <w:rPr>
                <w:rFonts w:ascii="Arial Narrow" w:hAnsi="Arial Narrow"/>
                <w:color w:val="000000" w:themeColor="text1"/>
                <w:sz w:val="16"/>
                <w:szCs w:val="16"/>
              </w:rPr>
            </w:pPr>
            <w:r w:rsidRPr="00121B7E">
              <w:rPr>
                <w:rFonts w:ascii="Arial Narrow" w:hAnsi="Arial Narrow"/>
                <w:color w:val="000000" w:themeColor="text1"/>
                <w:sz w:val="16"/>
                <w:szCs w:val="16"/>
              </w:rPr>
              <w:t>445106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6268888"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F509887"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1F86C0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25615FA"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B95D6D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E5FA05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5597FAB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2.6</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279D35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3.1</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6AC6A92"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4.5</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2F8139F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2.8</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B993A7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4.7</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06454C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3.0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415FC1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0.6</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0A74BA01"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B105BF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0.0</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A48431"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0.0</w:t>
            </w:r>
          </w:p>
        </w:tc>
        <w:tc>
          <w:tcPr>
            <w:tcW w:w="539" w:type="dxa"/>
            <w:tcBorders>
              <w:top w:val="single" w:sz="4" w:space="0" w:color="000000"/>
              <w:left w:val="single" w:sz="4" w:space="0" w:color="000000"/>
              <w:bottom w:val="single" w:sz="4" w:space="0" w:color="000000"/>
              <w:right w:val="single" w:sz="4" w:space="0" w:color="000000"/>
            </w:tcBorders>
            <w:shd w:val="clear" w:color="auto" w:fill="FFFFFF"/>
          </w:tcPr>
          <w:p w14:paraId="2B7042DD" w14:textId="77777777" w:rsidR="0079044F" w:rsidRPr="00121B7E" w:rsidRDefault="00673D1A"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NA</w:t>
            </w:r>
          </w:p>
        </w:tc>
      </w:tr>
      <w:tr w:rsidR="0079044F" w:rsidRPr="00F352E1" w14:paraId="13700464" w14:textId="77777777" w:rsidTr="0079044F">
        <w:tc>
          <w:tcPr>
            <w:tcW w:w="1295"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05505FDF" w14:textId="77777777" w:rsidR="0079044F" w:rsidRPr="00121B7E" w:rsidRDefault="0079044F" w:rsidP="003E78FD">
            <w:pPr>
              <w:rPr>
                <w:rFonts w:ascii="Arial Narrow" w:hAnsi="Arial Narrow" w:cs="Arial Narrow"/>
                <w:color w:val="000000" w:themeColor="text1"/>
                <w:sz w:val="16"/>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77AB0C5" w14:textId="77777777" w:rsidR="0079044F" w:rsidRPr="00121B7E" w:rsidRDefault="0079044F" w:rsidP="003E78FD">
            <w:pPr>
              <w:rPr>
                <w:rFonts w:ascii="Arial Narrow" w:hAnsi="Arial Narrow" w:cs="Arial Narrow"/>
                <w:color w:val="000000" w:themeColor="text1"/>
                <w:sz w:val="16"/>
              </w:rPr>
            </w:pPr>
            <w:r w:rsidRPr="00121B7E">
              <w:rPr>
                <w:rFonts w:ascii="Arial Narrow" w:hAnsi="Arial Narrow" w:cs="Arial Narrow"/>
                <w:color w:val="000000" w:themeColor="text1"/>
                <w:sz w:val="16"/>
              </w:rPr>
              <w:t>Haughton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38DC6FB3" w14:textId="77777777" w:rsidR="0079044F" w:rsidRPr="00121B7E" w:rsidRDefault="0079044F" w:rsidP="00FB7676">
            <w:pPr>
              <w:jc w:val="center"/>
              <w:rPr>
                <w:rFonts w:ascii="Arial Narrow" w:hAnsi="Arial Narrow"/>
                <w:color w:val="000000" w:themeColor="text1"/>
                <w:sz w:val="16"/>
                <w:szCs w:val="16"/>
              </w:rPr>
            </w:pPr>
            <w:r w:rsidRPr="00121B7E">
              <w:rPr>
                <w:rFonts w:ascii="Arial Narrow" w:hAnsi="Arial Narrow"/>
                <w:color w:val="000000" w:themeColor="text1"/>
                <w:sz w:val="16"/>
                <w:szCs w:val="16"/>
              </w:rPr>
              <w:t>553292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BB602DC"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098B427"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D43E3F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08CF2CA"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A4AFF7A"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A37F231"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3F5319D8"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2.4</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213375A"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3.3</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63F6743"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4.6</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29696103"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2.1</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ABB8A9A"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4.4</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7C11FF9"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3.2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6F447C1"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471AF13"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8563E53"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A1C87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FFFFFF"/>
          </w:tcPr>
          <w:p w14:paraId="7C95A1E0" w14:textId="77777777" w:rsidR="0079044F" w:rsidRPr="00121B7E" w:rsidRDefault="00CB6D5E"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0.6</w:t>
            </w:r>
          </w:p>
        </w:tc>
      </w:tr>
      <w:tr w:rsidR="0079044F" w:rsidRPr="00F352E1" w14:paraId="4BD0E8FD" w14:textId="77777777" w:rsidTr="0079044F">
        <w:tc>
          <w:tcPr>
            <w:tcW w:w="1295"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4B65271A" w14:textId="77777777" w:rsidR="0079044F" w:rsidRPr="00121B7E" w:rsidRDefault="0079044F"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299E1D2" w14:textId="77777777" w:rsidR="0079044F" w:rsidRPr="00121B7E" w:rsidRDefault="0079044F" w:rsidP="003E78FD">
            <w:pPr>
              <w:rPr>
                <w:color w:val="000000" w:themeColor="text1"/>
              </w:rPr>
            </w:pPr>
            <w:r w:rsidRPr="00121B7E">
              <w:rPr>
                <w:rFonts w:ascii="Arial Narrow" w:hAnsi="Arial Narrow" w:cs="Arial Narrow"/>
                <w:color w:val="000000" w:themeColor="text1"/>
                <w:sz w:val="16"/>
              </w:rPr>
              <w:t>Burdekin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6478F2CE" w14:textId="77777777" w:rsidR="0079044F" w:rsidRPr="00121B7E" w:rsidRDefault="0079044F" w:rsidP="00FB7676">
            <w:pPr>
              <w:jc w:val="center"/>
              <w:rPr>
                <w:rFonts w:ascii="Arial Narrow" w:hAnsi="Arial Narrow"/>
                <w:color w:val="000000" w:themeColor="text1"/>
                <w:sz w:val="16"/>
                <w:szCs w:val="16"/>
              </w:rPr>
            </w:pPr>
            <w:r w:rsidRPr="00121B7E">
              <w:rPr>
                <w:rFonts w:ascii="Arial Narrow" w:hAnsi="Arial Narrow"/>
                <w:color w:val="000000" w:themeColor="text1"/>
                <w:sz w:val="16"/>
                <w:szCs w:val="16"/>
              </w:rPr>
              <w:t>4406780</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0F07A78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3B3871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9535AE6"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DD2EA97"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F7E962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653DE5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4A86819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2.2</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526FFC3"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6.2</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42E9742"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6.7</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6A6D9A63"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1.8</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9C8B8E3"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7.9</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46985AC"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3.5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F3A13F2"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21BD327"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0804766"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3FF1C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FFFFFF"/>
          </w:tcPr>
          <w:p w14:paraId="742BB523" w14:textId="77777777" w:rsidR="0079044F" w:rsidRPr="00121B7E" w:rsidRDefault="00CB6D5E"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0.9</w:t>
            </w:r>
          </w:p>
        </w:tc>
      </w:tr>
      <w:tr w:rsidR="0079044F" w:rsidRPr="00F352E1" w14:paraId="612A0137" w14:textId="77777777" w:rsidTr="00CB6D5E">
        <w:tc>
          <w:tcPr>
            <w:tcW w:w="1295" w:type="dxa"/>
            <w:vMerge/>
            <w:tcBorders>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88713B1" w14:textId="77777777" w:rsidR="0079044F" w:rsidRPr="00121B7E" w:rsidRDefault="0079044F" w:rsidP="003E78FD">
            <w:pPr>
              <w:rPr>
                <w:rFonts w:ascii="Arial Narrow" w:hAnsi="Arial Narrow" w:cs="Arial Narrow"/>
                <w:color w:val="000000" w:themeColor="text1"/>
                <w:sz w:val="16"/>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10B48B6" w14:textId="77777777" w:rsidR="0079044F" w:rsidRPr="00121B7E" w:rsidRDefault="0079044F" w:rsidP="003E78FD">
            <w:pPr>
              <w:rPr>
                <w:rFonts w:ascii="Arial Narrow" w:hAnsi="Arial Narrow" w:cs="Arial Narrow"/>
                <w:color w:val="000000" w:themeColor="text1"/>
                <w:sz w:val="16"/>
              </w:rPr>
            </w:pPr>
            <w:r w:rsidRPr="00121B7E">
              <w:rPr>
                <w:rFonts w:ascii="Arial Narrow" w:hAnsi="Arial Narrow" w:cs="Arial Narrow"/>
                <w:color w:val="000000" w:themeColor="text1"/>
                <w:sz w:val="16"/>
              </w:rPr>
              <w:t>Don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08F15F0A" w14:textId="77777777" w:rsidR="0079044F" w:rsidRPr="00121B7E" w:rsidRDefault="0079044F" w:rsidP="00FB7676">
            <w:pPr>
              <w:jc w:val="center"/>
              <w:rPr>
                <w:rFonts w:ascii="Arial Narrow" w:hAnsi="Arial Narrow"/>
                <w:color w:val="000000" w:themeColor="text1"/>
                <w:sz w:val="16"/>
                <w:szCs w:val="16"/>
              </w:rPr>
            </w:pPr>
            <w:r w:rsidRPr="00121B7E">
              <w:rPr>
                <w:rFonts w:ascii="Arial Narrow" w:hAnsi="Arial Narrow"/>
                <w:color w:val="000000" w:themeColor="text1"/>
                <w:sz w:val="16"/>
                <w:szCs w:val="16"/>
              </w:rPr>
              <w:t>342257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ED7ABD8"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2E8539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5DA89D6"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BE6BE5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E21FE02"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91A4EE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1517B9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1.8</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DFE0B0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5.0</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5F9922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2.7</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226821F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1.6</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FEB744C"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9.2</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56D9353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2.3</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65DC56C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0F8EBA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8762336"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31C6E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Pr>
          <w:p w14:paraId="7BA76DBE" w14:textId="77777777" w:rsidR="0079044F" w:rsidRPr="00121B7E" w:rsidRDefault="00CB6D5E"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2.7</w:t>
            </w:r>
          </w:p>
        </w:tc>
      </w:tr>
      <w:tr w:rsidR="0079044F" w:rsidRPr="00F352E1" w14:paraId="39A7AF13" w14:textId="77777777" w:rsidTr="0079044F">
        <w:tc>
          <w:tcPr>
            <w:tcW w:w="1295" w:type="dxa"/>
            <w:vMerge w:val="restart"/>
            <w:tcBorders>
              <w:top w:val="single" w:sz="4" w:space="0" w:color="000000"/>
              <w:left w:val="single" w:sz="4" w:space="0" w:color="000000"/>
              <w:right w:val="single" w:sz="4" w:space="0" w:color="000000"/>
            </w:tcBorders>
            <w:shd w:val="clear" w:color="auto" w:fill="FFFFFF"/>
            <w:tcMar>
              <w:top w:w="40" w:type="dxa"/>
              <w:left w:w="40" w:type="dxa"/>
              <w:bottom w:w="40" w:type="dxa"/>
              <w:right w:w="40" w:type="dxa"/>
            </w:tcMar>
            <w:vAlign w:val="center"/>
          </w:tcPr>
          <w:p w14:paraId="237D8A1A" w14:textId="77777777" w:rsidR="0079044F" w:rsidRPr="00121B7E" w:rsidRDefault="0079044F" w:rsidP="003E78FD">
            <w:pPr>
              <w:rPr>
                <w:rFonts w:ascii="Arial Narrow" w:hAnsi="Arial Narrow" w:cs="Arial Narrow"/>
                <w:color w:val="000000" w:themeColor="text1"/>
                <w:sz w:val="16"/>
              </w:rPr>
            </w:pPr>
            <w:r w:rsidRPr="00121B7E">
              <w:rPr>
                <w:rFonts w:ascii="Arial Narrow" w:hAnsi="Arial Narrow" w:cs="Arial Narrow"/>
                <w:color w:val="000000" w:themeColor="text1"/>
                <w:sz w:val="16"/>
              </w:rPr>
              <w:t>Mackay Whitsunday</w:t>
            </w: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227C93C" w14:textId="77777777" w:rsidR="0079044F" w:rsidRPr="00121B7E" w:rsidRDefault="0079044F" w:rsidP="003E78FD">
            <w:pPr>
              <w:rPr>
                <w:rFonts w:ascii="Arial Narrow" w:hAnsi="Arial Narrow" w:cs="Arial Narrow"/>
                <w:color w:val="000000" w:themeColor="text1"/>
                <w:sz w:val="16"/>
              </w:rPr>
            </w:pPr>
            <w:r w:rsidRPr="00121B7E">
              <w:rPr>
                <w:rFonts w:ascii="Arial Narrow" w:hAnsi="Arial Narrow" w:cs="Arial Narrow"/>
                <w:color w:val="000000" w:themeColor="text1"/>
                <w:sz w:val="16"/>
              </w:rPr>
              <w:t>Proserpine</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6B5FC8B4" w14:textId="77777777" w:rsidR="0079044F" w:rsidRPr="00121B7E" w:rsidRDefault="0079044F" w:rsidP="00FB7676">
            <w:pPr>
              <w:jc w:val="center"/>
              <w:rPr>
                <w:rFonts w:ascii="Arial Narrow" w:hAnsi="Arial Narrow"/>
                <w:color w:val="000000" w:themeColor="text1"/>
                <w:sz w:val="16"/>
                <w:szCs w:val="16"/>
              </w:rPr>
            </w:pPr>
            <w:r w:rsidRPr="00121B7E">
              <w:rPr>
                <w:rFonts w:ascii="Arial Narrow" w:hAnsi="Arial Narrow"/>
                <w:color w:val="000000" w:themeColor="text1"/>
                <w:sz w:val="16"/>
                <w:szCs w:val="16"/>
              </w:rPr>
              <w:t>887771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4A38D49"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17018F1"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4798CD9"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61D3C9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AAB66C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C935B1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2C19E63C"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1.6</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78A248B6"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2.3</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04CC61C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1.7</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2FD1070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2.9</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108A18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5.2</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43292157"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BF0DF06"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2A8B503"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D34E0A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9C034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FFFFFF"/>
          </w:tcPr>
          <w:p w14:paraId="4C3573C8" w14:textId="77777777" w:rsidR="0079044F" w:rsidRPr="00121B7E" w:rsidRDefault="00CB6D5E"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1.2</w:t>
            </w:r>
          </w:p>
        </w:tc>
      </w:tr>
      <w:tr w:rsidR="0079044F" w:rsidRPr="00F352E1" w14:paraId="6451B107" w14:textId="77777777" w:rsidTr="00CB6D5E">
        <w:tc>
          <w:tcPr>
            <w:tcW w:w="1295"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70F4498F" w14:textId="77777777" w:rsidR="0079044F" w:rsidRPr="00121B7E" w:rsidRDefault="0079044F"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6B6F519" w14:textId="77777777" w:rsidR="0079044F" w:rsidRPr="00121B7E" w:rsidRDefault="0079044F" w:rsidP="003E78FD">
            <w:pPr>
              <w:rPr>
                <w:color w:val="000000" w:themeColor="text1"/>
              </w:rPr>
            </w:pPr>
            <w:r w:rsidRPr="00121B7E">
              <w:rPr>
                <w:rFonts w:ascii="Arial Narrow" w:hAnsi="Arial Narrow" w:cs="Arial Narrow"/>
                <w:color w:val="000000" w:themeColor="text1"/>
                <w:sz w:val="16"/>
              </w:rPr>
              <w:t>O’Connell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13E5AD8E" w14:textId="77777777" w:rsidR="0079044F" w:rsidRPr="00121B7E" w:rsidRDefault="0079044F" w:rsidP="00FB7676">
            <w:pPr>
              <w:jc w:val="center"/>
              <w:rPr>
                <w:rFonts w:ascii="Arial Narrow" w:hAnsi="Arial Narrow"/>
                <w:color w:val="000000" w:themeColor="text1"/>
                <w:sz w:val="16"/>
                <w:szCs w:val="16"/>
              </w:rPr>
            </w:pPr>
            <w:r w:rsidRPr="00121B7E">
              <w:rPr>
                <w:rFonts w:ascii="Arial Narrow" w:hAnsi="Arial Narrow"/>
                <w:color w:val="000000" w:themeColor="text1"/>
                <w:sz w:val="16"/>
                <w:szCs w:val="16"/>
              </w:rPr>
              <w:t>796718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D3FE28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6E20286"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787B268"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BD436EA"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74BA7D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C73C8F7"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70F172FC"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1.6</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79D523C8"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2.3</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00CAA1C7"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1.7</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78ACF4F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2.9</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E3F290A"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5.2</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78161A3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2F8383A"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791BBF3"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CE41991"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B5BAAA"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Pr>
          <w:p w14:paraId="37C6E526" w14:textId="77777777" w:rsidR="0079044F" w:rsidRPr="00121B7E" w:rsidRDefault="00CB6D5E"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1.9</w:t>
            </w:r>
          </w:p>
        </w:tc>
      </w:tr>
      <w:tr w:rsidR="0079044F" w:rsidRPr="00F352E1" w14:paraId="0E5A5B4F" w14:textId="77777777" w:rsidTr="00CB6D5E">
        <w:tc>
          <w:tcPr>
            <w:tcW w:w="1295"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2D014BA9" w14:textId="77777777" w:rsidR="0079044F" w:rsidRPr="00121B7E" w:rsidRDefault="0079044F"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5C05E60" w14:textId="77777777" w:rsidR="0079044F" w:rsidRPr="00121B7E" w:rsidRDefault="0079044F" w:rsidP="003E78FD">
            <w:pPr>
              <w:rPr>
                <w:color w:val="000000" w:themeColor="text1"/>
              </w:rPr>
            </w:pPr>
            <w:r w:rsidRPr="00121B7E">
              <w:rPr>
                <w:rFonts w:ascii="Arial Narrow" w:hAnsi="Arial Narrow" w:cs="Arial Narrow"/>
                <w:color w:val="000000" w:themeColor="text1"/>
                <w:sz w:val="16"/>
              </w:rPr>
              <w:t>Pioneer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5FF14364" w14:textId="77777777" w:rsidR="0079044F" w:rsidRPr="00121B7E" w:rsidRDefault="0079044F" w:rsidP="00FB7676">
            <w:pPr>
              <w:jc w:val="center"/>
              <w:rPr>
                <w:rFonts w:ascii="Arial Narrow" w:hAnsi="Arial Narrow"/>
                <w:color w:val="000000" w:themeColor="text1"/>
                <w:sz w:val="16"/>
                <w:szCs w:val="16"/>
              </w:rPr>
            </w:pPr>
            <w:r w:rsidRPr="00121B7E">
              <w:rPr>
                <w:rFonts w:ascii="Arial Narrow" w:hAnsi="Arial Narrow"/>
                <w:color w:val="000000" w:themeColor="text1"/>
                <w:sz w:val="16"/>
                <w:szCs w:val="16"/>
              </w:rPr>
              <w:t>776984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5B34E36"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ACC434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93D2C6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ADDDED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CBB7D88"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FCB9B8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11B658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23140A06"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2D1514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4329285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2.0</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CFCF62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4.7</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2F7D307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2.0</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70B9BC7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081178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36F485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2.6</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3800D6"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Pr>
          <w:p w14:paraId="1284DE8C" w14:textId="77777777" w:rsidR="0079044F" w:rsidRPr="00121B7E" w:rsidRDefault="00CB6D5E"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1.7</w:t>
            </w:r>
          </w:p>
        </w:tc>
      </w:tr>
      <w:tr w:rsidR="0079044F" w:rsidRPr="00F352E1" w14:paraId="582CD5CB" w14:textId="77777777" w:rsidTr="00CB6D5E">
        <w:tc>
          <w:tcPr>
            <w:tcW w:w="1295" w:type="dxa"/>
            <w:vMerge/>
            <w:tcBorders>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B6D8CE3" w14:textId="77777777" w:rsidR="0079044F" w:rsidRPr="00121B7E" w:rsidRDefault="0079044F"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74C2BA3A" w14:textId="77777777" w:rsidR="0079044F" w:rsidRPr="00121B7E" w:rsidRDefault="0079044F" w:rsidP="003E78FD">
            <w:pPr>
              <w:rPr>
                <w:rFonts w:ascii="Arial Narrow" w:hAnsi="Arial Narrow" w:cs="Arial Narrow"/>
                <w:color w:val="000000" w:themeColor="text1"/>
                <w:sz w:val="16"/>
              </w:rPr>
            </w:pPr>
            <w:r w:rsidRPr="00121B7E">
              <w:rPr>
                <w:rFonts w:ascii="Arial Narrow" w:hAnsi="Arial Narrow" w:cs="Arial Narrow"/>
                <w:color w:val="000000" w:themeColor="text1"/>
                <w:sz w:val="16"/>
              </w:rPr>
              <w:t>Plane Creek</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bottom"/>
          </w:tcPr>
          <w:p w14:paraId="6D6F3422" w14:textId="77777777" w:rsidR="0079044F" w:rsidRPr="00121B7E" w:rsidRDefault="0079044F" w:rsidP="00FB7676">
            <w:pPr>
              <w:jc w:val="center"/>
              <w:rPr>
                <w:rFonts w:ascii="Arial Narrow" w:hAnsi="Arial Narrow"/>
                <w:color w:val="000000" w:themeColor="text1"/>
                <w:sz w:val="16"/>
                <w:szCs w:val="16"/>
              </w:rPr>
            </w:pPr>
            <w:r w:rsidRPr="00121B7E">
              <w:rPr>
                <w:rFonts w:ascii="Arial Narrow" w:hAnsi="Arial Narrow"/>
                <w:color w:val="000000" w:themeColor="text1"/>
                <w:sz w:val="16"/>
                <w:szCs w:val="16"/>
              </w:rPr>
              <w:t>1052831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E30004C"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2885ED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4AC3CC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EA42E68"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B95015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E61D507"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A3646A1"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0F408D92"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A83CFEA"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1.4</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6DCC0E7C"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2.8</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8549A0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4.6</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70A565B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2.7</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143CFF2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314EF1C"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525AF48"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C23A26"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0.8</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Pr>
          <w:p w14:paraId="333D77E2" w14:textId="77777777" w:rsidR="0079044F" w:rsidRPr="00121B7E" w:rsidRDefault="00CB6D5E"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2.6</w:t>
            </w:r>
          </w:p>
        </w:tc>
      </w:tr>
      <w:tr w:rsidR="0079044F" w:rsidRPr="00F352E1" w14:paraId="559FA570" w14:textId="77777777" w:rsidTr="00CB6D5E">
        <w:tc>
          <w:tcPr>
            <w:tcW w:w="1295" w:type="dxa"/>
            <w:vMerge w:val="restart"/>
            <w:tcBorders>
              <w:top w:val="single" w:sz="4" w:space="0" w:color="000000"/>
              <w:left w:val="single" w:sz="4" w:space="0" w:color="000000"/>
              <w:right w:val="single" w:sz="4" w:space="0" w:color="000000"/>
            </w:tcBorders>
            <w:shd w:val="clear" w:color="auto" w:fill="FFFFFF"/>
            <w:tcMar>
              <w:top w:w="40" w:type="dxa"/>
              <w:left w:w="40" w:type="dxa"/>
              <w:bottom w:w="40" w:type="dxa"/>
              <w:right w:w="40" w:type="dxa"/>
            </w:tcMar>
            <w:vAlign w:val="center"/>
          </w:tcPr>
          <w:p w14:paraId="4B12AB88" w14:textId="77777777" w:rsidR="0079044F" w:rsidRPr="00121B7E" w:rsidRDefault="0079044F" w:rsidP="003E78FD">
            <w:pPr>
              <w:rPr>
                <w:rFonts w:ascii="Arial Narrow" w:hAnsi="Arial Narrow" w:cs="Arial Narrow"/>
                <w:color w:val="000000" w:themeColor="text1"/>
                <w:sz w:val="16"/>
              </w:rPr>
            </w:pPr>
            <w:r w:rsidRPr="00121B7E">
              <w:rPr>
                <w:rFonts w:ascii="Arial Narrow" w:hAnsi="Arial Narrow" w:cs="Arial Narrow"/>
                <w:color w:val="000000" w:themeColor="text1"/>
                <w:sz w:val="16"/>
              </w:rPr>
              <w:t>Fitzroy</w:t>
            </w: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264B51A1" w14:textId="77777777" w:rsidR="0079044F" w:rsidRPr="00121B7E" w:rsidRDefault="0079044F" w:rsidP="003E78FD">
            <w:pPr>
              <w:rPr>
                <w:rFonts w:ascii="Arial Narrow" w:hAnsi="Arial Narrow" w:cs="Arial Narrow"/>
                <w:color w:val="000000" w:themeColor="text1"/>
                <w:sz w:val="16"/>
              </w:rPr>
            </w:pPr>
            <w:r w:rsidRPr="00121B7E">
              <w:rPr>
                <w:rFonts w:ascii="Arial Narrow" w:hAnsi="Arial Narrow" w:cs="Arial Narrow"/>
                <w:color w:val="000000" w:themeColor="text1"/>
                <w:sz w:val="16"/>
              </w:rPr>
              <w:t>Water Park Creek</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287636F" w14:textId="77777777" w:rsidR="0079044F" w:rsidRPr="00121B7E" w:rsidRDefault="0079044F" w:rsidP="00FB7676">
            <w:pPr>
              <w:jc w:val="center"/>
              <w:rPr>
                <w:rFonts w:ascii="Arial Narrow" w:hAnsi="Arial Narrow" w:cs="Arial Narrow"/>
                <w:color w:val="000000" w:themeColor="text1"/>
                <w:sz w:val="16"/>
              </w:rPr>
            </w:pPr>
            <w:r w:rsidRPr="00121B7E">
              <w:rPr>
                <w:rFonts w:ascii="Arial Narrow" w:hAnsi="Arial Narrow" w:cs="Arial Narrow"/>
                <w:color w:val="000000" w:themeColor="text1"/>
                <w:sz w:val="16"/>
              </w:rPr>
              <w:t>563267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EFE59EA"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ECC2F83"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A4795B3"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746B716"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EEAB6A2"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D6D5791"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26C5331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7646A66A"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F6B2A4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1D4152F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2.8</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E19770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4.8</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61F8D79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1.5</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27443D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5.2</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615AF2C8"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2.9</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7920C988"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2.0</w:t>
            </w:r>
          </w:p>
        </w:tc>
        <w:tc>
          <w:tcPr>
            <w:tcW w:w="539"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79E04F4D"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1.8</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Pr>
          <w:p w14:paraId="2D4F4891" w14:textId="77777777" w:rsidR="0079044F" w:rsidRPr="00121B7E" w:rsidRDefault="00CB6D5E"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2.6</w:t>
            </w:r>
          </w:p>
        </w:tc>
      </w:tr>
      <w:tr w:rsidR="0079044F" w:rsidRPr="00F352E1" w14:paraId="7AE1EC19" w14:textId="77777777" w:rsidTr="00CB6D5E">
        <w:tc>
          <w:tcPr>
            <w:tcW w:w="1295"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689A8D75" w14:textId="77777777" w:rsidR="0079044F" w:rsidRPr="00121B7E" w:rsidRDefault="0079044F" w:rsidP="003E78FD">
            <w:pPr>
              <w:rPr>
                <w:color w:val="000000" w:themeColor="text1"/>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0C319E32" w14:textId="77777777" w:rsidR="0079044F" w:rsidRPr="00121B7E" w:rsidRDefault="0079044F" w:rsidP="003E78FD">
            <w:pPr>
              <w:rPr>
                <w:color w:val="000000" w:themeColor="text1"/>
              </w:rPr>
            </w:pPr>
            <w:r w:rsidRPr="00121B7E">
              <w:rPr>
                <w:rFonts w:ascii="Arial Narrow" w:hAnsi="Arial Narrow" w:cs="Arial Narrow"/>
                <w:color w:val="000000" w:themeColor="text1"/>
                <w:sz w:val="16"/>
              </w:rPr>
              <w:t>Fitzroy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668E8BB9" w14:textId="77777777" w:rsidR="0079044F" w:rsidRPr="00121B7E" w:rsidRDefault="0079044F" w:rsidP="00FB7676">
            <w:pPr>
              <w:jc w:val="center"/>
              <w:rPr>
                <w:color w:val="000000" w:themeColor="text1"/>
              </w:rPr>
            </w:pPr>
            <w:r w:rsidRPr="00121B7E">
              <w:rPr>
                <w:rFonts w:ascii="Arial Narrow" w:hAnsi="Arial Narrow" w:cs="Arial Narrow"/>
                <w:color w:val="000000" w:themeColor="text1"/>
                <w:sz w:val="16"/>
              </w:rPr>
              <w:t>2852307</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59334D1"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B5DEC0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D34819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25B53F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4B2199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0.3</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7F8C2897"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EFE234A"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0.4</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69CA03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4.4</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1BBC2D0"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0.7</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B2D7511"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4.1</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9F0B5E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13.3</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52808AD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2.8</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85AF4A2"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3.0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467A9D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0.6</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57EC7A45"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1B93F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1.3</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Pr>
          <w:p w14:paraId="0B093278" w14:textId="77777777" w:rsidR="0079044F" w:rsidRPr="00121B7E" w:rsidRDefault="00CB6D5E"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2.2</w:t>
            </w:r>
          </w:p>
        </w:tc>
      </w:tr>
      <w:tr w:rsidR="0079044F" w:rsidRPr="00F352E1" w14:paraId="51BFABC0" w14:textId="77777777" w:rsidTr="0079044F">
        <w:tc>
          <w:tcPr>
            <w:tcW w:w="1295" w:type="dxa"/>
            <w:vMerge/>
            <w:tcBorders>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82B785D" w14:textId="77777777" w:rsidR="0079044F" w:rsidRPr="00121B7E" w:rsidRDefault="0079044F" w:rsidP="003E78FD">
            <w:pPr>
              <w:rPr>
                <w:rFonts w:ascii="Arial Narrow" w:hAnsi="Arial Narrow" w:cs="Arial Narrow"/>
                <w:color w:val="000000" w:themeColor="text1"/>
                <w:sz w:val="16"/>
              </w:rPr>
            </w:pPr>
          </w:p>
        </w:tc>
        <w:tc>
          <w:tcPr>
            <w:tcW w:w="2215"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46B5563C" w14:textId="77777777" w:rsidR="0079044F" w:rsidRPr="00121B7E" w:rsidRDefault="0079044F" w:rsidP="003E78FD">
            <w:pPr>
              <w:rPr>
                <w:rFonts w:ascii="Arial Narrow" w:hAnsi="Arial Narrow" w:cs="Arial Narrow"/>
                <w:color w:val="000000" w:themeColor="text1"/>
                <w:sz w:val="16"/>
              </w:rPr>
            </w:pPr>
            <w:r w:rsidRPr="00121B7E">
              <w:rPr>
                <w:rFonts w:ascii="Arial Narrow" w:hAnsi="Arial Narrow" w:cs="Arial Narrow"/>
                <w:color w:val="000000" w:themeColor="text1"/>
                <w:sz w:val="16"/>
              </w:rPr>
              <w:t>Calliope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35BA1C75" w14:textId="77777777" w:rsidR="0079044F" w:rsidRPr="00121B7E" w:rsidRDefault="0079044F" w:rsidP="00FB7676">
            <w:pPr>
              <w:jc w:val="center"/>
              <w:rPr>
                <w:rFonts w:ascii="Arial Narrow" w:hAnsi="Arial Narrow" w:cs="Arial Narrow"/>
                <w:color w:val="000000" w:themeColor="text1"/>
                <w:sz w:val="16"/>
              </w:rPr>
            </w:pPr>
            <w:r w:rsidRPr="00121B7E">
              <w:rPr>
                <w:rFonts w:ascii="Arial Narrow" w:hAnsi="Arial Narrow" w:cs="Arial Narrow"/>
                <w:color w:val="000000" w:themeColor="text1"/>
                <w:sz w:val="16"/>
              </w:rPr>
              <w:t>152965</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3FE2741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D8D84E7"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0.1</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930823C"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3.2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05011C6E"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16AC594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0.2</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CE94D1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4D4008FB"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0.0</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2CA56EE9"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2.1</w:t>
            </w:r>
          </w:p>
        </w:tc>
        <w:tc>
          <w:tcPr>
            <w:tcW w:w="539"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14:paraId="619C9F6F"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0.9</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09D4768"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3.4</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CC931B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6.5</w:t>
            </w:r>
          </w:p>
        </w:tc>
        <w:tc>
          <w:tcPr>
            <w:tcW w:w="539" w:type="dxa"/>
            <w:tcBorders>
              <w:top w:val="single" w:sz="4" w:space="0" w:color="000000"/>
              <w:left w:val="single" w:sz="4" w:space="0" w:color="000000"/>
              <w:bottom w:val="single" w:sz="4" w:space="0" w:color="000000"/>
              <w:right w:val="single" w:sz="4" w:space="0" w:color="000000"/>
            </w:tcBorders>
            <w:shd w:val="clear" w:color="auto" w:fill="FFC000"/>
            <w:tcMar>
              <w:top w:w="40" w:type="dxa"/>
              <w:left w:w="40" w:type="dxa"/>
              <w:bottom w:w="40" w:type="dxa"/>
              <w:right w:w="40" w:type="dxa"/>
            </w:tcMar>
            <w:vAlign w:val="center"/>
          </w:tcPr>
          <w:p w14:paraId="0D84A6D4"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2.3</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500BDBA"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10.2</w:t>
            </w:r>
          </w:p>
        </w:tc>
        <w:tc>
          <w:tcPr>
            <w:tcW w:w="539" w:type="dxa"/>
            <w:tcBorders>
              <w:top w:val="single" w:sz="4" w:space="0" w:color="000000"/>
              <w:left w:val="single" w:sz="4" w:space="0" w:color="000000"/>
              <w:bottom w:val="single" w:sz="4" w:space="0" w:color="000000"/>
              <w:right w:val="single" w:sz="4" w:space="0" w:color="000000"/>
            </w:tcBorders>
            <w:shd w:val="clear" w:color="auto" w:fill="FFFF00"/>
            <w:tcMar>
              <w:top w:w="40" w:type="dxa"/>
              <w:left w:w="40" w:type="dxa"/>
              <w:bottom w:w="40" w:type="dxa"/>
              <w:right w:w="40" w:type="dxa"/>
            </w:tcMar>
            <w:vAlign w:val="center"/>
          </w:tcPr>
          <w:p w14:paraId="787B5093"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1.9</w:t>
            </w:r>
          </w:p>
        </w:tc>
        <w:tc>
          <w:tcPr>
            <w:tcW w:w="539"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DCF0699"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3.1</w:t>
            </w:r>
          </w:p>
        </w:tc>
        <w:tc>
          <w:tcPr>
            <w:tcW w:w="5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3CE456" w14:textId="77777777" w:rsidR="0079044F" w:rsidRPr="00121B7E" w:rsidRDefault="0079044F"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1.0</w:t>
            </w:r>
          </w:p>
        </w:tc>
        <w:tc>
          <w:tcPr>
            <w:tcW w:w="539" w:type="dxa"/>
            <w:tcBorders>
              <w:top w:val="single" w:sz="4" w:space="0" w:color="000000"/>
              <w:left w:val="single" w:sz="4" w:space="0" w:color="000000"/>
              <w:bottom w:val="single" w:sz="4" w:space="0" w:color="000000"/>
              <w:right w:val="single" w:sz="4" w:space="0" w:color="000000"/>
            </w:tcBorders>
            <w:shd w:val="clear" w:color="auto" w:fill="FFFFFF"/>
          </w:tcPr>
          <w:p w14:paraId="0D109F65" w14:textId="77777777" w:rsidR="0079044F" w:rsidRPr="00121B7E" w:rsidRDefault="00673D1A" w:rsidP="009149BF">
            <w:pPr>
              <w:jc w:val="center"/>
              <w:rPr>
                <w:rFonts w:ascii="Arial Narrow" w:hAnsi="Arial Narrow" w:cs="Calibri"/>
                <w:color w:val="000000" w:themeColor="text1"/>
                <w:sz w:val="16"/>
                <w:szCs w:val="16"/>
              </w:rPr>
            </w:pPr>
            <w:r w:rsidRPr="00121B7E">
              <w:rPr>
                <w:rFonts w:ascii="Arial Narrow" w:hAnsi="Arial Narrow" w:cs="Calibri"/>
                <w:color w:val="000000" w:themeColor="text1"/>
                <w:sz w:val="16"/>
                <w:szCs w:val="16"/>
              </w:rPr>
              <w:t>NA</w:t>
            </w:r>
          </w:p>
        </w:tc>
      </w:tr>
    </w:tbl>
    <w:p w14:paraId="412CB838" w14:textId="77777777" w:rsidR="00076BF0" w:rsidRPr="00477C9C" w:rsidRDefault="00C83247" w:rsidP="00606A50">
      <w:pPr>
        <w:pStyle w:val="Caption"/>
        <w:rPr>
          <w:rStyle w:val="IntenseReference"/>
          <w:rFonts w:eastAsia="SimSun"/>
          <w:color w:val="auto"/>
        </w:rPr>
      </w:pPr>
      <w:r w:rsidRPr="00F352E1">
        <w:rPr>
          <w:rStyle w:val="IntenseReference"/>
          <w:rFonts w:eastAsia="SimSun"/>
          <w:color w:val="4F81BD" w:themeColor="accent1"/>
        </w:rPr>
        <w:br w:type="page"/>
      </w:r>
      <w:bookmarkStart w:id="355" w:name="_Ref500961104"/>
      <w:bookmarkStart w:id="356" w:name="_Toc498591419"/>
      <w:r w:rsidR="00B14D94">
        <w:t xml:space="preserve">Table A1. </w:t>
      </w:r>
      <w:r w:rsidR="00B14D94">
        <w:fldChar w:fldCharType="begin"/>
      </w:r>
      <w:r w:rsidR="00B14D94">
        <w:instrText xml:space="preserve"> SEQ Table_A1. \* ARABIC </w:instrText>
      </w:r>
      <w:r w:rsidR="00B14D94">
        <w:fldChar w:fldCharType="separate"/>
      </w:r>
      <w:r w:rsidR="00A75175">
        <w:rPr>
          <w:noProof/>
        </w:rPr>
        <w:t>4</w:t>
      </w:r>
      <w:r w:rsidR="00B14D94">
        <w:fldChar w:fldCharType="end"/>
      </w:r>
      <w:bookmarkEnd w:id="355"/>
      <w:r w:rsidR="00F25963" w:rsidRPr="00F352E1" w:rsidDel="00D07CD0">
        <w:rPr>
          <w:rStyle w:val="IntenseReference"/>
          <w:rFonts w:eastAsia="SimSun"/>
          <w:color w:val="4F81BD" w:themeColor="accent1"/>
        </w:rPr>
        <w:t xml:space="preserve"> </w:t>
      </w:r>
      <w:r w:rsidR="00F25963" w:rsidRPr="00F352E1">
        <w:t xml:space="preserve">Disturbance records for each reef. </w:t>
      </w:r>
      <w:r w:rsidR="00F25963" w:rsidRPr="00E10907">
        <w:rPr>
          <w:rStyle w:val="IntenseReference"/>
          <w:rFonts w:eastAsia="SimSun"/>
        </w:rPr>
        <w:t xml:space="preserve">Tabulated losses of coral cover are calculated using the methods described in section 4.4 of this report and represent the proportion of hard coral lost </w:t>
      </w:r>
      <w:r w:rsidR="007772EB">
        <w:rPr>
          <w:rStyle w:val="IntenseReference"/>
          <w:rFonts w:eastAsia="SimSun"/>
        </w:rPr>
        <w:t xml:space="preserve">compared to projected cover based on previous observations </w:t>
      </w:r>
      <w:r w:rsidR="00F25963" w:rsidRPr="00E10907">
        <w:rPr>
          <w:rStyle w:val="IntenseReference"/>
          <w:rFonts w:eastAsia="SimSun"/>
        </w:rPr>
        <w:t>as oppo</w:t>
      </w:r>
      <w:r w:rsidR="00F25963" w:rsidRPr="00A938B9">
        <w:rPr>
          <w:rStyle w:val="IntenseReference"/>
          <w:rFonts w:eastAsia="SimSun"/>
        </w:rPr>
        <w:t>sed t</w:t>
      </w:r>
      <w:r w:rsidR="007772EB">
        <w:rPr>
          <w:rStyle w:val="IntenseReference"/>
          <w:rFonts w:eastAsia="SimSun"/>
        </w:rPr>
        <w:t>o reduction in observed cover that does</w:t>
      </w:r>
      <w:r w:rsidR="003406B5">
        <w:rPr>
          <w:rStyle w:val="IntenseReference"/>
          <w:rFonts w:eastAsia="SimSun"/>
        </w:rPr>
        <w:t xml:space="preserve"> not account for expected increase in cover as a result of growth between surveys. * represent cases where bleaching was the likely primary cause of loss although other factors likely contributed</w:t>
      </w:r>
      <w:r w:rsidR="00B62E9A">
        <w:rPr>
          <w:rStyle w:val="IntenseReference"/>
          <w:rFonts w:eastAsia="SimSun"/>
        </w:rPr>
        <w:t xml:space="preserve">, ** bleaching likely </w:t>
      </w:r>
      <w:r w:rsidR="00003C57">
        <w:rPr>
          <w:rStyle w:val="IntenseReference"/>
          <w:rFonts w:eastAsia="SimSun"/>
        </w:rPr>
        <w:t>however</w:t>
      </w:r>
      <w:r w:rsidR="00B62E9A">
        <w:rPr>
          <w:rStyle w:val="IntenseReference"/>
          <w:rFonts w:eastAsia="SimSun"/>
        </w:rPr>
        <w:t xml:space="preserve"> impact confounded by other severe disturbance</w:t>
      </w:r>
      <w:r w:rsidR="00F25963" w:rsidRPr="00A938B9">
        <w:rPr>
          <w:rStyle w:val="IntenseReference"/>
          <w:rFonts w:eastAsia="SimSun"/>
        </w:rPr>
        <w:t>.</w:t>
      </w:r>
      <w:bookmarkEnd w:id="356"/>
      <w:r w:rsidR="003406B5">
        <w:rPr>
          <w:rStyle w:val="IntenseReference"/>
          <w:rFonts w:eastAsia="SimSun"/>
        </w:rPr>
        <w:t xml:space="preserve"> Bleaching</w:t>
      </w:r>
      <w:r w:rsidR="00104A65">
        <w:rPr>
          <w:rStyle w:val="IntenseReference"/>
          <w:rFonts w:eastAsia="SimSun"/>
        </w:rPr>
        <w:t xml:space="preserve"> events that occurred beyond the span of available time-series indicated by n/a</w:t>
      </w:r>
      <w:r w:rsidR="003406B5">
        <w:rPr>
          <w:rStyle w:val="IntenseReference"/>
          <w:rFonts w:eastAsia="SimSun"/>
        </w:rPr>
        <w:t>.</w:t>
      </w:r>
    </w:p>
    <w:tbl>
      <w:tblPr>
        <w:tblpPr w:leftFromText="180" w:rightFromText="180" w:vertAnchor="text" w:tblpX="-22" w:tblpY="1"/>
        <w:tblOverlap w:val="never"/>
        <w:tblW w:w="1357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Caption w:val="Table A1. 4 Disturbance records for each reef. "/>
        <w:tblDescription w:val="A table presenting the proportional loss of coral cover at each monitored reef that has been asigned to an accute disturbance"/>
      </w:tblPr>
      <w:tblGrid>
        <w:gridCol w:w="708"/>
        <w:gridCol w:w="1843"/>
        <w:gridCol w:w="976"/>
        <w:gridCol w:w="851"/>
        <w:gridCol w:w="835"/>
        <w:gridCol w:w="8364"/>
      </w:tblGrid>
      <w:tr w:rsidR="00A57ADA" w:rsidRPr="00477C9C" w14:paraId="676D13C0" w14:textId="77777777" w:rsidTr="00840136">
        <w:trPr>
          <w:cantSplit/>
          <w:trHeight w:val="378"/>
        </w:trPr>
        <w:tc>
          <w:tcPr>
            <w:tcW w:w="708" w:type="dxa"/>
            <w:vMerge w:val="restart"/>
            <w:tcBorders>
              <w:top w:val="single" w:sz="12" w:space="0" w:color="auto"/>
            </w:tcBorders>
            <w:shd w:val="clear" w:color="auto" w:fill="F2F2F2" w:themeFill="background1" w:themeFillShade="F2"/>
            <w:tcMar>
              <w:top w:w="16" w:type="dxa"/>
              <w:left w:w="16" w:type="dxa"/>
              <w:bottom w:w="0" w:type="dxa"/>
              <w:right w:w="16" w:type="dxa"/>
            </w:tcMar>
            <w:textDirection w:val="btLr"/>
            <w:vAlign w:val="center"/>
          </w:tcPr>
          <w:p w14:paraId="6BA42385" w14:textId="77777777" w:rsidR="00A57ADA" w:rsidRPr="00477C9C" w:rsidRDefault="00A57ADA" w:rsidP="00040878">
            <w:pPr>
              <w:jc w:val="center"/>
              <w:rPr>
                <w:rStyle w:val="IntenseReference"/>
                <w:rFonts w:eastAsia="Arial Unicode MS"/>
                <w:color w:val="auto"/>
              </w:rPr>
            </w:pPr>
            <w:r>
              <w:rPr>
                <w:rStyle w:val="IntenseReference"/>
                <w:color w:val="auto"/>
              </w:rPr>
              <w:t>Sub-Region</w:t>
            </w:r>
          </w:p>
        </w:tc>
        <w:tc>
          <w:tcPr>
            <w:tcW w:w="1843" w:type="dxa"/>
            <w:vMerge w:val="restart"/>
            <w:tcBorders>
              <w:top w:val="single" w:sz="12" w:space="0" w:color="auto"/>
            </w:tcBorders>
            <w:shd w:val="clear" w:color="auto" w:fill="F2F2F2" w:themeFill="background1" w:themeFillShade="F2"/>
            <w:tcMar>
              <w:top w:w="16" w:type="dxa"/>
              <w:left w:w="16" w:type="dxa"/>
              <w:bottom w:w="0" w:type="dxa"/>
              <w:right w:w="16" w:type="dxa"/>
            </w:tcMar>
            <w:vAlign w:val="center"/>
          </w:tcPr>
          <w:p w14:paraId="12F383BB" w14:textId="77777777" w:rsidR="00A57ADA" w:rsidRPr="00477C9C" w:rsidRDefault="00A57ADA" w:rsidP="00040878">
            <w:pPr>
              <w:jc w:val="center"/>
              <w:rPr>
                <w:rStyle w:val="IntenseReference"/>
                <w:rFonts w:eastAsia="Arial Unicode MS"/>
                <w:color w:val="auto"/>
              </w:rPr>
            </w:pPr>
            <w:r w:rsidRPr="00477C9C">
              <w:rPr>
                <w:rStyle w:val="IntenseReference"/>
                <w:color w:val="auto"/>
              </w:rPr>
              <w:t>Reef</w:t>
            </w:r>
          </w:p>
        </w:tc>
        <w:tc>
          <w:tcPr>
            <w:tcW w:w="2662" w:type="dxa"/>
            <w:gridSpan w:val="3"/>
            <w:tcBorders>
              <w:top w:val="single" w:sz="12" w:space="0" w:color="auto"/>
            </w:tcBorders>
            <w:shd w:val="clear" w:color="auto" w:fill="F2F2F2" w:themeFill="background1" w:themeFillShade="F2"/>
          </w:tcPr>
          <w:p w14:paraId="23114B51" w14:textId="77777777" w:rsidR="00A57ADA" w:rsidRPr="00477C9C" w:rsidRDefault="00A57ADA" w:rsidP="00040878">
            <w:pPr>
              <w:jc w:val="center"/>
              <w:rPr>
                <w:rStyle w:val="IntenseReference"/>
                <w:color w:val="auto"/>
              </w:rPr>
            </w:pPr>
            <w:r w:rsidRPr="00477C9C">
              <w:rPr>
                <w:rStyle w:val="IntenseReference"/>
                <w:color w:val="auto"/>
              </w:rPr>
              <w:t>Bleaching</w:t>
            </w:r>
          </w:p>
        </w:tc>
        <w:tc>
          <w:tcPr>
            <w:tcW w:w="8364" w:type="dxa"/>
            <w:vMerge w:val="restart"/>
            <w:tcBorders>
              <w:top w:val="single" w:sz="12" w:space="0" w:color="auto"/>
            </w:tcBorders>
            <w:shd w:val="clear" w:color="auto" w:fill="F2F2F2" w:themeFill="background1" w:themeFillShade="F2"/>
            <w:tcMar>
              <w:top w:w="16" w:type="dxa"/>
              <w:left w:w="16" w:type="dxa"/>
              <w:bottom w:w="0" w:type="dxa"/>
              <w:right w:w="16" w:type="dxa"/>
            </w:tcMar>
            <w:vAlign w:val="center"/>
          </w:tcPr>
          <w:p w14:paraId="6983269C" w14:textId="77777777" w:rsidR="00A57ADA" w:rsidRPr="00477C9C" w:rsidRDefault="00A57ADA" w:rsidP="00040878">
            <w:pPr>
              <w:jc w:val="center"/>
              <w:rPr>
                <w:rStyle w:val="IntenseReference"/>
                <w:rFonts w:eastAsia="Arial Unicode MS"/>
                <w:color w:val="auto"/>
              </w:rPr>
            </w:pPr>
            <w:r w:rsidRPr="00477C9C">
              <w:rPr>
                <w:rStyle w:val="IntenseReference"/>
                <w:color w:val="auto"/>
              </w:rPr>
              <w:t>Other recorded disturbances</w:t>
            </w:r>
          </w:p>
        </w:tc>
      </w:tr>
      <w:tr w:rsidR="00A57ADA" w:rsidRPr="00477C9C" w14:paraId="33319F9E" w14:textId="77777777" w:rsidTr="00A57ADA">
        <w:trPr>
          <w:cantSplit/>
          <w:trHeight w:val="547"/>
        </w:trPr>
        <w:tc>
          <w:tcPr>
            <w:tcW w:w="708" w:type="dxa"/>
            <w:vMerge/>
            <w:vAlign w:val="center"/>
          </w:tcPr>
          <w:p w14:paraId="5E9B87DC" w14:textId="77777777" w:rsidR="00A57ADA" w:rsidRPr="00477C9C" w:rsidRDefault="00A57ADA" w:rsidP="0031416F">
            <w:pPr>
              <w:rPr>
                <w:rStyle w:val="IntenseReference"/>
                <w:rFonts w:eastAsia="Arial Unicode MS"/>
                <w:color w:val="auto"/>
              </w:rPr>
            </w:pPr>
          </w:p>
        </w:tc>
        <w:tc>
          <w:tcPr>
            <w:tcW w:w="1843" w:type="dxa"/>
            <w:vMerge/>
            <w:vAlign w:val="center"/>
          </w:tcPr>
          <w:p w14:paraId="0FB7FE55" w14:textId="77777777" w:rsidR="00A57ADA" w:rsidRPr="00477C9C" w:rsidRDefault="00A57ADA" w:rsidP="0031416F">
            <w:pPr>
              <w:rPr>
                <w:rStyle w:val="IntenseReference"/>
                <w:rFonts w:eastAsia="Arial Unicode MS"/>
                <w:color w:val="auto"/>
              </w:rPr>
            </w:pPr>
          </w:p>
        </w:tc>
        <w:tc>
          <w:tcPr>
            <w:tcW w:w="976" w:type="dxa"/>
            <w:shd w:val="clear" w:color="auto" w:fill="F2F2F2" w:themeFill="background1" w:themeFillShade="F2"/>
            <w:tcMar>
              <w:top w:w="16" w:type="dxa"/>
              <w:left w:w="16" w:type="dxa"/>
              <w:bottom w:w="0" w:type="dxa"/>
              <w:right w:w="16" w:type="dxa"/>
            </w:tcMar>
            <w:vAlign w:val="center"/>
          </w:tcPr>
          <w:p w14:paraId="20A4BC93" w14:textId="77777777" w:rsidR="00A57ADA" w:rsidRPr="00477C9C" w:rsidRDefault="00A57ADA" w:rsidP="0031416F">
            <w:pPr>
              <w:jc w:val="center"/>
              <w:rPr>
                <w:rStyle w:val="IntenseReference"/>
                <w:rFonts w:eastAsia="Arial Unicode MS"/>
                <w:color w:val="auto"/>
              </w:rPr>
            </w:pPr>
            <w:r w:rsidRPr="00477C9C">
              <w:rPr>
                <w:rStyle w:val="IntenseReference"/>
                <w:color w:val="auto"/>
              </w:rPr>
              <w:t>1998</w:t>
            </w:r>
          </w:p>
        </w:tc>
        <w:tc>
          <w:tcPr>
            <w:tcW w:w="851" w:type="dxa"/>
            <w:shd w:val="clear" w:color="auto" w:fill="F2F2F2" w:themeFill="background1" w:themeFillShade="F2"/>
            <w:vAlign w:val="center"/>
          </w:tcPr>
          <w:p w14:paraId="6AE327FE" w14:textId="77777777" w:rsidR="00A57ADA" w:rsidRPr="00477C9C" w:rsidRDefault="00A57ADA" w:rsidP="0031416F">
            <w:pPr>
              <w:jc w:val="center"/>
              <w:rPr>
                <w:rStyle w:val="IntenseReference"/>
                <w:rFonts w:eastAsia="Arial Unicode MS"/>
                <w:color w:val="auto"/>
              </w:rPr>
            </w:pPr>
            <w:r w:rsidRPr="00477C9C">
              <w:rPr>
                <w:rStyle w:val="IntenseReference"/>
                <w:color w:val="auto"/>
              </w:rPr>
              <w:t>2002</w:t>
            </w:r>
          </w:p>
        </w:tc>
        <w:tc>
          <w:tcPr>
            <w:tcW w:w="835" w:type="dxa"/>
            <w:shd w:val="clear" w:color="auto" w:fill="F2F2F2" w:themeFill="background1" w:themeFillShade="F2"/>
            <w:vAlign w:val="center"/>
          </w:tcPr>
          <w:p w14:paraId="27823E40" w14:textId="77777777" w:rsidR="00A57ADA" w:rsidRPr="00477C9C" w:rsidRDefault="00A57ADA" w:rsidP="0031416F">
            <w:pPr>
              <w:jc w:val="center"/>
              <w:rPr>
                <w:rStyle w:val="IntenseReference"/>
                <w:rFonts w:eastAsia="Arial Unicode MS"/>
                <w:color w:val="auto"/>
              </w:rPr>
            </w:pPr>
            <w:r w:rsidRPr="00477C9C">
              <w:rPr>
                <w:rStyle w:val="IntenseReference"/>
                <w:rFonts w:eastAsia="Arial Unicode MS"/>
                <w:color w:val="auto"/>
              </w:rPr>
              <w:t>20</w:t>
            </w:r>
            <w:r>
              <w:rPr>
                <w:rStyle w:val="IntenseReference"/>
                <w:rFonts w:eastAsia="Arial Unicode MS"/>
                <w:color w:val="auto"/>
              </w:rPr>
              <w:t>17</w:t>
            </w:r>
          </w:p>
        </w:tc>
        <w:tc>
          <w:tcPr>
            <w:tcW w:w="8364" w:type="dxa"/>
            <w:vMerge/>
            <w:vAlign w:val="center"/>
          </w:tcPr>
          <w:p w14:paraId="4A9AE435" w14:textId="77777777" w:rsidR="00A57ADA" w:rsidRPr="00477C9C" w:rsidRDefault="00A57ADA" w:rsidP="0031416F">
            <w:pPr>
              <w:rPr>
                <w:rStyle w:val="IntenseReference"/>
                <w:rFonts w:eastAsia="Arial Unicode MS"/>
                <w:color w:val="auto"/>
              </w:rPr>
            </w:pPr>
          </w:p>
        </w:tc>
      </w:tr>
      <w:tr w:rsidR="00840136" w:rsidRPr="00477C9C" w14:paraId="66F6FB82" w14:textId="77777777" w:rsidTr="00840136">
        <w:trPr>
          <w:cantSplit/>
          <w:trHeight w:val="491"/>
        </w:trPr>
        <w:tc>
          <w:tcPr>
            <w:tcW w:w="708" w:type="dxa"/>
            <w:vMerge w:val="restart"/>
            <w:tcMar>
              <w:top w:w="16" w:type="dxa"/>
              <w:left w:w="16" w:type="dxa"/>
              <w:bottom w:w="0" w:type="dxa"/>
              <w:right w:w="16" w:type="dxa"/>
            </w:tcMar>
            <w:textDirection w:val="btLr"/>
            <w:vAlign w:val="center"/>
          </w:tcPr>
          <w:p w14:paraId="11C54C7D" w14:textId="77777777" w:rsidR="00840136" w:rsidRPr="00477C9C" w:rsidRDefault="00840136" w:rsidP="0031416F">
            <w:pPr>
              <w:jc w:val="center"/>
              <w:rPr>
                <w:rStyle w:val="IntenseReference"/>
                <w:color w:val="auto"/>
              </w:rPr>
            </w:pPr>
            <w:r w:rsidRPr="00477C9C">
              <w:rPr>
                <w:rStyle w:val="IntenseReference"/>
                <w:color w:val="auto"/>
              </w:rPr>
              <w:t>Barron</w:t>
            </w:r>
          </w:p>
          <w:p w14:paraId="591413F3" w14:textId="77777777" w:rsidR="00840136" w:rsidRPr="00477C9C" w:rsidRDefault="00840136" w:rsidP="0031416F">
            <w:pPr>
              <w:jc w:val="center"/>
              <w:rPr>
                <w:rStyle w:val="IntenseReference"/>
                <w:rFonts w:eastAsia="Arial Unicode MS"/>
                <w:color w:val="auto"/>
              </w:rPr>
            </w:pPr>
            <w:r w:rsidRPr="00477C9C">
              <w:rPr>
                <w:rStyle w:val="IntenseReference"/>
                <w:color w:val="auto"/>
              </w:rPr>
              <w:t>Daintree</w:t>
            </w:r>
          </w:p>
        </w:tc>
        <w:tc>
          <w:tcPr>
            <w:tcW w:w="1843" w:type="dxa"/>
            <w:tcMar>
              <w:top w:w="16" w:type="dxa"/>
              <w:left w:w="16" w:type="dxa"/>
              <w:bottom w:w="0" w:type="dxa"/>
              <w:right w:w="16" w:type="dxa"/>
            </w:tcMar>
            <w:vAlign w:val="bottom"/>
          </w:tcPr>
          <w:p w14:paraId="724E487C" w14:textId="77777777" w:rsidR="00840136" w:rsidRPr="00477C9C" w:rsidRDefault="00840136" w:rsidP="0031416F">
            <w:pPr>
              <w:ind w:left="200"/>
              <w:rPr>
                <w:rStyle w:val="IntenseReference"/>
                <w:rFonts w:eastAsia="Arial Unicode MS"/>
                <w:color w:val="auto"/>
              </w:rPr>
            </w:pPr>
            <w:r w:rsidRPr="00477C9C">
              <w:rPr>
                <w:rStyle w:val="IntenseReference"/>
                <w:color w:val="auto"/>
              </w:rPr>
              <w:t>Snapper North</w:t>
            </w:r>
          </w:p>
        </w:tc>
        <w:tc>
          <w:tcPr>
            <w:tcW w:w="976" w:type="dxa"/>
            <w:tcMar>
              <w:top w:w="16" w:type="dxa"/>
              <w:left w:w="16" w:type="dxa"/>
              <w:bottom w:w="0" w:type="dxa"/>
              <w:right w:w="16" w:type="dxa"/>
            </w:tcMar>
            <w:vAlign w:val="center"/>
          </w:tcPr>
          <w:p w14:paraId="403FBCE0" w14:textId="77777777" w:rsidR="00840136" w:rsidRPr="00477C9C" w:rsidRDefault="00840136" w:rsidP="0031416F">
            <w:pPr>
              <w:jc w:val="center"/>
              <w:rPr>
                <w:rStyle w:val="IntenseReference"/>
                <w:rFonts w:eastAsia="Arial Unicode MS"/>
                <w:color w:val="auto"/>
                <w:sz w:val="18"/>
                <w:szCs w:val="18"/>
              </w:rPr>
            </w:pPr>
            <w:r w:rsidRPr="00477C9C">
              <w:rPr>
                <w:rStyle w:val="IntenseReference"/>
                <w:color w:val="auto"/>
                <w:sz w:val="18"/>
                <w:szCs w:val="18"/>
              </w:rPr>
              <w:t>0.92 (19%)</w:t>
            </w:r>
          </w:p>
        </w:tc>
        <w:tc>
          <w:tcPr>
            <w:tcW w:w="851" w:type="dxa"/>
            <w:vAlign w:val="center"/>
          </w:tcPr>
          <w:p w14:paraId="683DB2B7" w14:textId="77777777" w:rsidR="00840136" w:rsidRPr="00477C9C" w:rsidRDefault="00840136" w:rsidP="0031416F">
            <w:pPr>
              <w:jc w:val="center"/>
              <w:rPr>
                <w:rStyle w:val="IntenseReference"/>
                <w:rFonts w:eastAsia="Arial Unicode MS"/>
                <w:color w:val="auto"/>
                <w:sz w:val="18"/>
                <w:szCs w:val="18"/>
              </w:rPr>
            </w:pPr>
            <w:r w:rsidRPr="00477C9C">
              <w:rPr>
                <w:rStyle w:val="IntenseReference"/>
                <w:color w:val="auto"/>
                <w:sz w:val="18"/>
                <w:szCs w:val="18"/>
              </w:rPr>
              <w:t>0.95 (Nil)</w:t>
            </w:r>
          </w:p>
        </w:tc>
        <w:tc>
          <w:tcPr>
            <w:tcW w:w="835" w:type="dxa"/>
            <w:vAlign w:val="center"/>
          </w:tcPr>
          <w:p w14:paraId="21FE126A" w14:textId="77777777" w:rsidR="00840136" w:rsidRPr="00477C9C" w:rsidRDefault="00840136" w:rsidP="0031416F">
            <w:pPr>
              <w:jc w:val="center"/>
              <w:rPr>
                <w:rStyle w:val="IntenseReference"/>
                <w:rFonts w:eastAsia="Arial Unicode MS"/>
                <w:color w:val="auto"/>
                <w:sz w:val="18"/>
                <w:szCs w:val="18"/>
              </w:rPr>
            </w:pPr>
            <w:r>
              <w:rPr>
                <w:rStyle w:val="IntenseReference"/>
                <w:color w:val="auto"/>
                <w:sz w:val="18"/>
                <w:szCs w:val="18"/>
              </w:rPr>
              <w:t>58</w:t>
            </w:r>
            <w:r w:rsidRPr="00477C9C">
              <w:rPr>
                <w:rStyle w:val="IntenseReference"/>
                <w:color w:val="auto"/>
                <w:sz w:val="18"/>
                <w:szCs w:val="18"/>
              </w:rPr>
              <w:t xml:space="preserve">% </w:t>
            </w:r>
            <w:r>
              <w:rPr>
                <w:rStyle w:val="IntenseReference"/>
                <w:color w:val="auto"/>
                <w:sz w:val="18"/>
                <w:szCs w:val="18"/>
              </w:rPr>
              <w:t>(</w:t>
            </w:r>
            <w:r w:rsidRPr="00477C9C">
              <w:rPr>
                <w:rStyle w:val="IntenseReference"/>
                <w:color w:val="auto"/>
                <w:sz w:val="18"/>
                <w:szCs w:val="18"/>
              </w:rPr>
              <w:t>2m</w:t>
            </w:r>
            <w:r>
              <w:rPr>
                <w:rStyle w:val="IntenseReference"/>
                <w:color w:val="auto"/>
                <w:sz w:val="18"/>
                <w:szCs w:val="18"/>
              </w:rPr>
              <w:t>)</w:t>
            </w:r>
            <w:r w:rsidRPr="00477C9C">
              <w:rPr>
                <w:rStyle w:val="IntenseReference"/>
                <w:color w:val="auto"/>
                <w:sz w:val="18"/>
                <w:szCs w:val="18"/>
              </w:rPr>
              <w:t xml:space="preserve"> </w:t>
            </w:r>
            <w:r>
              <w:rPr>
                <w:rStyle w:val="IntenseReference"/>
                <w:color w:val="auto"/>
                <w:sz w:val="18"/>
                <w:szCs w:val="18"/>
              </w:rPr>
              <w:t>38%</w:t>
            </w:r>
            <w:r w:rsidRPr="00477C9C">
              <w:rPr>
                <w:rStyle w:val="IntenseReference"/>
                <w:color w:val="auto"/>
                <w:sz w:val="18"/>
                <w:szCs w:val="18"/>
              </w:rPr>
              <w:t xml:space="preserve">t </w:t>
            </w:r>
            <w:r>
              <w:rPr>
                <w:rStyle w:val="IntenseReference"/>
                <w:color w:val="auto"/>
                <w:sz w:val="18"/>
                <w:szCs w:val="18"/>
              </w:rPr>
              <w:t>(</w:t>
            </w:r>
            <w:r w:rsidRPr="00477C9C">
              <w:rPr>
                <w:rStyle w:val="IntenseReference"/>
                <w:color w:val="auto"/>
                <w:sz w:val="18"/>
                <w:szCs w:val="18"/>
              </w:rPr>
              <w:t>5m)</w:t>
            </w:r>
          </w:p>
        </w:tc>
        <w:tc>
          <w:tcPr>
            <w:tcW w:w="8364" w:type="dxa"/>
            <w:tcMar>
              <w:top w:w="16" w:type="dxa"/>
              <w:left w:w="16" w:type="dxa"/>
              <w:bottom w:w="0" w:type="dxa"/>
              <w:right w:w="16" w:type="dxa"/>
            </w:tcMar>
            <w:vAlign w:val="bottom"/>
          </w:tcPr>
          <w:p w14:paraId="2B15309F" w14:textId="77777777" w:rsidR="00840136" w:rsidRPr="00477C9C" w:rsidRDefault="00840136" w:rsidP="003A1283">
            <w:pPr>
              <w:spacing w:after="0"/>
              <w:rPr>
                <w:rStyle w:val="IntenseReference"/>
                <w:rFonts w:eastAsia="Arial Unicode MS"/>
                <w:color w:val="auto"/>
                <w:sz w:val="18"/>
                <w:szCs w:val="18"/>
              </w:rPr>
            </w:pPr>
            <w:r w:rsidRPr="00477C9C">
              <w:rPr>
                <w:rStyle w:val="IntenseReference"/>
                <w:color w:val="auto"/>
                <w:sz w:val="18"/>
                <w:szCs w:val="18"/>
              </w:rPr>
              <w:t>Flood 1996 (20%), Cyclone</w:t>
            </w:r>
            <w:r>
              <w:rPr>
                <w:rStyle w:val="IntenseReference"/>
                <w:color w:val="auto"/>
                <w:sz w:val="18"/>
                <w:szCs w:val="18"/>
              </w:rPr>
              <w:t xml:space="preserve"> Rona 1999 (74%), Storm 2009 (14</w:t>
            </w:r>
            <w:r w:rsidRPr="00477C9C">
              <w:rPr>
                <w:rStyle w:val="IntenseReference"/>
                <w:color w:val="auto"/>
                <w:sz w:val="18"/>
                <w:szCs w:val="18"/>
              </w:rPr>
              <w:t>% at</w:t>
            </w:r>
            <w:r>
              <w:rPr>
                <w:rStyle w:val="IntenseReference"/>
                <w:color w:val="auto"/>
                <w:sz w:val="18"/>
                <w:szCs w:val="18"/>
              </w:rPr>
              <w:t xml:space="preserve"> 2 m 8% at 5 m),Disease 2011 (21</w:t>
            </w:r>
            <w:r w:rsidRPr="00477C9C">
              <w:rPr>
                <w:rStyle w:val="IntenseReference"/>
                <w:color w:val="auto"/>
                <w:sz w:val="18"/>
                <w:szCs w:val="18"/>
              </w:rPr>
              <w:t xml:space="preserve">% at 2 m, 27% at 5 </w:t>
            </w:r>
            <w:r>
              <w:rPr>
                <w:rStyle w:val="IntenseReference"/>
                <w:color w:val="auto"/>
                <w:sz w:val="18"/>
                <w:szCs w:val="18"/>
              </w:rPr>
              <w:t xml:space="preserve">m), </w:t>
            </w:r>
            <w:r w:rsidR="003A1283">
              <w:rPr>
                <w:rStyle w:val="IntenseReference"/>
                <w:color w:val="auto"/>
                <w:sz w:val="18"/>
                <w:szCs w:val="18"/>
              </w:rPr>
              <w:t>COTS</w:t>
            </w:r>
            <w:r>
              <w:rPr>
                <w:rStyle w:val="IntenseReference"/>
                <w:color w:val="auto"/>
                <w:sz w:val="18"/>
                <w:szCs w:val="18"/>
              </w:rPr>
              <w:t xml:space="preserve"> 2012-2013 (7</w:t>
            </w:r>
            <w:r w:rsidRPr="00477C9C">
              <w:rPr>
                <w:rStyle w:val="IntenseReference"/>
                <w:color w:val="auto"/>
                <w:sz w:val="18"/>
                <w:szCs w:val="18"/>
              </w:rPr>
              <w:t>8% at 2 m, 66% at 5 m), Cyclone Ita 12</w:t>
            </w:r>
            <w:r w:rsidRPr="00477C9C">
              <w:rPr>
                <w:rStyle w:val="IntenseReference"/>
                <w:color w:val="auto"/>
                <w:sz w:val="18"/>
                <w:szCs w:val="18"/>
                <w:vertAlign w:val="superscript"/>
              </w:rPr>
              <w:t>th</w:t>
            </w:r>
            <w:r w:rsidRPr="00477C9C">
              <w:rPr>
                <w:rStyle w:val="IntenseReference"/>
                <w:color w:val="auto"/>
                <w:sz w:val="18"/>
                <w:szCs w:val="18"/>
              </w:rPr>
              <w:t xml:space="preserve"> April 2014 (90% at 2 m, </w:t>
            </w:r>
            <w:r>
              <w:rPr>
                <w:rStyle w:val="IntenseReference"/>
                <w:color w:val="auto"/>
                <w:sz w:val="18"/>
                <w:szCs w:val="18"/>
              </w:rPr>
              <w:t>50</w:t>
            </w:r>
            <w:r w:rsidRPr="00477C9C">
              <w:rPr>
                <w:rStyle w:val="IntenseReference"/>
                <w:color w:val="auto"/>
                <w:sz w:val="18"/>
                <w:szCs w:val="18"/>
              </w:rPr>
              <w:t xml:space="preserve">% at 5 m) – possible flood associated and </w:t>
            </w:r>
            <w:r w:rsidR="003A1283">
              <w:rPr>
                <w:rStyle w:val="IntenseReference"/>
                <w:color w:val="auto"/>
                <w:sz w:val="18"/>
                <w:szCs w:val="18"/>
              </w:rPr>
              <w:t>COTS</w:t>
            </w:r>
            <w:r>
              <w:rPr>
                <w:rStyle w:val="IntenseReference"/>
                <w:color w:val="auto"/>
                <w:sz w:val="18"/>
                <w:szCs w:val="18"/>
              </w:rPr>
              <w:t xml:space="preserve"> 2014</w:t>
            </w:r>
            <w:r w:rsidRPr="00477C9C">
              <w:rPr>
                <w:rStyle w:val="IntenseReference"/>
                <w:color w:val="auto"/>
                <w:sz w:val="18"/>
                <w:szCs w:val="18"/>
              </w:rPr>
              <w:t xml:space="preserve"> </w:t>
            </w:r>
          </w:p>
        </w:tc>
      </w:tr>
      <w:tr w:rsidR="00840136" w:rsidRPr="00477C9C" w14:paraId="1C7BC907" w14:textId="77777777" w:rsidTr="00840136">
        <w:trPr>
          <w:cantSplit/>
          <w:trHeight w:val="447"/>
        </w:trPr>
        <w:tc>
          <w:tcPr>
            <w:tcW w:w="708" w:type="dxa"/>
            <w:vMerge/>
            <w:vAlign w:val="center"/>
          </w:tcPr>
          <w:p w14:paraId="2C1B8976" w14:textId="77777777" w:rsidR="00840136" w:rsidRPr="00477C9C" w:rsidRDefault="00840136" w:rsidP="0031416F">
            <w:pPr>
              <w:rPr>
                <w:rStyle w:val="IntenseReference"/>
                <w:rFonts w:eastAsia="Arial Unicode MS"/>
                <w:color w:val="auto"/>
              </w:rPr>
            </w:pPr>
          </w:p>
        </w:tc>
        <w:tc>
          <w:tcPr>
            <w:tcW w:w="1843" w:type="dxa"/>
            <w:tcMar>
              <w:top w:w="16" w:type="dxa"/>
              <w:left w:w="16" w:type="dxa"/>
              <w:bottom w:w="0" w:type="dxa"/>
              <w:right w:w="16" w:type="dxa"/>
            </w:tcMar>
            <w:vAlign w:val="bottom"/>
          </w:tcPr>
          <w:p w14:paraId="37754889" w14:textId="77777777" w:rsidR="00840136" w:rsidRPr="00477C9C" w:rsidRDefault="00840136" w:rsidP="0031416F">
            <w:pPr>
              <w:ind w:left="200"/>
              <w:rPr>
                <w:rStyle w:val="IntenseReference"/>
                <w:rFonts w:eastAsia="Arial Unicode MS"/>
                <w:color w:val="auto"/>
              </w:rPr>
            </w:pPr>
            <w:r w:rsidRPr="00477C9C">
              <w:rPr>
                <w:rStyle w:val="IntenseReference"/>
                <w:color w:val="auto"/>
              </w:rPr>
              <w:t>Snapper South</w:t>
            </w:r>
          </w:p>
        </w:tc>
        <w:tc>
          <w:tcPr>
            <w:tcW w:w="976" w:type="dxa"/>
            <w:tcMar>
              <w:top w:w="16" w:type="dxa"/>
              <w:left w:w="16" w:type="dxa"/>
              <w:bottom w:w="0" w:type="dxa"/>
              <w:right w:w="16" w:type="dxa"/>
            </w:tcMar>
            <w:vAlign w:val="center"/>
          </w:tcPr>
          <w:p w14:paraId="296C935A" w14:textId="77777777" w:rsidR="00840136" w:rsidRPr="00477C9C" w:rsidRDefault="00840136" w:rsidP="0031416F">
            <w:pPr>
              <w:jc w:val="center"/>
              <w:rPr>
                <w:rStyle w:val="IntenseReference"/>
                <w:rFonts w:eastAsia="Arial Unicode MS"/>
                <w:color w:val="auto"/>
                <w:sz w:val="18"/>
                <w:szCs w:val="18"/>
              </w:rPr>
            </w:pPr>
            <w:r w:rsidRPr="00477C9C">
              <w:rPr>
                <w:rStyle w:val="IntenseReference"/>
                <w:color w:val="auto"/>
                <w:sz w:val="18"/>
                <w:szCs w:val="18"/>
              </w:rPr>
              <w:t>0.92 (Nil)</w:t>
            </w:r>
          </w:p>
        </w:tc>
        <w:tc>
          <w:tcPr>
            <w:tcW w:w="851" w:type="dxa"/>
            <w:vAlign w:val="center"/>
          </w:tcPr>
          <w:p w14:paraId="455DA688" w14:textId="77777777" w:rsidR="00840136" w:rsidRPr="00477C9C" w:rsidRDefault="00840136" w:rsidP="0031416F">
            <w:pPr>
              <w:jc w:val="center"/>
              <w:rPr>
                <w:rStyle w:val="IntenseReference"/>
                <w:rFonts w:eastAsia="Arial Unicode MS"/>
                <w:color w:val="auto"/>
                <w:sz w:val="18"/>
                <w:szCs w:val="18"/>
              </w:rPr>
            </w:pPr>
            <w:r w:rsidRPr="00477C9C">
              <w:rPr>
                <w:rStyle w:val="IntenseReference"/>
                <w:color w:val="auto"/>
                <w:sz w:val="18"/>
                <w:szCs w:val="18"/>
              </w:rPr>
              <w:t>0.95 (Nil)</w:t>
            </w:r>
          </w:p>
        </w:tc>
        <w:tc>
          <w:tcPr>
            <w:tcW w:w="835" w:type="dxa"/>
            <w:vAlign w:val="center"/>
          </w:tcPr>
          <w:p w14:paraId="34CA8A25" w14:textId="77777777" w:rsidR="00840136" w:rsidRPr="00477C9C" w:rsidRDefault="00840136" w:rsidP="0031416F">
            <w:pPr>
              <w:jc w:val="center"/>
              <w:rPr>
                <w:rStyle w:val="IntenseReference"/>
                <w:rFonts w:eastAsia="Arial Unicode MS"/>
                <w:color w:val="auto"/>
                <w:sz w:val="18"/>
                <w:szCs w:val="18"/>
              </w:rPr>
            </w:pPr>
          </w:p>
        </w:tc>
        <w:tc>
          <w:tcPr>
            <w:tcW w:w="8364" w:type="dxa"/>
            <w:tcMar>
              <w:top w:w="16" w:type="dxa"/>
              <w:left w:w="16" w:type="dxa"/>
              <w:bottom w:w="0" w:type="dxa"/>
              <w:right w:w="16" w:type="dxa"/>
            </w:tcMar>
            <w:vAlign w:val="bottom"/>
          </w:tcPr>
          <w:p w14:paraId="59228601" w14:textId="77777777" w:rsidR="00840136" w:rsidRPr="00477C9C" w:rsidRDefault="00840136" w:rsidP="003A1283">
            <w:pPr>
              <w:spacing w:after="0"/>
              <w:rPr>
                <w:rStyle w:val="IntenseReference"/>
                <w:rFonts w:eastAsia="Arial Unicode MS"/>
                <w:color w:val="auto"/>
                <w:sz w:val="18"/>
                <w:szCs w:val="18"/>
              </w:rPr>
            </w:pPr>
            <w:r w:rsidRPr="00477C9C">
              <w:rPr>
                <w:rStyle w:val="IntenseReference"/>
                <w:color w:val="auto"/>
                <w:sz w:val="18"/>
                <w:szCs w:val="18"/>
              </w:rPr>
              <w:t>Flood 1996 (87%), Flood 2004</w:t>
            </w:r>
            <w:r>
              <w:rPr>
                <w:rStyle w:val="IntenseReference"/>
                <w:color w:val="auto"/>
                <w:sz w:val="18"/>
                <w:szCs w:val="18"/>
              </w:rPr>
              <w:t xml:space="preserve"> (32%), </w:t>
            </w:r>
            <w:r w:rsidR="003A1283">
              <w:rPr>
                <w:rStyle w:val="IntenseReference"/>
                <w:color w:val="auto"/>
                <w:sz w:val="18"/>
                <w:szCs w:val="18"/>
              </w:rPr>
              <w:t>COTS</w:t>
            </w:r>
            <w:r>
              <w:rPr>
                <w:rStyle w:val="IntenseReference"/>
                <w:color w:val="auto"/>
                <w:sz w:val="18"/>
                <w:szCs w:val="18"/>
              </w:rPr>
              <w:t xml:space="preserve"> 2013 (26</w:t>
            </w:r>
            <w:r w:rsidRPr="00477C9C">
              <w:rPr>
                <w:rStyle w:val="IntenseReference"/>
                <w:color w:val="auto"/>
                <w:sz w:val="18"/>
                <w:szCs w:val="18"/>
              </w:rPr>
              <w:t>% at 2 m, 17% at 5 m), Cyclone Ita April 12</w:t>
            </w:r>
            <w:r w:rsidRPr="00477C9C">
              <w:rPr>
                <w:rStyle w:val="IntenseReference"/>
                <w:color w:val="auto"/>
                <w:sz w:val="18"/>
                <w:szCs w:val="18"/>
                <w:vertAlign w:val="superscript"/>
              </w:rPr>
              <w:t>th</w:t>
            </w:r>
            <w:r>
              <w:rPr>
                <w:rStyle w:val="IntenseReference"/>
                <w:color w:val="auto"/>
                <w:sz w:val="18"/>
                <w:szCs w:val="18"/>
              </w:rPr>
              <w:t xml:space="preserve"> 2014</w:t>
            </w:r>
            <w:r w:rsidRPr="00477C9C">
              <w:rPr>
                <w:rStyle w:val="IntenseReference"/>
                <w:color w:val="auto"/>
                <w:sz w:val="18"/>
                <w:szCs w:val="18"/>
              </w:rPr>
              <w:t xml:space="preserve"> (</w:t>
            </w:r>
            <w:r>
              <w:rPr>
                <w:rStyle w:val="IntenseReference"/>
                <w:color w:val="auto"/>
                <w:sz w:val="18"/>
                <w:szCs w:val="18"/>
              </w:rPr>
              <w:t>18% at 2 m, 22</w:t>
            </w:r>
            <w:r w:rsidRPr="00477C9C">
              <w:rPr>
                <w:rStyle w:val="IntenseReference"/>
                <w:color w:val="auto"/>
                <w:sz w:val="18"/>
                <w:szCs w:val="18"/>
              </w:rPr>
              <w:t>% at 5 m)</w:t>
            </w:r>
          </w:p>
        </w:tc>
      </w:tr>
      <w:tr w:rsidR="00840136" w:rsidRPr="00477C9C" w14:paraId="40C35625" w14:textId="77777777" w:rsidTr="00840136">
        <w:trPr>
          <w:cantSplit/>
          <w:trHeight w:val="447"/>
        </w:trPr>
        <w:tc>
          <w:tcPr>
            <w:tcW w:w="708" w:type="dxa"/>
            <w:vMerge/>
            <w:vAlign w:val="center"/>
          </w:tcPr>
          <w:p w14:paraId="53DBE443" w14:textId="77777777" w:rsidR="00840136" w:rsidRPr="00477C9C" w:rsidRDefault="00840136" w:rsidP="0031416F">
            <w:pPr>
              <w:rPr>
                <w:rStyle w:val="IntenseReference"/>
                <w:rFonts w:eastAsia="Arial Unicode MS"/>
                <w:color w:val="auto"/>
              </w:rPr>
            </w:pPr>
          </w:p>
        </w:tc>
        <w:tc>
          <w:tcPr>
            <w:tcW w:w="1843" w:type="dxa"/>
            <w:tcMar>
              <w:top w:w="16" w:type="dxa"/>
              <w:left w:w="16" w:type="dxa"/>
              <w:bottom w:w="0" w:type="dxa"/>
              <w:right w:w="16" w:type="dxa"/>
            </w:tcMar>
            <w:vAlign w:val="bottom"/>
          </w:tcPr>
          <w:p w14:paraId="35D0CC8F" w14:textId="77777777" w:rsidR="00840136" w:rsidRPr="00477C9C" w:rsidRDefault="00840136" w:rsidP="0031416F">
            <w:pPr>
              <w:ind w:left="200"/>
              <w:rPr>
                <w:rStyle w:val="IntenseReference"/>
                <w:color w:val="auto"/>
              </w:rPr>
            </w:pPr>
            <w:r w:rsidRPr="00477C9C">
              <w:rPr>
                <w:rStyle w:val="IntenseReference"/>
                <w:color w:val="auto"/>
              </w:rPr>
              <w:t>Low Islets</w:t>
            </w:r>
          </w:p>
        </w:tc>
        <w:tc>
          <w:tcPr>
            <w:tcW w:w="976" w:type="dxa"/>
            <w:tcMar>
              <w:top w:w="16" w:type="dxa"/>
              <w:left w:w="16" w:type="dxa"/>
              <w:bottom w:w="0" w:type="dxa"/>
              <w:right w:w="16" w:type="dxa"/>
            </w:tcMar>
            <w:vAlign w:val="center"/>
          </w:tcPr>
          <w:p w14:paraId="26446B35" w14:textId="77777777" w:rsidR="00840136" w:rsidRPr="00477C9C" w:rsidRDefault="00840136" w:rsidP="0031416F">
            <w:pPr>
              <w:jc w:val="center"/>
              <w:rPr>
                <w:rStyle w:val="IntenseReference"/>
                <w:color w:val="auto"/>
                <w:sz w:val="18"/>
                <w:szCs w:val="18"/>
              </w:rPr>
            </w:pPr>
          </w:p>
        </w:tc>
        <w:tc>
          <w:tcPr>
            <w:tcW w:w="851" w:type="dxa"/>
            <w:vAlign w:val="center"/>
          </w:tcPr>
          <w:p w14:paraId="29D1A141" w14:textId="77777777" w:rsidR="00840136" w:rsidRPr="00477C9C" w:rsidRDefault="00840136" w:rsidP="0031416F">
            <w:pPr>
              <w:jc w:val="center"/>
              <w:rPr>
                <w:rStyle w:val="IntenseReference"/>
                <w:color w:val="auto"/>
                <w:sz w:val="18"/>
                <w:szCs w:val="18"/>
              </w:rPr>
            </w:pPr>
          </w:p>
        </w:tc>
        <w:tc>
          <w:tcPr>
            <w:tcW w:w="835" w:type="dxa"/>
            <w:vAlign w:val="center"/>
          </w:tcPr>
          <w:p w14:paraId="6A23FBA6" w14:textId="77777777" w:rsidR="00840136" w:rsidRPr="00477C9C" w:rsidRDefault="00840136" w:rsidP="0031416F">
            <w:pPr>
              <w:jc w:val="center"/>
              <w:rPr>
                <w:rStyle w:val="IntenseReference"/>
                <w:rFonts w:eastAsia="Arial Unicode MS"/>
                <w:color w:val="auto"/>
                <w:sz w:val="18"/>
                <w:szCs w:val="18"/>
              </w:rPr>
            </w:pPr>
            <w:r>
              <w:rPr>
                <w:rStyle w:val="IntenseReference"/>
                <w:rFonts w:eastAsia="Arial Unicode MS"/>
                <w:color w:val="auto"/>
                <w:sz w:val="18"/>
                <w:szCs w:val="18"/>
              </w:rPr>
              <w:t>n/a</w:t>
            </w:r>
          </w:p>
        </w:tc>
        <w:tc>
          <w:tcPr>
            <w:tcW w:w="8364" w:type="dxa"/>
            <w:tcMar>
              <w:top w:w="16" w:type="dxa"/>
              <w:left w:w="16" w:type="dxa"/>
              <w:bottom w:w="0" w:type="dxa"/>
              <w:right w:w="16" w:type="dxa"/>
            </w:tcMar>
            <w:vAlign w:val="center"/>
          </w:tcPr>
          <w:p w14:paraId="017A02A0" w14:textId="77777777" w:rsidR="00840136" w:rsidRPr="00477C9C" w:rsidRDefault="003A1283" w:rsidP="003A1283">
            <w:pPr>
              <w:spacing w:after="0"/>
              <w:jc w:val="left"/>
              <w:rPr>
                <w:rStyle w:val="IntenseReference"/>
                <w:color w:val="auto"/>
                <w:sz w:val="18"/>
                <w:szCs w:val="18"/>
              </w:rPr>
            </w:pPr>
            <w:r>
              <w:rPr>
                <w:rStyle w:val="IntenseReference"/>
                <w:color w:val="auto"/>
                <w:sz w:val="18"/>
                <w:szCs w:val="18"/>
              </w:rPr>
              <w:t>COTS</w:t>
            </w:r>
            <w:r w:rsidR="00840136">
              <w:rPr>
                <w:rStyle w:val="IntenseReference"/>
                <w:color w:val="auto"/>
                <w:sz w:val="18"/>
                <w:szCs w:val="18"/>
              </w:rPr>
              <w:t xml:space="preserve"> 1997-1999 (69</w:t>
            </w:r>
            <w:r w:rsidR="00840136" w:rsidRPr="00477C9C">
              <w:rPr>
                <w:rStyle w:val="IntenseReference"/>
                <w:color w:val="auto"/>
                <w:sz w:val="18"/>
                <w:szCs w:val="18"/>
              </w:rPr>
              <w:t xml:space="preserve">%), Multiple disturbances (Cyclone Rona, crown-of-thorns) 1999-2000 (61%), Multiple disturbances (Cyclone Yasi, bleaching and disease) 2009-2011 (23%), </w:t>
            </w:r>
            <w:r>
              <w:rPr>
                <w:rStyle w:val="IntenseReference"/>
                <w:color w:val="auto"/>
                <w:sz w:val="18"/>
                <w:szCs w:val="18"/>
              </w:rPr>
              <w:t>COTS</w:t>
            </w:r>
            <w:r w:rsidR="00840136" w:rsidRPr="00477C9C">
              <w:rPr>
                <w:rStyle w:val="IntenseReference"/>
                <w:color w:val="auto"/>
                <w:sz w:val="18"/>
                <w:szCs w:val="18"/>
              </w:rPr>
              <w:t xml:space="preserve"> 2013-2015(38%)</w:t>
            </w:r>
          </w:p>
        </w:tc>
      </w:tr>
      <w:tr w:rsidR="00840136" w:rsidRPr="00477C9C" w14:paraId="15BC8D04" w14:textId="77777777" w:rsidTr="00840136">
        <w:trPr>
          <w:cantSplit/>
          <w:trHeight w:val="245"/>
        </w:trPr>
        <w:tc>
          <w:tcPr>
            <w:tcW w:w="708" w:type="dxa"/>
            <w:vMerge w:val="restart"/>
            <w:tcMar>
              <w:top w:w="16" w:type="dxa"/>
              <w:left w:w="16" w:type="dxa"/>
              <w:bottom w:w="0" w:type="dxa"/>
              <w:right w:w="16" w:type="dxa"/>
            </w:tcMar>
            <w:textDirection w:val="btLr"/>
            <w:vAlign w:val="center"/>
          </w:tcPr>
          <w:p w14:paraId="20CC8EC1" w14:textId="77777777" w:rsidR="00840136" w:rsidRPr="00477C9C" w:rsidRDefault="00840136" w:rsidP="0031416F">
            <w:pPr>
              <w:jc w:val="center"/>
              <w:rPr>
                <w:rStyle w:val="IntenseReference"/>
                <w:color w:val="auto"/>
              </w:rPr>
            </w:pPr>
            <w:r w:rsidRPr="00477C9C">
              <w:rPr>
                <w:rStyle w:val="IntenseReference"/>
                <w:color w:val="auto"/>
              </w:rPr>
              <w:t xml:space="preserve">Johnstone </w:t>
            </w:r>
          </w:p>
          <w:p w14:paraId="628D41BA" w14:textId="77777777" w:rsidR="00840136" w:rsidRPr="00477C9C" w:rsidRDefault="00840136" w:rsidP="0031416F">
            <w:pPr>
              <w:jc w:val="center"/>
              <w:rPr>
                <w:rStyle w:val="IntenseReference"/>
                <w:rFonts w:eastAsia="Arial Unicode MS"/>
                <w:color w:val="auto"/>
              </w:rPr>
            </w:pPr>
            <w:r w:rsidRPr="00477C9C">
              <w:rPr>
                <w:rStyle w:val="IntenseReference"/>
                <w:color w:val="auto"/>
              </w:rPr>
              <w:t xml:space="preserve">Russell-Mulgrave </w:t>
            </w:r>
          </w:p>
        </w:tc>
        <w:tc>
          <w:tcPr>
            <w:tcW w:w="1843" w:type="dxa"/>
            <w:tcMar>
              <w:top w:w="16" w:type="dxa"/>
              <w:left w:w="16" w:type="dxa"/>
              <w:bottom w:w="0" w:type="dxa"/>
              <w:right w:w="16" w:type="dxa"/>
            </w:tcMar>
            <w:vAlign w:val="bottom"/>
          </w:tcPr>
          <w:p w14:paraId="601F5E93" w14:textId="77777777" w:rsidR="00840136" w:rsidRPr="00477C9C" w:rsidRDefault="00840136" w:rsidP="0031416F">
            <w:pPr>
              <w:ind w:left="200"/>
              <w:rPr>
                <w:rStyle w:val="IntenseReference"/>
                <w:rFonts w:eastAsia="Arial Unicode MS"/>
                <w:color w:val="auto"/>
              </w:rPr>
            </w:pPr>
            <w:r w:rsidRPr="00477C9C">
              <w:rPr>
                <w:rStyle w:val="IntenseReference"/>
                <w:color w:val="auto"/>
              </w:rPr>
              <w:t>Fitzroy East</w:t>
            </w:r>
          </w:p>
        </w:tc>
        <w:tc>
          <w:tcPr>
            <w:tcW w:w="976" w:type="dxa"/>
            <w:tcMar>
              <w:top w:w="16" w:type="dxa"/>
              <w:left w:w="16" w:type="dxa"/>
              <w:bottom w:w="0" w:type="dxa"/>
              <w:right w:w="16" w:type="dxa"/>
            </w:tcMar>
            <w:vAlign w:val="center"/>
          </w:tcPr>
          <w:p w14:paraId="2E7C1DB9" w14:textId="77777777" w:rsidR="00840136" w:rsidRPr="00477C9C" w:rsidRDefault="00840136" w:rsidP="0031416F">
            <w:pPr>
              <w:jc w:val="center"/>
              <w:rPr>
                <w:rStyle w:val="IntenseReference"/>
                <w:rFonts w:eastAsia="Arial Unicode MS"/>
                <w:color w:val="auto"/>
                <w:sz w:val="18"/>
                <w:szCs w:val="18"/>
              </w:rPr>
            </w:pPr>
            <w:r w:rsidRPr="00477C9C">
              <w:rPr>
                <w:rStyle w:val="IntenseReference"/>
                <w:color w:val="auto"/>
                <w:sz w:val="18"/>
                <w:szCs w:val="18"/>
              </w:rPr>
              <w:t>0.92</w:t>
            </w:r>
          </w:p>
        </w:tc>
        <w:tc>
          <w:tcPr>
            <w:tcW w:w="851" w:type="dxa"/>
            <w:vAlign w:val="center"/>
          </w:tcPr>
          <w:p w14:paraId="6A8D0065" w14:textId="77777777" w:rsidR="00840136" w:rsidRPr="00477C9C" w:rsidRDefault="00840136" w:rsidP="0031416F">
            <w:pPr>
              <w:jc w:val="center"/>
              <w:rPr>
                <w:rStyle w:val="IntenseReference"/>
                <w:rFonts w:eastAsia="Arial Unicode MS"/>
                <w:color w:val="auto"/>
                <w:sz w:val="18"/>
                <w:szCs w:val="18"/>
              </w:rPr>
            </w:pPr>
            <w:r w:rsidRPr="00477C9C">
              <w:rPr>
                <w:rStyle w:val="IntenseReference"/>
                <w:color w:val="auto"/>
                <w:sz w:val="18"/>
                <w:szCs w:val="18"/>
              </w:rPr>
              <w:t>0.95</w:t>
            </w:r>
          </w:p>
        </w:tc>
        <w:tc>
          <w:tcPr>
            <w:tcW w:w="835" w:type="dxa"/>
            <w:vAlign w:val="center"/>
          </w:tcPr>
          <w:p w14:paraId="3E5519C1" w14:textId="77777777" w:rsidR="00840136" w:rsidRPr="00477C9C" w:rsidRDefault="00840136" w:rsidP="0031416F">
            <w:pPr>
              <w:jc w:val="center"/>
              <w:rPr>
                <w:rStyle w:val="IntenseReference"/>
                <w:rFonts w:eastAsia="Arial Unicode MS"/>
                <w:color w:val="auto"/>
                <w:sz w:val="18"/>
                <w:szCs w:val="18"/>
              </w:rPr>
            </w:pPr>
            <w:r>
              <w:rPr>
                <w:rStyle w:val="IntenseReference"/>
                <w:rFonts w:eastAsia="Arial Unicode MS"/>
                <w:color w:val="auto"/>
                <w:sz w:val="18"/>
                <w:szCs w:val="18"/>
              </w:rPr>
              <w:t>n/a</w:t>
            </w:r>
          </w:p>
        </w:tc>
        <w:tc>
          <w:tcPr>
            <w:tcW w:w="8364" w:type="dxa"/>
            <w:tcMar>
              <w:top w:w="16" w:type="dxa"/>
              <w:left w:w="16" w:type="dxa"/>
              <w:bottom w:w="0" w:type="dxa"/>
              <w:right w:w="16" w:type="dxa"/>
            </w:tcMar>
            <w:vAlign w:val="bottom"/>
          </w:tcPr>
          <w:p w14:paraId="61C9CCA4" w14:textId="77777777" w:rsidR="00840136" w:rsidRPr="00477C9C" w:rsidRDefault="00840136" w:rsidP="003A1283">
            <w:pPr>
              <w:spacing w:after="0"/>
              <w:rPr>
                <w:rStyle w:val="IntenseReference"/>
                <w:rFonts w:eastAsia="Arial Unicode MS"/>
                <w:color w:val="auto"/>
                <w:sz w:val="18"/>
                <w:szCs w:val="18"/>
              </w:rPr>
            </w:pPr>
            <w:r w:rsidRPr="00477C9C">
              <w:rPr>
                <w:rStyle w:val="IntenseReference"/>
                <w:color w:val="auto"/>
                <w:sz w:val="18"/>
                <w:szCs w:val="18"/>
              </w:rPr>
              <w:t>Cyclone Felicity 1989 (75% m</w:t>
            </w:r>
            <w:r>
              <w:rPr>
                <w:rStyle w:val="IntenseReference"/>
                <w:color w:val="auto"/>
                <w:sz w:val="18"/>
                <w:szCs w:val="18"/>
              </w:rPr>
              <w:t>anta tow data), Disease 2010 (15% at 2 m, 5</w:t>
            </w:r>
            <w:r w:rsidRPr="00477C9C">
              <w:rPr>
                <w:rStyle w:val="IntenseReference"/>
                <w:color w:val="auto"/>
                <w:sz w:val="18"/>
                <w:szCs w:val="18"/>
              </w:rPr>
              <w:t>% at 5 m), Disease 2011 (60% at 2 m, 42% at 5</w:t>
            </w:r>
            <w:r>
              <w:rPr>
                <w:rStyle w:val="IntenseReference"/>
                <w:color w:val="auto"/>
                <w:sz w:val="18"/>
                <w:szCs w:val="18"/>
              </w:rPr>
              <w:t xml:space="preserve"> m), </w:t>
            </w:r>
            <w:r w:rsidR="003A1283">
              <w:rPr>
                <w:rStyle w:val="IntenseReference"/>
                <w:color w:val="auto"/>
                <w:sz w:val="18"/>
                <w:szCs w:val="18"/>
              </w:rPr>
              <w:t>COTS:</w:t>
            </w:r>
            <w:r>
              <w:rPr>
                <w:rStyle w:val="IntenseReference"/>
                <w:color w:val="auto"/>
                <w:sz w:val="18"/>
                <w:szCs w:val="18"/>
              </w:rPr>
              <w:t xml:space="preserve"> 2012 (12% at 5m), 2014</w:t>
            </w:r>
            <w:r w:rsidR="003A1283">
              <w:rPr>
                <w:rStyle w:val="IntenseReference"/>
                <w:color w:val="auto"/>
                <w:sz w:val="18"/>
                <w:szCs w:val="18"/>
              </w:rPr>
              <w:t xml:space="preserve"> </w:t>
            </w:r>
            <w:r>
              <w:rPr>
                <w:rStyle w:val="IntenseReference"/>
                <w:color w:val="auto"/>
                <w:sz w:val="18"/>
                <w:szCs w:val="18"/>
              </w:rPr>
              <w:t>(27</w:t>
            </w:r>
            <w:r w:rsidRPr="00477C9C">
              <w:rPr>
                <w:rStyle w:val="IntenseReference"/>
                <w:color w:val="auto"/>
                <w:sz w:val="18"/>
                <w:szCs w:val="18"/>
              </w:rPr>
              <w:t>% at 2 m, 48% at 5 m)</w:t>
            </w:r>
          </w:p>
        </w:tc>
      </w:tr>
      <w:tr w:rsidR="00840136" w:rsidRPr="009B6C07" w14:paraId="4293D1EB" w14:textId="77777777" w:rsidTr="00840136">
        <w:trPr>
          <w:cantSplit/>
          <w:trHeight w:val="318"/>
        </w:trPr>
        <w:tc>
          <w:tcPr>
            <w:tcW w:w="708" w:type="dxa"/>
            <w:vMerge/>
            <w:vAlign w:val="center"/>
          </w:tcPr>
          <w:p w14:paraId="7D7A9955" w14:textId="77777777" w:rsidR="00840136" w:rsidRPr="00477C9C" w:rsidRDefault="00840136" w:rsidP="0031416F">
            <w:pPr>
              <w:rPr>
                <w:rStyle w:val="IntenseReference"/>
                <w:rFonts w:eastAsia="Arial Unicode MS"/>
                <w:color w:val="auto"/>
              </w:rPr>
            </w:pPr>
          </w:p>
        </w:tc>
        <w:tc>
          <w:tcPr>
            <w:tcW w:w="1843" w:type="dxa"/>
            <w:tcMar>
              <w:top w:w="16" w:type="dxa"/>
              <w:left w:w="16" w:type="dxa"/>
              <w:bottom w:w="0" w:type="dxa"/>
              <w:right w:w="16" w:type="dxa"/>
            </w:tcMar>
            <w:vAlign w:val="bottom"/>
          </w:tcPr>
          <w:p w14:paraId="63594BA3" w14:textId="77777777" w:rsidR="00840136" w:rsidRPr="00477C9C" w:rsidRDefault="00840136" w:rsidP="0031416F">
            <w:pPr>
              <w:ind w:left="200"/>
              <w:rPr>
                <w:rStyle w:val="IntenseReference"/>
                <w:rFonts w:eastAsia="Arial Unicode MS"/>
                <w:color w:val="auto"/>
              </w:rPr>
            </w:pPr>
            <w:r w:rsidRPr="00477C9C">
              <w:rPr>
                <w:rStyle w:val="IntenseReference"/>
                <w:color w:val="auto"/>
              </w:rPr>
              <w:t>Fitzroy West</w:t>
            </w:r>
          </w:p>
        </w:tc>
        <w:tc>
          <w:tcPr>
            <w:tcW w:w="976" w:type="dxa"/>
            <w:tcMar>
              <w:top w:w="16" w:type="dxa"/>
              <w:left w:w="16" w:type="dxa"/>
              <w:bottom w:w="0" w:type="dxa"/>
              <w:right w:w="16" w:type="dxa"/>
            </w:tcMar>
            <w:vAlign w:val="center"/>
          </w:tcPr>
          <w:p w14:paraId="73B78C7F" w14:textId="77777777" w:rsidR="00840136" w:rsidRPr="00477C9C" w:rsidRDefault="00840136" w:rsidP="0031416F">
            <w:pPr>
              <w:jc w:val="center"/>
              <w:rPr>
                <w:rStyle w:val="IntenseReference"/>
                <w:rFonts w:eastAsia="Arial Unicode MS"/>
                <w:color w:val="auto"/>
                <w:sz w:val="18"/>
                <w:szCs w:val="18"/>
              </w:rPr>
            </w:pPr>
            <w:r w:rsidRPr="00477C9C">
              <w:rPr>
                <w:rStyle w:val="IntenseReference"/>
                <w:color w:val="auto"/>
                <w:sz w:val="18"/>
                <w:szCs w:val="18"/>
              </w:rPr>
              <w:t>0.92 (13%)</w:t>
            </w:r>
          </w:p>
        </w:tc>
        <w:tc>
          <w:tcPr>
            <w:tcW w:w="851" w:type="dxa"/>
            <w:vAlign w:val="center"/>
          </w:tcPr>
          <w:p w14:paraId="6395CDA2" w14:textId="77777777" w:rsidR="00840136" w:rsidRPr="00477C9C" w:rsidRDefault="00840136" w:rsidP="0031416F">
            <w:pPr>
              <w:jc w:val="center"/>
              <w:rPr>
                <w:rStyle w:val="IntenseReference"/>
                <w:rFonts w:eastAsia="Arial Unicode MS"/>
                <w:color w:val="auto"/>
                <w:sz w:val="18"/>
                <w:szCs w:val="18"/>
              </w:rPr>
            </w:pPr>
            <w:r w:rsidRPr="00477C9C">
              <w:rPr>
                <w:rStyle w:val="IntenseReference"/>
                <w:color w:val="auto"/>
                <w:sz w:val="18"/>
                <w:szCs w:val="18"/>
              </w:rPr>
              <w:t>0.95(15%)</w:t>
            </w:r>
          </w:p>
        </w:tc>
        <w:tc>
          <w:tcPr>
            <w:tcW w:w="835" w:type="dxa"/>
            <w:vAlign w:val="center"/>
          </w:tcPr>
          <w:p w14:paraId="04FEB678" w14:textId="77777777" w:rsidR="00840136" w:rsidRPr="00477C9C" w:rsidRDefault="00840136" w:rsidP="0031416F">
            <w:pPr>
              <w:jc w:val="center"/>
              <w:rPr>
                <w:rStyle w:val="IntenseReference"/>
                <w:rFonts w:eastAsia="Arial Unicode MS"/>
                <w:color w:val="auto"/>
                <w:sz w:val="18"/>
                <w:szCs w:val="18"/>
              </w:rPr>
            </w:pPr>
            <w:r>
              <w:rPr>
                <w:rStyle w:val="IntenseReference"/>
                <w:color w:val="auto"/>
                <w:sz w:val="18"/>
                <w:szCs w:val="18"/>
              </w:rPr>
              <w:t>21</w:t>
            </w:r>
            <w:r w:rsidRPr="00477C9C">
              <w:rPr>
                <w:rStyle w:val="IntenseReference"/>
                <w:color w:val="auto"/>
                <w:sz w:val="18"/>
                <w:szCs w:val="18"/>
              </w:rPr>
              <w:t xml:space="preserve">% </w:t>
            </w:r>
            <w:r>
              <w:rPr>
                <w:rStyle w:val="IntenseReference"/>
                <w:color w:val="auto"/>
                <w:sz w:val="18"/>
                <w:szCs w:val="18"/>
              </w:rPr>
              <w:t>(2m)</w:t>
            </w:r>
            <w:r w:rsidRPr="00477C9C">
              <w:rPr>
                <w:rStyle w:val="IntenseReference"/>
                <w:color w:val="auto"/>
                <w:sz w:val="18"/>
                <w:szCs w:val="18"/>
              </w:rPr>
              <w:t xml:space="preserve"> </w:t>
            </w:r>
            <w:r>
              <w:rPr>
                <w:rStyle w:val="IntenseReference"/>
                <w:color w:val="auto"/>
                <w:sz w:val="18"/>
                <w:szCs w:val="18"/>
              </w:rPr>
              <w:t>24</w:t>
            </w:r>
            <w:r w:rsidRPr="00477C9C">
              <w:rPr>
                <w:rStyle w:val="IntenseReference"/>
                <w:color w:val="auto"/>
                <w:sz w:val="18"/>
                <w:szCs w:val="18"/>
              </w:rPr>
              <w:t xml:space="preserve">% </w:t>
            </w:r>
            <w:r>
              <w:rPr>
                <w:rStyle w:val="IntenseReference"/>
                <w:color w:val="auto"/>
                <w:sz w:val="18"/>
                <w:szCs w:val="18"/>
              </w:rPr>
              <w:t>(</w:t>
            </w:r>
            <w:r w:rsidRPr="00477C9C">
              <w:rPr>
                <w:rStyle w:val="IntenseReference"/>
                <w:color w:val="auto"/>
                <w:sz w:val="18"/>
                <w:szCs w:val="18"/>
              </w:rPr>
              <w:t>5m)</w:t>
            </w:r>
          </w:p>
        </w:tc>
        <w:tc>
          <w:tcPr>
            <w:tcW w:w="8364" w:type="dxa"/>
            <w:tcMar>
              <w:top w:w="16" w:type="dxa"/>
              <w:left w:w="16" w:type="dxa"/>
              <w:bottom w:w="0" w:type="dxa"/>
              <w:right w:w="16" w:type="dxa"/>
            </w:tcMar>
            <w:vAlign w:val="bottom"/>
          </w:tcPr>
          <w:p w14:paraId="3AAABB50" w14:textId="77777777" w:rsidR="00840136" w:rsidRPr="00477C9C" w:rsidRDefault="003A1283" w:rsidP="0031416F">
            <w:pPr>
              <w:spacing w:after="0"/>
              <w:rPr>
                <w:rStyle w:val="IntenseReference"/>
                <w:color w:val="auto"/>
                <w:sz w:val="18"/>
                <w:szCs w:val="18"/>
              </w:rPr>
            </w:pPr>
            <w:r>
              <w:rPr>
                <w:rStyle w:val="IntenseReference"/>
                <w:color w:val="auto"/>
                <w:sz w:val="18"/>
                <w:szCs w:val="18"/>
              </w:rPr>
              <w:t>COTS</w:t>
            </w:r>
            <w:r w:rsidR="00840136" w:rsidRPr="00477C9C">
              <w:rPr>
                <w:rStyle w:val="IntenseReference"/>
                <w:color w:val="auto"/>
                <w:sz w:val="18"/>
                <w:szCs w:val="18"/>
              </w:rPr>
              <w:t xml:space="preserve"> 1999-2000 (78%), Cyclone Hamish 2009 (stalled recovery trajectory), </w:t>
            </w:r>
          </w:p>
          <w:p w14:paraId="42E0BBDC" w14:textId="77777777" w:rsidR="00840136" w:rsidRPr="003A1283" w:rsidRDefault="00840136" w:rsidP="0031416F">
            <w:pPr>
              <w:spacing w:after="0"/>
              <w:rPr>
                <w:rStyle w:val="IntenseReference"/>
                <w:color w:val="auto"/>
                <w:sz w:val="18"/>
                <w:szCs w:val="18"/>
                <w:lang w:val="da-DK"/>
              </w:rPr>
            </w:pPr>
            <w:r w:rsidRPr="003A1283">
              <w:rPr>
                <w:rStyle w:val="IntenseReference"/>
                <w:color w:val="auto"/>
                <w:sz w:val="18"/>
                <w:szCs w:val="18"/>
                <w:lang w:val="da-DK"/>
              </w:rPr>
              <w:t xml:space="preserve">Disease 2011 (42% at 2 m, 17% at 5 m), </w:t>
            </w:r>
            <w:r w:rsidR="003A1283" w:rsidRPr="003A1283">
              <w:rPr>
                <w:rStyle w:val="IntenseReference"/>
                <w:color w:val="auto"/>
                <w:sz w:val="18"/>
                <w:szCs w:val="18"/>
                <w:lang w:val="da-DK"/>
              </w:rPr>
              <w:t>COTS:</w:t>
            </w:r>
            <w:r w:rsidRPr="003A1283">
              <w:rPr>
                <w:rStyle w:val="IntenseReference"/>
                <w:color w:val="auto"/>
                <w:sz w:val="18"/>
                <w:szCs w:val="18"/>
                <w:lang w:val="da-DK"/>
              </w:rPr>
              <w:t xml:space="preserve"> 2012 (13% at 5 m), 2013 (32% at 2 m,36% at 5 m),</w:t>
            </w:r>
            <w:r w:rsidR="003A1283" w:rsidRPr="003A1283">
              <w:rPr>
                <w:rStyle w:val="IntenseReference"/>
                <w:color w:val="auto"/>
                <w:sz w:val="18"/>
                <w:szCs w:val="18"/>
                <w:lang w:val="da-DK"/>
              </w:rPr>
              <w:t xml:space="preserve"> </w:t>
            </w:r>
            <w:r w:rsidRPr="003A1283">
              <w:rPr>
                <w:rStyle w:val="IntenseReference"/>
                <w:color w:val="auto"/>
                <w:sz w:val="18"/>
                <w:szCs w:val="18"/>
                <w:lang w:val="da-DK"/>
              </w:rPr>
              <w:t xml:space="preserve"> 2014(5% at 2 m), </w:t>
            </w:r>
          </w:p>
        </w:tc>
      </w:tr>
      <w:tr w:rsidR="00840136" w:rsidRPr="00477C9C" w14:paraId="2D5D29FF" w14:textId="77777777" w:rsidTr="00840136">
        <w:trPr>
          <w:cantSplit/>
          <w:trHeight w:val="318"/>
        </w:trPr>
        <w:tc>
          <w:tcPr>
            <w:tcW w:w="708" w:type="dxa"/>
            <w:vMerge/>
            <w:vAlign w:val="center"/>
          </w:tcPr>
          <w:p w14:paraId="3BE90CE6" w14:textId="77777777" w:rsidR="00840136" w:rsidRPr="003A1283" w:rsidRDefault="00840136" w:rsidP="0031416F">
            <w:pPr>
              <w:rPr>
                <w:rStyle w:val="IntenseReference"/>
                <w:rFonts w:eastAsia="Arial Unicode MS"/>
                <w:color w:val="auto"/>
                <w:lang w:val="da-DK"/>
              </w:rPr>
            </w:pPr>
          </w:p>
        </w:tc>
        <w:tc>
          <w:tcPr>
            <w:tcW w:w="1843" w:type="dxa"/>
            <w:tcMar>
              <w:top w:w="16" w:type="dxa"/>
              <w:left w:w="16" w:type="dxa"/>
              <w:bottom w:w="0" w:type="dxa"/>
              <w:right w:w="16" w:type="dxa"/>
            </w:tcMar>
            <w:vAlign w:val="bottom"/>
          </w:tcPr>
          <w:p w14:paraId="76A095F0" w14:textId="77777777" w:rsidR="00840136" w:rsidRPr="00477C9C" w:rsidRDefault="00840136" w:rsidP="0031416F">
            <w:pPr>
              <w:ind w:left="200"/>
              <w:rPr>
                <w:rStyle w:val="IntenseReference"/>
                <w:color w:val="auto"/>
              </w:rPr>
            </w:pPr>
            <w:r w:rsidRPr="00477C9C">
              <w:rPr>
                <w:rStyle w:val="IntenseReference"/>
                <w:color w:val="auto"/>
              </w:rPr>
              <w:t>Fitzroy West LTMP</w:t>
            </w:r>
          </w:p>
        </w:tc>
        <w:tc>
          <w:tcPr>
            <w:tcW w:w="976" w:type="dxa"/>
            <w:tcMar>
              <w:top w:w="16" w:type="dxa"/>
              <w:left w:w="16" w:type="dxa"/>
              <w:bottom w:w="0" w:type="dxa"/>
              <w:right w:w="16" w:type="dxa"/>
            </w:tcMar>
            <w:vAlign w:val="center"/>
          </w:tcPr>
          <w:p w14:paraId="09A515D9" w14:textId="77777777" w:rsidR="00840136" w:rsidRPr="00477C9C" w:rsidRDefault="00840136" w:rsidP="0031416F">
            <w:pPr>
              <w:jc w:val="center"/>
              <w:rPr>
                <w:rStyle w:val="IntenseReference"/>
                <w:color w:val="auto"/>
                <w:sz w:val="18"/>
                <w:szCs w:val="18"/>
              </w:rPr>
            </w:pPr>
            <w:r>
              <w:rPr>
                <w:rStyle w:val="IntenseReference"/>
                <w:color w:val="auto"/>
                <w:sz w:val="18"/>
                <w:szCs w:val="18"/>
              </w:rPr>
              <w:t>12</w:t>
            </w:r>
            <w:r w:rsidRPr="00477C9C">
              <w:rPr>
                <w:rStyle w:val="IntenseReference"/>
                <w:color w:val="auto"/>
                <w:sz w:val="18"/>
                <w:szCs w:val="18"/>
              </w:rPr>
              <w:t>%</w:t>
            </w:r>
          </w:p>
        </w:tc>
        <w:tc>
          <w:tcPr>
            <w:tcW w:w="851" w:type="dxa"/>
            <w:vAlign w:val="center"/>
          </w:tcPr>
          <w:p w14:paraId="1D43CA79" w14:textId="77777777" w:rsidR="00840136" w:rsidRPr="00477C9C" w:rsidRDefault="00840136" w:rsidP="0031416F">
            <w:pPr>
              <w:jc w:val="center"/>
              <w:rPr>
                <w:rStyle w:val="IntenseReference"/>
                <w:color w:val="auto"/>
                <w:sz w:val="18"/>
                <w:szCs w:val="18"/>
              </w:rPr>
            </w:pPr>
          </w:p>
        </w:tc>
        <w:tc>
          <w:tcPr>
            <w:tcW w:w="835" w:type="dxa"/>
            <w:vAlign w:val="center"/>
          </w:tcPr>
          <w:p w14:paraId="4CBB56FA" w14:textId="77777777" w:rsidR="00840136" w:rsidRPr="00477C9C" w:rsidRDefault="00840136" w:rsidP="0031416F">
            <w:pPr>
              <w:jc w:val="center"/>
              <w:rPr>
                <w:rStyle w:val="IntenseReference"/>
                <w:rFonts w:eastAsia="Arial Unicode MS"/>
                <w:color w:val="auto"/>
                <w:sz w:val="18"/>
                <w:szCs w:val="18"/>
              </w:rPr>
            </w:pPr>
            <w:r>
              <w:rPr>
                <w:rStyle w:val="IntenseReference"/>
                <w:rFonts w:eastAsia="Arial Unicode MS"/>
                <w:color w:val="auto"/>
                <w:sz w:val="18"/>
                <w:szCs w:val="18"/>
              </w:rPr>
              <w:t>n/a</w:t>
            </w:r>
          </w:p>
        </w:tc>
        <w:tc>
          <w:tcPr>
            <w:tcW w:w="8364" w:type="dxa"/>
            <w:tcMar>
              <w:top w:w="16" w:type="dxa"/>
              <w:left w:w="16" w:type="dxa"/>
              <w:bottom w:w="0" w:type="dxa"/>
              <w:right w:w="16" w:type="dxa"/>
            </w:tcMar>
            <w:vAlign w:val="center"/>
          </w:tcPr>
          <w:p w14:paraId="4A04988D" w14:textId="77777777" w:rsidR="00840136" w:rsidRPr="00477C9C" w:rsidRDefault="003A1283" w:rsidP="003A1283">
            <w:pPr>
              <w:spacing w:after="0"/>
              <w:jc w:val="left"/>
              <w:rPr>
                <w:rStyle w:val="IntenseReference"/>
                <w:color w:val="auto"/>
                <w:sz w:val="18"/>
                <w:szCs w:val="18"/>
              </w:rPr>
            </w:pPr>
            <w:r>
              <w:rPr>
                <w:rStyle w:val="IntenseReference"/>
                <w:color w:val="auto"/>
                <w:sz w:val="18"/>
                <w:szCs w:val="18"/>
              </w:rPr>
              <w:t>COTS</w:t>
            </w:r>
            <w:r w:rsidR="00840136" w:rsidRPr="00477C9C">
              <w:rPr>
                <w:rStyle w:val="IntenseReference"/>
                <w:color w:val="auto"/>
                <w:sz w:val="18"/>
                <w:szCs w:val="18"/>
              </w:rPr>
              <w:t xml:space="preserve"> and continued bleaching 2000 (</w:t>
            </w:r>
            <w:r w:rsidR="00840136">
              <w:rPr>
                <w:rStyle w:val="IntenseReference"/>
                <w:color w:val="auto"/>
                <w:sz w:val="18"/>
                <w:szCs w:val="18"/>
              </w:rPr>
              <w:t xml:space="preserve">80%), </w:t>
            </w:r>
            <w:r>
              <w:rPr>
                <w:rStyle w:val="IntenseReference"/>
                <w:color w:val="auto"/>
                <w:sz w:val="18"/>
                <w:szCs w:val="18"/>
              </w:rPr>
              <w:t>COTS:</w:t>
            </w:r>
            <w:r w:rsidR="00840136">
              <w:rPr>
                <w:rStyle w:val="IntenseReference"/>
                <w:color w:val="auto"/>
                <w:sz w:val="18"/>
                <w:szCs w:val="18"/>
              </w:rPr>
              <w:t xml:space="preserve"> 2013 (6</w:t>
            </w:r>
            <w:r w:rsidR="00840136" w:rsidRPr="00477C9C">
              <w:rPr>
                <w:rStyle w:val="IntenseReference"/>
                <w:color w:val="auto"/>
                <w:sz w:val="18"/>
                <w:szCs w:val="18"/>
              </w:rPr>
              <w:t>%)</w:t>
            </w:r>
            <w:r>
              <w:rPr>
                <w:rStyle w:val="IntenseReference"/>
                <w:color w:val="auto"/>
                <w:sz w:val="18"/>
                <w:szCs w:val="18"/>
              </w:rPr>
              <w:t xml:space="preserve">, </w:t>
            </w:r>
            <w:r w:rsidR="00840136" w:rsidRPr="00477C9C">
              <w:rPr>
                <w:rStyle w:val="IntenseReference"/>
                <w:color w:val="auto"/>
                <w:sz w:val="18"/>
                <w:szCs w:val="18"/>
              </w:rPr>
              <w:t>2014-15(46%)</w:t>
            </w:r>
          </w:p>
        </w:tc>
      </w:tr>
      <w:tr w:rsidR="00840136" w:rsidRPr="00477C9C" w14:paraId="72F171E4" w14:textId="77777777" w:rsidTr="00840136">
        <w:trPr>
          <w:cantSplit/>
          <w:trHeight w:val="466"/>
        </w:trPr>
        <w:tc>
          <w:tcPr>
            <w:tcW w:w="708" w:type="dxa"/>
            <w:vMerge/>
            <w:vAlign w:val="center"/>
          </w:tcPr>
          <w:p w14:paraId="6A20EE21" w14:textId="77777777" w:rsidR="00840136" w:rsidRPr="00477C9C" w:rsidRDefault="00840136" w:rsidP="0031416F">
            <w:pPr>
              <w:rPr>
                <w:rStyle w:val="IntenseReference"/>
                <w:rFonts w:eastAsia="Arial Unicode MS"/>
                <w:color w:val="auto"/>
              </w:rPr>
            </w:pPr>
          </w:p>
        </w:tc>
        <w:tc>
          <w:tcPr>
            <w:tcW w:w="1843" w:type="dxa"/>
            <w:tcMar>
              <w:top w:w="16" w:type="dxa"/>
              <w:left w:w="16" w:type="dxa"/>
              <w:bottom w:w="0" w:type="dxa"/>
              <w:right w:w="16" w:type="dxa"/>
            </w:tcMar>
            <w:vAlign w:val="bottom"/>
          </w:tcPr>
          <w:p w14:paraId="0C5C67AB" w14:textId="77777777" w:rsidR="00840136" w:rsidRPr="00477C9C" w:rsidRDefault="00840136" w:rsidP="0031416F">
            <w:pPr>
              <w:ind w:left="200"/>
              <w:rPr>
                <w:rStyle w:val="IntenseReference"/>
                <w:rFonts w:eastAsia="Arial Unicode MS"/>
                <w:color w:val="auto"/>
              </w:rPr>
            </w:pPr>
            <w:r w:rsidRPr="00477C9C">
              <w:rPr>
                <w:rStyle w:val="IntenseReference"/>
                <w:color w:val="auto"/>
              </w:rPr>
              <w:t>Franklands East</w:t>
            </w:r>
          </w:p>
        </w:tc>
        <w:tc>
          <w:tcPr>
            <w:tcW w:w="976" w:type="dxa"/>
            <w:tcMar>
              <w:top w:w="16" w:type="dxa"/>
              <w:left w:w="16" w:type="dxa"/>
              <w:bottom w:w="0" w:type="dxa"/>
              <w:right w:w="16" w:type="dxa"/>
            </w:tcMar>
            <w:vAlign w:val="center"/>
          </w:tcPr>
          <w:p w14:paraId="5001D261" w14:textId="77777777" w:rsidR="00840136" w:rsidRPr="00477C9C" w:rsidRDefault="00840136" w:rsidP="0031416F">
            <w:pPr>
              <w:jc w:val="center"/>
              <w:rPr>
                <w:rStyle w:val="IntenseReference"/>
                <w:rFonts w:eastAsia="Arial Unicode MS"/>
                <w:color w:val="auto"/>
                <w:sz w:val="18"/>
                <w:szCs w:val="18"/>
              </w:rPr>
            </w:pPr>
            <w:r w:rsidRPr="00477C9C">
              <w:rPr>
                <w:rStyle w:val="IntenseReference"/>
                <w:color w:val="auto"/>
                <w:sz w:val="18"/>
                <w:szCs w:val="18"/>
              </w:rPr>
              <w:t>0.92 (43%)</w:t>
            </w:r>
          </w:p>
        </w:tc>
        <w:tc>
          <w:tcPr>
            <w:tcW w:w="851" w:type="dxa"/>
            <w:vAlign w:val="center"/>
          </w:tcPr>
          <w:p w14:paraId="70F0A31C" w14:textId="77777777" w:rsidR="00840136" w:rsidRPr="00477C9C" w:rsidRDefault="00840136" w:rsidP="0031416F">
            <w:pPr>
              <w:jc w:val="center"/>
              <w:rPr>
                <w:rStyle w:val="IntenseReference"/>
                <w:rFonts w:eastAsia="Arial Unicode MS"/>
                <w:color w:val="auto"/>
                <w:sz w:val="18"/>
                <w:szCs w:val="18"/>
              </w:rPr>
            </w:pPr>
            <w:r w:rsidRPr="00477C9C">
              <w:rPr>
                <w:rStyle w:val="IntenseReference"/>
                <w:color w:val="auto"/>
                <w:sz w:val="18"/>
                <w:szCs w:val="18"/>
              </w:rPr>
              <w:t>0.80 (Nil)</w:t>
            </w:r>
          </w:p>
        </w:tc>
        <w:tc>
          <w:tcPr>
            <w:tcW w:w="835" w:type="dxa"/>
            <w:vAlign w:val="center"/>
          </w:tcPr>
          <w:p w14:paraId="5AAE5B23" w14:textId="77777777" w:rsidR="00840136" w:rsidRPr="00477C9C" w:rsidRDefault="00840136" w:rsidP="0031416F">
            <w:pPr>
              <w:jc w:val="center"/>
              <w:rPr>
                <w:rStyle w:val="IntenseReference"/>
                <w:rFonts w:eastAsia="Arial Unicode MS"/>
                <w:color w:val="auto"/>
                <w:sz w:val="18"/>
                <w:szCs w:val="18"/>
              </w:rPr>
            </w:pPr>
            <w:r>
              <w:rPr>
                <w:rStyle w:val="IntenseReference"/>
                <w:color w:val="auto"/>
                <w:sz w:val="18"/>
                <w:szCs w:val="18"/>
              </w:rPr>
              <w:t>22</w:t>
            </w:r>
            <w:r w:rsidRPr="00477C9C">
              <w:rPr>
                <w:rStyle w:val="IntenseReference"/>
                <w:color w:val="auto"/>
                <w:sz w:val="18"/>
                <w:szCs w:val="18"/>
              </w:rPr>
              <w:t xml:space="preserve">% </w:t>
            </w:r>
            <w:r>
              <w:rPr>
                <w:rStyle w:val="IntenseReference"/>
                <w:color w:val="auto"/>
                <w:sz w:val="18"/>
                <w:szCs w:val="18"/>
              </w:rPr>
              <w:t>(</w:t>
            </w:r>
            <w:r w:rsidRPr="00477C9C">
              <w:rPr>
                <w:rStyle w:val="IntenseReference"/>
                <w:color w:val="auto"/>
                <w:sz w:val="18"/>
                <w:szCs w:val="18"/>
              </w:rPr>
              <w:t>2m</w:t>
            </w:r>
            <w:r>
              <w:rPr>
                <w:rStyle w:val="IntenseReference"/>
                <w:color w:val="auto"/>
                <w:sz w:val="18"/>
                <w:szCs w:val="18"/>
              </w:rPr>
              <w:t>)  30</w:t>
            </w:r>
            <w:r w:rsidRPr="00477C9C">
              <w:rPr>
                <w:rStyle w:val="IntenseReference"/>
                <w:color w:val="auto"/>
                <w:sz w:val="18"/>
                <w:szCs w:val="18"/>
              </w:rPr>
              <w:t>%</w:t>
            </w:r>
            <w:r>
              <w:rPr>
                <w:rStyle w:val="IntenseReference"/>
                <w:color w:val="auto"/>
                <w:sz w:val="18"/>
                <w:szCs w:val="18"/>
              </w:rPr>
              <w:t>* (</w:t>
            </w:r>
            <w:r w:rsidRPr="00477C9C">
              <w:rPr>
                <w:rStyle w:val="IntenseReference"/>
                <w:color w:val="auto"/>
                <w:sz w:val="18"/>
                <w:szCs w:val="18"/>
              </w:rPr>
              <w:t>5m)</w:t>
            </w:r>
          </w:p>
        </w:tc>
        <w:tc>
          <w:tcPr>
            <w:tcW w:w="8364" w:type="dxa"/>
            <w:tcMar>
              <w:top w:w="16" w:type="dxa"/>
              <w:left w:w="16" w:type="dxa"/>
              <w:bottom w:w="0" w:type="dxa"/>
              <w:right w:w="16" w:type="dxa"/>
            </w:tcMar>
            <w:vAlign w:val="center"/>
          </w:tcPr>
          <w:p w14:paraId="6DEB3231" w14:textId="77777777" w:rsidR="00840136" w:rsidRPr="00477C9C" w:rsidRDefault="00840136" w:rsidP="003A1283">
            <w:pPr>
              <w:spacing w:after="0"/>
              <w:jc w:val="left"/>
              <w:rPr>
                <w:rStyle w:val="IntenseReference"/>
                <w:color w:val="auto"/>
                <w:sz w:val="18"/>
                <w:szCs w:val="18"/>
              </w:rPr>
            </w:pPr>
            <w:r w:rsidRPr="00477C9C">
              <w:rPr>
                <w:rStyle w:val="IntenseReference"/>
                <w:color w:val="auto"/>
                <w:sz w:val="18"/>
                <w:szCs w:val="18"/>
              </w:rPr>
              <w:t xml:space="preserve">Unknown </w:t>
            </w:r>
            <w:r w:rsidR="003A1283">
              <w:rPr>
                <w:rStyle w:val="IntenseReference"/>
                <w:color w:val="auto"/>
                <w:sz w:val="18"/>
                <w:szCs w:val="18"/>
              </w:rPr>
              <w:t>al</w:t>
            </w:r>
            <w:r w:rsidRPr="00477C9C">
              <w:rPr>
                <w:rStyle w:val="IntenseReference"/>
                <w:color w:val="auto"/>
                <w:sz w:val="18"/>
                <w:szCs w:val="18"/>
              </w:rPr>
              <w:t xml:space="preserve">though likely </w:t>
            </w:r>
            <w:r w:rsidR="003A1283">
              <w:rPr>
                <w:rStyle w:val="IntenseReference"/>
                <w:color w:val="auto"/>
                <w:sz w:val="18"/>
                <w:szCs w:val="18"/>
              </w:rPr>
              <w:t>COTS</w:t>
            </w:r>
            <w:r w:rsidRPr="00477C9C">
              <w:rPr>
                <w:rStyle w:val="IntenseReference"/>
                <w:color w:val="auto"/>
                <w:sz w:val="18"/>
                <w:szCs w:val="18"/>
              </w:rPr>
              <w:t xml:space="preserve"> 2</w:t>
            </w:r>
            <w:r>
              <w:rPr>
                <w:rStyle w:val="IntenseReference"/>
                <w:color w:val="auto"/>
                <w:sz w:val="18"/>
                <w:szCs w:val="18"/>
              </w:rPr>
              <w:t>000 (68%) Cyclone Larry 2006 (64</w:t>
            </w:r>
            <w:r w:rsidRPr="00477C9C">
              <w:rPr>
                <w:rStyle w:val="IntenseReference"/>
                <w:color w:val="auto"/>
                <w:sz w:val="18"/>
                <w:szCs w:val="18"/>
              </w:rPr>
              <w:t>% at 2 m , 50</w:t>
            </w:r>
            <w:r>
              <w:rPr>
                <w:rStyle w:val="IntenseReference"/>
                <w:color w:val="auto"/>
                <w:sz w:val="18"/>
                <w:szCs w:val="18"/>
              </w:rPr>
              <w:t>% at 5 m), Disease 2007-2008 (35</w:t>
            </w:r>
            <w:r w:rsidRPr="00477C9C">
              <w:rPr>
                <w:rStyle w:val="IntenseReference"/>
                <w:color w:val="auto"/>
                <w:sz w:val="18"/>
                <w:szCs w:val="18"/>
              </w:rPr>
              <w:t>% at 2</w:t>
            </w:r>
            <w:r>
              <w:rPr>
                <w:rStyle w:val="IntenseReference"/>
                <w:color w:val="auto"/>
                <w:sz w:val="18"/>
                <w:szCs w:val="18"/>
              </w:rPr>
              <w:t xml:space="preserve"> m), Cyclone Tasha/Yasi 2011 (61</w:t>
            </w:r>
            <w:r w:rsidRPr="00477C9C">
              <w:rPr>
                <w:rStyle w:val="IntenseReference"/>
                <w:color w:val="auto"/>
                <w:sz w:val="18"/>
                <w:szCs w:val="18"/>
              </w:rPr>
              <w:t>% at 2 m, 41% at 5 m), Bleaching 2017 (</w:t>
            </w:r>
            <w:r>
              <w:rPr>
                <w:rStyle w:val="IntenseReference"/>
                <w:color w:val="auto"/>
                <w:sz w:val="18"/>
                <w:szCs w:val="18"/>
              </w:rPr>
              <w:t>22</w:t>
            </w:r>
            <w:r w:rsidRPr="00477C9C">
              <w:rPr>
                <w:rStyle w:val="IntenseReference"/>
                <w:color w:val="auto"/>
                <w:sz w:val="18"/>
                <w:szCs w:val="18"/>
              </w:rPr>
              <w:t>% at 2m</w:t>
            </w:r>
            <w:r>
              <w:rPr>
                <w:rStyle w:val="IntenseReference"/>
                <w:color w:val="auto"/>
                <w:sz w:val="18"/>
                <w:szCs w:val="18"/>
              </w:rPr>
              <w:t>)</w:t>
            </w:r>
            <w:r w:rsidRPr="00477C9C">
              <w:rPr>
                <w:rStyle w:val="IntenseReference"/>
                <w:color w:val="auto"/>
                <w:sz w:val="18"/>
                <w:szCs w:val="18"/>
              </w:rPr>
              <w:t xml:space="preserve">, </w:t>
            </w:r>
            <w:r>
              <w:rPr>
                <w:rStyle w:val="IntenseReference"/>
                <w:color w:val="auto"/>
                <w:sz w:val="18"/>
                <w:szCs w:val="18"/>
              </w:rPr>
              <w:t>2017* COTS likely to have contributed</w:t>
            </w:r>
          </w:p>
        </w:tc>
      </w:tr>
      <w:tr w:rsidR="00840136" w:rsidRPr="00477C9C" w14:paraId="369A2F01" w14:textId="77777777" w:rsidTr="00840136">
        <w:trPr>
          <w:cantSplit/>
          <w:trHeight w:val="135"/>
        </w:trPr>
        <w:tc>
          <w:tcPr>
            <w:tcW w:w="708" w:type="dxa"/>
            <w:vMerge/>
            <w:vAlign w:val="center"/>
          </w:tcPr>
          <w:p w14:paraId="33AB2DD7" w14:textId="77777777" w:rsidR="00840136" w:rsidRPr="00477C9C" w:rsidRDefault="00840136" w:rsidP="0031416F">
            <w:pPr>
              <w:rPr>
                <w:rStyle w:val="IntenseReference"/>
                <w:rFonts w:eastAsia="Arial Unicode MS"/>
                <w:color w:val="auto"/>
              </w:rPr>
            </w:pPr>
          </w:p>
        </w:tc>
        <w:tc>
          <w:tcPr>
            <w:tcW w:w="1843" w:type="dxa"/>
            <w:tcMar>
              <w:top w:w="16" w:type="dxa"/>
              <w:left w:w="16" w:type="dxa"/>
              <w:bottom w:w="0" w:type="dxa"/>
              <w:right w:w="16" w:type="dxa"/>
            </w:tcMar>
            <w:vAlign w:val="bottom"/>
          </w:tcPr>
          <w:p w14:paraId="490A6E3E" w14:textId="77777777" w:rsidR="00840136" w:rsidRPr="00477C9C" w:rsidRDefault="00840136" w:rsidP="0031416F">
            <w:pPr>
              <w:ind w:left="200"/>
              <w:rPr>
                <w:rStyle w:val="IntenseReference"/>
                <w:rFonts w:eastAsia="Arial Unicode MS"/>
                <w:color w:val="auto"/>
              </w:rPr>
            </w:pPr>
            <w:r w:rsidRPr="00477C9C">
              <w:rPr>
                <w:rStyle w:val="IntenseReference"/>
                <w:color w:val="auto"/>
              </w:rPr>
              <w:t>Franklands West</w:t>
            </w:r>
          </w:p>
        </w:tc>
        <w:tc>
          <w:tcPr>
            <w:tcW w:w="976" w:type="dxa"/>
            <w:tcMar>
              <w:top w:w="16" w:type="dxa"/>
              <w:left w:w="16" w:type="dxa"/>
              <w:bottom w:w="0" w:type="dxa"/>
              <w:right w:w="16" w:type="dxa"/>
            </w:tcMar>
            <w:vAlign w:val="center"/>
          </w:tcPr>
          <w:p w14:paraId="303411E6" w14:textId="77777777" w:rsidR="00840136" w:rsidRPr="00477C9C" w:rsidRDefault="00840136" w:rsidP="0031416F">
            <w:pPr>
              <w:jc w:val="center"/>
              <w:rPr>
                <w:rStyle w:val="IntenseReference"/>
                <w:rFonts w:eastAsia="Arial Unicode MS"/>
                <w:color w:val="auto"/>
                <w:sz w:val="18"/>
                <w:szCs w:val="18"/>
              </w:rPr>
            </w:pPr>
            <w:r w:rsidRPr="00477C9C">
              <w:rPr>
                <w:rStyle w:val="IntenseReference"/>
                <w:color w:val="auto"/>
                <w:sz w:val="18"/>
                <w:szCs w:val="18"/>
              </w:rPr>
              <w:t>0.93 (44%)</w:t>
            </w:r>
          </w:p>
        </w:tc>
        <w:tc>
          <w:tcPr>
            <w:tcW w:w="851" w:type="dxa"/>
            <w:vAlign w:val="center"/>
          </w:tcPr>
          <w:p w14:paraId="589F6212" w14:textId="77777777" w:rsidR="00840136" w:rsidRPr="00477C9C" w:rsidRDefault="00840136" w:rsidP="0031416F">
            <w:pPr>
              <w:jc w:val="center"/>
              <w:rPr>
                <w:rStyle w:val="IntenseReference"/>
                <w:rFonts w:eastAsia="Arial Unicode MS"/>
                <w:color w:val="auto"/>
                <w:sz w:val="18"/>
                <w:szCs w:val="18"/>
              </w:rPr>
            </w:pPr>
            <w:r w:rsidRPr="00477C9C">
              <w:rPr>
                <w:rStyle w:val="IntenseReference"/>
                <w:color w:val="auto"/>
                <w:sz w:val="18"/>
                <w:szCs w:val="18"/>
              </w:rPr>
              <w:t>0.80 (Nil)</w:t>
            </w:r>
          </w:p>
        </w:tc>
        <w:tc>
          <w:tcPr>
            <w:tcW w:w="835" w:type="dxa"/>
            <w:vAlign w:val="center"/>
          </w:tcPr>
          <w:p w14:paraId="75822B3F" w14:textId="77777777" w:rsidR="00840136" w:rsidRPr="00477C9C" w:rsidRDefault="00840136" w:rsidP="0031416F">
            <w:pPr>
              <w:jc w:val="center"/>
              <w:rPr>
                <w:rStyle w:val="IntenseReference"/>
                <w:rFonts w:eastAsia="Arial Unicode MS"/>
                <w:color w:val="auto"/>
                <w:sz w:val="18"/>
                <w:szCs w:val="18"/>
              </w:rPr>
            </w:pPr>
            <w:r>
              <w:rPr>
                <w:rStyle w:val="IntenseReference"/>
                <w:color w:val="auto"/>
                <w:sz w:val="18"/>
                <w:szCs w:val="18"/>
              </w:rPr>
              <w:t>17</w:t>
            </w:r>
            <w:r w:rsidRPr="00477C9C">
              <w:rPr>
                <w:rStyle w:val="IntenseReference"/>
                <w:color w:val="auto"/>
                <w:sz w:val="18"/>
                <w:szCs w:val="18"/>
              </w:rPr>
              <w:t>%</w:t>
            </w:r>
            <w:r>
              <w:rPr>
                <w:rStyle w:val="IntenseReference"/>
                <w:color w:val="auto"/>
                <w:sz w:val="18"/>
                <w:szCs w:val="18"/>
              </w:rPr>
              <w:t>* (</w:t>
            </w:r>
            <w:r w:rsidRPr="00477C9C">
              <w:rPr>
                <w:rStyle w:val="IntenseReference"/>
                <w:color w:val="auto"/>
                <w:sz w:val="18"/>
                <w:szCs w:val="18"/>
              </w:rPr>
              <w:t xml:space="preserve">2m) 21% </w:t>
            </w:r>
            <w:r>
              <w:rPr>
                <w:rStyle w:val="IntenseReference"/>
                <w:color w:val="auto"/>
                <w:sz w:val="18"/>
                <w:szCs w:val="18"/>
              </w:rPr>
              <w:t>(</w:t>
            </w:r>
            <w:r w:rsidRPr="00477C9C">
              <w:rPr>
                <w:rStyle w:val="IntenseReference"/>
                <w:color w:val="auto"/>
                <w:sz w:val="18"/>
                <w:szCs w:val="18"/>
              </w:rPr>
              <w:t>5m)</w:t>
            </w:r>
          </w:p>
        </w:tc>
        <w:tc>
          <w:tcPr>
            <w:tcW w:w="8364" w:type="dxa"/>
            <w:tcMar>
              <w:top w:w="16" w:type="dxa"/>
              <w:left w:w="16" w:type="dxa"/>
              <w:bottom w:w="0" w:type="dxa"/>
              <w:right w:w="16" w:type="dxa"/>
            </w:tcMar>
            <w:vAlign w:val="center"/>
          </w:tcPr>
          <w:p w14:paraId="1DC20082" w14:textId="77777777" w:rsidR="00840136" w:rsidRPr="00477C9C" w:rsidRDefault="00840136" w:rsidP="003A1283">
            <w:pPr>
              <w:spacing w:after="0"/>
              <w:jc w:val="left"/>
              <w:rPr>
                <w:rStyle w:val="IntenseReference"/>
                <w:rFonts w:eastAsia="Arial Unicode MS"/>
                <w:color w:val="auto"/>
                <w:sz w:val="18"/>
                <w:szCs w:val="18"/>
              </w:rPr>
            </w:pPr>
            <w:r w:rsidRPr="00477C9C">
              <w:rPr>
                <w:rStyle w:val="IntenseReference"/>
                <w:color w:val="auto"/>
                <w:sz w:val="18"/>
                <w:szCs w:val="18"/>
              </w:rPr>
              <w:t xml:space="preserve">Unknown </w:t>
            </w:r>
            <w:r w:rsidR="003A1283">
              <w:rPr>
                <w:rStyle w:val="IntenseReference"/>
                <w:color w:val="auto"/>
                <w:sz w:val="18"/>
                <w:szCs w:val="18"/>
              </w:rPr>
              <w:t>al</w:t>
            </w:r>
            <w:r w:rsidRPr="00477C9C">
              <w:rPr>
                <w:rStyle w:val="IntenseReference"/>
                <w:color w:val="auto"/>
                <w:sz w:val="18"/>
                <w:szCs w:val="18"/>
              </w:rPr>
              <w:t xml:space="preserve">though likely </w:t>
            </w:r>
            <w:r w:rsidR="003A1283">
              <w:rPr>
                <w:rStyle w:val="IntenseReference"/>
                <w:color w:val="auto"/>
                <w:sz w:val="18"/>
                <w:szCs w:val="18"/>
              </w:rPr>
              <w:t>COTS</w:t>
            </w:r>
            <w:r w:rsidRPr="00477C9C">
              <w:rPr>
                <w:rStyle w:val="IntenseReference"/>
                <w:color w:val="auto"/>
                <w:sz w:val="18"/>
                <w:szCs w:val="18"/>
              </w:rPr>
              <w:t xml:space="preserve"> 2000 (35%) Cyclone Tasha/Yasi 2011 (35% at 2 m), </w:t>
            </w:r>
            <w:r>
              <w:rPr>
                <w:rStyle w:val="IntenseReference"/>
                <w:color w:val="auto"/>
                <w:sz w:val="18"/>
                <w:szCs w:val="18"/>
              </w:rPr>
              <w:t>2017* COTS likely to have contributed</w:t>
            </w:r>
          </w:p>
        </w:tc>
      </w:tr>
      <w:tr w:rsidR="00840136" w:rsidRPr="00477C9C" w14:paraId="433E41DD" w14:textId="77777777" w:rsidTr="00840136">
        <w:trPr>
          <w:cantSplit/>
          <w:trHeight w:val="322"/>
        </w:trPr>
        <w:tc>
          <w:tcPr>
            <w:tcW w:w="708" w:type="dxa"/>
            <w:vMerge/>
            <w:vAlign w:val="center"/>
          </w:tcPr>
          <w:p w14:paraId="540A008B" w14:textId="77777777" w:rsidR="00840136" w:rsidRPr="00477C9C" w:rsidRDefault="00840136" w:rsidP="0031416F">
            <w:pPr>
              <w:rPr>
                <w:rStyle w:val="IntenseReference"/>
                <w:rFonts w:eastAsia="Arial Unicode MS"/>
                <w:color w:val="auto"/>
              </w:rPr>
            </w:pPr>
          </w:p>
        </w:tc>
        <w:tc>
          <w:tcPr>
            <w:tcW w:w="1843" w:type="dxa"/>
            <w:tcMar>
              <w:top w:w="16" w:type="dxa"/>
              <w:left w:w="16" w:type="dxa"/>
              <w:bottom w:w="0" w:type="dxa"/>
              <w:right w:w="16" w:type="dxa"/>
            </w:tcMar>
            <w:vAlign w:val="bottom"/>
          </w:tcPr>
          <w:p w14:paraId="1EC3C3C4" w14:textId="77777777" w:rsidR="00840136" w:rsidRPr="00477C9C" w:rsidRDefault="00840136" w:rsidP="0031416F">
            <w:pPr>
              <w:ind w:left="200"/>
              <w:rPr>
                <w:rStyle w:val="IntenseReference"/>
                <w:rFonts w:eastAsia="Arial Unicode MS"/>
                <w:color w:val="auto"/>
              </w:rPr>
            </w:pPr>
            <w:r w:rsidRPr="00477C9C">
              <w:rPr>
                <w:rStyle w:val="IntenseReference"/>
                <w:color w:val="auto"/>
              </w:rPr>
              <w:t>High East</w:t>
            </w:r>
          </w:p>
        </w:tc>
        <w:tc>
          <w:tcPr>
            <w:tcW w:w="976" w:type="dxa"/>
            <w:tcMar>
              <w:top w:w="16" w:type="dxa"/>
              <w:left w:w="16" w:type="dxa"/>
              <w:bottom w:w="0" w:type="dxa"/>
              <w:right w:w="16" w:type="dxa"/>
            </w:tcMar>
            <w:vAlign w:val="center"/>
          </w:tcPr>
          <w:p w14:paraId="573A05ED" w14:textId="77777777" w:rsidR="00840136" w:rsidRPr="00477C9C" w:rsidRDefault="00840136" w:rsidP="0031416F">
            <w:pPr>
              <w:jc w:val="center"/>
              <w:rPr>
                <w:rStyle w:val="IntenseReference"/>
                <w:rFonts w:eastAsia="Arial Unicode MS"/>
                <w:color w:val="auto"/>
                <w:sz w:val="18"/>
                <w:szCs w:val="18"/>
              </w:rPr>
            </w:pPr>
            <w:r w:rsidRPr="00477C9C">
              <w:rPr>
                <w:rStyle w:val="IntenseReference"/>
                <w:color w:val="auto"/>
                <w:sz w:val="18"/>
                <w:szCs w:val="18"/>
              </w:rPr>
              <w:t>0.93</w:t>
            </w:r>
          </w:p>
        </w:tc>
        <w:tc>
          <w:tcPr>
            <w:tcW w:w="851" w:type="dxa"/>
            <w:vAlign w:val="center"/>
          </w:tcPr>
          <w:p w14:paraId="68023920" w14:textId="77777777" w:rsidR="00840136" w:rsidRPr="00477C9C" w:rsidRDefault="00840136" w:rsidP="0031416F">
            <w:pPr>
              <w:jc w:val="center"/>
              <w:rPr>
                <w:rStyle w:val="IntenseReference"/>
                <w:rFonts w:eastAsia="Arial Unicode MS"/>
                <w:color w:val="auto"/>
                <w:sz w:val="18"/>
                <w:szCs w:val="18"/>
              </w:rPr>
            </w:pPr>
            <w:r w:rsidRPr="00477C9C">
              <w:rPr>
                <w:rStyle w:val="IntenseReference"/>
                <w:color w:val="auto"/>
                <w:sz w:val="18"/>
                <w:szCs w:val="18"/>
              </w:rPr>
              <w:t>0.80</w:t>
            </w:r>
          </w:p>
        </w:tc>
        <w:tc>
          <w:tcPr>
            <w:tcW w:w="835" w:type="dxa"/>
            <w:vAlign w:val="center"/>
          </w:tcPr>
          <w:p w14:paraId="38566D46" w14:textId="77777777" w:rsidR="00840136" w:rsidRPr="00477C9C" w:rsidRDefault="00840136" w:rsidP="0031416F">
            <w:pPr>
              <w:jc w:val="center"/>
              <w:rPr>
                <w:rStyle w:val="IntenseReference"/>
                <w:rFonts w:eastAsia="Arial Unicode MS"/>
                <w:color w:val="auto"/>
                <w:sz w:val="18"/>
                <w:szCs w:val="18"/>
              </w:rPr>
            </w:pPr>
            <w:r w:rsidRPr="00477C9C">
              <w:rPr>
                <w:rStyle w:val="IntenseReference"/>
                <w:rFonts w:eastAsia="Arial Unicode MS"/>
                <w:color w:val="auto"/>
                <w:sz w:val="18"/>
                <w:szCs w:val="18"/>
              </w:rPr>
              <w:t xml:space="preserve">27% </w:t>
            </w:r>
            <w:r>
              <w:rPr>
                <w:rStyle w:val="IntenseReference"/>
                <w:rFonts w:eastAsia="Arial Unicode MS"/>
                <w:color w:val="auto"/>
                <w:sz w:val="18"/>
                <w:szCs w:val="18"/>
              </w:rPr>
              <w:t>(</w:t>
            </w:r>
            <w:r w:rsidRPr="00477C9C">
              <w:rPr>
                <w:rStyle w:val="IntenseReference"/>
                <w:rFonts w:eastAsia="Arial Unicode MS"/>
                <w:color w:val="auto"/>
                <w:sz w:val="18"/>
                <w:szCs w:val="18"/>
              </w:rPr>
              <w:t>2m</w:t>
            </w:r>
            <w:r>
              <w:rPr>
                <w:rStyle w:val="IntenseReference"/>
                <w:rFonts w:eastAsia="Arial Unicode MS"/>
                <w:color w:val="auto"/>
                <w:sz w:val="18"/>
                <w:szCs w:val="18"/>
              </w:rPr>
              <w:t>)</w:t>
            </w:r>
            <w:r w:rsidRPr="00477C9C">
              <w:rPr>
                <w:rStyle w:val="IntenseReference"/>
                <w:rFonts w:eastAsia="Arial Unicode MS"/>
                <w:color w:val="auto"/>
                <w:sz w:val="18"/>
                <w:szCs w:val="18"/>
              </w:rPr>
              <w:t xml:space="preserve"> </w:t>
            </w:r>
            <w:r>
              <w:rPr>
                <w:rStyle w:val="IntenseReference"/>
                <w:rFonts w:eastAsia="Arial Unicode MS"/>
                <w:color w:val="auto"/>
                <w:sz w:val="18"/>
                <w:szCs w:val="18"/>
              </w:rPr>
              <w:t>11</w:t>
            </w:r>
            <w:r w:rsidRPr="00477C9C">
              <w:rPr>
                <w:rStyle w:val="IntenseReference"/>
                <w:rFonts w:eastAsia="Arial Unicode MS"/>
                <w:color w:val="auto"/>
                <w:sz w:val="18"/>
                <w:szCs w:val="18"/>
              </w:rPr>
              <w:t>%</w:t>
            </w:r>
            <w:r>
              <w:rPr>
                <w:rStyle w:val="IntenseReference"/>
                <w:rFonts w:eastAsia="Arial Unicode MS"/>
                <w:color w:val="auto"/>
                <w:sz w:val="18"/>
                <w:szCs w:val="18"/>
              </w:rPr>
              <w:t>*</w:t>
            </w:r>
            <w:r w:rsidRPr="00477C9C">
              <w:rPr>
                <w:rStyle w:val="IntenseReference"/>
                <w:rFonts w:eastAsia="Arial Unicode MS"/>
                <w:color w:val="auto"/>
                <w:sz w:val="18"/>
                <w:szCs w:val="18"/>
              </w:rPr>
              <w:t xml:space="preserve"> </w:t>
            </w:r>
            <w:r>
              <w:rPr>
                <w:rStyle w:val="IntenseReference"/>
                <w:rFonts w:eastAsia="Arial Unicode MS"/>
                <w:color w:val="auto"/>
                <w:sz w:val="18"/>
                <w:szCs w:val="18"/>
              </w:rPr>
              <w:t>(</w:t>
            </w:r>
            <w:r w:rsidRPr="00477C9C">
              <w:rPr>
                <w:rStyle w:val="IntenseReference"/>
                <w:rFonts w:eastAsia="Arial Unicode MS"/>
                <w:color w:val="auto"/>
                <w:sz w:val="18"/>
                <w:szCs w:val="18"/>
              </w:rPr>
              <w:t>5m)</w:t>
            </w:r>
          </w:p>
        </w:tc>
        <w:tc>
          <w:tcPr>
            <w:tcW w:w="8364" w:type="dxa"/>
            <w:tcMar>
              <w:top w:w="16" w:type="dxa"/>
              <w:left w:w="16" w:type="dxa"/>
              <w:bottom w:w="0" w:type="dxa"/>
              <w:right w:w="16" w:type="dxa"/>
            </w:tcMar>
            <w:vAlign w:val="center"/>
          </w:tcPr>
          <w:p w14:paraId="66AAD871" w14:textId="77777777" w:rsidR="00840136" w:rsidRPr="00477C9C" w:rsidRDefault="00840136" w:rsidP="0031416F">
            <w:pPr>
              <w:spacing w:after="0"/>
              <w:jc w:val="left"/>
              <w:rPr>
                <w:rStyle w:val="IntenseReference"/>
                <w:rFonts w:eastAsia="Arial Unicode MS"/>
                <w:color w:val="auto"/>
                <w:sz w:val="18"/>
                <w:szCs w:val="18"/>
              </w:rPr>
            </w:pPr>
            <w:r>
              <w:rPr>
                <w:rStyle w:val="IntenseReference"/>
                <w:rFonts w:eastAsia="Arial Unicode MS"/>
                <w:color w:val="auto"/>
                <w:sz w:val="18"/>
                <w:szCs w:val="18"/>
              </w:rPr>
              <w:t>Cyclone Tasha/Yasi 2011 (81</w:t>
            </w:r>
            <w:r w:rsidRPr="00477C9C">
              <w:rPr>
                <w:rStyle w:val="IntenseReference"/>
                <w:rFonts w:eastAsia="Arial Unicode MS"/>
                <w:color w:val="auto"/>
                <w:sz w:val="18"/>
                <w:szCs w:val="18"/>
              </w:rPr>
              <w:t xml:space="preserve">% at 2 m, 58% at 5 m), </w:t>
            </w:r>
            <w:r>
              <w:rPr>
                <w:rStyle w:val="IntenseReference"/>
                <w:color w:val="auto"/>
                <w:sz w:val="18"/>
                <w:szCs w:val="18"/>
              </w:rPr>
              <w:t>2017* COTS likely to have contributed</w:t>
            </w:r>
          </w:p>
        </w:tc>
      </w:tr>
      <w:tr w:rsidR="00840136" w:rsidRPr="00477C9C" w14:paraId="59DDA41C" w14:textId="77777777" w:rsidTr="00840136">
        <w:trPr>
          <w:cantSplit/>
          <w:trHeight w:val="388"/>
        </w:trPr>
        <w:tc>
          <w:tcPr>
            <w:tcW w:w="708" w:type="dxa"/>
            <w:vMerge/>
            <w:vAlign w:val="center"/>
          </w:tcPr>
          <w:p w14:paraId="46719AD2" w14:textId="77777777" w:rsidR="00840136" w:rsidRPr="00477C9C" w:rsidRDefault="00840136" w:rsidP="0031416F">
            <w:pPr>
              <w:rPr>
                <w:rStyle w:val="IntenseReference"/>
                <w:rFonts w:eastAsia="Arial Unicode MS"/>
                <w:color w:val="auto"/>
              </w:rPr>
            </w:pPr>
          </w:p>
        </w:tc>
        <w:tc>
          <w:tcPr>
            <w:tcW w:w="1843" w:type="dxa"/>
            <w:tcMar>
              <w:top w:w="16" w:type="dxa"/>
              <w:left w:w="16" w:type="dxa"/>
              <w:bottom w:w="0" w:type="dxa"/>
              <w:right w:w="16" w:type="dxa"/>
            </w:tcMar>
            <w:vAlign w:val="bottom"/>
          </w:tcPr>
          <w:p w14:paraId="0F4D3479" w14:textId="77777777" w:rsidR="00840136" w:rsidRPr="00477C9C" w:rsidRDefault="00840136" w:rsidP="0031416F">
            <w:pPr>
              <w:ind w:left="200"/>
              <w:rPr>
                <w:rStyle w:val="IntenseReference"/>
                <w:rFonts w:eastAsia="Arial Unicode MS"/>
                <w:color w:val="auto"/>
              </w:rPr>
            </w:pPr>
            <w:r w:rsidRPr="00477C9C">
              <w:rPr>
                <w:rStyle w:val="IntenseReference"/>
                <w:color w:val="auto"/>
              </w:rPr>
              <w:t>High West</w:t>
            </w:r>
          </w:p>
        </w:tc>
        <w:tc>
          <w:tcPr>
            <w:tcW w:w="976" w:type="dxa"/>
            <w:tcMar>
              <w:top w:w="16" w:type="dxa"/>
              <w:left w:w="16" w:type="dxa"/>
              <w:bottom w:w="0" w:type="dxa"/>
              <w:right w:w="16" w:type="dxa"/>
            </w:tcMar>
            <w:vAlign w:val="center"/>
          </w:tcPr>
          <w:p w14:paraId="1FE2B2B1" w14:textId="77777777" w:rsidR="00840136" w:rsidRPr="00477C9C" w:rsidRDefault="00840136" w:rsidP="0031416F">
            <w:pPr>
              <w:jc w:val="center"/>
              <w:rPr>
                <w:rStyle w:val="IntenseReference"/>
                <w:rFonts w:eastAsia="Arial Unicode MS"/>
                <w:color w:val="auto"/>
                <w:sz w:val="18"/>
                <w:szCs w:val="18"/>
              </w:rPr>
            </w:pPr>
            <w:r w:rsidRPr="00477C9C">
              <w:rPr>
                <w:rStyle w:val="IntenseReference"/>
                <w:color w:val="auto"/>
                <w:sz w:val="18"/>
                <w:szCs w:val="18"/>
              </w:rPr>
              <w:t>0.93</w:t>
            </w:r>
          </w:p>
        </w:tc>
        <w:tc>
          <w:tcPr>
            <w:tcW w:w="851" w:type="dxa"/>
            <w:vAlign w:val="center"/>
          </w:tcPr>
          <w:p w14:paraId="56EDF4A2" w14:textId="77777777" w:rsidR="00840136" w:rsidRPr="00477C9C" w:rsidRDefault="00840136" w:rsidP="0031416F">
            <w:pPr>
              <w:jc w:val="center"/>
              <w:rPr>
                <w:rStyle w:val="IntenseReference"/>
                <w:rFonts w:eastAsia="Arial Unicode MS"/>
                <w:color w:val="auto"/>
                <w:sz w:val="18"/>
                <w:szCs w:val="18"/>
              </w:rPr>
            </w:pPr>
            <w:r w:rsidRPr="00477C9C">
              <w:rPr>
                <w:rStyle w:val="IntenseReference"/>
                <w:color w:val="auto"/>
                <w:sz w:val="18"/>
                <w:szCs w:val="18"/>
              </w:rPr>
              <w:t>0.80</w:t>
            </w:r>
          </w:p>
        </w:tc>
        <w:tc>
          <w:tcPr>
            <w:tcW w:w="835" w:type="dxa"/>
            <w:vAlign w:val="center"/>
          </w:tcPr>
          <w:p w14:paraId="01CEDDDF" w14:textId="77777777" w:rsidR="00840136" w:rsidRPr="00477C9C" w:rsidRDefault="00840136" w:rsidP="0031416F">
            <w:pPr>
              <w:jc w:val="center"/>
              <w:rPr>
                <w:rStyle w:val="IntenseReference"/>
                <w:rFonts w:eastAsia="Arial Unicode MS"/>
                <w:color w:val="auto"/>
                <w:sz w:val="18"/>
                <w:szCs w:val="18"/>
              </w:rPr>
            </w:pPr>
            <w:r>
              <w:rPr>
                <w:rStyle w:val="IntenseReference"/>
                <w:color w:val="auto"/>
                <w:sz w:val="18"/>
                <w:szCs w:val="18"/>
              </w:rPr>
              <w:t>18% (2m) 27</w:t>
            </w:r>
            <w:r w:rsidRPr="00477C9C">
              <w:rPr>
                <w:rStyle w:val="IntenseReference"/>
                <w:color w:val="auto"/>
                <w:sz w:val="18"/>
                <w:szCs w:val="18"/>
              </w:rPr>
              <w:t>%</w:t>
            </w:r>
            <w:r>
              <w:rPr>
                <w:rStyle w:val="IntenseReference"/>
                <w:color w:val="auto"/>
                <w:sz w:val="18"/>
                <w:szCs w:val="18"/>
              </w:rPr>
              <w:t xml:space="preserve"> (</w:t>
            </w:r>
            <w:r w:rsidRPr="00477C9C">
              <w:rPr>
                <w:rStyle w:val="IntenseReference"/>
                <w:color w:val="auto"/>
                <w:sz w:val="18"/>
                <w:szCs w:val="18"/>
              </w:rPr>
              <w:t>5m)</w:t>
            </w:r>
          </w:p>
        </w:tc>
        <w:tc>
          <w:tcPr>
            <w:tcW w:w="8364" w:type="dxa"/>
            <w:tcMar>
              <w:top w:w="16" w:type="dxa"/>
              <w:left w:w="16" w:type="dxa"/>
              <w:bottom w:w="0" w:type="dxa"/>
              <w:right w:w="16" w:type="dxa"/>
            </w:tcMar>
            <w:vAlign w:val="center"/>
          </w:tcPr>
          <w:p w14:paraId="78226084" w14:textId="77777777" w:rsidR="00840136" w:rsidRPr="00477C9C" w:rsidRDefault="00840136" w:rsidP="0031416F">
            <w:pPr>
              <w:spacing w:after="0"/>
              <w:jc w:val="left"/>
              <w:rPr>
                <w:rStyle w:val="IntenseReference"/>
                <w:rFonts w:eastAsia="Arial Unicode MS"/>
                <w:color w:val="auto"/>
                <w:sz w:val="18"/>
                <w:szCs w:val="18"/>
              </w:rPr>
            </w:pPr>
            <w:r>
              <w:rPr>
                <w:rStyle w:val="IntenseReference"/>
                <w:color w:val="auto"/>
                <w:sz w:val="18"/>
                <w:szCs w:val="18"/>
              </w:rPr>
              <w:t>Cyclone Larry 2006 (25</w:t>
            </w:r>
            <w:r w:rsidRPr="00477C9C">
              <w:rPr>
                <w:rStyle w:val="IntenseReference"/>
                <w:color w:val="auto"/>
                <w:sz w:val="18"/>
                <w:szCs w:val="18"/>
              </w:rPr>
              <w:t xml:space="preserve">% </w:t>
            </w:r>
            <w:r>
              <w:rPr>
                <w:rStyle w:val="IntenseReference"/>
                <w:color w:val="auto"/>
                <w:sz w:val="18"/>
                <w:szCs w:val="18"/>
              </w:rPr>
              <w:t>at 5 m), Flood/Bleaching 2009(11</w:t>
            </w:r>
            <w:r w:rsidRPr="00477C9C">
              <w:rPr>
                <w:rStyle w:val="IntenseReference"/>
                <w:color w:val="auto"/>
                <w:sz w:val="18"/>
                <w:szCs w:val="18"/>
              </w:rPr>
              <w:t xml:space="preserve">% at 2 m), Storm 2011 (21% at 2 m, </w:t>
            </w:r>
            <w:r>
              <w:rPr>
                <w:rStyle w:val="IntenseReference"/>
                <w:color w:val="auto"/>
                <w:sz w:val="18"/>
                <w:szCs w:val="18"/>
              </w:rPr>
              <w:t>35% at 5 m)</w:t>
            </w:r>
          </w:p>
        </w:tc>
      </w:tr>
      <w:tr w:rsidR="00840136" w:rsidRPr="00477C9C" w14:paraId="60974668" w14:textId="77777777" w:rsidTr="00840136">
        <w:trPr>
          <w:cantSplit/>
          <w:trHeight w:val="388"/>
        </w:trPr>
        <w:tc>
          <w:tcPr>
            <w:tcW w:w="708" w:type="dxa"/>
            <w:vMerge/>
            <w:vAlign w:val="center"/>
          </w:tcPr>
          <w:p w14:paraId="26EDB631" w14:textId="77777777" w:rsidR="00840136" w:rsidRPr="00477C9C" w:rsidRDefault="00840136" w:rsidP="0031416F">
            <w:pPr>
              <w:rPr>
                <w:rStyle w:val="IntenseReference"/>
                <w:rFonts w:eastAsia="Arial Unicode MS"/>
                <w:color w:val="auto"/>
              </w:rPr>
            </w:pPr>
          </w:p>
        </w:tc>
        <w:tc>
          <w:tcPr>
            <w:tcW w:w="1843" w:type="dxa"/>
            <w:tcMar>
              <w:top w:w="16" w:type="dxa"/>
              <w:left w:w="16" w:type="dxa"/>
              <w:bottom w:w="0" w:type="dxa"/>
              <w:right w:w="16" w:type="dxa"/>
            </w:tcMar>
            <w:vAlign w:val="bottom"/>
          </w:tcPr>
          <w:p w14:paraId="08733E7C" w14:textId="77777777" w:rsidR="00840136" w:rsidRPr="00477C9C" w:rsidRDefault="00840136" w:rsidP="0031416F">
            <w:pPr>
              <w:ind w:left="200"/>
              <w:rPr>
                <w:rStyle w:val="IntenseReference"/>
                <w:color w:val="auto"/>
              </w:rPr>
            </w:pPr>
            <w:r w:rsidRPr="00477C9C">
              <w:rPr>
                <w:rStyle w:val="IntenseReference"/>
                <w:color w:val="auto"/>
              </w:rPr>
              <w:t>Green</w:t>
            </w:r>
          </w:p>
        </w:tc>
        <w:tc>
          <w:tcPr>
            <w:tcW w:w="976" w:type="dxa"/>
            <w:tcMar>
              <w:top w:w="16" w:type="dxa"/>
              <w:left w:w="16" w:type="dxa"/>
              <w:bottom w:w="0" w:type="dxa"/>
              <w:right w:w="16" w:type="dxa"/>
            </w:tcMar>
            <w:vAlign w:val="center"/>
          </w:tcPr>
          <w:p w14:paraId="4830D5DE" w14:textId="77777777" w:rsidR="00840136" w:rsidRPr="00477C9C" w:rsidRDefault="00840136" w:rsidP="0031416F">
            <w:pPr>
              <w:jc w:val="center"/>
              <w:rPr>
                <w:rStyle w:val="IntenseReference"/>
                <w:color w:val="auto"/>
                <w:sz w:val="18"/>
                <w:szCs w:val="18"/>
              </w:rPr>
            </w:pPr>
          </w:p>
        </w:tc>
        <w:tc>
          <w:tcPr>
            <w:tcW w:w="851" w:type="dxa"/>
            <w:vAlign w:val="center"/>
          </w:tcPr>
          <w:p w14:paraId="14896FAE" w14:textId="77777777" w:rsidR="00840136" w:rsidRPr="00477C9C" w:rsidRDefault="00840136" w:rsidP="0031416F">
            <w:pPr>
              <w:jc w:val="center"/>
              <w:rPr>
                <w:rStyle w:val="IntenseReference"/>
                <w:color w:val="auto"/>
                <w:sz w:val="18"/>
                <w:szCs w:val="18"/>
              </w:rPr>
            </w:pPr>
          </w:p>
        </w:tc>
        <w:tc>
          <w:tcPr>
            <w:tcW w:w="835" w:type="dxa"/>
            <w:vAlign w:val="center"/>
          </w:tcPr>
          <w:p w14:paraId="778E2B5E" w14:textId="77777777" w:rsidR="00840136" w:rsidRPr="00477C9C" w:rsidRDefault="00840136" w:rsidP="0031416F">
            <w:pPr>
              <w:jc w:val="center"/>
              <w:rPr>
                <w:rStyle w:val="IntenseReference"/>
                <w:rFonts w:eastAsia="Arial Unicode MS"/>
                <w:color w:val="auto"/>
                <w:sz w:val="18"/>
                <w:szCs w:val="18"/>
              </w:rPr>
            </w:pPr>
            <w:r>
              <w:rPr>
                <w:rStyle w:val="IntenseReference"/>
                <w:rFonts w:eastAsia="Arial Unicode MS"/>
                <w:color w:val="auto"/>
                <w:sz w:val="18"/>
                <w:szCs w:val="18"/>
              </w:rPr>
              <w:t>n/a</w:t>
            </w:r>
          </w:p>
        </w:tc>
        <w:tc>
          <w:tcPr>
            <w:tcW w:w="8364" w:type="dxa"/>
            <w:tcMar>
              <w:top w:w="16" w:type="dxa"/>
              <w:left w:w="16" w:type="dxa"/>
              <w:bottom w:w="0" w:type="dxa"/>
              <w:right w:w="16" w:type="dxa"/>
            </w:tcMar>
            <w:vAlign w:val="center"/>
          </w:tcPr>
          <w:p w14:paraId="2422A817" w14:textId="77777777" w:rsidR="00840136" w:rsidRPr="00477C9C" w:rsidRDefault="00840136" w:rsidP="003A1283">
            <w:pPr>
              <w:spacing w:after="0"/>
              <w:rPr>
                <w:rStyle w:val="IntenseReference"/>
                <w:color w:val="auto"/>
                <w:sz w:val="18"/>
                <w:szCs w:val="18"/>
              </w:rPr>
            </w:pPr>
            <w:r w:rsidRPr="00477C9C">
              <w:rPr>
                <w:rStyle w:val="IntenseReference"/>
                <w:color w:val="auto"/>
                <w:sz w:val="18"/>
                <w:szCs w:val="18"/>
              </w:rPr>
              <w:t>C</w:t>
            </w:r>
            <w:r w:rsidR="003A1283">
              <w:rPr>
                <w:rStyle w:val="IntenseReference"/>
                <w:color w:val="auto"/>
                <w:sz w:val="18"/>
                <w:szCs w:val="18"/>
              </w:rPr>
              <w:t>OTS:</w:t>
            </w:r>
            <w:r w:rsidRPr="00477C9C">
              <w:rPr>
                <w:rStyle w:val="IntenseReference"/>
                <w:color w:val="auto"/>
                <w:sz w:val="18"/>
                <w:szCs w:val="18"/>
              </w:rPr>
              <w:t xml:space="preserve"> </w:t>
            </w:r>
            <w:r>
              <w:rPr>
                <w:rStyle w:val="IntenseReference"/>
                <w:color w:val="auto"/>
                <w:sz w:val="18"/>
                <w:szCs w:val="18"/>
              </w:rPr>
              <w:t xml:space="preserve">1994 (21%), </w:t>
            </w:r>
            <w:r w:rsidRPr="00477C9C">
              <w:rPr>
                <w:rStyle w:val="IntenseReference"/>
                <w:color w:val="auto"/>
                <w:sz w:val="18"/>
                <w:szCs w:val="18"/>
              </w:rPr>
              <w:t xml:space="preserve">1997 (55%), </w:t>
            </w:r>
            <w:r>
              <w:rPr>
                <w:rStyle w:val="IntenseReference"/>
                <w:color w:val="auto"/>
                <w:sz w:val="18"/>
                <w:szCs w:val="18"/>
              </w:rPr>
              <w:t>2011-2013 (44%), 2014-2015 (47</w:t>
            </w:r>
            <w:r w:rsidRPr="00477C9C">
              <w:rPr>
                <w:rStyle w:val="IntenseReference"/>
                <w:color w:val="auto"/>
                <w:sz w:val="18"/>
                <w:szCs w:val="18"/>
              </w:rPr>
              <w:t>%)</w:t>
            </w:r>
          </w:p>
        </w:tc>
      </w:tr>
    </w:tbl>
    <w:p w14:paraId="2674EBA2" w14:textId="77777777" w:rsidR="00840136" w:rsidRDefault="00840136">
      <w:pPr>
        <w:rPr>
          <w:rFonts w:ascii="Arial Narrow" w:hAnsi="Arial Narrow"/>
          <w:bCs/>
          <w:sz w:val="20"/>
        </w:rPr>
      </w:pPr>
      <w:bookmarkStart w:id="357" w:name="_Hlk167498955"/>
    </w:p>
    <w:p w14:paraId="6E80763F" w14:textId="77777777" w:rsidR="00840136" w:rsidRDefault="00840136">
      <w:pPr>
        <w:jc w:val="left"/>
        <w:rPr>
          <w:rFonts w:ascii="Arial Narrow" w:hAnsi="Arial Narrow"/>
          <w:bCs/>
          <w:sz w:val="20"/>
        </w:rPr>
      </w:pPr>
      <w:r>
        <w:rPr>
          <w:rFonts w:ascii="Arial Narrow" w:hAnsi="Arial Narrow"/>
          <w:bCs/>
          <w:sz w:val="20"/>
        </w:rPr>
        <w:br w:type="page"/>
      </w:r>
    </w:p>
    <w:p w14:paraId="51454B44" w14:textId="77777777" w:rsidR="004370C0" w:rsidRPr="00477C9C" w:rsidRDefault="004370C0" w:rsidP="004370C0">
      <w:pPr>
        <w:rPr>
          <w:rStyle w:val="IntenseReference"/>
          <w:color w:val="auto"/>
        </w:rPr>
      </w:pPr>
      <w:r w:rsidRPr="00477C9C">
        <w:rPr>
          <w:rFonts w:ascii="Arial Narrow" w:hAnsi="Arial Narrow"/>
          <w:bCs/>
          <w:sz w:val="20"/>
        </w:rPr>
        <w:t>Table A1. 4</w:t>
      </w:r>
      <w:r w:rsidRPr="00477C9C">
        <w:rPr>
          <w:rStyle w:val="IntenseReference"/>
          <w:color w:val="auto"/>
        </w:rPr>
        <w:t xml:space="preserve"> </w:t>
      </w:r>
      <w:r w:rsidRPr="00477C9C">
        <w:rPr>
          <w:rFonts w:ascii="Arial Narrow" w:hAnsi="Arial Narrow"/>
          <w:sz w:val="20"/>
        </w:rPr>
        <w:t>continued</w:t>
      </w:r>
    </w:p>
    <w:tbl>
      <w:tblPr>
        <w:tblW w:w="13609" w:type="dxa"/>
        <w:tblInd w:w="1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83"/>
        <w:gridCol w:w="1907"/>
        <w:gridCol w:w="954"/>
        <w:gridCol w:w="816"/>
        <w:gridCol w:w="808"/>
        <w:gridCol w:w="8541"/>
      </w:tblGrid>
      <w:tr w:rsidR="00A57ADA" w:rsidRPr="00477C9C" w14:paraId="2CDDBD12" w14:textId="77777777" w:rsidTr="00A57ADA">
        <w:trPr>
          <w:cantSplit/>
          <w:trHeight w:val="264"/>
        </w:trPr>
        <w:tc>
          <w:tcPr>
            <w:tcW w:w="583" w:type="dxa"/>
            <w:vMerge w:val="restart"/>
            <w:shd w:val="clear" w:color="auto" w:fill="F2F2F2" w:themeFill="background1" w:themeFillShade="F2"/>
            <w:tcMar>
              <w:top w:w="16" w:type="dxa"/>
              <w:left w:w="16" w:type="dxa"/>
              <w:bottom w:w="0" w:type="dxa"/>
              <w:right w:w="16" w:type="dxa"/>
            </w:tcMar>
            <w:textDirection w:val="btLr"/>
            <w:vAlign w:val="center"/>
          </w:tcPr>
          <w:p w14:paraId="6A655D9F" w14:textId="77777777" w:rsidR="00A57ADA" w:rsidRPr="00477C9C" w:rsidRDefault="00A57ADA" w:rsidP="009C7B87">
            <w:pPr>
              <w:jc w:val="center"/>
              <w:rPr>
                <w:rStyle w:val="IntenseReference"/>
                <w:rFonts w:eastAsia="Arial Unicode MS"/>
                <w:color w:val="auto"/>
              </w:rPr>
            </w:pPr>
            <w:r>
              <w:rPr>
                <w:rStyle w:val="IntenseReference"/>
                <w:rFonts w:eastAsia="Arial Unicode MS"/>
                <w:color w:val="auto"/>
              </w:rPr>
              <w:t>Sub-Region</w:t>
            </w:r>
          </w:p>
        </w:tc>
        <w:tc>
          <w:tcPr>
            <w:tcW w:w="1907" w:type="dxa"/>
            <w:vMerge w:val="restart"/>
            <w:shd w:val="clear" w:color="auto" w:fill="F2F2F2" w:themeFill="background1" w:themeFillShade="F2"/>
            <w:tcMar>
              <w:top w:w="16" w:type="dxa"/>
              <w:left w:w="16" w:type="dxa"/>
              <w:bottom w:w="0" w:type="dxa"/>
              <w:right w:w="16" w:type="dxa"/>
            </w:tcMar>
            <w:vAlign w:val="center"/>
          </w:tcPr>
          <w:p w14:paraId="4DC58882" w14:textId="77777777" w:rsidR="00A57ADA" w:rsidRPr="00477C9C" w:rsidRDefault="00A57ADA" w:rsidP="009C7B87">
            <w:pPr>
              <w:jc w:val="center"/>
              <w:rPr>
                <w:rStyle w:val="IntenseReference"/>
                <w:rFonts w:eastAsia="Arial Unicode MS"/>
                <w:color w:val="auto"/>
              </w:rPr>
            </w:pPr>
            <w:r w:rsidRPr="00477C9C">
              <w:rPr>
                <w:rStyle w:val="IntenseReference"/>
                <w:color w:val="auto"/>
              </w:rPr>
              <w:t>Reef</w:t>
            </w:r>
          </w:p>
        </w:tc>
        <w:tc>
          <w:tcPr>
            <w:tcW w:w="2578" w:type="dxa"/>
            <w:gridSpan w:val="3"/>
            <w:shd w:val="clear" w:color="auto" w:fill="F2F2F2" w:themeFill="background1" w:themeFillShade="F2"/>
          </w:tcPr>
          <w:p w14:paraId="2E12C4B6" w14:textId="77777777" w:rsidR="00A57ADA" w:rsidRPr="00477C9C" w:rsidRDefault="00A57ADA" w:rsidP="009C7B87">
            <w:pPr>
              <w:jc w:val="center"/>
              <w:rPr>
                <w:rFonts w:ascii="Arial Narrow" w:eastAsia="Arial Unicode MS" w:hAnsi="Arial Narrow"/>
                <w:bCs/>
                <w:sz w:val="20"/>
              </w:rPr>
            </w:pPr>
            <w:r w:rsidRPr="00477C9C">
              <w:rPr>
                <w:rStyle w:val="IntenseReference"/>
                <w:color w:val="auto"/>
              </w:rPr>
              <w:t>Bleaching</w:t>
            </w:r>
          </w:p>
        </w:tc>
        <w:tc>
          <w:tcPr>
            <w:tcW w:w="8541" w:type="dxa"/>
            <w:vMerge w:val="restart"/>
            <w:shd w:val="clear" w:color="auto" w:fill="F2F2F2" w:themeFill="background1" w:themeFillShade="F2"/>
            <w:tcMar>
              <w:top w:w="16" w:type="dxa"/>
              <w:left w:w="16" w:type="dxa"/>
              <w:bottom w:w="0" w:type="dxa"/>
              <w:right w:w="16" w:type="dxa"/>
            </w:tcMar>
            <w:vAlign w:val="center"/>
          </w:tcPr>
          <w:p w14:paraId="211139A9" w14:textId="77777777" w:rsidR="00A57ADA" w:rsidRPr="00477C9C" w:rsidRDefault="00A57ADA" w:rsidP="009C7B87">
            <w:pPr>
              <w:spacing w:after="0"/>
              <w:jc w:val="center"/>
              <w:rPr>
                <w:rFonts w:ascii="Arial Narrow" w:hAnsi="Arial Narrow"/>
                <w:bCs/>
                <w:sz w:val="20"/>
              </w:rPr>
            </w:pPr>
            <w:r w:rsidRPr="00477C9C">
              <w:rPr>
                <w:rStyle w:val="IntenseReference"/>
                <w:color w:val="auto"/>
              </w:rPr>
              <w:t>Other recorded disturbances</w:t>
            </w:r>
          </w:p>
        </w:tc>
      </w:tr>
      <w:tr w:rsidR="00A57ADA" w:rsidRPr="00477C9C" w14:paraId="3ADBA05C" w14:textId="77777777" w:rsidTr="00A57ADA">
        <w:trPr>
          <w:cantSplit/>
          <w:trHeight w:val="550"/>
        </w:trPr>
        <w:tc>
          <w:tcPr>
            <w:tcW w:w="583" w:type="dxa"/>
            <w:vMerge/>
            <w:tcMar>
              <w:top w:w="16" w:type="dxa"/>
              <w:left w:w="16" w:type="dxa"/>
              <w:bottom w:w="0" w:type="dxa"/>
              <w:right w:w="16" w:type="dxa"/>
            </w:tcMar>
            <w:textDirection w:val="btLr"/>
            <w:vAlign w:val="center"/>
          </w:tcPr>
          <w:p w14:paraId="51AB299D" w14:textId="77777777" w:rsidR="00A57ADA" w:rsidRPr="00477C9C" w:rsidRDefault="00A57ADA" w:rsidP="009C7B87">
            <w:pPr>
              <w:jc w:val="center"/>
              <w:rPr>
                <w:rFonts w:ascii="Arial Narrow" w:hAnsi="Arial Narrow"/>
                <w:bCs/>
                <w:sz w:val="20"/>
              </w:rPr>
            </w:pPr>
          </w:p>
        </w:tc>
        <w:tc>
          <w:tcPr>
            <w:tcW w:w="1907" w:type="dxa"/>
            <w:vMerge/>
            <w:tcMar>
              <w:top w:w="16" w:type="dxa"/>
              <w:left w:w="16" w:type="dxa"/>
              <w:bottom w:w="0" w:type="dxa"/>
              <w:right w:w="16" w:type="dxa"/>
            </w:tcMar>
            <w:vAlign w:val="bottom"/>
          </w:tcPr>
          <w:p w14:paraId="2E685037" w14:textId="77777777" w:rsidR="00A57ADA" w:rsidRPr="00477C9C" w:rsidRDefault="00A57ADA" w:rsidP="009C7B87">
            <w:pPr>
              <w:ind w:left="200"/>
              <w:rPr>
                <w:rFonts w:ascii="Arial Narrow" w:hAnsi="Arial Narrow"/>
                <w:bCs/>
                <w:sz w:val="20"/>
              </w:rPr>
            </w:pPr>
          </w:p>
        </w:tc>
        <w:tc>
          <w:tcPr>
            <w:tcW w:w="954" w:type="dxa"/>
            <w:shd w:val="clear" w:color="auto" w:fill="F2F2F2" w:themeFill="background1" w:themeFillShade="F2"/>
            <w:tcMar>
              <w:top w:w="16" w:type="dxa"/>
              <w:left w:w="16" w:type="dxa"/>
              <w:bottom w:w="0" w:type="dxa"/>
              <w:right w:w="16" w:type="dxa"/>
            </w:tcMar>
            <w:vAlign w:val="center"/>
          </w:tcPr>
          <w:p w14:paraId="72DA2232" w14:textId="77777777" w:rsidR="00A57ADA" w:rsidRPr="00477C9C" w:rsidRDefault="00A57ADA" w:rsidP="009C7B87">
            <w:pPr>
              <w:jc w:val="center"/>
              <w:rPr>
                <w:rStyle w:val="IntenseReference"/>
                <w:rFonts w:eastAsia="Arial Unicode MS"/>
                <w:color w:val="auto"/>
              </w:rPr>
            </w:pPr>
            <w:r w:rsidRPr="00477C9C">
              <w:rPr>
                <w:rStyle w:val="IntenseReference"/>
                <w:color w:val="auto"/>
              </w:rPr>
              <w:t>1998</w:t>
            </w:r>
          </w:p>
        </w:tc>
        <w:tc>
          <w:tcPr>
            <w:tcW w:w="816" w:type="dxa"/>
            <w:shd w:val="clear" w:color="auto" w:fill="F2F2F2" w:themeFill="background1" w:themeFillShade="F2"/>
            <w:vAlign w:val="center"/>
          </w:tcPr>
          <w:p w14:paraId="355EDEA9" w14:textId="77777777" w:rsidR="00A57ADA" w:rsidRPr="00477C9C" w:rsidRDefault="00A57ADA" w:rsidP="009C7B87">
            <w:pPr>
              <w:jc w:val="center"/>
              <w:rPr>
                <w:rStyle w:val="IntenseReference"/>
                <w:rFonts w:eastAsia="Arial Unicode MS"/>
                <w:color w:val="auto"/>
              </w:rPr>
            </w:pPr>
            <w:r w:rsidRPr="00477C9C">
              <w:rPr>
                <w:rStyle w:val="IntenseReference"/>
                <w:color w:val="auto"/>
              </w:rPr>
              <w:t>2002</w:t>
            </w:r>
          </w:p>
        </w:tc>
        <w:tc>
          <w:tcPr>
            <w:tcW w:w="808" w:type="dxa"/>
            <w:shd w:val="clear" w:color="auto" w:fill="F2F2F2" w:themeFill="background1" w:themeFillShade="F2"/>
            <w:tcMar>
              <w:top w:w="16" w:type="dxa"/>
              <w:left w:w="16" w:type="dxa"/>
              <w:bottom w:w="0" w:type="dxa"/>
              <w:right w:w="16" w:type="dxa"/>
            </w:tcMar>
            <w:vAlign w:val="center"/>
          </w:tcPr>
          <w:p w14:paraId="1390D509" w14:textId="77777777" w:rsidR="00A57ADA" w:rsidRPr="00477C9C" w:rsidRDefault="00A57ADA" w:rsidP="009C7B87">
            <w:pPr>
              <w:jc w:val="center"/>
              <w:rPr>
                <w:rStyle w:val="IntenseReference"/>
                <w:rFonts w:eastAsia="Arial Unicode MS"/>
                <w:color w:val="auto"/>
              </w:rPr>
            </w:pPr>
            <w:r>
              <w:rPr>
                <w:rStyle w:val="IntenseReference"/>
                <w:rFonts w:eastAsia="Arial Unicode MS"/>
                <w:color w:val="auto"/>
              </w:rPr>
              <w:t>2017</w:t>
            </w:r>
          </w:p>
        </w:tc>
        <w:tc>
          <w:tcPr>
            <w:tcW w:w="8541" w:type="dxa"/>
            <w:vMerge/>
            <w:tcMar>
              <w:top w:w="16" w:type="dxa"/>
              <w:left w:w="16" w:type="dxa"/>
              <w:bottom w:w="0" w:type="dxa"/>
              <w:right w:w="16" w:type="dxa"/>
            </w:tcMar>
            <w:vAlign w:val="bottom"/>
          </w:tcPr>
          <w:p w14:paraId="3649735E" w14:textId="77777777" w:rsidR="00A57ADA" w:rsidRPr="00477C9C" w:rsidRDefault="00A57ADA" w:rsidP="009C7B87">
            <w:pPr>
              <w:spacing w:after="0"/>
              <w:rPr>
                <w:rFonts w:ascii="Arial Narrow" w:hAnsi="Arial Narrow"/>
                <w:bCs/>
                <w:sz w:val="20"/>
              </w:rPr>
            </w:pPr>
          </w:p>
        </w:tc>
      </w:tr>
      <w:tr w:rsidR="00A57ADA" w:rsidRPr="00477C9C" w14:paraId="60B6AE46" w14:textId="77777777" w:rsidTr="00A57ADA">
        <w:trPr>
          <w:cantSplit/>
          <w:trHeight w:val="264"/>
        </w:trPr>
        <w:tc>
          <w:tcPr>
            <w:tcW w:w="583" w:type="dxa"/>
            <w:vMerge w:val="restart"/>
            <w:tcMar>
              <w:top w:w="16" w:type="dxa"/>
              <w:left w:w="16" w:type="dxa"/>
              <w:bottom w:w="0" w:type="dxa"/>
              <w:right w:w="16" w:type="dxa"/>
            </w:tcMar>
            <w:textDirection w:val="btLr"/>
            <w:vAlign w:val="center"/>
          </w:tcPr>
          <w:p w14:paraId="16A3C0A4" w14:textId="77777777" w:rsidR="00A57ADA" w:rsidRPr="00477C9C" w:rsidRDefault="00A57ADA" w:rsidP="004370C0">
            <w:pPr>
              <w:jc w:val="center"/>
              <w:rPr>
                <w:rFonts w:ascii="Arial Narrow" w:eastAsia="Arial Unicode MS" w:hAnsi="Arial Narrow"/>
                <w:bCs/>
                <w:sz w:val="20"/>
              </w:rPr>
            </w:pPr>
            <w:r>
              <w:rPr>
                <w:rFonts w:ascii="Arial Narrow" w:hAnsi="Arial Narrow"/>
                <w:bCs/>
                <w:sz w:val="20"/>
              </w:rPr>
              <w:t>Tully - Herbert</w:t>
            </w:r>
          </w:p>
        </w:tc>
        <w:tc>
          <w:tcPr>
            <w:tcW w:w="1907" w:type="dxa"/>
            <w:tcMar>
              <w:top w:w="16" w:type="dxa"/>
              <w:left w:w="16" w:type="dxa"/>
              <w:bottom w:w="0" w:type="dxa"/>
              <w:right w:w="16" w:type="dxa"/>
            </w:tcMar>
            <w:vAlign w:val="bottom"/>
          </w:tcPr>
          <w:p w14:paraId="2322178A" w14:textId="77777777" w:rsidR="00A57ADA" w:rsidRPr="00477C9C" w:rsidRDefault="00A57ADA" w:rsidP="004370C0">
            <w:pPr>
              <w:ind w:left="200"/>
              <w:rPr>
                <w:rFonts w:ascii="Arial Narrow" w:eastAsia="Arial Unicode MS" w:hAnsi="Arial Narrow"/>
                <w:bCs/>
                <w:sz w:val="20"/>
              </w:rPr>
            </w:pPr>
            <w:r w:rsidRPr="00477C9C">
              <w:rPr>
                <w:rStyle w:val="IntenseReference"/>
                <w:color w:val="auto"/>
              </w:rPr>
              <w:t>Barnards</w:t>
            </w:r>
          </w:p>
        </w:tc>
        <w:tc>
          <w:tcPr>
            <w:tcW w:w="954" w:type="dxa"/>
            <w:tcMar>
              <w:top w:w="16" w:type="dxa"/>
              <w:left w:w="16" w:type="dxa"/>
              <w:bottom w:w="0" w:type="dxa"/>
              <w:right w:w="16" w:type="dxa"/>
            </w:tcMar>
            <w:vAlign w:val="center"/>
          </w:tcPr>
          <w:p w14:paraId="6DEDD94E" w14:textId="77777777" w:rsidR="00A57ADA" w:rsidRPr="00477C9C" w:rsidRDefault="00A57ADA" w:rsidP="004370C0">
            <w:pPr>
              <w:jc w:val="center"/>
              <w:rPr>
                <w:rFonts w:ascii="Arial Narrow" w:eastAsia="Arial Unicode MS" w:hAnsi="Arial Narrow"/>
                <w:bCs/>
                <w:sz w:val="18"/>
                <w:szCs w:val="18"/>
              </w:rPr>
            </w:pPr>
            <w:r w:rsidRPr="00477C9C">
              <w:rPr>
                <w:rStyle w:val="IntenseReference"/>
                <w:color w:val="auto"/>
                <w:sz w:val="18"/>
                <w:szCs w:val="18"/>
              </w:rPr>
              <w:t>0.93</w:t>
            </w:r>
          </w:p>
        </w:tc>
        <w:tc>
          <w:tcPr>
            <w:tcW w:w="816" w:type="dxa"/>
            <w:vAlign w:val="center"/>
          </w:tcPr>
          <w:p w14:paraId="58B66CD0" w14:textId="77777777" w:rsidR="00A57ADA" w:rsidRPr="00477C9C" w:rsidRDefault="00A57ADA" w:rsidP="004370C0">
            <w:pPr>
              <w:jc w:val="center"/>
              <w:rPr>
                <w:rFonts w:ascii="Arial Narrow" w:eastAsia="Arial Unicode MS" w:hAnsi="Arial Narrow"/>
                <w:bCs/>
                <w:sz w:val="18"/>
                <w:szCs w:val="18"/>
              </w:rPr>
            </w:pPr>
            <w:r w:rsidRPr="00477C9C">
              <w:rPr>
                <w:rStyle w:val="IntenseReference"/>
                <w:color w:val="auto"/>
                <w:sz w:val="18"/>
                <w:szCs w:val="18"/>
              </w:rPr>
              <w:t>0.80</w:t>
            </w:r>
          </w:p>
        </w:tc>
        <w:tc>
          <w:tcPr>
            <w:tcW w:w="808" w:type="dxa"/>
            <w:tcMar>
              <w:top w:w="16" w:type="dxa"/>
              <w:left w:w="16" w:type="dxa"/>
              <w:bottom w:w="0" w:type="dxa"/>
              <w:right w:w="16" w:type="dxa"/>
            </w:tcMar>
            <w:vAlign w:val="center"/>
          </w:tcPr>
          <w:p w14:paraId="69793B8E" w14:textId="77777777" w:rsidR="00A57ADA" w:rsidRPr="00477C9C" w:rsidRDefault="00A57ADA" w:rsidP="004370C0">
            <w:pPr>
              <w:jc w:val="center"/>
              <w:rPr>
                <w:rFonts w:ascii="Arial Narrow" w:eastAsia="Arial Unicode MS" w:hAnsi="Arial Narrow"/>
                <w:bCs/>
                <w:sz w:val="18"/>
                <w:szCs w:val="18"/>
              </w:rPr>
            </w:pPr>
            <w:r>
              <w:rPr>
                <w:rStyle w:val="IntenseReference"/>
                <w:color w:val="auto"/>
                <w:sz w:val="18"/>
                <w:szCs w:val="18"/>
              </w:rPr>
              <w:t>17% (2m)</w:t>
            </w:r>
          </w:p>
        </w:tc>
        <w:tc>
          <w:tcPr>
            <w:tcW w:w="8541" w:type="dxa"/>
            <w:tcMar>
              <w:top w:w="16" w:type="dxa"/>
              <w:left w:w="16" w:type="dxa"/>
              <w:bottom w:w="0" w:type="dxa"/>
              <w:right w:w="16" w:type="dxa"/>
            </w:tcMar>
            <w:vAlign w:val="center"/>
          </w:tcPr>
          <w:p w14:paraId="6AEEA82D" w14:textId="77777777" w:rsidR="00A57ADA" w:rsidRPr="00477C9C" w:rsidRDefault="00A57ADA" w:rsidP="004370C0">
            <w:pPr>
              <w:spacing w:after="0"/>
              <w:jc w:val="left"/>
              <w:rPr>
                <w:rFonts w:ascii="Arial Narrow" w:hAnsi="Arial Narrow"/>
                <w:bCs/>
                <w:sz w:val="18"/>
                <w:szCs w:val="18"/>
              </w:rPr>
            </w:pPr>
            <w:r w:rsidRPr="00477C9C">
              <w:rPr>
                <w:rStyle w:val="IntenseReference"/>
                <w:color w:val="auto"/>
                <w:sz w:val="18"/>
                <w:szCs w:val="18"/>
              </w:rPr>
              <w:t>Cyclone Larry 2006 (95% at 2 m 87% at 5 m), Cyclone Yasi 2011 (53% at 2 m, 24% at 5 m)</w:t>
            </w:r>
            <w:r>
              <w:rPr>
                <w:rStyle w:val="IntenseReference"/>
                <w:color w:val="auto"/>
                <w:sz w:val="18"/>
                <w:szCs w:val="18"/>
              </w:rPr>
              <w:t xml:space="preserve"> </w:t>
            </w:r>
          </w:p>
        </w:tc>
      </w:tr>
      <w:tr w:rsidR="00A57ADA" w:rsidRPr="00477C9C" w14:paraId="06F1DF0C" w14:textId="77777777" w:rsidTr="00A57ADA">
        <w:trPr>
          <w:cantSplit/>
          <w:trHeight w:val="236"/>
        </w:trPr>
        <w:tc>
          <w:tcPr>
            <w:tcW w:w="583" w:type="dxa"/>
            <w:vMerge/>
            <w:vAlign w:val="center"/>
          </w:tcPr>
          <w:p w14:paraId="5B488ADF" w14:textId="77777777" w:rsidR="00A57ADA" w:rsidRPr="00477C9C" w:rsidRDefault="00A57ADA" w:rsidP="004370C0">
            <w:pPr>
              <w:rPr>
                <w:rFonts w:ascii="Arial Narrow" w:eastAsia="Arial Unicode MS" w:hAnsi="Arial Narrow"/>
                <w:bCs/>
                <w:sz w:val="20"/>
              </w:rPr>
            </w:pPr>
          </w:p>
        </w:tc>
        <w:tc>
          <w:tcPr>
            <w:tcW w:w="1907" w:type="dxa"/>
            <w:tcMar>
              <w:top w:w="16" w:type="dxa"/>
              <w:left w:w="16" w:type="dxa"/>
              <w:bottom w:w="0" w:type="dxa"/>
              <w:right w:w="16" w:type="dxa"/>
            </w:tcMar>
            <w:vAlign w:val="bottom"/>
          </w:tcPr>
          <w:p w14:paraId="090465E1" w14:textId="77777777" w:rsidR="00A57ADA" w:rsidRPr="00477C9C" w:rsidRDefault="00A57ADA" w:rsidP="004370C0">
            <w:pPr>
              <w:ind w:left="200"/>
              <w:rPr>
                <w:rFonts w:ascii="Arial Narrow" w:eastAsia="Arial Unicode MS" w:hAnsi="Arial Narrow"/>
                <w:bCs/>
                <w:sz w:val="20"/>
              </w:rPr>
            </w:pPr>
            <w:r w:rsidRPr="00477C9C">
              <w:rPr>
                <w:rStyle w:val="IntenseReference"/>
                <w:color w:val="auto"/>
              </w:rPr>
              <w:t>King Reef</w:t>
            </w:r>
            <w:r>
              <w:rPr>
                <w:rStyle w:val="IntenseReference"/>
                <w:color w:val="auto"/>
              </w:rPr>
              <w:t xml:space="preserve"> </w:t>
            </w:r>
          </w:p>
        </w:tc>
        <w:tc>
          <w:tcPr>
            <w:tcW w:w="954" w:type="dxa"/>
            <w:tcMar>
              <w:top w:w="16" w:type="dxa"/>
              <w:left w:w="16" w:type="dxa"/>
              <w:bottom w:w="0" w:type="dxa"/>
              <w:right w:w="16" w:type="dxa"/>
            </w:tcMar>
            <w:vAlign w:val="center"/>
          </w:tcPr>
          <w:p w14:paraId="08C52C8D" w14:textId="77777777" w:rsidR="00A57ADA" w:rsidRPr="00477C9C" w:rsidRDefault="00A57ADA" w:rsidP="004370C0">
            <w:pPr>
              <w:jc w:val="center"/>
              <w:rPr>
                <w:rFonts w:ascii="Arial Narrow" w:eastAsia="Arial Unicode MS" w:hAnsi="Arial Narrow"/>
                <w:bCs/>
                <w:sz w:val="18"/>
                <w:szCs w:val="18"/>
              </w:rPr>
            </w:pPr>
            <w:r w:rsidRPr="00477C9C">
              <w:rPr>
                <w:rStyle w:val="IntenseReference"/>
                <w:color w:val="auto"/>
                <w:sz w:val="18"/>
                <w:szCs w:val="18"/>
              </w:rPr>
              <w:t>0.93</w:t>
            </w:r>
          </w:p>
        </w:tc>
        <w:tc>
          <w:tcPr>
            <w:tcW w:w="816" w:type="dxa"/>
            <w:vAlign w:val="center"/>
          </w:tcPr>
          <w:p w14:paraId="0F4ADF76" w14:textId="77777777" w:rsidR="00A57ADA" w:rsidRPr="00477C9C" w:rsidRDefault="00A57ADA" w:rsidP="004370C0">
            <w:pPr>
              <w:jc w:val="center"/>
              <w:rPr>
                <w:rFonts w:ascii="Arial Narrow" w:eastAsia="Arial Unicode MS" w:hAnsi="Arial Narrow"/>
                <w:bCs/>
                <w:sz w:val="18"/>
                <w:szCs w:val="18"/>
              </w:rPr>
            </w:pPr>
            <w:r w:rsidRPr="00477C9C">
              <w:rPr>
                <w:rStyle w:val="IntenseReference"/>
                <w:color w:val="auto"/>
                <w:sz w:val="18"/>
                <w:szCs w:val="18"/>
              </w:rPr>
              <w:t>0.85</w:t>
            </w:r>
          </w:p>
        </w:tc>
        <w:tc>
          <w:tcPr>
            <w:tcW w:w="808" w:type="dxa"/>
            <w:tcMar>
              <w:top w:w="16" w:type="dxa"/>
              <w:left w:w="16" w:type="dxa"/>
              <w:bottom w:w="0" w:type="dxa"/>
              <w:right w:w="16" w:type="dxa"/>
            </w:tcMar>
            <w:vAlign w:val="center"/>
          </w:tcPr>
          <w:p w14:paraId="466B7B39" w14:textId="77777777" w:rsidR="00A57ADA" w:rsidRPr="00477C9C" w:rsidRDefault="00A57ADA" w:rsidP="004370C0">
            <w:pPr>
              <w:jc w:val="center"/>
              <w:rPr>
                <w:rFonts w:ascii="Arial Narrow" w:eastAsia="Arial Unicode MS" w:hAnsi="Arial Narrow"/>
                <w:bCs/>
                <w:sz w:val="18"/>
                <w:szCs w:val="18"/>
              </w:rPr>
            </w:pPr>
            <w:r>
              <w:rPr>
                <w:rStyle w:val="IntenseReference"/>
                <w:rFonts w:eastAsia="Arial Unicode MS"/>
                <w:color w:val="auto"/>
                <w:sz w:val="18"/>
                <w:szCs w:val="18"/>
              </w:rPr>
              <w:t>n/a</w:t>
            </w:r>
          </w:p>
        </w:tc>
        <w:tc>
          <w:tcPr>
            <w:tcW w:w="8541" w:type="dxa"/>
            <w:tcMar>
              <w:top w:w="16" w:type="dxa"/>
              <w:left w:w="16" w:type="dxa"/>
              <w:bottom w:w="0" w:type="dxa"/>
              <w:right w:w="16" w:type="dxa"/>
            </w:tcMar>
            <w:vAlign w:val="bottom"/>
          </w:tcPr>
          <w:p w14:paraId="24630CE1" w14:textId="77777777" w:rsidR="00A57ADA" w:rsidRPr="00477C9C" w:rsidRDefault="00A57ADA" w:rsidP="004370C0">
            <w:pPr>
              <w:spacing w:after="0"/>
              <w:jc w:val="left"/>
              <w:rPr>
                <w:rFonts w:ascii="Arial Narrow" w:eastAsia="Arial Unicode MS" w:hAnsi="Arial Narrow"/>
                <w:bCs/>
                <w:sz w:val="18"/>
                <w:szCs w:val="18"/>
              </w:rPr>
            </w:pPr>
            <w:r w:rsidRPr="00477C9C">
              <w:rPr>
                <w:rStyle w:val="IntenseReference"/>
                <w:color w:val="auto"/>
                <w:sz w:val="18"/>
                <w:szCs w:val="18"/>
              </w:rPr>
              <w:t xml:space="preserve">Cyclone Larry 2006 (56% at 2 m,50% at 5 m), </w:t>
            </w:r>
            <w:r>
              <w:rPr>
                <w:rStyle w:val="IntenseReference"/>
                <w:color w:val="auto"/>
                <w:sz w:val="18"/>
                <w:szCs w:val="18"/>
              </w:rPr>
              <w:t>Cyclone Yasi 2011 (71</w:t>
            </w:r>
            <w:r w:rsidRPr="00477C9C">
              <w:rPr>
                <w:rStyle w:val="IntenseReference"/>
                <w:color w:val="auto"/>
                <w:sz w:val="18"/>
                <w:szCs w:val="18"/>
              </w:rPr>
              <w:t>% at 2 m, 3</w:t>
            </w:r>
            <w:r>
              <w:rPr>
                <w:rStyle w:val="IntenseReference"/>
                <w:color w:val="auto"/>
                <w:sz w:val="18"/>
                <w:szCs w:val="18"/>
              </w:rPr>
              <w:t>7</w:t>
            </w:r>
            <w:r w:rsidRPr="00477C9C">
              <w:rPr>
                <w:rStyle w:val="IntenseReference"/>
                <w:color w:val="auto"/>
                <w:sz w:val="18"/>
                <w:szCs w:val="18"/>
              </w:rPr>
              <w:t>% at 5 m)</w:t>
            </w:r>
          </w:p>
        </w:tc>
      </w:tr>
      <w:tr w:rsidR="00A57ADA" w:rsidRPr="002E7B96" w14:paraId="36D6AB9D" w14:textId="77777777" w:rsidTr="00A57ADA">
        <w:trPr>
          <w:cantSplit/>
          <w:trHeight w:val="264"/>
        </w:trPr>
        <w:tc>
          <w:tcPr>
            <w:tcW w:w="583" w:type="dxa"/>
            <w:vMerge/>
            <w:vAlign w:val="center"/>
          </w:tcPr>
          <w:p w14:paraId="08067188" w14:textId="77777777" w:rsidR="00A57ADA" w:rsidRPr="00477C9C" w:rsidRDefault="00A57ADA" w:rsidP="004370C0">
            <w:pPr>
              <w:rPr>
                <w:rFonts w:ascii="Arial Narrow" w:eastAsia="Arial Unicode MS" w:hAnsi="Arial Narrow"/>
                <w:bCs/>
                <w:sz w:val="20"/>
              </w:rPr>
            </w:pPr>
          </w:p>
        </w:tc>
        <w:tc>
          <w:tcPr>
            <w:tcW w:w="1907" w:type="dxa"/>
            <w:tcMar>
              <w:top w:w="16" w:type="dxa"/>
              <w:left w:w="16" w:type="dxa"/>
              <w:bottom w:w="0" w:type="dxa"/>
              <w:right w:w="16" w:type="dxa"/>
            </w:tcMar>
            <w:vAlign w:val="bottom"/>
          </w:tcPr>
          <w:p w14:paraId="7A3E1B49" w14:textId="77777777" w:rsidR="00A57ADA" w:rsidRPr="00477C9C" w:rsidRDefault="00A57ADA" w:rsidP="004370C0">
            <w:pPr>
              <w:ind w:left="200"/>
              <w:rPr>
                <w:rFonts w:ascii="Arial Narrow" w:eastAsia="Arial Unicode MS" w:hAnsi="Arial Narrow"/>
                <w:bCs/>
                <w:sz w:val="20"/>
              </w:rPr>
            </w:pPr>
            <w:r w:rsidRPr="00477C9C">
              <w:rPr>
                <w:rStyle w:val="IntenseReference"/>
                <w:color w:val="auto"/>
              </w:rPr>
              <w:t>Dunk North</w:t>
            </w:r>
          </w:p>
        </w:tc>
        <w:tc>
          <w:tcPr>
            <w:tcW w:w="954" w:type="dxa"/>
            <w:tcMar>
              <w:top w:w="16" w:type="dxa"/>
              <w:left w:w="16" w:type="dxa"/>
              <w:bottom w:w="0" w:type="dxa"/>
              <w:right w:w="16" w:type="dxa"/>
            </w:tcMar>
            <w:vAlign w:val="center"/>
          </w:tcPr>
          <w:p w14:paraId="3BA9B828" w14:textId="77777777" w:rsidR="00A57ADA" w:rsidRPr="00477C9C" w:rsidRDefault="00A57ADA" w:rsidP="004370C0">
            <w:pPr>
              <w:jc w:val="center"/>
              <w:rPr>
                <w:rFonts w:ascii="Arial Narrow" w:eastAsia="Arial Unicode MS" w:hAnsi="Arial Narrow"/>
                <w:bCs/>
                <w:sz w:val="18"/>
                <w:szCs w:val="18"/>
              </w:rPr>
            </w:pPr>
            <w:r w:rsidRPr="00477C9C">
              <w:rPr>
                <w:rStyle w:val="IntenseReference"/>
                <w:color w:val="auto"/>
                <w:sz w:val="18"/>
                <w:szCs w:val="18"/>
              </w:rPr>
              <w:t>0.93</w:t>
            </w:r>
          </w:p>
        </w:tc>
        <w:tc>
          <w:tcPr>
            <w:tcW w:w="816" w:type="dxa"/>
            <w:vAlign w:val="center"/>
          </w:tcPr>
          <w:p w14:paraId="790A9B16" w14:textId="77777777" w:rsidR="00A57ADA" w:rsidRPr="00477C9C" w:rsidRDefault="00A57ADA" w:rsidP="004370C0">
            <w:pPr>
              <w:jc w:val="center"/>
              <w:rPr>
                <w:rFonts w:ascii="Arial Narrow" w:eastAsia="Arial Unicode MS" w:hAnsi="Arial Narrow"/>
                <w:bCs/>
                <w:sz w:val="18"/>
                <w:szCs w:val="18"/>
              </w:rPr>
            </w:pPr>
            <w:r w:rsidRPr="00477C9C">
              <w:rPr>
                <w:rStyle w:val="IntenseReference"/>
                <w:color w:val="auto"/>
                <w:sz w:val="18"/>
                <w:szCs w:val="18"/>
              </w:rPr>
              <w:t>0.80</w:t>
            </w:r>
          </w:p>
        </w:tc>
        <w:tc>
          <w:tcPr>
            <w:tcW w:w="808" w:type="dxa"/>
            <w:tcMar>
              <w:top w:w="16" w:type="dxa"/>
              <w:left w:w="16" w:type="dxa"/>
              <w:bottom w:w="0" w:type="dxa"/>
              <w:right w:w="16" w:type="dxa"/>
            </w:tcMar>
            <w:vAlign w:val="center"/>
          </w:tcPr>
          <w:p w14:paraId="26ECA2EA" w14:textId="77777777" w:rsidR="00A57ADA" w:rsidRPr="00477C9C" w:rsidRDefault="00A57ADA" w:rsidP="004370C0">
            <w:pPr>
              <w:jc w:val="center"/>
              <w:rPr>
                <w:rFonts w:ascii="Arial Narrow" w:eastAsia="Arial Unicode MS" w:hAnsi="Arial Narrow"/>
                <w:bCs/>
                <w:sz w:val="18"/>
                <w:szCs w:val="18"/>
              </w:rPr>
            </w:pPr>
            <w:r>
              <w:rPr>
                <w:rStyle w:val="IntenseReference"/>
                <w:color w:val="auto"/>
                <w:sz w:val="18"/>
                <w:szCs w:val="18"/>
              </w:rPr>
              <w:t>18% (2m) 16</w:t>
            </w:r>
            <w:r w:rsidRPr="00477C9C">
              <w:rPr>
                <w:rStyle w:val="IntenseReference"/>
                <w:color w:val="auto"/>
                <w:sz w:val="18"/>
                <w:szCs w:val="18"/>
              </w:rPr>
              <w:t xml:space="preserve">% </w:t>
            </w:r>
            <w:r>
              <w:rPr>
                <w:rStyle w:val="IntenseReference"/>
                <w:color w:val="auto"/>
                <w:sz w:val="18"/>
                <w:szCs w:val="18"/>
              </w:rPr>
              <w:t>(</w:t>
            </w:r>
            <w:r w:rsidRPr="00477C9C">
              <w:rPr>
                <w:rStyle w:val="IntenseReference"/>
                <w:color w:val="auto"/>
                <w:sz w:val="18"/>
                <w:szCs w:val="18"/>
              </w:rPr>
              <w:t>5m)</w:t>
            </w:r>
          </w:p>
        </w:tc>
        <w:tc>
          <w:tcPr>
            <w:tcW w:w="8541" w:type="dxa"/>
            <w:tcMar>
              <w:top w:w="16" w:type="dxa"/>
              <w:left w:w="16" w:type="dxa"/>
              <w:bottom w:w="0" w:type="dxa"/>
              <w:right w:w="16" w:type="dxa"/>
            </w:tcMar>
            <w:vAlign w:val="bottom"/>
          </w:tcPr>
          <w:p w14:paraId="5F32B1AA" w14:textId="77777777" w:rsidR="00A57ADA" w:rsidRPr="00A87191" w:rsidRDefault="00A57ADA" w:rsidP="004370C0">
            <w:pPr>
              <w:spacing w:after="0"/>
              <w:jc w:val="left"/>
              <w:rPr>
                <w:rFonts w:ascii="Arial Narrow" w:eastAsia="Arial Unicode MS" w:hAnsi="Arial Narrow"/>
                <w:bCs/>
                <w:sz w:val="18"/>
                <w:szCs w:val="18"/>
                <w:lang w:val="da-DK"/>
              </w:rPr>
            </w:pPr>
            <w:r w:rsidRPr="00477C9C">
              <w:rPr>
                <w:rStyle w:val="IntenseReference"/>
                <w:color w:val="auto"/>
                <w:sz w:val="18"/>
                <w:szCs w:val="18"/>
              </w:rPr>
              <w:t>Cyc</w:t>
            </w:r>
            <w:r>
              <w:rPr>
                <w:rStyle w:val="IntenseReference"/>
                <w:color w:val="auto"/>
                <w:sz w:val="18"/>
                <w:szCs w:val="18"/>
              </w:rPr>
              <w:t>lone Larry 2006 (81% at 2 m , 71% at 5 m), Disease 2007 (34</w:t>
            </w:r>
            <w:r w:rsidRPr="00477C9C">
              <w:rPr>
                <w:rStyle w:val="IntenseReference"/>
                <w:color w:val="auto"/>
                <w:sz w:val="18"/>
                <w:szCs w:val="18"/>
              </w:rPr>
              <w:t xml:space="preserve">% at 2 m), Cyclone Yasi 2011 (93% at 2 m, 75% at 5 m)  </w:t>
            </w:r>
          </w:p>
        </w:tc>
      </w:tr>
      <w:tr w:rsidR="00A57ADA" w:rsidRPr="00477C9C" w14:paraId="7FE72CDA" w14:textId="77777777" w:rsidTr="00A57ADA">
        <w:trPr>
          <w:cantSplit/>
          <w:trHeight w:val="297"/>
        </w:trPr>
        <w:tc>
          <w:tcPr>
            <w:tcW w:w="583" w:type="dxa"/>
            <w:vMerge/>
            <w:vAlign w:val="center"/>
          </w:tcPr>
          <w:p w14:paraId="64826C3E" w14:textId="77777777" w:rsidR="00A57ADA" w:rsidRPr="00A87191" w:rsidRDefault="00A57ADA" w:rsidP="004370C0">
            <w:pPr>
              <w:rPr>
                <w:rFonts w:ascii="Arial Narrow" w:eastAsia="Arial Unicode MS" w:hAnsi="Arial Narrow"/>
                <w:bCs/>
                <w:sz w:val="20"/>
                <w:lang w:val="da-DK"/>
              </w:rPr>
            </w:pPr>
          </w:p>
        </w:tc>
        <w:tc>
          <w:tcPr>
            <w:tcW w:w="1907" w:type="dxa"/>
            <w:tcMar>
              <w:top w:w="16" w:type="dxa"/>
              <w:left w:w="16" w:type="dxa"/>
              <w:bottom w:w="0" w:type="dxa"/>
              <w:right w:w="16" w:type="dxa"/>
            </w:tcMar>
            <w:vAlign w:val="bottom"/>
          </w:tcPr>
          <w:p w14:paraId="7A7F67ED" w14:textId="77777777" w:rsidR="00A57ADA" w:rsidRPr="00477C9C" w:rsidRDefault="00A57ADA" w:rsidP="004370C0">
            <w:pPr>
              <w:ind w:left="200"/>
              <w:rPr>
                <w:rFonts w:ascii="Arial Narrow" w:eastAsia="Arial Unicode MS" w:hAnsi="Arial Narrow"/>
                <w:bCs/>
                <w:sz w:val="20"/>
              </w:rPr>
            </w:pPr>
            <w:r w:rsidRPr="00477C9C">
              <w:rPr>
                <w:rStyle w:val="IntenseReference"/>
                <w:color w:val="auto"/>
              </w:rPr>
              <w:t>Dunk South</w:t>
            </w:r>
          </w:p>
        </w:tc>
        <w:tc>
          <w:tcPr>
            <w:tcW w:w="954" w:type="dxa"/>
            <w:tcMar>
              <w:top w:w="16" w:type="dxa"/>
              <w:left w:w="16" w:type="dxa"/>
              <w:bottom w:w="0" w:type="dxa"/>
              <w:right w:w="16" w:type="dxa"/>
            </w:tcMar>
            <w:vAlign w:val="center"/>
          </w:tcPr>
          <w:p w14:paraId="04C2F466" w14:textId="77777777" w:rsidR="00A57ADA" w:rsidRPr="00477C9C" w:rsidRDefault="00A57ADA" w:rsidP="004370C0">
            <w:pPr>
              <w:jc w:val="center"/>
              <w:rPr>
                <w:rFonts w:ascii="Arial Narrow" w:eastAsia="Arial Unicode MS" w:hAnsi="Arial Narrow"/>
                <w:bCs/>
                <w:sz w:val="18"/>
                <w:szCs w:val="18"/>
              </w:rPr>
            </w:pPr>
            <w:r w:rsidRPr="00477C9C">
              <w:rPr>
                <w:rStyle w:val="IntenseReference"/>
                <w:color w:val="auto"/>
                <w:sz w:val="18"/>
                <w:szCs w:val="18"/>
              </w:rPr>
              <w:t>0.93</w:t>
            </w:r>
          </w:p>
        </w:tc>
        <w:tc>
          <w:tcPr>
            <w:tcW w:w="816" w:type="dxa"/>
            <w:vAlign w:val="center"/>
          </w:tcPr>
          <w:p w14:paraId="4626A5ED" w14:textId="77777777" w:rsidR="00A57ADA" w:rsidRPr="00477C9C" w:rsidRDefault="00A57ADA" w:rsidP="004370C0">
            <w:pPr>
              <w:jc w:val="center"/>
              <w:rPr>
                <w:rFonts w:ascii="Arial Narrow" w:eastAsia="Arial Unicode MS" w:hAnsi="Arial Narrow"/>
                <w:bCs/>
                <w:sz w:val="18"/>
                <w:szCs w:val="18"/>
              </w:rPr>
            </w:pPr>
            <w:r w:rsidRPr="00477C9C">
              <w:rPr>
                <w:rStyle w:val="IntenseReference"/>
                <w:color w:val="auto"/>
                <w:sz w:val="18"/>
                <w:szCs w:val="18"/>
              </w:rPr>
              <w:t>0.85</w:t>
            </w:r>
          </w:p>
        </w:tc>
        <w:tc>
          <w:tcPr>
            <w:tcW w:w="808" w:type="dxa"/>
            <w:tcMar>
              <w:top w:w="16" w:type="dxa"/>
              <w:left w:w="16" w:type="dxa"/>
              <w:bottom w:w="0" w:type="dxa"/>
              <w:right w:w="16" w:type="dxa"/>
            </w:tcMar>
            <w:vAlign w:val="center"/>
          </w:tcPr>
          <w:p w14:paraId="53B849C4" w14:textId="77777777" w:rsidR="00A57ADA" w:rsidRPr="00477C9C" w:rsidRDefault="00A57ADA" w:rsidP="004370C0">
            <w:pPr>
              <w:jc w:val="center"/>
              <w:rPr>
                <w:rFonts w:ascii="Arial Narrow" w:eastAsia="Arial Unicode MS" w:hAnsi="Arial Narrow"/>
                <w:bCs/>
                <w:sz w:val="18"/>
                <w:szCs w:val="18"/>
              </w:rPr>
            </w:pPr>
            <w:r>
              <w:rPr>
                <w:rStyle w:val="IntenseReference"/>
                <w:color w:val="auto"/>
                <w:sz w:val="18"/>
                <w:szCs w:val="18"/>
              </w:rPr>
              <w:t>45% (</w:t>
            </w:r>
            <w:r w:rsidRPr="00477C9C">
              <w:rPr>
                <w:rStyle w:val="IntenseReference"/>
                <w:color w:val="auto"/>
                <w:sz w:val="18"/>
                <w:szCs w:val="18"/>
              </w:rPr>
              <w:t>2m</w:t>
            </w:r>
            <w:r>
              <w:rPr>
                <w:rStyle w:val="IntenseReference"/>
                <w:color w:val="auto"/>
                <w:sz w:val="18"/>
                <w:szCs w:val="18"/>
              </w:rPr>
              <w:t>) 6% (5m)</w:t>
            </w:r>
          </w:p>
        </w:tc>
        <w:tc>
          <w:tcPr>
            <w:tcW w:w="8541" w:type="dxa"/>
            <w:tcMar>
              <w:top w:w="16" w:type="dxa"/>
              <w:left w:w="16" w:type="dxa"/>
              <w:bottom w:w="0" w:type="dxa"/>
              <w:right w:w="16" w:type="dxa"/>
            </w:tcMar>
            <w:vAlign w:val="bottom"/>
          </w:tcPr>
          <w:p w14:paraId="5FF2C7C8" w14:textId="77777777" w:rsidR="00A57ADA" w:rsidRPr="00477C9C" w:rsidRDefault="00A57ADA" w:rsidP="004370C0">
            <w:pPr>
              <w:spacing w:after="0"/>
              <w:jc w:val="left"/>
              <w:rPr>
                <w:rFonts w:ascii="Arial Narrow" w:eastAsia="Arial Unicode MS" w:hAnsi="Arial Narrow"/>
                <w:bCs/>
                <w:sz w:val="18"/>
                <w:szCs w:val="18"/>
              </w:rPr>
            </w:pPr>
            <w:r>
              <w:rPr>
                <w:rStyle w:val="IntenseReference"/>
                <w:color w:val="auto"/>
                <w:sz w:val="18"/>
                <w:szCs w:val="18"/>
              </w:rPr>
              <w:t>Cyclone Larry 2006 (23% at 2 m , 19</w:t>
            </w:r>
            <w:r w:rsidRPr="00477C9C">
              <w:rPr>
                <w:rStyle w:val="IntenseReference"/>
                <w:color w:val="auto"/>
                <w:sz w:val="18"/>
                <w:szCs w:val="18"/>
              </w:rPr>
              <w:t>% at 5 m), C</w:t>
            </w:r>
            <w:r>
              <w:rPr>
                <w:rStyle w:val="IntenseReference"/>
                <w:color w:val="auto"/>
                <w:sz w:val="18"/>
                <w:szCs w:val="18"/>
              </w:rPr>
              <w:t>yclone Yasi 2011 (79% at 2 m, 56</w:t>
            </w:r>
            <w:r w:rsidRPr="00477C9C">
              <w:rPr>
                <w:rStyle w:val="IntenseReference"/>
                <w:color w:val="auto"/>
                <w:sz w:val="18"/>
                <w:szCs w:val="18"/>
              </w:rPr>
              <w:t xml:space="preserve">% </w:t>
            </w:r>
            <w:r>
              <w:rPr>
                <w:rStyle w:val="IntenseReference"/>
                <w:color w:val="auto"/>
                <w:sz w:val="18"/>
                <w:szCs w:val="18"/>
              </w:rPr>
              <w:t>at 5 m)</w:t>
            </w:r>
            <w:r w:rsidRPr="00477C9C">
              <w:rPr>
                <w:rStyle w:val="IntenseReference"/>
                <w:color w:val="auto"/>
                <w:sz w:val="18"/>
                <w:szCs w:val="18"/>
              </w:rPr>
              <w:t xml:space="preserve">  </w:t>
            </w:r>
          </w:p>
        </w:tc>
      </w:tr>
      <w:tr w:rsidR="00A57ADA" w:rsidRPr="00477C9C" w14:paraId="247385F8" w14:textId="77777777" w:rsidTr="00A57ADA">
        <w:trPr>
          <w:cantSplit/>
          <w:trHeight w:val="297"/>
        </w:trPr>
        <w:tc>
          <w:tcPr>
            <w:tcW w:w="583" w:type="dxa"/>
            <w:vMerge/>
            <w:vAlign w:val="center"/>
          </w:tcPr>
          <w:p w14:paraId="62B0A84C" w14:textId="77777777" w:rsidR="00A57ADA" w:rsidRPr="00477C9C" w:rsidRDefault="00A57ADA" w:rsidP="004370C0">
            <w:pPr>
              <w:rPr>
                <w:rFonts w:ascii="Arial Narrow" w:eastAsia="Arial Unicode MS" w:hAnsi="Arial Narrow"/>
                <w:bCs/>
                <w:sz w:val="20"/>
              </w:rPr>
            </w:pPr>
          </w:p>
        </w:tc>
        <w:tc>
          <w:tcPr>
            <w:tcW w:w="1907" w:type="dxa"/>
            <w:tcMar>
              <w:top w:w="16" w:type="dxa"/>
              <w:left w:w="16" w:type="dxa"/>
              <w:bottom w:w="0" w:type="dxa"/>
              <w:right w:w="16" w:type="dxa"/>
            </w:tcMar>
            <w:vAlign w:val="bottom"/>
          </w:tcPr>
          <w:p w14:paraId="2E354440" w14:textId="77777777" w:rsidR="00A57ADA" w:rsidRPr="00477C9C" w:rsidRDefault="00A57ADA" w:rsidP="004370C0">
            <w:pPr>
              <w:ind w:left="200"/>
              <w:rPr>
                <w:rFonts w:ascii="Arial Narrow" w:hAnsi="Arial Narrow"/>
                <w:bCs/>
                <w:sz w:val="20"/>
              </w:rPr>
            </w:pPr>
            <w:r w:rsidRPr="00477C9C">
              <w:rPr>
                <w:rStyle w:val="IntenseReference"/>
                <w:color w:val="auto"/>
              </w:rPr>
              <w:t>Bedarra</w:t>
            </w:r>
          </w:p>
        </w:tc>
        <w:tc>
          <w:tcPr>
            <w:tcW w:w="954" w:type="dxa"/>
            <w:tcMar>
              <w:top w:w="16" w:type="dxa"/>
              <w:left w:w="16" w:type="dxa"/>
              <w:bottom w:w="0" w:type="dxa"/>
              <w:right w:w="16" w:type="dxa"/>
            </w:tcMar>
            <w:vAlign w:val="center"/>
          </w:tcPr>
          <w:p w14:paraId="4C882085" w14:textId="77777777" w:rsidR="00A57ADA" w:rsidRPr="00477C9C" w:rsidRDefault="00A57ADA" w:rsidP="004370C0">
            <w:pPr>
              <w:jc w:val="center"/>
              <w:rPr>
                <w:rFonts w:ascii="Arial Narrow" w:hAnsi="Arial Narrow"/>
                <w:bCs/>
                <w:sz w:val="18"/>
                <w:szCs w:val="18"/>
              </w:rPr>
            </w:pPr>
            <w:r>
              <w:rPr>
                <w:rStyle w:val="IntenseReference"/>
                <w:color w:val="auto"/>
                <w:sz w:val="18"/>
                <w:szCs w:val="18"/>
              </w:rPr>
              <w:t>n/a</w:t>
            </w:r>
          </w:p>
        </w:tc>
        <w:tc>
          <w:tcPr>
            <w:tcW w:w="816" w:type="dxa"/>
            <w:vAlign w:val="center"/>
          </w:tcPr>
          <w:p w14:paraId="1D545CEB" w14:textId="77777777" w:rsidR="00A57ADA" w:rsidRPr="00477C9C" w:rsidRDefault="00A57ADA" w:rsidP="004370C0">
            <w:pPr>
              <w:jc w:val="center"/>
              <w:rPr>
                <w:rFonts w:ascii="Arial Narrow" w:hAnsi="Arial Narrow"/>
                <w:bCs/>
                <w:sz w:val="18"/>
                <w:szCs w:val="18"/>
              </w:rPr>
            </w:pPr>
            <w:r>
              <w:rPr>
                <w:rStyle w:val="IntenseReference"/>
                <w:color w:val="auto"/>
                <w:sz w:val="18"/>
                <w:szCs w:val="18"/>
              </w:rPr>
              <w:t>n/a</w:t>
            </w:r>
          </w:p>
        </w:tc>
        <w:tc>
          <w:tcPr>
            <w:tcW w:w="808" w:type="dxa"/>
            <w:tcMar>
              <w:top w:w="16" w:type="dxa"/>
              <w:left w:w="16" w:type="dxa"/>
              <w:bottom w:w="0" w:type="dxa"/>
              <w:right w:w="16" w:type="dxa"/>
            </w:tcMar>
            <w:vAlign w:val="center"/>
          </w:tcPr>
          <w:p w14:paraId="487D6B9A" w14:textId="77777777" w:rsidR="00A57ADA" w:rsidRPr="00477C9C" w:rsidRDefault="00A57ADA" w:rsidP="004370C0">
            <w:pPr>
              <w:jc w:val="center"/>
              <w:rPr>
                <w:rFonts w:ascii="Arial Narrow" w:eastAsia="Arial Unicode MS" w:hAnsi="Arial Narrow"/>
                <w:bCs/>
                <w:sz w:val="18"/>
                <w:szCs w:val="18"/>
              </w:rPr>
            </w:pPr>
            <w:r>
              <w:rPr>
                <w:rStyle w:val="IntenseReference"/>
                <w:color w:val="auto"/>
                <w:sz w:val="18"/>
                <w:szCs w:val="18"/>
              </w:rPr>
              <w:t>36</w:t>
            </w:r>
            <w:r w:rsidRPr="00477C9C">
              <w:rPr>
                <w:rStyle w:val="IntenseReference"/>
                <w:color w:val="auto"/>
                <w:sz w:val="18"/>
                <w:szCs w:val="18"/>
              </w:rPr>
              <w:t xml:space="preserve">% </w:t>
            </w:r>
            <w:r>
              <w:rPr>
                <w:rStyle w:val="IntenseReference"/>
                <w:color w:val="auto"/>
                <w:sz w:val="18"/>
                <w:szCs w:val="18"/>
              </w:rPr>
              <w:t>(2m)</w:t>
            </w:r>
            <w:r w:rsidRPr="00477C9C">
              <w:rPr>
                <w:rStyle w:val="IntenseReference"/>
                <w:color w:val="auto"/>
                <w:sz w:val="18"/>
                <w:szCs w:val="18"/>
              </w:rPr>
              <w:t xml:space="preserve"> </w:t>
            </w:r>
            <w:r>
              <w:rPr>
                <w:rStyle w:val="IntenseReference"/>
                <w:color w:val="auto"/>
                <w:sz w:val="18"/>
                <w:szCs w:val="18"/>
              </w:rPr>
              <w:t>10% (</w:t>
            </w:r>
            <w:r w:rsidRPr="00477C9C">
              <w:rPr>
                <w:rStyle w:val="IntenseReference"/>
                <w:color w:val="auto"/>
                <w:sz w:val="18"/>
                <w:szCs w:val="18"/>
              </w:rPr>
              <w:t>5m)</w:t>
            </w:r>
          </w:p>
        </w:tc>
        <w:tc>
          <w:tcPr>
            <w:tcW w:w="8541" w:type="dxa"/>
            <w:tcMar>
              <w:top w:w="16" w:type="dxa"/>
              <w:left w:w="16" w:type="dxa"/>
              <w:bottom w:w="0" w:type="dxa"/>
              <w:right w:w="16" w:type="dxa"/>
            </w:tcMar>
            <w:vAlign w:val="bottom"/>
          </w:tcPr>
          <w:p w14:paraId="0E95D0AF" w14:textId="77777777" w:rsidR="00A57ADA" w:rsidRPr="00477C9C" w:rsidRDefault="00A57ADA" w:rsidP="004370C0">
            <w:pPr>
              <w:spacing w:after="0"/>
              <w:jc w:val="left"/>
              <w:rPr>
                <w:rFonts w:ascii="Arial Narrow" w:hAnsi="Arial Narrow"/>
                <w:bCs/>
                <w:sz w:val="18"/>
                <w:szCs w:val="18"/>
              </w:rPr>
            </w:pPr>
          </w:p>
        </w:tc>
      </w:tr>
    </w:tbl>
    <w:p w14:paraId="7EE73E00" w14:textId="77777777" w:rsidR="004370C0" w:rsidRDefault="004370C0">
      <w:pPr>
        <w:rPr>
          <w:rFonts w:ascii="Arial Narrow" w:hAnsi="Arial Narrow"/>
          <w:bCs/>
          <w:sz w:val="20"/>
        </w:rPr>
      </w:pPr>
    </w:p>
    <w:p w14:paraId="08428E13" w14:textId="77777777" w:rsidR="004370C0" w:rsidRDefault="004370C0" w:rsidP="004370C0">
      <w:pPr>
        <w:jc w:val="left"/>
        <w:rPr>
          <w:rFonts w:ascii="Arial Narrow" w:hAnsi="Arial Narrow"/>
          <w:bCs/>
          <w:sz w:val="20"/>
        </w:rPr>
      </w:pPr>
      <w:r>
        <w:rPr>
          <w:rFonts w:ascii="Arial Narrow" w:hAnsi="Arial Narrow"/>
          <w:bCs/>
          <w:sz w:val="20"/>
        </w:rPr>
        <w:br w:type="page"/>
      </w:r>
    </w:p>
    <w:p w14:paraId="7C511CFB" w14:textId="77777777" w:rsidR="00D05896" w:rsidRPr="00477C9C" w:rsidRDefault="00D05896">
      <w:pPr>
        <w:rPr>
          <w:rStyle w:val="IntenseReference"/>
          <w:color w:val="auto"/>
        </w:rPr>
      </w:pPr>
      <w:r w:rsidRPr="00477C9C">
        <w:rPr>
          <w:rFonts w:ascii="Arial Narrow" w:hAnsi="Arial Narrow"/>
          <w:bCs/>
          <w:sz w:val="20"/>
        </w:rPr>
        <w:t>Table A</w:t>
      </w:r>
      <w:r w:rsidR="00583793" w:rsidRPr="00477C9C">
        <w:rPr>
          <w:rFonts w:ascii="Arial Narrow" w:hAnsi="Arial Narrow"/>
          <w:bCs/>
          <w:sz w:val="20"/>
        </w:rPr>
        <w:t>1.</w:t>
      </w:r>
      <w:r w:rsidR="0096504D" w:rsidRPr="00477C9C">
        <w:rPr>
          <w:rFonts w:ascii="Arial Narrow" w:hAnsi="Arial Narrow"/>
          <w:bCs/>
          <w:sz w:val="20"/>
        </w:rPr>
        <w:t xml:space="preserve"> </w:t>
      </w:r>
      <w:r w:rsidR="00E53765" w:rsidRPr="00477C9C">
        <w:rPr>
          <w:rFonts w:ascii="Arial Narrow" w:hAnsi="Arial Narrow"/>
          <w:bCs/>
          <w:sz w:val="20"/>
        </w:rPr>
        <w:t>4</w:t>
      </w:r>
      <w:r w:rsidR="0063376B" w:rsidRPr="00477C9C">
        <w:rPr>
          <w:rStyle w:val="IntenseReference"/>
          <w:color w:val="auto"/>
        </w:rPr>
        <w:t xml:space="preserve"> </w:t>
      </w:r>
      <w:r w:rsidR="0063376B" w:rsidRPr="00477C9C">
        <w:rPr>
          <w:rFonts w:ascii="Arial Narrow" w:hAnsi="Arial Narrow"/>
          <w:sz w:val="20"/>
        </w:rPr>
        <w:t>continued</w:t>
      </w:r>
    </w:p>
    <w:tbl>
      <w:tblPr>
        <w:tblW w:w="13609" w:type="dxa"/>
        <w:tblInd w:w="1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83"/>
        <w:gridCol w:w="1907"/>
        <w:gridCol w:w="954"/>
        <w:gridCol w:w="816"/>
        <w:gridCol w:w="808"/>
        <w:gridCol w:w="8541"/>
      </w:tblGrid>
      <w:tr w:rsidR="00A57ADA" w:rsidRPr="00477C9C" w14:paraId="327BD3F3" w14:textId="77777777" w:rsidTr="00A57ADA">
        <w:trPr>
          <w:cantSplit/>
          <w:trHeight w:val="264"/>
        </w:trPr>
        <w:tc>
          <w:tcPr>
            <w:tcW w:w="583" w:type="dxa"/>
            <w:vMerge w:val="restart"/>
            <w:shd w:val="clear" w:color="auto" w:fill="F2F2F2" w:themeFill="background1" w:themeFillShade="F2"/>
            <w:tcMar>
              <w:top w:w="16" w:type="dxa"/>
              <w:left w:w="16" w:type="dxa"/>
              <w:bottom w:w="0" w:type="dxa"/>
              <w:right w:w="16" w:type="dxa"/>
            </w:tcMar>
            <w:textDirection w:val="btLr"/>
            <w:vAlign w:val="center"/>
          </w:tcPr>
          <w:p w14:paraId="4ED1BE39" w14:textId="77777777" w:rsidR="00A57ADA" w:rsidRPr="00477C9C" w:rsidRDefault="00A57ADA" w:rsidP="00E56CF1">
            <w:pPr>
              <w:jc w:val="center"/>
              <w:rPr>
                <w:rStyle w:val="IntenseReference"/>
                <w:rFonts w:eastAsia="Arial Unicode MS"/>
                <w:color w:val="auto"/>
              </w:rPr>
            </w:pPr>
            <w:r>
              <w:rPr>
                <w:rStyle w:val="IntenseReference"/>
                <w:color w:val="auto"/>
              </w:rPr>
              <w:t>Region</w:t>
            </w:r>
          </w:p>
        </w:tc>
        <w:tc>
          <w:tcPr>
            <w:tcW w:w="1907" w:type="dxa"/>
            <w:vMerge w:val="restart"/>
            <w:shd w:val="clear" w:color="auto" w:fill="F2F2F2" w:themeFill="background1" w:themeFillShade="F2"/>
            <w:tcMar>
              <w:top w:w="16" w:type="dxa"/>
              <w:left w:w="16" w:type="dxa"/>
              <w:bottom w:w="0" w:type="dxa"/>
              <w:right w:w="16" w:type="dxa"/>
            </w:tcMar>
            <w:vAlign w:val="center"/>
          </w:tcPr>
          <w:p w14:paraId="5F7B600E" w14:textId="77777777" w:rsidR="00A57ADA" w:rsidRPr="00477C9C" w:rsidRDefault="00A57ADA" w:rsidP="00E56CF1">
            <w:pPr>
              <w:jc w:val="center"/>
              <w:rPr>
                <w:rStyle w:val="IntenseReference"/>
                <w:rFonts w:eastAsia="Arial Unicode MS"/>
                <w:color w:val="auto"/>
              </w:rPr>
            </w:pPr>
            <w:r w:rsidRPr="00477C9C">
              <w:rPr>
                <w:rStyle w:val="IntenseReference"/>
                <w:color w:val="auto"/>
              </w:rPr>
              <w:t>Reef</w:t>
            </w:r>
          </w:p>
        </w:tc>
        <w:tc>
          <w:tcPr>
            <w:tcW w:w="2578" w:type="dxa"/>
            <w:gridSpan w:val="3"/>
            <w:shd w:val="clear" w:color="auto" w:fill="F2F2F2" w:themeFill="background1" w:themeFillShade="F2"/>
          </w:tcPr>
          <w:p w14:paraId="1B20E0A4" w14:textId="77777777" w:rsidR="00A57ADA" w:rsidRPr="00477C9C" w:rsidRDefault="00A57ADA" w:rsidP="00E56CF1">
            <w:pPr>
              <w:jc w:val="center"/>
              <w:rPr>
                <w:rFonts w:ascii="Arial Narrow" w:eastAsia="Arial Unicode MS" w:hAnsi="Arial Narrow"/>
                <w:bCs/>
                <w:sz w:val="20"/>
              </w:rPr>
            </w:pPr>
            <w:r w:rsidRPr="00477C9C">
              <w:rPr>
                <w:rStyle w:val="IntenseReference"/>
                <w:color w:val="auto"/>
              </w:rPr>
              <w:t>Bleaching</w:t>
            </w:r>
          </w:p>
        </w:tc>
        <w:tc>
          <w:tcPr>
            <w:tcW w:w="8541" w:type="dxa"/>
            <w:vMerge w:val="restart"/>
            <w:shd w:val="clear" w:color="auto" w:fill="F2F2F2" w:themeFill="background1" w:themeFillShade="F2"/>
            <w:tcMar>
              <w:top w:w="16" w:type="dxa"/>
              <w:left w:w="16" w:type="dxa"/>
              <w:bottom w:w="0" w:type="dxa"/>
              <w:right w:w="16" w:type="dxa"/>
            </w:tcMar>
            <w:vAlign w:val="center"/>
          </w:tcPr>
          <w:p w14:paraId="5756A81A" w14:textId="77777777" w:rsidR="00A57ADA" w:rsidRPr="00477C9C" w:rsidRDefault="00A57ADA" w:rsidP="00E56CF1">
            <w:pPr>
              <w:spacing w:after="0"/>
              <w:jc w:val="center"/>
              <w:rPr>
                <w:rFonts w:ascii="Arial Narrow" w:hAnsi="Arial Narrow"/>
                <w:bCs/>
                <w:sz w:val="20"/>
              </w:rPr>
            </w:pPr>
            <w:r w:rsidRPr="00477C9C">
              <w:rPr>
                <w:rStyle w:val="IntenseReference"/>
                <w:color w:val="auto"/>
              </w:rPr>
              <w:t>Other recorded disturbances</w:t>
            </w:r>
          </w:p>
        </w:tc>
      </w:tr>
      <w:tr w:rsidR="00A57ADA" w:rsidRPr="00477C9C" w14:paraId="13703567" w14:textId="77777777" w:rsidTr="00A57ADA">
        <w:trPr>
          <w:cantSplit/>
          <w:trHeight w:val="550"/>
        </w:trPr>
        <w:tc>
          <w:tcPr>
            <w:tcW w:w="583" w:type="dxa"/>
            <w:vMerge/>
            <w:tcMar>
              <w:top w:w="16" w:type="dxa"/>
              <w:left w:w="16" w:type="dxa"/>
              <w:bottom w:w="0" w:type="dxa"/>
              <w:right w:w="16" w:type="dxa"/>
            </w:tcMar>
            <w:textDirection w:val="btLr"/>
            <w:vAlign w:val="center"/>
          </w:tcPr>
          <w:p w14:paraId="537ED756" w14:textId="77777777" w:rsidR="00A57ADA" w:rsidRPr="00477C9C" w:rsidRDefault="00A57ADA" w:rsidP="00E56CF1">
            <w:pPr>
              <w:jc w:val="center"/>
              <w:rPr>
                <w:rFonts w:ascii="Arial Narrow" w:hAnsi="Arial Narrow"/>
                <w:bCs/>
                <w:sz w:val="20"/>
              </w:rPr>
            </w:pPr>
          </w:p>
        </w:tc>
        <w:tc>
          <w:tcPr>
            <w:tcW w:w="1907" w:type="dxa"/>
            <w:vMerge/>
            <w:tcMar>
              <w:top w:w="16" w:type="dxa"/>
              <w:left w:w="16" w:type="dxa"/>
              <w:bottom w:w="0" w:type="dxa"/>
              <w:right w:w="16" w:type="dxa"/>
            </w:tcMar>
            <w:vAlign w:val="bottom"/>
          </w:tcPr>
          <w:p w14:paraId="4417D1B6" w14:textId="77777777" w:rsidR="00A57ADA" w:rsidRPr="00477C9C" w:rsidRDefault="00A57ADA" w:rsidP="00E56CF1">
            <w:pPr>
              <w:ind w:left="200"/>
              <w:rPr>
                <w:rFonts w:ascii="Arial Narrow" w:hAnsi="Arial Narrow"/>
                <w:bCs/>
                <w:sz w:val="20"/>
              </w:rPr>
            </w:pPr>
          </w:p>
        </w:tc>
        <w:tc>
          <w:tcPr>
            <w:tcW w:w="954" w:type="dxa"/>
            <w:shd w:val="clear" w:color="auto" w:fill="F2F2F2" w:themeFill="background1" w:themeFillShade="F2"/>
            <w:tcMar>
              <w:top w:w="16" w:type="dxa"/>
              <w:left w:w="16" w:type="dxa"/>
              <w:bottom w:w="0" w:type="dxa"/>
              <w:right w:w="16" w:type="dxa"/>
            </w:tcMar>
            <w:vAlign w:val="center"/>
          </w:tcPr>
          <w:p w14:paraId="60D51A4B" w14:textId="77777777" w:rsidR="00A57ADA" w:rsidRPr="00477C9C" w:rsidRDefault="00A57ADA" w:rsidP="00E56CF1">
            <w:pPr>
              <w:jc w:val="center"/>
              <w:rPr>
                <w:rStyle w:val="IntenseReference"/>
                <w:rFonts w:eastAsia="Arial Unicode MS"/>
                <w:color w:val="auto"/>
              </w:rPr>
            </w:pPr>
            <w:r w:rsidRPr="00477C9C">
              <w:rPr>
                <w:rStyle w:val="IntenseReference"/>
                <w:color w:val="auto"/>
              </w:rPr>
              <w:t>1998</w:t>
            </w:r>
          </w:p>
        </w:tc>
        <w:tc>
          <w:tcPr>
            <w:tcW w:w="816" w:type="dxa"/>
            <w:shd w:val="clear" w:color="auto" w:fill="F2F2F2" w:themeFill="background1" w:themeFillShade="F2"/>
            <w:vAlign w:val="center"/>
          </w:tcPr>
          <w:p w14:paraId="6A5E8DA7" w14:textId="77777777" w:rsidR="00A57ADA" w:rsidRPr="00477C9C" w:rsidRDefault="00A57ADA" w:rsidP="00E56CF1">
            <w:pPr>
              <w:jc w:val="center"/>
              <w:rPr>
                <w:rStyle w:val="IntenseReference"/>
                <w:rFonts w:eastAsia="Arial Unicode MS"/>
                <w:color w:val="auto"/>
              </w:rPr>
            </w:pPr>
            <w:r w:rsidRPr="00477C9C">
              <w:rPr>
                <w:rStyle w:val="IntenseReference"/>
                <w:color w:val="auto"/>
              </w:rPr>
              <w:t>2002</w:t>
            </w:r>
          </w:p>
        </w:tc>
        <w:tc>
          <w:tcPr>
            <w:tcW w:w="808" w:type="dxa"/>
            <w:shd w:val="clear" w:color="auto" w:fill="F2F2F2" w:themeFill="background1" w:themeFillShade="F2"/>
            <w:tcMar>
              <w:top w:w="16" w:type="dxa"/>
              <w:left w:w="16" w:type="dxa"/>
              <w:bottom w:w="0" w:type="dxa"/>
              <w:right w:w="16" w:type="dxa"/>
            </w:tcMar>
            <w:vAlign w:val="center"/>
          </w:tcPr>
          <w:p w14:paraId="486D3AC6" w14:textId="77777777" w:rsidR="00A57ADA" w:rsidRPr="00477C9C" w:rsidRDefault="00A57ADA" w:rsidP="00E56CF1">
            <w:pPr>
              <w:jc w:val="center"/>
              <w:rPr>
                <w:rStyle w:val="IntenseReference"/>
                <w:rFonts w:eastAsia="Arial Unicode MS"/>
                <w:color w:val="auto"/>
              </w:rPr>
            </w:pPr>
            <w:r>
              <w:rPr>
                <w:rStyle w:val="IntenseReference"/>
                <w:rFonts w:eastAsia="Arial Unicode MS"/>
                <w:color w:val="auto"/>
              </w:rPr>
              <w:t>2017</w:t>
            </w:r>
          </w:p>
        </w:tc>
        <w:tc>
          <w:tcPr>
            <w:tcW w:w="8541" w:type="dxa"/>
            <w:vMerge/>
            <w:tcMar>
              <w:top w:w="16" w:type="dxa"/>
              <w:left w:w="16" w:type="dxa"/>
              <w:bottom w:w="0" w:type="dxa"/>
              <w:right w:w="16" w:type="dxa"/>
            </w:tcMar>
            <w:vAlign w:val="bottom"/>
          </w:tcPr>
          <w:p w14:paraId="2174A87B" w14:textId="77777777" w:rsidR="00A57ADA" w:rsidRPr="00477C9C" w:rsidRDefault="00A57ADA" w:rsidP="00E56CF1">
            <w:pPr>
              <w:spacing w:after="0"/>
              <w:rPr>
                <w:rFonts w:ascii="Arial Narrow" w:hAnsi="Arial Narrow"/>
                <w:bCs/>
                <w:sz w:val="20"/>
              </w:rPr>
            </w:pPr>
          </w:p>
        </w:tc>
      </w:tr>
      <w:tr w:rsidR="00A57ADA" w:rsidRPr="00477C9C" w14:paraId="1E1C0621" w14:textId="77777777" w:rsidTr="00A57ADA">
        <w:trPr>
          <w:cantSplit/>
          <w:trHeight w:val="264"/>
        </w:trPr>
        <w:tc>
          <w:tcPr>
            <w:tcW w:w="583" w:type="dxa"/>
            <w:vMerge w:val="restart"/>
            <w:tcMar>
              <w:top w:w="16" w:type="dxa"/>
              <w:left w:w="16" w:type="dxa"/>
              <w:bottom w:w="0" w:type="dxa"/>
              <w:right w:w="16" w:type="dxa"/>
            </w:tcMar>
            <w:textDirection w:val="btLr"/>
            <w:vAlign w:val="center"/>
          </w:tcPr>
          <w:p w14:paraId="52BD652B" w14:textId="77777777" w:rsidR="00A57ADA" w:rsidRPr="00477C9C" w:rsidRDefault="00A57ADA" w:rsidP="00E56CF1">
            <w:pPr>
              <w:jc w:val="center"/>
              <w:rPr>
                <w:rFonts w:ascii="Arial Narrow" w:eastAsia="Arial Unicode MS" w:hAnsi="Arial Narrow"/>
                <w:bCs/>
                <w:sz w:val="20"/>
              </w:rPr>
            </w:pPr>
            <w:r w:rsidRPr="00477C9C">
              <w:rPr>
                <w:rFonts w:ascii="Arial Narrow" w:hAnsi="Arial Narrow"/>
                <w:bCs/>
                <w:sz w:val="20"/>
              </w:rPr>
              <w:t>Burdekin</w:t>
            </w:r>
          </w:p>
        </w:tc>
        <w:tc>
          <w:tcPr>
            <w:tcW w:w="1907" w:type="dxa"/>
            <w:tcMar>
              <w:top w:w="16" w:type="dxa"/>
              <w:left w:w="16" w:type="dxa"/>
              <w:bottom w:w="0" w:type="dxa"/>
              <w:right w:w="16" w:type="dxa"/>
            </w:tcMar>
            <w:vAlign w:val="bottom"/>
          </w:tcPr>
          <w:p w14:paraId="46DEF7AA" w14:textId="77777777" w:rsidR="00A57ADA" w:rsidRPr="00477C9C" w:rsidRDefault="00A57ADA" w:rsidP="00E56CF1">
            <w:pPr>
              <w:ind w:left="200"/>
              <w:rPr>
                <w:rFonts w:ascii="Arial Narrow" w:eastAsia="Arial Unicode MS" w:hAnsi="Arial Narrow"/>
                <w:bCs/>
                <w:sz w:val="20"/>
              </w:rPr>
            </w:pPr>
            <w:r w:rsidRPr="00477C9C">
              <w:rPr>
                <w:rFonts w:ascii="Arial Narrow" w:hAnsi="Arial Narrow"/>
                <w:bCs/>
                <w:sz w:val="20"/>
              </w:rPr>
              <w:t>Palms East</w:t>
            </w:r>
          </w:p>
        </w:tc>
        <w:tc>
          <w:tcPr>
            <w:tcW w:w="954" w:type="dxa"/>
            <w:tcMar>
              <w:top w:w="16" w:type="dxa"/>
              <w:left w:w="16" w:type="dxa"/>
              <w:bottom w:w="0" w:type="dxa"/>
              <w:right w:w="16" w:type="dxa"/>
            </w:tcMar>
            <w:vAlign w:val="center"/>
          </w:tcPr>
          <w:p w14:paraId="72D014D0" w14:textId="77777777" w:rsidR="00A57ADA" w:rsidRPr="00477C9C" w:rsidRDefault="00A57ADA" w:rsidP="00E56CF1">
            <w:pPr>
              <w:jc w:val="center"/>
              <w:rPr>
                <w:rFonts w:ascii="Arial Narrow" w:eastAsia="Arial Unicode MS" w:hAnsi="Arial Narrow"/>
                <w:bCs/>
                <w:sz w:val="18"/>
                <w:szCs w:val="18"/>
              </w:rPr>
            </w:pPr>
            <w:r w:rsidRPr="00477C9C">
              <w:rPr>
                <w:rFonts w:ascii="Arial Narrow" w:hAnsi="Arial Narrow"/>
                <w:bCs/>
                <w:sz w:val="18"/>
                <w:szCs w:val="18"/>
              </w:rPr>
              <w:t>0.93</w:t>
            </w:r>
          </w:p>
        </w:tc>
        <w:tc>
          <w:tcPr>
            <w:tcW w:w="816" w:type="dxa"/>
            <w:vAlign w:val="center"/>
          </w:tcPr>
          <w:p w14:paraId="33BB6A85" w14:textId="77777777" w:rsidR="00A57ADA" w:rsidRPr="00477C9C" w:rsidRDefault="00A57ADA" w:rsidP="00E56CF1">
            <w:pPr>
              <w:jc w:val="center"/>
              <w:rPr>
                <w:rFonts w:ascii="Arial Narrow" w:eastAsia="Arial Unicode MS" w:hAnsi="Arial Narrow"/>
                <w:bCs/>
                <w:sz w:val="18"/>
                <w:szCs w:val="18"/>
              </w:rPr>
            </w:pPr>
            <w:r w:rsidRPr="00477C9C">
              <w:rPr>
                <w:rFonts w:ascii="Arial Narrow" w:hAnsi="Arial Narrow"/>
                <w:bCs/>
                <w:sz w:val="18"/>
                <w:szCs w:val="18"/>
              </w:rPr>
              <w:t>0.80</w:t>
            </w:r>
          </w:p>
        </w:tc>
        <w:tc>
          <w:tcPr>
            <w:tcW w:w="808" w:type="dxa"/>
            <w:tcMar>
              <w:top w:w="16" w:type="dxa"/>
              <w:left w:w="16" w:type="dxa"/>
              <w:bottom w:w="0" w:type="dxa"/>
              <w:right w:w="16" w:type="dxa"/>
            </w:tcMar>
            <w:vAlign w:val="center"/>
          </w:tcPr>
          <w:p w14:paraId="37F24D01" w14:textId="77777777" w:rsidR="00A57ADA" w:rsidRPr="00477C9C" w:rsidRDefault="00A57ADA" w:rsidP="00E56CF1">
            <w:pPr>
              <w:jc w:val="center"/>
              <w:rPr>
                <w:rFonts w:ascii="Arial Narrow" w:eastAsia="Arial Unicode MS" w:hAnsi="Arial Narrow"/>
                <w:bCs/>
                <w:sz w:val="18"/>
                <w:szCs w:val="18"/>
              </w:rPr>
            </w:pPr>
            <w:r>
              <w:rPr>
                <w:rFonts w:ascii="Arial Narrow" w:eastAsia="Arial Unicode MS" w:hAnsi="Arial Narrow"/>
                <w:bCs/>
                <w:sz w:val="18"/>
                <w:szCs w:val="18"/>
              </w:rPr>
              <w:t>n/a</w:t>
            </w:r>
          </w:p>
        </w:tc>
        <w:tc>
          <w:tcPr>
            <w:tcW w:w="8541" w:type="dxa"/>
            <w:tcMar>
              <w:top w:w="16" w:type="dxa"/>
              <w:left w:w="16" w:type="dxa"/>
              <w:bottom w:w="0" w:type="dxa"/>
              <w:right w:w="16" w:type="dxa"/>
            </w:tcMar>
            <w:vAlign w:val="center"/>
          </w:tcPr>
          <w:p w14:paraId="6580ED49" w14:textId="77777777" w:rsidR="00A57ADA" w:rsidRPr="00477C9C" w:rsidRDefault="00A57ADA" w:rsidP="00040878">
            <w:pPr>
              <w:spacing w:after="0"/>
              <w:jc w:val="left"/>
              <w:rPr>
                <w:rFonts w:ascii="Arial Narrow" w:hAnsi="Arial Narrow"/>
                <w:bCs/>
                <w:sz w:val="18"/>
                <w:szCs w:val="18"/>
              </w:rPr>
            </w:pPr>
            <w:r>
              <w:rPr>
                <w:rFonts w:ascii="Arial Narrow" w:hAnsi="Arial Narrow"/>
                <w:bCs/>
                <w:sz w:val="18"/>
                <w:szCs w:val="18"/>
              </w:rPr>
              <w:t>Cyclone Larry 2006 (23</w:t>
            </w:r>
            <w:r w:rsidRPr="00477C9C">
              <w:rPr>
                <w:rFonts w:ascii="Arial Narrow" w:hAnsi="Arial Narrow"/>
                <w:bCs/>
                <w:sz w:val="18"/>
                <w:szCs w:val="18"/>
              </w:rPr>
              <w:t xml:space="preserve">% at 2 m, 39% at 5 m), Cyclone Yasi 2011 (83% at </w:t>
            </w:r>
            <w:r>
              <w:rPr>
                <w:rFonts w:ascii="Arial Narrow" w:hAnsi="Arial Narrow"/>
                <w:bCs/>
                <w:sz w:val="18"/>
                <w:szCs w:val="18"/>
              </w:rPr>
              <w:t>2m and at</w:t>
            </w:r>
            <w:r w:rsidRPr="00477C9C">
              <w:rPr>
                <w:rFonts w:ascii="Arial Narrow" w:hAnsi="Arial Narrow"/>
                <w:bCs/>
                <w:sz w:val="18"/>
                <w:szCs w:val="18"/>
              </w:rPr>
              <w:t xml:space="preserve"> 5 m)</w:t>
            </w:r>
          </w:p>
        </w:tc>
      </w:tr>
      <w:tr w:rsidR="00A57ADA" w:rsidRPr="00477C9C" w14:paraId="3CC6E37A" w14:textId="77777777" w:rsidTr="00A57ADA">
        <w:trPr>
          <w:cantSplit/>
          <w:trHeight w:val="236"/>
        </w:trPr>
        <w:tc>
          <w:tcPr>
            <w:tcW w:w="583" w:type="dxa"/>
            <w:vMerge/>
            <w:vAlign w:val="center"/>
          </w:tcPr>
          <w:p w14:paraId="3423D616" w14:textId="77777777" w:rsidR="00A57ADA" w:rsidRPr="00477C9C" w:rsidRDefault="00A57ADA" w:rsidP="00E56CF1">
            <w:pPr>
              <w:rPr>
                <w:rFonts w:ascii="Arial Narrow" w:eastAsia="Arial Unicode MS" w:hAnsi="Arial Narrow"/>
                <w:bCs/>
                <w:sz w:val="20"/>
              </w:rPr>
            </w:pPr>
          </w:p>
        </w:tc>
        <w:tc>
          <w:tcPr>
            <w:tcW w:w="1907" w:type="dxa"/>
            <w:tcMar>
              <w:top w:w="16" w:type="dxa"/>
              <w:left w:w="16" w:type="dxa"/>
              <w:bottom w:w="0" w:type="dxa"/>
              <w:right w:w="16" w:type="dxa"/>
            </w:tcMar>
            <w:vAlign w:val="bottom"/>
          </w:tcPr>
          <w:p w14:paraId="5DD8E960" w14:textId="77777777" w:rsidR="00A57ADA" w:rsidRPr="00477C9C" w:rsidRDefault="00A57ADA" w:rsidP="00E56CF1">
            <w:pPr>
              <w:ind w:left="200"/>
              <w:rPr>
                <w:rFonts w:ascii="Arial Narrow" w:eastAsia="Arial Unicode MS" w:hAnsi="Arial Narrow"/>
                <w:bCs/>
                <w:sz w:val="20"/>
              </w:rPr>
            </w:pPr>
            <w:r w:rsidRPr="00477C9C">
              <w:rPr>
                <w:rFonts w:ascii="Arial Narrow" w:hAnsi="Arial Narrow"/>
                <w:bCs/>
                <w:sz w:val="20"/>
              </w:rPr>
              <w:t>Palms West</w:t>
            </w:r>
          </w:p>
        </w:tc>
        <w:tc>
          <w:tcPr>
            <w:tcW w:w="954" w:type="dxa"/>
            <w:tcMar>
              <w:top w:w="16" w:type="dxa"/>
              <w:left w:w="16" w:type="dxa"/>
              <w:bottom w:w="0" w:type="dxa"/>
              <w:right w:w="16" w:type="dxa"/>
            </w:tcMar>
            <w:vAlign w:val="center"/>
          </w:tcPr>
          <w:p w14:paraId="657DEA7B" w14:textId="77777777" w:rsidR="00A57ADA" w:rsidRPr="00477C9C" w:rsidRDefault="00A57ADA" w:rsidP="00E56CF1">
            <w:pPr>
              <w:jc w:val="center"/>
              <w:rPr>
                <w:rFonts w:ascii="Arial Narrow" w:eastAsia="Arial Unicode MS" w:hAnsi="Arial Narrow"/>
                <w:bCs/>
                <w:sz w:val="18"/>
                <w:szCs w:val="18"/>
              </w:rPr>
            </w:pPr>
            <w:r w:rsidRPr="00477C9C">
              <w:rPr>
                <w:rFonts w:ascii="Arial Narrow" w:hAnsi="Arial Narrow"/>
                <w:bCs/>
                <w:sz w:val="18"/>
                <w:szCs w:val="18"/>
              </w:rPr>
              <w:t>0.92 (83%)</w:t>
            </w:r>
          </w:p>
        </w:tc>
        <w:tc>
          <w:tcPr>
            <w:tcW w:w="816" w:type="dxa"/>
            <w:vAlign w:val="center"/>
          </w:tcPr>
          <w:p w14:paraId="2A994C06" w14:textId="77777777" w:rsidR="00A57ADA" w:rsidRPr="00477C9C" w:rsidRDefault="00A57ADA" w:rsidP="00E56CF1">
            <w:pPr>
              <w:jc w:val="center"/>
              <w:rPr>
                <w:rFonts w:ascii="Arial Narrow" w:eastAsia="Arial Unicode MS" w:hAnsi="Arial Narrow"/>
                <w:bCs/>
                <w:sz w:val="18"/>
                <w:szCs w:val="18"/>
              </w:rPr>
            </w:pPr>
            <w:r w:rsidRPr="00477C9C">
              <w:rPr>
                <w:rFonts w:ascii="Arial Narrow" w:hAnsi="Arial Narrow"/>
                <w:bCs/>
                <w:sz w:val="18"/>
                <w:szCs w:val="18"/>
              </w:rPr>
              <w:t>0.80</w:t>
            </w:r>
          </w:p>
        </w:tc>
        <w:tc>
          <w:tcPr>
            <w:tcW w:w="808" w:type="dxa"/>
            <w:tcMar>
              <w:top w:w="16" w:type="dxa"/>
              <w:left w:w="16" w:type="dxa"/>
              <w:bottom w:w="0" w:type="dxa"/>
              <w:right w:w="16" w:type="dxa"/>
            </w:tcMar>
            <w:vAlign w:val="center"/>
          </w:tcPr>
          <w:p w14:paraId="560645C4" w14:textId="77777777" w:rsidR="00A57ADA" w:rsidRPr="00477C9C" w:rsidRDefault="00A57ADA" w:rsidP="0031416F">
            <w:pPr>
              <w:jc w:val="center"/>
              <w:rPr>
                <w:rFonts w:ascii="Arial Narrow" w:eastAsia="Arial Unicode MS" w:hAnsi="Arial Narrow"/>
                <w:bCs/>
                <w:sz w:val="18"/>
                <w:szCs w:val="18"/>
              </w:rPr>
            </w:pPr>
            <w:r>
              <w:rPr>
                <w:rStyle w:val="IntenseReference"/>
                <w:color w:val="auto"/>
                <w:sz w:val="18"/>
                <w:szCs w:val="18"/>
              </w:rPr>
              <w:t>30% (</w:t>
            </w:r>
            <w:r w:rsidRPr="00477C9C">
              <w:rPr>
                <w:rStyle w:val="IntenseReference"/>
                <w:color w:val="auto"/>
                <w:sz w:val="18"/>
                <w:szCs w:val="18"/>
              </w:rPr>
              <w:t>2m</w:t>
            </w:r>
            <w:r>
              <w:rPr>
                <w:rStyle w:val="IntenseReference"/>
                <w:color w:val="auto"/>
                <w:sz w:val="18"/>
                <w:szCs w:val="18"/>
              </w:rPr>
              <w:t>)</w:t>
            </w:r>
            <w:r w:rsidRPr="00477C9C">
              <w:rPr>
                <w:rStyle w:val="IntenseReference"/>
                <w:color w:val="auto"/>
                <w:sz w:val="18"/>
                <w:szCs w:val="18"/>
              </w:rPr>
              <w:t xml:space="preserve"> </w:t>
            </w:r>
            <w:r>
              <w:rPr>
                <w:rStyle w:val="IntenseReference"/>
                <w:color w:val="auto"/>
                <w:sz w:val="18"/>
                <w:szCs w:val="18"/>
              </w:rPr>
              <w:t xml:space="preserve">15% </w:t>
            </w:r>
            <w:r w:rsidRPr="00477C9C">
              <w:rPr>
                <w:rStyle w:val="IntenseReference"/>
                <w:color w:val="auto"/>
                <w:sz w:val="18"/>
                <w:szCs w:val="18"/>
              </w:rPr>
              <w:t xml:space="preserve"> </w:t>
            </w:r>
            <w:r>
              <w:rPr>
                <w:rStyle w:val="IntenseReference"/>
                <w:color w:val="auto"/>
                <w:sz w:val="18"/>
                <w:szCs w:val="18"/>
              </w:rPr>
              <w:t>(</w:t>
            </w:r>
            <w:r w:rsidRPr="00477C9C">
              <w:rPr>
                <w:rStyle w:val="IntenseReference"/>
                <w:color w:val="auto"/>
                <w:sz w:val="18"/>
                <w:szCs w:val="18"/>
              </w:rPr>
              <w:t>5m)</w:t>
            </w:r>
          </w:p>
        </w:tc>
        <w:tc>
          <w:tcPr>
            <w:tcW w:w="8541" w:type="dxa"/>
            <w:tcMar>
              <w:top w:w="16" w:type="dxa"/>
              <w:left w:w="16" w:type="dxa"/>
              <w:bottom w:w="0" w:type="dxa"/>
              <w:right w:w="16" w:type="dxa"/>
            </w:tcMar>
            <w:vAlign w:val="center"/>
          </w:tcPr>
          <w:p w14:paraId="49AF43E6" w14:textId="77777777" w:rsidR="00A57ADA" w:rsidRPr="00477C9C" w:rsidRDefault="00A57ADA" w:rsidP="00040878">
            <w:pPr>
              <w:spacing w:after="0"/>
              <w:jc w:val="left"/>
              <w:rPr>
                <w:rFonts w:ascii="Arial Narrow" w:hAnsi="Arial Narrow"/>
                <w:bCs/>
                <w:sz w:val="18"/>
                <w:szCs w:val="18"/>
              </w:rPr>
            </w:pPr>
            <w:r w:rsidRPr="00477C9C">
              <w:rPr>
                <w:rFonts w:ascii="Arial Narrow" w:hAnsi="Arial Narrow"/>
                <w:bCs/>
                <w:sz w:val="18"/>
                <w:szCs w:val="18"/>
              </w:rPr>
              <w:t xml:space="preserve">Unknown 1995-1997 </w:t>
            </w:r>
            <w:r w:rsidR="00003C57">
              <w:rPr>
                <w:rFonts w:ascii="Arial Narrow" w:hAnsi="Arial Narrow"/>
                <w:bCs/>
                <w:sz w:val="18"/>
                <w:szCs w:val="18"/>
              </w:rPr>
              <w:t>al</w:t>
            </w:r>
            <w:r w:rsidRPr="00477C9C">
              <w:rPr>
                <w:rFonts w:ascii="Arial Narrow" w:hAnsi="Arial Narrow"/>
                <w:bCs/>
                <w:sz w:val="18"/>
                <w:szCs w:val="18"/>
              </w:rPr>
              <w:t>though possibly Cyclone Justin (32%) , Cyclone Larry 2006 (15% at 2 m),</w:t>
            </w:r>
          </w:p>
          <w:p w14:paraId="63CCA445" w14:textId="77777777" w:rsidR="00A57ADA" w:rsidRPr="00477C9C" w:rsidRDefault="00A57ADA" w:rsidP="0031416F">
            <w:pPr>
              <w:spacing w:after="0"/>
              <w:jc w:val="left"/>
              <w:rPr>
                <w:rFonts w:ascii="Arial Narrow" w:eastAsia="Arial Unicode MS" w:hAnsi="Arial Narrow"/>
                <w:bCs/>
                <w:sz w:val="18"/>
                <w:szCs w:val="18"/>
              </w:rPr>
            </w:pPr>
            <w:r w:rsidRPr="00477C9C">
              <w:rPr>
                <w:rFonts w:ascii="Arial Narrow" w:hAnsi="Arial Narrow"/>
                <w:bCs/>
                <w:sz w:val="18"/>
                <w:szCs w:val="18"/>
              </w:rPr>
              <w:t>Storm 2010 (68% at 2 m)</w:t>
            </w:r>
          </w:p>
        </w:tc>
      </w:tr>
      <w:tr w:rsidR="00A57ADA" w:rsidRPr="009B6C07" w14:paraId="69FD8510" w14:textId="77777777" w:rsidTr="00A57ADA">
        <w:trPr>
          <w:cantSplit/>
          <w:trHeight w:val="264"/>
        </w:trPr>
        <w:tc>
          <w:tcPr>
            <w:tcW w:w="583" w:type="dxa"/>
            <w:vMerge/>
            <w:vAlign w:val="center"/>
          </w:tcPr>
          <w:p w14:paraId="35119530" w14:textId="77777777" w:rsidR="00A57ADA" w:rsidRPr="00477C9C" w:rsidRDefault="00A57ADA" w:rsidP="00E56CF1">
            <w:pPr>
              <w:rPr>
                <w:rFonts w:ascii="Arial Narrow" w:eastAsia="Arial Unicode MS" w:hAnsi="Arial Narrow"/>
                <w:bCs/>
                <w:sz w:val="20"/>
              </w:rPr>
            </w:pPr>
          </w:p>
        </w:tc>
        <w:tc>
          <w:tcPr>
            <w:tcW w:w="1907" w:type="dxa"/>
            <w:tcMar>
              <w:top w:w="16" w:type="dxa"/>
              <w:left w:w="16" w:type="dxa"/>
              <w:bottom w:w="0" w:type="dxa"/>
              <w:right w:w="16" w:type="dxa"/>
            </w:tcMar>
            <w:vAlign w:val="bottom"/>
          </w:tcPr>
          <w:p w14:paraId="7E95326B" w14:textId="77777777" w:rsidR="00A57ADA" w:rsidRPr="00477C9C" w:rsidRDefault="00A57ADA" w:rsidP="00E56CF1">
            <w:pPr>
              <w:ind w:left="200"/>
              <w:rPr>
                <w:rFonts w:ascii="Arial Narrow" w:eastAsia="Arial Unicode MS" w:hAnsi="Arial Narrow"/>
                <w:bCs/>
                <w:sz w:val="20"/>
              </w:rPr>
            </w:pPr>
            <w:r w:rsidRPr="00477C9C">
              <w:rPr>
                <w:rFonts w:ascii="Arial Narrow" w:hAnsi="Arial Narrow"/>
                <w:bCs/>
                <w:sz w:val="20"/>
              </w:rPr>
              <w:t>Lady Elliott Reef</w:t>
            </w:r>
          </w:p>
        </w:tc>
        <w:tc>
          <w:tcPr>
            <w:tcW w:w="954" w:type="dxa"/>
            <w:tcMar>
              <w:top w:w="16" w:type="dxa"/>
              <w:left w:w="16" w:type="dxa"/>
              <w:bottom w:w="0" w:type="dxa"/>
              <w:right w:w="16" w:type="dxa"/>
            </w:tcMar>
            <w:vAlign w:val="center"/>
          </w:tcPr>
          <w:p w14:paraId="3CBC26DC" w14:textId="77777777" w:rsidR="00A57ADA" w:rsidRPr="00477C9C" w:rsidRDefault="00A57ADA" w:rsidP="00E56CF1">
            <w:pPr>
              <w:jc w:val="center"/>
              <w:rPr>
                <w:rFonts w:ascii="Arial Narrow" w:eastAsia="Arial Unicode MS" w:hAnsi="Arial Narrow"/>
                <w:bCs/>
                <w:sz w:val="18"/>
                <w:szCs w:val="18"/>
              </w:rPr>
            </w:pPr>
            <w:r w:rsidRPr="00477C9C">
              <w:rPr>
                <w:rFonts w:ascii="Arial Narrow" w:hAnsi="Arial Narrow"/>
                <w:bCs/>
                <w:sz w:val="18"/>
                <w:szCs w:val="18"/>
              </w:rPr>
              <w:t>0.93</w:t>
            </w:r>
          </w:p>
        </w:tc>
        <w:tc>
          <w:tcPr>
            <w:tcW w:w="816" w:type="dxa"/>
            <w:vAlign w:val="center"/>
          </w:tcPr>
          <w:p w14:paraId="192BA6A8" w14:textId="77777777" w:rsidR="00A57ADA" w:rsidRPr="00477C9C" w:rsidRDefault="00A57ADA" w:rsidP="00E56CF1">
            <w:pPr>
              <w:jc w:val="center"/>
              <w:rPr>
                <w:rFonts w:ascii="Arial Narrow" w:eastAsia="Arial Unicode MS" w:hAnsi="Arial Narrow"/>
                <w:bCs/>
                <w:sz w:val="18"/>
                <w:szCs w:val="18"/>
              </w:rPr>
            </w:pPr>
            <w:r w:rsidRPr="00477C9C">
              <w:rPr>
                <w:rFonts w:ascii="Arial Narrow" w:hAnsi="Arial Narrow"/>
                <w:bCs/>
                <w:sz w:val="18"/>
                <w:szCs w:val="18"/>
              </w:rPr>
              <w:t>0.85</w:t>
            </w:r>
          </w:p>
        </w:tc>
        <w:tc>
          <w:tcPr>
            <w:tcW w:w="808" w:type="dxa"/>
            <w:tcMar>
              <w:top w:w="16" w:type="dxa"/>
              <w:left w:w="16" w:type="dxa"/>
              <w:bottom w:w="0" w:type="dxa"/>
              <w:right w:w="16" w:type="dxa"/>
            </w:tcMar>
            <w:vAlign w:val="center"/>
          </w:tcPr>
          <w:p w14:paraId="3AA5419D" w14:textId="77777777" w:rsidR="00A57ADA" w:rsidRPr="00477C9C" w:rsidRDefault="00A57ADA" w:rsidP="00E56CF1">
            <w:pPr>
              <w:jc w:val="center"/>
              <w:rPr>
                <w:rFonts w:ascii="Arial Narrow" w:eastAsia="Arial Unicode MS" w:hAnsi="Arial Narrow"/>
                <w:bCs/>
                <w:sz w:val="18"/>
                <w:szCs w:val="18"/>
              </w:rPr>
            </w:pPr>
            <w:r>
              <w:rPr>
                <w:rFonts w:ascii="Arial Narrow" w:eastAsia="Arial Unicode MS" w:hAnsi="Arial Narrow"/>
                <w:bCs/>
                <w:sz w:val="18"/>
                <w:szCs w:val="18"/>
              </w:rPr>
              <w:t>n/a</w:t>
            </w:r>
          </w:p>
        </w:tc>
        <w:tc>
          <w:tcPr>
            <w:tcW w:w="8541" w:type="dxa"/>
            <w:tcMar>
              <w:top w:w="16" w:type="dxa"/>
              <w:left w:w="16" w:type="dxa"/>
              <w:bottom w:w="0" w:type="dxa"/>
              <w:right w:w="16" w:type="dxa"/>
            </w:tcMar>
            <w:vAlign w:val="center"/>
          </w:tcPr>
          <w:p w14:paraId="70D301EB" w14:textId="77777777" w:rsidR="00A57ADA" w:rsidRPr="00A87191" w:rsidRDefault="00A57ADA" w:rsidP="0031416F">
            <w:pPr>
              <w:spacing w:after="0"/>
              <w:jc w:val="left"/>
              <w:rPr>
                <w:rFonts w:ascii="Arial Narrow" w:eastAsia="Arial Unicode MS" w:hAnsi="Arial Narrow"/>
                <w:bCs/>
                <w:sz w:val="18"/>
                <w:szCs w:val="18"/>
                <w:lang w:val="da-DK"/>
              </w:rPr>
            </w:pPr>
            <w:r w:rsidRPr="00A87191">
              <w:rPr>
                <w:rFonts w:ascii="Arial Narrow" w:hAnsi="Arial Narrow"/>
                <w:bCs/>
                <w:sz w:val="18"/>
                <w:szCs w:val="18"/>
                <w:lang w:val="da-DK"/>
              </w:rPr>
              <w:t>Cyclone Yasi 2011 (86% at 2 m, 45% at 5 m)</w:t>
            </w:r>
          </w:p>
        </w:tc>
      </w:tr>
      <w:tr w:rsidR="00A57ADA" w:rsidRPr="00477C9C" w14:paraId="6F6CC753" w14:textId="77777777" w:rsidTr="00A57ADA">
        <w:trPr>
          <w:cantSplit/>
          <w:trHeight w:val="297"/>
        </w:trPr>
        <w:tc>
          <w:tcPr>
            <w:tcW w:w="583" w:type="dxa"/>
            <w:vMerge/>
            <w:vAlign w:val="center"/>
          </w:tcPr>
          <w:p w14:paraId="3DE697D8" w14:textId="77777777" w:rsidR="00A57ADA" w:rsidRPr="00A87191" w:rsidRDefault="00A57ADA" w:rsidP="00E56CF1">
            <w:pPr>
              <w:rPr>
                <w:rFonts w:ascii="Arial Narrow" w:eastAsia="Arial Unicode MS" w:hAnsi="Arial Narrow"/>
                <w:bCs/>
                <w:sz w:val="20"/>
                <w:lang w:val="da-DK"/>
              </w:rPr>
            </w:pPr>
          </w:p>
        </w:tc>
        <w:tc>
          <w:tcPr>
            <w:tcW w:w="1907" w:type="dxa"/>
            <w:tcMar>
              <w:top w:w="16" w:type="dxa"/>
              <w:left w:w="16" w:type="dxa"/>
              <w:bottom w:w="0" w:type="dxa"/>
              <w:right w:w="16" w:type="dxa"/>
            </w:tcMar>
            <w:vAlign w:val="bottom"/>
          </w:tcPr>
          <w:p w14:paraId="525C1BEC" w14:textId="77777777" w:rsidR="00A57ADA" w:rsidRPr="00477C9C" w:rsidRDefault="00A57ADA" w:rsidP="00E56CF1">
            <w:pPr>
              <w:ind w:left="200"/>
              <w:rPr>
                <w:rFonts w:ascii="Arial Narrow" w:eastAsia="Arial Unicode MS" w:hAnsi="Arial Narrow"/>
                <w:bCs/>
                <w:sz w:val="20"/>
              </w:rPr>
            </w:pPr>
            <w:r w:rsidRPr="00477C9C">
              <w:rPr>
                <w:rFonts w:ascii="Arial Narrow" w:hAnsi="Arial Narrow"/>
                <w:bCs/>
                <w:sz w:val="20"/>
              </w:rPr>
              <w:t>Pandora Reef</w:t>
            </w:r>
          </w:p>
        </w:tc>
        <w:tc>
          <w:tcPr>
            <w:tcW w:w="954" w:type="dxa"/>
            <w:tcMar>
              <w:top w:w="16" w:type="dxa"/>
              <w:left w:w="16" w:type="dxa"/>
              <w:bottom w:w="0" w:type="dxa"/>
              <w:right w:w="16" w:type="dxa"/>
            </w:tcMar>
            <w:vAlign w:val="center"/>
          </w:tcPr>
          <w:p w14:paraId="32A82080" w14:textId="77777777" w:rsidR="00A57ADA" w:rsidRPr="00477C9C" w:rsidRDefault="00A57ADA" w:rsidP="00E56CF1">
            <w:pPr>
              <w:jc w:val="center"/>
              <w:rPr>
                <w:rFonts w:ascii="Arial Narrow" w:eastAsia="Arial Unicode MS" w:hAnsi="Arial Narrow"/>
                <w:bCs/>
                <w:sz w:val="18"/>
                <w:szCs w:val="18"/>
              </w:rPr>
            </w:pPr>
            <w:r w:rsidRPr="00477C9C">
              <w:rPr>
                <w:rFonts w:ascii="Arial Narrow" w:hAnsi="Arial Narrow"/>
                <w:bCs/>
                <w:sz w:val="18"/>
                <w:szCs w:val="18"/>
              </w:rPr>
              <w:t>0.93 (21%)</w:t>
            </w:r>
          </w:p>
        </w:tc>
        <w:tc>
          <w:tcPr>
            <w:tcW w:w="816" w:type="dxa"/>
            <w:vAlign w:val="center"/>
          </w:tcPr>
          <w:p w14:paraId="76F39A53" w14:textId="77777777" w:rsidR="00A57ADA" w:rsidRPr="00477C9C" w:rsidRDefault="00A57ADA" w:rsidP="00E56CF1">
            <w:pPr>
              <w:jc w:val="center"/>
              <w:rPr>
                <w:rFonts w:ascii="Arial Narrow" w:eastAsia="Arial Unicode MS" w:hAnsi="Arial Narrow"/>
                <w:bCs/>
                <w:sz w:val="18"/>
                <w:szCs w:val="18"/>
              </w:rPr>
            </w:pPr>
            <w:r w:rsidRPr="00477C9C">
              <w:rPr>
                <w:rFonts w:ascii="Arial Narrow" w:hAnsi="Arial Narrow"/>
                <w:bCs/>
                <w:sz w:val="18"/>
                <w:szCs w:val="18"/>
              </w:rPr>
              <w:t>0.85 (2%)</w:t>
            </w:r>
          </w:p>
        </w:tc>
        <w:tc>
          <w:tcPr>
            <w:tcW w:w="808" w:type="dxa"/>
            <w:tcMar>
              <w:top w:w="16" w:type="dxa"/>
              <w:left w:w="16" w:type="dxa"/>
              <w:bottom w:w="0" w:type="dxa"/>
              <w:right w:w="16" w:type="dxa"/>
            </w:tcMar>
            <w:vAlign w:val="center"/>
          </w:tcPr>
          <w:p w14:paraId="7A745B75" w14:textId="77777777" w:rsidR="00A57ADA" w:rsidRPr="00477C9C" w:rsidRDefault="00A57ADA" w:rsidP="0031416F">
            <w:pPr>
              <w:jc w:val="center"/>
              <w:rPr>
                <w:rFonts w:ascii="Arial Narrow" w:eastAsia="Arial Unicode MS" w:hAnsi="Arial Narrow"/>
                <w:bCs/>
                <w:sz w:val="18"/>
                <w:szCs w:val="18"/>
              </w:rPr>
            </w:pPr>
            <w:r>
              <w:rPr>
                <w:rStyle w:val="IntenseReference"/>
                <w:color w:val="auto"/>
                <w:sz w:val="18"/>
                <w:szCs w:val="18"/>
              </w:rPr>
              <w:t>33</w:t>
            </w:r>
            <w:r w:rsidRPr="00477C9C">
              <w:rPr>
                <w:rStyle w:val="IntenseReference"/>
                <w:color w:val="auto"/>
                <w:sz w:val="18"/>
                <w:szCs w:val="18"/>
              </w:rPr>
              <w:t xml:space="preserve">% </w:t>
            </w:r>
            <w:r>
              <w:rPr>
                <w:rStyle w:val="IntenseReference"/>
                <w:color w:val="auto"/>
                <w:sz w:val="18"/>
                <w:szCs w:val="18"/>
              </w:rPr>
              <w:t>(</w:t>
            </w:r>
            <w:r w:rsidRPr="00477C9C">
              <w:rPr>
                <w:rStyle w:val="IntenseReference"/>
                <w:color w:val="auto"/>
                <w:sz w:val="18"/>
                <w:szCs w:val="18"/>
              </w:rPr>
              <w:t>2m)</w:t>
            </w:r>
          </w:p>
        </w:tc>
        <w:tc>
          <w:tcPr>
            <w:tcW w:w="8541" w:type="dxa"/>
            <w:tcMar>
              <w:top w:w="16" w:type="dxa"/>
              <w:left w:w="16" w:type="dxa"/>
              <w:bottom w:w="0" w:type="dxa"/>
              <w:right w:w="16" w:type="dxa"/>
            </w:tcMar>
            <w:vAlign w:val="center"/>
          </w:tcPr>
          <w:p w14:paraId="5CE59AB4" w14:textId="77777777" w:rsidR="00A57ADA" w:rsidRPr="00477C9C" w:rsidRDefault="00A57ADA" w:rsidP="0031416F">
            <w:pPr>
              <w:spacing w:after="0"/>
              <w:jc w:val="left"/>
              <w:rPr>
                <w:rFonts w:ascii="Arial Narrow" w:eastAsia="Arial Unicode MS" w:hAnsi="Arial Narrow"/>
                <w:bCs/>
                <w:sz w:val="18"/>
                <w:szCs w:val="18"/>
              </w:rPr>
            </w:pPr>
            <w:r w:rsidRPr="00477C9C">
              <w:rPr>
                <w:rFonts w:ascii="Arial Narrow" w:hAnsi="Arial Narrow"/>
                <w:bCs/>
                <w:sz w:val="18"/>
                <w:szCs w:val="18"/>
              </w:rPr>
              <w:t>Cyclone Tessie 2</w:t>
            </w:r>
            <w:r>
              <w:rPr>
                <w:rFonts w:ascii="Arial Narrow" w:hAnsi="Arial Narrow"/>
                <w:bCs/>
                <w:sz w:val="18"/>
                <w:szCs w:val="18"/>
              </w:rPr>
              <w:t>000 (9%), Cyclone Larry 2006 (80</w:t>
            </w:r>
            <w:r w:rsidRPr="00477C9C">
              <w:rPr>
                <w:rFonts w:ascii="Arial Narrow" w:hAnsi="Arial Narrow"/>
                <w:bCs/>
                <w:sz w:val="18"/>
                <w:szCs w:val="18"/>
              </w:rPr>
              <w:t>% at 2 m</w:t>
            </w:r>
            <w:r>
              <w:rPr>
                <w:rFonts w:ascii="Arial Narrow" w:hAnsi="Arial Narrow"/>
                <w:bCs/>
                <w:sz w:val="18"/>
                <w:szCs w:val="18"/>
              </w:rPr>
              <w:t>, 34</w:t>
            </w:r>
            <w:r w:rsidRPr="00477C9C">
              <w:rPr>
                <w:rFonts w:ascii="Arial Narrow" w:hAnsi="Arial Narrow"/>
                <w:bCs/>
                <w:sz w:val="18"/>
                <w:szCs w:val="18"/>
              </w:rPr>
              <w:t>% at 5 m</w:t>
            </w:r>
            <w:r>
              <w:rPr>
                <w:rFonts w:ascii="Arial Narrow" w:hAnsi="Arial Narrow"/>
                <w:bCs/>
                <w:sz w:val="18"/>
                <w:szCs w:val="18"/>
              </w:rPr>
              <w:t>), Storm 2009 (37</w:t>
            </w:r>
            <w:r w:rsidRPr="00477C9C">
              <w:rPr>
                <w:rFonts w:ascii="Arial Narrow" w:hAnsi="Arial Narrow"/>
                <w:bCs/>
                <w:sz w:val="18"/>
                <w:szCs w:val="18"/>
              </w:rPr>
              <w:t>% at 2 m</w:t>
            </w:r>
            <w:r>
              <w:rPr>
                <w:rFonts w:ascii="Arial Narrow" w:hAnsi="Arial Narrow"/>
                <w:bCs/>
                <w:sz w:val="18"/>
                <w:szCs w:val="18"/>
              </w:rPr>
              <w:t>, 56</w:t>
            </w:r>
            <w:r w:rsidRPr="00477C9C">
              <w:rPr>
                <w:rFonts w:ascii="Arial Narrow" w:hAnsi="Arial Narrow"/>
                <w:bCs/>
                <w:sz w:val="18"/>
                <w:szCs w:val="18"/>
              </w:rPr>
              <w:t>% at 5 m), Cyclone Yasi 2011 (</w:t>
            </w:r>
            <w:r>
              <w:rPr>
                <w:rFonts w:ascii="Arial Narrow" w:hAnsi="Arial Narrow"/>
                <w:bCs/>
                <w:sz w:val="18"/>
                <w:szCs w:val="18"/>
              </w:rPr>
              <w:t>30</w:t>
            </w:r>
            <w:r w:rsidRPr="00477C9C">
              <w:rPr>
                <w:rFonts w:ascii="Arial Narrow" w:hAnsi="Arial Narrow"/>
                <w:bCs/>
                <w:sz w:val="18"/>
                <w:szCs w:val="18"/>
              </w:rPr>
              <w:t xml:space="preserve">% at 2 m, </w:t>
            </w:r>
            <w:r>
              <w:rPr>
                <w:rFonts w:ascii="Arial Narrow" w:hAnsi="Arial Narrow"/>
                <w:bCs/>
                <w:sz w:val="18"/>
                <w:szCs w:val="18"/>
              </w:rPr>
              <w:t>57</w:t>
            </w:r>
            <w:r w:rsidRPr="00477C9C">
              <w:rPr>
                <w:rFonts w:ascii="Arial Narrow" w:hAnsi="Arial Narrow"/>
                <w:bCs/>
                <w:sz w:val="18"/>
                <w:szCs w:val="18"/>
              </w:rPr>
              <w:t>% at 5 m)</w:t>
            </w:r>
          </w:p>
        </w:tc>
      </w:tr>
      <w:tr w:rsidR="00A57ADA" w:rsidRPr="00477C9C" w14:paraId="6C55A04F" w14:textId="77777777" w:rsidTr="00A57ADA">
        <w:trPr>
          <w:cantSplit/>
          <w:trHeight w:val="297"/>
        </w:trPr>
        <w:tc>
          <w:tcPr>
            <w:tcW w:w="583" w:type="dxa"/>
            <w:vMerge/>
            <w:vAlign w:val="center"/>
          </w:tcPr>
          <w:p w14:paraId="3B27B67C" w14:textId="77777777" w:rsidR="00A57ADA" w:rsidRPr="00477C9C" w:rsidRDefault="00A57ADA" w:rsidP="00E56CF1">
            <w:pPr>
              <w:rPr>
                <w:rFonts w:ascii="Arial Narrow" w:eastAsia="Arial Unicode MS" w:hAnsi="Arial Narrow"/>
                <w:bCs/>
                <w:sz w:val="20"/>
              </w:rPr>
            </w:pPr>
          </w:p>
        </w:tc>
        <w:tc>
          <w:tcPr>
            <w:tcW w:w="1907" w:type="dxa"/>
            <w:tcMar>
              <w:top w:w="16" w:type="dxa"/>
              <w:left w:w="16" w:type="dxa"/>
              <w:bottom w:w="0" w:type="dxa"/>
              <w:right w:w="16" w:type="dxa"/>
            </w:tcMar>
            <w:vAlign w:val="bottom"/>
          </w:tcPr>
          <w:p w14:paraId="7D908C48" w14:textId="77777777" w:rsidR="00A57ADA" w:rsidRPr="00477C9C" w:rsidRDefault="00A57ADA" w:rsidP="00E56CF1">
            <w:pPr>
              <w:ind w:left="200"/>
              <w:rPr>
                <w:rFonts w:ascii="Arial Narrow" w:hAnsi="Arial Narrow"/>
                <w:bCs/>
                <w:sz w:val="20"/>
              </w:rPr>
            </w:pPr>
            <w:r w:rsidRPr="00477C9C">
              <w:rPr>
                <w:rFonts w:ascii="Arial Narrow" w:hAnsi="Arial Narrow"/>
                <w:bCs/>
                <w:sz w:val="20"/>
              </w:rPr>
              <w:t>Pandora North</w:t>
            </w:r>
          </w:p>
        </w:tc>
        <w:tc>
          <w:tcPr>
            <w:tcW w:w="954" w:type="dxa"/>
            <w:tcMar>
              <w:top w:w="16" w:type="dxa"/>
              <w:left w:w="16" w:type="dxa"/>
              <w:bottom w:w="0" w:type="dxa"/>
              <w:right w:w="16" w:type="dxa"/>
            </w:tcMar>
            <w:vAlign w:val="center"/>
          </w:tcPr>
          <w:p w14:paraId="2D62B32C" w14:textId="77777777" w:rsidR="00A57ADA" w:rsidRPr="00477C9C" w:rsidRDefault="00A57ADA" w:rsidP="00E56CF1">
            <w:pPr>
              <w:jc w:val="center"/>
              <w:rPr>
                <w:rFonts w:ascii="Arial Narrow" w:hAnsi="Arial Narrow"/>
                <w:bCs/>
                <w:sz w:val="18"/>
                <w:szCs w:val="18"/>
              </w:rPr>
            </w:pPr>
            <w:r w:rsidRPr="00477C9C">
              <w:rPr>
                <w:rFonts w:ascii="Arial Narrow" w:hAnsi="Arial Narrow"/>
                <w:bCs/>
                <w:sz w:val="18"/>
                <w:szCs w:val="18"/>
              </w:rPr>
              <w:t>11%</w:t>
            </w:r>
          </w:p>
        </w:tc>
        <w:tc>
          <w:tcPr>
            <w:tcW w:w="816" w:type="dxa"/>
            <w:vAlign w:val="center"/>
          </w:tcPr>
          <w:p w14:paraId="3E807321" w14:textId="77777777" w:rsidR="00A57ADA" w:rsidRPr="00477C9C" w:rsidRDefault="00A57ADA" w:rsidP="00E56CF1">
            <w:pPr>
              <w:jc w:val="center"/>
              <w:rPr>
                <w:rFonts w:ascii="Arial Narrow" w:hAnsi="Arial Narrow"/>
                <w:bCs/>
                <w:sz w:val="18"/>
                <w:szCs w:val="18"/>
              </w:rPr>
            </w:pPr>
          </w:p>
        </w:tc>
        <w:tc>
          <w:tcPr>
            <w:tcW w:w="808" w:type="dxa"/>
            <w:tcMar>
              <w:top w:w="16" w:type="dxa"/>
              <w:left w:w="16" w:type="dxa"/>
              <w:bottom w:w="0" w:type="dxa"/>
              <w:right w:w="16" w:type="dxa"/>
            </w:tcMar>
            <w:vAlign w:val="center"/>
          </w:tcPr>
          <w:p w14:paraId="60CD9227" w14:textId="77777777" w:rsidR="00A57ADA" w:rsidRPr="00477C9C" w:rsidRDefault="00A57ADA" w:rsidP="00E56CF1">
            <w:pPr>
              <w:jc w:val="center"/>
              <w:rPr>
                <w:rFonts w:ascii="Arial Narrow" w:eastAsia="Arial Unicode MS" w:hAnsi="Arial Narrow"/>
                <w:bCs/>
                <w:sz w:val="18"/>
                <w:szCs w:val="18"/>
              </w:rPr>
            </w:pPr>
            <w:r>
              <w:rPr>
                <w:rFonts w:ascii="Arial Narrow" w:eastAsia="Arial Unicode MS" w:hAnsi="Arial Narrow"/>
                <w:bCs/>
                <w:sz w:val="18"/>
                <w:szCs w:val="18"/>
              </w:rPr>
              <w:t>n/a</w:t>
            </w:r>
          </w:p>
        </w:tc>
        <w:tc>
          <w:tcPr>
            <w:tcW w:w="8541" w:type="dxa"/>
            <w:tcMar>
              <w:top w:w="16" w:type="dxa"/>
              <w:left w:w="16" w:type="dxa"/>
              <w:bottom w:w="0" w:type="dxa"/>
              <w:right w:w="16" w:type="dxa"/>
            </w:tcMar>
            <w:vAlign w:val="center"/>
          </w:tcPr>
          <w:p w14:paraId="496CC1DA" w14:textId="77777777" w:rsidR="00A57ADA" w:rsidRPr="00477C9C" w:rsidRDefault="00A57ADA" w:rsidP="00040878">
            <w:pPr>
              <w:spacing w:after="0"/>
              <w:jc w:val="left"/>
              <w:rPr>
                <w:rFonts w:ascii="Arial Narrow" w:hAnsi="Arial Narrow"/>
                <w:bCs/>
                <w:sz w:val="18"/>
                <w:szCs w:val="18"/>
              </w:rPr>
            </w:pPr>
            <w:r>
              <w:rPr>
                <w:rFonts w:ascii="Arial Narrow" w:hAnsi="Arial Narrow"/>
                <w:bCs/>
                <w:sz w:val="18"/>
                <w:szCs w:val="18"/>
              </w:rPr>
              <w:t>Cyclone Yasi 2011 (25</w:t>
            </w:r>
            <w:r w:rsidRPr="00477C9C">
              <w:rPr>
                <w:rFonts w:ascii="Arial Narrow" w:hAnsi="Arial Narrow"/>
                <w:bCs/>
                <w:sz w:val="18"/>
                <w:szCs w:val="18"/>
              </w:rPr>
              <w:t>%)</w:t>
            </w:r>
          </w:p>
        </w:tc>
      </w:tr>
      <w:tr w:rsidR="00A57ADA" w:rsidRPr="00477C9C" w14:paraId="2974F8E5" w14:textId="77777777" w:rsidTr="00A57ADA">
        <w:trPr>
          <w:cantSplit/>
          <w:trHeight w:val="265"/>
        </w:trPr>
        <w:tc>
          <w:tcPr>
            <w:tcW w:w="583" w:type="dxa"/>
            <w:vMerge/>
            <w:vAlign w:val="center"/>
          </w:tcPr>
          <w:p w14:paraId="2BF3E7EB" w14:textId="77777777" w:rsidR="00A57ADA" w:rsidRPr="00477C9C" w:rsidRDefault="00A57ADA" w:rsidP="00E56CF1">
            <w:pPr>
              <w:rPr>
                <w:rFonts w:ascii="Arial Narrow" w:eastAsia="Arial Unicode MS" w:hAnsi="Arial Narrow"/>
                <w:bCs/>
                <w:sz w:val="20"/>
              </w:rPr>
            </w:pPr>
          </w:p>
        </w:tc>
        <w:tc>
          <w:tcPr>
            <w:tcW w:w="1907" w:type="dxa"/>
            <w:tcMar>
              <w:top w:w="16" w:type="dxa"/>
              <w:left w:w="16" w:type="dxa"/>
              <w:bottom w:w="0" w:type="dxa"/>
              <w:right w:w="16" w:type="dxa"/>
            </w:tcMar>
            <w:vAlign w:val="bottom"/>
          </w:tcPr>
          <w:p w14:paraId="4714E788" w14:textId="77777777" w:rsidR="00A57ADA" w:rsidRPr="00477C9C" w:rsidRDefault="00A57ADA" w:rsidP="00E56CF1">
            <w:pPr>
              <w:ind w:left="200"/>
              <w:rPr>
                <w:rFonts w:ascii="Arial Narrow" w:eastAsia="Arial Unicode MS" w:hAnsi="Arial Narrow"/>
                <w:bCs/>
                <w:sz w:val="20"/>
              </w:rPr>
            </w:pPr>
            <w:r w:rsidRPr="00477C9C">
              <w:rPr>
                <w:rFonts w:ascii="Arial Narrow" w:hAnsi="Arial Narrow"/>
                <w:bCs/>
                <w:sz w:val="20"/>
              </w:rPr>
              <w:t>Havannah</w:t>
            </w:r>
          </w:p>
        </w:tc>
        <w:tc>
          <w:tcPr>
            <w:tcW w:w="954" w:type="dxa"/>
            <w:tcMar>
              <w:top w:w="16" w:type="dxa"/>
              <w:left w:w="16" w:type="dxa"/>
              <w:bottom w:w="0" w:type="dxa"/>
              <w:right w:w="16" w:type="dxa"/>
            </w:tcMar>
            <w:vAlign w:val="center"/>
          </w:tcPr>
          <w:p w14:paraId="080318FD" w14:textId="77777777" w:rsidR="00A57ADA" w:rsidRPr="00477C9C" w:rsidRDefault="00A57ADA" w:rsidP="00E56CF1">
            <w:pPr>
              <w:jc w:val="center"/>
              <w:rPr>
                <w:rFonts w:ascii="Arial Narrow" w:eastAsia="Arial Unicode MS" w:hAnsi="Arial Narrow"/>
                <w:bCs/>
                <w:sz w:val="18"/>
                <w:szCs w:val="18"/>
              </w:rPr>
            </w:pPr>
            <w:r w:rsidRPr="00477C9C">
              <w:rPr>
                <w:rFonts w:ascii="Arial Narrow" w:hAnsi="Arial Narrow"/>
                <w:bCs/>
                <w:sz w:val="18"/>
                <w:szCs w:val="18"/>
              </w:rPr>
              <w:t xml:space="preserve">0.93 </w:t>
            </w:r>
          </w:p>
        </w:tc>
        <w:tc>
          <w:tcPr>
            <w:tcW w:w="816" w:type="dxa"/>
            <w:vAlign w:val="center"/>
          </w:tcPr>
          <w:p w14:paraId="79E24772" w14:textId="77777777" w:rsidR="00A57ADA" w:rsidRPr="00477C9C" w:rsidRDefault="00A57ADA" w:rsidP="00E56CF1">
            <w:pPr>
              <w:jc w:val="center"/>
              <w:rPr>
                <w:rFonts w:ascii="Arial Narrow" w:eastAsia="Arial Unicode MS" w:hAnsi="Arial Narrow"/>
                <w:bCs/>
                <w:sz w:val="18"/>
                <w:szCs w:val="18"/>
              </w:rPr>
            </w:pPr>
            <w:r w:rsidRPr="00477C9C">
              <w:rPr>
                <w:rFonts w:ascii="Arial Narrow" w:hAnsi="Arial Narrow"/>
                <w:bCs/>
                <w:sz w:val="18"/>
                <w:szCs w:val="18"/>
              </w:rPr>
              <w:t xml:space="preserve">0.95 </w:t>
            </w:r>
          </w:p>
        </w:tc>
        <w:tc>
          <w:tcPr>
            <w:tcW w:w="808" w:type="dxa"/>
            <w:tcMar>
              <w:top w:w="16" w:type="dxa"/>
              <w:left w:w="16" w:type="dxa"/>
              <w:bottom w:w="0" w:type="dxa"/>
              <w:right w:w="16" w:type="dxa"/>
            </w:tcMar>
            <w:vAlign w:val="center"/>
          </w:tcPr>
          <w:p w14:paraId="78DBE0B0" w14:textId="77777777" w:rsidR="00A57ADA" w:rsidRPr="00477C9C" w:rsidRDefault="00A57ADA" w:rsidP="0031416F">
            <w:pPr>
              <w:jc w:val="center"/>
              <w:rPr>
                <w:rFonts w:ascii="Arial Narrow" w:eastAsia="Arial Unicode MS" w:hAnsi="Arial Narrow"/>
                <w:bCs/>
                <w:sz w:val="18"/>
                <w:szCs w:val="18"/>
              </w:rPr>
            </w:pPr>
            <w:r>
              <w:rPr>
                <w:rStyle w:val="IntenseReference"/>
                <w:color w:val="auto"/>
                <w:sz w:val="18"/>
                <w:szCs w:val="18"/>
              </w:rPr>
              <w:t>37</w:t>
            </w:r>
            <w:r w:rsidRPr="00477C9C">
              <w:rPr>
                <w:rStyle w:val="IntenseReference"/>
                <w:color w:val="auto"/>
                <w:sz w:val="18"/>
                <w:szCs w:val="18"/>
              </w:rPr>
              <w:t xml:space="preserve">% </w:t>
            </w:r>
            <w:r>
              <w:rPr>
                <w:rStyle w:val="IntenseReference"/>
                <w:color w:val="auto"/>
                <w:sz w:val="18"/>
                <w:szCs w:val="18"/>
              </w:rPr>
              <w:t>(</w:t>
            </w:r>
            <w:r w:rsidRPr="00477C9C">
              <w:rPr>
                <w:rStyle w:val="IntenseReference"/>
                <w:color w:val="auto"/>
                <w:sz w:val="18"/>
                <w:szCs w:val="18"/>
              </w:rPr>
              <w:t>2m</w:t>
            </w:r>
            <w:r>
              <w:rPr>
                <w:rStyle w:val="IntenseReference"/>
                <w:color w:val="auto"/>
                <w:sz w:val="18"/>
                <w:szCs w:val="18"/>
              </w:rPr>
              <w:t>) 11% (5m)</w:t>
            </w:r>
          </w:p>
        </w:tc>
        <w:tc>
          <w:tcPr>
            <w:tcW w:w="8541" w:type="dxa"/>
            <w:tcMar>
              <w:top w:w="16" w:type="dxa"/>
              <w:left w:w="16" w:type="dxa"/>
              <w:bottom w:w="0" w:type="dxa"/>
              <w:right w:w="16" w:type="dxa"/>
            </w:tcMar>
            <w:vAlign w:val="center"/>
          </w:tcPr>
          <w:p w14:paraId="2647BEF1" w14:textId="77777777" w:rsidR="00A57ADA" w:rsidRPr="00477C9C" w:rsidRDefault="00A57ADA" w:rsidP="0031416F">
            <w:pPr>
              <w:spacing w:after="0"/>
              <w:jc w:val="left"/>
              <w:rPr>
                <w:rFonts w:ascii="Arial Narrow" w:eastAsia="Arial Unicode MS" w:hAnsi="Arial Narrow"/>
                <w:bCs/>
                <w:sz w:val="18"/>
                <w:szCs w:val="18"/>
              </w:rPr>
            </w:pPr>
            <w:r w:rsidRPr="00477C9C">
              <w:rPr>
                <w:rFonts w:ascii="Arial Narrow" w:hAnsi="Arial Narrow"/>
                <w:bCs/>
                <w:sz w:val="18"/>
                <w:szCs w:val="18"/>
              </w:rPr>
              <w:t>Combination of Cyclone Tessie and Crown-of-thorns 1999-2001 (66%) Cyclone Yasi 2011 (3</w:t>
            </w:r>
            <w:r>
              <w:rPr>
                <w:rFonts w:ascii="Arial Narrow" w:hAnsi="Arial Narrow"/>
                <w:bCs/>
                <w:sz w:val="18"/>
                <w:szCs w:val="18"/>
              </w:rPr>
              <w:t>5</w:t>
            </w:r>
            <w:r w:rsidRPr="00477C9C">
              <w:rPr>
                <w:rFonts w:ascii="Arial Narrow" w:hAnsi="Arial Narrow"/>
                <w:bCs/>
                <w:sz w:val="18"/>
                <w:szCs w:val="18"/>
              </w:rPr>
              <w:t xml:space="preserve">% at 2 m, </w:t>
            </w:r>
            <w:r>
              <w:rPr>
                <w:rFonts w:ascii="Arial Narrow" w:hAnsi="Arial Narrow"/>
                <w:bCs/>
                <w:sz w:val="18"/>
                <w:szCs w:val="18"/>
              </w:rPr>
              <w:t>34</w:t>
            </w:r>
            <w:r w:rsidRPr="00477C9C">
              <w:rPr>
                <w:rFonts w:ascii="Arial Narrow" w:hAnsi="Arial Narrow"/>
                <w:bCs/>
                <w:sz w:val="18"/>
                <w:szCs w:val="18"/>
              </w:rPr>
              <w:t xml:space="preserve">% at 5 m), </w:t>
            </w:r>
            <w:r>
              <w:rPr>
                <w:rFonts w:ascii="Arial Narrow" w:hAnsi="Arial Narrow"/>
                <w:bCs/>
                <w:sz w:val="18"/>
                <w:szCs w:val="18"/>
              </w:rPr>
              <w:t>Disease 2016 (9% at 2m)</w:t>
            </w:r>
          </w:p>
        </w:tc>
      </w:tr>
      <w:tr w:rsidR="00A57ADA" w:rsidRPr="00477C9C" w14:paraId="790E4B38" w14:textId="77777777" w:rsidTr="00A57ADA">
        <w:trPr>
          <w:cantSplit/>
          <w:trHeight w:val="265"/>
        </w:trPr>
        <w:tc>
          <w:tcPr>
            <w:tcW w:w="583" w:type="dxa"/>
            <w:vMerge/>
            <w:vAlign w:val="center"/>
          </w:tcPr>
          <w:p w14:paraId="077D3EC3" w14:textId="77777777" w:rsidR="00A57ADA" w:rsidRPr="00477C9C" w:rsidRDefault="00A57ADA" w:rsidP="00E56CF1">
            <w:pPr>
              <w:rPr>
                <w:rFonts w:ascii="Arial Narrow" w:eastAsia="Arial Unicode MS" w:hAnsi="Arial Narrow"/>
                <w:bCs/>
                <w:sz w:val="20"/>
              </w:rPr>
            </w:pPr>
          </w:p>
        </w:tc>
        <w:tc>
          <w:tcPr>
            <w:tcW w:w="1907" w:type="dxa"/>
            <w:tcMar>
              <w:top w:w="16" w:type="dxa"/>
              <w:left w:w="16" w:type="dxa"/>
              <w:bottom w:w="0" w:type="dxa"/>
              <w:right w:w="16" w:type="dxa"/>
            </w:tcMar>
            <w:vAlign w:val="bottom"/>
          </w:tcPr>
          <w:p w14:paraId="6ADD82F3" w14:textId="77777777" w:rsidR="00A57ADA" w:rsidRPr="00477C9C" w:rsidRDefault="00A57ADA" w:rsidP="00E56CF1">
            <w:pPr>
              <w:ind w:left="200"/>
              <w:rPr>
                <w:rFonts w:ascii="Arial Narrow" w:hAnsi="Arial Narrow"/>
                <w:bCs/>
                <w:sz w:val="20"/>
              </w:rPr>
            </w:pPr>
            <w:r w:rsidRPr="00477C9C">
              <w:rPr>
                <w:rFonts w:ascii="Arial Narrow" w:hAnsi="Arial Narrow"/>
                <w:bCs/>
                <w:sz w:val="20"/>
              </w:rPr>
              <w:t>Havannah North</w:t>
            </w:r>
          </w:p>
        </w:tc>
        <w:tc>
          <w:tcPr>
            <w:tcW w:w="954" w:type="dxa"/>
            <w:tcMar>
              <w:top w:w="16" w:type="dxa"/>
              <w:left w:w="16" w:type="dxa"/>
              <w:bottom w:w="0" w:type="dxa"/>
              <w:right w:w="16" w:type="dxa"/>
            </w:tcMar>
            <w:vAlign w:val="center"/>
          </w:tcPr>
          <w:p w14:paraId="4EF58263" w14:textId="77777777" w:rsidR="00A57ADA" w:rsidRPr="00477C9C" w:rsidRDefault="00A57ADA" w:rsidP="00E56CF1">
            <w:pPr>
              <w:jc w:val="center"/>
              <w:rPr>
                <w:rFonts w:ascii="Arial Narrow" w:hAnsi="Arial Narrow"/>
                <w:bCs/>
                <w:sz w:val="18"/>
                <w:szCs w:val="18"/>
              </w:rPr>
            </w:pPr>
            <w:r w:rsidRPr="00477C9C">
              <w:rPr>
                <w:rFonts w:ascii="Arial Narrow" w:hAnsi="Arial Narrow"/>
                <w:bCs/>
                <w:sz w:val="18"/>
                <w:szCs w:val="18"/>
              </w:rPr>
              <w:t>49%</w:t>
            </w:r>
          </w:p>
        </w:tc>
        <w:tc>
          <w:tcPr>
            <w:tcW w:w="816" w:type="dxa"/>
            <w:vAlign w:val="center"/>
          </w:tcPr>
          <w:p w14:paraId="3B97EF33" w14:textId="77777777" w:rsidR="00A57ADA" w:rsidRPr="00477C9C" w:rsidRDefault="00A57ADA" w:rsidP="00E56CF1">
            <w:pPr>
              <w:jc w:val="center"/>
              <w:rPr>
                <w:rFonts w:ascii="Arial Narrow" w:hAnsi="Arial Narrow"/>
                <w:bCs/>
                <w:sz w:val="18"/>
                <w:szCs w:val="18"/>
              </w:rPr>
            </w:pPr>
            <w:r w:rsidRPr="00477C9C">
              <w:rPr>
                <w:rFonts w:ascii="Arial Narrow" w:hAnsi="Arial Narrow"/>
                <w:bCs/>
                <w:sz w:val="18"/>
                <w:szCs w:val="18"/>
              </w:rPr>
              <w:t>21%</w:t>
            </w:r>
          </w:p>
        </w:tc>
        <w:tc>
          <w:tcPr>
            <w:tcW w:w="808" w:type="dxa"/>
            <w:tcMar>
              <w:top w:w="16" w:type="dxa"/>
              <w:left w:w="16" w:type="dxa"/>
              <w:bottom w:w="0" w:type="dxa"/>
              <w:right w:w="16" w:type="dxa"/>
            </w:tcMar>
            <w:vAlign w:val="center"/>
          </w:tcPr>
          <w:p w14:paraId="4EC04C32" w14:textId="77777777" w:rsidR="00A57ADA" w:rsidRPr="00477C9C" w:rsidRDefault="00A57ADA" w:rsidP="00E56CF1">
            <w:pPr>
              <w:jc w:val="center"/>
              <w:rPr>
                <w:rFonts w:ascii="Arial Narrow" w:eastAsia="Arial Unicode MS" w:hAnsi="Arial Narrow"/>
                <w:bCs/>
                <w:sz w:val="18"/>
                <w:szCs w:val="18"/>
              </w:rPr>
            </w:pPr>
            <w:r>
              <w:rPr>
                <w:rFonts w:ascii="Arial Narrow" w:eastAsia="Arial Unicode MS" w:hAnsi="Arial Narrow"/>
                <w:bCs/>
                <w:sz w:val="18"/>
                <w:szCs w:val="18"/>
              </w:rPr>
              <w:t>n/a</w:t>
            </w:r>
          </w:p>
        </w:tc>
        <w:tc>
          <w:tcPr>
            <w:tcW w:w="8541" w:type="dxa"/>
            <w:tcMar>
              <w:top w:w="16" w:type="dxa"/>
              <w:left w:w="16" w:type="dxa"/>
              <w:bottom w:w="0" w:type="dxa"/>
              <w:right w:w="16" w:type="dxa"/>
            </w:tcMar>
            <w:vAlign w:val="center"/>
          </w:tcPr>
          <w:p w14:paraId="4237FDBE" w14:textId="77777777" w:rsidR="00A57ADA" w:rsidRPr="00477C9C" w:rsidRDefault="00A57ADA" w:rsidP="00A349DF">
            <w:pPr>
              <w:spacing w:after="0"/>
              <w:jc w:val="left"/>
              <w:rPr>
                <w:rFonts w:ascii="Arial Narrow" w:hAnsi="Arial Narrow"/>
                <w:bCs/>
                <w:sz w:val="18"/>
                <w:szCs w:val="18"/>
              </w:rPr>
            </w:pPr>
            <w:r w:rsidRPr="00477C9C">
              <w:rPr>
                <w:rFonts w:ascii="Arial Narrow" w:hAnsi="Arial Narrow"/>
                <w:bCs/>
                <w:sz w:val="18"/>
                <w:szCs w:val="18"/>
              </w:rPr>
              <w:t>Cyclone Tessie 2000 (54%), 2001 C</w:t>
            </w:r>
            <w:r w:rsidR="00A349DF">
              <w:rPr>
                <w:rFonts w:ascii="Arial Narrow" w:hAnsi="Arial Narrow"/>
                <w:bCs/>
                <w:sz w:val="18"/>
                <w:szCs w:val="18"/>
              </w:rPr>
              <w:t>OTS</w:t>
            </w:r>
            <w:r>
              <w:rPr>
                <w:rFonts w:ascii="Arial Narrow" w:hAnsi="Arial Narrow"/>
                <w:bCs/>
                <w:sz w:val="18"/>
                <w:szCs w:val="18"/>
              </w:rPr>
              <w:t xml:space="preserve"> (44%) Cyclone Yasi 2011 (69</w:t>
            </w:r>
            <w:r w:rsidRPr="00477C9C">
              <w:rPr>
                <w:rFonts w:ascii="Arial Narrow" w:hAnsi="Arial Narrow"/>
                <w:bCs/>
                <w:sz w:val="18"/>
                <w:szCs w:val="18"/>
              </w:rPr>
              <w:t>%)</w:t>
            </w:r>
          </w:p>
        </w:tc>
      </w:tr>
      <w:tr w:rsidR="00A57ADA" w:rsidRPr="00477C9C" w14:paraId="640805AD" w14:textId="77777777" w:rsidTr="00A57ADA">
        <w:trPr>
          <w:cantSplit/>
          <w:trHeight w:val="248"/>
        </w:trPr>
        <w:tc>
          <w:tcPr>
            <w:tcW w:w="583" w:type="dxa"/>
            <w:vMerge/>
            <w:vAlign w:val="center"/>
          </w:tcPr>
          <w:p w14:paraId="3468A472" w14:textId="77777777" w:rsidR="00A57ADA" w:rsidRPr="00477C9C" w:rsidRDefault="00A57ADA" w:rsidP="00E56CF1">
            <w:pPr>
              <w:rPr>
                <w:rFonts w:ascii="Arial Narrow" w:eastAsia="Arial Unicode MS" w:hAnsi="Arial Narrow"/>
                <w:bCs/>
                <w:sz w:val="20"/>
              </w:rPr>
            </w:pPr>
          </w:p>
        </w:tc>
        <w:tc>
          <w:tcPr>
            <w:tcW w:w="1907" w:type="dxa"/>
            <w:tcMar>
              <w:top w:w="16" w:type="dxa"/>
              <w:left w:w="16" w:type="dxa"/>
              <w:bottom w:w="0" w:type="dxa"/>
              <w:right w:w="16" w:type="dxa"/>
            </w:tcMar>
            <w:vAlign w:val="bottom"/>
          </w:tcPr>
          <w:p w14:paraId="2D79820E" w14:textId="77777777" w:rsidR="00A57ADA" w:rsidRPr="00477C9C" w:rsidRDefault="00A57ADA" w:rsidP="00E56CF1">
            <w:pPr>
              <w:ind w:left="200"/>
              <w:rPr>
                <w:rFonts w:ascii="Arial Narrow" w:hAnsi="Arial Narrow"/>
                <w:bCs/>
                <w:sz w:val="20"/>
              </w:rPr>
            </w:pPr>
            <w:r w:rsidRPr="00477C9C">
              <w:rPr>
                <w:rFonts w:ascii="Arial Narrow" w:hAnsi="Arial Narrow"/>
                <w:bCs/>
                <w:sz w:val="20"/>
              </w:rPr>
              <w:t>Middle Reef LTMP</w:t>
            </w:r>
          </w:p>
        </w:tc>
        <w:tc>
          <w:tcPr>
            <w:tcW w:w="954" w:type="dxa"/>
            <w:tcMar>
              <w:top w:w="16" w:type="dxa"/>
              <w:left w:w="16" w:type="dxa"/>
              <w:bottom w:w="0" w:type="dxa"/>
              <w:right w:w="16" w:type="dxa"/>
            </w:tcMar>
            <w:vAlign w:val="center"/>
          </w:tcPr>
          <w:p w14:paraId="297F285B" w14:textId="77777777" w:rsidR="00A57ADA" w:rsidRPr="00477C9C" w:rsidRDefault="00A57ADA" w:rsidP="00E56CF1">
            <w:pPr>
              <w:jc w:val="center"/>
              <w:rPr>
                <w:rFonts w:ascii="Arial Narrow" w:hAnsi="Arial Narrow"/>
                <w:bCs/>
                <w:sz w:val="18"/>
                <w:szCs w:val="18"/>
              </w:rPr>
            </w:pPr>
            <w:r w:rsidRPr="00477C9C">
              <w:rPr>
                <w:rFonts w:ascii="Arial Narrow" w:hAnsi="Arial Narrow"/>
                <w:bCs/>
                <w:sz w:val="18"/>
                <w:szCs w:val="18"/>
              </w:rPr>
              <w:t>(7%)</w:t>
            </w:r>
          </w:p>
        </w:tc>
        <w:tc>
          <w:tcPr>
            <w:tcW w:w="816" w:type="dxa"/>
            <w:vAlign w:val="center"/>
          </w:tcPr>
          <w:p w14:paraId="0E3BF9A9" w14:textId="77777777" w:rsidR="00A57ADA" w:rsidRPr="00477C9C" w:rsidRDefault="00A57ADA" w:rsidP="00E56CF1">
            <w:pPr>
              <w:jc w:val="center"/>
              <w:rPr>
                <w:rFonts w:ascii="Arial Narrow" w:hAnsi="Arial Narrow"/>
                <w:bCs/>
                <w:sz w:val="18"/>
                <w:szCs w:val="18"/>
              </w:rPr>
            </w:pPr>
            <w:r w:rsidRPr="00477C9C">
              <w:rPr>
                <w:rFonts w:ascii="Arial Narrow" w:hAnsi="Arial Narrow"/>
                <w:bCs/>
                <w:sz w:val="18"/>
                <w:szCs w:val="18"/>
              </w:rPr>
              <w:t>(12%)</w:t>
            </w:r>
          </w:p>
        </w:tc>
        <w:tc>
          <w:tcPr>
            <w:tcW w:w="808" w:type="dxa"/>
            <w:tcMar>
              <w:top w:w="16" w:type="dxa"/>
              <w:left w:w="16" w:type="dxa"/>
              <w:bottom w:w="0" w:type="dxa"/>
              <w:right w:w="16" w:type="dxa"/>
            </w:tcMar>
            <w:vAlign w:val="center"/>
          </w:tcPr>
          <w:p w14:paraId="2DE590A0" w14:textId="77777777" w:rsidR="00A57ADA" w:rsidRPr="00477C9C" w:rsidRDefault="00A57ADA" w:rsidP="00E56CF1">
            <w:pPr>
              <w:jc w:val="center"/>
              <w:rPr>
                <w:rFonts w:ascii="Arial Narrow" w:eastAsia="Arial Unicode MS" w:hAnsi="Arial Narrow"/>
                <w:bCs/>
                <w:sz w:val="18"/>
                <w:szCs w:val="18"/>
              </w:rPr>
            </w:pPr>
            <w:r>
              <w:rPr>
                <w:rFonts w:ascii="Arial Narrow" w:eastAsia="Arial Unicode MS" w:hAnsi="Arial Narrow"/>
                <w:bCs/>
                <w:sz w:val="18"/>
                <w:szCs w:val="18"/>
              </w:rPr>
              <w:t>n/a</w:t>
            </w:r>
          </w:p>
        </w:tc>
        <w:tc>
          <w:tcPr>
            <w:tcW w:w="8541" w:type="dxa"/>
            <w:tcMar>
              <w:top w:w="16" w:type="dxa"/>
              <w:left w:w="16" w:type="dxa"/>
              <w:bottom w:w="0" w:type="dxa"/>
              <w:right w:w="16" w:type="dxa"/>
            </w:tcMar>
            <w:vAlign w:val="center"/>
          </w:tcPr>
          <w:p w14:paraId="5AEA27DC" w14:textId="77777777" w:rsidR="00A57ADA" w:rsidRPr="00477C9C" w:rsidRDefault="00A57ADA" w:rsidP="00040878">
            <w:pPr>
              <w:spacing w:after="0"/>
              <w:jc w:val="left"/>
              <w:rPr>
                <w:rFonts w:ascii="Arial Narrow" w:hAnsi="Arial Narrow"/>
                <w:bCs/>
                <w:sz w:val="18"/>
                <w:szCs w:val="18"/>
              </w:rPr>
            </w:pPr>
            <w:r>
              <w:rPr>
                <w:rFonts w:ascii="Arial Narrow" w:hAnsi="Arial Narrow"/>
                <w:bCs/>
                <w:sz w:val="18"/>
                <w:szCs w:val="18"/>
              </w:rPr>
              <w:t>Flood</w:t>
            </w:r>
            <w:r w:rsidRPr="00477C9C">
              <w:rPr>
                <w:rFonts w:ascii="Arial Narrow" w:hAnsi="Arial Narrow"/>
                <w:bCs/>
                <w:sz w:val="18"/>
                <w:szCs w:val="18"/>
              </w:rPr>
              <w:t xml:space="preserve"> 2009 (20%)</w:t>
            </w:r>
          </w:p>
        </w:tc>
      </w:tr>
      <w:tr w:rsidR="00A57ADA" w:rsidRPr="00477C9C" w14:paraId="09ADC875" w14:textId="77777777" w:rsidTr="00A57ADA">
        <w:trPr>
          <w:cantSplit/>
          <w:trHeight w:val="409"/>
        </w:trPr>
        <w:tc>
          <w:tcPr>
            <w:tcW w:w="583" w:type="dxa"/>
            <w:vMerge/>
            <w:vAlign w:val="center"/>
          </w:tcPr>
          <w:p w14:paraId="22CEA720" w14:textId="77777777" w:rsidR="00A57ADA" w:rsidRPr="00477C9C" w:rsidRDefault="00A57ADA" w:rsidP="00E56CF1">
            <w:pPr>
              <w:rPr>
                <w:rFonts w:ascii="Arial Narrow" w:eastAsia="Arial Unicode MS" w:hAnsi="Arial Narrow"/>
                <w:bCs/>
                <w:sz w:val="20"/>
              </w:rPr>
            </w:pPr>
          </w:p>
        </w:tc>
        <w:tc>
          <w:tcPr>
            <w:tcW w:w="1907" w:type="dxa"/>
            <w:tcMar>
              <w:top w:w="16" w:type="dxa"/>
              <w:left w:w="16" w:type="dxa"/>
              <w:bottom w:w="0" w:type="dxa"/>
              <w:right w:w="16" w:type="dxa"/>
            </w:tcMar>
            <w:vAlign w:val="bottom"/>
          </w:tcPr>
          <w:p w14:paraId="6CEE31F7" w14:textId="77777777" w:rsidR="00A57ADA" w:rsidRPr="00477C9C" w:rsidRDefault="00A57ADA" w:rsidP="00E56CF1">
            <w:pPr>
              <w:ind w:left="200"/>
              <w:rPr>
                <w:rFonts w:ascii="Arial Narrow" w:eastAsia="Arial Unicode MS" w:hAnsi="Arial Narrow"/>
                <w:bCs/>
                <w:sz w:val="20"/>
              </w:rPr>
            </w:pPr>
            <w:r w:rsidRPr="00477C9C">
              <w:rPr>
                <w:rFonts w:ascii="Arial Narrow" w:hAnsi="Arial Narrow"/>
                <w:bCs/>
                <w:sz w:val="20"/>
              </w:rPr>
              <w:t>Magnetic</w:t>
            </w:r>
          </w:p>
        </w:tc>
        <w:tc>
          <w:tcPr>
            <w:tcW w:w="954" w:type="dxa"/>
            <w:tcMar>
              <w:top w:w="16" w:type="dxa"/>
              <w:left w:w="16" w:type="dxa"/>
              <w:bottom w:w="0" w:type="dxa"/>
              <w:right w:w="16" w:type="dxa"/>
            </w:tcMar>
            <w:vAlign w:val="center"/>
          </w:tcPr>
          <w:p w14:paraId="08FFCB8B" w14:textId="77777777" w:rsidR="00A57ADA" w:rsidRPr="00477C9C" w:rsidRDefault="00A57ADA" w:rsidP="00E56CF1">
            <w:pPr>
              <w:jc w:val="center"/>
              <w:rPr>
                <w:rFonts w:ascii="Arial Narrow" w:eastAsia="Arial Unicode MS" w:hAnsi="Arial Narrow"/>
                <w:bCs/>
                <w:sz w:val="18"/>
                <w:szCs w:val="18"/>
              </w:rPr>
            </w:pPr>
            <w:r w:rsidRPr="00477C9C">
              <w:rPr>
                <w:rFonts w:ascii="Arial Narrow" w:hAnsi="Arial Narrow"/>
                <w:bCs/>
                <w:sz w:val="18"/>
                <w:szCs w:val="18"/>
              </w:rPr>
              <w:t>0.93 (24%)</w:t>
            </w:r>
          </w:p>
        </w:tc>
        <w:tc>
          <w:tcPr>
            <w:tcW w:w="816" w:type="dxa"/>
            <w:vAlign w:val="center"/>
          </w:tcPr>
          <w:p w14:paraId="58303BE2" w14:textId="77777777" w:rsidR="00A57ADA" w:rsidRPr="00477C9C" w:rsidRDefault="00A57ADA" w:rsidP="00E56CF1">
            <w:pPr>
              <w:jc w:val="center"/>
              <w:rPr>
                <w:rFonts w:ascii="Arial Narrow" w:eastAsia="Arial Unicode MS" w:hAnsi="Arial Narrow"/>
                <w:bCs/>
                <w:sz w:val="18"/>
                <w:szCs w:val="18"/>
              </w:rPr>
            </w:pPr>
            <w:r w:rsidRPr="00477C9C">
              <w:rPr>
                <w:rFonts w:ascii="Arial Narrow" w:hAnsi="Arial Narrow"/>
                <w:bCs/>
                <w:sz w:val="18"/>
                <w:szCs w:val="18"/>
              </w:rPr>
              <w:t>0.95 (37%)</w:t>
            </w:r>
          </w:p>
        </w:tc>
        <w:tc>
          <w:tcPr>
            <w:tcW w:w="808" w:type="dxa"/>
            <w:tcMar>
              <w:top w:w="16" w:type="dxa"/>
              <w:left w:w="16" w:type="dxa"/>
              <w:bottom w:w="0" w:type="dxa"/>
              <w:right w:w="16" w:type="dxa"/>
            </w:tcMar>
            <w:vAlign w:val="center"/>
          </w:tcPr>
          <w:p w14:paraId="4D762345" w14:textId="77777777" w:rsidR="00A57ADA" w:rsidRPr="00477C9C" w:rsidRDefault="00A57ADA" w:rsidP="0031416F">
            <w:pPr>
              <w:jc w:val="center"/>
              <w:rPr>
                <w:rFonts w:ascii="Arial Narrow" w:eastAsia="Arial Unicode MS" w:hAnsi="Arial Narrow"/>
                <w:bCs/>
                <w:sz w:val="18"/>
                <w:szCs w:val="18"/>
              </w:rPr>
            </w:pPr>
            <w:r>
              <w:rPr>
                <w:rFonts w:ascii="Arial Narrow" w:hAnsi="Arial Narrow"/>
                <w:bCs/>
                <w:sz w:val="18"/>
                <w:szCs w:val="18"/>
              </w:rPr>
              <w:t>32% (2m)</w:t>
            </w:r>
          </w:p>
        </w:tc>
        <w:tc>
          <w:tcPr>
            <w:tcW w:w="8541" w:type="dxa"/>
            <w:tcMar>
              <w:top w:w="16" w:type="dxa"/>
              <w:left w:w="16" w:type="dxa"/>
              <w:bottom w:w="0" w:type="dxa"/>
              <w:right w:w="16" w:type="dxa"/>
            </w:tcMar>
            <w:vAlign w:val="center"/>
          </w:tcPr>
          <w:p w14:paraId="4833E38F" w14:textId="77777777" w:rsidR="00A57ADA" w:rsidRPr="00477C9C" w:rsidRDefault="00A57ADA" w:rsidP="0031416F">
            <w:pPr>
              <w:spacing w:after="0"/>
              <w:jc w:val="left"/>
              <w:rPr>
                <w:rFonts w:ascii="Arial Narrow" w:hAnsi="Arial Narrow"/>
                <w:bCs/>
                <w:sz w:val="18"/>
                <w:szCs w:val="18"/>
              </w:rPr>
            </w:pPr>
            <w:r w:rsidRPr="00477C9C">
              <w:rPr>
                <w:rFonts w:ascii="Arial Narrow" w:hAnsi="Arial Narrow"/>
                <w:bCs/>
                <w:sz w:val="18"/>
                <w:szCs w:val="18"/>
              </w:rPr>
              <w:t>Cyclone Joy 1990 (13%), Bleaching 1993 (10%), Cyclone Tessie 2000 (18%), Cyclone Larry 2006 (39% at 2 m</w:t>
            </w:r>
            <w:r>
              <w:rPr>
                <w:rFonts w:ascii="Arial Narrow" w:hAnsi="Arial Narrow"/>
                <w:bCs/>
                <w:sz w:val="18"/>
                <w:szCs w:val="18"/>
              </w:rPr>
              <w:t>, 5</w:t>
            </w:r>
            <w:r w:rsidRPr="00477C9C">
              <w:rPr>
                <w:rFonts w:ascii="Arial Narrow" w:hAnsi="Arial Narrow"/>
                <w:bCs/>
                <w:sz w:val="18"/>
                <w:szCs w:val="18"/>
              </w:rPr>
              <w:t>% at 5 m), Cyclone Y</w:t>
            </w:r>
            <w:r>
              <w:rPr>
                <w:rFonts w:ascii="Arial Narrow" w:hAnsi="Arial Narrow"/>
                <w:bCs/>
                <w:sz w:val="18"/>
                <w:szCs w:val="18"/>
              </w:rPr>
              <w:t>asi and Flood/Bleaching 2011 (39</w:t>
            </w:r>
            <w:r w:rsidRPr="00477C9C">
              <w:rPr>
                <w:rFonts w:ascii="Arial Narrow" w:hAnsi="Arial Narrow"/>
                <w:bCs/>
                <w:sz w:val="18"/>
                <w:szCs w:val="18"/>
              </w:rPr>
              <w:t>% at 2 m</w:t>
            </w:r>
            <w:r>
              <w:rPr>
                <w:rFonts w:ascii="Arial Narrow" w:hAnsi="Arial Narrow"/>
                <w:bCs/>
                <w:sz w:val="18"/>
                <w:szCs w:val="18"/>
              </w:rPr>
              <w:t>, 20</w:t>
            </w:r>
            <w:r w:rsidRPr="00477C9C">
              <w:rPr>
                <w:rFonts w:ascii="Arial Narrow" w:hAnsi="Arial Narrow"/>
                <w:bCs/>
                <w:sz w:val="18"/>
                <w:szCs w:val="18"/>
              </w:rPr>
              <w:t>% at 5 m)</w:t>
            </w:r>
          </w:p>
        </w:tc>
      </w:tr>
    </w:tbl>
    <w:p w14:paraId="6AEFEC5F" w14:textId="77777777" w:rsidR="00A57ADA" w:rsidRDefault="00A57ADA">
      <w:pPr>
        <w:rPr>
          <w:rFonts w:ascii="Arial Narrow" w:hAnsi="Arial Narrow"/>
          <w:bCs/>
          <w:sz w:val="20"/>
        </w:rPr>
      </w:pPr>
    </w:p>
    <w:p w14:paraId="114BD760" w14:textId="77777777" w:rsidR="00A57ADA" w:rsidRDefault="00A57ADA">
      <w:pPr>
        <w:jc w:val="left"/>
        <w:rPr>
          <w:rFonts w:ascii="Arial Narrow" w:hAnsi="Arial Narrow"/>
          <w:bCs/>
          <w:sz w:val="20"/>
        </w:rPr>
      </w:pPr>
      <w:r>
        <w:rPr>
          <w:rFonts w:ascii="Arial Narrow" w:hAnsi="Arial Narrow"/>
          <w:bCs/>
          <w:sz w:val="20"/>
        </w:rPr>
        <w:br w:type="page"/>
      </w:r>
    </w:p>
    <w:p w14:paraId="25922FDB" w14:textId="77777777" w:rsidR="00A57ADA" w:rsidRPr="00477C9C" w:rsidRDefault="00A57ADA" w:rsidP="00A57ADA">
      <w:pPr>
        <w:rPr>
          <w:rStyle w:val="IntenseReference"/>
          <w:color w:val="auto"/>
        </w:rPr>
      </w:pPr>
      <w:r w:rsidRPr="00477C9C">
        <w:rPr>
          <w:rFonts w:ascii="Arial Narrow" w:hAnsi="Arial Narrow"/>
          <w:bCs/>
          <w:sz w:val="20"/>
        </w:rPr>
        <w:t>Table A1. 4</w:t>
      </w:r>
      <w:r w:rsidRPr="00477C9C">
        <w:rPr>
          <w:rStyle w:val="IntenseReference"/>
          <w:color w:val="auto"/>
        </w:rPr>
        <w:t xml:space="preserve"> </w:t>
      </w:r>
      <w:r w:rsidRPr="00477C9C">
        <w:rPr>
          <w:rFonts w:ascii="Arial Narrow" w:hAnsi="Arial Narrow"/>
          <w:sz w:val="20"/>
        </w:rPr>
        <w:t>continued</w:t>
      </w:r>
    </w:p>
    <w:tbl>
      <w:tblPr>
        <w:tblW w:w="13609" w:type="dxa"/>
        <w:tblInd w:w="1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83"/>
        <w:gridCol w:w="1907"/>
        <w:gridCol w:w="954"/>
        <w:gridCol w:w="816"/>
        <w:gridCol w:w="808"/>
        <w:gridCol w:w="8541"/>
      </w:tblGrid>
      <w:tr w:rsidR="00A57ADA" w:rsidRPr="00477C9C" w14:paraId="2D66ED17" w14:textId="77777777" w:rsidTr="009C7B87">
        <w:trPr>
          <w:cantSplit/>
          <w:trHeight w:val="264"/>
        </w:trPr>
        <w:tc>
          <w:tcPr>
            <w:tcW w:w="583" w:type="dxa"/>
            <w:vMerge w:val="restart"/>
            <w:shd w:val="clear" w:color="auto" w:fill="F2F2F2" w:themeFill="background1" w:themeFillShade="F2"/>
            <w:tcMar>
              <w:top w:w="16" w:type="dxa"/>
              <w:left w:w="16" w:type="dxa"/>
              <w:bottom w:w="0" w:type="dxa"/>
              <w:right w:w="16" w:type="dxa"/>
            </w:tcMar>
            <w:textDirection w:val="btLr"/>
            <w:vAlign w:val="center"/>
          </w:tcPr>
          <w:p w14:paraId="74429DF3" w14:textId="77777777" w:rsidR="00A57ADA" w:rsidRPr="00477C9C" w:rsidRDefault="00A57ADA" w:rsidP="009C7B87">
            <w:pPr>
              <w:jc w:val="center"/>
              <w:rPr>
                <w:rStyle w:val="IntenseReference"/>
                <w:rFonts w:eastAsia="Arial Unicode MS"/>
                <w:color w:val="auto"/>
              </w:rPr>
            </w:pPr>
            <w:r>
              <w:rPr>
                <w:rStyle w:val="IntenseReference"/>
                <w:color w:val="auto"/>
              </w:rPr>
              <w:t>Region</w:t>
            </w:r>
          </w:p>
        </w:tc>
        <w:tc>
          <w:tcPr>
            <w:tcW w:w="1907" w:type="dxa"/>
            <w:vMerge w:val="restart"/>
            <w:shd w:val="clear" w:color="auto" w:fill="F2F2F2" w:themeFill="background1" w:themeFillShade="F2"/>
            <w:tcMar>
              <w:top w:w="16" w:type="dxa"/>
              <w:left w:w="16" w:type="dxa"/>
              <w:bottom w:w="0" w:type="dxa"/>
              <w:right w:w="16" w:type="dxa"/>
            </w:tcMar>
            <w:vAlign w:val="center"/>
          </w:tcPr>
          <w:p w14:paraId="3AB278BA" w14:textId="77777777" w:rsidR="00A57ADA" w:rsidRPr="00477C9C" w:rsidRDefault="00A57ADA" w:rsidP="009C7B87">
            <w:pPr>
              <w:jc w:val="center"/>
              <w:rPr>
                <w:rStyle w:val="IntenseReference"/>
                <w:rFonts w:eastAsia="Arial Unicode MS"/>
                <w:color w:val="auto"/>
              </w:rPr>
            </w:pPr>
            <w:r w:rsidRPr="00477C9C">
              <w:rPr>
                <w:rStyle w:val="IntenseReference"/>
                <w:color w:val="auto"/>
              </w:rPr>
              <w:t>Reef</w:t>
            </w:r>
          </w:p>
        </w:tc>
        <w:tc>
          <w:tcPr>
            <w:tcW w:w="2578" w:type="dxa"/>
            <w:gridSpan w:val="3"/>
            <w:shd w:val="clear" w:color="auto" w:fill="F2F2F2" w:themeFill="background1" w:themeFillShade="F2"/>
          </w:tcPr>
          <w:p w14:paraId="6BCE3E60" w14:textId="77777777" w:rsidR="00A57ADA" w:rsidRPr="00477C9C" w:rsidRDefault="00A57ADA" w:rsidP="009C7B87">
            <w:pPr>
              <w:jc w:val="center"/>
              <w:rPr>
                <w:rFonts w:ascii="Arial Narrow" w:eastAsia="Arial Unicode MS" w:hAnsi="Arial Narrow"/>
                <w:bCs/>
                <w:sz w:val="20"/>
              </w:rPr>
            </w:pPr>
            <w:r w:rsidRPr="00477C9C">
              <w:rPr>
                <w:rStyle w:val="IntenseReference"/>
                <w:color w:val="auto"/>
              </w:rPr>
              <w:t>Bleaching</w:t>
            </w:r>
          </w:p>
        </w:tc>
        <w:tc>
          <w:tcPr>
            <w:tcW w:w="8541" w:type="dxa"/>
            <w:vMerge w:val="restart"/>
            <w:shd w:val="clear" w:color="auto" w:fill="F2F2F2" w:themeFill="background1" w:themeFillShade="F2"/>
            <w:tcMar>
              <w:top w:w="16" w:type="dxa"/>
              <w:left w:w="16" w:type="dxa"/>
              <w:bottom w:w="0" w:type="dxa"/>
              <w:right w:w="16" w:type="dxa"/>
            </w:tcMar>
            <w:vAlign w:val="center"/>
          </w:tcPr>
          <w:p w14:paraId="623BDBAA" w14:textId="77777777" w:rsidR="00A57ADA" w:rsidRPr="00477C9C" w:rsidRDefault="00A57ADA" w:rsidP="009C7B87">
            <w:pPr>
              <w:spacing w:after="0"/>
              <w:jc w:val="center"/>
              <w:rPr>
                <w:rFonts w:ascii="Arial Narrow" w:hAnsi="Arial Narrow"/>
                <w:bCs/>
                <w:sz w:val="20"/>
              </w:rPr>
            </w:pPr>
            <w:r w:rsidRPr="00477C9C">
              <w:rPr>
                <w:rStyle w:val="IntenseReference"/>
                <w:color w:val="auto"/>
              </w:rPr>
              <w:t>Other recorded disturbances</w:t>
            </w:r>
          </w:p>
        </w:tc>
      </w:tr>
      <w:tr w:rsidR="00A57ADA" w:rsidRPr="00477C9C" w14:paraId="2D608C31" w14:textId="77777777" w:rsidTr="009C7B87">
        <w:trPr>
          <w:cantSplit/>
          <w:trHeight w:val="550"/>
        </w:trPr>
        <w:tc>
          <w:tcPr>
            <w:tcW w:w="583" w:type="dxa"/>
            <w:vMerge/>
            <w:tcMar>
              <w:top w:w="16" w:type="dxa"/>
              <w:left w:w="16" w:type="dxa"/>
              <w:bottom w:w="0" w:type="dxa"/>
              <w:right w:w="16" w:type="dxa"/>
            </w:tcMar>
            <w:textDirection w:val="btLr"/>
            <w:vAlign w:val="center"/>
          </w:tcPr>
          <w:p w14:paraId="60A24726" w14:textId="77777777" w:rsidR="00A57ADA" w:rsidRPr="00477C9C" w:rsidRDefault="00A57ADA" w:rsidP="009C7B87">
            <w:pPr>
              <w:jc w:val="center"/>
              <w:rPr>
                <w:rFonts w:ascii="Arial Narrow" w:hAnsi="Arial Narrow"/>
                <w:bCs/>
                <w:sz w:val="20"/>
              </w:rPr>
            </w:pPr>
          </w:p>
        </w:tc>
        <w:tc>
          <w:tcPr>
            <w:tcW w:w="1907" w:type="dxa"/>
            <w:vMerge/>
            <w:tcMar>
              <w:top w:w="16" w:type="dxa"/>
              <w:left w:w="16" w:type="dxa"/>
              <w:bottom w:w="0" w:type="dxa"/>
              <w:right w:w="16" w:type="dxa"/>
            </w:tcMar>
            <w:vAlign w:val="bottom"/>
          </w:tcPr>
          <w:p w14:paraId="4C9054B2" w14:textId="77777777" w:rsidR="00A57ADA" w:rsidRPr="00477C9C" w:rsidRDefault="00A57ADA" w:rsidP="009C7B87">
            <w:pPr>
              <w:ind w:left="200"/>
              <w:rPr>
                <w:rFonts w:ascii="Arial Narrow" w:hAnsi="Arial Narrow"/>
                <w:bCs/>
                <w:sz w:val="20"/>
              </w:rPr>
            </w:pPr>
          </w:p>
        </w:tc>
        <w:tc>
          <w:tcPr>
            <w:tcW w:w="954" w:type="dxa"/>
            <w:shd w:val="clear" w:color="auto" w:fill="F2F2F2" w:themeFill="background1" w:themeFillShade="F2"/>
            <w:tcMar>
              <w:top w:w="16" w:type="dxa"/>
              <w:left w:w="16" w:type="dxa"/>
              <w:bottom w:w="0" w:type="dxa"/>
              <w:right w:w="16" w:type="dxa"/>
            </w:tcMar>
            <w:vAlign w:val="center"/>
          </w:tcPr>
          <w:p w14:paraId="580E0CF9" w14:textId="77777777" w:rsidR="00A57ADA" w:rsidRPr="00477C9C" w:rsidRDefault="00A57ADA" w:rsidP="009C7B87">
            <w:pPr>
              <w:jc w:val="center"/>
              <w:rPr>
                <w:rStyle w:val="IntenseReference"/>
                <w:rFonts w:eastAsia="Arial Unicode MS"/>
                <w:color w:val="auto"/>
              </w:rPr>
            </w:pPr>
            <w:r w:rsidRPr="00477C9C">
              <w:rPr>
                <w:rStyle w:val="IntenseReference"/>
                <w:color w:val="auto"/>
              </w:rPr>
              <w:t>1998</w:t>
            </w:r>
          </w:p>
        </w:tc>
        <w:tc>
          <w:tcPr>
            <w:tcW w:w="816" w:type="dxa"/>
            <w:shd w:val="clear" w:color="auto" w:fill="F2F2F2" w:themeFill="background1" w:themeFillShade="F2"/>
            <w:vAlign w:val="center"/>
          </w:tcPr>
          <w:p w14:paraId="2E14A445" w14:textId="77777777" w:rsidR="00A57ADA" w:rsidRPr="00477C9C" w:rsidRDefault="00A57ADA" w:rsidP="009C7B87">
            <w:pPr>
              <w:jc w:val="center"/>
              <w:rPr>
                <w:rStyle w:val="IntenseReference"/>
                <w:rFonts w:eastAsia="Arial Unicode MS"/>
                <w:color w:val="auto"/>
              </w:rPr>
            </w:pPr>
            <w:r w:rsidRPr="00477C9C">
              <w:rPr>
                <w:rStyle w:val="IntenseReference"/>
                <w:color w:val="auto"/>
              </w:rPr>
              <w:t>2002</w:t>
            </w:r>
          </w:p>
        </w:tc>
        <w:tc>
          <w:tcPr>
            <w:tcW w:w="808" w:type="dxa"/>
            <w:shd w:val="clear" w:color="auto" w:fill="F2F2F2" w:themeFill="background1" w:themeFillShade="F2"/>
            <w:tcMar>
              <w:top w:w="16" w:type="dxa"/>
              <w:left w:w="16" w:type="dxa"/>
              <w:bottom w:w="0" w:type="dxa"/>
              <w:right w:w="16" w:type="dxa"/>
            </w:tcMar>
            <w:vAlign w:val="center"/>
          </w:tcPr>
          <w:p w14:paraId="68EEAF8C" w14:textId="77777777" w:rsidR="00A57ADA" w:rsidRPr="00477C9C" w:rsidRDefault="00A57ADA" w:rsidP="009C7B87">
            <w:pPr>
              <w:jc w:val="center"/>
              <w:rPr>
                <w:rStyle w:val="IntenseReference"/>
                <w:rFonts w:eastAsia="Arial Unicode MS"/>
                <w:color w:val="auto"/>
              </w:rPr>
            </w:pPr>
            <w:r>
              <w:rPr>
                <w:rStyle w:val="IntenseReference"/>
                <w:rFonts w:eastAsia="Arial Unicode MS"/>
                <w:color w:val="auto"/>
              </w:rPr>
              <w:t>2017</w:t>
            </w:r>
          </w:p>
        </w:tc>
        <w:tc>
          <w:tcPr>
            <w:tcW w:w="8541" w:type="dxa"/>
            <w:vMerge/>
            <w:tcMar>
              <w:top w:w="16" w:type="dxa"/>
              <w:left w:w="16" w:type="dxa"/>
              <w:bottom w:w="0" w:type="dxa"/>
              <w:right w:w="16" w:type="dxa"/>
            </w:tcMar>
            <w:vAlign w:val="bottom"/>
          </w:tcPr>
          <w:p w14:paraId="27D18ED0" w14:textId="77777777" w:rsidR="00A57ADA" w:rsidRPr="00477C9C" w:rsidRDefault="00A57ADA" w:rsidP="009C7B87">
            <w:pPr>
              <w:spacing w:after="0"/>
              <w:rPr>
                <w:rFonts w:ascii="Arial Narrow" w:hAnsi="Arial Narrow"/>
                <w:bCs/>
                <w:sz w:val="20"/>
              </w:rPr>
            </w:pPr>
          </w:p>
        </w:tc>
      </w:tr>
      <w:tr w:rsidR="00A57ADA" w:rsidRPr="00477C9C" w14:paraId="79B218FB" w14:textId="77777777" w:rsidTr="009C7B87">
        <w:trPr>
          <w:cantSplit/>
          <w:trHeight w:val="264"/>
        </w:trPr>
        <w:tc>
          <w:tcPr>
            <w:tcW w:w="583" w:type="dxa"/>
            <w:vMerge w:val="restart"/>
            <w:tcMar>
              <w:top w:w="16" w:type="dxa"/>
              <w:left w:w="16" w:type="dxa"/>
              <w:bottom w:w="0" w:type="dxa"/>
              <w:right w:w="16" w:type="dxa"/>
            </w:tcMar>
            <w:textDirection w:val="btLr"/>
            <w:vAlign w:val="center"/>
          </w:tcPr>
          <w:p w14:paraId="6BEF0A57" w14:textId="77777777" w:rsidR="00A57ADA" w:rsidRPr="00477C9C" w:rsidRDefault="00A57ADA" w:rsidP="009C7B87">
            <w:pPr>
              <w:jc w:val="center"/>
              <w:rPr>
                <w:rFonts w:ascii="Arial Narrow" w:eastAsia="Arial Unicode MS" w:hAnsi="Arial Narrow"/>
                <w:bCs/>
                <w:sz w:val="20"/>
              </w:rPr>
            </w:pPr>
            <w:r>
              <w:rPr>
                <w:rFonts w:ascii="Arial Narrow" w:hAnsi="Arial Narrow"/>
                <w:bCs/>
                <w:sz w:val="20"/>
              </w:rPr>
              <w:t>Mackay Whitsunday</w:t>
            </w:r>
          </w:p>
        </w:tc>
        <w:tc>
          <w:tcPr>
            <w:tcW w:w="1907" w:type="dxa"/>
            <w:tcMar>
              <w:top w:w="16" w:type="dxa"/>
              <w:left w:w="16" w:type="dxa"/>
              <w:bottom w:w="0" w:type="dxa"/>
              <w:right w:w="16" w:type="dxa"/>
            </w:tcMar>
            <w:vAlign w:val="bottom"/>
          </w:tcPr>
          <w:p w14:paraId="4C6CA3F1" w14:textId="77777777" w:rsidR="00A57ADA" w:rsidRPr="00477C9C" w:rsidRDefault="00A57ADA" w:rsidP="009C7B87">
            <w:pPr>
              <w:ind w:left="200"/>
              <w:rPr>
                <w:rFonts w:ascii="Arial Narrow" w:eastAsia="Arial Unicode MS" w:hAnsi="Arial Narrow"/>
                <w:bCs/>
                <w:sz w:val="20"/>
              </w:rPr>
            </w:pPr>
            <w:r w:rsidRPr="00477C9C">
              <w:rPr>
                <w:rFonts w:ascii="Arial Narrow" w:hAnsi="Arial Narrow"/>
                <w:bCs/>
                <w:sz w:val="20"/>
              </w:rPr>
              <w:t>Hook</w:t>
            </w:r>
          </w:p>
        </w:tc>
        <w:tc>
          <w:tcPr>
            <w:tcW w:w="954" w:type="dxa"/>
            <w:tcMar>
              <w:top w:w="16" w:type="dxa"/>
              <w:left w:w="16" w:type="dxa"/>
              <w:bottom w:w="0" w:type="dxa"/>
              <w:right w:w="16" w:type="dxa"/>
            </w:tcMar>
            <w:vAlign w:val="center"/>
          </w:tcPr>
          <w:p w14:paraId="7EDA2399" w14:textId="77777777" w:rsidR="00A57ADA" w:rsidRPr="00477C9C" w:rsidRDefault="00A57ADA" w:rsidP="009C7B87">
            <w:pPr>
              <w:jc w:val="center"/>
              <w:rPr>
                <w:rFonts w:ascii="Arial Narrow" w:eastAsia="Arial Unicode MS" w:hAnsi="Arial Narrow"/>
                <w:bCs/>
                <w:sz w:val="18"/>
                <w:szCs w:val="18"/>
              </w:rPr>
            </w:pPr>
            <w:r w:rsidRPr="00477C9C">
              <w:rPr>
                <w:rFonts w:ascii="Arial Narrow" w:hAnsi="Arial Narrow"/>
                <w:bCs/>
                <w:sz w:val="18"/>
                <w:szCs w:val="18"/>
              </w:rPr>
              <w:t>0.57</w:t>
            </w:r>
          </w:p>
        </w:tc>
        <w:tc>
          <w:tcPr>
            <w:tcW w:w="816" w:type="dxa"/>
            <w:vAlign w:val="center"/>
          </w:tcPr>
          <w:p w14:paraId="119496A0" w14:textId="77777777" w:rsidR="00A57ADA" w:rsidRPr="00477C9C" w:rsidRDefault="00A57ADA" w:rsidP="009C7B87">
            <w:pPr>
              <w:jc w:val="center"/>
              <w:rPr>
                <w:rFonts w:ascii="Arial Narrow" w:eastAsia="Arial Unicode MS" w:hAnsi="Arial Narrow"/>
                <w:bCs/>
                <w:sz w:val="18"/>
                <w:szCs w:val="18"/>
              </w:rPr>
            </w:pPr>
            <w:r w:rsidRPr="00477C9C">
              <w:rPr>
                <w:rFonts w:ascii="Arial Narrow" w:hAnsi="Arial Narrow"/>
                <w:bCs/>
                <w:sz w:val="18"/>
                <w:szCs w:val="18"/>
              </w:rPr>
              <w:t>1</w:t>
            </w:r>
          </w:p>
        </w:tc>
        <w:tc>
          <w:tcPr>
            <w:tcW w:w="808" w:type="dxa"/>
            <w:tcMar>
              <w:top w:w="16" w:type="dxa"/>
              <w:left w:w="16" w:type="dxa"/>
              <w:bottom w:w="0" w:type="dxa"/>
              <w:right w:w="16" w:type="dxa"/>
            </w:tcMar>
            <w:vAlign w:val="center"/>
          </w:tcPr>
          <w:p w14:paraId="0C633D4A" w14:textId="77777777" w:rsidR="00A57ADA" w:rsidRPr="00477C9C" w:rsidRDefault="00A57ADA" w:rsidP="009C7B87">
            <w:pPr>
              <w:jc w:val="center"/>
              <w:rPr>
                <w:rFonts w:ascii="Arial Narrow" w:eastAsia="Arial Unicode MS" w:hAnsi="Arial Narrow"/>
                <w:bCs/>
                <w:sz w:val="18"/>
                <w:szCs w:val="18"/>
              </w:rPr>
            </w:pPr>
            <w:r>
              <w:rPr>
                <w:rFonts w:ascii="Arial Narrow" w:eastAsia="Arial Unicode MS" w:hAnsi="Arial Narrow"/>
                <w:bCs/>
                <w:sz w:val="18"/>
                <w:szCs w:val="18"/>
              </w:rPr>
              <w:t>n/a</w:t>
            </w:r>
          </w:p>
        </w:tc>
        <w:tc>
          <w:tcPr>
            <w:tcW w:w="8541" w:type="dxa"/>
            <w:tcMar>
              <w:top w:w="16" w:type="dxa"/>
              <w:left w:w="16" w:type="dxa"/>
              <w:bottom w:w="0" w:type="dxa"/>
              <w:right w:w="16" w:type="dxa"/>
            </w:tcMar>
            <w:vAlign w:val="center"/>
          </w:tcPr>
          <w:p w14:paraId="5632E618" w14:textId="1BEA988C" w:rsidR="00A57ADA" w:rsidRPr="00477C9C" w:rsidRDefault="00A57ADA" w:rsidP="009C7B87">
            <w:pPr>
              <w:spacing w:after="0"/>
              <w:jc w:val="left"/>
              <w:rPr>
                <w:rFonts w:ascii="Arial Narrow" w:eastAsia="Arial Unicode MS" w:hAnsi="Arial Narrow"/>
                <w:bCs/>
                <w:sz w:val="18"/>
                <w:szCs w:val="18"/>
              </w:rPr>
            </w:pPr>
            <w:r w:rsidRPr="00477C9C">
              <w:rPr>
                <w:rFonts w:ascii="Arial Narrow" w:hAnsi="Arial Narrow"/>
                <w:bCs/>
                <w:sz w:val="18"/>
                <w:szCs w:val="18"/>
              </w:rPr>
              <w:t xml:space="preserve">Coral Bleaching Jan 2006, probable </w:t>
            </w:r>
            <w:r w:rsidR="00A349DF">
              <w:rPr>
                <w:rFonts w:ascii="Arial Narrow" w:hAnsi="Arial Narrow"/>
                <w:bCs/>
                <w:sz w:val="18"/>
                <w:szCs w:val="18"/>
              </w:rPr>
              <w:t>al</w:t>
            </w:r>
            <w:r w:rsidRPr="00477C9C">
              <w:rPr>
                <w:rFonts w:ascii="Arial Narrow" w:hAnsi="Arial Narrow"/>
                <w:bCs/>
                <w:sz w:val="18"/>
                <w:szCs w:val="18"/>
              </w:rPr>
              <w:t xml:space="preserve">though not observed as we did not visit region at time of event. Same for other reefs in region, </w:t>
            </w:r>
            <w:r w:rsidR="003E6ABE">
              <w:rPr>
                <w:rFonts w:ascii="Arial Narrow" w:hAnsi="Arial Narrow"/>
                <w:bCs/>
                <w:sz w:val="18"/>
                <w:szCs w:val="18"/>
              </w:rPr>
              <w:t>c</w:t>
            </w:r>
            <w:r w:rsidRPr="00477C9C">
              <w:rPr>
                <w:rFonts w:ascii="Arial Narrow" w:hAnsi="Arial Narrow"/>
                <w:bCs/>
                <w:sz w:val="18"/>
                <w:szCs w:val="18"/>
              </w:rPr>
              <w:t>yclone Ului 2010 (31% at 2 m</w:t>
            </w:r>
            <w:r>
              <w:rPr>
                <w:rFonts w:ascii="Arial Narrow" w:hAnsi="Arial Narrow"/>
                <w:bCs/>
                <w:sz w:val="18"/>
                <w:szCs w:val="18"/>
              </w:rPr>
              <w:t>,17</w:t>
            </w:r>
            <w:r w:rsidRPr="00477C9C">
              <w:rPr>
                <w:rFonts w:ascii="Arial Narrow" w:hAnsi="Arial Narrow"/>
                <w:bCs/>
                <w:sz w:val="18"/>
                <w:szCs w:val="18"/>
              </w:rPr>
              <w:t>% at 5 m)</w:t>
            </w:r>
          </w:p>
        </w:tc>
      </w:tr>
      <w:tr w:rsidR="00A57ADA" w:rsidRPr="00477C9C" w14:paraId="0EC52F7A" w14:textId="77777777" w:rsidTr="009C7B87">
        <w:trPr>
          <w:cantSplit/>
          <w:trHeight w:val="361"/>
        </w:trPr>
        <w:tc>
          <w:tcPr>
            <w:tcW w:w="583" w:type="dxa"/>
            <w:vMerge/>
            <w:vAlign w:val="center"/>
          </w:tcPr>
          <w:p w14:paraId="40755576" w14:textId="77777777" w:rsidR="00A57ADA" w:rsidRPr="00477C9C" w:rsidRDefault="00A57ADA" w:rsidP="009C7B87">
            <w:pPr>
              <w:rPr>
                <w:rFonts w:ascii="Arial Narrow" w:eastAsia="Arial Unicode MS" w:hAnsi="Arial Narrow"/>
                <w:bCs/>
                <w:sz w:val="20"/>
              </w:rPr>
            </w:pPr>
          </w:p>
        </w:tc>
        <w:tc>
          <w:tcPr>
            <w:tcW w:w="1907" w:type="dxa"/>
            <w:tcMar>
              <w:top w:w="16" w:type="dxa"/>
              <w:left w:w="16" w:type="dxa"/>
              <w:bottom w:w="0" w:type="dxa"/>
              <w:right w:w="16" w:type="dxa"/>
            </w:tcMar>
            <w:vAlign w:val="bottom"/>
          </w:tcPr>
          <w:p w14:paraId="705C6881" w14:textId="77777777" w:rsidR="00A57ADA" w:rsidRPr="00477C9C" w:rsidRDefault="00A57ADA" w:rsidP="009C7B87">
            <w:pPr>
              <w:ind w:left="200"/>
              <w:rPr>
                <w:rFonts w:ascii="Arial Narrow" w:eastAsia="Arial Unicode MS" w:hAnsi="Arial Narrow"/>
                <w:bCs/>
                <w:sz w:val="20"/>
              </w:rPr>
            </w:pPr>
            <w:r w:rsidRPr="00477C9C">
              <w:rPr>
                <w:rFonts w:ascii="Arial Narrow" w:hAnsi="Arial Narrow"/>
                <w:bCs/>
                <w:sz w:val="20"/>
              </w:rPr>
              <w:t>Dent</w:t>
            </w:r>
          </w:p>
        </w:tc>
        <w:tc>
          <w:tcPr>
            <w:tcW w:w="954" w:type="dxa"/>
            <w:tcMar>
              <w:top w:w="16" w:type="dxa"/>
              <w:left w:w="16" w:type="dxa"/>
              <w:bottom w:w="0" w:type="dxa"/>
              <w:right w:w="16" w:type="dxa"/>
            </w:tcMar>
            <w:vAlign w:val="center"/>
          </w:tcPr>
          <w:p w14:paraId="2422187F" w14:textId="77777777" w:rsidR="00A57ADA" w:rsidRPr="00477C9C" w:rsidRDefault="00A57ADA" w:rsidP="009C7B87">
            <w:pPr>
              <w:jc w:val="center"/>
              <w:rPr>
                <w:rFonts w:ascii="Arial Narrow" w:eastAsia="Arial Unicode MS" w:hAnsi="Arial Narrow"/>
                <w:bCs/>
                <w:sz w:val="18"/>
                <w:szCs w:val="18"/>
              </w:rPr>
            </w:pPr>
            <w:r w:rsidRPr="00477C9C">
              <w:rPr>
                <w:rFonts w:ascii="Arial Narrow" w:hAnsi="Arial Narrow"/>
                <w:bCs/>
                <w:sz w:val="18"/>
                <w:szCs w:val="18"/>
              </w:rPr>
              <w:t>0.57 (32%)</w:t>
            </w:r>
          </w:p>
        </w:tc>
        <w:tc>
          <w:tcPr>
            <w:tcW w:w="816" w:type="dxa"/>
            <w:vAlign w:val="center"/>
          </w:tcPr>
          <w:p w14:paraId="4B128EE3" w14:textId="77777777" w:rsidR="00A57ADA" w:rsidRPr="00477C9C" w:rsidRDefault="00A57ADA" w:rsidP="009C7B87">
            <w:pPr>
              <w:jc w:val="center"/>
              <w:rPr>
                <w:rFonts w:ascii="Arial Narrow" w:eastAsia="Arial Unicode MS" w:hAnsi="Arial Narrow"/>
                <w:bCs/>
                <w:sz w:val="18"/>
                <w:szCs w:val="18"/>
              </w:rPr>
            </w:pPr>
            <w:r w:rsidRPr="00477C9C">
              <w:rPr>
                <w:rFonts w:ascii="Arial Narrow" w:hAnsi="Arial Narrow"/>
                <w:bCs/>
                <w:sz w:val="18"/>
                <w:szCs w:val="18"/>
              </w:rPr>
              <w:t>0.95</w:t>
            </w:r>
          </w:p>
        </w:tc>
        <w:tc>
          <w:tcPr>
            <w:tcW w:w="808" w:type="dxa"/>
            <w:tcMar>
              <w:top w:w="16" w:type="dxa"/>
              <w:left w:w="16" w:type="dxa"/>
              <w:bottom w:w="0" w:type="dxa"/>
              <w:right w:w="16" w:type="dxa"/>
            </w:tcMar>
            <w:vAlign w:val="center"/>
          </w:tcPr>
          <w:p w14:paraId="220070A2" w14:textId="77777777" w:rsidR="00A57ADA" w:rsidRPr="00477C9C" w:rsidRDefault="00A57ADA" w:rsidP="009C7B87">
            <w:pPr>
              <w:jc w:val="center"/>
              <w:rPr>
                <w:rFonts w:ascii="Arial Narrow" w:eastAsia="Arial Unicode MS" w:hAnsi="Arial Narrow"/>
                <w:bCs/>
                <w:sz w:val="18"/>
                <w:szCs w:val="18"/>
              </w:rPr>
            </w:pPr>
            <w:r>
              <w:rPr>
                <w:rFonts w:ascii="Arial Narrow" w:eastAsia="Arial Unicode MS" w:hAnsi="Arial Narrow"/>
                <w:bCs/>
                <w:sz w:val="18"/>
                <w:szCs w:val="18"/>
              </w:rPr>
              <w:t>**</w:t>
            </w:r>
          </w:p>
        </w:tc>
        <w:tc>
          <w:tcPr>
            <w:tcW w:w="8541" w:type="dxa"/>
            <w:tcMar>
              <w:top w:w="16" w:type="dxa"/>
              <w:left w:w="16" w:type="dxa"/>
              <w:bottom w:w="0" w:type="dxa"/>
              <w:right w:w="16" w:type="dxa"/>
            </w:tcMar>
            <w:vAlign w:val="center"/>
          </w:tcPr>
          <w:p w14:paraId="05EDCC59" w14:textId="0F40BAC5" w:rsidR="00A57ADA" w:rsidRPr="00477C9C" w:rsidRDefault="00A57ADA" w:rsidP="009C7B87">
            <w:pPr>
              <w:spacing w:after="0"/>
              <w:jc w:val="left"/>
              <w:rPr>
                <w:rFonts w:ascii="Arial Narrow" w:eastAsia="Arial Unicode MS" w:hAnsi="Arial Narrow"/>
                <w:bCs/>
                <w:sz w:val="18"/>
                <w:szCs w:val="18"/>
              </w:rPr>
            </w:pPr>
            <w:r>
              <w:rPr>
                <w:rFonts w:ascii="Arial Narrow" w:eastAsia="Arial Unicode MS" w:hAnsi="Arial Narrow"/>
                <w:bCs/>
                <w:sz w:val="18"/>
                <w:szCs w:val="18"/>
              </w:rPr>
              <w:t>Disease 2007(17</w:t>
            </w:r>
            <w:r w:rsidRPr="00477C9C">
              <w:rPr>
                <w:rFonts w:ascii="Arial Narrow" w:eastAsia="Arial Unicode MS" w:hAnsi="Arial Narrow"/>
                <w:bCs/>
                <w:sz w:val="18"/>
                <w:szCs w:val="18"/>
              </w:rPr>
              <w:t xml:space="preserve">% at </w:t>
            </w:r>
            <w:r>
              <w:rPr>
                <w:rFonts w:ascii="Arial Narrow" w:eastAsia="Arial Unicode MS" w:hAnsi="Arial Narrow"/>
                <w:bCs/>
                <w:sz w:val="18"/>
                <w:szCs w:val="18"/>
              </w:rPr>
              <w:t>2 and at</w:t>
            </w:r>
            <w:r w:rsidRPr="00477C9C">
              <w:rPr>
                <w:rFonts w:ascii="Arial Narrow" w:eastAsia="Arial Unicode MS" w:hAnsi="Arial Narrow"/>
                <w:bCs/>
                <w:sz w:val="18"/>
                <w:szCs w:val="18"/>
              </w:rPr>
              <w:t xml:space="preserve"> 5 m), </w:t>
            </w:r>
            <w:r w:rsidR="003E6ABE">
              <w:rPr>
                <w:rFonts w:ascii="Arial Narrow" w:eastAsia="Arial Unicode MS" w:hAnsi="Arial Narrow"/>
                <w:bCs/>
                <w:sz w:val="18"/>
                <w:szCs w:val="18"/>
              </w:rPr>
              <w:t>c</w:t>
            </w:r>
            <w:r w:rsidRPr="00477C9C">
              <w:rPr>
                <w:rFonts w:ascii="Arial Narrow" w:eastAsia="Arial Unicode MS" w:hAnsi="Arial Narrow"/>
                <w:bCs/>
                <w:sz w:val="18"/>
                <w:szCs w:val="18"/>
              </w:rPr>
              <w:t>yclone Ului 2010 most likely although reef not surveyed in that year (2</w:t>
            </w:r>
            <w:r>
              <w:rPr>
                <w:rFonts w:ascii="Arial Narrow" w:eastAsia="Arial Unicode MS" w:hAnsi="Arial Narrow"/>
                <w:bCs/>
                <w:sz w:val="18"/>
                <w:szCs w:val="18"/>
              </w:rPr>
              <w:t>1</w:t>
            </w:r>
            <w:r w:rsidRPr="00477C9C">
              <w:rPr>
                <w:rFonts w:ascii="Arial Narrow" w:eastAsia="Arial Unicode MS" w:hAnsi="Arial Narrow"/>
                <w:bCs/>
                <w:sz w:val="18"/>
                <w:szCs w:val="18"/>
              </w:rPr>
              <w:t>% at 2m, 2</w:t>
            </w:r>
            <w:r>
              <w:rPr>
                <w:rFonts w:ascii="Arial Narrow" w:eastAsia="Arial Unicode MS" w:hAnsi="Arial Narrow"/>
                <w:bCs/>
                <w:sz w:val="18"/>
                <w:szCs w:val="18"/>
              </w:rPr>
              <w:t>7</w:t>
            </w:r>
            <w:r w:rsidRPr="00477C9C">
              <w:rPr>
                <w:rFonts w:ascii="Arial Narrow" w:eastAsia="Arial Unicode MS" w:hAnsi="Arial Narrow"/>
                <w:bCs/>
                <w:sz w:val="18"/>
                <w:szCs w:val="18"/>
              </w:rPr>
              <w:t>% at 5 m)</w:t>
            </w:r>
            <w:r>
              <w:rPr>
                <w:rFonts w:ascii="Arial Narrow" w:eastAsia="Arial Unicode MS" w:hAnsi="Arial Narrow"/>
                <w:bCs/>
                <w:sz w:val="18"/>
                <w:szCs w:val="18"/>
              </w:rPr>
              <w:t xml:space="preserve">, </w:t>
            </w:r>
            <w:r w:rsidR="003E6ABE">
              <w:rPr>
                <w:rFonts w:ascii="Arial Narrow" w:eastAsia="Arial Unicode MS" w:hAnsi="Arial Narrow"/>
                <w:bCs/>
                <w:sz w:val="18"/>
                <w:szCs w:val="18"/>
              </w:rPr>
              <w:t>c</w:t>
            </w:r>
            <w:r>
              <w:rPr>
                <w:rFonts w:ascii="Arial Narrow" w:eastAsia="Arial Unicode MS" w:hAnsi="Arial Narrow"/>
                <w:bCs/>
                <w:sz w:val="18"/>
                <w:szCs w:val="18"/>
              </w:rPr>
              <w:t>yclone Debbie 2017 (48% at 2m, 38</w:t>
            </w:r>
            <w:r w:rsidRPr="00477C9C">
              <w:rPr>
                <w:rFonts w:ascii="Arial Narrow" w:eastAsia="Arial Unicode MS" w:hAnsi="Arial Narrow"/>
                <w:bCs/>
                <w:sz w:val="18"/>
                <w:szCs w:val="18"/>
              </w:rPr>
              <w:t>% at 5m)</w:t>
            </w:r>
          </w:p>
        </w:tc>
      </w:tr>
      <w:tr w:rsidR="00A57ADA" w:rsidRPr="009B6C07" w14:paraId="482D4B77" w14:textId="77777777" w:rsidTr="009C7B87">
        <w:trPr>
          <w:cantSplit/>
          <w:trHeight w:val="264"/>
        </w:trPr>
        <w:tc>
          <w:tcPr>
            <w:tcW w:w="583" w:type="dxa"/>
            <w:vMerge/>
            <w:vAlign w:val="center"/>
          </w:tcPr>
          <w:p w14:paraId="3DBB1730" w14:textId="77777777" w:rsidR="00A57ADA" w:rsidRPr="00477C9C" w:rsidRDefault="00A57ADA" w:rsidP="009C7B87">
            <w:pPr>
              <w:rPr>
                <w:rFonts w:ascii="Arial Narrow" w:eastAsia="Arial Unicode MS" w:hAnsi="Arial Narrow"/>
                <w:bCs/>
                <w:sz w:val="20"/>
              </w:rPr>
            </w:pPr>
          </w:p>
        </w:tc>
        <w:tc>
          <w:tcPr>
            <w:tcW w:w="1907" w:type="dxa"/>
            <w:tcMar>
              <w:top w:w="16" w:type="dxa"/>
              <w:left w:w="16" w:type="dxa"/>
              <w:bottom w:w="0" w:type="dxa"/>
              <w:right w:w="16" w:type="dxa"/>
            </w:tcMar>
            <w:vAlign w:val="bottom"/>
          </w:tcPr>
          <w:p w14:paraId="4D756B4C" w14:textId="77777777" w:rsidR="00A57ADA" w:rsidRPr="00477C9C" w:rsidRDefault="00A57ADA" w:rsidP="009C7B87">
            <w:pPr>
              <w:ind w:left="200"/>
              <w:rPr>
                <w:rFonts w:ascii="Arial Narrow" w:eastAsia="Arial Unicode MS" w:hAnsi="Arial Narrow"/>
                <w:bCs/>
                <w:sz w:val="20"/>
              </w:rPr>
            </w:pPr>
            <w:r w:rsidRPr="00477C9C">
              <w:rPr>
                <w:rFonts w:ascii="Arial Narrow" w:hAnsi="Arial Narrow"/>
                <w:bCs/>
                <w:sz w:val="20"/>
              </w:rPr>
              <w:t>Seaforth</w:t>
            </w:r>
          </w:p>
        </w:tc>
        <w:tc>
          <w:tcPr>
            <w:tcW w:w="954" w:type="dxa"/>
            <w:tcMar>
              <w:top w:w="16" w:type="dxa"/>
              <w:left w:w="16" w:type="dxa"/>
              <w:bottom w:w="0" w:type="dxa"/>
              <w:right w:w="16" w:type="dxa"/>
            </w:tcMar>
            <w:vAlign w:val="center"/>
          </w:tcPr>
          <w:p w14:paraId="2CA21ACD" w14:textId="77777777" w:rsidR="00A57ADA" w:rsidRPr="00477C9C" w:rsidRDefault="00A57ADA" w:rsidP="009C7B87">
            <w:pPr>
              <w:jc w:val="center"/>
              <w:rPr>
                <w:rFonts w:ascii="Arial Narrow" w:eastAsia="Arial Unicode MS" w:hAnsi="Arial Narrow"/>
                <w:bCs/>
                <w:sz w:val="18"/>
                <w:szCs w:val="18"/>
              </w:rPr>
            </w:pPr>
            <w:r w:rsidRPr="00477C9C">
              <w:rPr>
                <w:rFonts w:ascii="Arial Narrow" w:hAnsi="Arial Narrow"/>
                <w:bCs/>
                <w:sz w:val="18"/>
                <w:szCs w:val="18"/>
              </w:rPr>
              <w:t>0.57</w:t>
            </w:r>
          </w:p>
        </w:tc>
        <w:tc>
          <w:tcPr>
            <w:tcW w:w="816" w:type="dxa"/>
            <w:vAlign w:val="center"/>
          </w:tcPr>
          <w:p w14:paraId="61EAFC4B" w14:textId="77777777" w:rsidR="00A57ADA" w:rsidRPr="00477C9C" w:rsidRDefault="00A57ADA" w:rsidP="009C7B87">
            <w:pPr>
              <w:jc w:val="center"/>
              <w:rPr>
                <w:rFonts w:ascii="Arial Narrow" w:eastAsia="Arial Unicode MS" w:hAnsi="Arial Narrow"/>
                <w:bCs/>
                <w:sz w:val="18"/>
                <w:szCs w:val="18"/>
              </w:rPr>
            </w:pPr>
            <w:r w:rsidRPr="00477C9C">
              <w:rPr>
                <w:rFonts w:ascii="Arial Narrow" w:hAnsi="Arial Narrow"/>
                <w:bCs/>
                <w:sz w:val="18"/>
                <w:szCs w:val="18"/>
              </w:rPr>
              <w:t>0.95</w:t>
            </w:r>
          </w:p>
        </w:tc>
        <w:tc>
          <w:tcPr>
            <w:tcW w:w="808" w:type="dxa"/>
            <w:tcMar>
              <w:top w:w="16" w:type="dxa"/>
              <w:left w:w="16" w:type="dxa"/>
              <w:bottom w:w="0" w:type="dxa"/>
              <w:right w:w="16" w:type="dxa"/>
            </w:tcMar>
            <w:vAlign w:val="center"/>
          </w:tcPr>
          <w:p w14:paraId="0EDDB093" w14:textId="77777777" w:rsidR="00A57ADA" w:rsidRPr="00477C9C" w:rsidRDefault="00A57ADA" w:rsidP="009C7B87">
            <w:pPr>
              <w:jc w:val="center"/>
              <w:rPr>
                <w:rFonts w:ascii="Arial Narrow" w:eastAsia="Arial Unicode MS" w:hAnsi="Arial Narrow"/>
                <w:bCs/>
                <w:sz w:val="18"/>
                <w:szCs w:val="18"/>
              </w:rPr>
            </w:pPr>
            <w:r>
              <w:rPr>
                <w:rFonts w:ascii="Arial Narrow" w:eastAsia="Arial Unicode MS" w:hAnsi="Arial Narrow"/>
                <w:bCs/>
                <w:sz w:val="18"/>
                <w:szCs w:val="18"/>
              </w:rPr>
              <w:t>**</w:t>
            </w:r>
          </w:p>
        </w:tc>
        <w:tc>
          <w:tcPr>
            <w:tcW w:w="8541" w:type="dxa"/>
            <w:tcMar>
              <w:top w:w="16" w:type="dxa"/>
              <w:left w:w="16" w:type="dxa"/>
              <w:bottom w:w="0" w:type="dxa"/>
              <w:right w:w="16" w:type="dxa"/>
            </w:tcMar>
            <w:vAlign w:val="center"/>
          </w:tcPr>
          <w:p w14:paraId="69CBBD62" w14:textId="070CC297" w:rsidR="00A57ADA" w:rsidRPr="00A87191" w:rsidRDefault="00A57ADA" w:rsidP="009C7B87">
            <w:pPr>
              <w:spacing w:after="0"/>
              <w:jc w:val="left"/>
              <w:rPr>
                <w:rFonts w:ascii="Arial Narrow" w:eastAsia="Arial Unicode MS" w:hAnsi="Arial Narrow"/>
                <w:bCs/>
                <w:sz w:val="18"/>
                <w:szCs w:val="18"/>
                <w:lang w:val="da-DK"/>
              </w:rPr>
            </w:pPr>
            <w:r w:rsidRPr="00A87191">
              <w:rPr>
                <w:rFonts w:ascii="Arial Narrow" w:hAnsi="Arial Narrow"/>
                <w:bCs/>
                <w:sz w:val="18"/>
                <w:szCs w:val="18"/>
                <w:lang w:val="da-DK"/>
              </w:rPr>
              <w:t xml:space="preserve">Flood 2009 (16% at 2 m,, 22% at 5 m), </w:t>
            </w:r>
            <w:r w:rsidR="003E6ABE">
              <w:rPr>
                <w:rFonts w:ascii="Arial Narrow" w:eastAsia="Arial Unicode MS" w:hAnsi="Arial Narrow"/>
                <w:bCs/>
                <w:sz w:val="18"/>
                <w:szCs w:val="18"/>
                <w:lang w:val="da-DK"/>
              </w:rPr>
              <w:t>c</w:t>
            </w:r>
            <w:r w:rsidRPr="00A87191">
              <w:rPr>
                <w:rFonts w:ascii="Arial Narrow" w:eastAsia="Arial Unicode MS" w:hAnsi="Arial Narrow"/>
                <w:bCs/>
                <w:sz w:val="18"/>
                <w:szCs w:val="18"/>
                <w:lang w:val="da-DK"/>
              </w:rPr>
              <w:t>yclone Debbie 2017 (45% at 2m, 26% at 5m)</w:t>
            </w:r>
          </w:p>
        </w:tc>
      </w:tr>
      <w:tr w:rsidR="00A57ADA" w:rsidRPr="009B6C07" w14:paraId="7829D774" w14:textId="77777777" w:rsidTr="009C7B87">
        <w:trPr>
          <w:cantSplit/>
          <w:trHeight w:val="453"/>
        </w:trPr>
        <w:tc>
          <w:tcPr>
            <w:tcW w:w="583" w:type="dxa"/>
            <w:vMerge/>
            <w:vAlign w:val="center"/>
          </w:tcPr>
          <w:p w14:paraId="0CB4FF88" w14:textId="77777777" w:rsidR="00A57ADA" w:rsidRPr="00A87191" w:rsidRDefault="00A57ADA" w:rsidP="009C7B87">
            <w:pPr>
              <w:rPr>
                <w:rFonts w:ascii="Arial Narrow" w:eastAsia="Arial Unicode MS" w:hAnsi="Arial Narrow"/>
                <w:bCs/>
                <w:sz w:val="20"/>
                <w:lang w:val="da-DK"/>
              </w:rPr>
            </w:pPr>
          </w:p>
        </w:tc>
        <w:tc>
          <w:tcPr>
            <w:tcW w:w="1907" w:type="dxa"/>
            <w:tcMar>
              <w:top w:w="16" w:type="dxa"/>
              <w:left w:w="16" w:type="dxa"/>
              <w:bottom w:w="0" w:type="dxa"/>
              <w:right w:w="16" w:type="dxa"/>
            </w:tcMar>
            <w:vAlign w:val="bottom"/>
          </w:tcPr>
          <w:p w14:paraId="16BBBC15" w14:textId="77777777" w:rsidR="00A57ADA" w:rsidRPr="00477C9C" w:rsidRDefault="00A57ADA" w:rsidP="009C7B87">
            <w:pPr>
              <w:ind w:left="200"/>
              <w:rPr>
                <w:rFonts w:ascii="Arial Narrow" w:eastAsia="Arial Unicode MS" w:hAnsi="Arial Narrow"/>
                <w:bCs/>
                <w:sz w:val="20"/>
              </w:rPr>
            </w:pPr>
            <w:r w:rsidRPr="00477C9C">
              <w:rPr>
                <w:rFonts w:ascii="Arial Narrow" w:hAnsi="Arial Narrow"/>
                <w:bCs/>
                <w:sz w:val="20"/>
              </w:rPr>
              <w:t>Double Cone</w:t>
            </w:r>
          </w:p>
        </w:tc>
        <w:tc>
          <w:tcPr>
            <w:tcW w:w="954" w:type="dxa"/>
            <w:tcMar>
              <w:top w:w="16" w:type="dxa"/>
              <w:left w:w="16" w:type="dxa"/>
              <w:bottom w:w="0" w:type="dxa"/>
              <w:right w:w="16" w:type="dxa"/>
            </w:tcMar>
            <w:vAlign w:val="center"/>
          </w:tcPr>
          <w:p w14:paraId="3B2B2388" w14:textId="77777777" w:rsidR="00A57ADA" w:rsidRPr="00477C9C" w:rsidRDefault="00A57ADA" w:rsidP="009C7B87">
            <w:pPr>
              <w:jc w:val="center"/>
              <w:rPr>
                <w:rFonts w:ascii="Arial Narrow" w:eastAsia="Arial Unicode MS" w:hAnsi="Arial Narrow"/>
                <w:bCs/>
                <w:sz w:val="18"/>
                <w:szCs w:val="18"/>
              </w:rPr>
            </w:pPr>
            <w:r w:rsidRPr="00477C9C">
              <w:rPr>
                <w:rFonts w:ascii="Arial Narrow" w:hAnsi="Arial Narrow"/>
                <w:bCs/>
                <w:sz w:val="18"/>
                <w:szCs w:val="18"/>
              </w:rPr>
              <w:t>0.57</w:t>
            </w:r>
          </w:p>
        </w:tc>
        <w:tc>
          <w:tcPr>
            <w:tcW w:w="816" w:type="dxa"/>
            <w:vAlign w:val="center"/>
          </w:tcPr>
          <w:p w14:paraId="00FEF133" w14:textId="77777777" w:rsidR="00A57ADA" w:rsidRPr="00477C9C" w:rsidRDefault="00A57ADA" w:rsidP="009C7B87">
            <w:pPr>
              <w:jc w:val="center"/>
              <w:rPr>
                <w:rFonts w:ascii="Arial Narrow" w:eastAsia="Arial Unicode MS" w:hAnsi="Arial Narrow"/>
                <w:bCs/>
                <w:sz w:val="18"/>
                <w:szCs w:val="18"/>
              </w:rPr>
            </w:pPr>
            <w:r w:rsidRPr="00477C9C">
              <w:rPr>
                <w:rFonts w:ascii="Arial Narrow" w:hAnsi="Arial Narrow"/>
                <w:bCs/>
                <w:sz w:val="18"/>
                <w:szCs w:val="18"/>
              </w:rPr>
              <w:t>1</w:t>
            </w:r>
          </w:p>
        </w:tc>
        <w:tc>
          <w:tcPr>
            <w:tcW w:w="808" w:type="dxa"/>
            <w:tcMar>
              <w:top w:w="16" w:type="dxa"/>
              <w:left w:w="16" w:type="dxa"/>
              <w:bottom w:w="0" w:type="dxa"/>
              <w:right w:w="16" w:type="dxa"/>
            </w:tcMar>
            <w:vAlign w:val="center"/>
          </w:tcPr>
          <w:p w14:paraId="4F77EE5E" w14:textId="77777777" w:rsidR="00A57ADA" w:rsidRPr="00477C9C" w:rsidRDefault="00A57ADA" w:rsidP="009C7B87">
            <w:pPr>
              <w:jc w:val="center"/>
              <w:rPr>
                <w:rFonts w:ascii="Arial Narrow" w:eastAsia="Arial Unicode MS" w:hAnsi="Arial Narrow"/>
                <w:bCs/>
                <w:sz w:val="18"/>
                <w:szCs w:val="18"/>
              </w:rPr>
            </w:pPr>
            <w:r>
              <w:rPr>
                <w:rFonts w:ascii="Arial Narrow" w:eastAsia="Arial Unicode MS" w:hAnsi="Arial Narrow"/>
                <w:bCs/>
                <w:sz w:val="18"/>
                <w:szCs w:val="18"/>
              </w:rPr>
              <w:t>**</w:t>
            </w:r>
          </w:p>
        </w:tc>
        <w:tc>
          <w:tcPr>
            <w:tcW w:w="8541" w:type="dxa"/>
            <w:tcMar>
              <w:top w:w="16" w:type="dxa"/>
              <w:left w:w="16" w:type="dxa"/>
              <w:bottom w:w="0" w:type="dxa"/>
              <w:right w:w="16" w:type="dxa"/>
            </w:tcMar>
            <w:vAlign w:val="center"/>
          </w:tcPr>
          <w:p w14:paraId="470078DF" w14:textId="531B50F4" w:rsidR="00A57ADA" w:rsidRPr="00477C9C" w:rsidRDefault="00A57ADA" w:rsidP="009C7B87">
            <w:pPr>
              <w:spacing w:after="0"/>
              <w:jc w:val="left"/>
              <w:rPr>
                <w:rFonts w:ascii="Arial Narrow" w:eastAsia="Arial Unicode MS" w:hAnsi="Arial Narrow"/>
                <w:bCs/>
                <w:sz w:val="18"/>
                <w:szCs w:val="18"/>
                <w:lang w:val="da-DK"/>
              </w:rPr>
            </w:pPr>
            <w:r>
              <w:rPr>
                <w:rFonts w:ascii="Arial Narrow" w:hAnsi="Arial Narrow"/>
                <w:bCs/>
                <w:sz w:val="18"/>
                <w:szCs w:val="18"/>
                <w:lang w:val="da-DK"/>
              </w:rPr>
              <w:t>Flood 2009( 13</w:t>
            </w:r>
            <w:r w:rsidRPr="00477C9C">
              <w:rPr>
                <w:rFonts w:ascii="Arial Narrow" w:hAnsi="Arial Narrow"/>
                <w:bCs/>
                <w:sz w:val="18"/>
                <w:szCs w:val="18"/>
                <w:lang w:val="da-DK"/>
              </w:rPr>
              <w:t>% at 2 m), Cyclone Ului 2010 (26% at 2 m, 1</w:t>
            </w:r>
            <w:r>
              <w:rPr>
                <w:rFonts w:ascii="Arial Narrow" w:hAnsi="Arial Narrow"/>
                <w:bCs/>
                <w:sz w:val="18"/>
                <w:szCs w:val="18"/>
                <w:lang w:val="da-DK"/>
              </w:rPr>
              <w:t>2</w:t>
            </w:r>
            <w:r w:rsidRPr="00477C9C">
              <w:rPr>
                <w:rFonts w:ascii="Arial Narrow" w:hAnsi="Arial Narrow"/>
                <w:bCs/>
                <w:sz w:val="18"/>
                <w:szCs w:val="18"/>
                <w:lang w:val="da-DK"/>
              </w:rPr>
              <w:t>% at 5 m),</w:t>
            </w:r>
            <w:r w:rsidRPr="00A87191">
              <w:rPr>
                <w:rFonts w:ascii="Arial Narrow" w:eastAsia="Arial Unicode MS" w:hAnsi="Arial Narrow"/>
                <w:bCs/>
                <w:sz w:val="18"/>
                <w:szCs w:val="18"/>
                <w:lang w:val="da-DK"/>
              </w:rPr>
              <w:t xml:space="preserve"> </w:t>
            </w:r>
            <w:r w:rsidR="003E6ABE">
              <w:rPr>
                <w:rFonts w:ascii="Arial Narrow" w:eastAsia="Arial Unicode MS" w:hAnsi="Arial Narrow"/>
                <w:bCs/>
                <w:sz w:val="18"/>
                <w:szCs w:val="18"/>
                <w:lang w:val="da-DK"/>
              </w:rPr>
              <w:t>c</w:t>
            </w:r>
            <w:r w:rsidRPr="00A87191">
              <w:rPr>
                <w:rFonts w:ascii="Arial Narrow" w:eastAsia="Arial Unicode MS" w:hAnsi="Arial Narrow"/>
                <w:bCs/>
                <w:sz w:val="18"/>
                <w:szCs w:val="18"/>
                <w:lang w:val="da-DK"/>
              </w:rPr>
              <w:t>yclone Debbie 2017 (97% at 2m, 74% at 5m)</w:t>
            </w:r>
          </w:p>
        </w:tc>
      </w:tr>
      <w:tr w:rsidR="00A57ADA" w:rsidRPr="009B6C07" w14:paraId="728B4C01" w14:textId="77777777" w:rsidTr="009C7B87">
        <w:trPr>
          <w:cantSplit/>
          <w:trHeight w:val="443"/>
        </w:trPr>
        <w:tc>
          <w:tcPr>
            <w:tcW w:w="583" w:type="dxa"/>
            <w:vMerge/>
            <w:vAlign w:val="center"/>
          </w:tcPr>
          <w:p w14:paraId="783B722D" w14:textId="77777777" w:rsidR="00A57ADA" w:rsidRPr="00477C9C" w:rsidRDefault="00A57ADA" w:rsidP="009C7B87">
            <w:pPr>
              <w:rPr>
                <w:rFonts w:ascii="Arial Narrow" w:eastAsia="Arial Unicode MS" w:hAnsi="Arial Narrow"/>
                <w:bCs/>
                <w:sz w:val="20"/>
                <w:lang w:val="da-DK"/>
              </w:rPr>
            </w:pPr>
          </w:p>
        </w:tc>
        <w:tc>
          <w:tcPr>
            <w:tcW w:w="1907" w:type="dxa"/>
            <w:tcMar>
              <w:top w:w="16" w:type="dxa"/>
              <w:left w:w="16" w:type="dxa"/>
              <w:bottom w:w="0" w:type="dxa"/>
              <w:right w:w="16" w:type="dxa"/>
            </w:tcMar>
            <w:vAlign w:val="bottom"/>
          </w:tcPr>
          <w:p w14:paraId="1B981E10" w14:textId="77777777" w:rsidR="00A57ADA" w:rsidRPr="00477C9C" w:rsidRDefault="00A57ADA" w:rsidP="009C7B87">
            <w:pPr>
              <w:ind w:left="200"/>
              <w:rPr>
                <w:rFonts w:ascii="Arial Narrow" w:eastAsia="Arial Unicode MS" w:hAnsi="Arial Narrow"/>
                <w:bCs/>
                <w:sz w:val="20"/>
              </w:rPr>
            </w:pPr>
            <w:r w:rsidRPr="00477C9C">
              <w:rPr>
                <w:rFonts w:ascii="Arial Narrow" w:hAnsi="Arial Narrow"/>
                <w:bCs/>
                <w:sz w:val="20"/>
              </w:rPr>
              <w:t>Daydream</w:t>
            </w:r>
          </w:p>
        </w:tc>
        <w:tc>
          <w:tcPr>
            <w:tcW w:w="954" w:type="dxa"/>
            <w:tcMar>
              <w:top w:w="16" w:type="dxa"/>
              <w:left w:w="16" w:type="dxa"/>
              <w:bottom w:w="0" w:type="dxa"/>
              <w:right w:w="16" w:type="dxa"/>
            </w:tcMar>
            <w:vAlign w:val="center"/>
          </w:tcPr>
          <w:p w14:paraId="35C60D13" w14:textId="77777777" w:rsidR="00A57ADA" w:rsidRPr="00477C9C" w:rsidRDefault="00A57ADA" w:rsidP="009C7B87">
            <w:pPr>
              <w:jc w:val="center"/>
              <w:rPr>
                <w:rFonts w:ascii="Arial Narrow" w:eastAsia="Arial Unicode MS" w:hAnsi="Arial Narrow"/>
                <w:bCs/>
                <w:sz w:val="18"/>
                <w:szCs w:val="18"/>
              </w:rPr>
            </w:pPr>
            <w:r w:rsidRPr="00477C9C">
              <w:rPr>
                <w:rFonts w:ascii="Arial Narrow" w:hAnsi="Arial Narrow"/>
                <w:bCs/>
                <w:sz w:val="18"/>
                <w:szCs w:val="18"/>
              </w:rPr>
              <w:t>0.31 (44%)</w:t>
            </w:r>
          </w:p>
        </w:tc>
        <w:tc>
          <w:tcPr>
            <w:tcW w:w="816" w:type="dxa"/>
            <w:vAlign w:val="center"/>
          </w:tcPr>
          <w:p w14:paraId="09F073C3" w14:textId="77777777" w:rsidR="00A57ADA" w:rsidRPr="00477C9C" w:rsidRDefault="00A57ADA" w:rsidP="009C7B87">
            <w:pPr>
              <w:jc w:val="center"/>
              <w:rPr>
                <w:rFonts w:ascii="Arial Narrow" w:eastAsia="Arial Unicode MS" w:hAnsi="Arial Narrow"/>
                <w:bCs/>
                <w:sz w:val="18"/>
                <w:szCs w:val="18"/>
              </w:rPr>
            </w:pPr>
            <w:r w:rsidRPr="00477C9C">
              <w:rPr>
                <w:rFonts w:ascii="Arial Narrow" w:hAnsi="Arial Narrow"/>
                <w:bCs/>
                <w:sz w:val="18"/>
                <w:szCs w:val="18"/>
              </w:rPr>
              <w:t>1</w:t>
            </w:r>
          </w:p>
        </w:tc>
        <w:tc>
          <w:tcPr>
            <w:tcW w:w="808" w:type="dxa"/>
            <w:tcMar>
              <w:top w:w="16" w:type="dxa"/>
              <w:left w:w="16" w:type="dxa"/>
              <w:bottom w:w="0" w:type="dxa"/>
              <w:right w:w="16" w:type="dxa"/>
            </w:tcMar>
            <w:vAlign w:val="center"/>
          </w:tcPr>
          <w:p w14:paraId="6895BBDB" w14:textId="77777777" w:rsidR="00A57ADA" w:rsidRPr="00477C9C" w:rsidRDefault="00A57ADA" w:rsidP="009C7B87">
            <w:pPr>
              <w:jc w:val="center"/>
              <w:rPr>
                <w:rFonts w:ascii="Arial Narrow" w:eastAsia="Arial Unicode MS" w:hAnsi="Arial Narrow"/>
                <w:bCs/>
                <w:sz w:val="18"/>
                <w:szCs w:val="18"/>
              </w:rPr>
            </w:pPr>
            <w:r>
              <w:rPr>
                <w:rFonts w:ascii="Arial Narrow" w:eastAsia="Arial Unicode MS" w:hAnsi="Arial Narrow"/>
                <w:bCs/>
                <w:sz w:val="18"/>
                <w:szCs w:val="18"/>
              </w:rPr>
              <w:t>**</w:t>
            </w:r>
          </w:p>
        </w:tc>
        <w:tc>
          <w:tcPr>
            <w:tcW w:w="8541" w:type="dxa"/>
            <w:tcMar>
              <w:top w:w="16" w:type="dxa"/>
              <w:left w:w="16" w:type="dxa"/>
              <w:bottom w:w="0" w:type="dxa"/>
              <w:right w:w="16" w:type="dxa"/>
            </w:tcMar>
            <w:vAlign w:val="center"/>
          </w:tcPr>
          <w:p w14:paraId="5354AD5B" w14:textId="342AB597" w:rsidR="00A57ADA" w:rsidRPr="00477C9C" w:rsidRDefault="00A57ADA" w:rsidP="009C7B87">
            <w:pPr>
              <w:spacing w:after="0"/>
              <w:jc w:val="left"/>
              <w:rPr>
                <w:rFonts w:ascii="Arial Narrow" w:eastAsia="Arial Unicode MS" w:hAnsi="Arial Narrow"/>
                <w:bCs/>
                <w:sz w:val="18"/>
                <w:szCs w:val="18"/>
                <w:lang w:val="da-DK"/>
              </w:rPr>
            </w:pPr>
            <w:r>
              <w:rPr>
                <w:rFonts w:ascii="Arial Narrow" w:hAnsi="Arial Narrow"/>
                <w:bCs/>
                <w:sz w:val="18"/>
                <w:szCs w:val="18"/>
                <w:lang w:val="da-DK"/>
              </w:rPr>
              <w:t>Disease 2008 (26</w:t>
            </w:r>
            <w:r w:rsidRPr="00477C9C">
              <w:rPr>
                <w:rFonts w:ascii="Arial Narrow" w:hAnsi="Arial Narrow"/>
                <w:bCs/>
                <w:sz w:val="18"/>
                <w:szCs w:val="18"/>
                <w:lang w:val="da-DK"/>
              </w:rPr>
              <w:t xml:space="preserve">% at 2 m, 20% at 5 m), </w:t>
            </w:r>
            <w:r w:rsidR="003E6ABE">
              <w:rPr>
                <w:rFonts w:ascii="Arial Narrow" w:hAnsi="Arial Narrow"/>
                <w:bCs/>
                <w:sz w:val="18"/>
                <w:szCs w:val="18"/>
                <w:lang w:val="da-DK"/>
              </w:rPr>
              <w:t>c</w:t>
            </w:r>
            <w:r w:rsidRPr="00477C9C">
              <w:rPr>
                <w:rFonts w:ascii="Arial Narrow" w:hAnsi="Arial Narrow"/>
                <w:bCs/>
                <w:sz w:val="18"/>
                <w:szCs w:val="18"/>
                <w:lang w:val="da-DK"/>
              </w:rPr>
              <w:t>yclone Ului 2010 (4</w:t>
            </w:r>
            <w:r>
              <w:rPr>
                <w:rFonts w:ascii="Arial Narrow" w:hAnsi="Arial Narrow"/>
                <w:bCs/>
                <w:sz w:val="18"/>
                <w:szCs w:val="18"/>
                <w:lang w:val="da-DK"/>
              </w:rPr>
              <w:t>7</w:t>
            </w:r>
            <w:r w:rsidRPr="00477C9C">
              <w:rPr>
                <w:rFonts w:ascii="Arial Narrow" w:hAnsi="Arial Narrow"/>
                <w:bCs/>
                <w:sz w:val="18"/>
                <w:szCs w:val="18"/>
                <w:lang w:val="da-DK"/>
              </w:rPr>
              <w:t xml:space="preserve">% at 2 m, 46% at 5 m), </w:t>
            </w:r>
            <w:r w:rsidR="003E6ABE">
              <w:rPr>
                <w:rFonts w:ascii="Arial Narrow" w:eastAsia="Arial Unicode MS" w:hAnsi="Arial Narrow"/>
                <w:bCs/>
                <w:sz w:val="18"/>
                <w:szCs w:val="18"/>
                <w:lang w:val="da-DK"/>
              </w:rPr>
              <w:t>c</w:t>
            </w:r>
            <w:r w:rsidRPr="00A87191">
              <w:rPr>
                <w:rFonts w:ascii="Arial Narrow" w:eastAsia="Arial Unicode MS" w:hAnsi="Arial Narrow"/>
                <w:bCs/>
                <w:sz w:val="18"/>
                <w:szCs w:val="18"/>
                <w:lang w:val="da-DK"/>
              </w:rPr>
              <w:t>yclone Debbie 2017 (98% at 2m, 90% at 5m)</w:t>
            </w:r>
          </w:p>
        </w:tc>
      </w:tr>
      <w:tr w:rsidR="00A57ADA" w:rsidRPr="009B6C07" w14:paraId="64978F3C" w14:textId="77777777" w:rsidTr="009C7B87">
        <w:trPr>
          <w:cantSplit/>
          <w:trHeight w:val="377"/>
        </w:trPr>
        <w:tc>
          <w:tcPr>
            <w:tcW w:w="583" w:type="dxa"/>
            <w:vMerge/>
            <w:vAlign w:val="center"/>
          </w:tcPr>
          <w:p w14:paraId="64EFBB4C" w14:textId="77777777" w:rsidR="00A57ADA" w:rsidRPr="00477C9C" w:rsidRDefault="00A57ADA" w:rsidP="009C7B87">
            <w:pPr>
              <w:rPr>
                <w:rFonts w:ascii="Arial Narrow" w:eastAsia="Arial Unicode MS" w:hAnsi="Arial Narrow"/>
                <w:bCs/>
                <w:sz w:val="20"/>
                <w:lang w:val="da-DK"/>
              </w:rPr>
            </w:pPr>
          </w:p>
        </w:tc>
        <w:tc>
          <w:tcPr>
            <w:tcW w:w="1907" w:type="dxa"/>
            <w:tcMar>
              <w:top w:w="16" w:type="dxa"/>
              <w:left w:w="16" w:type="dxa"/>
              <w:bottom w:w="0" w:type="dxa"/>
              <w:right w:w="16" w:type="dxa"/>
            </w:tcMar>
            <w:vAlign w:val="bottom"/>
          </w:tcPr>
          <w:p w14:paraId="5BF1330A" w14:textId="77777777" w:rsidR="00A57ADA" w:rsidRPr="00477C9C" w:rsidRDefault="00A57ADA" w:rsidP="009C7B87">
            <w:pPr>
              <w:ind w:left="200"/>
              <w:rPr>
                <w:rFonts w:ascii="Arial Narrow" w:eastAsia="Arial Unicode MS" w:hAnsi="Arial Narrow"/>
                <w:bCs/>
                <w:sz w:val="20"/>
              </w:rPr>
            </w:pPr>
            <w:r w:rsidRPr="00477C9C">
              <w:rPr>
                <w:rFonts w:ascii="Arial Narrow" w:hAnsi="Arial Narrow"/>
                <w:bCs/>
                <w:sz w:val="20"/>
              </w:rPr>
              <w:t>Shute Harbour</w:t>
            </w:r>
          </w:p>
        </w:tc>
        <w:tc>
          <w:tcPr>
            <w:tcW w:w="954" w:type="dxa"/>
            <w:tcMar>
              <w:top w:w="16" w:type="dxa"/>
              <w:left w:w="16" w:type="dxa"/>
              <w:bottom w:w="0" w:type="dxa"/>
              <w:right w:w="16" w:type="dxa"/>
            </w:tcMar>
            <w:vAlign w:val="center"/>
          </w:tcPr>
          <w:p w14:paraId="4F3FFE11" w14:textId="77777777" w:rsidR="00A57ADA" w:rsidRPr="00477C9C" w:rsidRDefault="00A57ADA" w:rsidP="009C7B87">
            <w:pPr>
              <w:jc w:val="center"/>
              <w:rPr>
                <w:rFonts w:ascii="Arial Narrow" w:eastAsia="Arial Unicode MS" w:hAnsi="Arial Narrow"/>
                <w:bCs/>
                <w:sz w:val="18"/>
                <w:szCs w:val="18"/>
              </w:rPr>
            </w:pPr>
            <w:r w:rsidRPr="00477C9C">
              <w:rPr>
                <w:rFonts w:ascii="Arial Narrow" w:hAnsi="Arial Narrow"/>
                <w:bCs/>
                <w:sz w:val="18"/>
                <w:szCs w:val="18"/>
              </w:rPr>
              <w:t>0.57</w:t>
            </w:r>
          </w:p>
        </w:tc>
        <w:tc>
          <w:tcPr>
            <w:tcW w:w="816" w:type="dxa"/>
            <w:vAlign w:val="center"/>
          </w:tcPr>
          <w:p w14:paraId="6502C08B" w14:textId="77777777" w:rsidR="00A57ADA" w:rsidRPr="00477C9C" w:rsidRDefault="00A57ADA" w:rsidP="009C7B87">
            <w:pPr>
              <w:jc w:val="center"/>
              <w:rPr>
                <w:rFonts w:ascii="Arial Narrow" w:eastAsia="Arial Unicode MS" w:hAnsi="Arial Narrow"/>
                <w:bCs/>
                <w:sz w:val="18"/>
                <w:szCs w:val="18"/>
              </w:rPr>
            </w:pPr>
            <w:r w:rsidRPr="00477C9C">
              <w:rPr>
                <w:rFonts w:ascii="Arial Narrow" w:hAnsi="Arial Narrow"/>
                <w:bCs/>
                <w:sz w:val="18"/>
                <w:szCs w:val="18"/>
              </w:rPr>
              <w:t>1</w:t>
            </w:r>
          </w:p>
        </w:tc>
        <w:tc>
          <w:tcPr>
            <w:tcW w:w="808" w:type="dxa"/>
            <w:tcMar>
              <w:top w:w="16" w:type="dxa"/>
              <w:left w:w="16" w:type="dxa"/>
              <w:bottom w:w="0" w:type="dxa"/>
              <w:right w:w="16" w:type="dxa"/>
            </w:tcMar>
            <w:vAlign w:val="center"/>
          </w:tcPr>
          <w:p w14:paraId="35A183B1" w14:textId="77777777" w:rsidR="00A57ADA" w:rsidRPr="00477C9C" w:rsidRDefault="00A57ADA" w:rsidP="009C7B87">
            <w:pPr>
              <w:jc w:val="center"/>
              <w:rPr>
                <w:rFonts w:ascii="Arial Narrow" w:eastAsia="Arial Unicode MS" w:hAnsi="Arial Narrow"/>
                <w:bCs/>
                <w:sz w:val="18"/>
                <w:szCs w:val="18"/>
              </w:rPr>
            </w:pPr>
            <w:r>
              <w:rPr>
                <w:rFonts w:ascii="Arial Narrow" w:eastAsia="Arial Unicode MS" w:hAnsi="Arial Narrow"/>
                <w:bCs/>
                <w:sz w:val="18"/>
                <w:szCs w:val="18"/>
              </w:rPr>
              <w:t>**</w:t>
            </w:r>
          </w:p>
        </w:tc>
        <w:tc>
          <w:tcPr>
            <w:tcW w:w="8541" w:type="dxa"/>
            <w:tcMar>
              <w:top w:w="16" w:type="dxa"/>
              <w:left w:w="16" w:type="dxa"/>
              <w:bottom w:w="0" w:type="dxa"/>
              <w:right w:w="16" w:type="dxa"/>
            </w:tcMar>
            <w:vAlign w:val="center"/>
          </w:tcPr>
          <w:p w14:paraId="1045E60F" w14:textId="456D389B" w:rsidR="00A57ADA" w:rsidRPr="00A87191" w:rsidRDefault="00A57ADA" w:rsidP="009C7B87">
            <w:pPr>
              <w:spacing w:after="0"/>
              <w:jc w:val="left"/>
              <w:rPr>
                <w:rFonts w:ascii="Arial Narrow" w:eastAsia="Arial Unicode MS" w:hAnsi="Arial Narrow"/>
                <w:bCs/>
                <w:sz w:val="18"/>
                <w:szCs w:val="18"/>
                <w:lang w:val="da-DK"/>
              </w:rPr>
            </w:pPr>
            <w:r w:rsidRPr="00A87191">
              <w:rPr>
                <w:rFonts w:ascii="Arial Narrow" w:hAnsi="Arial Narrow"/>
                <w:bCs/>
                <w:sz w:val="18"/>
                <w:szCs w:val="18"/>
                <w:lang w:val="da-DK"/>
              </w:rPr>
              <w:t xml:space="preserve">Cyclone Ului 2010 (8% at 2 m), </w:t>
            </w:r>
            <w:r w:rsidR="003E6ABE">
              <w:rPr>
                <w:rFonts w:ascii="Arial Narrow" w:eastAsia="Arial Unicode MS" w:hAnsi="Arial Narrow"/>
                <w:bCs/>
                <w:sz w:val="18"/>
                <w:szCs w:val="18"/>
                <w:lang w:val="da-DK"/>
              </w:rPr>
              <w:t>c</w:t>
            </w:r>
            <w:r w:rsidRPr="00A87191">
              <w:rPr>
                <w:rFonts w:ascii="Arial Narrow" w:eastAsia="Arial Unicode MS" w:hAnsi="Arial Narrow"/>
                <w:bCs/>
                <w:sz w:val="18"/>
                <w:szCs w:val="18"/>
                <w:lang w:val="da-DK"/>
              </w:rPr>
              <w:t>yclone Debbie 2017 (48% at 2m, 55% at 5m)</w:t>
            </w:r>
          </w:p>
        </w:tc>
      </w:tr>
      <w:tr w:rsidR="00A57ADA" w:rsidRPr="00477C9C" w14:paraId="23E89BD0" w14:textId="77777777" w:rsidTr="009C7B87">
        <w:trPr>
          <w:cantSplit/>
          <w:trHeight w:val="368"/>
        </w:trPr>
        <w:tc>
          <w:tcPr>
            <w:tcW w:w="583" w:type="dxa"/>
            <w:vMerge/>
            <w:vAlign w:val="center"/>
          </w:tcPr>
          <w:p w14:paraId="255EDD12" w14:textId="77777777" w:rsidR="00A57ADA" w:rsidRPr="00A87191" w:rsidRDefault="00A57ADA" w:rsidP="009C7B87">
            <w:pPr>
              <w:rPr>
                <w:rFonts w:ascii="Arial Narrow" w:eastAsia="Arial Unicode MS" w:hAnsi="Arial Narrow"/>
                <w:bCs/>
                <w:sz w:val="20"/>
                <w:lang w:val="da-DK"/>
              </w:rPr>
            </w:pPr>
          </w:p>
        </w:tc>
        <w:tc>
          <w:tcPr>
            <w:tcW w:w="1907" w:type="dxa"/>
            <w:tcMar>
              <w:top w:w="16" w:type="dxa"/>
              <w:left w:w="16" w:type="dxa"/>
              <w:bottom w:w="0" w:type="dxa"/>
              <w:right w:w="16" w:type="dxa"/>
            </w:tcMar>
            <w:vAlign w:val="bottom"/>
          </w:tcPr>
          <w:p w14:paraId="4353C113" w14:textId="77777777" w:rsidR="00A57ADA" w:rsidRPr="00477C9C" w:rsidRDefault="00A57ADA" w:rsidP="009C7B87">
            <w:pPr>
              <w:ind w:left="200"/>
              <w:rPr>
                <w:rFonts w:ascii="Arial Narrow" w:eastAsia="Arial Unicode MS" w:hAnsi="Arial Narrow"/>
                <w:bCs/>
                <w:sz w:val="20"/>
              </w:rPr>
            </w:pPr>
            <w:r w:rsidRPr="00477C9C">
              <w:rPr>
                <w:rFonts w:ascii="Arial Narrow" w:hAnsi="Arial Narrow"/>
                <w:bCs/>
                <w:sz w:val="20"/>
              </w:rPr>
              <w:t>Pine</w:t>
            </w:r>
          </w:p>
        </w:tc>
        <w:tc>
          <w:tcPr>
            <w:tcW w:w="954" w:type="dxa"/>
            <w:tcMar>
              <w:top w:w="16" w:type="dxa"/>
              <w:left w:w="16" w:type="dxa"/>
              <w:bottom w:w="0" w:type="dxa"/>
              <w:right w:w="16" w:type="dxa"/>
            </w:tcMar>
            <w:vAlign w:val="center"/>
          </w:tcPr>
          <w:p w14:paraId="7F22BEF4" w14:textId="77777777" w:rsidR="00A57ADA" w:rsidRPr="00477C9C" w:rsidRDefault="00A57ADA" w:rsidP="009C7B87">
            <w:pPr>
              <w:jc w:val="center"/>
              <w:rPr>
                <w:rFonts w:ascii="Arial Narrow" w:eastAsia="Arial Unicode MS" w:hAnsi="Arial Narrow"/>
                <w:bCs/>
                <w:sz w:val="18"/>
                <w:szCs w:val="18"/>
              </w:rPr>
            </w:pPr>
            <w:r w:rsidRPr="00477C9C">
              <w:rPr>
                <w:rFonts w:ascii="Arial Narrow" w:hAnsi="Arial Narrow"/>
                <w:bCs/>
                <w:sz w:val="18"/>
                <w:szCs w:val="18"/>
              </w:rPr>
              <w:t>0.31</w:t>
            </w:r>
          </w:p>
        </w:tc>
        <w:tc>
          <w:tcPr>
            <w:tcW w:w="816" w:type="dxa"/>
            <w:vAlign w:val="center"/>
          </w:tcPr>
          <w:p w14:paraId="73049AA9" w14:textId="77777777" w:rsidR="00A57ADA" w:rsidRPr="00477C9C" w:rsidRDefault="00A57ADA" w:rsidP="009C7B87">
            <w:pPr>
              <w:jc w:val="center"/>
              <w:rPr>
                <w:rFonts w:ascii="Arial Narrow" w:eastAsia="Arial Unicode MS" w:hAnsi="Arial Narrow"/>
                <w:bCs/>
                <w:sz w:val="18"/>
                <w:szCs w:val="18"/>
              </w:rPr>
            </w:pPr>
            <w:r w:rsidRPr="00477C9C">
              <w:rPr>
                <w:rFonts w:ascii="Arial Narrow" w:hAnsi="Arial Narrow"/>
                <w:bCs/>
                <w:sz w:val="18"/>
                <w:szCs w:val="18"/>
              </w:rPr>
              <w:t>1</w:t>
            </w:r>
          </w:p>
        </w:tc>
        <w:tc>
          <w:tcPr>
            <w:tcW w:w="808" w:type="dxa"/>
            <w:tcMar>
              <w:top w:w="16" w:type="dxa"/>
              <w:left w:w="16" w:type="dxa"/>
              <w:bottom w:w="0" w:type="dxa"/>
              <w:right w:w="16" w:type="dxa"/>
            </w:tcMar>
            <w:vAlign w:val="center"/>
          </w:tcPr>
          <w:p w14:paraId="12AE47B3" w14:textId="77777777" w:rsidR="00A57ADA" w:rsidRPr="00477C9C" w:rsidRDefault="00A57ADA" w:rsidP="009C7B87">
            <w:pPr>
              <w:jc w:val="center"/>
              <w:rPr>
                <w:rFonts w:ascii="Arial Narrow" w:eastAsia="Arial Unicode MS" w:hAnsi="Arial Narrow"/>
                <w:bCs/>
                <w:sz w:val="18"/>
                <w:szCs w:val="18"/>
              </w:rPr>
            </w:pPr>
            <w:r>
              <w:rPr>
                <w:rFonts w:ascii="Arial Narrow" w:eastAsia="Arial Unicode MS" w:hAnsi="Arial Narrow"/>
                <w:bCs/>
                <w:sz w:val="18"/>
                <w:szCs w:val="18"/>
              </w:rPr>
              <w:t>**</w:t>
            </w:r>
          </w:p>
        </w:tc>
        <w:tc>
          <w:tcPr>
            <w:tcW w:w="8541" w:type="dxa"/>
            <w:tcMar>
              <w:top w:w="16" w:type="dxa"/>
              <w:left w:w="16" w:type="dxa"/>
              <w:bottom w:w="0" w:type="dxa"/>
              <w:right w:w="16" w:type="dxa"/>
            </w:tcMar>
            <w:vAlign w:val="center"/>
          </w:tcPr>
          <w:p w14:paraId="43014CB5" w14:textId="495593B2" w:rsidR="00A57ADA" w:rsidRPr="00A87191" w:rsidRDefault="00A57ADA" w:rsidP="009C7B87">
            <w:pPr>
              <w:spacing w:after="0"/>
              <w:jc w:val="left"/>
              <w:rPr>
                <w:rFonts w:ascii="Arial Narrow" w:eastAsia="Arial Unicode MS" w:hAnsi="Arial Narrow"/>
                <w:bCs/>
                <w:sz w:val="18"/>
                <w:szCs w:val="18"/>
              </w:rPr>
            </w:pPr>
            <w:r w:rsidRPr="00A87191">
              <w:rPr>
                <w:rFonts w:ascii="Arial Narrow" w:hAnsi="Arial Narrow"/>
                <w:bCs/>
                <w:sz w:val="18"/>
                <w:szCs w:val="18"/>
              </w:rPr>
              <w:t xml:space="preserve">Flood 2009(14% at 2 and at 5 m), </w:t>
            </w:r>
            <w:r w:rsidR="003E6ABE">
              <w:rPr>
                <w:rFonts w:ascii="Arial Narrow" w:hAnsi="Arial Narrow"/>
                <w:bCs/>
                <w:sz w:val="18"/>
                <w:szCs w:val="18"/>
              </w:rPr>
              <w:t>c</w:t>
            </w:r>
            <w:r w:rsidRPr="00A87191">
              <w:rPr>
                <w:rFonts w:ascii="Arial Narrow" w:hAnsi="Arial Narrow"/>
                <w:bCs/>
                <w:sz w:val="18"/>
                <w:szCs w:val="18"/>
              </w:rPr>
              <w:t xml:space="preserve">yclone Ului 2010 (13% at 2 m, 10% at 5 m), Disease 2011(15% at 5 m), </w:t>
            </w:r>
            <w:r w:rsidR="003E6ABE">
              <w:rPr>
                <w:rFonts w:ascii="Arial Narrow" w:eastAsia="Arial Unicode MS" w:hAnsi="Arial Narrow"/>
                <w:bCs/>
                <w:sz w:val="18"/>
                <w:szCs w:val="18"/>
              </w:rPr>
              <w:t>c</w:t>
            </w:r>
            <w:r w:rsidRPr="00477C9C">
              <w:rPr>
                <w:rFonts w:ascii="Arial Narrow" w:eastAsia="Arial Unicode MS" w:hAnsi="Arial Narrow"/>
                <w:bCs/>
                <w:sz w:val="18"/>
                <w:szCs w:val="18"/>
              </w:rPr>
              <w:t>yclone Debbie 2017 (7</w:t>
            </w:r>
            <w:r>
              <w:rPr>
                <w:rFonts w:ascii="Arial Narrow" w:eastAsia="Arial Unicode MS" w:hAnsi="Arial Narrow"/>
                <w:bCs/>
                <w:sz w:val="18"/>
                <w:szCs w:val="18"/>
              </w:rPr>
              <w:t>4</w:t>
            </w:r>
            <w:r w:rsidRPr="00477C9C">
              <w:rPr>
                <w:rFonts w:ascii="Arial Narrow" w:eastAsia="Arial Unicode MS" w:hAnsi="Arial Narrow"/>
                <w:bCs/>
                <w:sz w:val="18"/>
                <w:szCs w:val="18"/>
              </w:rPr>
              <w:t>% at 2m, 5</w:t>
            </w:r>
            <w:r>
              <w:rPr>
                <w:rFonts w:ascii="Arial Narrow" w:eastAsia="Arial Unicode MS" w:hAnsi="Arial Narrow"/>
                <w:bCs/>
                <w:sz w:val="18"/>
                <w:szCs w:val="18"/>
              </w:rPr>
              <w:t>6</w:t>
            </w:r>
            <w:r w:rsidRPr="00477C9C">
              <w:rPr>
                <w:rFonts w:ascii="Arial Narrow" w:eastAsia="Arial Unicode MS" w:hAnsi="Arial Narrow"/>
                <w:bCs/>
                <w:sz w:val="18"/>
                <w:szCs w:val="18"/>
              </w:rPr>
              <w:t>% at 5m)</w:t>
            </w:r>
          </w:p>
        </w:tc>
      </w:tr>
      <w:tr w:rsidR="00A57ADA" w:rsidRPr="00477C9C" w14:paraId="0C436B7F" w14:textId="77777777" w:rsidTr="009C7B87">
        <w:trPr>
          <w:cantSplit/>
          <w:trHeight w:val="371"/>
        </w:trPr>
        <w:tc>
          <w:tcPr>
            <w:tcW w:w="583" w:type="dxa"/>
            <w:vMerge/>
            <w:vAlign w:val="center"/>
          </w:tcPr>
          <w:p w14:paraId="2DAE4F28" w14:textId="77777777" w:rsidR="00A57ADA" w:rsidRPr="00477C9C" w:rsidRDefault="00A57ADA" w:rsidP="009C7B87">
            <w:pPr>
              <w:rPr>
                <w:rFonts w:ascii="Arial Narrow" w:eastAsia="Arial Unicode MS" w:hAnsi="Arial Narrow"/>
                <w:bCs/>
                <w:sz w:val="20"/>
              </w:rPr>
            </w:pPr>
          </w:p>
        </w:tc>
        <w:tc>
          <w:tcPr>
            <w:tcW w:w="1907" w:type="dxa"/>
            <w:tcMar>
              <w:top w:w="16" w:type="dxa"/>
              <w:left w:w="16" w:type="dxa"/>
              <w:bottom w:w="0" w:type="dxa"/>
              <w:right w:w="16" w:type="dxa"/>
            </w:tcMar>
            <w:vAlign w:val="bottom"/>
          </w:tcPr>
          <w:p w14:paraId="131F8E25" w14:textId="77777777" w:rsidR="00A57ADA" w:rsidRPr="00477C9C" w:rsidRDefault="00A57ADA" w:rsidP="009C7B87">
            <w:pPr>
              <w:ind w:left="200"/>
              <w:rPr>
                <w:rFonts w:ascii="Arial Narrow" w:hAnsi="Arial Narrow"/>
                <w:bCs/>
                <w:sz w:val="20"/>
              </w:rPr>
            </w:pPr>
            <w:r w:rsidRPr="00477C9C">
              <w:rPr>
                <w:rFonts w:ascii="Arial Narrow" w:hAnsi="Arial Narrow"/>
                <w:bCs/>
                <w:sz w:val="20"/>
              </w:rPr>
              <w:t>Hayman</w:t>
            </w:r>
          </w:p>
        </w:tc>
        <w:tc>
          <w:tcPr>
            <w:tcW w:w="954" w:type="dxa"/>
            <w:tcMar>
              <w:top w:w="16" w:type="dxa"/>
              <w:left w:w="16" w:type="dxa"/>
              <w:bottom w:w="0" w:type="dxa"/>
              <w:right w:w="16" w:type="dxa"/>
            </w:tcMar>
            <w:vAlign w:val="center"/>
          </w:tcPr>
          <w:p w14:paraId="3C9CE866" w14:textId="77777777" w:rsidR="00A57ADA" w:rsidRPr="00477C9C" w:rsidRDefault="00A57ADA" w:rsidP="009C7B87">
            <w:pPr>
              <w:jc w:val="center"/>
              <w:rPr>
                <w:rFonts w:ascii="Arial Narrow" w:hAnsi="Arial Narrow"/>
                <w:bCs/>
                <w:sz w:val="18"/>
                <w:szCs w:val="18"/>
              </w:rPr>
            </w:pPr>
          </w:p>
        </w:tc>
        <w:tc>
          <w:tcPr>
            <w:tcW w:w="816" w:type="dxa"/>
            <w:vAlign w:val="center"/>
          </w:tcPr>
          <w:p w14:paraId="6A8C6B6A" w14:textId="77777777" w:rsidR="00A57ADA" w:rsidRPr="00477C9C" w:rsidRDefault="00A57ADA" w:rsidP="009C7B87">
            <w:pPr>
              <w:jc w:val="center"/>
              <w:rPr>
                <w:rFonts w:ascii="Arial Narrow" w:hAnsi="Arial Narrow"/>
                <w:bCs/>
                <w:sz w:val="18"/>
                <w:szCs w:val="18"/>
              </w:rPr>
            </w:pPr>
          </w:p>
        </w:tc>
        <w:tc>
          <w:tcPr>
            <w:tcW w:w="808" w:type="dxa"/>
            <w:tcMar>
              <w:top w:w="16" w:type="dxa"/>
              <w:left w:w="16" w:type="dxa"/>
              <w:bottom w:w="0" w:type="dxa"/>
              <w:right w:w="16" w:type="dxa"/>
            </w:tcMar>
            <w:vAlign w:val="center"/>
          </w:tcPr>
          <w:p w14:paraId="2801C3F6" w14:textId="77777777" w:rsidR="00A57ADA" w:rsidRPr="00477C9C" w:rsidRDefault="00A57ADA" w:rsidP="009C7B87">
            <w:pPr>
              <w:jc w:val="center"/>
              <w:rPr>
                <w:rFonts w:ascii="Arial Narrow" w:eastAsia="Arial Unicode MS" w:hAnsi="Arial Narrow"/>
                <w:bCs/>
                <w:sz w:val="18"/>
                <w:szCs w:val="18"/>
              </w:rPr>
            </w:pPr>
            <w:r>
              <w:rPr>
                <w:rFonts w:ascii="Arial Narrow" w:eastAsia="Arial Unicode MS" w:hAnsi="Arial Narrow"/>
                <w:bCs/>
                <w:sz w:val="18"/>
                <w:szCs w:val="18"/>
              </w:rPr>
              <w:t>n/a</w:t>
            </w:r>
          </w:p>
        </w:tc>
        <w:tc>
          <w:tcPr>
            <w:tcW w:w="8541" w:type="dxa"/>
            <w:tcMar>
              <w:top w:w="16" w:type="dxa"/>
              <w:left w:w="16" w:type="dxa"/>
              <w:bottom w:w="0" w:type="dxa"/>
              <w:right w:w="16" w:type="dxa"/>
            </w:tcMar>
            <w:vAlign w:val="center"/>
          </w:tcPr>
          <w:p w14:paraId="66C770E8" w14:textId="77777777" w:rsidR="00A57ADA" w:rsidRPr="00477C9C" w:rsidRDefault="00A57ADA" w:rsidP="009C7B87">
            <w:pPr>
              <w:spacing w:after="0"/>
              <w:jc w:val="left"/>
              <w:rPr>
                <w:rFonts w:ascii="Arial Narrow" w:hAnsi="Arial Narrow"/>
                <w:bCs/>
                <w:sz w:val="18"/>
                <w:szCs w:val="18"/>
                <w:lang w:val="da-DK"/>
              </w:rPr>
            </w:pPr>
            <w:r w:rsidRPr="00477C9C">
              <w:rPr>
                <w:rFonts w:ascii="Arial Narrow" w:hAnsi="Arial Narrow"/>
                <w:bCs/>
                <w:sz w:val="18"/>
                <w:szCs w:val="18"/>
                <w:lang w:val="da-DK"/>
              </w:rPr>
              <w:t>Cyclone Ului 2010 (36%)</w:t>
            </w:r>
          </w:p>
        </w:tc>
      </w:tr>
      <w:tr w:rsidR="00A57ADA" w:rsidRPr="00477C9C" w14:paraId="1711F0E2" w14:textId="77777777" w:rsidTr="009C7B87">
        <w:trPr>
          <w:cantSplit/>
          <w:trHeight w:val="362"/>
        </w:trPr>
        <w:tc>
          <w:tcPr>
            <w:tcW w:w="583" w:type="dxa"/>
            <w:vMerge/>
            <w:vAlign w:val="center"/>
          </w:tcPr>
          <w:p w14:paraId="117F9A3E" w14:textId="77777777" w:rsidR="00A57ADA" w:rsidRPr="00477C9C" w:rsidRDefault="00A57ADA" w:rsidP="009C7B87">
            <w:pPr>
              <w:rPr>
                <w:rFonts w:ascii="Arial Narrow" w:eastAsia="Arial Unicode MS" w:hAnsi="Arial Narrow"/>
                <w:bCs/>
                <w:sz w:val="20"/>
              </w:rPr>
            </w:pPr>
          </w:p>
        </w:tc>
        <w:tc>
          <w:tcPr>
            <w:tcW w:w="1907" w:type="dxa"/>
            <w:tcMar>
              <w:top w:w="16" w:type="dxa"/>
              <w:left w:w="16" w:type="dxa"/>
              <w:bottom w:w="0" w:type="dxa"/>
              <w:right w:w="16" w:type="dxa"/>
            </w:tcMar>
            <w:vAlign w:val="bottom"/>
          </w:tcPr>
          <w:p w14:paraId="674CEB5A" w14:textId="77777777" w:rsidR="00A57ADA" w:rsidRPr="00477C9C" w:rsidRDefault="00A57ADA" w:rsidP="009C7B87">
            <w:pPr>
              <w:ind w:left="200"/>
              <w:rPr>
                <w:rFonts w:ascii="Arial Narrow" w:hAnsi="Arial Narrow"/>
                <w:bCs/>
                <w:sz w:val="20"/>
              </w:rPr>
            </w:pPr>
            <w:r w:rsidRPr="00477C9C">
              <w:rPr>
                <w:rFonts w:ascii="Arial Narrow" w:hAnsi="Arial Narrow"/>
                <w:bCs/>
                <w:sz w:val="20"/>
              </w:rPr>
              <w:t>Langford</w:t>
            </w:r>
          </w:p>
        </w:tc>
        <w:tc>
          <w:tcPr>
            <w:tcW w:w="954" w:type="dxa"/>
            <w:tcMar>
              <w:top w:w="16" w:type="dxa"/>
              <w:left w:w="16" w:type="dxa"/>
              <w:bottom w:w="0" w:type="dxa"/>
              <w:right w:w="16" w:type="dxa"/>
            </w:tcMar>
            <w:vAlign w:val="center"/>
          </w:tcPr>
          <w:p w14:paraId="0CEDC9B2" w14:textId="77777777" w:rsidR="00A57ADA" w:rsidRPr="00B62E9A" w:rsidRDefault="00A57ADA" w:rsidP="009C7B87">
            <w:pPr>
              <w:jc w:val="center"/>
              <w:rPr>
                <w:rFonts w:ascii="Arial Narrow" w:hAnsi="Arial Narrow"/>
                <w:bCs/>
                <w:sz w:val="18"/>
                <w:szCs w:val="18"/>
              </w:rPr>
            </w:pPr>
          </w:p>
        </w:tc>
        <w:tc>
          <w:tcPr>
            <w:tcW w:w="816" w:type="dxa"/>
            <w:vAlign w:val="center"/>
          </w:tcPr>
          <w:p w14:paraId="195F57A8" w14:textId="77777777" w:rsidR="00A57ADA" w:rsidRPr="00B62E9A" w:rsidRDefault="00A57ADA" w:rsidP="009C7B87">
            <w:pPr>
              <w:jc w:val="center"/>
              <w:rPr>
                <w:rFonts w:ascii="Arial Narrow" w:hAnsi="Arial Narrow"/>
                <w:bCs/>
                <w:sz w:val="18"/>
                <w:szCs w:val="18"/>
              </w:rPr>
            </w:pPr>
          </w:p>
        </w:tc>
        <w:tc>
          <w:tcPr>
            <w:tcW w:w="808" w:type="dxa"/>
            <w:tcMar>
              <w:top w:w="16" w:type="dxa"/>
              <w:left w:w="16" w:type="dxa"/>
              <w:bottom w:w="0" w:type="dxa"/>
              <w:right w:w="16" w:type="dxa"/>
            </w:tcMar>
            <w:vAlign w:val="center"/>
          </w:tcPr>
          <w:p w14:paraId="79B27F07" w14:textId="77777777" w:rsidR="00A57ADA" w:rsidRPr="00B62E9A" w:rsidRDefault="00A57ADA" w:rsidP="009C7B87">
            <w:pPr>
              <w:jc w:val="center"/>
              <w:rPr>
                <w:rFonts w:ascii="Arial Narrow" w:eastAsia="Arial Unicode MS" w:hAnsi="Arial Narrow"/>
                <w:bCs/>
                <w:sz w:val="18"/>
                <w:szCs w:val="18"/>
              </w:rPr>
            </w:pPr>
            <w:r w:rsidRPr="00B62E9A">
              <w:rPr>
                <w:rFonts w:ascii="Arial Narrow" w:eastAsia="Arial Unicode MS" w:hAnsi="Arial Narrow"/>
                <w:bCs/>
                <w:sz w:val="18"/>
                <w:szCs w:val="18"/>
              </w:rPr>
              <w:t>n/a</w:t>
            </w:r>
          </w:p>
        </w:tc>
        <w:tc>
          <w:tcPr>
            <w:tcW w:w="8541" w:type="dxa"/>
            <w:tcMar>
              <w:top w:w="16" w:type="dxa"/>
              <w:left w:w="16" w:type="dxa"/>
              <w:bottom w:w="0" w:type="dxa"/>
              <w:right w:w="16" w:type="dxa"/>
            </w:tcMar>
            <w:vAlign w:val="center"/>
          </w:tcPr>
          <w:p w14:paraId="4FC015D2" w14:textId="77777777" w:rsidR="00A57ADA" w:rsidRPr="00B62E9A" w:rsidRDefault="00A57ADA" w:rsidP="009C7B87">
            <w:pPr>
              <w:jc w:val="left"/>
              <w:rPr>
                <w:rFonts w:ascii="Arial Narrow" w:hAnsi="Arial Narrow"/>
                <w:bCs/>
                <w:sz w:val="18"/>
                <w:szCs w:val="18"/>
                <w:lang w:val="da-DK"/>
              </w:rPr>
            </w:pPr>
          </w:p>
        </w:tc>
      </w:tr>
      <w:tr w:rsidR="00A57ADA" w:rsidRPr="00477C9C" w14:paraId="561A0A6B" w14:textId="77777777" w:rsidTr="009C7B87">
        <w:trPr>
          <w:cantSplit/>
          <w:trHeight w:val="355"/>
        </w:trPr>
        <w:tc>
          <w:tcPr>
            <w:tcW w:w="583" w:type="dxa"/>
            <w:vMerge/>
            <w:vAlign w:val="center"/>
          </w:tcPr>
          <w:p w14:paraId="2652CE8B" w14:textId="77777777" w:rsidR="00A57ADA" w:rsidRPr="00477C9C" w:rsidRDefault="00A57ADA" w:rsidP="009C7B87">
            <w:pPr>
              <w:rPr>
                <w:rFonts w:ascii="Arial Narrow" w:eastAsia="Arial Unicode MS" w:hAnsi="Arial Narrow"/>
                <w:bCs/>
                <w:sz w:val="20"/>
              </w:rPr>
            </w:pPr>
          </w:p>
        </w:tc>
        <w:tc>
          <w:tcPr>
            <w:tcW w:w="1907" w:type="dxa"/>
            <w:tcMar>
              <w:top w:w="16" w:type="dxa"/>
              <w:left w:w="16" w:type="dxa"/>
              <w:bottom w:w="0" w:type="dxa"/>
              <w:right w:w="16" w:type="dxa"/>
            </w:tcMar>
            <w:vAlign w:val="bottom"/>
          </w:tcPr>
          <w:p w14:paraId="51CA6610" w14:textId="77777777" w:rsidR="00A57ADA" w:rsidRPr="00477C9C" w:rsidRDefault="00A57ADA" w:rsidP="009C7B87">
            <w:pPr>
              <w:ind w:left="200"/>
              <w:rPr>
                <w:rFonts w:ascii="Arial Narrow" w:hAnsi="Arial Narrow"/>
                <w:bCs/>
                <w:sz w:val="20"/>
              </w:rPr>
            </w:pPr>
            <w:r w:rsidRPr="00477C9C">
              <w:rPr>
                <w:rFonts w:ascii="Arial Narrow" w:hAnsi="Arial Narrow"/>
                <w:bCs/>
                <w:sz w:val="20"/>
              </w:rPr>
              <w:t>Border</w:t>
            </w:r>
          </w:p>
        </w:tc>
        <w:tc>
          <w:tcPr>
            <w:tcW w:w="954" w:type="dxa"/>
            <w:tcMar>
              <w:top w:w="16" w:type="dxa"/>
              <w:left w:w="16" w:type="dxa"/>
              <w:bottom w:w="0" w:type="dxa"/>
              <w:right w:w="16" w:type="dxa"/>
            </w:tcMar>
            <w:vAlign w:val="center"/>
          </w:tcPr>
          <w:p w14:paraId="5CBA5D29" w14:textId="77777777" w:rsidR="00A57ADA" w:rsidRPr="00B62E9A" w:rsidRDefault="00A57ADA" w:rsidP="009C7B87">
            <w:pPr>
              <w:jc w:val="center"/>
              <w:rPr>
                <w:rFonts w:ascii="Arial Narrow" w:hAnsi="Arial Narrow"/>
                <w:bCs/>
                <w:sz w:val="18"/>
                <w:szCs w:val="18"/>
              </w:rPr>
            </w:pPr>
          </w:p>
        </w:tc>
        <w:tc>
          <w:tcPr>
            <w:tcW w:w="816" w:type="dxa"/>
            <w:vAlign w:val="center"/>
          </w:tcPr>
          <w:p w14:paraId="7494D691" w14:textId="77777777" w:rsidR="00A57ADA" w:rsidRPr="00B62E9A" w:rsidRDefault="00A57ADA" w:rsidP="009C7B87">
            <w:pPr>
              <w:jc w:val="center"/>
              <w:rPr>
                <w:rFonts w:ascii="Arial Narrow" w:hAnsi="Arial Narrow"/>
                <w:bCs/>
                <w:sz w:val="18"/>
                <w:szCs w:val="18"/>
              </w:rPr>
            </w:pPr>
            <w:r w:rsidRPr="00B62E9A">
              <w:rPr>
                <w:rFonts w:ascii="Arial Narrow" w:hAnsi="Arial Narrow"/>
                <w:bCs/>
                <w:sz w:val="18"/>
                <w:szCs w:val="18"/>
              </w:rPr>
              <w:t>(1</w:t>
            </w:r>
            <w:r>
              <w:rPr>
                <w:rFonts w:ascii="Arial Narrow" w:hAnsi="Arial Narrow"/>
                <w:bCs/>
                <w:sz w:val="18"/>
                <w:szCs w:val="18"/>
              </w:rPr>
              <w:t>1</w:t>
            </w:r>
            <w:r w:rsidRPr="00B62E9A">
              <w:rPr>
                <w:rFonts w:ascii="Arial Narrow" w:hAnsi="Arial Narrow"/>
                <w:bCs/>
                <w:sz w:val="18"/>
                <w:szCs w:val="18"/>
              </w:rPr>
              <w:t>%)</w:t>
            </w:r>
          </w:p>
        </w:tc>
        <w:tc>
          <w:tcPr>
            <w:tcW w:w="808" w:type="dxa"/>
            <w:tcMar>
              <w:top w:w="16" w:type="dxa"/>
              <w:left w:w="16" w:type="dxa"/>
              <w:bottom w:w="0" w:type="dxa"/>
              <w:right w:w="16" w:type="dxa"/>
            </w:tcMar>
            <w:vAlign w:val="center"/>
          </w:tcPr>
          <w:p w14:paraId="0CF86F5E" w14:textId="77777777" w:rsidR="00A57ADA" w:rsidRPr="00B62E9A" w:rsidRDefault="00A57ADA" w:rsidP="009C7B87">
            <w:pPr>
              <w:jc w:val="center"/>
              <w:rPr>
                <w:rFonts w:ascii="Arial Narrow" w:eastAsia="Arial Unicode MS" w:hAnsi="Arial Narrow"/>
                <w:bCs/>
                <w:sz w:val="18"/>
                <w:szCs w:val="18"/>
              </w:rPr>
            </w:pPr>
            <w:r w:rsidRPr="00B62E9A">
              <w:rPr>
                <w:rFonts w:ascii="Arial Narrow" w:eastAsia="Arial Unicode MS" w:hAnsi="Arial Narrow"/>
                <w:bCs/>
                <w:sz w:val="18"/>
                <w:szCs w:val="18"/>
              </w:rPr>
              <w:t>n/a</w:t>
            </w:r>
          </w:p>
        </w:tc>
        <w:tc>
          <w:tcPr>
            <w:tcW w:w="8541" w:type="dxa"/>
            <w:tcMar>
              <w:top w:w="16" w:type="dxa"/>
              <w:left w:w="16" w:type="dxa"/>
              <w:bottom w:w="0" w:type="dxa"/>
              <w:right w:w="16" w:type="dxa"/>
            </w:tcMar>
            <w:vAlign w:val="bottom"/>
          </w:tcPr>
          <w:p w14:paraId="31D511D6" w14:textId="77777777" w:rsidR="00A57ADA" w:rsidRPr="00B62E9A" w:rsidRDefault="00A57ADA" w:rsidP="009C7B87">
            <w:pPr>
              <w:rPr>
                <w:rFonts w:ascii="Arial Narrow" w:hAnsi="Arial Narrow"/>
                <w:bCs/>
                <w:sz w:val="18"/>
                <w:szCs w:val="18"/>
                <w:lang w:val="da-DK"/>
              </w:rPr>
            </w:pPr>
          </w:p>
        </w:tc>
      </w:tr>
    </w:tbl>
    <w:p w14:paraId="400E963E" w14:textId="77777777" w:rsidR="00A57ADA" w:rsidRDefault="00A57ADA" w:rsidP="00A57ADA">
      <w:pPr>
        <w:rPr>
          <w:rFonts w:ascii="Arial Narrow" w:hAnsi="Arial Narrow"/>
          <w:bCs/>
          <w:sz w:val="20"/>
        </w:rPr>
      </w:pPr>
    </w:p>
    <w:p w14:paraId="0AA6AD88" w14:textId="77777777" w:rsidR="00A57ADA" w:rsidRDefault="00A57ADA">
      <w:pPr>
        <w:jc w:val="left"/>
        <w:rPr>
          <w:rFonts w:ascii="Arial Narrow" w:hAnsi="Arial Narrow"/>
          <w:bCs/>
          <w:sz w:val="20"/>
        </w:rPr>
      </w:pPr>
      <w:r>
        <w:rPr>
          <w:rFonts w:ascii="Arial Narrow" w:hAnsi="Arial Narrow"/>
          <w:bCs/>
          <w:sz w:val="20"/>
        </w:rPr>
        <w:br w:type="page"/>
      </w:r>
    </w:p>
    <w:p w14:paraId="375BE830" w14:textId="77777777" w:rsidR="00A57ADA" w:rsidRPr="00477C9C" w:rsidRDefault="00A57ADA">
      <w:pPr>
        <w:rPr>
          <w:rFonts w:ascii="Arial Narrow" w:hAnsi="Arial Narrow"/>
          <w:bCs/>
          <w:sz w:val="20"/>
        </w:rPr>
      </w:pPr>
      <w:r w:rsidRPr="00477C9C">
        <w:rPr>
          <w:rFonts w:ascii="Arial Narrow" w:hAnsi="Arial Narrow"/>
          <w:bCs/>
          <w:sz w:val="20"/>
        </w:rPr>
        <w:t>Table A1. 4</w:t>
      </w:r>
      <w:r w:rsidRPr="00477C9C">
        <w:rPr>
          <w:rStyle w:val="IntenseReference"/>
          <w:color w:val="auto"/>
        </w:rPr>
        <w:t xml:space="preserve"> continued</w:t>
      </w:r>
    </w:p>
    <w:tbl>
      <w:tblPr>
        <w:tblpPr w:leftFromText="180" w:rightFromText="180" w:vertAnchor="text" w:tblpY="1"/>
        <w:tblOverlap w:val="never"/>
        <w:tblW w:w="13633" w:type="dxa"/>
        <w:tblBorders>
          <w:top w:val="single" w:sz="12" w:space="0" w:color="auto"/>
          <w:left w:val="single" w:sz="12" w:space="0" w:color="auto"/>
          <w:bottom w:val="single" w:sz="4"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608"/>
        <w:gridCol w:w="1984"/>
        <w:gridCol w:w="992"/>
        <w:gridCol w:w="851"/>
        <w:gridCol w:w="850"/>
        <w:gridCol w:w="8348"/>
      </w:tblGrid>
      <w:tr w:rsidR="00A57ADA" w:rsidRPr="00477C9C" w14:paraId="33694A6B" w14:textId="77777777" w:rsidTr="00A57ADA">
        <w:trPr>
          <w:cantSplit/>
          <w:trHeight w:val="519"/>
        </w:trPr>
        <w:tc>
          <w:tcPr>
            <w:tcW w:w="608" w:type="dxa"/>
            <w:vMerge w:val="restart"/>
            <w:shd w:val="clear" w:color="auto" w:fill="E6E6E6"/>
            <w:tcMar>
              <w:top w:w="16" w:type="dxa"/>
              <w:left w:w="16" w:type="dxa"/>
              <w:bottom w:w="0" w:type="dxa"/>
              <w:right w:w="16" w:type="dxa"/>
            </w:tcMar>
            <w:textDirection w:val="btLr"/>
            <w:vAlign w:val="center"/>
          </w:tcPr>
          <w:p w14:paraId="5BE7529A" w14:textId="77777777" w:rsidR="00A57ADA" w:rsidRPr="00477C9C" w:rsidRDefault="00A57ADA" w:rsidP="00A57ADA">
            <w:pPr>
              <w:jc w:val="center"/>
              <w:rPr>
                <w:rFonts w:ascii="Arial Narrow" w:eastAsia="Arial Unicode MS" w:hAnsi="Arial Narrow"/>
                <w:bCs/>
                <w:sz w:val="20"/>
              </w:rPr>
            </w:pPr>
            <w:r>
              <w:rPr>
                <w:rFonts w:ascii="Arial Narrow" w:eastAsia="Arial Unicode MS" w:hAnsi="Arial Narrow"/>
                <w:bCs/>
                <w:sz w:val="20"/>
              </w:rPr>
              <w:t>Region</w:t>
            </w:r>
          </w:p>
        </w:tc>
        <w:tc>
          <w:tcPr>
            <w:tcW w:w="1984" w:type="dxa"/>
            <w:vMerge w:val="restart"/>
            <w:shd w:val="clear" w:color="auto" w:fill="E6E6E6"/>
            <w:tcMar>
              <w:top w:w="16" w:type="dxa"/>
              <w:left w:w="16" w:type="dxa"/>
              <w:bottom w:w="0" w:type="dxa"/>
              <w:right w:w="16" w:type="dxa"/>
            </w:tcMar>
            <w:vAlign w:val="center"/>
          </w:tcPr>
          <w:p w14:paraId="5458BDA1" w14:textId="77777777" w:rsidR="00A57ADA" w:rsidRPr="00477C9C" w:rsidRDefault="00A57ADA" w:rsidP="00792EDF">
            <w:pPr>
              <w:jc w:val="center"/>
              <w:rPr>
                <w:rFonts w:ascii="Arial Narrow" w:eastAsia="Arial Unicode MS" w:hAnsi="Arial Narrow"/>
                <w:bCs/>
                <w:sz w:val="20"/>
              </w:rPr>
            </w:pPr>
            <w:r w:rsidRPr="00477C9C">
              <w:rPr>
                <w:rFonts w:ascii="Arial Narrow" w:hAnsi="Arial Narrow"/>
                <w:bCs/>
                <w:sz w:val="20"/>
              </w:rPr>
              <w:t>Reef</w:t>
            </w:r>
          </w:p>
        </w:tc>
        <w:tc>
          <w:tcPr>
            <w:tcW w:w="2693" w:type="dxa"/>
            <w:gridSpan w:val="3"/>
            <w:shd w:val="clear" w:color="auto" w:fill="E6E6E6"/>
            <w:tcMar>
              <w:top w:w="16" w:type="dxa"/>
              <w:left w:w="16" w:type="dxa"/>
              <w:bottom w:w="0" w:type="dxa"/>
              <w:right w:w="16" w:type="dxa"/>
            </w:tcMar>
            <w:vAlign w:val="center"/>
          </w:tcPr>
          <w:p w14:paraId="6B6FA19A" w14:textId="77777777" w:rsidR="00A57ADA" w:rsidRPr="00477C9C" w:rsidRDefault="00A57ADA" w:rsidP="00792EDF">
            <w:pPr>
              <w:jc w:val="center"/>
              <w:rPr>
                <w:rFonts w:ascii="Arial Narrow" w:hAnsi="Arial Narrow"/>
                <w:bCs/>
                <w:sz w:val="20"/>
              </w:rPr>
            </w:pPr>
            <w:r w:rsidRPr="00477C9C">
              <w:rPr>
                <w:rFonts w:ascii="Arial Narrow" w:hAnsi="Arial Narrow"/>
                <w:bCs/>
                <w:sz w:val="20"/>
              </w:rPr>
              <w:t>Bleaching</w:t>
            </w:r>
          </w:p>
        </w:tc>
        <w:tc>
          <w:tcPr>
            <w:tcW w:w="8348" w:type="dxa"/>
            <w:vMerge w:val="restart"/>
            <w:shd w:val="clear" w:color="auto" w:fill="E6E6E6"/>
            <w:tcMar>
              <w:top w:w="16" w:type="dxa"/>
              <w:left w:w="16" w:type="dxa"/>
              <w:bottom w:w="0" w:type="dxa"/>
              <w:right w:w="16" w:type="dxa"/>
            </w:tcMar>
            <w:vAlign w:val="center"/>
          </w:tcPr>
          <w:p w14:paraId="3497822A" w14:textId="77777777" w:rsidR="00A57ADA" w:rsidRPr="00477C9C" w:rsidRDefault="00A57ADA" w:rsidP="00792EDF">
            <w:pPr>
              <w:jc w:val="center"/>
              <w:rPr>
                <w:rFonts w:ascii="Arial Narrow" w:eastAsia="Arial Unicode MS" w:hAnsi="Arial Narrow"/>
                <w:bCs/>
                <w:sz w:val="20"/>
              </w:rPr>
            </w:pPr>
            <w:r w:rsidRPr="00477C9C">
              <w:rPr>
                <w:rFonts w:ascii="Arial Narrow" w:hAnsi="Arial Narrow"/>
                <w:bCs/>
                <w:sz w:val="20"/>
              </w:rPr>
              <w:t>Other recorded disturbances</w:t>
            </w:r>
          </w:p>
        </w:tc>
      </w:tr>
      <w:tr w:rsidR="00A57ADA" w:rsidRPr="00477C9C" w14:paraId="368742AE" w14:textId="77777777" w:rsidTr="00A57ADA">
        <w:trPr>
          <w:cantSplit/>
          <w:trHeight w:val="375"/>
        </w:trPr>
        <w:tc>
          <w:tcPr>
            <w:tcW w:w="608" w:type="dxa"/>
            <w:vMerge/>
            <w:shd w:val="clear" w:color="auto" w:fill="E6E6E6"/>
            <w:tcMar>
              <w:top w:w="16" w:type="dxa"/>
              <w:left w:w="16" w:type="dxa"/>
              <w:bottom w:w="0" w:type="dxa"/>
              <w:right w:w="16" w:type="dxa"/>
            </w:tcMar>
            <w:textDirection w:val="btLr"/>
            <w:vAlign w:val="center"/>
          </w:tcPr>
          <w:p w14:paraId="6958B772" w14:textId="77777777" w:rsidR="00A57ADA" w:rsidRPr="00477C9C" w:rsidRDefault="00A57ADA" w:rsidP="00792EDF">
            <w:pPr>
              <w:jc w:val="center"/>
              <w:rPr>
                <w:rFonts w:ascii="Arial Narrow" w:hAnsi="Arial Narrow"/>
                <w:bCs/>
                <w:sz w:val="20"/>
              </w:rPr>
            </w:pPr>
          </w:p>
        </w:tc>
        <w:tc>
          <w:tcPr>
            <w:tcW w:w="1984" w:type="dxa"/>
            <w:vMerge/>
            <w:shd w:val="clear" w:color="auto" w:fill="E6E6E6"/>
            <w:tcMar>
              <w:top w:w="16" w:type="dxa"/>
              <w:left w:w="16" w:type="dxa"/>
              <w:bottom w:w="0" w:type="dxa"/>
              <w:right w:w="16" w:type="dxa"/>
            </w:tcMar>
            <w:vAlign w:val="center"/>
          </w:tcPr>
          <w:p w14:paraId="0B8282AF" w14:textId="77777777" w:rsidR="00A57ADA" w:rsidRPr="00477C9C" w:rsidRDefault="00A57ADA" w:rsidP="00792EDF">
            <w:pPr>
              <w:jc w:val="center"/>
              <w:rPr>
                <w:rFonts w:ascii="Arial Narrow" w:hAnsi="Arial Narrow"/>
                <w:bCs/>
                <w:sz w:val="20"/>
              </w:rPr>
            </w:pPr>
          </w:p>
        </w:tc>
        <w:tc>
          <w:tcPr>
            <w:tcW w:w="992" w:type="dxa"/>
            <w:tcBorders>
              <w:bottom w:val="single" w:sz="4" w:space="0" w:color="auto"/>
            </w:tcBorders>
            <w:shd w:val="clear" w:color="auto" w:fill="E6E6E6"/>
            <w:tcMar>
              <w:top w:w="16" w:type="dxa"/>
              <w:left w:w="16" w:type="dxa"/>
              <w:bottom w:w="0" w:type="dxa"/>
              <w:right w:w="16" w:type="dxa"/>
            </w:tcMar>
            <w:vAlign w:val="center"/>
          </w:tcPr>
          <w:p w14:paraId="28DC2720" w14:textId="77777777" w:rsidR="00A57ADA" w:rsidRPr="00477C9C" w:rsidRDefault="00A57ADA" w:rsidP="00792EDF">
            <w:pPr>
              <w:jc w:val="center"/>
              <w:rPr>
                <w:rFonts w:ascii="Arial Narrow" w:hAnsi="Arial Narrow"/>
                <w:bCs/>
                <w:sz w:val="20"/>
              </w:rPr>
            </w:pPr>
            <w:r w:rsidRPr="00477C9C">
              <w:rPr>
                <w:rFonts w:ascii="Arial Narrow" w:hAnsi="Arial Narrow"/>
                <w:bCs/>
                <w:sz w:val="20"/>
              </w:rPr>
              <w:t>1998</w:t>
            </w:r>
          </w:p>
        </w:tc>
        <w:tc>
          <w:tcPr>
            <w:tcW w:w="851" w:type="dxa"/>
            <w:tcBorders>
              <w:bottom w:val="single" w:sz="4" w:space="0" w:color="auto"/>
            </w:tcBorders>
            <w:shd w:val="clear" w:color="auto" w:fill="E6E6E6"/>
            <w:vAlign w:val="center"/>
          </w:tcPr>
          <w:p w14:paraId="20D5CF44" w14:textId="77777777" w:rsidR="00A57ADA" w:rsidRPr="00477C9C" w:rsidRDefault="00A57ADA" w:rsidP="00792EDF">
            <w:pPr>
              <w:jc w:val="center"/>
              <w:rPr>
                <w:rFonts w:ascii="Arial Narrow" w:hAnsi="Arial Narrow"/>
                <w:bCs/>
                <w:sz w:val="20"/>
              </w:rPr>
            </w:pPr>
            <w:r w:rsidRPr="00477C9C">
              <w:rPr>
                <w:rFonts w:ascii="Arial Narrow" w:hAnsi="Arial Narrow"/>
                <w:bCs/>
                <w:sz w:val="20"/>
              </w:rPr>
              <w:t>2002</w:t>
            </w:r>
          </w:p>
        </w:tc>
        <w:tc>
          <w:tcPr>
            <w:tcW w:w="850" w:type="dxa"/>
            <w:shd w:val="clear" w:color="auto" w:fill="E8E8E8"/>
            <w:vAlign w:val="center"/>
          </w:tcPr>
          <w:p w14:paraId="457D38F9" w14:textId="77777777" w:rsidR="00A57ADA" w:rsidRPr="00477C9C" w:rsidRDefault="00A57ADA" w:rsidP="00792EDF">
            <w:pPr>
              <w:jc w:val="center"/>
              <w:rPr>
                <w:rFonts w:ascii="Arial Narrow" w:hAnsi="Arial Narrow"/>
                <w:bCs/>
                <w:sz w:val="20"/>
              </w:rPr>
            </w:pPr>
            <w:r w:rsidRPr="00477C9C">
              <w:rPr>
                <w:rFonts w:ascii="Arial Narrow" w:hAnsi="Arial Narrow"/>
                <w:bCs/>
                <w:sz w:val="20"/>
              </w:rPr>
              <w:t>2006</w:t>
            </w:r>
          </w:p>
        </w:tc>
        <w:tc>
          <w:tcPr>
            <w:tcW w:w="8348" w:type="dxa"/>
            <w:vMerge/>
            <w:shd w:val="clear" w:color="auto" w:fill="FFFFFF" w:themeFill="background1"/>
            <w:tcMar>
              <w:top w:w="16" w:type="dxa"/>
              <w:left w:w="16" w:type="dxa"/>
              <w:bottom w:w="0" w:type="dxa"/>
              <w:right w:w="16" w:type="dxa"/>
            </w:tcMar>
            <w:vAlign w:val="center"/>
          </w:tcPr>
          <w:p w14:paraId="6FFF770E" w14:textId="77777777" w:rsidR="00A57ADA" w:rsidRPr="00477C9C" w:rsidRDefault="00A57ADA" w:rsidP="00792EDF">
            <w:pPr>
              <w:jc w:val="center"/>
              <w:rPr>
                <w:rFonts w:ascii="Arial Narrow" w:hAnsi="Arial Narrow"/>
                <w:bCs/>
                <w:sz w:val="20"/>
              </w:rPr>
            </w:pPr>
          </w:p>
        </w:tc>
      </w:tr>
    </w:tbl>
    <w:tbl>
      <w:tblPr>
        <w:tblW w:w="1363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608"/>
        <w:gridCol w:w="1984"/>
        <w:gridCol w:w="992"/>
        <w:gridCol w:w="851"/>
        <w:gridCol w:w="850"/>
        <w:gridCol w:w="8348"/>
      </w:tblGrid>
      <w:tr w:rsidR="00A57ADA" w:rsidRPr="009B6C07" w14:paraId="5F84CA49" w14:textId="77777777" w:rsidTr="00A57ADA">
        <w:trPr>
          <w:cantSplit/>
          <w:trHeight w:val="627"/>
        </w:trPr>
        <w:tc>
          <w:tcPr>
            <w:tcW w:w="608" w:type="dxa"/>
            <w:vMerge w:val="restart"/>
            <w:tcMar>
              <w:top w:w="16" w:type="dxa"/>
              <w:left w:w="16" w:type="dxa"/>
              <w:bottom w:w="0" w:type="dxa"/>
              <w:right w:w="16" w:type="dxa"/>
            </w:tcMar>
            <w:textDirection w:val="btLr"/>
            <w:vAlign w:val="center"/>
          </w:tcPr>
          <w:p w14:paraId="7E15EAF1" w14:textId="77777777" w:rsidR="00A57ADA" w:rsidRPr="00477C9C" w:rsidRDefault="00A57ADA" w:rsidP="00AD78A5">
            <w:pPr>
              <w:jc w:val="center"/>
              <w:rPr>
                <w:rFonts w:ascii="Arial Narrow" w:eastAsia="Arial Unicode MS" w:hAnsi="Arial Narrow"/>
                <w:bCs/>
                <w:sz w:val="20"/>
              </w:rPr>
            </w:pPr>
            <w:r w:rsidRPr="00477C9C">
              <w:rPr>
                <w:rFonts w:ascii="Arial Narrow" w:hAnsi="Arial Narrow"/>
                <w:bCs/>
                <w:sz w:val="20"/>
              </w:rPr>
              <w:t>Fitzroy</w:t>
            </w:r>
          </w:p>
        </w:tc>
        <w:tc>
          <w:tcPr>
            <w:tcW w:w="1984" w:type="dxa"/>
            <w:tcMar>
              <w:top w:w="16" w:type="dxa"/>
              <w:left w:w="16" w:type="dxa"/>
              <w:bottom w:w="0" w:type="dxa"/>
              <w:right w:w="16" w:type="dxa"/>
            </w:tcMar>
            <w:vAlign w:val="bottom"/>
          </w:tcPr>
          <w:p w14:paraId="29E328AC" w14:textId="77777777" w:rsidR="00A57ADA" w:rsidRPr="00477C9C" w:rsidRDefault="00A57ADA" w:rsidP="00AD78A5">
            <w:pPr>
              <w:ind w:left="200"/>
              <w:rPr>
                <w:rFonts w:ascii="Arial Narrow" w:eastAsia="Arial Unicode MS" w:hAnsi="Arial Narrow"/>
                <w:bCs/>
                <w:sz w:val="20"/>
              </w:rPr>
            </w:pPr>
            <w:r w:rsidRPr="00477C9C">
              <w:rPr>
                <w:rFonts w:ascii="Arial Narrow" w:hAnsi="Arial Narrow"/>
                <w:bCs/>
                <w:sz w:val="20"/>
              </w:rPr>
              <w:t>Barren</w:t>
            </w:r>
          </w:p>
        </w:tc>
        <w:tc>
          <w:tcPr>
            <w:tcW w:w="992" w:type="dxa"/>
            <w:tcMar>
              <w:top w:w="16" w:type="dxa"/>
              <w:left w:w="16" w:type="dxa"/>
              <w:bottom w:w="0" w:type="dxa"/>
              <w:right w:w="16" w:type="dxa"/>
            </w:tcMar>
            <w:vAlign w:val="center"/>
          </w:tcPr>
          <w:p w14:paraId="0A9C118C" w14:textId="77777777" w:rsidR="00A57ADA" w:rsidRPr="00477C9C" w:rsidRDefault="00A57ADA" w:rsidP="00AD78A5">
            <w:pPr>
              <w:jc w:val="center"/>
              <w:rPr>
                <w:rFonts w:ascii="Arial Narrow" w:eastAsia="Arial Unicode MS" w:hAnsi="Arial Narrow"/>
                <w:bCs/>
                <w:sz w:val="18"/>
                <w:szCs w:val="18"/>
              </w:rPr>
            </w:pPr>
            <w:r w:rsidRPr="00477C9C">
              <w:rPr>
                <w:rFonts w:ascii="Arial Narrow" w:hAnsi="Arial Narrow"/>
                <w:bCs/>
                <w:sz w:val="18"/>
                <w:szCs w:val="18"/>
              </w:rPr>
              <w:t>1</w:t>
            </w:r>
          </w:p>
        </w:tc>
        <w:tc>
          <w:tcPr>
            <w:tcW w:w="851" w:type="dxa"/>
            <w:vAlign w:val="center"/>
          </w:tcPr>
          <w:p w14:paraId="2059F124" w14:textId="77777777" w:rsidR="00A57ADA" w:rsidRPr="00477C9C" w:rsidRDefault="00A57ADA" w:rsidP="00AD78A5">
            <w:pPr>
              <w:jc w:val="center"/>
              <w:rPr>
                <w:rFonts w:ascii="Arial Narrow" w:eastAsia="Arial Unicode MS" w:hAnsi="Arial Narrow"/>
                <w:bCs/>
                <w:sz w:val="18"/>
                <w:szCs w:val="18"/>
              </w:rPr>
            </w:pPr>
            <w:r w:rsidRPr="00477C9C">
              <w:rPr>
                <w:rFonts w:ascii="Arial Narrow" w:hAnsi="Arial Narrow"/>
                <w:bCs/>
                <w:sz w:val="18"/>
                <w:szCs w:val="18"/>
              </w:rPr>
              <w:t>1</w:t>
            </w:r>
          </w:p>
        </w:tc>
        <w:tc>
          <w:tcPr>
            <w:tcW w:w="850" w:type="dxa"/>
            <w:tcMar>
              <w:top w:w="16" w:type="dxa"/>
              <w:left w:w="16" w:type="dxa"/>
              <w:bottom w:w="0" w:type="dxa"/>
              <w:right w:w="16" w:type="dxa"/>
            </w:tcMar>
            <w:vAlign w:val="center"/>
          </w:tcPr>
          <w:p w14:paraId="3584BE48" w14:textId="77777777" w:rsidR="00A57ADA" w:rsidRPr="00477C9C" w:rsidRDefault="00A57ADA" w:rsidP="005D3940">
            <w:pPr>
              <w:jc w:val="center"/>
              <w:rPr>
                <w:rFonts w:ascii="Arial Narrow" w:eastAsia="Arial Unicode MS" w:hAnsi="Arial Narrow"/>
                <w:bCs/>
                <w:sz w:val="18"/>
                <w:szCs w:val="18"/>
              </w:rPr>
            </w:pPr>
            <w:r w:rsidRPr="00477C9C">
              <w:rPr>
                <w:rFonts w:ascii="Arial Narrow" w:hAnsi="Arial Narrow"/>
                <w:bCs/>
                <w:sz w:val="18"/>
                <w:szCs w:val="18"/>
              </w:rPr>
              <w:t>(25%, 2 m ) (30%, 5 m)</w:t>
            </w:r>
          </w:p>
        </w:tc>
        <w:tc>
          <w:tcPr>
            <w:tcW w:w="8348" w:type="dxa"/>
            <w:tcMar>
              <w:top w:w="16" w:type="dxa"/>
              <w:left w:w="16" w:type="dxa"/>
              <w:bottom w:w="0" w:type="dxa"/>
              <w:right w:w="16" w:type="dxa"/>
            </w:tcMar>
            <w:vAlign w:val="center"/>
          </w:tcPr>
          <w:p w14:paraId="40849F95" w14:textId="77777777" w:rsidR="00A57ADA" w:rsidRPr="00477C9C" w:rsidRDefault="00A57ADA" w:rsidP="00040878">
            <w:pPr>
              <w:spacing w:after="0"/>
              <w:jc w:val="left"/>
              <w:rPr>
                <w:rFonts w:ascii="Arial Narrow" w:hAnsi="Arial Narrow"/>
                <w:sz w:val="18"/>
                <w:szCs w:val="18"/>
                <w:lang w:val="da-DK"/>
              </w:rPr>
            </w:pPr>
            <w:r w:rsidRPr="00477C9C">
              <w:rPr>
                <w:rFonts w:ascii="Arial Narrow" w:hAnsi="Arial Narrow"/>
                <w:sz w:val="18"/>
                <w:szCs w:val="18"/>
                <w:lang w:val="da-DK"/>
              </w:rPr>
              <w:t>Storm Feb 2008 (</w:t>
            </w:r>
            <w:r>
              <w:rPr>
                <w:rFonts w:ascii="Arial Narrow" w:hAnsi="Arial Narrow"/>
                <w:sz w:val="18"/>
                <w:szCs w:val="18"/>
                <w:lang w:val="da-DK"/>
              </w:rPr>
              <w:t>43</w:t>
            </w:r>
            <w:r w:rsidRPr="00477C9C">
              <w:rPr>
                <w:rFonts w:ascii="Arial Narrow" w:hAnsi="Arial Narrow"/>
                <w:sz w:val="18"/>
                <w:szCs w:val="18"/>
                <w:lang w:val="da-DK"/>
              </w:rPr>
              <w:t xml:space="preserve">% at 2 m, </w:t>
            </w:r>
            <w:r>
              <w:rPr>
                <w:rFonts w:ascii="Arial Narrow" w:hAnsi="Arial Narrow"/>
                <w:sz w:val="18"/>
                <w:szCs w:val="18"/>
                <w:lang w:val="da-DK"/>
              </w:rPr>
              <w:t>24</w:t>
            </w:r>
            <w:r w:rsidRPr="00477C9C">
              <w:rPr>
                <w:rFonts w:ascii="Arial Narrow" w:hAnsi="Arial Narrow"/>
                <w:sz w:val="18"/>
                <w:szCs w:val="18"/>
                <w:lang w:val="da-DK"/>
              </w:rPr>
              <w:t>% at 5 m), Storm Feb 2010 plus disease (</w:t>
            </w:r>
            <w:r>
              <w:rPr>
                <w:rFonts w:ascii="Arial Narrow" w:hAnsi="Arial Narrow"/>
                <w:sz w:val="18"/>
                <w:szCs w:val="18"/>
                <w:lang w:val="da-DK"/>
              </w:rPr>
              <w:t>25</w:t>
            </w:r>
            <w:r w:rsidRPr="00477C9C">
              <w:rPr>
                <w:rFonts w:ascii="Arial Narrow" w:hAnsi="Arial Narrow"/>
                <w:sz w:val="18"/>
                <w:szCs w:val="18"/>
                <w:lang w:val="da-DK"/>
              </w:rPr>
              <w:t>% at 2 m,</w:t>
            </w:r>
            <w:r>
              <w:rPr>
                <w:rFonts w:ascii="Arial Narrow" w:hAnsi="Arial Narrow"/>
                <w:sz w:val="18"/>
                <w:szCs w:val="18"/>
                <w:lang w:val="da-DK"/>
              </w:rPr>
              <w:t>8</w:t>
            </w:r>
            <w:r w:rsidRPr="00477C9C">
              <w:rPr>
                <w:rFonts w:ascii="Arial Narrow" w:hAnsi="Arial Narrow"/>
                <w:sz w:val="18"/>
                <w:szCs w:val="18"/>
                <w:lang w:val="da-DK"/>
              </w:rPr>
              <w:t xml:space="preserve">% at 5 m), </w:t>
            </w:r>
          </w:p>
          <w:p w14:paraId="3AEADF49" w14:textId="77777777" w:rsidR="00A57ADA" w:rsidRPr="00477C9C" w:rsidRDefault="00A57ADA" w:rsidP="004D55A1">
            <w:pPr>
              <w:spacing w:after="0"/>
              <w:jc w:val="left"/>
              <w:rPr>
                <w:sz w:val="18"/>
                <w:szCs w:val="18"/>
                <w:lang w:val="da-DK"/>
              </w:rPr>
            </w:pPr>
            <w:r w:rsidRPr="00477C9C">
              <w:rPr>
                <w:rFonts w:ascii="Arial Narrow" w:hAnsi="Arial Narrow"/>
                <w:sz w:val="18"/>
                <w:szCs w:val="18"/>
                <w:lang w:val="da-DK"/>
              </w:rPr>
              <w:t>Storm Feb 2013 (</w:t>
            </w:r>
            <w:r>
              <w:rPr>
                <w:rFonts w:ascii="Arial Narrow" w:hAnsi="Arial Narrow"/>
                <w:sz w:val="18"/>
                <w:szCs w:val="18"/>
                <w:lang w:val="da-DK"/>
              </w:rPr>
              <w:t>51</w:t>
            </w:r>
            <w:r w:rsidRPr="00477C9C">
              <w:rPr>
                <w:rFonts w:ascii="Arial Narrow" w:hAnsi="Arial Narrow"/>
                <w:sz w:val="18"/>
                <w:szCs w:val="18"/>
                <w:lang w:val="da-DK"/>
              </w:rPr>
              <w:t xml:space="preserve">% at 2 m, </w:t>
            </w:r>
            <w:r>
              <w:rPr>
                <w:rFonts w:ascii="Arial Narrow" w:hAnsi="Arial Narrow"/>
                <w:sz w:val="18"/>
                <w:szCs w:val="18"/>
                <w:lang w:val="da-DK"/>
              </w:rPr>
              <w:t>48</w:t>
            </w:r>
            <w:r w:rsidRPr="00477C9C">
              <w:rPr>
                <w:rFonts w:ascii="Arial Narrow" w:hAnsi="Arial Narrow"/>
                <w:sz w:val="18"/>
                <w:szCs w:val="18"/>
                <w:lang w:val="da-DK"/>
              </w:rPr>
              <w:t>% at 5 m) ), Storm Feb 2014 (</w:t>
            </w:r>
            <w:r>
              <w:rPr>
                <w:rFonts w:ascii="Arial Narrow" w:hAnsi="Arial Narrow"/>
                <w:sz w:val="18"/>
                <w:szCs w:val="18"/>
                <w:lang w:val="da-DK"/>
              </w:rPr>
              <w:t>18</w:t>
            </w:r>
            <w:r w:rsidRPr="00477C9C">
              <w:rPr>
                <w:rFonts w:ascii="Arial Narrow" w:hAnsi="Arial Narrow"/>
                <w:sz w:val="18"/>
                <w:szCs w:val="18"/>
                <w:lang w:val="da-DK"/>
              </w:rPr>
              <w:t>% at 2 m</w:t>
            </w:r>
            <w:r>
              <w:rPr>
                <w:rFonts w:ascii="Arial Narrow" w:hAnsi="Arial Narrow"/>
                <w:sz w:val="18"/>
                <w:szCs w:val="18"/>
                <w:lang w:val="da-DK"/>
              </w:rPr>
              <w:t xml:space="preserve"> and </w:t>
            </w:r>
            <w:r w:rsidRPr="00477C9C">
              <w:rPr>
                <w:rFonts w:ascii="Arial Narrow" w:hAnsi="Arial Narrow"/>
                <w:sz w:val="18"/>
                <w:szCs w:val="18"/>
                <w:lang w:val="da-DK"/>
              </w:rPr>
              <w:t>at 5 m), Cyclone Marcia 2015 (</w:t>
            </w:r>
            <w:r>
              <w:rPr>
                <w:rFonts w:ascii="Arial Narrow" w:hAnsi="Arial Narrow"/>
                <w:sz w:val="18"/>
                <w:szCs w:val="18"/>
                <w:lang w:val="da-DK"/>
              </w:rPr>
              <w:t>45</w:t>
            </w:r>
            <w:r w:rsidRPr="00477C9C">
              <w:rPr>
                <w:rFonts w:ascii="Arial Narrow" w:hAnsi="Arial Narrow"/>
                <w:sz w:val="18"/>
                <w:szCs w:val="18"/>
                <w:lang w:val="da-DK"/>
              </w:rPr>
              <w:t xml:space="preserve">% at 2 m, </w:t>
            </w:r>
            <w:r>
              <w:rPr>
                <w:rFonts w:ascii="Arial Narrow" w:hAnsi="Arial Narrow"/>
                <w:sz w:val="18"/>
                <w:szCs w:val="18"/>
                <w:lang w:val="da-DK"/>
              </w:rPr>
              <w:t>20</w:t>
            </w:r>
            <w:r w:rsidRPr="00477C9C">
              <w:rPr>
                <w:rFonts w:ascii="Arial Narrow" w:hAnsi="Arial Narrow"/>
                <w:sz w:val="18"/>
                <w:szCs w:val="18"/>
                <w:lang w:val="da-DK"/>
              </w:rPr>
              <w:t>% at 5 m)</w:t>
            </w:r>
          </w:p>
        </w:tc>
      </w:tr>
      <w:tr w:rsidR="00A57ADA" w:rsidRPr="00477C9C" w14:paraId="6C416BC1" w14:textId="77777777" w:rsidTr="00A57ADA">
        <w:trPr>
          <w:cantSplit/>
          <w:trHeight w:val="359"/>
        </w:trPr>
        <w:tc>
          <w:tcPr>
            <w:tcW w:w="608" w:type="dxa"/>
            <w:vMerge/>
            <w:vAlign w:val="center"/>
          </w:tcPr>
          <w:p w14:paraId="04513966" w14:textId="77777777" w:rsidR="00A57ADA" w:rsidRPr="00477C9C" w:rsidRDefault="00A57ADA">
            <w:pPr>
              <w:rPr>
                <w:rFonts w:ascii="Arial Narrow" w:eastAsia="Arial Unicode MS" w:hAnsi="Arial Narrow"/>
                <w:bCs/>
                <w:sz w:val="20"/>
                <w:lang w:val="da-DK"/>
              </w:rPr>
            </w:pPr>
          </w:p>
        </w:tc>
        <w:tc>
          <w:tcPr>
            <w:tcW w:w="1984" w:type="dxa"/>
            <w:tcMar>
              <w:top w:w="16" w:type="dxa"/>
              <w:left w:w="16" w:type="dxa"/>
              <w:bottom w:w="0" w:type="dxa"/>
              <w:right w:w="16" w:type="dxa"/>
            </w:tcMar>
            <w:vAlign w:val="bottom"/>
          </w:tcPr>
          <w:p w14:paraId="3B13C097" w14:textId="77777777" w:rsidR="00A57ADA" w:rsidRPr="00477C9C" w:rsidRDefault="00A57ADA">
            <w:pPr>
              <w:ind w:left="200"/>
              <w:rPr>
                <w:rFonts w:ascii="Arial Narrow" w:eastAsia="Arial Unicode MS" w:hAnsi="Arial Narrow"/>
                <w:bCs/>
                <w:sz w:val="20"/>
              </w:rPr>
            </w:pPr>
            <w:r w:rsidRPr="00477C9C">
              <w:rPr>
                <w:rFonts w:ascii="Arial Narrow" w:hAnsi="Arial Narrow"/>
                <w:bCs/>
                <w:sz w:val="20"/>
              </w:rPr>
              <w:t>North Keppel</w:t>
            </w:r>
          </w:p>
        </w:tc>
        <w:tc>
          <w:tcPr>
            <w:tcW w:w="992" w:type="dxa"/>
            <w:tcMar>
              <w:top w:w="16" w:type="dxa"/>
              <w:left w:w="16" w:type="dxa"/>
              <w:bottom w:w="0" w:type="dxa"/>
              <w:right w:w="16" w:type="dxa"/>
            </w:tcMar>
            <w:vAlign w:val="center"/>
          </w:tcPr>
          <w:p w14:paraId="7FD04614" w14:textId="77777777" w:rsidR="00A57ADA" w:rsidRPr="00477C9C" w:rsidRDefault="00A57ADA">
            <w:pPr>
              <w:jc w:val="center"/>
              <w:rPr>
                <w:rFonts w:ascii="Arial Narrow" w:eastAsia="Arial Unicode MS" w:hAnsi="Arial Narrow"/>
                <w:bCs/>
                <w:sz w:val="18"/>
                <w:szCs w:val="18"/>
              </w:rPr>
            </w:pPr>
            <w:r w:rsidRPr="00477C9C">
              <w:rPr>
                <w:rFonts w:ascii="Arial Narrow" w:hAnsi="Arial Narrow"/>
                <w:bCs/>
                <w:sz w:val="18"/>
                <w:szCs w:val="18"/>
              </w:rPr>
              <w:t>1 (15%)</w:t>
            </w:r>
          </w:p>
        </w:tc>
        <w:tc>
          <w:tcPr>
            <w:tcW w:w="851" w:type="dxa"/>
            <w:vAlign w:val="center"/>
          </w:tcPr>
          <w:p w14:paraId="741D7CAD" w14:textId="77777777" w:rsidR="00A57ADA" w:rsidRPr="00477C9C" w:rsidRDefault="00A57ADA">
            <w:pPr>
              <w:jc w:val="center"/>
              <w:rPr>
                <w:rFonts w:ascii="Arial Narrow" w:eastAsia="Arial Unicode MS" w:hAnsi="Arial Narrow"/>
                <w:bCs/>
                <w:sz w:val="18"/>
                <w:szCs w:val="18"/>
              </w:rPr>
            </w:pPr>
            <w:r w:rsidRPr="00477C9C">
              <w:rPr>
                <w:rFonts w:ascii="Arial Narrow" w:hAnsi="Arial Narrow"/>
                <w:bCs/>
                <w:sz w:val="18"/>
                <w:szCs w:val="18"/>
              </w:rPr>
              <w:t>0.89 (36%)</w:t>
            </w:r>
          </w:p>
        </w:tc>
        <w:tc>
          <w:tcPr>
            <w:tcW w:w="850" w:type="dxa"/>
            <w:tcMar>
              <w:top w:w="16" w:type="dxa"/>
              <w:left w:w="16" w:type="dxa"/>
              <w:bottom w:w="0" w:type="dxa"/>
              <w:right w:w="16" w:type="dxa"/>
            </w:tcMar>
            <w:vAlign w:val="center"/>
          </w:tcPr>
          <w:p w14:paraId="2A44EC2A" w14:textId="77777777" w:rsidR="00A57ADA" w:rsidRPr="00477C9C" w:rsidRDefault="00A57ADA" w:rsidP="00075887">
            <w:pPr>
              <w:jc w:val="center"/>
              <w:rPr>
                <w:rFonts w:ascii="Arial Narrow" w:eastAsia="Arial Unicode MS" w:hAnsi="Arial Narrow"/>
                <w:bCs/>
                <w:sz w:val="18"/>
                <w:szCs w:val="18"/>
              </w:rPr>
            </w:pPr>
            <w:r w:rsidRPr="00477C9C">
              <w:rPr>
                <w:rFonts w:ascii="Arial Narrow" w:hAnsi="Arial Narrow"/>
                <w:bCs/>
                <w:sz w:val="18"/>
                <w:szCs w:val="18"/>
              </w:rPr>
              <w:t>(61%, 2 m) (41% , 5 m)</w:t>
            </w:r>
          </w:p>
        </w:tc>
        <w:tc>
          <w:tcPr>
            <w:tcW w:w="8348" w:type="dxa"/>
            <w:tcMar>
              <w:top w:w="16" w:type="dxa"/>
              <w:left w:w="16" w:type="dxa"/>
              <w:bottom w:w="0" w:type="dxa"/>
              <w:right w:w="16" w:type="dxa"/>
            </w:tcMar>
            <w:vAlign w:val="center"/>
          </w:tcPr>
          <w:p w14:paraId="3124CFB7" w14:textId="77777777" w:rsidR="00A57ADA" w:rsidRPr="00477C9C" w:rsidRDefault="00A57ADA" w:rsidP="001B2932">
            <w:pPr>
              <w:spacing w:after="0"/>
              <w:jc w:val="left"/>
              <w:rPr>
                <w:rFonts w:ascii="Arial Narrow" w:eastAsia="Arial Unicode MS" w:hAnsi="Arial Narrow"/>
                <w:bCs/>
                <w:sz w:val="18"/>
                <w:szCs w:val="18"/>
              </w:rPr>
            </w:pPr>
            <w:r w:rsidRPr="00477C9C">
              <w:rPr>
                <w:rFonts w:ascii="Arial Narrow" w:hAnsi="Arial Narrow"/>
                <w:bCs/>
                <w:sz w:val="18"/>
                <w:szCs w:val="18"/>
              </w:rPr>
              <w:t xml:space="preserve">Storm Feb 2010 possible </w:t>
            </w:r>
            <w:r w:rsidR="00A349DF">
              <w:rPr>
                <w:rFonts w:ascii="Arial Narrow" w:hAnsi="Arial Narrow"/>
                <w:bCs/>
                <w:sz w:val="18"/>
                <w:szCs w:val="18"/>
              </w:rPr>
              <w:t>al</w:t>
            </w:r>
            <w:r w:rsidRPr="00477C9C">
              <w:rPr>
                <w:rFonts w:ascii="Arial Narrow" w:hAnsi="Arial Narrow"/>
                <w:bCs/>
                <w:sz w:val="18"/>
                <w:szCs w:val="18"/>
              </w:rPr>
              <w:t>though not observed as site not surveyed that year. 2011 ongoing disease (26% at 2 m</w:t>
            </w:r>
            <w:r>
              <w:rPr>
                <w:rFonts w:ascii="Arial Narrow" w:hAnsi="Arial Narrow"/>
                <w:bCs/>
                <w:sz w:val="18"/>
                <w:szCs w:val="18"/>
              </w:rPr>
              <w:t xml:space="preserve"> and 54</w:t>
            </w:r>
            <w:r w:rsidRPr="00477C9C">
              <w:rPr>
                <w:rFonts w:ascii="Arial Narrow" w:hAnsi="Arial Narrow"/>
                <w:bCs/>
                <w:sz w:val="18"/>
                <w:szCs w:val="18"/>
              </w:rPr>
              <w:t xml:space="preserve">% at 5 m) </w:t>
            </w:r>
          </w:p>
        </w:tc>
      </w:tr>
      <w:tr w:rsidR="00A57ADA" w:rsidRPr="00477C9C" w14:paraId="71106EF4" w14:textId="77777777" w:rsidTr="00A57ADA">
        <w:trPr>
          <w:cantSplit/>
          <w:trHeight w:val="327"/>
        </w:trPr>
        <w:tc>
          <w:tcPr>
            <w:tcW w:w="608" w:type="dxa"/>
            <w:vMerge/>
            <w:vAlign w:val="center"/>
          </w:tcPr>
          <w:p w14:paraId="24CFC7DF" w14:textId="77777777" w:rsidR="00A57ADA" w:rsidRPr="00477C9C" w:rsidRDefault="00A57ADA">
            <w:pPr>
              <w:rPr>
                <w:rFonts w:ascii="Arial Narrow" w:eastAsia="Arial Unicode MS" w:hAnsi="Arial Narrow"/>
                <w:bCs/>
                <w:sz w:val="20"/>
              </w:rPr>
            </w:pPr>
          </w:p>
        </w:tc>
        <w:tc>
          <w:tcPr>
            <w:tcW w:w="1984" w:type="dxa"/>
            <w:tcMar>
              <w:top w:w="16" w:type="dxa"/>
              <w:left w:w="16" w:type="dxa"/>
              <w:bottom w:w="0" w:type="dxa"/>
              <w:right w:w="16" w:type="dxa"/>
            </w:tcMar>
            <w:vAlign w:val="bottom"/>
          </w:tcPr>
          <w:p w14:paraId="52337A1F" w14:textId="77777777" w:rsidR="00A57ADA" w:rsidRPr="00477C9C" w:rsidRDefault="00A57ADA">
            <w:pPr>
              <w:ind w:left="200"/>
              <w:rPr>
                <w:rFonts w:ascii="Arial Narrow" w:eastAsia="Arial Unicode MS" w:hAnsi="Arial Narrow"/>
                <w:bCs/>
                <w:sz w:val="20"/>
              </w:rPr>
            </w:pPr>
            <w:r w:rsidRPr="00477C9C">
              <w:rPr>
                <w:rFonts w:ascii="Arial Narrow" w:hAnsi="Arial Narrow"/>
                <w:bCs/>
                <w:sz w:val="20"/>
              </w:rPr>
              <w:t>Middle Is</w:t>
            </w:r>
          </w:p>
        </w:tc>
        <w:tc>
          <w:tcPr>
            <w:tcW w:w="992" w:type="dxa"/>
            <w:tcMar>
              <w:top w:w="16" w:type="dxa"/>
              <w:left w:w="16" w:type="dxa"/>
              <w:bottom w:w="0" w:type="dxa"/>
              <w:right w:w="16" w:type="dxa"/>
            </w:tcMar>
            <w:vAlign w:val="center"/>
          </w:tcPr>
          <w:p w14:paraId="1BE0D560" w14:textId="77777777" w:rsidR="00A57ADA" w:rsidRPr="00477C9C" w:rsidRDefault="00A57ADA">
            <w:pPr>
              <w:jc w:val="center"/>
              <w:rPr>
                <w:rFonts w:ascii="Arial Narrow" w:eastAsia="Arial Unicode MS" w:hAnsi="Arial Narrow"/>
                <w:bCs/>
                <w:sz w:val="18"/>
                <w:szCs w:val="18"/>
              </w:rPr>
            </w:pPr>
            <w:r w:rsidRPr="00477C9C">
              <w:rPr>
                <w:rFonts w:ascii="Arial Narrow" w:hAnsi="Arial Narrow"/>
                <w:bCs/>
                <w:sz w:val="18"/>
                <w:szCs w:val="18"/>
              </w:rPr>
              <w:t>1 (56%)</w:t>
            </w:r>
          </w:p>
        </w:tc>
        <w:tc>
          <w:tcPr>
            <w:tcW w:w="851" w:type="dxa"/>
            <w:vAlign w:val="center"/>
          </w:tcPr>
          <w:p w14:paraId="1B667CC0" w14:textId="77777777" w:rsidR="00A57ADA" w:rsidRPr="00477C9C" w:rsidRDefault="00A57ADA">
            <w:pPr>
              <w:jc w:val="center"/>
              <w:rPr>
                <w:rFonts w:ascii="Arial Narrow" w:eastAsia="Arial Unicode MS" w:hAnsi="Arial Narrow"/>
                <w:bCs/>
                <w:sz w:val="18"/>
                <w:szCs w:val="18"/>
              </w:rPr>
            </w:pPr>
            <w:r w:rsidRPr="00477C9C">
              <w:rPr>
                <w:rFonts w:ascii="Arial Narrow" w:hAnsi="Arial Narrow"/>
                <w:bCs/>
                <w:sz w:val="18"/>
                <w:szCs w:val="18"/>
              </w:rPr>
              <w:t>1 (Nil)</w:t>
            </w:r>
          </w:p>
        </w:tc>
        <w:tc>
          <w:tcPr>
            <w:tcW w:w="850" w:type="dxa"/>
            <w:tcMar>
              <w:top w:w="16" w:type="dxa"/>
              <w:left w:w="16" w:type="dxa"/>
              <w:bottom w:w="0" w:type="dxa"/>
              <w:right w:w="16" w:type="dxa"/>
            </w:tcMar>
            <w:vAlign w:val="center"/>
          </w:tcPr>
          <w:p w14:paraId="45CC800E" w14:textId="77777777" w:rsidR="00A57ADA" w:rsidRPr="00477C9C" w:rsidRDefault="00A57ADA" w:rsidP="00075887">
            <w:pPr>
              <w:jc w:val="center"/>
              <w:rPr>
                <w:rFonts w:ascii="Arial Narrow" w:eastAsia="Arial Unicode MS" w:hAnsi="Arial Narrow"/>
                <w:bCs/>
                <w:sz w:val="18"/>
                <w:szCs w:val="18"/>
              </w:rPr>
            </w:pPr>
            <w:r w:rsidRPr="00477C9C">
              <w:rPr>
                <w:rFonts w:ascii="Arial Narrow" w:hAnsi="Arial Narrow"/>
                <w:bCs/>
                <w:sz w:val="18"/>
                <w:szCs w:val="18"/>
              </w:rPr>
              <w:t>(61%, 2 m) (38%, 5 m)</w:t>
            </w:r>
          </w:p>
        </w:tc>
        <w:tc>
          <w:tcPr>
            <w:tcW w:w="8348" w:type="dxa"/>
            <w:tcMar>
              <w:top w:w="16" w:type="dxa"/>
              <w:left w:w="16" w:type="dxa"/>
              <w:bottom w:w="0" w:type="dxa"/>
              <w:right w:w="16" w:type="dxa"/>
            </w:tcMar>
            <w:vAlign w:val="center"/>
          </w:tcPr>
          <w:p w14:paraId="51597CAA" w14:textId="77777777" w:rsidR="00A57ADA" w:rsidRPr="00477C9C" w:rsidRDefault="00A57ADA" w:rsidP="004D55A1">
            <w:pPr>
              <w:spacing w:after="0"/>
              <w:jc w:val="left"/>
              <w:rPr>
                <w:rFonts w:ascii="Arial Narrow" w:hAnsi="Arial Narrow"/>
                <w:bCs/>
                <w:sz w:val="18"/>
                <w:szCs w:val="18"/>
              </w:rPr>
            </w:pPr>
            <w:r w:rsidRPr="00477C9C">
              <w:rPr>
                <w:rFonts w:ascii="Arial Narrow" w:hAnsi="Arial Narrow"/>
                <w:bCs/>
                <w:sz w:val="18"/>
                <w:szCs w:val="18"/>
              </w:rPr>
              <w:t>Storm Feb 2010 plus disease (</w:t>
            </w:r>
            <w:r>
              <w:rPr>
                <w:rFonts w:ascii="Arial Narrow" w:hAnsi="Arial Narrow"/>
                <w:bCs/>
                <w:sz w:val="18"/>
                <w:szCs w:val="18"/>
              </w:rPr>
              <w:t>29</w:t>
            </w:r>
            <w:r w:rsidRPr="00477C9C">
              <w:rPr>
                <w:rFonts w:ascii="Arial Narrow" w:hAnsi="Arial Narrow"/>
                <w:bCs/>
                <w:sz w:val="18"/>
                <w:szCs w:val="18"/>
              </w:rPr>
              <w:t xml:space="preserve">% at 2 m, </w:t>
            </w:r>
            <w:r>
              <w:rPr>
                <w:rFonts w:ascii="Arial Narrow" w:hAnsi="Arial Narrow"/>
                <w:bCs/>
                <w:sz w:val="18"/>
                <w:szCs w:val="18"/>
              </w:rPr>
              <w:t>42</w:t>
            </w:r>
            <w:r w:rsidRPr="00477C9C">
              <w:rPr>
                <w:rFonts w:ascii="Arial Narrow" w:hAnsi="Arial Narrow"/>
                <w:bCs/>
                <w:sz w:val="18"/>
                <w:szCs w:val="18"/>
              </w:rPr>
              <w:t>% at 5 m) Cyclone Marcia 2015 (</w:t>
            </w:r>
            <w:r>
              <w:rPr>
                <w:rFonts w:ascii="Arial Narrow" w:hAnsi="Arial Narrow"/>
                <w:bCs/>
                <w:sz w:val="18"/>
                <w:szCs w:val="18"/>
              </w:rPr>
              <w:t>30</w:t>
            </w:r>
            <w:r w:rsidRPr="00477C9C">
              <w:rPr>
                <w:rFonts w:ascii="Arial Narrow" w:hAnsi="Arial Narrow"/>
                <w:bCs/>
                <w:sz w:val="18"/>
                <w:szCs w:val="18"/>
              </w:rPr>
              <w:t>% at 2 m, 3</w:t>
            </w:r>
            <w:r>
              <w:rPr>
                <w:rFonts w:ascii="Arial Narrow" w:hAnsi="Arial Narrow"/>
                <w:bCs/>
                <w:sz w:val="18"/>
                <w:szCs w:val="18"/>
              </w:rPr>
              <w:t>2</w:t>
            </w:r>
            <w:r w:rsidRPr="00477C9C">
              <w:rPr>
                <w:rFonts w:ascii="Arial Narrow" w:hAnsi="Arial Narrow"/>
                <w:bCs/>
                <w:sz w:val="18"/>
                <w:szCs w:val="18"/>
              </w:rPr>
              <w:t>% at 5 m)</w:t>
            </w:r>
          </w:p>
        </w:tc>
      </w:tr>
      <w:tr w:rsidR="00A57ADA" w:rsidRPr="00477C9C" w14:paraId="4D8261FD" w14:textId="77777777" w:rsidTr="00A57ADA">
        <w:trPr>
          <w:cantSplit/>
          <w:trHeight w:val="337"/>
        </w:trPr>
        <w:tc>
          <w:tcPr>
            <w:tcW w:w="608" w:type="dxa"/>
            <w:vMerge/>
            <w:vAlign w:val="center"/>
          </w:tcPr>
          <w:p w14:paraId="1E7D87BF" w14:textId="77777777" w:rsidR="00A57ADA" w:rsidRPr="00477C9C" w:rsidRDefault="00A57ADA">
            <w:pPr>
              <w:rPr>
                <w:rFonts w:ascii="Arial Narrow" w:eastAsia="Arial Unicode MS" w:hAnsi="Arial Narrow"/>
                <w:bCs/>
                <w:sz w:val="20"/>
              </w:rPr>
            </w:pPr>
          </w:p>
        </w:tc>
        <w:tc>
          <w:tcPr>
            <w:tcW w:w="1984" w:type="dxa"/>
            <w:tcMar>
              <w:top w:w="16" w:type="dxa"/>
              <w:left w:w="16" w:type="dxa"/>
              <w:bottom w:w="0" w:type="dxa"/>
              <w:right w:w="16" w:type="dxa"/>
            </w:tcMar>
            <w:vAlign w:val="bottom"/>
          </w:tcPr>
          <w:p w14:paraId="50CD5CAA" w14:textId="77777777" w:rsidR="00A57ADA" w:rsidRPr="00477C9C" w:rsidRDefault="00A57ADA">
            <w:pPr>
              <w:ind w:left="200"/>
              <w:rPr>
                <w:rFonts w:ascii="Arial Narrow" w:eastAsia="Arial Unicode MS" w:hAnsi="Arial Narrow"/>
                <w:bCs/>
                <w:sz w:val="20"/>
              </w:rPr>
            </w:pPr>
            <w:r w:rsidRPr="00477C9C">
              <w:rPr>
                <w:rFonts w:ascii="Arial Narrow" w:hAnsi="Arial Narrow"/>
                <w:bCs/>
                <w:sz w:val="20"/>
              </w:rPr>
              <w:t>Keppels South</w:t>
            </w:r>
          </w:p>
        </w:tc>
        <w:tc>
          <w:tcPr>
            <w:tcW w:w="992" w:type="dxa"/>
            <w:tcMar>
              <w:top w:w="16" w:type="dxa"/>
              <w:left w:w="16" w:type="dxa"/>
              <w:bottom w:w="0" w:type="dxa"/>
              <w:right w:w="16" w:type="dxa"/>
            </w:tcMar>
            <w:vAlign w:val="center"/>
          </w:tcPr>
          <w:p w14:paraId="7168BB06" w14:textId="77777777" w:rsidR="00A57ADA" w:rsidRPr="00477C9C" w:rsidRDefault="00A57ADA">
            <w:pPr>
              <w:jc w:val="center"/>
              <w:rPr>
                <w:rFonts w:ascii="Arial Narrow" w:eastAsia="Arial Unicode MS" w:hAnsi="Arial Narrow"/>
                <w:bCs/>
                <w:sz w:val="18"/>
                <w:szCs w:val="18"/>
              </w:rPr>
            </w:pPr>
            <w:r w:rsidRPr="00477C9C">
              <w:rPr>
                <w:rFonts w:ascii="Arial Narrow" w:hAnsi="Arial Narrow"/>
                <w:bCs/>
                <w:sz w:val="18"/>
                <w:szCs w:val="18"/>
              </w:rPr>
              <w:t>1 (6%)</w:t>
            </w:r>
          </w:p>
        </w:tc>
        <w:tc>
          <w:tcPr>
            <w:tcW w:w="851" w:type="dxa"/>
            <w:vAlign w:val="center"/>
          </w:tcPr>
          <w:p w14:paraId="59DBCA24" w14:textId="77777777" w:rsidR="00A57ADA" w:rsidRPr="00477C9C" w:rsidRDefault="00A57ADA">
            <w:pPr>
              <w:jc w:val="center"/>
              <w:rPr>
                <w:rFonts w:ascii="Arial Narrow" w:eastAsia="Arial Unicode MS" w:hAnsi="Arial Narrow"/>
                <w:bCs/>
                <w:sz w:val="18"/>
                <w:szCs w:val="18"/>
              </w:rPr>
            </w:pPr>
            <w:r w:rsidRPr="00477C9C">
              <w:rPr>
                <w:rFonts w:ascii="Arial Narrow" w:hAnsi="Arial Narrow"/>
                <w:bCs/>
                <w:sz w:val="18"/>
                <w:szCs w:val="18"/>
              </w:rPr>
              <w:t>1 (26%)</w:t>
            </w:r>
          </w:p>
        </w:tc>
        <w:tc>
          <w:tcPr>
            <w:tcW w:w="850" w:type="dxa"/>
            <w:tcMar>
              <w:top w:w="16" w:type="dxa"/>
              <w:left w:w="16" w:type="dxa"/>
              <w:bottom w:w="0" w:type="dxa"/>
              <w:right w:w="16" w:type="dxa"/>
            </w:tcMar>
            <w:vAlign w:val="center"/>
          </w:tcPr>
          <w:p w14:paraId="5FE6B5BF" w14:textId="77777777" w:rsidR="00A57ADA" w:rsidRPr="00477C9C" w:rsidRDefault="00A57ADA" w:rsidP="00075887">
            <w:pPr>
              <w:jc w:val="center"/>
              <w:rPr>
                <w:rFonts w:ascii="Arial Narrow" w:eastAsia="Arial Unicode MS" w:hAnsi="Arial Narrow"/>
                <w:bCs/>
                <w:sz w:val="18"/>
                <w:szCs w:val="18"/>
              </w:rPr>
            </w:pPr>
            <w:r w:rsidRPr="00477C9C">
              <w:rPr>
                <w:rFonts w:ascii="Arial Narrow" w:hAnsi="Arial Narrow"/>
                <w:bCs/>
                <w:sz w:val="18"/>
                <w:szCs w:val="18"/>
              </w:rPr>
              <w:t>(27%, 2 m) (28%, 5 m)</w:t>
            </w:r>
          </w:p>
        </w:tc>
        <w:tc>
          <w:tcPr>
            <w:tcW w:w="8348" w:type="dxa"/>
            <w:tcMar>
              <w:top w:w="16" w:type="dxa"/>
              <w:left w:w="16" w:type="dxa"/>
              <w:bottom w:w="0" w:type="dxa"/>
              <w:right w:w="16" w:type="dxa"/>
            </w:tcMar>
            <w:vAlign w:val="center"/>
          </w:tcPr>
          <w:p w14:paraId="30D74517" w14:textId="77777777" w:rsidR="00A57ADA" w:rsidRPr="00A87191" w:rsidRDefault="00A57ADA" w:rsidP="004D55A1">
            <w:pPr>
              <w:spacing w:after="0"/>
              <w:jc w:val="left"/>
              <w:rPr>
                <w:rFonts w:ascii="Arial Narrow" w:hAnsi="Arial Narrow"/>
                <w:bCs/>
                <w:sz w:val="18"/>
                <w:szCs w:val="18"/>
                <w:lang w:val="en-AU"/>
              </w:rPr>
            </w:pPr>
            <w:r w:rsidRPr="00A87191">
              <w:rPr>
                <w:rFonts w:ascii="Arial Narrow" w:hAnsi="Arial Narrow"/>
                <w:bCs/>
                <w:sz w:val="18"/>
                <w:szCs w:val="18"/>
                <w:lang w:val="en-AU"/>
              </w:rPr>
              <w:t>Flood 2008 and associated disease (14% at 2 m, 15% at 5m), Disease 2010 (12% at 2 m 22% at 5 m), Flood 2011 and associated disease (85% at 2 m, 23% at 5m)</w:t>
            </w:r>
          </w:p>
        </w:tc>
      </w:tr>
      <w:tr w:rsidR="00A57ADA" w:rsidRPr="00477C9C" w14:paraId="13D4B796" w14:textId="77777777" w:rsidTr="00A57ADA">
        <w:trPr>
          <w:cantSplit/>
          <w:trHeight w:val="264"/>
        </w:trPr>
        <w:tc>
          <w:tcPr>
            <w:tcW w:w="608" w:type="dxa"/>
            <w:vMerge/>
            <w:vAlign w:val="center"/>
          </w:tcPr>
          <w:p w14:paraId="1DF61090" w14:textId="77777777" w:rsidR="00A57ADA" w:rsidRPr="00A87191" w:rsidRDefault="00A57ADA">
            <w:pPr>
              <w:rPr>
                <w:rFonts w:ascii="Arial Narrow" w:eastAsia="Arial Unicode MS" w:hAnsi="Arial Narrow"/>
                <w:bCs/>
                <w:sz w:val="20"/>
                <w:lang w:val="en-AU"/>
              </w:rPr>
            </w:pPr>
          </w:p>
        </w:tc>
        <w:tc>
          <w:tcPr>
            <w:tcW w:w="1984" w:type="dxa"/>
            <w:tcMar>
              <w:top w:w="16" w:type="dxa"/>
              <w:left w:w="16" w:type="dxa"/>
              <w:bottom w:w="0" w:type="dxa"/>
              <w:right w:w="16" w:type="dxa"/>
            </w:tcMar>
            <w:vAlign w:val="bottom"/>
          </w:tcPr>
          <w:p w14:paraId="03E61C23" w14:textId="77777777" w:rsidR="00A57ADA" w:rsidRPr="00477C9C" w:rsidRDefault="00A57ADA">
            <w:pPr>
              <w:ind w:left="200"/>
              <w:rPr>
                <w:rFonts w:ascii="Arial Narrow" w:eastAsia="Arial Unicode MS" w:hAnsi="Arial Narrow"/>
                <w:bCs/>
                <w:sz w:val="20"/>
              </w:rPr>
            </w:pPr>
            <w:r w:rsidRPr="00477C9C">
              <w:rPr>
                <w:rFonts w:ascii="Arial Narrow" w:hAnsi="Arial Narrow"/>
                <w:bCs/>
                <w:sz w:val="20"/>
              </w:rPr>
              <w:t>Pelican</w:t>
            </w:r>
          </w:p>
        </w:tc>
        <w:tc>
          <w:tcPr>
            <w:tcW w:w="992" w:type="dxa"/>
            <w:tcMar>
              <w:top w:w="16" w:type="dxa"/>
              <w:left w:w="16" w:type="dxa"/>
              <w:bottom w:w="0" w:type="dxa"/>
              <w:right w:w="16" w:type="dxa"/>
            </w:tcMar>
            <w:vAlign w:val="center"/>
          </w:tcPr>
          <w:p w14:paraId="2DD22A8E" w14:textId="77777777" w:rsidR="00A57ADA" w:rsidRPr="00477C9C" w:rsidRDefault="00A57ADA">
            <w:pPr>
              <w:jc w:val="center"/>
              <w:rPr>
                <w:rFonts w:ascii="Arial Narrow" w:eastAsia="Arial Unicode MS" w:hAnsi="Arial Narrow"/>
                <w:bCs/>
                <w:sz w:val="18"/>
                <w:szCs w:val="18"/>
              </w:rPr>
            </w:pPr>
            <w:r w:rsidRPr="00477C9C">
              <w:rPr>
                <w:rFonts w:ascii="Arial Narrow" w:hAnsi="Arial Narrow"/>
                <w:bCs/>
                <w:sz w:val="18"/>
                <w:szCs w:val="18"/>
              </w:rPr>
              <w:t>1</w:t>
            </w:r>
          </w:p>
        </w:tc>
        <w:tc>
          <w:tcPr>
            <w:tcW w:w="851" w:type="dxa"/>
            <w:vAlign w:val="center"/>
          </w:tcPr>
          <w:p w14:paraId="72B75A22" w14:textId="77777777" w:rsidR="00A57ADA" w:rsidRPr="00477C9C" w:rsidRDefault="00A57ADA">
            <w:pPr>
              <w:jc w:val="center"/>
              <w:rPr>
                <w:rFonts w:ascii="Arial Narrow" w:eastAsia="Arial Unicode MS" w:hAnsi="Arial Narrow"/>
                <w:bCs/>
                <w:sz w:val="18"/>
                <w:szCs w:val="18"/>
              </w:rPr>
            </w:pPr>
            <w:r w:rsidRPr="00477C9C">
              <w:rPr>
                <w:rFonts w:ascii="Arial Narrow" w:hAnsi="Arial Narrow"/>
                <w:bCs/>
                <w:sz w:val="18"/>
                <w:szCs w:val="18"/>
              </w:rPr>
              <w:t>1</w:t>
            </w:r>
          </w:p>
        </w:tc>
        <w:tc>
          <w:tcPr>
            <w:tcW w:w="850" w:type="dxa"/>
            <w:tcMar>
              <w:top w:w="16" w:type="dxa"/>
              <w:left w:w="16" w:type="dxa"/>
              <w:bottom w:w="0" w:type="dxa"/>
              <w:right w:w="16" w:type="dxa"/>
            </w:tcMar>
            <w:vAlign w:val="center"/>
          </w:tcPr>
          <w:p w14:paraId="7F09AE4D" w14:textId="77777777" w:rsidR="00A57ADA" w:rsidRPr="00477C9C" w:rsidRDefault="00A57ADA">
            <w:pPr>
              <w:jc w:val="center"/>
              <w:rPr>
                <w:rFonts w:ascii="Arial Narrow" w:eastAsia="Arial Unicode MS" w:hAnsi="Arial Narrow"/>
                <w:bCs/>
                <w:sz w:val="18"/>
                <w:szCs w:val="18"/>
              </w:rPr>
            </w:pPr>
            <w:r w:rsidRPr="00477C9C">
              <w:rPr>
                <w:rFonts w:ascii="Arial Narrow" w:eastAsia="Arial Unicode MS" w:hAnsi="Arial Narrow"/>
                <w:bCs/>
                <w:sz w:val="18"/>
                <w:szCs w:val="18"/>
              </w:rPr>
              <w:t>17%, 5 m</w:t>
            </w:r>
          </w:p>
        </w:tc>
        <w:tc>
          <w:tcPr>
            <w:tcW w:w="8348" w:type="dxa"/>
            <w:tcMar>
              <w:top w:w="16" w:type="dxa"/>
              <w:left w:w="16" w:type="dxa"/>
              <w:bottom w:w="0" w:type="dxa"/>
              <w:right w:w="16" w:type="dxa"/>
            </w:tcMar>
            <w:vAlign w:val="center"/>
          </w:tcPr>
          <w:p w14:paraId="3170CC2A" w14:textId="77777777" w:rsidR="00A57ADA" w:rsidRPr="00A87191" w:rsidRDefault="00A57ADA" w:rsidP="00040878">
            <w:pPr>
              <w:spacing w:after="0"/>
              <w:jc w:val="left"/>
              <w:rPr>
                <w:rFonts w:ascii="Arial Narrow" w:hAnsi="Arial Narrow"/>
                <w:bCs/>
                <w:sz w:val="18"/>
                <w:szCs w:val="18"/>
              </w:rPr>
            </w:pPr>
            <w:r w:rsidRPr="00A87191">
              <w:rPr>
                <w:rFonts w:ascii="Arial Narrow" w:hAnsi="Arial Narrow"/>
                <w:bCs/>
                <w:sz w:val="18"/>
                <w:szCs w:val="18"/>
              </w:rPr>
              <w:t>Flood /Storm 2008 (29% at 2 m, 7% at 5 m), Disease 2009 (13% at 5 m), Disease 2010 (28% at 2 m),</w:t>
            </w:r>
          </w:p>
          <w:p w14:paraId="4F553B67" w14:textId="77777777" w:rsidR="00A57ADA" w:rsidRPr="00A87191" w:rsidRDefault="00A57ADA" w:rsidP="004D55A1">
            <w:pPr>
              <w:spacing w:after="0"/>
              <w:jc w:val="left"/>
              <w:rPr>
                <w:rFonts w:ascii="Arial Narrow" w:hAnsi="Arial Narrow"/>
                <w:bCs/>
                <w:sz w:val="18"/>
                <w:szCs w:val="18"/>
              </w:rPr>
            </w:pPr>
            <w:r w:rsidRPr="00A87191">
              <w:rPr>
                <w:rFonts w:ascii="Arial Narrow" w:hAnsi="Arial Narrow"/>
                <w:bCs/>
                <w:sz w:val="18"/>
                <w:szCs w:val="18"/>
              </w:rPr>
              <w:t>Flood 2011 (99%at 2 m, 32% at 5 m), Cyclone Marcia 2015 (65% at 2m, 35% at 5 m)</w:t>
            </w:r>
          </w:p>
        </w:tc>
      </w:tr>
      <w:tr w:rsidR="00A57ADA" w:rsidRPr="009B6C07" w14:paraId="2EB29483" w14:textId="77777777" w:rsidTr="00A57ADA">
        <w:trPr>
          <w:cantSplit/>
          <w:trHeight w:val="264"/>
        </w:trPr>
        <w:tc>
          <w:tcPr>
            <w:tcW w:w="608" w:type="dxa"/>
            <w:vMerge/>
            <w:tcBorders>
              <w:bottom w:val="single" w:sz="12" w:space="0" w:color="auto"/>
            </w:tcBorders>
            <w:vAlign w:val="center"/>
          </w:tcPr>
          <w:p w14:paraId="6293AED0" w14:textId="77777777" w:rsidR="00A57ADA" w:rsidRPr="00A87191" w:rsidRDefault="00A57ADA">
            <w:pPr>
              <w:rPr>
                <w:rFonts w:ascii="Arial Narrow" w:eastAsia="Arial Unicode MS" w:hAnsi="Arial Narrow"/>
                <w:bCs/>
                <w:sz w:val="20"/>
              </w:rPr>
            </w:pPr>
          </w:p>
        </w:tc>
        <w:tc>
          <w:tcPr>
            <w:tcW w:w="1984" w:type="dxa"/>
            <w:tcBorders>
              <w:bottom w:val="single" w:sz="12" w:space="0" w:color="auto"/>
            </w:tcBorders>
            <w:tcMar>
              <w:top w:w="16" w:type="dxa"/>
              <w:left w:w="16" w:type="dxa"/>
              <w:bottom w:w="0" w:type="dxa"/>
              <w:right w:w="16" w:type="dxa"/>
            </w:tcMar>
            <w:vAlign w:val="bottom"/>
          </w:tcPr>
          <w:p w14:paraId="56A639AD" w14:textId="77777777" w:rsidR="00A57ADA" w:rsidRPr="00477C9C" w:rsidRDefault="00A57ADA">
            <w:pPr>
              <w:ind w:left="200"/>
              <w:rPr>
                <w:rFonts w:ascii="Arial Narrow" w:eastAsia="Arial Unicode MS" w:hAnsi="Arial Narrow"/>
                <w:bCs/>
                <w:sz w:val="20"/>
              </w:rPr>
            </w:pPr>
            <w:r w:rsidRPr="00477C9C">
              <w:rPr>
                <w:rFonts w:ascii="Arial Narrow" w:hAnsi="Arial Narrow"/>
                <w:bCs/>
                <w:sz w:val="20"/>
              </w:rPr>
              <w:t>Peak</w:t>
            </w:r>
          </w:p>
        </w:tc>
        <w:tc>
          <w:tcPr>
            <w:tcW w:w="992" w:type="dxa"/>
            <w:tcBorders>
              <w:bottom w:val="single" w:sz="12" w:space="0" w:color="auto"/>
            </w:tcBorders>
            <w:tcMar>
              <w:top w:w="16" w:type="dxa"/>
              <w:left w:w="16" w:type="dxa"/>
              <w:bottom w:w="0" w:type="dxa"/>
              <w:right w:w="16" w:type="dxa"/>
            </w:tcMar>
            <w:vAlign w:val="center"/>
          </w:tcPr>
          <w:p w14:paraId="41FF9311" w14:textId="77777777" w:rsidR="00A57ADA" w:rsidRPr="00477C9C" w:rsidRDefault="00A57ADA">
            <w:pPr>
              <w:jc w:val="center"/>
              <w:rPr>
                <w:rFonts w:ascii="Arial Narrow" w:eastAsia="Arial Unicode MS" w:hAnsi="Arial Narrow"/>
                <w:bCs/>
                <w:sz w:val="18"/>
                <w:szCs w:val="18"/>
              </w:rPr>
            </w:pPr>
            <w:r w:rsidRPr="00477C9C">
              <w:rPr>
                <w:rFonts w:ascii="Arial Narrow" w:hAnsi="Arial Narrow"/>
                <w:bCs/>
                <w:sz w:val="18"/>
                <w:szCs w:val="18"/>
              </w:rPr>
              <w:t>1</w:t>
            </w:r>
          </w:p>
        </w:tc>
        <w:tc>
          <w:tcPr>
            <w:tcW w:w="851" w:type="dxa"/>
            <w:tcBorders>
              <w:bottom w:val="single" w:sz="12" w:space="0" w:color="auto"/>
            </w:tcBorders>
            <w:vAlign w:val="center"/>
          </w:tcPr>
          <w:p w14:paraId="04B9B843" w14:textId="77777777" w:rsidR="00A57ADA" w:rsidRPr="00477C9C" w:rsidRDefault="00A57ADA">
            <w:pPr>
              <w:jc w:val="center"/>
              <w:rPr>
                <w:rFonts w:ascii="Arial Narrow" w:eastAsia="Arial Unicode MS" w:hAnsi="Arial Narrow"/>
                <w:bCs/>
                <w:sz w:val="18"/>
                <w:szCs w:val="18"/>
              </w:rPr>
            </w:pPr>
            <w:r w:rsidRPr="00477C9C">
              <w:rPr>
                <w:rFonts w:ascii="Arial Narrow" w:hAnsi="Arial Narrow"/>
                <w:bCs/>
                <w:sz w:val="18"/>
                <w:szCs w:val="18"/>
              </w:rPr>
              <w:t>1</w:t>
            </w:r>
          </w:p>
        </w:tc>
        <w:tc>
          <w:tcPr>
            <w:tcW w:w="850" w:type="dxa"/>
            <w:tcBorders>
              <w:bottom w:val="single" w:sz="12" w:space="0" w:color="auto"/>
            </w:tcBorders>
            <w:tcMar>
              <w:top w:w="16" w:type="dxa"/>
              <w:left w:w="16" w:type="dxa"/>
              <w:bottom w:w="0" w:type="dxa"/>
              <w:right w:w="16" w:type="dxa"/>
            </w:tcMar>
            <w:vAlign w:val="center"/>
          </w:tcPr>
          <w:p w14:paraId="63DEA7F2" w14:textId="77777777" w:rsidR="00A57ADA" w:rsidRPr="00477C9C" w:rsidRDefault="00A57ADA">
            <w:pPr>
              <w:jc w:val="center"/>
              <w:rPr>
                <w:rFonts w:ascii="Arial Narrow" w:eastAsia="Arial Unicode MS" w:hAnsi="Arial Narrow"/>
                <w:bCs/>
                <w:sz w:val="18"/>
                <w:szCs w:val="18"/>
              </w:rPr>
            </w:pPr>
          </w:p>
        </w:tc>
        <w:tc>
          <w:tcPr>
            <w:tcW w:w="8348" w:type="dxa"/>
            <w:tcBorders>
              <w:bottom w:val="single" w:sz="12" w:space="0" w:color="auto"/>
            </w:tcBorders>
            <w:tcMar>
              <w:top w:w="16" w:type="dxa"/>
              <w:left w:w="16" w:type="dxa"/>
              <w:bottom w:w="0" w:type="dxa"/>
              <w:right w:w="16" w:type="dxa"/>
            </w:tcMar>
            <w:vAlign w:val="center"/>
          </w:tcPr>
          <w:p w14:paraId="6FDDE54C" w14:textId="77777777" w:rsidR="00A57ADA" w:rsidRPr="00477C9C" w:rsidRDefault="00A57ADA" w:rsidP="00040878">
            <w:pPr>
              <w:spacing w:after="0"/>
              <w:jc w:val="left"/>
              <w:rPr>
                <w:rFonts w:ascii="Arial Narrow" w:hAnsi="Arial Narrow"/>
                <w:bCs/>
                <w:sz w:val="18"/>
                <w:szCs w:val="18"/>
                <w:lang w:val="da-DK"/>
              </w:rPr>
            </w:pPr>
            <w:r w:rsidRPr="00477C9C">
              <w:rPr>
                <w:rFonts w:ascii="Arial Narrow" w:hAnsi="Arial Narrow"/>
                <w:bCs/>
                <w:sz w:val="18"/>
                <w:szCs w:val="18"/>
                <w:lang w:val="da-DK"/>
              </w:rPr>
              <w:t xml:space="preserve">Flood 2008 (28% at 2 m), Flood 2011 (70% at 2 m, </w:t>
            </w:r>
            <w:r>
              <w:rPr>
                <w:rFonts w:ascii="Arial Narrow" w:hAnsi="Arial Narrow"/>
                <w:bCs/>
                <w:sz w:val="18"/>
                <w:szCs w:val="18"/>
                <w:lang w:val="da-DK"/>
              </w:rPr>
              <w:t>27</w:t>
            </w:r>
            <w:r w:rsidRPr="00477C9C">
              <w:rPr>
                <w:rFonts w:ascii="Arial Narrow" w:hAnsi="Arial Narrow"/>
                <w:bCs/>
                <w:sz w:val="18"/>
                <w:szCs w:val="18"/>
                <w:lang w:val="da-DK"/>
              </w:rPr>
              <w:t>% at 5 m)</w:t>
            </w:r>
          </w:p>
        </w:tc>
      </w:tr>
    </w:tbl>
    <w:bookmarkEnd w:id="357"/>
    <w:p w14:paraId="13F841D4" w14:textId="77777777" w:rsidR="00216E77" w:rsidRPr="00477C9C" w:rsidRDefault="00216E77" w:rsidP="00406BD7">
      <w:pPr>
        <w:rPr>
          <w:rStyle w:val="IntenseReference"/>
          <w:color w:val="auto"/>
        </w:rPr>
      </w:pPr>
      <w:r w:rsidRPr="00477C9C">
        <w:rPr>
          <w:rStyle w:val="IntenseReference"/>
          <w:color w:val="auto"/>
        </w:rPr>
        <w:t xml:space="preserve">Note: As direct observations of impact were limited during the wide spread bleaching events of 1998 and 2002 tabulated values for these years are the estimated probability that each reef would have experienced a coral bleaching event as calculated using a Bayesian Network model (Wooldridge </w:t>
      </w:r>
      <w:r w:rsidR="0001742D" w:rsidRPr="00477C9C">
        <w:rPr>
          <w:rStyle w:val="IntenseReference"/>
          <w:color w:val="auto"/>
        </w:rPr>
        <w:t>&amp;</w:t>
      </w:r>
      <w:r w:rsidRPr="00477C9C">
        <w:rPr>
          <w:rStyle w:val="IntenseReference"/>
          <w:color w:val="auto"/>
        </w:rPr>
        <w:t xml:space="preserve"> Done 2004). The network model allows information about site-specific physical variables (e.g. water quality, mixing strength, thermal history, wave regime) to be combined with satellite-derived estimates of sea surface temperature (SST) in order to provide a probability (= strength of belief) that a given coral community in a given patch of ocean would have experienced a coral bleaching event. Higher probabilities indicate a greater strength of belief in both the likelihood of a bleaching event and the severity of that event. Where impact was observed the proportional reduction in coral cover is included. For all other disturbances listed the proportional reductions in cover are based on direct observation.</w:t>
      </w:r>
    </w:p>
    <w:p w14:paraId="36022C7F" w14:textId="77777777" w:rsidR="008A1A24" w:rsidRPr="00A87191" w:rsidRDefault="008A1A24">
      <w:pPr>
        <w:pStyle w:val="Table"/>
        <w:rPr>
          <w:noProof/>
          <w:lang w:val="en-AU" w:eastAsia="en-AU"/>
        </w:rPr>
        <w:sectPr w:rsidR="008A1A24" w:rsidRPr="00A87191" w:rsidSect="006608FC">
          <w:pgSz w:w="16840" w:h="11907" w:orient="landscape" w:code="9"/>
          <w:pgMar w:top="1134" w:right="1440" w:bottom="1134" w:left="1440" w:header="709" w:footer="709" w:gutter="0"/>
          <w:cols w:space="708"/>
          <w:docGrid w:linePitch="360"/>
        </w:sectPr>
      </w:pPr>
    </w:p>
    <w:p w14:paraId="0C71CCBF" w14:textId="20A9A9BD" w:rsidR="00C75680" w:rsidRPr="00F352E1" w:rsidRDefault="00B14D94" w:rsidP="00606A50">
      <w:pPr>
        <w:pStyle w:val="Caption"/>
      </w:pPr>
      <w:bookmarkStart w:id="358" w:name="_Ref501105016"/>
      <w:bookmarkStart w:id="359" w:name="_Toc498591420"/>
      <w:r>
        <w:t xml:space="preserve">Table A1. </w:t>
      </w:r>
      <w:r>
        <w:fldChar w:fldCharType="begin"/>
      </w:r>
      <w:r>
        <w:instrText xml:space="preserve"> SEQ Table_A1. \* ARABIC </w:instrText>
      </w:r>
      <w:r>
        <w:fldChar w:fldCharType="separate"/>
      </w:r>
      <w:r w:rsidR="00A75175">
        <w:rPr>
          <w:noProof/>
        </w:rPr>
        <w:t>5</w:t>
      </w:r>
      <w:r>
        <w:fldChar w:fldCharType="end"/>
      </w:r>
      <w:bookmarkEnd w:id="358"/>
      <w:r>
        <w:t xml:space="preserve"> </w:t>
      </w:r>
      <w:r w:rsidR="00F25963" w:rsidRPr="00F352E1">
        <w:t>Reef level co</w:t>
      </w:r>
      <w:r w:rsidR="00F25963">
        <w:t>ral index and metric scores 2017</w:t>
      </w:r>
      <w:r w:rsidR="00F25963" w:rsidRPr="00F352E1">
        <w:t xml:space="preserve">. </w:t>
      </w:r>
      <w:r w:rsidR="00F25963" w:rsidRPr="00BA4949">
        <w:rPr>
          <w:rStyle w:val="IntenseReference"/>
          <w:rFonts w:eastAsia="SimSun"/>
          <w:color w:val="auto"/>
        </w:rPr>
        <w:t>Coral index and (sub-)regional metric scores are colour coded by condition categories: red = very poor, orange = poor, yellow = moderate, light green = good and dark green = very good</w:t>
      </w:r>
      <w:bookmarkEnd w:id="359"/>
    </w:p>
    <w:tbl>
      <w:tblPr>
        <w:tblW w:w="9418" w:type="dxa"/>
        <w:tblInd w:w="91" w:type="dxa"/>
        <w:tblLayout w:type="fixed"/>
        <w:tblCellMar>
          <w:left w:w="28" w:type="dxa"/>
          <w:right w:w="28" w:type="dxa"/>
        </w:tblCellMar>
        <w:tblLook w:val="04A0" w:firstRow="1" w:lastRow="0" w:firstColumn="1" w:lastColumn="0" w:noHBand="0" w:noVBand="1"/>
        <w:tblCaption w:val="Table A1. 5 Reef level coral index and metric scores 2017. "/>
        <w:tblDescription w:val=" A Table listing the reef level scores for the index and each metric estimated in 2017. "/>
      </w:tblPr>
      <w:tblGrid>
        <w:gridCol w:w="771"/>
        <w:gridCol w:w="1576"/>
        <w:gridCol w:w="284"/>
        <w:gridCol w:w="1134"/>
        <w:gridCol w:w="1134"/>
        <w:gridCol w:w="1134"/>
        <w:gridCol w:w="1047"/>
        <w:gridCol w:w="1221"/>
        <w:gridCol w:w="1117"/>
      </w:tblGrid>
      <w:tr w:rsidR="00F352E1" w:rsidRPr="00BA4949" w14:paraId="5759ACF6" w14:textId="77777777" w:rsidTr="00C75680">
        <w:trPr>
          <w:cantSplit/>
          <w:trHeight w:val="925"/>
          <w:tblHeader/>
        </w:trPr>
        <w:tc>
          <w:tcPr>
            <w:tcW w:w="7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C86F3E" w14:textId="77777777" w:rsidR="00B72345" w:rsidRPr="00BA4949" w:rsidRDefault="00B72345" w:rsidP="00B72345">
            <w:pPr>
              <w:spacing w:after="0"/>
              <w:jc w:val="center"/>
              <w:rPr>
                <w:rFonts w:cs="Arial"/>
                <w:sz w:val="20"/>
                <w:lang w:val="en-AU" w:eastAsia="en-AU"/>
              </w:rPr>
            </w:pPr>
            <w:r w:rsidRPr="00BA4949">
              <w:rPr>
                <w:rFonts w:cs="Arial"/>
                <w:sz w:val="20"/>
                <w:lang w:val="en-AU" w:eastAsia="en-AU"/>
              </w:rPr>
              <w:t>Region</w:t>
            </w:r>
          </w:p>
        </w:tc>
        <w:tc>
          <w:tcPr>
            <w:tcW w:w="1576" w:type="dxa"/>
            <w:tcBorders>
              <w:top w:val="single" w:sz="4" w:space="0" w:color="auto"/>
              <w:left w:val="nil"/>
              <w:bottom w:val="single" w:sz="4" w:space="0" w:color="auto"/>
              <w:right w:val="single" w:sz="4" w:space="0" w:color="auto"/>
            </w:tcBorders>
            <w:shd w:val="clear" w:color="auto" w:fill="auto"/>
            <w:noWrap/>
            <w:vAlign w:val="center"/>
            <w:hideMark/>
          </w:tcPr>
          <w:p w14:paraId="18604550" w14:textId="77777777" w:rsidR="00B72345" w:rsidRPr="00BA4949" w:rsidRDefault="00B72345" w:rsidP="00D41D10">
            <w:pPr>
              <w:spacing w:after="0"/>
              <w:jc w:val="center"/>
              <w:rPr>
                <w:rFonts w:cs="Arial"/>
                <w:sz w:val="20"/>
                <w:lang w:val="en-AU" w:eastAsia="en-AU"/>
              </w:rPr>
            </w:pPr>
            <w:r w:rsidRPr="00BA4949">
              <w:rPr>
                <w:rFonts w:cs="Arial"/>
                <w:sz w:val="20"/>
                <w:lang w:val="en-AU" w:eastAsia="en-AU"/>
              </w:rPr>
              <w:t>R</w:t>
            </w:r>
            <w:r w:rsidR="00D41D10" w:rsidRPr="00BA4949">
              <w:rPr>
                <w:rFonts w:cs="Arial"/>
                <w:sz w:val="20"/>
                <w:lang w:val="en-AU" w:eastAsia="en-AU"/>
              </w:rPr>
              <w:t>eef</w:t>
            </w:r>
          </w:p>
        </w:tc>
        <w:tc>
          <w:tcPr>
            <w:tcW w:w="28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404FD2D9" w14:textId="77777777" w:rsidR="00B72345" w:rsidRPr="00BA4949" w:rsidRDefault="00B72345" w:rsidP="00B72345">
            <w:pPr>
              <w:spacing w:after="0"/>
              <w:jc w:val="center"/>
              <w:rPr>
                <w:rFonts w:cs="Arial"/>
                <w:sz w:val="20"/>
                <w:lang w:val="en-AU" w:eastAsia="en-AU"/>
              </w:rPr>
            </w:pPr>
            <w:r w:rsidRPr="00BA4949">
              <w:rPr>
                <w:rFonts w:cs="Arial"/>
                <w:sz w:val="20"/>
                <w:lang w:val="en-AU" w:eastAsia="en-AU"/>
              </w:rPr>
              <w:t>Depth</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51589EEE" w14:textId="77777777" w:rsidR="00B72345" w:rsidRPr="00BA4949" w:rsidRDefault="00B72345" w:rsidP="005B0BFF">
            <w:pPr>
              <w:spacing w:after="0"/>
              <w:jc w:val="center"/>
              <w:rPr>
                <w:rFonts w:cs="Arial"/>
                <w:sz w:val="20"/>
                <w:lang w:val="en-AU" w:eastAsia="en-AU"/>
              </w:rPr>
            </w:pPr>
            <w:r w:rsidRPr="00BA4949">
              <w:rPr>
                <w:rFonts w:cs="Arial"/>
                <w:sz w:val="20"/>
                <w:lang w:val="en-AU" w:eastAsia="en-AU"/>
              </w:rPr>
              <w:t xml:space="preserve">Coral </w:t>
            </w:r>
            <w:r w:rsidR="005B0BFF" w:rsidRPr="00BA4949">
              <w:rPr>
                <w:rFonts w:cs="Arial"/>
                <w:sz w:val="20"/>
                <w:lang w:val="en-AU" w:eastAsia="en-AU"/>
              </w:rPr>
              <w:t>C</w:t>
            </w:r>
            <w:r w:rsidRPr="00BA4949">
              <w:rPr>
                <w:rFonts w:cs="Arial"/>
                <w:sz w:val="20"/>
                <w:lang w:val="en-AU" w:eastAsia="en-AU"/>
              </w:rPr>
              <w:t>over</w:t>
            </w:r>
          </w:p>
        </w:tc>
        <w:tc>
          <w:tcPr>
            <w:tcW w:w="1134" w:type="dxa"/>
            <w:tcBorders>
              <w:top w:val="single" w:sz="4" w:space="0" w:color="auto"/>
              <w:left w:val="nil"/>
              <w:bottom w:val="single" w:sz="4" w:space="0" w:color="auto"/>
              <w:right w:val="single" w:sz="4" w:space="0" w:color="auto"/>
            </w:tcBorders>
            <w:shd w:val="clear" w:color="auto" w:fill="auto"/>
            <w:noWrap/>
            <w:tcMar>
              <w:left w:w="0" w:type="dxa"/>
              <w:right w:w="0" w:type="dxa"/>
            </w:tcMar>
            <w:vAlign w:val="center"/>
            <w:hideMark/>
          </w:tcPr>
          <w:p w14:paraId="4FD5F0F8" w14:textId="77777777" w:rsidR="00B72345" w:rsidRPr="00BA4949" w:rsidRDefault="00B72345" w:rsidP="005B0BFF">
            <w:pPr>
              <w:spacing w:after="0"/>
              <w:jc w:val="center"/>
              <w:rPr>
                <w:rFonts w:cs="Arial"/>
                <w:sz w:val="20"/>
                <w:lang w:val="en-AU" w:eastAsia="en-AU"/>
              </w:rPr>
            </w:pPr>
            <w:r w:rsidRPr="00BA4949">
              <w:rPr>
                <w:rFonts w:cs="Arial"/>
                <w:sz w:val="20"/>
                <w:lang w:val="en-AU" w:eastAsia="en-AU"/>
              </w:rPr>
              <w:t xml:space="preserve">Juvenile </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5D8A3222" w14:textId="77777777" w:rsidR="00B72345" w:rsidRPr="00BA4949" w:rsidRDefault="005B0BFF" w:rsidP="005B0BFF">
            <w:pPr>
              <w:spacing w:after="0"/>
              <w:jc w:val="center"/>
              <w:rPr>
                <w:rFonts w:cs="Arial"/>
                <w:sz w:val="20"/>
                <w:lang w:val="en-AU" w:eastAsia="en-AU"/>
              </w:rPr>
            </w:pPr>
            <w:r w:rsidRPr="00BA4949">
              <w:rPr>
                <w:rFonts w:cs="Arial"/>
                <w:sz w:val="20"/>
                <w:lang w:val="en-AU" w:eastAsia="en-AU"/>
              </w:rPr>
              <w:t>Macroalgae</w:t>
            </w:r>
          </w:p>
        </w:tc>
        <w:tc>
          <w:tcPr>
            <w:tcW w:w="1047" w:type="dxa"/>
            <w:tcBorders>
              <w:top w:val="single" w:sz="4" w:space="0" w:color="auto"/>
              <w:left w:val="nil"/>
              <w:bottom w:val="single" w:sz="4" w:space="0" w:color="auto"/>
              <w:right w:val="single" w:sz="4" w:space="0" w:color="auto"/>
            </w:tcBorders>
            <w:shd w:val="clear" w:color="auto" w:fill="auto"/>
            <w:noWrap/>
            <w:vAlign w:val="center"/>
            <w:hideMark/>
          </w:tcPr>
          <w:p w14:paraId="19B22C9A" w14:textId="77777777" w:rsidR="00B72345" w:rsidRPr="00BA4949" w:rsidRDefault="00B72345" w:rsidP="00B72345">
            <w:pPr>
              <w:spacing w:after="0"/>
              <w:jc w:val="center"/>
              <w:rPr>
                <w:rFonts w:cs="Arial"/>
                <w:sz w:val="20"/>
                <w:lang w:val="en-AU" w:eastAsia="en-AU"/>
              </w:rPr>
            </w:pPr>
            <w:r w:rsidRPr="00BA4949">
              <w:rPr>
                <w:rFonts w:cs="Arial"/>
                <w:sz w:val="20"/>
                <w:lang w:val="en-AU" w:eastAsia="en-AU"/>
              </w:rPr>
              <w:t>C</w:t>
            </w:r>
            <w:r w:rsidR="005B0BFF" w:rsidRPr="00BA4949">
              <w:rPr>
                <w:rFonts w:cs="Arial"/>
                <w:sz w:val="20"/>
                <w:lang w:val="en-AU" w:eastAsia="en-AU"/>
              </w:rPr>
              <w:t>oral C</w:t>
            </w:r>
            <w:r w:rsidRPr="00BA4949">
              <w:rPr>
                <w:rFonts w:cs="Arial"/>
                <w:sz w:val="20"/>
                <w:lang w:val="en-AU" w:eastAsia="en-AU"/>
              </w:rPr>
              <w:t>hange</w:t>
            </w:r>
          </w:p>
        </w:tc>
        <w:tc>
          <w:tcPr>
            <w:tcW w:w="1221" w:type="dxa"/>
            <w:tcBorders>
              <w:top w:val="single" w:sz="4" w:space="0" w:color="auto"/>
              <w:left w:val="nil"/>
              <w:bottom w:val="single" w:sz="4" w:space="0" w:color="auto"/>
              <w:right w:val="single" w:sz="4" w:space="0" w:color="auto"/>
            </w:tcBorders>
            <w:shd w:val="clear" w:color="auto" w:fill="auto"/>
            <w:noWrap/>
            <w:vAlign w:val="center"/>
            <w:hideMark/>
          </w:tcPr>
          <w:p w14:paraId="6365D926" w14:textId="77777777" w:rsidR="00B72345" w:rsidRPr="00BA4949" w:rsidRDefault="005B0BFF" w:rsidP="005B0BFF">
            <w:pPr>
              <w:spacing w:after="0"/>
              <w:jc w:val="center"/>
              <w:rPr>
                <w:rFonts w:cs="Arial"/>
                <w:sz w:val="20"/>
                <w:lang w:val="en-AU" w:eastAsia="en-AU"/>
              </w:rPr>
            </w:pPr>
            <w:r w:rsidRPr="00BA4949">
              <w:rPr>
                <w:rFonts w:cs="Arial"/>
                <w:sz w:val="20"/>
                <w:lang w:val="en-AU" w:eastAsia="en-AU"/>
              </w:rPr>
              <w:t>C</w:t>
            </w:r>
            <w:r w:rsidR="00B72345" w:rsidRPr="00BA4949">
              <w:rPr>
                <w:rFonts w:cs="Arial"/>
                <w:sz w:val="20"/>
                <w:lang w:val="en-AU" w:eastAsia="en-AU"/>
              </w:rPr>
              <w:t>omposition</w:t>
            </w:r>
          </w:p>
        </w:tc>
        <w:tc>
          <w:tcPr>
            <w:tcW w:w="1117" w:type="dxa"/>
            <w:tcBorders>
              <w:top w:val="single" w:sz="4" w:space="0" w:color="auto"/>
              <w:left w:val="nil"/>
              <w:bottom w:val="single" w:sz="4" w:space="0" w:color="auto"/>
              <w:right w:val="single" w:sz="4" w:space="0" w:color="auto"/>
            </w:tcBorders>
            <w:shd w:val="clear" w:color="auto" w:fill="auto"/>
            <w:noWrap/>
            <w:vAlign w:val="center"/>
            <w:hideMark/>
          </w:tcPr>
          <w:p w14:paraId="55487267" w14:textId="77777777" w:rsidR="00B72345" w:rsidRPr="00BA4949" w:rsidRDefault="00B72345" w:rsidP="00B72345">
            <w:pPr>
              <w:spacing w:after="0"/>
              <w:jc w:val="center"/>
              <w:rPr>
                <w:rFonts w:cs="Arial"/>
                <w:sz w:val="20"/>
                <w:lang w:val="en-AU" w:eastAsia="en-AU"/>
              </w:rPr>
            </w:pPr>
            <w:r w:rsidRPr="00BA4949">
              <w:rPr>
                <w:rFonts w:cs="Arial"/>
                <w:sz w:val="20"/>
                <w:lang w:val="en-AU" w:eastAsia="en-AU"/>
              </w:rPr>
              <w:t>Coral index</w:t>
            </w:r>
          </w:p>
        </w:tc>
      </w:tr>
      <w:tr w:rsidR="00BA4949" w:rsidRPr="00BA4949" w14:paraId="077EFC7D" w14:textId="77777777" w:rsidTr="006C4059">
        <w:trPr>
          <w:trHeight w:hRule="exact" w:val="255"/>
        </w:trPr>
        <w:tc>
          <w:tcPr>
            <w:tcW w:w="771"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64D4783" w14:textId="77777777" w:rsidR="00B026FC" w:rsidRPr="00BA4949" w:rsidRDefault="00B026FC" w:rsidP="00B026FC">
            <w:pPr>
              <w:spacing w:after="0"/>
              <w:jc w:val="center"/>
              <w:rPr>
                <w:rFonts w:cs="Arial"/>
                <w:szCs w:val="22"/>
                <w:lang w:val="en-AU" w:eastAsia="en-AU"/>
              </w:rPr>
            </w:pPr>
            <w:r w:rsidRPr="00BA4949">
              <w:rPr>
                <w:rFonts w:cs="Arial"/>
                <w:szCs w:val="22"/>
                <w:lang w:val="en-AU" w:eastAsia="en-AU"/>
              </w:rPr>
              <w:t>Daintree</w:t>
            </w:r>
          </w:p>
        </w:tc>
        <w:tc>
          <w:tcPr>
            <w:tcW w:w="1576" w:type="dxa"/>
            <w:tcBorders>
              <w:top w:val="nil"/>
              <w:left w:val="nil"/>
              <w:bottom w:val="single" w:sz="4" w:space="0" w:color="auto"/>
              <w:right w:val="single" w:sz="4" w:space="0" w:color="auto"/>
            </w:tcBorders>
            <w:shd w:val="clear" w:color="auto" w:fill="auto"/>
            <w:noWrap/>
            <w:vAlign w:val="center"/>
            <w:hideMark/>
          </w:tcPr>
          <w:p w14:paraId="7DBD46E0"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Low Isles</w:t>
            </w:r>
          </w:p>
        </w:tc>
        <w:tc>
          <w:tcPr>
            <w:tcW w:w="284" w:type="dxa"/>
            <w:tcBorders>
              <w:top w:val="nil"/>
              <w:left w:val="nil"/>
              <w:bottom w:val="single" w:sz="4" w:space="0" w:color="auto"/>
              <w:right w:val="single" w:sz="4" w:space="0" w:color="auto"/>
            </w:tcBorders>
            <w:shd w:val="clear" w:color="auto" w:fill="auto"/>
            <w:noWrap/>
            <w:vAlign w:val="center"/>
            <w:hideMark/>
          </w:tcPr>
          <w:p w14:paraId="6154FADB" w14:textId="77777777" w:rsidR="00B026FC" w:rsidRPr="00BA4949" w:rsidRDefault="00B026FC" w:rsidP="00B026FC">
            <w:pPr>
              <w:spacing w:after="0"/>
              <w:jc w:val="center"/>
              <w:rPr>
                <w:rFonts w:ascii="Arial Narrow" w:hAnsi="Arial Narrow" w:cs="Arial"/>
                <w:sz w:val="20"/>
                <w:lang w:val="en-AU" w:eastAsia="en-AU"/>
              </w:rPr>
            </w:pPr>
            <w:r w:rsidRPr="00BA4949">
              <w:rPr>
                <w:rFonts w:ascii="Arial Narrow" w:hAnsi="Arial Narrow" w:cs="Arial"/>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14288A97" w14:textId="77777777" w:rsidR="00B026FC" w:rsidRPr="00BA4949" w:rsidRDefault="00B026FC" w:rsidP="00B026FC">
            <w:pPr>
              <w:jc w:val="center"/>
              <w:rPr>
                <w:rFonts w:ascii="Arial Narrow" w:hAnsi="Arial Narrow" w:cs="Arial"/>
                <w:sz w:val="20"/>
              </w:rPr>
            </w:pPr>
            <w:r w:rsidRPr="00BA4949">
              <w:rPr>
                <w:rFonts w:ascii="Arial Narrow" w:hAnsi="Arial Narrow"/>
                <w:sz w:val="20"/>
              </w:rPr>
              <w:t>0.63</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72596CF6" w14:textId="77777777" w:rsidR="00B026FC" w:rsidRPr="00BA4949" w:rsidRDefault="00B026FC" w:rsidP="00B026FC">
            <w:pPr>
              <w:jc w:val="center"/>
              <w:rPr>
                <w:rFonts w:ascii="Arial Narrow" w:hAnsi="Arial Narrow" w:cs="Arial"/>
                <w:sz w:val="20"/>
              </w:rPr>
            </w:pPr>
            <w:r w:rsidRPr="00BA4949">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hideMark/>
          </w:tcPr>
          <w:p w14:paraId="6BB61CB7" w14:textId="77777777" w:rsidR="00B026FC" w:rsidRPr="00BA4949" w:rsidRDefault="00B026FC" w:rsidP="00B026FC">
            <w:pPr>
              <w:jc w:val="center"/>
              <w:rPr>
                <w:rFonts w:ascii="Arial Narrow" w:hAnsi="Arial Narrow" w:cs="Arial"/>
                <w:sz w:val="20"/>
              </w:rPr>
            </w:pPr>
            <w:r w:rsidRPr="00BA4949">
              <w:rPr>
                <w:rFonts w:ascii="Arial Narrow" w:hAnsi="Arial Narrow"/>
                <w:sz w:val="20"/>
              </w:rPr>
              <w:t>0.98</w:t>
            </w:r>
          </w:p>
        </w:tc>
        <w:tc>
          <w:tcPr>
            <w:tcW w:w="1047" w:type="dxa"/>
            <w:tcBorders>
              <w:top w:val="nil"/>
              <w:left w:val="nil"/>
              <w:bottom w:val="single" w:sz="4" w:space="0" w:color="auto"/>
              <w:right w:val="single" w:sz="4" w:space="0" w:color="auto"/>
            </w:tcBorders>
            <w:shd w:val="clear" w:color="auto" w:fill="auto"/>
            <w:noWrap/>
            <w:hideMark/>
          </w:tcPr>
          <w:p w14:paraId="4478825B" w14:textId="77777777" w:rsidR="00B026FC" w:rsidRPr="00BA4949" w:rsidRDefault="00B026FC" w:rsidP="00B026FC">
            <w:pPr>
              <w:jc w:val="center"/>
              <w:rPr>
                <w:rFonts w:ascii="Arial Narrow" w:hAnsi="Arial Narrow" w:cs="Arial"/>
                <w:sz w:val="20"/>
              </w:rPr>
            </w:pPr>
            <w:r w:rsidRPr="00BA4949">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hideMark/>
          </w:tcPr>
          <w:p w14:paraId="5E2DA9DC" w14:textId="77777777" w:rsidR="00B026FC" w:rsidRPr="00BA4949" w:rsidRDefault="00B026FC" w:rsidP="00B026FC">
            <w:pPr>
              <w:jc w:val="center"/>
              <w:rPr>
                <w:rFonts w:ascii="Arial Narrow" w:hAnsi="Arial Narrow" w:cs="Arial"/>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00B050"/>
            <w:noWrap/>
            <w:hideMark/>
          </w:tcPr>
          <w:p w14:paraId="18DA3DBB" w14:textId="77777777" w:rsidR="00B026FC" w:rsidRPr="00BA4949" w:rsidRDefault="00B026FC" w:rsidP="00B026FC">
            <w:pPr>
              <w:jc w:val="center"/>
              <w:rPr>
                <w:rFonts w:ascii="Arial Narrow" w:hAnsi="Arial Narrow" w:cs="Arial"/>
                <w:sz w:val="20"/>
              </w:rPr>
            </w:pPr>
            <w:r w:rsidRPr="00BA4949">
              <w:rPr>
                <w:rFonts w:ascii="Arial Narrow" w:hAnsi="Arial Narrow"/>
                <w:sz w:val="20"/>
              </w:rPr>
              <w:t>0.82</w:t>
            </w:r>
          </w:p>
        </w:tc>
      </w:tr>
      <w:tr w:rsidR="00BA4949" w:rsidRPr="00BA4949" w14:paraId="2B09213F" w14:textId="77777777" w:rsidTr="00B026F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2DA8FAD0"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6AAC844"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Snapper North</w:t>
            </w:r>
          </w:p>
        </w:tc>
        <w:tc>
          <w:tcPr>
            <w:tcW w:w="284" w:type="dxa"/>
            <w:tcBorders>
              <w:top w:val="nil"/>
              <w:left w:val="nil"/>
              <w:bottom w:val="single" w:sz="4" w:space="0" w:color="auto"/>
              <w:right w:val="single" w:sz="4" w:space="0" w:color="auto"/>
            </w:tcBorders>
            <w:shd w:val="clear" w:color="auto" w:fill="auto"/>
            <w:noWrap/>
            <w:vAlign w:val="center"/>
            <w:hideMark/>
          </w:tcPr>
          <w:p w14:paraId="20D1B637" w14:textId="77777777" w:rsidR="00B026FC" w:rsidRPr="00BA4949" w:rsidRDefault="00B026FC" w:rsidP="00B026FC">
            <w:pPr>
              <w:spacing w:after="0"/>
              <w:jc w:val="center"/>
              <w:rPr>
                <w:rFonts w:ascii="Arial Narrow" w:hAnsi="Arial Narrow" w:cs="Arial"/>
                <w:sz w:val="20"/>
                <w:lang w:val="en-AU" w:eastAsia="en-AU"/>
              </w:rPr>
            </w:pPr>
            <w:r w:rsidRPr="00BA4949">
              <w:rPr>
                <w:rFonts w:ascii="Arial Narrow" w:hAnsi="Arial Narrow" w:cs="Arial"/>
                <w:sz w:val="20"/>
                <w:lang w:val="en-AU" w:eastAsia="en-AU"/>
              </w:rPr>
              <w:t>2</w:t>
            </w:r>
          </w:p>
        </w:tc>
        <w:tc>
          <w:tcPr>
            <w:tcW w:w="1134" w:type="dxa"/>
            <w:tcBorders>
              <w:top w:val="nil"/>
              <w:left w:val="nil"/>
              <w:bottom w:val="single" w:sz="4" w:space="0" w:color="auto"/>
              <w:right w:val="single" w:sz="4" w:space="0" w:color="auto"/>
            </w:tcBorders>
            <w:shd w:val="clear" w:color="auto" w:fill="auto"/>
            <w:noWrap/>
            <w:hideMark/>
          </w:tcPr>
          <w:p w14:paraId="284829D5" w14:textId="77777777" w:rsidR="00B026FC" w:rsidRPr="00BA4949" w:rsidRDefault="00B026FC" w:rsidP="00B026FC">
            <w:pPr>
              <w:jc w:val="center"/>
              <w:rPr>
                <w:rFonts w:ascii="Arial Narrow" w:hAnsi="Arial Narrow" w:cs="Arial"/>
                <w:sz w:val="20"/>
              </w:rPr>
            </w:pPr>
            <w:r w:rsidRPr="00BA4949">
              <w:rPr>
                <w:rFonts w:ascii="Arial Narrow" w:hAnsi="Arial Narrow"/>
                <w:sz w:val="20"/>
              </w:rPr>
              <w:t>0.09</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73799FA6" w14:textId="77777777" w:rsidR="00B026FC" w:rsidRPr="00BA4949" w:rsidRDefault="00B026FC" w:rsidP="00B026FC">
            <w:pPr>
              <w:jc w:val="center"/>
              <w:rPr>
                <w:rFonts w:ascii="Arial Narrow" w:hAnsi="Arial Narrow" w:cs="Arial"/>
                <w:sz w:val="20"/>
              </w:rPr>
            </w:pPr>
            <w:r w:rsidRPr="00BA4949">
              <w:rPr>
                <w:rFonts w:ascii="Arial Narrow" w:hAnsi="Arial Narrow"/>
                <w:sz w:val="20"/>
              </w:rPr>
              <w:t>0.03</w:t>
            </w:r>
          </w:p>
        </w:tc>
        <w:tc>
          <w:tcPr>
            <w:tcW w:w="1134" w:type="dxa"/>
            <w:tcBorders>
              <w:top w:val="nil"/>
              <w:left w:val="nil"/>
              <w:bottom w:val="single" w:sz="4" w:space="0" w:color="auto"/>
              <w:right w:val="single" w:sz="4" w:space="0" w:color="auto"/>
            </w:tcBorders>
            <w:shd w:val="clear" w:color="auto" w:fill="auto"/>
            <w:noWrap/>
            <w:hideMark/>
          </w:tcPr>
          <w:p w14:paraId="1BEEAA41" w14:textId="77777777" w:rsidR="00B026FC" w:rsidRPr="00BA4949" w:rsidRDefault="00B026FC" w:rsidP="00B026FC">
            <w:pPr>
              <w:jc w:val="center"/>
              <w:rPr>
                <w:rFonts w:ascii="Arial Narrow" w:hAnsi="Arial Narrow" w:cs="Arial"/>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2E063856" w14:textId="77777777" w:rsidR="00B026FC" w:rsidRPr="00BA4949" w:rsidRDefault="00B026FC" w:rsidP="00B026FC">
            <w:pPr>
              <w:jc w:val="center"/>
              <w:rPr>
                <w:rFonts w:ascii="Arial Narrow" w:hAnsi="Arial Narrow" w:cs="Arial"/>
                <w:sz w:val="20"/>
              </w:rPr>
            </w:pPr>
            <w:r w:rsidRPr="00BA4949">
              <w:rPr>
                <w:rFonts w:ascii="Arial Narrow" w:hAnsi="Arial Narrow"/>
                <w:sz w:val="20"/>
              </w:rPr>
              <w:t>0.51</w:t>
            </w:r>
          </w:p>
        </w:tc>
        <w:tc>
          <w:tcPr>
            <w:tcW w:w="1221" w:type="dxa"/>
            <w:tcBorders>
              <w:top w:val="nil"/>
              <w:left w:val="nil"/>
              <w:bottom w:val="single" w:sz="4" w:space="0" w:color="auto"/>
              <w:right w:val="single" w:sz="4" w:space="0" w:color="auto"/>
            </w:tcBorders>
            <w:shd w:val="clear" w:color="auto" w:fill="auto"/>
            <w:noWrap/>
            <w:hideMark/>
          </w:tcPr>
          <w:p w14:paraId="3FAC01FA" w14:textId="77777777" w:rsidR="00B026FC" w:rsidRPr="00BA4949" w:rsidRDefault="00B026FC" w:rsidP="00B026FC">
            <w:pPr>
              <w:jc w:val="center"/>
              <w:rPr>
                <w:rFonts w:ascii="Arial Narrow" w:hAnsi="Arial Narrow" w:cs="Arial"/>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000000" w:fill="FF0000"/>
            <w:noWrap/>
            <w:hideMark/>
          </w:tcPr>
          <w:p w14:paraId="44D49947" w14:textId="77777777" w:rsidR="00B026FC" w:rsidRPr="00BA4949" w:rsidRDefault="00B026FC" w:rsidP="00B026FC">
            <w:pPr>
              <w:jc w:val="center"/>
              <w:rPr>
                <w:rFonts w:ascii="Arial Narrow" w:hAnsi="Arial Narrow" w:cs="Arial"/>
                <w:sz w:val="20"/>
              </w:rPr>
            </w:pPr>
            <w:r w:rsidRPr="00BA4949">
              <w:rPr>
                <w:rFonts w:ascii="Arial Narrow" w:hAnsi="Arial Narrow"/>
                <w:sz w:val="20"/>
              </w:rPr>
              <w:t>0.13</w:t>
            </w:r>
          </w:p>
        </w:tc>
      </w:tr>
      <w:tr w:rsidR="00BA4949" w:rsidRPr="00BA4949" w14:paraId="5A58817A" w14:textId="77777777" w:rsidTr="006C405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84D294F"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633670BF"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3A90404E" w14:textId="77777777" w:rsidR="00B026FC" w:rsidRPr="00BA4949" w:rsidRDefault="00B026FC" w:rsidP="00B026FC">
            <w:pPr>
              <w:spacing w:after="0"/>
              <w:jc w:val="center"/>
              <w:rPr>
                <w:rFonts w:ascii="Arial Narrow" w:hAnsi="Arial Narrow" w:cs="Arial"/>
                <w:sz w:val="20"/>
                <w:lang w:val="en-AU" w:eastAsia="en-AU"/>
              </w:rPr>
            </w:pPr>
            <w:r w:rsidRPr="00BA4949">
              <w:rPr>
                <w:rFonts w:ascii="Arial Narrow" w:hAnsi="Arial Narrow" w:cs="Arial"/>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4AFFBFE9" w14:textId="77777777" w:rsidR="00B026FC" w:rsidRPr="00BA4949" w:rsidRDefault="00B026FC" w:rsidP="00B026FC">
            <w:pPr>
              <w:jc w:val="center"/>
              <w:rPr>
                <w:rFonts w:ascii="Arial Narrow" w:hAnsi="Arial Narrow" w:cs="Arial"/>
                <w:sz w:val="20"/>
              </w:rPr>
            </w:pPr>
            <w:r w:rsidRPr="00BA4949">
              <w:rPr>
                <w:rFonts w:ascii="Arial Narrow" w:hAnsi="Arial Narrow"/>
                <w:sz w:val="20"/>
              </w:rPr>
              <w:t>0.23</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507223BD" w14:textId="77777777" w:rsidR="00B026FC" w:rsidRPr="00BA4949" w:rsidRDefault="00B026FC" w:rsidP="00B026FC">
            <w:pPr>
              <w:jc w:val="center"/>
              <w:rPr>
                <w:rFonts w:ascii="Arial Narrow" w:hAnsi="Arial Narrow" w:cs="Arial"/>
                <w:sz w:val="20"/>
              </w:rPr>
            </w:pPr>
            <w:r w:rsidRPr="00BA4949">
              <w:rPr>
                <w:rFonts w:ascii="Arial Narrow" w:hAnsi="Arial Narrow"/>
                <w:sz w:val="20"/>
              </w:rPr>
              <w:t>0.10</w:t>
            </w:r>
          </w:p>
        </w:tc>
        <w:tc>
          <w:tcPr>
            <w:tcW w:w="1134" w:type="dxa"/>
            <w:tcBorders>
              <w:top w:val="nil"/>
              <w:left w:val="nil"/>
              <w:bottom w:val="single" w:sz="4" w:space="0" w:color="auto"/>
              <w:right w:val="single" w:sz="4" w:space="0" w:color="auto"/>
            </w:tcBorders>
            <w:shd w:val="clear" w:color="auto" w:fill="auto"/>
            <w:noWrap/>
            <w:hideMark/>
          </w:tcPr>
          <w:p w14:paraId="45D1D82F" w14:textId="77777777" w:rsidR="00B026FC" w:rsidRPr="00BA4949" w:rsidRDefault="00B026FC" w:rsidP="00B026FC">
            <w:pPr>
              <w:jc w:val="center"/>
              <w:rPr>
                <w:rFonts w:ascii="Arial Narrow" w:hAnsi="Arial Narrow" w:cs="Arial"/>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1E5F6AB4" w14:textId="77777777" w:rsidR="00B026FC" w:rsidRPr="00BA4949" w:rsidRDefault="00B026FC" w:rsidP="00B026FC">
            <w:pPr>
              <w:jc w:val="center"/>
              <w:rPr>
                <w:rFonts w:ascii="Arial Narrow" w:hAnsi="Arial Narrow" w:cs="Arial"/>
                <w:sz w:val="20"/>
              </w:rPr>
            </w:pPr>
            <w:r w:rsidRPr="00BA4949">
              <w:rPr>
                <w:rFonts w:ascii="Arial Narrow" w:hAnsi="Arial Narrow"/>
                <w:sz w:val="20"/>
              </w:rPr>
              <w:t>0.84</w:t>
            </w:r>
          </w:p>
        </w:tc>
        <w:tc>
          <w:tcPr>
            <w:tcW w:w="1221" w:type="dxa"/>
            <w:tcBorders>
              <w:top w:val="nil"/>
              <w:left w:val="nil"/>
              <w:bottom w:val="single" w:sz="4" w:space="0" w:color="auto"/>
              <w:right w:val="single" w:sz="4" w:space="0" w:color="auto"/>
            </w:tcBorders>
            <w:shd w:val="clear" w:color="auto" w:fill="auto"/>
            <w:noWrap/>
            <w:hideMark/>
          </w:tcPr>
          <w:p w14:paraId="4D8D36E2" w14:textId="77777777" w:rsidR="00B026FC" w:rsidRPr="00BA4949" w:rsidRDefault="00B026FC" w:rsidP="00B026FC">
            <w:pPr>
              <w:jc w:val="center"/>
              <w:rPr>
                <w:rFonts w:ascii="Arial Narrow" w:hAnsi="Arial Narrow" w:cs="Arial"/>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C000"/>
            <w:noWrap/>
            <w:hideMark/>
          </w:tcPr>
          <w:p w14:paraId="3D7F5E7C" w14:textId="77777777" w:rsidR="00B026FC" w:rsidRPr="00BA4949" w:rsidRDefault="00B026FC" w:rsidP="00B026FC">
            <w:pPr>
              <w:jc w:val="center"/>
              <w:rPr>
                <w:rFonts w:ascii="Arial Narrow" w:hAnsi="Arial Narrow" w:cs="Arial"/>
                <w:sz w:val="20"/>
              </w:rPr>
            </w:pPr>
            <w:r w:rsidRPr="00BA4949">
              <w:rPr>
                <w:rFonts w:ascii="Arial Narrow" w:hAnsi="Arial Narrow"/>
                <w:sz w:val="20"/>
              </w:rPr>
              <w:t>0.23</w:t>
            </w:r>
          </w:p>
        </w:tc>
      </w:tr>
      <w:tr w:rsidR="00BA4949" w:rsidRPr="00BA4949" w14:paraId="0320C85B" w14:textId="77777777" w:rsidTr="006C405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06C1BA3"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6CE86D"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Snapper South</w:t>
            </w:r>
          </w:p>
        </w:tc>
        <w:tc>
          <w:tcPr>
            <w:tcW w:w="284" w:type="dxa"/>
            <w:tcBorders>
              <w:top w:val="nil"/>
              <w:left w:val="nil"/>
              <w:bottom w:val="single" w:sz="4" w:space="0" w:color="auto"/>
              <w:right w:val="single" w:sz="4" w:space="0" w:color="auto"/>
            </w:tcBorders>
            <w:shd w:val="clear" w:color="auto" w:fill="auto"/>
            <w:noWrap/>
            <w:vAlign w:val="center"/>
            <w:hideMark/>
          </w:tcPr>
          <w:p w14:paraId="531D5784" w14:textId="77777777" w:rsidR="00B026FC" w:rsidRPr="00BA4949" w:rsidRDefault="00B026FC" w:rsidP="00B026FC">
            <w:pPr>
              <w:spacing w:after="0"/>
              <w:jc w:val="center"/>
              <w:rPr>
                <w:rFonts w:ascii="Arial Narrow" w:hAnsi="Arial Narrow" w:cs="Arial"/>
                <w:sz w:val="20"/>
                <w:lang w:val="en-AU" w:eastAsia="en-AU"/>
              </w:rPr>
            </w:pPr>
            <w:r w:rsidRPr="00BA4949">
              <w:rPr>
                <w:rFonts w:ascii="Arial Narrow" w:hAnsi="Arial Narrow" w:cs="Arial"/>
                <w:sz w:val="20"/>
                <w:lang w:val="en-AU" w:eastAsia="en-AU"/>
              </w:rPr>
              <w:t>2</w:t>
            </w:r>
          </w:p>
        </w:tc>
        <w:tc>
          <w:tcPr>
            <w:tcW w:w="1134" w:type="dxa"/>
            <w:tcBorders>
              <w:top w:val="nil"/>
              <w:left w:val="nil"/>
              <w:bottom w:val="single" w:sz="4" w:space="0" w:color="auto"/>
              <w:right w:val="single" w:sz="4" w:space="0" w:color="auto"/>
            </w:tcBorders>
            <w:shd w:val="clear" w:color="auto" w:fill="auto"/>
            <w:noWrap/>
            <w:hideMark/>
          </w:tcPr>
          <w:p w14:paraId="27B34C74" w14:textId="77777777" w:rsidR="00B026FC" w:rsidRPr="00BA4949" w:rsidRDefault="00B026FC" w:rsidP="00B026FC">
            <w:pPr>
              <w:jc w:val="center"/>
              <w:rPr>
                <w:rFonts w:ascii="Arial Narrow" w:hAnsi="Arial Narrow" w:cs="Arial"/>
                <w:sz w:val="20"/>
              </w:rPr>
            </w:pPr>
            <w:r w:rsidRPr="00BA4949">
              <w:rPr>
                <w:rFonts w:ascii="Arial Narrow" w:hAnsi="Arial Narrow"/>
                <w:sz w:val="20"/>
              </w:rPr>
              <w:t>0.66</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2488CE64" w14:textId="77777777" w:rsidR="00B026FC" w:rsidRPr="00BA4949" w:rsidRDefault="00B026FC" w:rsidP="00B026FC">
            <w:pPr>
              <w:jc w:val="center"/>
              <w:rPr>
                <w:rFonts w:ascii="Arial Narrow" w:hAnsi="Arial Narrow" w:cs="Arial"/>
                <w:sz w:val="20"/>
              </w:rPr>
            </w:pPr>
            <w:r w:rsidRPr="00BA4949">
              <w:rPr>
                <w:rFonts w:ascii="Arial Narrow" w:hAnsi="Arial Narrow"/>
                <w:sz w:val="20"/>
              </w:rPr>
              <w:t>0.20</w:t>
            </w:r>
          </w:p>
        </w:tc>
        <w:tc>
          <w:tcPr>
            <w:tcW w:w="1134" w:type="dxa"/>
            <w:tcBorders>
              <w:top w:val="nil"/>
              <w:left w:val="nil"/>
              <w:bottom w:val="single" w:sz="4" w:space="0" w:color="auto"/>
              <w:right w:val="single" w:sz="4" w:space="0" w:color="auto"/>
            </w:tcBorders>
            <w:shd w:val="clear" w:color="auto" w:fill="auto"/>
            <w:noWrap/>
            <w:hideMark/>
          </w:tcPr>
          <w:p w14:paraId="2F629A69" w14:textId="77777777" w:rsidR="00B026FC" w:rsidRPr="00BA4949" w:rsidRDefault="00B026FC" w:rsidP="00B026FC">
            <w:pPr>
              <w:jc w:val="center"/>
              <w:rPr>
                <w:rFonts w:ascii="Arial Narrow" w:hAnsi="Arial Narrow" w:cs="Arial"/>
                <w:sz w:val="20"/>
              </w:rPr>
            </w:pPr>
            <w:r w:rsidRPr="00BA4949">
              <w:rPr>
                <w:rFonts w:ascii="Arial Narrow" w:hAnsi="Arial Narrow"/>
                <w:sz w:val="20"/>
              </w:rPr>
              <w:t>0.84</w:t>
            </w:r>
          </w:p>
        </w:tc>
        <w:tc>
          <w:tcPr>
            <w:tcW w:w="1047" w:type="dxa"/>
            <w:tcBorders>
              <w:top w:val="nil"/>
              <w:left w:val="nil"/>
              <w:bottom w:val="single" w:sz="4" w:space="0" w:color="auto"/>
              <w:right w:val="single" w:sz="4" w:space="0" w:color="auto"/>
            </w:tcBorders>
            <w:shd w:val="clear" w:color="auto" w:fill="auto"/>
            <w:noWrap/>
            <w:hideMark/>
          </w:tcPr>
          <w:p w14:paraId="74CA7DF1" w14:textId="77777777" w:rsidR="00B026FC" w:rsidRPr="00BA4949" w:rsidRDefault="00B026FC" w:rsidP="00B026FC">
            <w:pPr>
              <w:jc w:val="center"/>
              <w:rPr>
                <w:rFonts w:ascii="Arial Narrow" w:hAnsi="Arial Narrow" w:cs="Arial"/>
                <w:sz w:val="20"/>
              </w:rPr>
            </w:pPr>
            <w:r w:rsidRPr="00BA4949">
              <w:rPr>
                <w:rFonts w:ascii="Arial Narrow" w:hAnsi="Arial Narrow"/>
                <w:sz w:val="20"/>
              </w:rPr>
              <w:t>0.57</w:t>
            </w:r>
          </w:p>
        </w:tc>
        <w:tc>
          <w:tcPr>
            <w:tcW w:w="1221" w:type="dxa"/>
            <w:tcBorders>
              <w:top w:val="nil"/>
              <w:left w:val="nil"/>
              <w:bottom w:val="single" w:sz="4" w:space="0" w:color="auto"/>
              <w:right w:val="single" w:sz="4" w:space="0" w:color="auto"/>
            </w:tcBorders>
            <w:shd w:val="clear" w:color="auto" w:fill="auto"/>
            <w:noWrap/>
            <w:hideMark/>
          </w:tcPr>
          <w:p w14:paraId="174E718D" w14:textId="77777777" w:rsidR="00B026FC" w:rsidRPr="00BA4949" w:rsidRDefault="00B026FC" w:rsidP="00B026FC">
            <w:pPr>
              <w:jc w:val="center"/>
              <w:rPr>
                <w:rFonts w:ascii="Arial Narrow" w:hAnsi="Arial Narrow" w:cs="Arial"/>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FF00"/>
            <w:noWrap/>
            <w:hideMark/>
          </w:tcPr>
          <w:p w14:paraId="3766F063" w14:textId="77777777" w:rsidR="00B026FC" w:rsidRPr="00BA4949" w:rsidRDefault="00B026FC" w:rsidP="00B026FC">
            <w:pPr>
              <w:jc w:val="center"/>
              <w:rPr>
                <w:rFonts w:ascii="Arial Narrow" w:hAnsi="Arial Narrow" w:cs="Arial"/>
                <w:sz w:val="20"/>
              </w:rPr>
            </w:pPr>
            <w:r w:rsidRPr="00BA4949">
              <w:rPr>
                <w:rFonts w:ascii="Arial Narrow" w:hAnsi="Arial Narrow"/>
                <w:sz w:val="20"/>
              </w:rPr>
              <w:t>0.56</w:t>
            </w:r>
          </w:p>
        </w:tc>
      </w:tr>
      <w:tr w:rsidR="00BA4949" w:rsidRPr="00BA4949" w14:paraId="45C90E58" w14:textId="77777777" w:rsidTr="006C405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BB2FBFD"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3C79E3D7"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2B26922A" w14:textId="77777777" w:rsidR="00B026FC" w:rsidRPr="00BA4949" w:rsidRDefault="00B026FC" w:rsidP="00B026FC">
            <w:pPr>
              <w:spacing w:after="0"/>
              <w:jc w:val="center"/>
              <w:rPr>
                <w:rFonts w:ascii="Arial Narrow" w:hAnsi="Arial Narrow" w:cs="Arial"/>
                <w:sz w:val="20"/>
                <w:lang w:val="en-AU" w:eastAsia="en-AU"/>
              </w:rPr>
            </w:pPr>
            <w:r w:rsidRPr="00BA4949">
              <w:rPr>
                <w:rFonts w:ascii="Arial Narrow" w:hAnsi="Arial Narrow" w:cs="Arial"/>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01C20DAF" w14:textId="77777777" w:rsidR="00B026FC" w:rsidRPr="00BA4949" w:rsidRDefault="00B026FC" w:rsidP="00B026FC">
            <w:pPr>
              <w:jc w:val="center"/>
              <w:rPr>
                <w:rFonts w:ascii="Arial Narrow" w:hAnsi="Arial Narrow" w:cs="Arial"/>
                <w:sz w:val="20"/>
              </w:rPr>
            </w:pPr>
            <w:r w:rsidRPr="00BA4949">
              <w:rPr>
                <w:rFonts w:ascii="Arial Narrow" w:hAnsi="Arial Narrow"/>
                <w:sz w:val="20"/>
              </w:rPr>
              <w:t>0.73</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0C939D70" w14:textId="77777777" w:rsidR="00B026FC" w:rsidRPr="00BA4949" w:rsidRDefault="00B026FC" w:rsidP="00B026FC">
            <w:pPr>
              <w:jc w:val="center"/>
              <w:rPr>
                <w:rFonts w:ascii="Arial Narrow" w:hAnsi="Arial Narrow" w:cs="Arial"/>
                <w:sz w:val="20"/>
              </w:rPr>
            </w:pPr>
            <w:r w:rsidRPr="00BA4949">
              <w:rPr>
                <w:rFonts w:ascii="Arial Narrow" w:hAnsi="Arial Narrow"/>
                <w:sz w:val="20"/>
              </w:rPr>
              <w:t>0.05</w:t>
            </w:r>
          </w:p>
        </w:tc>
        <w:tc>
          <w:tcPr>
            <w:tcW w:w="1134" w:type="dxa"/>
            <w:tcBorders>
              <w:top w:val="nil"/>
              <w:left w:val="nil"/>
              <w:bottom w:val="single" w:sz="4" w:space="0" w:color="auto"/>
              <w:right w:val="single" w:sz="4" w:space="0" w:color="auto"/>
            </w:tcBorders>
            <w:shd w:val="clear" w:color="auto" w:fill="auto"/>
            <w:noWrap/>
            <w:hideMark/>
          </w:tcPr>
          <w:p w14:paraId="160B8146" w14:textId="77777777" w:rsidR="00B026FC" w:rsidRPr="00BA4949" w:rsidRDefault="00B026FC" w:rsidP="00B026FC">
            <w:pPr>
              <w:jc w:val="center"/>
              <w:rPr>
                <w:rFonts w:ascii="Arial Narrow" w:hAnsi="Arial Narrow" w:cs="Arial"/>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526B0BA6" w14:textId="77777777" w:rsidR="00B026FC" w:rsidRPr="00BA4949" w:rsidRDefault="00B026FC" w:rsidP="00B026FC">
            <w:pPr>
              <w:jc w:val="center"/>
              <w:rPr>
                <w:rFonts w:ascii="Arial Narrow" w:hAnsi="Arial Narrow" w:cs="Arial"/>
                <w:sz w:val="20"/>
              </w:rPr>
            </w:pPr>
            <w:r w:rsidRPr="00BA4949">
              <w:rPr>
                <w:rFonts w:ascii="Arial Narrow" w:hAnsi="Arial Narrow"/>
                <w:sz w:val="20"/>
              </w:rPr>
              <w:t>0.37</w:t>
            </w:r>
          </w:p>
        </w:tc>
        <w:tc>
          <w:tcPr>
            <w:tcW w:w="1221" w:type="dxa"/>
            <w:tcBorders>
              <w:top w:val="nil"/>
              <w:left w:val="nil"/>
              <w:bottom w:val="single" w:sz="4" w:space="0" w:color="auto"/>
              <w:right w:val="single" w:sz="4" w:space="0" w:color="auto"/>
            </w:tcBorders>
            <w:shd w:val="clear" w:color="auto" w:fill="auto"/>
            <w:noWrap/>
            <w:hideMark/>
          </w:tcPr>
          <w:p w14:paraId="6FAAB6DB" w14:textId="77777777" w:rsidR="00B026FC" w:rsidRPr="00BA4949" w:rsidRDefault="00B026FC" w:rsidP="00B026FC">
            <w:pPr>
              <w:jc w:val="center"/>
              <w:rPr>
                <w:rFonts w:ascii="Arial Narrow" w:hAnsi="Arial Narrow" w:cs="Arial"/>
                <w:sz w:val="20"/>
              </w:rPr>
            </w:pPr>
            <w:r w:rsidRPr="00BA4949">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FFFF00"/>
            <w:noWrap/>
            <w:hideMark/>
          </w:tcPr>
          <w:p w14:paraId="0335E619" w14:textId="77777777" w:rsidR="00B026FC" w:rsidRPr="00BA4949" w:rsidRDefault="00B026FC" w:rsidP="00B026FC">
            <w:pPr>
              <w:jc w:val="center"/>
              <w:rPr>
                <w:rFonts w:ascii="Arial Narrow" w:hAnsi="Arial Narrow" w:cs="Arial"/>
                <w:sz w:val="20"/>
              </w:rPr>
            </w:pPr>
            <w:r w:rsidRPr="00BA4949">
              <w:rPr>
                <w:rFonts w:ascii="Arial Narrow" w:hAnsi="Arial Narrow"/>
                <w:sz w:val="20"/>
              </w:rPr>
              <w:t>0.43</w:t>
            </w:r>
          </w:p>
        </w:tc>
      </w:tr>
      <w:tr w:rsidR="00BA4949" w:rsidRPr="00BA4949" w14:paraId="0FEC37F3" w14:textId="77777777" w:rsidTr="006C4059">
        <w:trPr>
          <w:trHeight w:hRule="exact" w:val="255"/>
        </w:trPr>
        <w:tc>
          <w:tcPr>
            <w:tcW w:w="2631" w:type="dxa"/>
            <w:gridSpan w:val="3"/>
            <w:tcBorders>
              <w:top w:val="nil"/>
              <w:left w:val="single" w:sz="4" w:space="0" w:color="auto"/>
              <w:bottom w:val="single" w:sz="4" w:space="0" w:color="auto"/>
              <w:right w:val="single" w:sz="4" w:space="0" w:color="auto"/>
            </w:tcBorders>
            <w:shd w:val="clear" w:color="auto" w:fill="FFFF00"/>
            <w:vAlign w:val="center"/>
          </w:tcPr>
          <w:p w14:paraId="4D3827D4" w14:textId="77777777" w:rsidR="006C4059" w:rsidRPr="00BA4949" w:rsidRDefault="006C4059" w:rsidP="006C4059">
            <w:pPr>
              <w:spacing w:after="0"/>
              <w:jc w:val="center"/>
              <w:rPr>
                <w:rFonts w:ascii="Arial Narrow" w:hAnsi="Arial Narrow" w:cs="Arial"/>
                <w:sz w:val="20"/>
                <w:lang w:val="en-AU" w:eastAsia="en-AU"/>
              </w:rPr>
            </w:pPr>
            <w:r w:rsidRPr="00BA4949">
              <w:rPr>
                <w:rFonts w:ascii="Arial Narrow" w:hAnsi="Arial Narrow" w:cs="Arial"/>
                <w:sz w:val="20"/>
                <w:lang w:val="en-AU" w:eastAsia="en-AU"/>
              </w:rPr>
              <w:t>Report Card Score - Moderate</w:t>
            </w:r>
          </w:p>
        </w:tc>
        <w:tc>
          <w:tcPr>
            <w:tcW w:w="1134" w:type="dxa"/>
            <w:tcBorders>
              <w:top w:val="nil"/>
              <w:left w:val="nil"/>
              <w:bottom w:val="single" w:sz="4" w:space="0" w:color="auto"/>
              <w:right w:val="single" w:sz="4" w:space="0" w:color="auto"/>
            </w:tcBorders>
            <w:shd w:val="clear" w:color="auto" w:fill="FFFF00"/>
            <w:noWrap/>
          </w:tcPr>
          <w:p w14:paraId="7E5CC308" w14:textId="77777777" w:rsidR="006C4059" w:rsidRPr="00BA4949" w:rsidRDefault="006C4059" w:rsidP="006C4059">
            <w:pPr>
              <w:jc w:val="center"/>
              <w:rPr>
                <w:rFonts w:ascii="Arial Narrow" w:hAnsi="Arial Narrow" w:cs="Arial"/>
                <w:sz w:val="20"/>
              </w:rPr>
            </w:pPr>
            <w:r w:rsidRPr="00BA4949">
              <w:rPr>
                <w:rFonts w:ascii="Arial Narrow" w:hAnsi="Arial Narrow"/>
                <w:sz w:val="20"/>
              </w:rPr>
              <w:t>0.47</w:t>
            </w:r>
          </w:p>
        </w:tc>
        <w:tc>
          <w:tcPr>
            <w:tcW w:w="1134" w:type="dxa"/>
            <w:tcBorders>
              <w:top w:val="nil"/>
              <w:left w:val="nil"/>
              <w:bottom w:val="single" w:sz="4" w:space="0" w:color="auto"/>
              <w:right w:val="single" w:sz="4" w:space="0" w:color="auto"/>
            </w:tcBorders>
            <w:shd w:val="clear" w:color="auto" w:fill="FFC000"/>
            <w:noWrap/>
            <w:tcMar>
              <w:left w:w="0" w:type="dxa"/>
              <w:right w:w="0" w:type="dxa"/>
            </w:tcMar>
          </w:tcPr>
          <w:p w14:paraId="47B31400" w14:textId="77777777" w:rsidR="006C4059" w:rsidRPr="00BA4949" w:rsidRDefault="006C4059" w:rsidP="006C4059">
            <w:pPr>
              <w:jc w:val="center"/>
              <w:rPr>
                <w:rFonts w:ascii="Arial Narrow" w:hAnsi="Arial Narrow" w:cs="Arial"/>
                <w:sz w:val="20"/>
              </w:rPr>
            </w:pPr>
            <w:r w:rsidRPr="00BA4949">
              <w:rPr>
                <w:rFonts w:ascii="Arial Narrow" w:hAnsi="Arial Narrow"/>
                <w:sz w:val="20"/>
              </w:rPr>
              <w:t>0.28</w:t>
            </w:r>
          </w:p>
        </w:tc>
        <w:tc>
          <w:tcPr>
            <w:tcW w:w="1134" w:type="dxa"/>
            <w:tcBorders>
              <w:top w:val="nil"/>
              <w:left w:val="nil"/>
              <w:bottom w:val="single" w:sz="4" w:space="0" w:color="auto"/>
              <w:right w:val="single" w:sz="4" w:space="0" w:color="auto"/>
            </w:tcBorders>
            <w:shd w:val="clear" w:color="auto" w:fill="FFC000"/>
            <w:noWrap/>
          </w:tcPr>
          <w:p w14:paraId="3C1314D9" w14:textId="77777777" w:rsidR="006C4059" w:rsidRPr="00BA4949" w:rsidRDefault="006C4059" w:rsidP="006C4059">
            <w:pPr>
              <w:jc w:val="center"/>
              <w:rPr>
                <w:rFonts w:ascii="Arial Narrow" w:hAnsi="Arial Narrow" w:cs="Arial"/>
                <w:sz w:val="20"/>
              </w:rPr>
            </w:pPr>
            <w:r w:rsidRPr="00BA4949">
              <w:rPr>
                <w:rFonts w:ascii="Arial Narrow" w:hAnsi="Arial Narrow"/>
                <w:sz w:val="20"/>
              </w:rPr>
              <w:t>0.36</w:t>
            </w:r>
          </w:p>
        </w:tc>
        <w:tc>
          <w:tcPr>
            <w:tcW w:w="1047" w:type="dxa"/>
            <w:tcBorders>
              <w:top w:val="nil"/>
              <w:left w:val="nil"/>
              <w:bottom w:val="single" w:sz="4" w:space="0" w:color="auto"/>
              <w:right w:val="single" w:sz="4" w:space="0" w:color="auto"/>
            </w:tcBorders>
            <w:shd w:val="clear" w:color="auto" w:fill="92D050"/>
            <w:noWrap/>
          </w:tcPr>
          <w:p w14:paraId="4313A24C" w14:textId="77777777" w:rsidR="006C4059" w:rsidRPr="00BA4949" w:rsidRDefault="006C4059" w:rsidP="006C4059">
            <w:pPr>
              <w:jc w:val="center"/>
              <w:rPr>
                <w:rFonts w:ascii="Arial Narrow" w:hAnsi="Arial Narrow" w:cs="Arial"/>
                <w:sz w:val="20"/>
              </w:rPr>
            </w:pPr>
            <w:r w:rsidRPr="00BA4949">
              <w:rPr>
                <w:rFonts w:ascii="Arial Narrow" w:hAnsi="Arial Narrow"/>
                <w:sz w:val="20"/>
              </w:rPr>
              <w:t>0.66</w:t>
            </w:r>
          </w:p>
        </w:tc>
        <w:tc>
          <w:tcPr>
            <w:tcW w:w="1221" w:type="dxa"/>
            <w:tcBorders>
              <w:top w:val="nil"/>
              <w:left w:val="nil"/>
              <w:bottom w:val="single" w:sz="4" w:space="0" w:color="auto"/>
              <w:right w:val="single" w:sz="4" w:space="0" w:color="auto"/>
            </w:tcBorders>
            <w:shd w:val="clear" w:color="auto" w:fill="FFC000"/>
            <w:noWrap/>
          </w:tcPr>
          <w:p w14:paraId="634612CD" w14:textId="77777777" w:rsidR="006C4059" w:rsidRPr="00BA4949" w:rsidRDefault="006C4059" w:rsidP="006C4059">
            <w:pPr>
              <w:jc w:val="center"/>
              <w:rPr>
                <w:rFonts w:ascii="Arial Narrow" w:hAnsi="Arial Narrow" w:cs="Arial"/>
                <w:sz w:val="20"/>
              </w:rPr>
            </w:pPr>
            <w:r w:rsidRPr="00BA4949">
              <w:rPr>
                <w:rFonts w:ascii="Arial Narrow" w:hAnsi="Arial Narrow"/>
                <w:sz w:val="20"/>
              </w:rPr>
              <w:t>0.40</w:t>
            </w:r>
          </w:p>
        </w:tc>
        <w:tc>
          <w:tcPr>
            <w:tcW w:w="1117" w:type="dxa"/>
            <w:tcBorders>
              <w:top w:val="nil"/>
              <w:left w:val="nil"/>
              <w:bottom w:val="single" w:sz="4" w:space="0" w:color="auto"/>
              <w:right w:val="single" w:sz="4" w:space="0" w:color="auto"/>
            </w:tcBorders>
            <w:shd w:val="clear" w:color="auto" w:fill="FFFF00"/>
            <w:noWrap/>
          </w:tcPr>
          <w:p w14:paraId="124C3078" w14:textId="77777777" w:rsidR="006C4059" w:rsidRPr="00BA4949" w:rsidRDefault="006C4059" w:rsidP="006C4059">
            <w:pPr>
              <w:jc w:val="center"/>
              <w:rPr>
                <w:rFonts w:ascii="Arial Narrow" w:hAnsi="Arial Narrow" w:cs="Arial"/>
                <w:sz w:val="20"/>
              </w:rPr>
            </w:pPr>
            <w:r w:rsidRPr="00BA4949">
              <w:rPr>
                <w:rFonts w:ascii="Arial Narrow" w:hAnsi="Arial Narrow"/>
                <w:sz w:val="20"/>
              </w:rPr>
              <w:t>0.43</w:t>
            </w:r>
          </w:p>
        </w:tc>
      </w:tr>
      <w:tr w:rsidR="00B026FC" w:rsidRPr="00BA4949" w14:paraId="78513A2E" w14:textId="77777777" w:rsidTr="00B026FC">
        <w:trPr>
          <w:trHeight w:hRule="exact" w:val="255"/>
        </w:trPr>
        <w:tc>
          <w:tcPr>
            <w:tcW w:w="771" w:type="dxa"/>
            <w:vMerge w:val="restart"/>
            <w:tcBorders>
              <w:top w:val="nil"/>
              <w:left w:val="single" w:sz="4" w:space="0" w:color="auto"/>
              <w:right w:val="single" w:sz="4" w:space="0" w:color="auto"/>
            </w:tcBorders>
            <w:shd w:val="clear" w:color="auto" w:fill="auto"/>
            <w:noWrap/>
            <w:textDirection w:val="btLr"/>
            <w:vAlign w:val="center"/>
          </w:tcPr>
          <w:p w14:paraId="742B1C46" w14:textId="77777777" w:rsidR="00B026FC" w:rsidRPr="00BA4949" w:rsidRDefault="00B026FC" w:rsidP="00B026FC">
            <w:pPr>
              <w:spacing w:after="0"/>
              <w:jc w:val="center"/>
              <w:rPr>
                <w:rFonts w:cs="Arial"/>
                <w:szCs w:val="22"/>
                <w:lang w:val="en-AU" w:eastAsia="en-AU"/>
              </w:rPr>
            </w:pPr>
            <w:r w:rsidRPr="00BA4949">
              <w:rPr>
                <w:rFonts w:cs="Arial"/>
                <w:szCs w:val="22"/>
                <w:lang w:val="en-AU" w:eastAsia="en-AU"/>
              </w:rPr>
              <w:t>Johnstone Russell-Mulgrave</w:t>
            </w:r>
          </w:p>
        </w:tc>
        <w:tc>
          <w:tcPr>
            <w:tcW w:w="1576" w:type="dxa"/>
            <w:tcBorders>
              <w:top w:val="nil"/>
              <w:left w:val="single" w:sz="4" w:space="0" w:color="auto"/>
              <w:bottom w:val="single" w:sz="4" w:space="0" w:color="auto"/>
              <w:right w:val="single" w:sz="4" w:space="0" w:color="auto"/>
            </w:tcBorders>
            <w:shd w:val="clear" w:color="auto" w:fill="auto"/>
            <w:noWrap/>
            <w:vAlign w:val="center"/>
          </w:tcPr>
          <w:p w14:paraId="34E88FB5"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Green</w:t>
            </w:r>
          </w:p>
        </w:tc>
        <w:tc>
          <w:tcPr>
            <w:tcW w:w="284" w:type="dxa"/>
            <w:tcBorders>
              <w:top w:val="nil"/>
              <w:left w:val="nil"/>
              <w:bottom w:val="single" w:sz="4" w:space="0" w:color="auto"/>
              <w:right w:val="single" w:sz="4" w:space="0" w:color="auto"/>
            </w:tcBorders>
            <w:shd w:val="clear" w:color="auto" w:fill="auto"/>
            <w:noWrap/>
            <w:vAlign w:val="center"/>
          </w:tcPr>
          <w:p w14:paraId="58DDEA58"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tcPr>
          <w:p w14:paraId="547418C5" w14:textId="77777777" w:rsidR="00B026FC" w:rsidRPr="00BA4949" w:rsidRDefault="00B026FC" w:rsidP="00B026FC">
            <w:pPr>
              <w:jc w:val="center"/>
              <w:rPr>
                <w:rFonts w:ascii="Arial Narrow" w:hAnsi="Arial Narrow"/>
                <w:sz w:val="20"/>
              </w:rPr>
            </w:pPr>
            <w:r w:rsidRPr="00BA4949">
              <w:rPr>
                <w:rFonts w:ascii="Arial Narrow" w:hAnsi="Arial Narrow"/>
                <w:sz w:val="20"/>
              </w:rPr>
              <w:t>0.18</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04E71F80"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tcPr>
          <w:p w14:paraId="31B0347D" w14:textId="77777777" w:rsidR="00B026FC" w:rsidRPr="00BA4949" w:rsidRDefault="00B026FC" w:rsidP="00B026FC">
            <w:pPr>
              <w:jc w:val="center"/>
              <w:rPr>
                <w:rFonts w:ascii="Arial Narrow" w:hAnsi="Arial Narrow"/>
                <w:sz w:val="20"/>
              </w:rPr>
            </w:pPr>
            <w:r w:rsidRPr="00BA4949">
              <w:rPr>
                <w:rFonts w:ascii="Arial Narrow" w:hAnsi="Arial Narrow"/>
                <w:sz w:val="20"/>
              </w:rPr>
              <w:t>0.59</w:t>
            </w:r>
          </w:p>
        </w:tc>
        <w:tc>
          <w:tcPr>
            <w:tcW w:w="1047" w:type="dxa"/>
            <w:tcBorders>
              <w:top w:val="nil"/>
              <w:left w:val="nil"/>
              <w:bottom w:val="single" w:sz="4" w:space="0" w:color="auto"/>
              <w:right w:val="single" w:sz="4" w:space="0" w:color="auto"/>
            </w:tcBorders>
            <w:shd w:val="clear" w:color="auto" w:fill="auto"/>
            <w:noWrap/>
          </w:tcPr>
          <w:p w14:paraId="4FDA61B9" w14:textId="77777777" w:rsidR="00B026FC" w:rsidRPr="00BA4949" w:rsidRDefault="00B026FC" w:rsidP="00B026FC">
            <w:pPr>
              <w:jc w:val="center"/>
              <w:rPr>
                <w:rFonts w:ascii="Arial Narrow" w:hAnsi="Arial Narrow"/>
                <w:sz w:val="20"/>
              </w:rPr>
            </w:pPr>
            <w:r w:rsidRPr="00BA4949">
              <w:rPr>
                <w:rFonts w:ascii="Arial Narrow" w:hAnsi="Arial Narrow"/>
                <w:sz w:val="20"/>
              </w:rPr>
              <w:t>0.74</w:t>
            </w:r>
          </w:p>
        </w:tc>
        <w:tc>
          <w:tcPr>
            <w:tcW w:w="1221" w:type="dxa"/>
            <w:tcBorders>
              <w:top w:val="nil"/>
              <w:left w:val="nil"/>
              <w:bottom w:val="single" w:sz="4" w:space="0" w:color="auto"/>
              <w:right w:val="single" w:sz="4" w:space="0" w:color="auto"/>
            </w:tcBorders>
            <w:shd w:val="clear" w:color="auto" w:fill="auto"/>
            <w:noWrap/>
          </w:tcPr>
          <w:p w14:paraId="07E3C689"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FF00"/>
            <w:noWrap/>
          </w:tcPr>
          <w:p w14:paraId="48441E75" w14:textId="77777777" w:rsidR="00B026FC" w:rsidRPr="00BA4949" w:rsidRDefault="00B026FC" w:rsidP="00B026FC">
            <w:pPr>
              <w:jc w:val="center"/>
              <w:rPr>
                <w:rFonts w:ascii="Arial Narrow" w:hAnsi="Arial Narrow"/>
                <w:sz w:val="20"/>
              </w:rPr>
            </w:pPr>
            <w:r w:rsidRPr="00BA4949">
              <w:rPr>
                <w:rFonts w:ascii="Arial Narrow" w:hAnsi="Arial Narrow"/>
                <w:sz w:val="20"/>
              </w:rPr>
              <w:t>0.60</w:t>
            </w:r>
          </w:p>
        </w:tc>
      </w:tr>
      <w:tr w:rsidR="00B026FC" w:rsidRPr="00BA4949" w14:paraId="23A79CC4" w14:textId="77777777" w:rsidTr="00B026FC">
        <w:trPr>
          <w:trHeight w:hRule="exact" w:val="255"/>
        </w:trPr>
        <w:tc>
          <w:tcPr>
            <w:tcW w:w="771" w:type="dxa"/>
            <w:vMerge/>
            <w:tcBorders>
              <w:left w:val="single" w:sz="4" w:space="0" w:color="auto"/>
              <w:right w:val="single" w:sz="4" w:space="0" w:color="auto"/>
            </w:tcBorders>
            <w:shd w:val="clear" w:color="auto" w:fill="auto"/>
            <w:noWrap/>
            <w:textDirection w:val="btLr"/>
            <w:vAlign w:val="center"/>
          </w:tcPr>
          <w:p w14:paraId="5F31E215" w14:textId="77777777" w:rsidR="00B026FC" w:rsidRPr="00BA4949" w:rsidRDefault="00B026FC" w:rsidP="00B026FC">
            <w:pPr>
              <w:spacing w:after="0"/>
              <w:jc w:val="center"/>
              <w:rPr>
                <w:rFonts w:cs="Arial"/>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17BB24B6"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Fitzroy East</w:t>
            </w:r>
          </w:p>
        </w:tc>
        <w:tc>
          <w:tcPr>
            <w:tcW w:w="284" w:type="dxa"/>
            <w:tcBorders>
              <w:top w:val="nil"/>
              <w:left w:val="nil"/>
              <w:bottom w:val="single" w:sz="4" w:space="0" w:color="auto"/>
              <w:right w:val="single" w:sz="4" w:space="0" w:color="auto"/>
            </w:tcBorders>
            <w:shd w:val="clear" w:color="auto" w:fill="auto"/>
            <w:noWrap/>
            <w:vAlign w:val="center"/>
          </w:tcPr>
          <w:p w14:paraId="017C0EDF"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tcPr>
          <w:p w14:paraId="0F532FB2" w14:textId="77777777" w:rsidR="00B026FC" w:rsidRPr="00BA4949" w:rsidRDefault="00B026FC" w:rsidP="00B026FC">
            <w:pPr>
              <w:jc w:val="center"/>
              <w:rPr>
                <w:rFonts w:ascii="Arial Narrow" w:hAnsi="Arial Narrow"/>
                <w:sz w:val="20"/>
              </w:rPr>
            </w:pPr>
            <w:r w:rsidRPr="00BA4949">
              <w:rPr>
                <w:rFonts w:ascii="Arial Narrow" w:hAnsi="Arial Narrow"/>
                <w:sz w:val="20"/>
              </w:rPr>
              <w:t>0.48</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0559795D" w14:textId="77777777" w:rsidR="00B026FC" w:rsidRPr="00BA4949" w:rsidRDefault="00B026FC" w:rsidP="00B026FC">
            <w:pPr>
              <w:jc w:val="center"/>
              <w:rPr>
                <w:rFonts w:ascii="Arial Narrow" w:hAnsi="Arial Narrow"/>
                <w:sz w:val="20"/>
              </w:rPr>
            </w:pPr>
            <w:r w:rsidRPr="00BA4949">
              <w:rPr>
                <w:rFonts w:ascii="Arial Narrow" w:hAnsi="Arial Narrow"/>
                <w:sz w:val="20"/>
              </w:rPr>
              <w:t>0.29</w:t>
            </w:r>
          </w:p>
        </w:tc>
        <w:tc>
          <w:tcPr>
            <w:tcW w:w="1134" w:type="dxa"/>
            <w:tcBorders>
              <w:top w:val="nil"/>
              <w:left w:val="nil"/>
              <w:bottom w:val="single" w:sz="4" w:space="0" w:color="auto"/>
              <w:right w:val="single" w:sz="4" w:space="0" w:color="auto"/>
            </w:tcBorders>
            <w:shd w:val="clear" w:color="auto" w:fill="auto"/>
            <w:noWrap/>
          </w:tcPr>
          <w:p w14:paraId="54919E84"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tcPr>
          <w:p w14:paraId="717B1936"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tcPr>
          <w:p w14:paraId="1A831A51"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000000" w:fill="92D050"/>
            <w:noWrap/>
          </w:tcPr>
          <w:p w14:paraId="329545E8" w14:textId="77777777" w:rsidR="00B026FC" w:rsidRPr="00BA4949" w:rsidRDefault="00B026FC" w:rsidP="00B026FC">
            <w:pPr>
              <w:jc w:val="center"/>
              <w:rPr>
                <w:rFonts w:ascii="Arial Narrow" w:hAnsi="Arial Narrow"/>
                <w:sz w:val="20"/>
              </w:rPr>
            </w:pPr>
            <w:r w:rsidRPr="00BA4949">
              <w:rPr>
                <w:rFonts w:ascii="Arial Narrow" w:hAnsi="Arial Narrow"/>
                <w:sz w:val="20"/>
              </w:rPr>
              <w:t>0.66</w:t>
            </w:r>
          </w:p>
        </w:tc>
      </w:tr>
      <w:tr w:rsidR="00B026FC" w:rsidRPr="00BA4949" w14:paraId="46E85D0C" w14:textId="77777777" w:rsidTr="00B026FC">
        <w:trPr>
          <w:trHeight w:hRule="exact" w:val="255"/>
        </w:trPr>
        <w:tc>
          <w:tcPr>
            <w:tcW w:w="771" w:type="dxa"/>
            <w:vMerge/>
            <w:tcBorders>
              <w:left w:val="single" w:sz="4" w:space="0" w:color="auto"/>
              <w:right w:val="single" w:sz="4" w:space="0" w:color="auto"/>
            </w:tcBorders>
            <w:vAlign w:val="center"/>
          </w:tcPr>
          <w:p w14:paraId="7035C99E"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tcPr>
          <w:p w14:paraId="5A849800"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tcPr>
          <w:p w14:paraId="2BC81D88"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tcPr>
          <w:p w14:paraId="3721A29A" w14:textId="77777777" w:rsidR="00B026FC" w:rsidRPr="00BA4949" w:rsidRDefault="00B026FC" w:rsidP="00B026FC">
            <w:pPr>
              <w:jc w:val="center"/>
              <w:rPr>
                <w:rFonts w:ascii="Arial Narrow" w:hAnsi="Arial Narrow"/>
                <w:sz w:val="20"/>
              </w:rPr>
            </w:pPr>
            <w:r w:rsidRPr="00BA4949">
              <w:rPr>
                <w:rFonts w:ascii="Arial Narrow" w:hAnsi="Arial Narrow"/>
                <w:sz w:val="20"/>
              </w:rPr>
              <w:t>0.51</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2067D0A1" w14:textId="77777777" w:rsidR="00B026FC" w:rsidRPr="00BA4949" w:rsidRDefault="00B026FC" w:rsidP="00B026FC">
            <w:pPr>
              <w:jc w:val="center"/>
              <w:rPr>
                <w:rFonts w:ascii="Arial Narrow" w:hAnsi="Arial Narrow"/>
                <w:sz w:val="20"/>
              </w:rPr>
            </w:pPr>
            <w:r w:rsidRPr="00BA4949">
              <w:rPr>
                <w:rFonts w:ascii="Arial Narrow" w:hAnsi="Arial Narrow"/>
                <w:sz w:val="20"/>
              </w:rPr>
              <w:t>0.49</w:t>
            </w:r>
          </w:p>
        </w:tc>
        <w:tc>
          <w:tcPr>
            <w:tcW w:w="1134" w:type="dxa"/>
            <w:tcBorders>
              <w:top w:val="nil"/>
              <w:left w:val="nil"/>
              <w:bottom w:val="single" w:sz="4" w:space="0" w:color="auto"/>
              <w:right w:val="single" w:sz="4" w:space="0" w:color="auto"/>
            </w:tcBorders>
            <w:shd w:val="clear" w:color="auto" w:fill="auto"/>
            <w:noWrap/>
          </w:tcPr>
          <w:p w14:paraId="49BB6C6E" w14:textId="77777777" w:rsidR="00B026FC" w:rsidRPr="00BA4949" w:rsidRDefault="00B026FC" w:rsidP="00B026FC">
            <w:pPr>
              <w:jc w:val="center"/>
              <w:rPr>
                <w:rFonts w:ascii="Arial Narrow" w:hAnsi="Arial Narrow"/>
                <w:sz w:val="20"/>
              </w:rPr>
            </w:pPr>
            <w:r w:rsidRPr="00BA4949">
              <w:rPr>
                <w:rFonts w:ascii="Arial Narrow" w:hAnsi="Arial Narrow"/>
                <w:sz w:val="20"/>
              </w:rPr>
              <w:t>0.97</w:t>
            </w:r>
          </w:p>
        </w:tc>
        <w:tc>
          <w:tcPr>
            <w:tcW w:w="1047" w:type="dxa"/>
            <w:tcBorders>
              <w:top w:val="nil"/>
              <w:left w:val="nil"/>
              <w:bottom w:val="single" w:sz="4" w:space="0" w:color="auto"/>
              <w:right w:val="single" w:sz="4" w:space="0" w:color="auto"/>
            </w:tcBorders>
            <w:shd w:val="clear" w:color="auto" w:fill="auto"/>
            <w:noWrap/>
          </w:tcPr>
          <w:p w14:paraId="363B9DCA"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tcPr>
          <w:p w14:paraId="28212274"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000000" w:fill="FFFF00"/>
            <w:noWrap/>
          </w:tcPr>
          <w:p w14:paraId="1A338E57" w14:textId="77777777" w:rsidR="00B026FC" w:rsidRPr="00BA4949" w:rsidRDefault="00B026FC" w:rsidP="00B026FC">
            <w:pPr>
              <w:jc w:val="center"/>
              <w:rPr>
                <w:rFonts w:ascii="Arial Narrow" w:hAnsi="Arial Narrow"/>
                <w:sz w:val="20"/>
              </w:rPr>
            </w:pPr>
            <w:r w:rsidRPr="00BA4949">
              <w:rPr>
                <w:rFonts w:ascii="Arial Narrow" w:hAnsi="Arial Narrow"/>
                <w:sz w:val="20"/>
              </w:rPr>
              <w:t>0.59</w:t>
            </w:r>
          </w:p>
        </w:tc>
      </w:tr>
      <w:tr w:rsidR="00BA4949" w:rsidRPr="00BA4949" w14:paraId="2DEF8B45" w14:textId="77777777" w:rsidTr="006C4059">
        <w:trPr>
          <w:trHeight w:hRule="exact" w:val="255"/>
        </w:trPr>
        <w:tc>
          <w:tcPr>
            <w:tcW w:w="771" w:type="dxa"/>
            <w:vMerge/>
            <w:tcBorders>
              <w:left w:val="single" w:sz="4" w:space="0" w:color="auto"/>
              <w:right w:val="single" w:sz="4" w:space="0" w:color="auto"/>
            </w:tcBorders>
            <w:vAlign w:val="center"/>
          </w:tcPr>
          <w:p w14:paraId="5B466D19"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37D44CD2"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Fitzroy West</w:t>
            </w:r>
          </w:p>
        </w:tc>
        <w:tc>
          <w:tcPr>
            <w:tcW w:w="284" w:type="dxa"/>
            <w:tcBorders>
              <w:top w:val="nil"/>
              <w:left w:val="nil"/>
              <w:bottom w:val="single" w:sz="4" w:space="0" w:color="auto"/>
              <w:right w:val="single" w:sz="4" w:space="0" w:color="auto"/>
            </w:tcBorders>
            <w:shd w:val="clear" w:color="auto" w:fill="auto"/>
            <w:noWrap/>
            <w:vAlign w:val="center"/>
          </w:tcPr>
          <w:p w14:paraId="6693EDFA"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tcPr>
          <w:p w14:paraId="541D79EB" w14:textId="77777777" w:rsidR="00B026FC" w:rsidRPr="00BA4949" w:rsidRDefault="00B026FC" w:rsidP="00B026FC">
            <w:pPr>
              <w:jc w:val="center"/>
              <w:rPr>
                <w:rFonts w:ascii="Arial Narrow" w:hAnsi="Arial Narrow"/>
                <w:sz w:val="20"/>
              </w:rPr>
            </w:pPr>
            <w:r w:rsidRPr="00BA4949">
              <w:rPr>
                <w:rFonts w:ascii="Arial Narrow" w:hAnsi="Arial Narrow"/>
                <w:sz w:val="20"/>
              </w:rPr>
              <w:t>0.61</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09DB0E02" w14:textId="77777777" w:rsidR="00B026FC" w:rsidRPr="00BA4949" w:rsidRDefault="00B026FC" w:rsidP="00B026FC">
            <w:pPr>
              <w:jc w:val="center"/>
              <w:rPr>
                <w:rFonts w:ascii="Arial Narrow" w:hAnsi="Arial Narrow"/>
                <w:sz w:val="20"/>
              </w:rPr>
            </w:pPr>
            <w:r w:rsidRPr="00BA4949">
              <w:rPr>
                <w:rFonts w:ascii="Arial Narrow" w:hAnsi="Arial Narrow"/>
                <w:sz w:val="20"/>
              </w:rPr>
              <w:t>0.23</w:t>
            </w:r>
          </w:p>
        </w:tc>
        <w:tc>
          <w:tcPr>
            <w:tcW w:w="1134" w:type="dxa"/>
            <w:tcBorders>
              <w:top w:val="nil"/>
              <w:left w:val="nil"/>
              <w:bottom w:val="single" w:sz="4" w:space="0" w:color="auto"/>
              <w:right w:val="single" w:sz="4" w:space="0" w:color="auto"/>
            </w:tcBorders>
            <w:shd w:val="clear" w:color="auto" w:fill="auto"/>
            <w:noWrap/>
          </w:tcPr>
          <w:p w14:paraId="33B509D7"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tcPr>
          <w:p w14:paraId="43474FE7" w14:textId="77777777" w:rsidR="00B026FC" w:rsidRPr="00BA4949" w:rsidRDefault="00B026FC" w:rsidP="00B026FC">
            <w:pPr>
              <w:jc w:val="center"/>
              <w:rPr>
                <w:rFonts w:ascii="Arial Narrow" w:hAnsi="Arial Narrow"/>
                <w:sz w:val="20"/>
              </w:rPr>
            </w:pPr>
            <w:r w:rsidRPr="00BA4949">
              <w:rPr>
                <w:rFonts w:ascii="Arial Narrow" w:hAnsi="Arial Narrow"/>
                <w:sz w:val="20"/>
              </w:rPr>
              <w:t>0.94</w:t>
            </w:r>
          </w:p>
        </w:tc>
        <w:tc>
          <w:tcPr>
            <w:tcW w:w="1221" w:type="dxa"/>
            <w:tcBorders>
              <w:top w:val="nil"/>
              <w:left w:val="nil"/>
              <w:bottom w:val="single" w:sz="4" w:space="0" w:color="auto"/>
              <w:right w:val="single" w:sz="4" w:space="0" w:color="auto"/>
            </w:tcBorders>
            <w:shd w:val="clear" w:color="auto" w:fill="auto"/>
            <w:noWrap/>
          </w:tcPr>
          <w:p w14:paraId="21D11FBF"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92D050"/>
            <w:noWrap/>
          </w:tcPr>
          <w:p w14:paraId="6EBB9928" w14:textId="77777777" w:rsidR="00B026FC" w:rsidRPr="00BA4949" w:rsidRDefault="00B026FC" w:rsidP="00B026FC">
            <w:pPr>
              <w:jc w:val="center"/>
              <w:rPr>
                <w:rFonts w:ascii="Arial Narrow" w:hAnsi="Arial Narrow"/>
                <w:sz w:val="20"/>
              </w:rPr>
            </w:pPr>
            <w:r w:rsidRPr="00BA4949">
              <w:rPr>
                <w:rFonts w:ascii="Arial Narrow" w:hAnsi="Arial Narrow"/>
                <w:sz w:val="20"/>
              </w:rPr>
              <w:t>0.65</w:t>
            </w:r>
          </w:p>
        </w:tc>
      </w:tr>
      <w:tr w:rsidR="00B026FC" w:rsidRPr="00BA4949" w14:paraId="2DE4665C" w14:textId="77777777" w:rsidTr="00B026FC">
        <w:trPr>
          <w:trHeight w:hRule="exact" w:val="255"/>
        </w:trPr>
        <w:tc>
          <w:tcPr>
            <w:tcW w:w="771" w:type="dxa"/>
            <w:vMerge/>
            <w:tcBorders>
              <w:left w:val="single" w:sz="4" w:space="0" w:color="auto"/>
              <w:right w:val="single" w:sz="4" w:space="0" w:color="auto"/>
            </w:tcBorders>
            <w:vAlign w:val="center"/>
          </w:tcPr>
          <w:p w14:paraId="59BE93BB"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tcPr>
          <w:p w14:paraId="7F365993"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tcPr>
          <w:p w14:paraId="63176B24"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tcPr>
          <w:p w14:paraId="14761EF8" w14:textId="77777777" w:rsidR="00B026FC" w:rsidRPr="00BA4949" w:rsidRDefault="00B026FC" w:rsidP="00B026FC">
            <w:pPr>
              <w:jc w:val="center"/>
              <w:rPr>
                <w:rFonts w:ascii="Arial Narrow" w:hAnsi="Arial Narrow"/>
                <w:sz w:val="20"/>
              </w:rPr>
            </w:pPr>
            <w:r w:rsidRPr="00BA4949">
              <w:rPr>
                <w:rFonts w:ascii="Arial Narrow" w:hAnsi="Arial Narrow"/>
                <w:sz w:val="20"/>
              </w:rPr>
              <w:t>0.51</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128ED03C" w14:textId="77777777" w:rsidR="00B026FC" w:rsidRPr="00BA4949" w:rsidRDefault="00B026FC" w:rsidP="00B026FC">
            <w:pPr>
              <w:jc w:val="center"/>
              <w:rPr>
                <w:rFonts w:ascii="Arial Narrow" w:hAnsi="Arial Narrow"/>
                <w:sz w:val="20"/>
              </w:rPr>
            </w:pPr>
            <w:r w:rsidRPr="00BA4949">
              <w:rPr>
                <w:rFonts w:ascii="Arial Narrow" w:hAnsi="Arial Narrow"/>
                <w:sz w:val="20"/>
              </w:rPr>
              <w:t>0.44</w:t>
            </w:r>
          </w:p>
        </w:tc>
        <w:tc>
          <w:tcPr>
            <w:tcW w:w="1134" w:type="dxa"/>
            <w:tcBorders>
              <w:top w:val="nil"/>
              <w:left w:val="nil"/>
              <w:bottom w:val="single" w:sz="4" w:space="0" w:color="auto"/>
              <w:right w:val="single" w:sz="4" w:space="0" w:color="auto"/>
            </w:tcBorders>
            <w:shd w:val="clear" w:color="auto" w:fill="auto"/>
            <w:noWrap/>
          </w:tcPr>
          <w:p w14:paraId="0BD753DC" w14:textId="77777777" w:rsidR="00B026FC" w:rsidRPr="00BA4949" w:rsidRDefault="00B026FC" w:rsidP="00B026FC">
            <w:pPr>
              <w:jc w:val="center"/>
              <w:rPr>
                <w:rFonts w:ascii="Arial Narrow" w:hAnsi="Arial Narrow"/>
                <w:sz w:val="20"/>
              </w:rPr>
            </w:pPr>
            <w:r w:rsidRPr="00BA4949">
              <w:rPr>
                <w:rFonts w:ascii="Arial Narrow" w:hAnsi="Arial Narrow"/>
                <w:sz w:val="20"/>
              </w:rPr>
              <w:t>0.96</w:t>
            </w:r>
          </w:p>
        </w:tc>
        <w:tc>
          <w:tcPr>
            <w:tcW w:w="1047" w:type="dxa"/>
            <w:tcBorders>
              <w:top w:val="nil"/>
              <w:left w:val="nil"/>
              <w:bottom w:val="single" w:sz="4" w:space="0" w:color="auto"/>
              <w:right w:val="single" w:sz="4" w:space="0" w:color="auto"/>
            </w:tcBorders>
            <w:shd w:val="clear" w:color="auto" w:fill="auto"/>
            <w:noWrap/>
          </w:tcPr>
          <w:p w14:paraId="5EB8CC07"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221" w:type="dxa"/>
            <w:tcBorders>
              <w:top w:val="nil"/>
              <w:left w:val="nil"/>
              <w:bottom w:val="single" w:sz="4" w:space="0" w:color="auto"/>
              <w:right w:val="single" w:sz="4" w:space="0" w:color="auto"/>
            </w:tcBorders>
            <w:shd w:val="clear" w:color="auto" w:fill="auto"/>
            <w:noWrap/>
          </w:tcPr>
          <w:p w14:paraId="72780FB7"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FF00"/>
            <w:noWrap/>
          </w:tcPr>
          <w:p w14:paraId="02FFE442" w14:textId="77777777" w:rsidR="00B026FC" w:rsidRPr="00BA4949" w:rsidRDefault="00B026FC" w:rsidP="00B026FC">
            <w:pPr>
              <w:jc w:val="center"/>
              <w:rPr>
                <w:rFonts w:ascii="Arial Narrow" w:hAnsi="Arial Narrow"/>
                <w:sz w:val="20"/>
              </w:rPr>
            </w:pPr>
            <w:r w:rsidRPr="00BA4949">
              <w:rPr>
                <w:rFonts w:ascii="Arial Narrow" w:hAnsi="Arial Narrow"/>
                <w:sz w:val="20"/>
              </w:rPr>
              <w:t>0.48</w:t>
            </w:r>
          </w:p>
        </w:tc>
      </w:tr>
      <w:tr w:rsidR="00B026FC" w:rsidRPr="00BA4949" w14:paraId="7C7A972D" w14:textId="77777777" w:rsidTr="00B026FC">
        <w:trPr>
          <w:trHeight w:hRule="exact" w:val="255"/>
        </w:trPr>
        <w:tc>
          <w:tcPr>
            <w:tcW w:w="771" w:type="dxa"/>
            <w:vMerge/>
            <w:tcBorders>
              <w:left w:val="single" w:sz="4" w:space="0" w:color="auto"/>
              <w:right w:val="single" w:sz="4" w:space="0" w:color="auto"/>
            </w:tcBorders>
            <w:vAlign w:val="center"/>
          </w:tcPr>
          <w:p w14:paraId="2E379B9C" w14:textId="77777777" w:rsidR="00B026FC" w:rsidRPr="00BA4949" w:rsidRDefault="00B026FC" w:rsidP="00B026FC">
            <w:pPr>
              <w:spacing w:after="0"/>
              <w:jc w:val="left"/>
              <w:rPr>
                <w:rFonts w:ascii="Arial Narrow" w:hAnsi="Arial Narrow"/>
                <w:szCs w:val="22"/>
                <w:lang w:val="en-AU" w:eastAsia="en-AU"/>
              </w:rPr>
            </w:pPr>
          </w:p>
        </w:tc>
        <w:tc>
          <w:tcPr>
            <w:tcW w:w="1576" w:type="dxa"/>
            <w:tcBorders>
              <w:top w:val="nil"/>
              <w:left w:val="single" w:sz="4" w:space="0" w:color="auto"/>
              <w:bottom w:val="single" w:sz="4" w:space="0" w:color="auto"/>
              <w:right w:val="single" w:sz="4" w:space="0" w:color="auto"/>
            </w:tcBorders>
            <w:shd w:val="clear" w:color="auto" w:fill="auto"/>
            <w:noWrap/>
            <w:vAlign w:val="center"/>
          </w:tcPr>
          <w:p w14:paraId="26598564"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Fitzroy West LTMP</w:t>
            </w:r>
          </w:p>
        </w:tc>
        <w:tc>
          <w:tcPr>
            <w:tcW w:w="284" w:type="dxa"/>
            <w:tcBorders>
              <w:top w:val="nil"/>
              <w:left w:val="nil"/>
              <w:bottom w:val="single" w:sz="4" w:space="0" w:color="auto"/>
              <w:right w:val="single" w:sz="4" w:space="0" w:color="auto"/>
            </w:tcBorders>
            <w:shd w:val="clear" w:color="auto" w:fill="auto"/>
            <w:noWrap/>
            <w:vAlign w:val="center"/>
          </w:tcPr>
          <w:p w14:paraId="535F1F60"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tcPr>
          <w:p w14:paraId="03437BBF" w14:textId="77777777" w:rsidR="00B026FC" w:rsidRPr="00BA4949" w:rsidRDefault="00B026FC" w:rsidP="00B026FC">
            <w:pPr>
              <w:jc w:val="center"/>
              <w:rPr>
                <w:rFonts w:ascii="Arial Narrow" w:hAnsi="Arial Narrow"/>
                <w:sz w:val="20"/>
              </w:rPr>
            </w:pPr>
            <w:r w:rsidRPr="00BA4949">
              <w:rPr>
                <w:rFonts w:ascii="Arial Narrow" w:hAnsi="Arial Narrow"/>
                <w:sz w:val="20"/>
              </w:rPr>
              <w:t>0.58</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4EEF0802"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tcPr>
          <w:p w14:paraId="4313025B"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tcPr>
          <w:p w14:paraId="4B4E2E6E" w14:textId="77777777" w:rsidR="00B026FC" w:rsidRPr="00BA4949" w:rsidRDefault="00B026FC" w:rsidP="00B026FC">
            <w:pPr>
              <w:jc w:val="center"/>
              <w:rPr>
                <w:rFonts w:ascii="Arial Narrow" w:hAnsi="Arial Narrow"/>
                <w:sz w:val="20"/>
              </w:rPr>
            </w:pPr>
            <w:r w:rsidRPr="00BA4949">
              <w:rPr>
                <w:rFonts w:ascii="Arial Narrow" w:hAnsi="Arial Narrow"/>
                <w:sz w:val="20"/>
              </w:rPr>
              <w:t>0.35</w:t>
            </w:r>
          </w:p>
        </w:tc>
        <w:tc>
          <w:tcPr>
            <w:tcW w:w="1221" w:type="dxa"/>
            <w:tcBorders>
              <w:top w:val="nil"/>
              <w:left w:val="nil"/>
              <w:bottom w:val="single" w:sz="4" w:space="0" w:color="auto"/>
              <w:right w:val="single" w:sz="4" w:space="0" w:color="auto"/>
            </w:tcBorders>
            <w:shd w:val="clear" w:color="auto" w:fill="auto"/>
            <w:noWrap/>
          </w:tcPr>
          <w:p w14:paraId="115815D8"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92D050"/>
            <w:noWrap/>
          </w:tcPr>
          <w:p w14:paraId="7B4AB7D0" w14:textId="77777777" w:rsidR="00B026FC" w:rsidRPr="00BA4949" w:rsidRDefault="00B026FC" w:rsidP="00B026FC">
            <w:pPr>
              <w:jc w:val="center"/>
              <w:rPr>
                <w:rFonts w:ascii="Arial Narrow" w:hAnsi="Arial Narrow"/>
                <w:sz w:val="20"/>
              </w:rPr>
            </w:pPr>
            <w:r w:rsidRPr="00BA4949">
              <w:rPr>
                <w:rFonts w:ascii="Arial Narrow" w:hAnsi="Arial Narrow"/>
                <w:sz w:val="20"/>
              </w:rPr>
              <w:t>0.69</w:t>
            </w:r>
          </w:p>
        </w:tc>
      </w:tr>
      <w:tr w:rsidR="00BA4949" w:rsidRPr="00BA4949" w14:paraId="41BB6F69" w14:textId="77777777" w:rsidTr="006C4059">
        <w:trPr>
          <w:trHeight w:hRule="exact" w:val="255"/>
        </w:trPr>
        <w:tc>
          <w:tcPr>
            <w:tcW w:w="771" w:type="dxa"/>
            <w:vMerge/>
            <w:tcBorders>
              <w:left w:val="single" w:sz="4" w:space="0" w:color="auto"/>
              <w:right w:val="single" w:sz="4" w:space="0" w:color="auto"/>
            </w:tcBorders>
            <w:vAlign w:val="center"/>
          </w:tcPr>
          <w:p w14:paraId="060699DB"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single" w:sz="4" w:space="0" w:color="auto"/>
              <w:left w:val="single" w:sz="4" w:space="0" w:color="auto"/>
              <w:right w:val="single" w:sz="4" w:space="0" w:color="auto"/>
            </w:tcBorders>
            <w:vAlign w:val="center"/>
          </w:tcPr>
          <w:p w14:paraId="46490774"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Franklands East</w:t>
            </w:r>
          </w:p>
        </w:tc>
        <w:tc>
          <w:tcPr>
            <w:tcW w:w="284" w:type="dxa"/>
            <w:tcBorders>
              <w:top w:val="nil"/>
              <w:left w:val="nil"/>
              <w:bottom w:val="single" w:sz="4" w:space="0" w:color="auto"/>
              <w:right w:val="single" w:sz="4" w:space="0" w:color="auto"/>
            </w:tcBorders>
            <w:shd w:val="clear" w:color="auto" w:fill="auto"/>
            <w:noWrap/>
            <w:vAlign w:val="center"/>
          </w:tcPr>
          <w:p w14:paraId="7AAFBD03"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tcPr>
          <w:p w14:paraId="42F30E0E" w14:textId="77777777" w:rsidR="00B026FC" w:rsidRPr="00BA4949" w:rsidRDefault="00B026FC" w:rsidP="00B026FC">
            <w:pPr>
              <w:jc w:val="center"/>
              <w:rPr>
                <w:rFonts w:ascii="Arial Narrow" w:hAnsi="Arial Narrow"/>
                <w:sz w:val="20"/>
              </w:rPr>
            </w:pPr>
            <w:r w:rsidRPr="00BA4949">
              <w:rPr>
                <w:rFonts w:ascii="Arial Narrow" w:hAnsi="Arial Narrow"/>
                <w:sz w:val="20"/>
              </w:rPr>
              <w:t>0.44</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016F1392" w14:textId="77777777" w:rsidR="00B026FC" w:rsidRPr="00BA4949" w:rsidRDefault="00B026FC" w:rsidP="00B026FC">
            <w:pPr>
              <w:jc w:val="center"/>
              <w:rPr>
                <w:rFonts w:ascii="Arial Narrow" w:hAnsi="Arial Narrow"/>
                <w:sz w:val="20"/>
              </w:rPr>
            </w:pPr>
            <w:r w:rsidRPr="00BA4949">
              <w:rPr>
                <w:rFonts w:ascii="Arial Narrow" w:hAnsi="Arial Narrow"/>
                <w:sz w:val="20"/>
              </w:rPr>
              <w:t>0.26</w:t>
            </w:r>
          </w:p>
        </w:tc>
        <w:tc>
          <w:tcPr>
            <w:tcW w:w="1134" w:type="dxa"/>
            <w:tcBorders>
              <w:top w:val="nil"/>
              <w:left w:val="nil"/>
              <w:bottom w:val="single" w:sz="4" w:space="0" w:color="auto"/>
              <w:right w:val="single" w:sz="4" w:space="0" w:color="auto"/>
            </w:tcBorders>
            <w:shd w:val="clear" w:color="auto" w:fill="auto"/>
            <w:noWrap/>
          </w:tcPr>
          <w:p w14:paraId="1D4E6B68" w14:textId="77777777" w:rsidR="00B026FC" w:rsidRPr="00BA4949" w:rsidRDefault="00B026FC" w:rsidP="00B026FC">
            <w:pPr>
              <w:jc w:val="center"/>
              <w:rPr>
                <w:rFonts w:ascii="Arial Narrow" w:hAnsi="Arial Narrow"/>
                <w:sz w:val="20"/>
              </w:rPr>
            </w:pPr>
            <w:r w:rsidRPr="00BA4949">
              <w:rPr>
                <w:rFonts w:ascii="Arial Narrow" w:hAnsi="Arial Narrow"/>
                <w:sz w:val="20"/>
              </w:rPr>
              <w:t>0.94</w:t>
            </w:r>
          </w:p>
        </w:tc>
        <w:tc>
          <w:tcPr>
            <w:tcW w:w="1047" w:type="dxa"/>
            <w:tcBorders>
              <w:top w:val="nil"/>
              <w:left w:val="nil"/>
              <w:bottom w:val="single" w:sz="4" w:space="0" w:color="auto"/>
              <w:right w:val="single" w:sz="4" w:space="0" w:color="auto"/>
            </w:tcBorders>
            <w:shd w:val="clear" w:color="auto" w:fill="auto"/>
            <w:noWrap/>
          </w:tcPr>
          <w:p w14:paraId="647B446E" w14:textId="77777777" w:rsidR="00B026FC" w:rsidRPr="00BA4949" w:rsidRDefault="00B026FC" w:rsidP="00B026FC">
            <w:pPr>
              <w:jc w:val="center"/>
              <w:rPr>
                <w:rFonts w:ascii="Arial Narrow" w:hAnsi="Arial Narrow"/>
                <w:sz w:val="20"/>
              </w:rPr>
            </w:pPr>
            <w:r w:rsidRPr="00BA4949">
              <w:rPr>
                <w:rFonts w:ascii="Arial Narrow" w:hAnsi="Arial Narrow"/>
                <w:sz w:val="20"/>
              </w:rPr>
              <w:t>0.55</w:t>
            </w:r>
          </w:p>
        </w:tc>
        <w:tc>
          <w:tcPr>
            <w:tcW w:w="1221" w:type="dxa"/>
            <w:tcBorders>
              <w:top w:val="nil"/>
              <w:left w:val="nil"/>
              <w:bottom w:val="single" w:sz="4" w:space="0" w:color="auto"/>
              <w:right w:val="single" w:sz="4" w:space="0" w:color="auto"/>
            </w:tcBorders>
            <w:shd w:val="clear" w:color="auto" w:fill="auto"/>
            <w:noWrap/>
          </w:tcPr>
          <w:p w14:paraId="67FD1885"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FF00"/>
            <w:noWrap/>
          </w:tcPr>
          <w:p w14:paraId="73A2A5B1" w14:textId="77777777" w:rsidR="00B026FC" w:rsidRPr="00BA4949" w:rsidRDefault="00B026FC" w:rsidP="00B026FC">
            <w:pPr>
              <w:jc w:val="center"/>
              <w:rPr>
                <w:rFonts w:ascii="Arial Narrow" w:hAnsi="Arial Narrow"/>
                <w:sz w:val="20"/>
              </w:rPr>
            </w:pPr>
            <w:r w:rsidRPr="00BA4949">
              <w:rPr>
                <w:rFonts w:ascii="Arial Narrow" w:hAnsi="Arial Narrow"/>
                <w:sz w:val="20"/>
              </w:rPr>
              <w:t>0.54</w:t>
            </w:r>
          </w:p>
        </w:tc>
      </w:tr>
      <w:tr w:rsidR="00B026FC" w:rsidRPr="00BA4949" w14:paraId="5D633DD6" w14:textId="77777777" w:rsidTr="00B026FC">
        <w:trPr>
          <w:trHeight w:hRule="exact" w:val="255"/>
        </w:trPr>
        <w:tc>
          <w:tcPr>
            <w:tcW w:w="771" w:type="dxa"/>
            <w:vMerge/>
            <w:tcBorders>
              <w:left w:val="single" w:sz="4" w:space="0" w:color="auto"/>
              <w:right w:val="single" w:sz="4" w:space="0" w:color="auto"/>
            </w:tcBorders>
            <w:vAlign w:val="center"/>
          </w:tcPr>
          <w:p w14:paraId="4EADEF94"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left w:val="single" w:sz="4" w:space="0" w:color="auto"/>
              <w:bottom w:val="single" w:sz="4" w:space="0" w:color="auto"/>
              <w:right w:val="single" w:sz="4" w:space="0" w:color="auto"/>
            </w:tcBorders>
            <w:shd w:val="clear" w:color="auto" w:fill="auto"/>
            <w:noWrap/>
            <w:vAlign w:val="center"/>
          </w:tcPr>
          <w:p w14:paraId="01CCD1D8"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tcPr>
          <w:p w14:paraId="299AED1D"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tcPr>
          <w:p w14:paraId="37873A5E" w14:textId="77777777" w:rsidR="00B026FC" w:rsidRPr="00BA4949" w:rsidRDefault="00B026FC" w:rsidP="00B026FC">
            <w:pPr>
              <w:jc w:val="center"/>
              <w:rPr>
                <w:rFonts w:ascii="Arial Narrow" w:hAnsi="Arial Narrow"/>
                <w:sz w:val="20"/>
              </w:rPr>
            </w:pPr>
            <w:r w:rsidRPr="00BA4949">
              <w:rPr>
                <w:rFonts w:ascii="Arial Narrow" w:hAnsi="Arial Narrow"/>
                <w:sz w:val="20"/>
              </w:rPr>
              <w:t>0.51</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59D707E8" w14:textId="77777777" w:rsidR="00B026FC" w:rsidRPr="00BA4949" w:rsidRDefault="00B026FC" w:rsidP="00B026FC">
            <w:pPr>
              <w:jc w:val="center"/>
              <w:rPr>
                <w:rFonts w:ascii="Arial Narrow" w:hAnsi="Arial Narrow"/>
                <w:sz w:val="20"/>
              </w:rPr>
            </w:pPr>
            <w:r w:rsidRPr="00BA4949">
              <w:rPr>
                <w:rFonts w:ascii="Arial Narrow" w:hAnsi="Arial Narrow"/>
                <w:sz w:val="20"/>
              </w:rPr>
              <w:t>0.19</w:t>
            </w:r>
          </w:p>
        </w:tc>
        <w:tc>
          <w:tcPr>
            <w:tcW w:w="1134" w:type="dxa"/>
            <w:tcBorders>
              <w:top w:val="nil"/>
              <w:left w:val="nil"/>
              <w:bottom w:val="single" w:sz="4" w:space="0" w:color="auto"/>
              <w:right w:val="single" w:sz="4" w:space="0" w:color="auto"/>
            </w:tcBorders>
            <w:shd w:val="clear" w:color="auto" w:fill="auto"/>
            <w:noWrap/>
          </w:tcPr>
          <w:p w14:paraId="29572E5E" w14:textId="77777777" w:rsidR="00B026FC" w:rsidRPr="00BA4949" w:rsidRDefault="00B026FC" w:rsidP="00B026FC">
            <w:pPr>
              <w:jc w:val="center"/>
              <w:rPr>
                <w:rFonts w:ascii="Arial Narrow" w:hAnsi="Arial Narrow"/>
                <w:sz w:val="20"/>
              </w:rPr>
            </w:pPr>
            <w:r w:rsidRPr="00BA4949">
              <w:rPr>
                <w:rFonts w:ascii="Arial Narrow" w:hAnsi="Arial Narrow"/>
                <w:sz w:val="20"/>
              </w:rPr>
              <w:t>0.48</w:t>
            </w:r>
          </w:p>
        </w:tc>
        <w:tc>
          <w:tcPr>
            <w:tcW w:w="1047" w:type="dxa"/>
            <w:tcBorders>
              <w:top w:val="nil"/>
              <w:left w:val="nil"/>
              <w:bottom w:val="single" w:sz="4" w:space="0" w:color="auto"/>
              <w:right w:val="single" w:sz="4" w:space="0" w:color="auto"/>
            </w:tcBorders>
            <w:shd w:val="clear" w:color="auto" w:fill="auto"/>
            <w:noWrap/>
          </w:tcPr>
          <w:p w14:paraId="109A92E2"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tcPr>
          <w:p w14:paraId="1501AD90"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92D050"/>
            <w:noWrap/>
          </w:tcPr>
          <w:p w14:paraId="7C6C2F65" w14:textId="77777777" w:rsidR="00B026FC" w:rsidRPr="00BA4949" w:rsidRDefault="00B026FC" w:rsidP="00B026FC">
            <w:pPr>
              <w:jc w:val="center"/>
              <w:rPr>
                <w:rFonts w:ascii="Arial Narrow" w:hAnsi="Arial Narrow"/>
                <w:sz w:val="20"/>
              </w:rPr>
            </w:pPr>
            <w:r w:rsidRPr="00BA4949">
              <w:rPr>
                <w:rFonts w:ascii="Arial Narrow" w:hAnsi="Arial Narrow"/>
                <w:sz w:val="20"/>
              </w:rPr>
              <w:t>0.64</w:t>
            </w:r>
          </w:p>
        </w:tc>
      </w:tr>
      <w:tr w:rsidR="00BA4949" w:rsidRPr="00BA4949" w14:paraId="68936BE3" w14:textId="77777777" w:rsidTr="006C4059">
        <w:trPr>
          <w:trHeight w:hRule="exact" w:val="255"/>
        </w:trPr>
        <w:tc>
          <w:tcPr>
            <w:tcW w:w="771" w:type="dxa"/>
            <w:vMerge/>
            <w:tcBorders>
              <w:left w:val="single" w:sz="4" w:space="0" w:color="auto"/>
              <w:right w:val="single" w:sz="4" w:space="0" w:color="auto"/>
            </w:tcBorders>
            <w:vAlign w:val="center"/>
          </w:tcPr>
          <w:p w14:paraId="4348163B"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3F89A6F5"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Franklands West</w:t>
            </w:r>
          </w:p>
        </w:tc>
        <w:tc>
          <w:tcPr>
            <w:tcW w:w="284" w:type="dxa"/>
            <w:tcBorders>
              <w:top w:val="nil"/>
              <w:left w:val="nil"/>
              <w:bottom w:val="single" w:sz="4" w:space="0" w:color="auto"/>
              <w:right w:val="single" w:sz="4" w:space="0" w:color="auto"/>
            </w:tcBorders>
            <w:shd w:val="clear" w:color="auto" w:fill="auto"/>
            <w:noWrap/>
            <w:vAlign w:val="center"/>
          </w:tcPr>
          <w:p w14:paraId="1ED6D076"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tcPr>
          <w:p w14:paraId="3207EEF9" w14:textId="77777777" w:rsidR="00B026FC" w:rsidRPr="00BA4949" w:rsidRDefault="00B026FC" w:rsidP="00B026FC">
            <w:pPr>
              <w:jc w:val="center"/>
              <w:rPr>
                <w:rFonts w:ascii="Arial Narrow" w:hAnsi="Arial Narrow"/>
                <w:sz w:val="20"/>
              </w:rPr>
            </w:pPr>
            <w:r w:rsidRPr="00BA4949">
              <w:rPr>
                <w:rFonts w:ascii="Arial Narrow" w:hAnsi="Arial Narrow"/>
                <w:sz w:val="20"/>
              </w:rPr>
              <w:t>0.66</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75679175" w14:textId="77777777" w:rsidR="00B026FC" w:rsidRPr="00BA4949" w:rsidRDefault="00B026FC" w:rsidP="00B026FC">
            <w:pPr>
              <w:jc w:val="center"/>
              <w:rPr>
                <w:rFonts w:ascii="Arial Narrow" w:hAnsi="Arial Narrow"/>
                <w:sz w:val="20"/>
              </w:rPr>
            </w:pPr>
            <w:r w:rsidRPr="00BA4949">
              <w:rPr>
                <w:rFonts w:ascii="Arial Narrow" w:hAnsi="Arial Narrow"/>
                <w:sz w:val="20"/>
              </w:rPr>
              <w:t>0.15</w:t>
            </w:r>
          </w:p>
        </w:tc>
        <w:tc>
          <w:tcPr>
            <w:tcW w:w="1134" w:type="dxa"/>
            <w:tcBorders>
              <w:top w:val="nil"/>
              <w:left w:val="nil"/>
              <w:bottom w:val="single" w:sz="4" w:space="0" w:color="auto"/>
              <w:right w:val="single" w:sz="4" w:space="0" w:color="auto"/>
            </w:tcBorders>
            <w:shd w:val="clear" w:color="auto" w:fill="auto"/>
            <w:noWrap/>
          </w:tcPr>
          <w:p w14:paraId="21442EE4"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tcPr>
          <w:p w14:paraId="4FC79E32" w14:textId="77777777" w:rsidR="00B026FC" w:rsidRPr="00BA4949" w:rsidRDefault="00B026FC" w:rsidP="00B026FC">
            <w:pPr>
              <w:jc w:val="center"/>
              <w:rPr>
                <w:rFonts w:ascii="Arial Narrow" w:hAnsi="Arial Narrow"/>
                <w:sz w:val="20"/>
              </w:rPr>
            </w:pPr>
            <w:r w:rsidRPr="00BA4949">
              <w:rPr>
                <w:rFonts w:ascii="Arial Narrow" w:hAnsi="Arial Narrow"/>
                <w:sz w:val="20"/>
              </w:rPr>
              <w:t>0.67</w:t>
            </w:r>
          </w:p>
        </w:tc>
        <w:tc>
          <w:tcPr>
            <w:tcW w:w="1221" w:type="dxa"/>
            <w:tcBorders>
              <w:top w:val="nil"/>
              <w:left w:val="nil"/>
              <w:bottom w:val="single" w:sz="4" w:space="0" w:color="auto"/>
              <w:right w:val="single" w:sz="4" w:space="0" w:color="auto"/>
            </w:tcBorders>
            <w:shd w:val="clear" w:color="auto" w:fill="auto"/>
            <w:noWrap/>
          </w:tcPr>
          <w:p w14:paraId="380CB4F0"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C000"/>
            <w:noWrap/>
          </w:tcPr>
          <w:p w14:paraId="5A862DAF" w14:textId="77777777" w:rsidR="00B026FC" w:rsidRPr="00BA4949" w:rsidRDefault="00B026FC" w:rsidP="00B026FC">
            <w:pPr>
              <w:jc w:val="center"/>
              <w:rPr>
                <w:rFonts w:ascii="Arial Narrow" w:hAnsi="Arial Narrow"/>
                <w:sz w:val="20"/>
              </w:rPr>
            </w:pPr>
            <w:r w:rsidRPr="00BA4949">
              <w:rPr>
                <w:rFonts w:ascii="Arial Narrow" w:hAnsi="Arial Narrow"/>
                <w:sz w:val="20"/>
              </w:rPr>
              <w:t>0.40</w:t>
            </w:r>
          </w:p>
        </w:tc>
      </w:tr>
      <w:tr w:rsidR="00BA4949" w:rsidRPr="00BA4949" w14:paraId="59AB4B1D" w14:textId="77777777" w:rsidTr="006C4059">
        <w:trPr>
          <w:trHeight w:hRule="exact" w:val="255"/>
        </w:trPr>
        <w:tc>
          <w:tcPr>
            <w:tcW w:w="771" w:type="dxa"/>
            <w:vMerge/>
            <w:tcBorders>
              <w:left w:val="single" w:sz="4" w:space="0" w:color="auto"/>
              <w:right w:val="single" w:sz="4" w:space="0" w:color="auto"/>
            </w:tcBorders>
            <w:vAlign w:val="center"/>
          </w:tcPr>
          <w:p w14:paraId="7A9ED115"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tcPr>
          <w:p w14:paraId="39C808DE"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tcPr>
          <w:p w14:paraId="4A08F867"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tcPr>
          <w:p w14:paraId="552E5365" w14:textId="77777777" w:rsidR="00B026FC" w:rsidRPr="00BA4949" w:rsidRDefault="00B026FC" w:rsidP="00B026FC">
            <w:pPr>
              <w:jc w:val="center"/>
              <w:rPr>
                <w:rFonts w:ascii="Arial Narrow" w:hAnsi="Arial Narrow"/>
                <w:sz w:val="20"/>
              </w:rPr>
            </w:pPr>
            <w:r w:rsidRPr="00BA4949">
              <w:rPr>
                <w:rFonts w:ascii="Arial Narrow" w:hAnsi="Arial Narrow"/>
                <w:sz w:val="20"/>
              </w:rPr>
              <w:t>0.73</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6D422A92" w14:textId="77777777" w:rsidR="00B026FC" w:rsidRPr="00BA4949" w:rsidRDefault="00B026FC" w:rsidP="00B026FC">
            <w:pPr>
              <w:jc w:val="center"/>
              <w:rPr>
                <w:rFonts w:ascii="Arial Narrow" w:hAnsi="Arial Narrow"/>
                <w:sz w:val="20"/>
              </w:rPr>
            </w:pPr>
            <w:r w:rsidRPr="00BA4949">
              <w:rPr>
                <w:rFonts w:ascii="Arial Narrow" w:hAnsi="Arial Narrow"/>
                <w:sz w:val="20"/>
              </w:rPr>
              <w:t>0.08</w:t>
            </w:r>
          </w:p>
        </w:tc>
        <w:tc>
          <w:tcPr>
            <w:tcW w:w="1134" w:type="dxa"/>
            <w:tcBorders>
              <w:top w:val="nil"/>
              <w:left w:val="nil"/>
              <w:bottom w:val="single" w:sz="4" w:space="0" w:color="auto"/>
              <w:right w:val="single" w:sz="4" w:space="0" w:color="auto"/>
            </w:tcBorders>
            <w:shd w:val="clear" w:color="auto" w:fill="auto"/>
            <w:noWrap/>
          </w:tcPr>
          <w:p w14:paraId="1E681DED"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tcPr>
          <w:p w14:paraId="1B50BC61"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tcPr>
          <w:p w14:paraId="0357A052"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FF00"/>
            <w:noWrap/>
          </w:tcPr>
          <w:p w14:paraId="53AE1D6A" w14:textId="77777777" w:rsidR="00B026FC" w:rsidRPr="00BA4949" w:rsidRDefault="00B026FC" w:rsidP="00B026FC">
            <w:pPr>
              <w:jc w:val="center"/>
              <w:rPr>
                <w:rFonts w:ascii="Arial Narrow" w:hAnsi="Arial Narrow"/>
                <w:sz w:val="20"/>
              </w:rPr>
            </w:pPr>
            <w:r w:rsidRPr="00BA4949">
              <w:rPr>
                <w:rFonts w:ascii="Arial Narrow" w:hAnsi="Arial Narrow"/>
                <w:sz w:val="20"/>
              </w:rPr>
              <w:t>0.46</w:t>
            </w:r>
          </w:p>
        </w:tc>
      </w:tr>
      <w:tr w:rsidR="00B026FC" w:rsidRPr="00BA4949" w14:paraId="53A0D42E" w14:textId="77777777" w:rsidTr="00B026FC">
        <w:trPr>
          <w:trHeight w:hRule="exact" w:val="255"/>
        </w:trPr>
        <w:tc>
          <w:tcPr>
            <w:tcW w:w="771" w:type="dxa"/>
            <w:vMerge/>
            <w:tcBorders>
              <w:left w:val="single" w:sz="4" w:space="0" w:color="auto"/>
              <w:right w:val="single" w:sz="4" w:space="0" w:color="auto"/>
            </w:tcBorders>
            <w:vAlign w:val="center"/>
          </w:tcPr>
          <w:p w14:paraId="1B6D8F0C"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55158E55"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High East</w:t>
            </w:r>
          </w:p>
        </w:tc>
        <w:tc>
          <w:tcPr>
            <w:tcW w:w="284" w:type="dxa"/>
            <w:tcBorders>
              <w:top w:val="nil"/>
              <w:left w:val="nil"/>
              <w:bottom w:val="single" w:sz="4" w:space="0" w:color="auto"/>
              <w:right w:val="single" w:sz="4" w:space="0" w:color="auto"/>
            </w:tcBorders>
            <w:shd w:val="clear" w:color="auto" w:fill="auto"/>
            <w:noWrap/>
            <w:vAlign w:val="center"/>
          </w:tcPr>
          <w:p w14:paraId="37023DF4"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tcPr>
          <w:p w14:paraId="6C0F82C5" w14:textId="77777777" w:rsidR="00B026FC" w:rsidRPr="00BA4949" w:rsidRDefault="00B026FC" w:rsidP="00B026FC">
            <w:pPr>
              <w:jc w:val="center"/>
              <w:rPr>
                <w:rFonts w:ascii="Arial Narrow" w:hAnsi="Arial Narrow"/>
                <w:sz w:val="20"/>
              </w:rPr>
            </w:pPr>
            <w:r w:rsidRPr="00BA4949">
              <w:rPr>
                <w:rFonts w:ascii="Arial Narrow" w:hAnsi="Arial Narrow"/>
                <w:sz w:val="20"/>
              </w:rPr>
              <w:t>0.67</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2A18A432" w14:textId="77777777" w:rsidR="00B026FC" w:rsidRPr="00BA4949" w:rsidRDefault="00B026FC" w:rsidP="00B026FC">
            <w:pPr>
              <w:jc w:val="center"/>
              <w:rPr>
                <w:rFonts w:ascii="Arial Narrow" w:hAnsi="Arial Narrow"/>
                <w:sz w:val="20"/>
              </w:rPr>
            </w:pPr>
            <w:r w:rsidRPr="00BA4949">
              <w:rPr>
                <w:rFonts w:ascii="Arial Narrow" w:hAnsi="Arial Narrow"/>
                <w:sz w:val="20"/>
              </w:rPr>
              <w:t>0.14</w:t>
            </w:r>
          </w:p>
        </w:tc>
        <w:tc>
          <w:tcPr>
            <w:tcW w:w="1134" w:type="dxa"/>
            <w:tcBorders>
              <w:top w:val="nil"/>
              <w:left w:val="nil"/>
              <w:bottom w:val="single" w:sz="4" w:space="0" w:color="auto"/>
              <w:right w:val="single" w:sz="4" w:space="0" w:color="auto"/>
            </w:tcBorders>
            <w:shd w:val="clear" w:color="auto" w:fill="auto"/>
            <w:noWrap/>
          </w:tcPr>
          <w:p w14:paraId="0E5FE9E9" w14:textId="77777777" w:rsidR="00B026FC" w:rsidRPr="00BA4949" w:rsidRDefault="00B026FC" w:rsidP="00B026FC">
            <w:pPr>
              <w:jc w:val="center"/>
              <w:rPr>
                <w:rFonts w:ascii="Arial Narrow" w:hAnsi="Arial Narrow"/>
                <w:sz w:val="20"/>
              </w:rPr>
            </w:pPr>
            <w:r w:rsidRPr="00BA4949">
              <w:rPr>
                <w:rFonts w:ascii="Arial Narrow" w:hAnsi="Arial Narrow"/>
                <w:sz w:val="20"/>
              </w:rPr>
              <w:t>0.85</w:t>
            </w:r>
          </w:p>
        </w:tc>
        <w:tc>
          <w:tcPr>
            <w:tcW w:w="1047" w:type="dxa"/>
            <w:tcBorders>
              <w:top w:val="nil"/>
              <w:left w:val="nil"/>
              <w:bottom w:val="single" w:sz="4" w:space="0" w:color="auto"/>
              <w:right w:val="single" w:sz="4" w:space="0" w:color="auto"/>
            </w:tcBorders>
            <w:shd w:val="clear" w:color="auto" w:fill="auto"/>
            <w:noWrap/>
          </w:tcPr>
          <w:p w14:paraId="109D37A9"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tcPr>
          <w:p w14:paraId="7A6D01B8"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000000" w:fill="92D050"/>
            <w:noWrap/>
          </w:tcPr>
          <w:p w14:paraId="42E7D9F1" w14:textId="77777777" w:rsidR="00B026FC" w:rsidRPr="00BA4949" w:rsidRDefault="00B026FC" w:rsidP="00B026FC">
            <w:pPr>
              <w:jc w:val="center"/>
              <w:rPr>
                <w:rFonts w:ascii="Arial Narrow" w:hAnsi="Arial Narrow"/>
                <w:sz w:val="20"/>
              </w:rPr>
            </w:pPr>
            <w:r w:rsidRPr="00BA4949">
              <w:rPr>
                <w:rFonts w:ascii="Arial Narrow" w:hAnsi="Arial Narrow"/>
                <w:sz w:val="20"/>
              </w:rPr>
              <w:t>0.63</w:t>
            </w:r>
          </w:p>
        </w:tc>
      </w:tr>
      <w:tr w:rsidR="00B026FC" w:rsidRPr="00BA4949" w14:paraId="0FD6347F" w14:textId="77777777" w:rsidTr="00B026FC">
        <w:trPr>
          <w:trHeight w:hRule="exact" w:val="255"/>
        </w:trPr>
        <w:tc>
          <w:tcPr>
            <w:tcW w:w="771" w:type="dxa"/>
            <w:vMerge/>
            <w:tcBorders>
              <w:left w:val="single" w:sz="4" w:space="0" w:color="auto"/>
              <w:right w:val="single" w:sz="4" w:space="0" w:color="auto"/>
            </w:tcBorders>
            <w:vAlign w:val="center"/>
          </w:tcPr>
          <w:p w14:paraId="5BF8DC8C"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tcPr>
          <w:p w14:paraId="7531E004"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tcPr>
          <w:p w14:paraId="156BEEA5"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tcPr>
          <w:p w14:paraId="68AEE6B6" w14:textId="77777777" w:rsidR="00B026FC" w:rsidRPr="00BA4949" w:rsidRDefault="00B026FC" w:rsidP="00B026FC">
            <w:pPr>
              <w:jc w:val="center"/>
              <w:rPr>
                <w:rFonts w:ascii="Arial Narrow" w:hAnsi="Arial Narrow"/>
                <w:sz w:val="20"/>
              </w:rPr>
            </w:pPr>
            <w:r w:rsidRPr="00BA4949">
              <w:rPr>
                <w:rFonts w:ascii="Arial Narrow" w:hAnsi="Arial Narrow"/>
                <w:sz w:val="20"/>
              </w:rPr>
              <w:t>0.69</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18D5CBDB" w14:textId="77777777" w:rsidR="00B026FC" w:rsidRPr="00BA4949" w:rsidRDefault="00B026FC" w:rsidP="00B026FC">
            <w:pPr>
              <w:jc w:val="center"/>
              <w:rPr>
                <w:rFonts w:ascii="Arial Narrow" w:hAnsi="Arial Narrow"/>
                <w:sz w:val="20"/>
              </w:rPr>
            </w:pPr>
            <w:r w:rsidRPr="00BA4949">
              <w:rPr>
                <w:rFonts w:ascii="Arial Narrow" w:hAnsi="Arial Narrow"/>
                <w:sz w:val="20"/>
              </w:rPr>
              <w:t>0.22</w:t>
            </w:r>
          </w:p>
        </w:tc>
        <w:tc>
          <w:tcPr>
            <w:tcW w:w="1134" w:type="dxa"/>
            <w:tcBorders>
              <w:top w:val="nil"/>
              <w:left w:val="nil"/>
              <w:bottom w:val="single" w:sz="4" w:space="0" w:color="auto"/>
              <w:right w:val="single" w:sz="4" w:space="0" w:color="auto"/>
            </w:tcBorders>
            <w:shd w:val="clear" w:color="auto" w:fill="auto"/>
            <w:noWrap/>
          </w:tcPr>
          <w:p w14:paraId="5CFA4E13"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tcPr>
          <w:p w14:paraId="09920D9E"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tcPr>
          <w:p w14:paraId="43210A4A"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000000" w:fill="92D050"/>
            <w:noWrap/>
          </w:tcPr>
          <w:p w14:paraId="659492F2" w14:textId="77777777" w:rsidR="00B026FC" w:rsidRPr="00BA4949" w:rsidRDefault="00B026FC" w:rsidP="00B026FC">
            <w:pPr>
              <w:jc w:val="center"/>
              <w:rPr>
                <w:rFonts w:ascii="Arial Narrow" w:hAnsi="Arial Narrow"/>
                <w:sz w:val="20"/>
              </w:rPr>
            </w:pPr>
            <w:r w:rsidRPr="00BA4949">
              <w:rPr>
                <w:rFonts w:ascii="Arial Narrow" w:hAnsi="Arial Narrow"/>
                <w:sz w:val="20"/>
              </w:rPr>
              <w:t>0.68</w:t>
            </w:r>
          </w:p>
        </w:tc>
      </w:tr>
      <w:tr w:rsidR="00BA4949" w:rsidRPr="00BA4949" w14:paraId="054D2A07" w14:textId="77777777" w:rsidTr="006C4059">
        <w:trPr>
          <w:trHeight w:hRule="exact" w:val="255"/>
        </w:trPr>
        <w:tc>
          <w:tcPr>
            <w:tcW w:w="771" w:type="dxa"/>
            <w:vMerge/>
            <w:tcBorders>
              <w:left w:val="single" w:sz="4" w:space="0" w:color="auto"/>
              <w:right w:val="single" w:sz="4" w:space="0" w:color="auto"/>
            </w:tcBorders>
            <w:vAlign w:val="center"/>
          </w:tcPr>
          <w:p w14:paraId="27A892CD"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091491D3"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High West</w:t>
            </w:r>
          </w:p>
        </w:tc>
        <w:tc>
          <w:tcPr>
            <w:tcW w:w="284" w:type="dxa"/>
            <w:tcBorders>
              <w:top w:val="nil"/>
              <w:left w:val="nil"/>
              <w:bottom w:val="single" w:sz="4" w:space="0" w:color="auto"/>
              <w:right w:val="single" w:sz="4" w:space="0" w:color="auto"/>
            </w:tcBorders>
            <w:shd w:val="clear" w:color="auto" w:fill="auto"/>
            <w:noWrap/>
            <w:vAlign w:val="center"/>
          </w:tcPr>
          <w:p w14:paraId="752B0CD6"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tcPr>
          <w:p w14:paraId="0F986EFF" w14:textId="77777777" w:rsidR="00B026FC" w:rsidRPr="00BA4949" w:rsidRDefault="00B026FC" w:rsidP="00B026FC">
            <w:pPr>
              <w:jc w:val="center"/>
              <w:rPr>
                <w:rFonts w:ascii="Arial Narrow" w:hAnsi="Arial Narrow"/>
                <w:sz w:val="20"/>
              </w:rPr>
            </w:pPr>
            <w:r w:rsidRPr="00BA4949">
              <w:rPr>
                <w:rFonts w:ascii="Arial Narrow" w:hAnsi="Arial Narrow"/>
                <w:sz w:val="20"/>
              </w:rPr>
              <w:t>0.74</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65E6ECD9" w14:textId="77777777" w:rsidR="00B026FC" w:rsidRPr="00BA4949" w:rsidRDefault="00B026FC" w:rsidP="00B026FC">
            <w:pPr>
              <w:jc w:val="center"/>
              <w:rPr>
                <w:rFonts w:ascii="Arial Narrow" w:hAnsi="Arial Narrow"/>
                <w:sz w:val="20"/>
              </w:rPr>
            </w:pPr>
            <w:r w:rsidRPr="00BA4949">
              <w:rPr>
                <w:rFonts w:ascii="Arial Narrow" w:hAnsi="Arial Narrow"/>
                <w:sz w:val="20"/>
              </w:rPr>
              <w:t>0.17</w:t>
            </w:r>
          </w:p>
        </w:tc>
        <w:tc>
          <w:tcPr>
            <w:tcW w:w="1134" w:type="dxa"/>
            <w:tcBorders>
              <w:top w:val="nil"/>
              <w:left w:val="nil"/>
              <w:bottom w:val="single" w:sz="4" w:space="0" w:color="auto"/>
              <w:right w:val="single" w:sz="4" w:space="0" w:color="auto"/>
            </w:tcBorders>
            <w:shd w:val="clear" w:color="auto" w:fill="auto"/>
            <w:noWrap/>
          </w:tcPr>
          <w:p w14:paraId="67193438" w14:textId="77777777" w:rsidR="00B026FC" w:rsidRPr="00BA4949" w:rsidRDefault="00B026FC" w:rsidP="00B026FC">
            <w:pPr>
              <w:jc w:val="center"/>
              <w:rPr>
                <w:rFonts w:ascii="Arial Narrow" w:hAnsi="Arial Narrow"/>
                <w:sz w:val="20"/>
              </w:rPr>
            </w:pPr>
            <w:r w:rsidRPr="00BA4949">
              <w:rPr>
                <w:rFonts w:ascii="Arial Narrow" w:hAnsi="Arial Narrow"/>
                <w:sz w:val="20"/>
              </w:rPr>
              <w:t>0.69</w:t>
            </w:r>
          </w:p>
        </w:tc>
        <w:tc>
          <w:tcPr>
            <w:tcW w:w="1047" w:type="dxa"/>
            <w:tcBorders>
              <w:top w:val="nil"/>
              <w:left w:val="nil"/>
              <w:bottom w:val="single" w:sz="4" w:space="0" w:color="auto"/>
              <w:right w:val="single" w:sz="4" w:space="0" w:color="auto"/>
            </w:tcBorders>
            <w:shd w:val="clear" w:color="auto" w:fill="auto"/>
            <w:noWrap/>
          </w:tcPr>
          <w:p w14:paraId="4CF53E0E" w14:textId="77777777" w:rsidR="00B026FC" w:rsidRPr="00BA4949" w:rsidRDefault="00B026FC" w:rsidP="00B026FC">
            <w:pPr>
              <w:jc w:val="center"/>
              <w:rPr>
                <w:rFonts w:ascii="Arial Narrow" w:hAnsi="Arial Narrow"/>
                <w:sz w:val="20"/>
              </w:rPr>
            </w:pPr>
            <w:r w:rsidRPr="00BA4949">
              <w:rPr>
                <w:rFonts w:ascii="Arial Narrow" w:hAnsi="Arial Narrow"/>
                <w:sz w:val="20"/>
              </w:rPr>
              <w:t>0.73</w:t>
            </w:r>
          </w:p>
        </w:tc>
        <w:tc>
          <w:tcPr>
            <w:tcW w:w="1221" w:type="dxa"/>
            <w:tcBorders>
              <w:top w:val="nil"/>
              <w:left w:val="nil"/>
              <w:bottom w:val="single" w:sz="4" w:space="0" w:color="auto"/>
              <w:right w:val="single" w:sz="4" w:space="0" w:color="auto"/>
            </w:tcBorders>
            <w:shd w:val="clear" w:color="auto" w:fill="auto"/>
            <w:noWrap/>
          </w:tcPr>
          <w:p w14:paraId="775A86A2"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FF00"/>
            <w:noWrap/>
          </w:tcPr>
          <w:p w14:paraId="66EBF61A" w14:textId="77777777" w:rsidR="00B026FC" w:rsidRPr="00BA4949" w:rsidRDefault="00B026FC" w:rsidP="00B026FC">
            <w:pPr>
              <w:jc w:val="center"/>
              <w:rPr>
                <w:rFonts w:ascii="Arial Narrow" w:hAnsi="Arial Narrow"/>
                <w:sz w:val="20"/>
              </w:rPr>
            </w:pPr>
            <w:r w:rsidRPr="00BA4949">
              <w:rPr>
                <w:rFonts w:ascii="Arial Narrow" w:hAnsi="Arial Narrow"/>
                <w:sz w:val="20"/>
              </w:rPr>
              <w:t>0.57</w:t>
            </w:r>
          </w:p>
        </w:tc>
      </w:tr>
      <w:tr w:rsidR="00BA4949" w:rsidRPr="00BA4949" w14:paraId="650C63CE" w14:textId="77777777" w:rsidTr="00B026FC">
        <w:trPr>
          <w:trHeight w:hRule="exact" w:val="255"/>
        </w:trPr>
        <w:tc>
          <w:tcPr>
            <w:tcW w:w="771" w:type="dxa"/>
            <w:vMerge/>
            <w:tcBorders>
              <w:left w:val="single" w:sz="4" w:space="0" w:color="auto"/>
              <w:bottom w:val="single" w:sz="4" w:space="0" w:color="auto"/>
              <w:right w:val="single" w:sz="4" w:space="0" w:color="auto"/>
            </w:tcBorders>
            <w:vAlign w:val="center"/>
          </w:tcPr>
          <w:p w14:paraId="7C51F534"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tcPr>
          <w:p w14:paraId="6F38C19A"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tcPr>
          <w:p w14:paraId="6F681892"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tcPr>
          <w:p w14:paraId="07837AF9" w14:textId="77777777" w:rsidR="00B026FC" w:rsidRPr="00BA4949" w:rsidRDefault="00B026FC" w:rsidP="00B026FC">
            <w:pPr>
              <w:jc w:val="center"/>
              <w:rPr>
                <w:rFonts w:ascii="Arial Narrow" w:hAnsi="Arial Narrow"/>
                <w:sz w:val="20"/>
              </w:rPr>
            </w:pPr>
            <w:r w:rsidRPr="00BA4949">
              <w:rPr>
                <w:rFonts w:ascii="Arial Narrow" w:hAnsi="Arial Narrow"/>
                <w:sz w:val="20"/>
              </w:rPr>
              <w:t>0.38</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5A116584" w14:textId="77777777" w:rsidR="00B026FC" w:rsidRPr="00BA4949" w:rsidRDefault="00B026FC" w:rsidP="00B026FC">
            <w:pPr>
              <w:jc w:val="center"/>
              <w:rPr>
                <w:rFonts w:ascii="Arial Narrow" w:hAnsi="Arial Narrow"/>
                <w:sz w:val="20"/>
              </w:rPr>
            </w:pPr>
            <w:r w:rsidRPr="00BA4949">
              <w:rPr>
                <w:rFonts w:ascii="Arial Narrow" w:hAnsi="Arial Narrow"/>
                <w:sz w:val="20"/>
              </w:rPr>
              <w:t>0.29</w:t>
            </w:r>
          </w:p>
        </w:tc>
        <w:tc>
          <w:tcPr>
            <w:tcW w:w="1134" w:type="dxa"/>
            <w:tcBorders>
              <w:top w:val="nil"/>
              <w:left w:val="nil"/>
              <w:bottom w:val="single" w:sz="4" w:space="0" w:color="auto"/>
              <w:right w:val="single" w:sz="4" w:space="0" w:color="auto"/>
            </w:tcBorders>
            <w:shd w:val="clear" w:color="auto" w:fill="auto"/>
            <w:noWrap/>
          </w:tcPr>
          <w:p w14:paraId="68706898"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tcPr>
          <w:p w14:paraId="3B6981C9" w14:textId="77777777" w:rsidR="00B026FC" w:rsidRPr="00BA4949" w:rsidRDefault="00B026FC" w:rsidP="00B026FC">
            <w:pPr>
              <w:jc w:val="center"/>
              <w:rPr>
                <w:rFonts w:ascii="Arial Narrow" w:hAnsi="Arial Narrow"/>
                <w:sz w:val="20"/>
              </w:rPr>
            </w:pPr>
            <w:r w:rsidRPr="00BA4949">
              <w:rPr>
                <w:rFonts w:ascii="Arial Narrow" w:hAnsi="Arial Narrow"/>
                <w:sz w:val="20"/>
              </w:rPr>
              <w:t>0.64</w:t>
            </w:r>
          </w:p>
        </w:tc>
        <w:tc>
          <w:tcPr>
            <w:tcW w:w="1221" w:type="dxa"/>
            <w:tcBorders>
              <w:top w:val="nil"/>
              <w:left w:val="nil"/>
              <w:bottom w:val="single" w:sz="4" w:space="0" w:color="auto"/>
              <w:right w:val="single" w:sz="4" w:space="0" w:color="auto"/>
            </w:tcBorders>
            <w:shd w:val="clear" w:color="auto" w:fill="auto"/>
            <w:noWrap/>
          </w:tcPr>
          <w:p w14:paraId="59A4CB71"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000000" w:fill="FFFF00"/>
            <w:noWrap/>
          </w:tcPr>
          <w:p w14:paraId="221D9C92" w14:textId="77777777" w:rsidR="00B026FC" w:rsidRPr="00BA4949" w:rsidRDefault="00B026FC" w:rsidP="00B026FC">
            <w:pPr>
              <w:jc w:val="center"/>
              <w:rPr>
                <w:rFonts w:ascii="Arial Narrow" w:hAnsi="Arial Narrow"/>
                <w:sz w:val="20"/>
              </w:rPr>
            </w:pPr>
            <w:r w:rsidRPr="00BA4949">
              <w:rPr>
                <w:rFonts w:ascii="Arial Narrow" w:hAnsi="Arial Narrow"/>
                <w:sz w:val="20"/>
              </w:rPr>
              <w:t>0.46</w:t>
            </w:r>
          </w:p>
        </w:tc>
      </w:tr>
      <w:tr w:rsidR="00BA4949" w:rsidRPr="00BA4949" w14:paraId="7C46CBFA" w14:textId="77777777" w:rsidTr="006C4059">
        <w:trPr>
          <w:trHeight w:hRule="exact" w:val="255"/>
        </w:trPr>
        <w:tc>
          <w:tcPr>
            <w:tcW w:w="2631" w:type="dxa"/>
            <w:gridSpan w:val="3"/>
            <w:tcBorders>
              <w:left w:val="single" w:sz="4" w:space="0" w:color="auto"/>
              <w:bottom w:val="single" w:sz="4" w:space="0" w:color="auto"/>
              <w:right w:val="single" w:sz="4" w:space="0" w:color="auto"/>
            </w:tcBorders>
            <w:shd w:val="clear" w:color="auto" w:fill="FFFF00"/>
            <w:vAlign w:val="center"/>
          </w:tcPr>
          <w:p w14:paraId="275DBCB7"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lang w:val="en-AU" w:eastAsia="en-AU"/>
              </w:rPr>
              <w:t>Report Card Score - Moderate</w:t>
            </w:r>
          </w:p>
        </w:tc>
        <w:tc>
          <w:tcPr>
            <w:tcW w:w="1134" w:type="dxa"/>
            <w:tcBorders>
              <w:top w:val="nil"/>
              <w:left w:val="nil"/>
              <w:bottom w:val="single" w:sz="4" w:space="0" w:color="auto"/>
              <w:right w:val="single" w:sz="4" w:space="0" w:color="auto"/>
            </w:tcBorders>
            <w:shd w:val="clear" w:color="auto" w:fill="92D050"/>
            <w:noWrap/>
          </w:tcPr>
          <w:p w14:paraId="521D7B04" w14:textId="77777777" w:rsidR="006C4059" w:rsidRPr="00BA4949" w:rsidRDefault="006C4059" w:rsidP="006C4059">
            <w:pPr>
              <w:jc w:val="center"/>
              <w:rPr>
                <w:rFonts w:ascii="Arial Narrow" w:hAnsi="Arial Narrow"/>
                <w:sz w:val="20"/>
              </w:rPr>
            </w:pPr>
            <w:r w:rsidRPr="00BA4949">
              <w:rPr>
                <w:rFonts w:ascii="Arial Narrow" w:hAnsi="Arial Narrow"/>
                <w:sz w:val="20"/>
              </w:rPr>
              <w:t>0.55</w:t>
            </w:r>
          </w:p>
        </w:tc>
        <w:tc>
          <w:tcPr>
            <w:tcW w:w="1134" w:type="dxa"/>
            <w:tcBorders>
              <w:top w:val="nil"/>
              <w:left w:val="nil"/>
              <w:bottom w:val="single" w:sz="4" w:space="0" w:color="auto"/>
              <w:right w:val="single" w:sz="4" w:space="0" w:color="auto"/>
            </w:tcBorders>
            <w:shd w:val="clear" w:color="auto" w:fill="FFC000"/>
            <w:noWrap/>
            <w:tcMar>
              <w:left w:w="0" w:type="dxa"/>
              <w:right w:w="0" w:type="dxa"/>
            </w:tcMar>
          </w:tcPr>
          <w:p w14:paraId="50052DAE" w14:textId="77777777" w:rsidR="006C4059" w:rsidRPr="00BA4949" w:rsidRDefault="006C4059" w:rsidP="006C4059">
            <w:pPr>
              <w:jc w:val="center"/>
              <w:rPr>
                <w:rFonts w:ascii="Arial Narrow" w:hAnsi="Arial Narrow"/>
                <w:sz w:val="20"/>
              </w:rPr>
            </w:pPr>
            <w:r w:rsidRPr="00BA4949">
              <w:rPr>
                <w:rFonts w:ascii="Arial Narrow" w:hAnsi="Arial Narrow"/>
                <w:sz w:val="20"/>
              </w:rPr>
              <w:t>0.35</w:t>
            </w:r>
          </w:p>
        </w:tc>
        <w:tc>
          <w:tcPr>
            <w:tcW w:w="1134" w:type="dxa"/>
            <w:tcBorders>
              <w:top w:val="nil"/>
              <w:left w:val="nil"/>
              <w:bottom w:val="single" w:sz="4" w:space="0" w:color="auto"/>
              <w:right w:val="single" w:sz="4" w:space="0" w:color="auto"/>
            </w:tcBorders>
            <w:shd w:val="clear" w:color="auto" w:fill="92D050"/>
            <w:noWrap/>
          </w:tcPr>
          <w:p w14:paraId="71B65542" w14:textId="77777777" w:rsidR="006C4059" w:rsidRPr="00BA4949" w:rsidRDefault="006C4059" w:rsidP="006C4059">
            <w:pPr>
              <w:jc w:val="center"/>
              <w:rPr>
                <w:rFonts w:ascii="Arial Narrow" w:hAnsi="Arial Narrow"/>
                <w:sz w:val="20"/>
              </w:rPr>
            </w:pPr>
            <w:r w:rsidRPr="00BA4949">
              <w:rPr>
                <w:rFonts w:ascii="Arial Narrow" w:hAnsi="Arial Narrow"/>
                <w:sz w:val="20"/>
              </w:rPr>
              <w:t>0.75</w:t>
            </w:r>
          </w:p>
        </w:tc>
        <w:tc>
          <w:tcPr>
            <w:tcW w:w="1047" w:type="dxa"/>
            <w:tcBorders>
              <w:top w:val="nil"/>
              <w:left w:val="nil"/>
              <w:bottom w:val="single" w:sz="4" w:space="0" w:color="auto"/>
              <w:right w:val="single" w:sz="4" w:space="0" w:color="auto"/>
            </w:tcBorders>
            <w:shd w:val="clear" w:color="auto" w:fill="92D050"/>
            <w:noWrap/>
          </w:tcPr>
          <w:p w14:paraId="7AF1B823" w14:textId="77777777" w:rsidR="006C4059" w:rsidRPr="00BA4949" w:rsidRDefault="006C4059" w:rsidP="006C4059">
            <w:pPr>
              <w:jc w:val="center"/>
              <w:rPr>
                <w:rFonts w:ascii="Arial Narrow" w:hAnsi="Arial Narrow"/>
                <w:sz w:val="20"/>
              </w:rPr>
            </w:pPr>
            <w:r w:rsidRPr="00BA4949">
              <w:rPr>
                <w:rFonts w:ascii="Arial Narrow" w:hAnsi="Arial Narrow"/>
                <w:sz w:val="20"/>
              </w:rPr>
              <w:t>0.79</w:t>
            </w:r>
          </w:p>
        </w:tc>
        <w:tc>
          <w:tcPr>
            <w:tcW w:w="1221" w:type="dxa"/>
            <w:tcBorders>
              <w:top w:val="nil"/>
              <w:left w:val="nil"/>
              <w:bottom w:val="single" w:sz="4" w:space="0" w:color="auto"/>
              <w:right w:val="single" w:sz="4" w:space="0" w:color="auto"/>
            </w:tcBorders>
            <w:shd w:val="clear" w:color="auto" w:fill="FFFF00"/>
            <w:noWrap/>
          </w:tcPr>
          <w:p w14:paraId="26321DF6" w14:textId="77777777" w:rsidR="006C4059" w:rsidRPr="00BA4949" w:rsidRDefault="006C4059" w:rsidP="006C4059">
            <w:pPr>
              <w:jc w:val="center"/>
              <w:rPr>
                <w:rFonts w:ascii="Arial Narrow" w:hAnsi="Arial Narrow"/>
                <w:sz w:val="20"/>
              </w:rPr>
            </w:pPr>
            <w:r w:rsidRPr="00BA4949">
              <w:rPr>
                <w:rFonts w:ascii="Arial Narrow" w:hAnsi="Arial Narrow"/>
                <w:sz w:val="20"/>
              </w:rPr>
              <w:t>0.43</w:t>
            </w:r>
          </w:p>
        </w:tc>
        <w:tc>
          <w:tcPr>
            <w:tcW w:w="1117" w:type="dxa"/>
            <w:tcBorders>
              <w:top w:val="nil"/>
              <w:left w:val="nil"/>
              <w:bottom w:val="single" w:sz="4" w:space="0" w:color="auto"/>
              <w:right w:val="single" w:sz="4" w:space="0" w:color="auto"/>
            </w:tcBorders>
            <w:shd w:val="clear" w:color="auto" w:fill="FFFF00"/>
            <w:noWrap/>
          </w:tcPr>
          <w:p w14:paraId="6BB43AF5" w14:textId="77777777" w:rsidR="006C4059" w:rsidRPr="00BA4949" w:rsidRDefault="006C4059" w:rsidP="006C4059">
            <w:pPr>
              <w:jc w:val="center"/>
              <w:rPr>
                <w:rFonts w:ascii="Arial Narrow" w:hAnsi="Arial Narrow"/>
                <w:sz w:val="20"/>
              </w:rPr>
            </w:pPr>
            <w:r w:rsidRPr="00BA4949">
              <w:rPr>
                <w:rFonts w:ascii="Arial Narrow" w:hAnsi="Arial Narrow"/>
                <w:sz w:val="20"/>
              </w:rPr>
              <w:t>0.57</w:t>
            </w:r>
          </w:p>
        </w:tc>
      </w:tr>
      <w:tr w:rsidR="00BA4949" w:rsidRPr="00BA4949" w14:paraId="23E9E39A" w14:textId="77777777" w:rsidTr="006C4059">
        <w:trPr>
          <w:trHeight w:hRule="exact" w:val="255"/>
        </w:trPr>
        <w:tc>
          <w:tcPr>
            <w:tcW w:w="771"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430C2324" w14:textId="77777777" w:rsidR="00B026FC" w:rsidRPr="00BA4949" w:rsidRDefault="00B026FC" w:rsidP="00B026FC">
            <w:pPr>
              <w:spacing w:after="0"/>
              <w:jc w:val="center"/>
              <w:rPr>
                <w:rFonts w:cs="Arial"/>
                <w:szCs w:val="22"/>
                <w:lang w:val="en-AU" w:eastAsia="en-AU"/>
              </w:rPr>
            </w:pPr>
            <w:r w:rsidRPr="00BA4949">
              <w:rPr>
                <w:rFonts w:cs="Arial"/>
                <w:szCs w:val="22"/>
                <w:lang w:val="en-AU" w:eastAsia="en-AU"/>
              </w:rPr>
              <w:t>Tully</w:t>
            </w: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ACF684"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Barnards</w:t>
            </w:r>
          </w:p>
        </w:tc>
        <w:tc>
          <w:tcPr>
            <w:tcW w:w="284" w:type="dxa"/>
            <w:tcBorders>
              <w:top w:val="nil"/>
              <w:left w:val="nil"/>
              <w:bottom w:val="single" w:sz="4" w:space="0" w:color="auto"/>
              <w:right w:val="single" w:sz="4" w:space="0" w:color="auto"/>
            </w:tcBorders>
            <w:shd w:val="clear" w:color="auto" w:fill="auto"/>
            <w:noWrap/>
            <w:vAlign w:val="center"/>
            <w:hideMark/>
          </w:tcPr>
          <w:p w14:paraId="5D7A0902"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tcPr>
          <w:p w14:paraId="2DB87083" w14:textId="77777777" w:rsidR="00B026FC" w:rsidRPr="00BA4949" w:rsidRDefault="00B026FC" w:rsidP="00B026FC">
            <w:pPr>
              <w:jc w:val="center"/>
              <w:rPr>
                <w:rFonts w:ascii="Arial Narrow" w:hAnsi="Arial Narrow"/>
                <w:sz w:val="20"/>
              </w:rPr>
            </w:pPr>
            <w:r w:rsidRPr="00BA4949">
              <w:rPr>
                <w:rFonts w:ascii="Arial Narrow" w:hAnsi="Arial Narrow"/>
                <w:sz w:val="20"/>
              </w:rPr>
              <w:t>0.39</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17C122D1" w14:textId="77777777" w:rsidR="00B026FC" w:rsidRPr="00BA4949" w:rsidRDefault="00B026FC" w:rsidP="00B026FC">
            <w:pPr>
              <w:jc w:val="center"/>
              <w:rPr>
                <w:rFonts w:ascii="Arial Narrow" w:hAnsi="Arial Narrow"/>
                <w:sz w:val="20"/>
              </w:rPr>
            </w:pPr>
            <w:r w:rsidRPr="00BA4949">
              <w:rPr>
                <w:rFonts w:ascii="Arial Narrow" w:hAnsi="Arial Narrow"/>
                <w:sz w:val="20"/>
              </w:rPr>
              <w:t>0.84</w:t>
            </w:r>
          </w:p>
        </w:tc>
        <w:tc>
          <w:tcPr>
            <w:tcW w:w="1134" w:type="dxa"/>
            <w:tcBorders>
              <w:top w:val="nil"/>
              <w:left w:val="nil"/>
              <w:bottom w:val="single" w:sz="4" w:space="0" w:color="auto"/>
              <w:right w:val="single" w:sz="4" w:space="0" w:color="auto"/>
            </w:tcBorders>
            <w:shd w:val="clear" w:color="auto" w:fill="auto"/>
            <w:noWrap/>
          </w:tcPr>
          <w:p w14:paraId="67615B81"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tcPr>
          <w:p w14:paraId="1D004AD1"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tcPr>
          <w:p w14:paraId="2F42FD6F"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00B050"/>
            <w:noWrap/>
          </w:tcPr>
          <w:p w14:paraId="38014612" w14:textId="77777777" w:rsidR="00B026FC" w:rsidRPr="00BA4949" w:rsidRDefault="00B026FC" w:rsidP="00B026FC">
            <w:pPr>
              <w:jc w:val="center"/>
              <w:rPr>
                <w:rFonts w:ascii="Arial Narrow" w:hAnsi="Arial Narrow"/>
                <w:sz w:val="20"/>
              </w:rPr>
            </w:pPr>
            <w:r w:rsidRPr="00BA4949">
              <w:rPr>
                <w:rFonts w:ascii="Arial Narrow" w:hAnsi="Arial Narrow"/>
                <w:sz w:val="20"/>
              </w:rPr>
              <w:t>0.85</w:t>
            </w:r>
          </w:p>
        </w:tc>
      </w:tr>
      <w:tr w:rsidR="00B026FC" w:rsidRPr="00BA4949" w14:paraId="259C99DE" w14:textId="77777777" w:rsidTr="00B026F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ECD5439"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06250147"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4AEA9DA"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tcPr>
          <w:p w14:paraId="4BB6FEB7" w14:textId="77777777" w:rsidR="00B026FC" w:rsidRPr="00BA4949" w:rsidRDefault="00B026FC" w:rsidP="00B026FC">
            <w:pPr>
              <w:jc w:val="center"/>
              <w:rPr>
                <w:rFonts w:ascii="Arial Narrow" w:hAnsi="Arial Narrow"/>
                <w:sz w:val="20"/>
              </w:rPr>
            </w:pPr>
            <w:r w:rsidRPr="00BA4949">
              <w:rPr>
                <w:rFonts w:ascii="Arial Narrow" w:hAnsi="Arial Narrow"/>
                <w:sz w:val="20"/>
              </w:rPr>
              <w:t>0.52</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4656893F"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tcPr>
          <w:p w14:paraId="00DC1CC4" w14:textId="77777777" w:rsidR="00B026FC" w:rsidRPr="00BA4949" w:rsidRDefault="00B026FC" w:rsidP="00B026FC">
            <w:pPr>
              <w:jc w:val="center"/>
              <w:rPr>
                <w:rFonts w:ascii="Arial Narrow" w:hAnsi="Arial Narrow"/>
                <w:sz w:val="20"/>
              </w:rPr>
            </w:pPr>
            <w:r w:rsidRPr="00BA4949">
              <w:rPr>
                <w:rFonts w:ascii="Arial Narrow" w:hAnsi="Arial Narrow"/>
                <w:sz w:val="20"/>
              </w:rPr>
              <w:t>0.87</w:t>
            </w:r>
          </w:p>
        </w:tc>
        <w:tc>
          <w:tcPr>
            <w:tcW w:w="1047" w:type="dxa"/>
            <w:tcBorders>
              <w:top w:val="nil"/>
              <w:left w:val="nil"/>
              <w:bottom w:val="single" w:sz="4" w:space="0" w:color="auto"/>
              <w:right w:val="single" w:sz="4" w:space="0" w:color="auto"/>
            </w:tcBorders>
            <w:shd w:val="clear" w:color="auto" w:fill="auto"/>
            <w:noWrap/>
          </w:tcPr>
          <w:p w14:paraId="17484DBE" w14:textId="77777777" w:rsidR="00B026FC" w:rsidRPr="00BA4949" w:rsidRDefault="00B026FC" w:rsidP="00B026FC">
            <w:pPr>
              <w:jc w:val="center"/>
              <w:rPr>
                <w:rFonts w:ascii="Arial Narrow" w:hAnsi="Arial Narrow"/>
                <w:sz w:val="20"/>
              </w:rPr>
            </w:pPr>
            <w:r w:rsidRPr="00BA4949">
              <w:rPr>
                <w:rFonts w:ascii="Arial Narrow" w:hAnsi="Arial Narrow"/>
                <w:sz w:val="20"/>
              </w:rPr>
              <w:t>0.80</w:t>
            </w:r>
          </w:p>
        </w:tc>
        <w:tc>
          <w:tcPr>
            <w:tcW w:w="1221" w:type="dxa"/>
            <w:tcBorders>
              <w:top w:val="nil"/>
              <w:left w:val="nil"/>
              <w:bottom w:val="single" w:sz="4" w:space="0" w:color="auto"/>
              <w:right w:val="single" w:sz="4" w:space="0" w:color="auto"/>
            </w:tcBorders>
            <w:shd w:val="clear" w:color="auto" w:fill="auto"/>
            <w:noWrap/>
          </w:tcPr>
          <w:p w14:paraId="4BDB30E4"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000000" w:fill="92D050"/>
            <w:noWrap/>
          </w:tcPr>
          <w:p w14:paraId="32EF6904" w14:textId="77777777" w:rsidR="00B026FC" w:rsidRPr="00BA4949" w:rsidRDefault="00B026FC" w:rsidP="00B026FC">
            <w:pPr>
              <w:jc w:val="center"/>
              <w:rPr>
                <w:rFonts w:ascii="Arial Narrow" w:hAnsi="Arial Narrow"/>
                <w:sz w:val="20"/>
              </w:rPr>
            </w:pPr>
            <w:r w:rsidRPr="00BA4949">
              <w:rPr>
                <w:rFonts w:ascii="Arial Narrow" w:hAnsi="Arial Narrow"/>
                <w:sz w:val="20"/>
              </w:rPr>
              <w:t>0.74</w:t>
            </w:r>
          </w:p>
        </w:tc>
      </w:tr>
      <w:tr w:rsidR="00BA4949" w:rsidRPr="00BA4949" w14:paraId="2F2B3FBB" w14:textId="77777777" w:rsidTr="006C405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03C7A435"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F32E78"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Dunk North</w:t>
            </w:r>
          </w:p>
        </w:tc>
        <w:tc>
          <w:tcPr>
            <w:tcW w:w="284" w:type="dxa"/>
            <w:tcBorders>
              <w:top w:val="nil"/>
              <w:left w:val="nil"/>
              <w:bottom w:val="single" w:sz="4" w:space="0" w:color="auto"/>
              <w:right w:val="single" w:sz="4" w:space="0" w:color="auto"/>
            </w:tcBorders>
            <w:shd w:val="clear" w:color="auto" w:fill="auto"/>
            <w:noWrap/>
            <w:vAlign w:val="center"/>
            <w:hideMark/>
          </w:tcPr>
          <w:p w14:paraId="384A6153"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tcPr>
          <w:p w14:paraId="18847BAE" w14:textId="77777777" w:rsidR="00B026FC" w:rsidRPr="00BA4949" w:rsidRDefault="00B026FC" w:rsidP="00B026FC">
            <w:pPr>
              <w:jc w:val="center"/>
              <w:rPr>
                <w:rFonts w:ascii="Arial Narrow" w:hAnsi="Arial Narrow"/>
                <w:sz w:val="20"/>
              </w:rPr>
            </w:pPr>
            <w:r w:rsidRPr="00BA4949">
              <w:rPr>
                <w:rFonts w:ascii="Arial Narrow" w:hAnsi="Arial Narrow"/>
                <w:sz w:val="20"/>
              </w:rPr>
              <w:t>0.30</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2D89837A"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tcPr>
          <w:p w14:paraId="0F859AD1" w14:textId="77777777" w:rsidR="00B026FC" w:rsidRPr="00BA4949" w:rsidRDefault="00B026FC" w:rsidP="00B026FC">
            <w:pPr>
              <w:jc w:val="center"/>
              <w:rPr>
                <w:rFonts w:ascii="Arial Narrow" w:hAnsi="Arial Narrow"/>
                <w:sz w:val="20"/>
              </w:rPr>
            </w:pPr>
            <w:r w:rsidRPr="00BA4949">
              <w:rPr>
                <w:rFonts w:ascii="Arial Narrow" w:hAnsi="Arial Narrow"/>
                <w:sz w:val="20"/>
              </w:rPr>
              <w:t>0.47</w:t>
            </w:r>
          </w:p>
        </w:tc>
        <w:tc>
          <w:tcPr>
            <w:tcW w:w="1047" w:type="dxa"/>
            <w:tcBorders>
              <w:top w:val="nil"/>
              <w:left w:val="nil"/>
              <w:bottom w:val="single" w:sz="4" w:space="0" w:color="auto"/>
              <w:right w:val="single" w:sz="4" w:space="0" w:color="auto"/>
            </w:tcBorders>
            <w:shd w:val="clear" w:color="auto" w:fill="auto"/>
            <w:noWrap/>
          </w:tcPr>
          <w:p w14:paraId="1390FFF2"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tcPr>
          <w:p w14:paraId="3CB7AD59"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92D050"/>
            <w:noWrap/>
          </w:tcPr>
          <w:p w14:paraId="6D81FF47" w14:textId="77777777" w:rsidR="00B026FC" w:rsidRPr="00BA4949" w:rsidRDefault="00B026FC" w:rsidP="00B026FC">
            <w:pPr>
              <w:jc w:val="center"/>
              <w:rPr>
                <w:rFonts w:ascii="Arial Narrow" w:hAnsi="Arial Narrow"/>
                <w:sz w:val="20"/>
              </w:rPr>
            </w:pPr>
            <w:r w:rsidRPr="00BA4949">
              <w:rPr>
                <w:rFonts w:ascii="Arial Narrow" w:hAnsi="Arial Narrow"/>
                <w:sz w:val="20"/>
              </w:rPr>
              <w:t>0.65</w:t>
            </w:r>
          </w:p>
        </w:tc>
      </w:tr>
      <w:tr w:rsidR="00BA4949" w:rsidRPr="00BA4949" w14:paraId="25D925E2" w14:textId="77777777" w:rsidTr="006C405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2938A301"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7CD22E6F"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264C46B2"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tcPr>
          <w:p w14:paraId="5740E391" w14:textId="77777777" w:rsidR="00B026FC" w:rsidRPr="00BA4949" w:rsidRDefault="00B026FC" w:rsidP="00B026FC">
            <w:pPr>
              <w:jc w:val="center"/>
              <w:rPr>
                <w:rFonts w:ascii="Arial Narrow" w:hAnsi="Arial Narrow"/>
                <w:sz w:val="20"/>
              </w:rPr>
            </w:pPr>
            <w:r w:rsidRPr="00BA4949">
              <w:rPr>
                <w:rFonts w:ascii="Arial Narrow" w:hAnsi="Arial Narrow"/>
                <w:sz w:val="20"/>
              </w:rPr>
              <w:t>0.31</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6F6727C3"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tcPr>
          <w:p w14:paraId="636D47DE"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tcPr>
          <w:p w14:paraId="726AFC5E" w14:textId="77777777" w:rsidR="00B026FC" w:rsidRPr="00BA4949" w:rsidRDefault="00B026FC" w:rsidP="00B026FC">
            <w:pPr>
              <w:jc w:val="center"/>
              <w:rPr>
                <w:rFonts w:ascii="Arial Narrow" w:hAnsi="Arial Narrow"/>
                <w:sz w:val="20"/>
              </w:rPr>
            </w:pPr>
            <w:r w:rsidRPr="00BA4949">
              <w:rPr>
                <w:rFonts w:ascii="Arial Narrow" w:hAnsi="Arial Narrow"/>
                <w:sz w:val="20"/>
              </w:rPr>
              <w:t>0.62</w:t>
            </w:r>
          </w:p>
        </w:tc>
        <w:tc>
          <w:tcPr>
            <w:tcW w:w="1221" w:type="dxa"/>
            <w:tcBorders>
              <w:top w:val="nil"/>
              <w:left w:val="nil"/>
              <w:bottom w:val="single" w:sz="4" w:space="0" w:color="auto"/>
              <w:right w:val="single" w:sz="4" w:space="0" w:color="auto"/>
            </w:tcBorders>
            <w:shd w:val="clear" w:color="auto" w:fill="auto"/>
            <w:noWrap/>
          </w:tcPr>
          <w:p w14:paraId="0D60917F"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single" w:sz="4" w:space="0" w:color="auto"/>
              <w:left w:val="nil"/>
              <w:bottom w:val="single" w:sz="4" w:space="0" w:color="auto"/>
              <w:right w:val="single" w:sz="4" w:space="0" w:color="auto"/>
            </w:tcBorders>
            <w:shd w:val="clear" w:color="auto" w:fill="FFFF00"/>
            <w:noWrap/>
          </w:tcPr>
          <w:p w14:paraId="4CBA659D" w14:textId="77777777" w:rsidR="00B026FC" w:rsidRPr="00BA4949" w:rsidRDefault="00B026FC" w:rsidP="00B026FC">
            <w:pPr>
              <w:jc w:val="center"/>
              <w:rPr>
                <w:rFonts w:ascii="Arial Narrow" w:hAnsi="Arial Narrow"/>
                <w:sz w:val="20"/>
              </w:rPr>
            </w:pPr>
            <w:r w:rsidRPr="00BA4949">
              <w:rPr>
                <w:rFonts w:ascii="Arial Narrow" w:hAnsi="Arial Narrow"/>
                <w:sz w:val="20"/>
              </w:rPr>
              <w:t>0.49</w:t>
            </w:r>
          </w:p>
        </w:tc>
      </w:tr>
      <w:tr w:rsidR="00B026FC" w:rsidRPr="00BA4949" w14:paraId="14D1EBB9" w14:textId="77777777" w:rsidTr="00B026F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68F0D85"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906668F"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Dunk South</w:t>
            </w:r>
          </w:p>
        </w:tc>
        <w:tc>
          <w:tcPr>
            <w:tcW w:w="284" w:type="dxa"/>
            <w:tcBorders>
              <w:top w:val="nil"/>
              <w:left w:val="nil"/>
              <w:bottom w:val="single" w:sz="4" w:space="0" w:color="auto"/>
              <w:right w:val="single" w:sz="4" w:space="0" w:color="auto"/>
            </w:tcBorders>
            <w:shd w:val="clear" w:color="auto" w:fill="auto"/>
            <w:noWrap/>
            <w:vAlign w:val="center"/>
            <w:hideMark/>
          </w:tcPr>
          <w:p w14:paraId="55993B1D"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tcPr>
          <w:p w14:paraId="727DA618" w14:textId="77777777" w:rsidR="00B026FC" w:rsidRPr="00BA4949" w:rsidRDefault="00B026FC" w:rsidP="00B026FC">
            <w:pPr>
              <w:jc w:val="center"/>
              <w:rPr>
                <w:rFonts w:ascii="Arial Narrow" w:hAnsi="Arial Narrow"/>
                <w:sz w:val="20"/>
              </w:rPr>
            </w:pPr>
            <w:r w:rsidRPr="00BA4949">
              <w:rPr>
                <w:rFonts w:ascii="Arial Narrow" w:hAnsi="Arial Narrow"/>
                <w:sz w:val="20"/>
              </w:rPr>
              <w:t>0.18</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5959C966" w14:textId="77777777" w:rsidR="00B026FC" w:rsidRPr="00BA4949" w:rsidRDefault="00B026FC" w:rsidP="00B026FC">
            <w:pPr>
              <w:jc w:val="center"/>
              <w:rPr>
                <w:rFonts w:ascii="Arial Narrow" w:hAnsi="Arial Narrow"/>
                <w:sz w:val="20"/>
              </w:rPr>
            </w:pPr>
            <w:r w:rsidRPr="00BA4949">
              <w:rPr>
                <w:rFonts w:ascii="Arial Narrow" w:hAnsi="Arial Narrow"/>
                <w:sz w:val="20"/>
              </w:rPr>
              <w:t>0.57</w:t>
            </w:r>
          </w:p>
        </w:tc>
        <w:tc>
          <w:tcPr>
            <w:tcW w:w="1134" w:type="dxa"/>
            <w:tcBorders>
              <w:top w:val="nil"/>
              <w:left w:val="nil"/>
              <w:bottom w:val="single" w:sz="4" w:space="0" w:color="auto"/>
              <w:right w:val="single" w:sz="4" w:space="0" w:color="auto"/>
            </w:tcBorders>
            <w:shd w:val="clear" w:color="auto" w:fill="auto"/>
            <w:noWrap/>
          </w:tcPr>
          <w:p w14:paraId="6490306F"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tcPr>
          <w:p w14:paraId="0A9EFF20" w14:textId="77777777" w:rsidR="00B026FC" w:rsidRPr="00BA4949" w:rsidRDefault="00B026FC" w:rsidP="00B026FC">
            <w:pPr>
              <w:jc w:val="center"/>
              <w:rPr>
                <w:rFonts w:ascii="Arial Narrow" w:hAnsi="Arial Narrow"/>
                <w:sz w:val="20"/>
              </w:rPr>
            </w:pPr>
            <w:r w:rsidRPr="00BA4949">
              <w:rPr>
                <w:rFonts w:ascii="Arial Narrow" w:hAnsi="Arial Narrow"/>
                <w:sz w:val="20"/>
              </w:rPr>
              <w:t>0.81</w:t>
            </w:r>
          </w:p>
        </w:tc>
        <w:tc>
          <w:tcPr>
            <w:tcW w:w="1221" w:type="dxa"/>
            <w:tcBorders>
              <w:top w:val="nil"/>
              <w:left w:val="nil"/>
              <w:bottom w:val="single" w:sz="4" w:space="0" w:color="auto"/>
              <w:right w:val="single" w:sz="4" w:space="0" w:color="auto"/>
            </w:tcBorders>
            <w:shd w:val="clear" w:color="auto" w:fill="auto"/>
            <w:noWrap/>
          </w:tcPr>
          <w:p w14:paraId="10AE1837"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000000" w:fill="FFFF00"/>
            <w:noWrap/>
          </w:tcPr>
          <w:p w14:paraId="01E3A231" w14:textId="77777777" w:rsidR="00B026FC" w:rsidRPr="00BA4949" w:rsidRDefault="00B026FC" w:rsidP="00B026FC">
            <w:pPr>
              <w:jc w:val="center"/>
              <w:rPr>
                <w:rFonts w:ascii="Arial Narrow" w:hAnsi="Arial Narrow"/>
                <w:sz w:val="20"/>
              </w:rPr>
            </w:pPr>
            <w:r w:rsidRPr="00BA4949">
              <w:rPr>
                <w:rFonts w:ascii="Arial Narrow" w:hAnsi="Arial Narrow"/>
                <w:sz w:val="20"/>
              </w:rPr>
              <w:t>0.41</w:t>
            </w:r>
          </w:p>
        </w:tc>
      </w:tr>
      <w:tr w:rsidR="00BA4949" w:rsidRPr="00BA4949" w14:paraId="73195BFD" w14:textId="77777777" w:rsidTr="006C405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44CDB58"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2387A639"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260097B9"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tcPr>
          <w:p w14:paraId="7FC964D4" w14:textId="77777777" w:rsidR="00B026FC" w:rsidRPr="00BA4949" w:rsidRDefault="00B026FC" w:rsidP="00B026FC">
            <w:pPr>
              <w:jc w:val="center"/>
              <w:rPr>
                <w:rFonts w:ascii="Arial Narrow" w:hAnsi="Arial Narrow"/>
                <w:sz w:val="20"/>
              </w:rPr>
            </w:pPr>
            <w:r w:rsidRPr="00BA4949">
              <w:rPr>
                <w:rFonts w:ascii="Arial Narrow" w:hAnsi="Arial Narrow"/>
                <w:sz w:val="20"/>
              </w:rPr>
              <w:t>0.46</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6C2E03F0"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tcPr>
          <w:p w14:paraId="3C59EFD2" w14:textId="77777777" w:rsidR="00B026FC" w:rsidRPr="00BA4949" w:rsidRDefault="00B026FC" w:rsidP="00B026FC">
            <w:pPr>
              <w:jc w:val="center"/>
              <w:rPr>
                <w:rFonts w:ascii="Arial Narrow" w:hAnsi="Arial Narrow"/>
                <w:sz w:val="20"/>
              </w:rPr>
            </w:pPr>
            <w:r w:rsidRPr="00BA4949">
              <w:rPr>
                <w:rFonts w:ascii="Arial Narrow" w:hAnsi="Arial Narrow"/>
                <w:sz w:val="20"/>
              </w:rPr>
              <w:t>0.39</w:t>
            </w:r>
          </w:p>
        </w:tc>
        <w:tc>
          <w:tcPr>
            <w:tcW w:w="1047" w:type="dxa"/>
            <w:tcBorders>
              <w:top w:val="nil"/>
              <w:left w:val="nil"/>
              <w:bottom w:val="single" w:sz="4" w:space="0" w:color="auto"/>
              <w:right w:val="single" w:sz="4" w:space="0" w:color="auto"/>
            </w:tcBorders>
            <w:shd w:val="clear" w:color="auto" w:fill="auto"/>
            <w:noWrap/>
          </w:tcPr>
          <w:p w14:paraId="615218D7" w14:textId="77777777" w:rsidR="00B026FC" w:rsidRPr="00BA4949" w:rsidRDefault="00B026FC" w:rsidP="00B026FC">
            <w:pPr>
              <w:jc w:val="center"/>
              <w:rPr>
                <w:rFonts w:ascii="Arial Narrow" w:hAnsi="Arial Narrow"/>
                <w:sz w:val="20"/>
              </w:rPr>
            </w:pPr>
            <w:r w:rsidRPr="00BA4949">
              <w:rPr>
                <w:rFonts w:ascii="Arial Narrow" w:hAnsi="Arial Narrow"/>
                <w:sz w:val="20"/>
              </w:rPr>
              <w:t>0.71</w:t>
            </w:r>
          </w:p>
        </w:tc>
        <w:tc>
          <w:tcPr>
            <w:tcW w:w="1221" w:type="dxa"/>
            <w:tcBorders>
              <w:top w:val="nil"/>
              <w:left w:val="nil"/>
              <w:bottom w:val="single" w:sz="4" w:space="0" w:color="auto"/>
              <w:right w:val="single" w:sz="4" w:space="0" w:color="auto"/>
            </w:tcBorders>
            <w:shd w:val="clear" w:color="auto" w:fill="auto"/>
            <w:noWrap/>
          </w:tcPr>
          <w:p w14:paraId="258FC9DF"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92D050"/>
            <w:noWrap/>
          </w:tcPr>
          <w:p w14:paraId="18403AB8" w14:textId="77777777" w:rsidR="00B026FC" w:rsidRPr="00BA4949" w:rsidRDefault="00B026FC" w:rsidP="00B026FC">
            <w:pPr>
              <w:jc w:val="center"/>
              <w:rPr>
                <w:rFonts w:ascii="Arial Narrow" w:hAnsi="Arial Narrow"/>
                <w:sz w:val="20"/>
              </w:rPr>
            </w:pPr>
            <w:r w:rsidRPr="00BA4949">
              <w:rPr>
                <w:rFonts w:ascii="Arial Narrow" w:hAnsi="Arial Narrow"/>
                <w:sz w:val="20"/>
              </w:rPr>
              <w:t>0.61</w:t>
            </w:r>
          </w:p>
        </w:tc>
      </w:tr>
      <w:tr w:rsidR="00BA4949" w:rsidRPr="00BA4949" w14:paraId="48BF4991" w14:textId="77777777" w:rsidTr="006C405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2EEAED20"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97B3FA"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Bedarra</w:t>
            </w:r>
          </w:p>
        </w:tc>
        <w:tc>
          <w:tcPr>
            <w:tcW w:w="284" w:type="dxa"/>
            <w:tcBorders>
              <w:top w:val="nil"/>
              <w:left w:val="nil"/>
              <w:bottom w:val="single" w:sz="4" w:space="0" w:color="auto"/>
              <w:right w:val="single" w:sz="4" w:space="0" w:color="auto"/>
            </w:tcBorders>
            <w:shd w:val="clear" w:color="auto" w:fill="auto"/>
            <w:noWrap/>
            <w:vAlign w:val="center"/>
            <w:hideMark/>
          </w:tcPr>
          <w:p w14:paraId="27E03F02"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tcPr>
          <w:p w14:paraId="60DE0A9D" w14:textId="77777777" w:rsidR="00B026FC" w:rsidRPr="00BA4949" w:rsidRDefault="00B026FC" w:rsidP="00B026FC">
            <w:pPr>
              <w:jc w:val="center"/>
              <w:rPr>
                <w:rFonts w:ascii="Arial Narrow" w:hAnsi="Arial Narrow"/>
                <w:sz w:val="20"/>
              </w:rPr>
            </w:pPr>
            <w:r w:rsidRPr="00BA4949">
              <w:rPr>
                <w:rFonts w:ascii="Arial Narrow" w:hAnsi="Arial Narrow"/>
                <w:sz w:val="20"/>
              </w:rPr>
              <w:t>0.13</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414A0F8A" w14:textId="77777777" w:rsidR="00B026FC" w:rsidRPr="00BA4949" w:rsidRDefault="00B026FC" w:rsidP="00B026FC">
            <w:pPr>
              <w:jc w:val="center"/>
              <w:rPr>
                <w:rFonts w:ascii="Arial Narrow" w:hAnsi="Arial Narrow"/>
                <w:sz w:val="20"/>
              </w:rPr>
            </w:pPr>
            <w:r w:rsidRPr="00BA4949">
              <w:rPr>
                <w:rFonts w:ascii="Arial Narrow" w:hAnsi="Arial Narrow"/>
                <w:sz w:val="20"/>
              </w:rPr>
              <w:t>0.68</w:t>
            </w:r>
          </w:p>
        </w:tc>
        <w:tc>
          <w:tcPr>
            <w:tcW w:w="1134" w:type="dxa"/>
            <w:tcBorders>
              <w:top w:val="nil"/>
              <w:left w:val="nil"/>
              <w:bottom w:val="single" w:sz="4" w:space="0" w:color="auto"/>
              <w:right w:val="single" w:sz="4" w:space="0" w:color="auto"/>
            </w:tcBorders>
            <w:shd w:val="clear" w:color="auto" w:fill="auto"/>
            <w:noWrap/>
          </w:tcPr>
          <w:p w14:paraId="5142E731"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tcPr>
          <w:p w14:paraId="0EAC1646"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221" w:type="dxa"/>
            <w:tcBorders>
              <w:top w:val="nil"/>
              <w:left w:val="nil"/>
              <w:bottom w:val="single" w:sz="4" w:space="0" w:color="auto"/>
              <w:right w:val="single" w:sz="4" w:space="0" w:color="auto"/>
            </w:tcBorders>
            <w:shd w:val="clear" w:color="auto" w:fill="auto"/>
            <w:noWrap/>
          </w:tcPr>
          <w:p w14:paraId="7ADF3C3D" w14:textId="77777777" w:rsidR="00B026FC" w:rsidRPr="00BA4949" w:rsidRDefault="00B026FC" w:rsidP="00B026FC">
            <w:pPr>
              <w:jc w:val="center"/>
              <w:rPr>
                <w:rFonts w:ascii="Arial Narrow" w:hAnsi="Arial Narrow"/>
                <w:sz w:val="20"/>
              </w:rPr>
            </w:pPr>
            <w:r w:rsidRPr="00BA4949">
              <w:rPr>
                <w:rFonts w:ascii="Arial Narrow" w:hAnsi="Arial Narrow"/>
                <w:sz w:val="20"/>
              </w:rPr>
              <w:t>NA</w:t>
            </w:r>
          </w:p>
        </w:tc>
        <w:tc>
          <w:tcPr>
            <w:tcW w:w="1117" w:type="dxa"/>
            <w:tcBorders>
              <w:top w:val="nil"/>
              <w:left w:val="nil"/>
              <w:bottom w:val="single" w:sz="4" w:space="0" w:color="auto"/>
              <w:right w:val="single" w:sz="4" w:space="0" w:color="auto"/>
            </w:tcBorders>
            <w:shd w:val="clear" w:color="auto" w:fill="FF0000"/>
            <w:noWrap/>
          </w:tcPr>
          <w:p w14:paraId="6116F4EE" w14:textId="77777777" w:rsidR="00B026FC" w:rsidRPr="00BA4949" w:rsidRDefault="00B026FC" w:rsidP="00B026FC">
            <w:pPr>
              <w:jc w:val="center"/>
              <w:rPr>
                <w:rFonts w:ascii="Arial Narrow" w:hAnsi="Arial Narrow"/>
                <w:sz w:val="20"/>
              </w:rPr>
            </w:pPr>
            <w:r w:rsidRPr="00BA4949">
              <w:rPr>
                <w:rFonts w:ascii="Arial Narrow" w:hAnsi="Arial Narrow"/>
                <w:sz w:val="20"/>
              </w:rPr>
              <w:t>0.20</w:t>
            </w:r>
          </w:p>
        </w:tc>
      </w:tr>
      <w:tr w:rsidR="00BA4949" w:rsidRPr="00BA4949" w14:paraId="67220374" w14:textId="77777777" w:rsidTr="00B026F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6D762A39"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693EB1C8"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25374736"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tcPr>
          <w:p w14:paraId="54B39844" w14:textId="77777777" w:rsidR="00B026FC" w:rsidRPr="00BA4949" w:rsidRDefault="00B026FC" w:rsidP="00B026FC">
            <w:pPr>
              <w:jc w:val="center"/>
              <w:rPr>
                <w:rFonts w:ascii="Arial Narrow" w:hAnsi="Arial Narrow"/>
                <w:sz w:val="20"/>
              </w:rPr>
            </w:pPr>
            <w:r w:rsidRPr="00BA4949">
              <w:rPr>
                <w:rFonts w:ascii="Arial Narrow" w:hAnsi="Arial Narrow"/>
                <w:sz w:val="20"/>
              </w:rPr>
              <w:t>0.27</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08E544A5"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tcPr>
          <w:p w14:paraId="5E871C8C" w14:textId="77777777" w:rsidR="00B026FC" w:rsidRPr="00BA4949" w:rsidRDefault="00B026FC" w:rsidP="00B026FC">
            <w:pPr>
              <w:jc w:val="center"/>
              <w:rPr>
                <w:rFonts w:ascii="Arial Narrow" w:hAnsi="Arial Narrow"/>
                <w:sz w:val="20"/>
              </w:rPr>
            </w:pPr>
            <w:r w:rsidRPr="00BA4949">
              <w:rPr>
                <w:rFonts w:ascii="Arial Narrow" w:hAnsi="Arial Narrow"/>
                <w:sz w:val="20"/>
              </w:rPr>
              <w:t>0.92</w:t>
            </w:r>
          </w:p>
        </w:tc>
        <w:tc>
          <w:tcPr>
            <w:tcW w:w="1047" w:type="dxa"/>
            <w:tcBorders>
              <w:top w:val="nil"/>
              <w:left w:val="nil"/>
              <w:bottom w:val="single" w:sz="4" w:space="0" w:color="auto"/>
              <w:right w:val="single" w:sz="4" w:space="0" w:color="auto"/>
            </w:tcBorders>
            <w:shd w:val="clear" w:color="auto" w:fill="auto"/>
            <w:noWrap/>
          </w:tcPr>
          <w:p w14:paraId="005EFFF4"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tcPr>
          <w:p w14:paraId="578DE5FE" w14:textId="77777777" w:rsidR="00B026FC" w:rsidRPr="00BA4949" w:rsidRDefault="00B026FC" w:rsidP="00B026FC">
            <w:pPr>
              <w:jc w:val="center"/>
              <w:rPr>
                <w:rFonts w:ascii="Arial Narrow" w:hAnsi="Arial Narrow"/>
                <w:sz w:val="20"/>
              </w:rPr>
            </w:pPr>
            <w:r w:rsidRPr="00BA4949">
              <w:rPr>
                <w:rFonts w:ascii="Arial Narrow" w:hAnsi="Arial Narrow"/>
                <w:sz w:val="20"/>
              </w:rPr>
              <w:t>NA</w:t>
            </w:r>
          </w:p>
        </w:tc>
        <w:tc>
          <w:tcPr>
            <w:tcW w:w="1117" w:type="dxa"/>
            <w:tcBorders>
              <w:top w:val="nil"/>
              <w:left w:val="nil"/>
              <w:bottom w:val="single" w:sz="4" w:space="0" w:color="auto"/>
              <w:right w:val="single" w:sz="4" w:space="0" w:color="auto"/>
            </w:tcBorders>
            <w:shd w:val="clear" w:color="auto" w:fill="92D050"/>
            <w:noWrap/>
          </w:tcPr>
          <w:p w14:paraId="79BD1D82" w14:textId="77777777" w:rsidR="00B026FC" w:rsidRPr="00BA4949" w:rsidRDefault="00B026FC" w:rsidP="00B026FC">
            <w:pPr>
              <w:jc w:val="center"/>
              <w:rPr>
                <w:rFonts w:ascii="Arial Narrow" w:hAnsi="Arial Narrow"/>
                <w:sz w:val="20"/>
              </w:rPr>
            </w:pPr>
            <w:r w:rsidRPr="00BA4949">
              <w:rPr>
                <w:rFonts w:ascii="Arial Narrow" w:hAnsi="Arial Narrow"/>
                <w:sz w:val="20"/>
              </w:rPr>
              <w:t>0.80</w:t>
            </w:r>
          </w:p>
        </w:tc>
      </w:tr>
      <w:tr w:rsidR="00BA4949" w:rsidRPr="00BA4949" w14:paraId="33D20C14" w14:textId="77777777" w:rsidTr="006C4059">
        <w:trPr>
          <w:cantSplit/>
          <w:trHeight w:hRule="exact" w:val="255"/>
        </w:trPr>
        <w:tc>
          <w:tcPr>
            <w:tcW w:w="2631" w:type="dxa"/>
            <w:gridSpan w:val="3"/>
            <w:tcBorders>
              <w:top w:val="nil"/>
              <w:left w:val="single" w:sz="4" w:space="0" w:color="auto"/>
              <w:bottom w:val="single" w:sz="4" w:space="0" w:color="auto"/>
              <w:right w:val="single" w:sz="4" w:space="0" w:color="auto"/>
            </w:tcBorders>
            <w:shd w:val="clear" w:color="auto" w:fill="FFFF00"/>
            <w:noWrap/>
            <w:vAlign w:val="center"/>
            <w:hideMark/>
          </w:tcPr>
          <w:p w14:paraId="1EEB6377" w14:textId="77777777" w:rsidR="006C4059" w:rsidRPr="00BA4949" w:rsidRDefault="006C4059" w:rsidP="006C4059">
            <w:pPr>
              <w:spacing w:after="0"/>
              <w:jc w:val="center"/>
              <w:rPr>
                <w:rFonts w:ascii="Arial Narrow" w:hAnsi="Arial Narrow"/>
                <w:szCs w:val="22"/>
                <w:lang w:val="en-AU" w:eastAsia="en-AU"/>
              </w:rPr>
            </w:pPr>
            <w:r w:rsidRPr="00BA4949">
              <w:rPr>
                <w:rFonts w:ascii="Arial Narrow" w:hAnsi="Arial Narrow"/>
                <w:sz w:val="20"/>
                <w:shd w:val="clear" w:color="auto" w:fill="FFFF00"/>
                <w:lang w:val="en-AU" w:eastAsia="en-AU"/>
              </w:rPr>
              <w:t>Report Card</w:t>
            </w:r>
            <w:r w:rsidRPr="00BA4949">
              <w:rPr>
                <w:rFonts w:ascii="Arial Narrow" w:hAnsi="Arial Narrow"/>
                <w:sz w:val="20"/>
                <w:lang w:val="en-AU" w:eastAsia="en-AU"/>
              </w:rPr>
              <w:t xml:space="preserve"> Score – Moderate</w:t>
            </w:r>
          </w:p>
        </w:tc>
        <w:tc>
          <w:tcPr>
            <w:tcW w:w="1134" w:type="dxa"/>
            <w:tcBorders>
              <w:top w:val="nil"/>
              <w:left w:val="nil"/>
              <w:bottom w:val="single" w:sz="4" w:space="0" w:color="auto"/>
              <w:right w:val="single" w:sz="4" w:space="0" w:color="auto"/>
            </w:tcBorders>
            <w:shd w:val="clear" w:color="000000" w:fill="FFC000"/>
            <w:noWrap/>
          </w:tcPr>
          <w:p w14:paraId="47539C67"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0.32</w:t>
            </w:r>
          </w:p>
        </w:tc>
        <w:tc>
          <w:tcPr>
            <w:tcW w:w="1134" w:type="dxa"/>
            <w:tcBorders>
              <w:top w:val="nil"/>
              <w:left w:val="nil"/>
              <w:bottom w:val="single" w:sz="4" w:space="0" w:color="auto"/>
              <w:right w:val="single" w:sz="4" w:space="0" w:color="auto"/>
            </w:tcBorders>
            <w:shd w:val="clear" w:color="000000" w:fill="00B050"/>
            <w:noWrap/>
            <w:tcMar>
              <w:left w:w="0" w:type="dxa"/>
              <w:right w:w="0" w:type="dxa"/>
            </w:tcMar>
          </w:tcPr>
          <w:p w14:paraId="6DA402E4"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0.89</w:t>
            </w:r>
          </w:p>
        </w:tc>
        <w:tc>
          <w:tcPr>
            <w:tcW w:w="1134" w:type="dxa"/>
            <w:tcBorders>
              <w:top w:val="nil"/>
              <w:left w:val="nil"/>
              <w:bottom w:val="single" w:sz="4" w:space="0" w:color="auto"/>
              <w:right w:val="single" w:sz="4" w:space="0" w:color="auto"/>
            </w:tcBorders>
            <w:shd w:val="clear" w:color="auto" w:fill="FFFF00"/>
            <w:noWrap/>
          </w:tcPr>
          <w:p w14:paraId="480FDF1C"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0.46</w:t>
            </w:r>
          </w:p>
        </w:tc>
        <w:tc>
          <w:tcPr>
            <w:tcW w:w="1047" w:type="dxa"/>
            <w:tcBorders>
              <w:top w:val="nil"/>
              <w:left w:val="nil"/>
              <w:bottom w:val="single" w:sz="4" w:space="0" w:color="auto"/>
              <w:right w:val="single" w:sz="4" w:space="0" w:color="auto"/>
            </w:tcBorders>
            <w:shd w:val="clear" w:color="000000" w:fill="92D050"/>
            <w:noWrap/>
          </w:tcPr>
          <w:p w14:paraId="23EF1FCC"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0.74</w:t>
            </w:r>
          </w:p>
        </w:tc>
        <w:tc>
          <w:tcPr>
            <w:tcW w:w="1221" w:type="dxa"/>
            <w:tcBorders>
              <w:top w:val="single" w:sz="4" w:space="0" w:color="auto"/>
              <w:left w:val="nil"/>
              <w:bottom w:val="single" w:sz="4" w:space="0" w:color="auto"/>
              <w:right w:val="single" w:sz="4" w:space="0" w:color="auto"/>
            </w:tcBorders>
            <w:shd w:val="clear" w:color="auto" w:fill="FFFF00"/>
            <w:noWrap/>
          </w:tcPr>
          <w:p w14:paraId="27A39ACB"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0.58</w:t>
            </w:r>
          </w:p>
        </w:tc>
        <w:tc>
          <w:tcPr>
            <w:tcW w:w="1117" w:type="dxa"/>
            <w:tcBorders>
              <w:top w:val="nil"/>
              <w:left w:val="nil"/>
              <w:bottom w:val="single" w:sz="4" w:space="0" w:color="auto"/>
              <w:right w:val="single" w:sz="4" w:space="0" w:color="auto"/>
            </w:tcBorders>
            <w:shd w:val="clear" w:color="000000" w:fill="FFFF00"/>
            <w:noWrap/>
          </w:tcPr>
          <w:p w14:paraId="4A7634BD"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0.59</w:t>
            </w:r>
          </w:p>
        </w:tc>
      </w:tr>
      <w:tr w:rsidR="00B026FC" w:rsidRPr="00BA4949" w14:paraId="0BBE08AA" w14:textId="77777777" w:rsidTr="00B026FC">
        <w:trPr>
          <w:trHeight w:hRule="exact" w:val="255"/>
        </w:trPr>
        <w:tc>
          <w:tcPr>
            <w:tcW w:w="771"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C2637CE" w14:textId="77777777" w:rsidR="00B026FC" w:rsidRPr="00BA4949" w:rsidRDefault="00B026FC" w:rsidP="00B026FC">
            <w:pPr>
              <w:spacing w:after="0"/>
              <w:jc w:val="center"/>
              <w:rPr>
                <w:rFonts w:cs="Arial"/>
                <w:szCs w:val="22"/>
                <w:lang w:val="en-AU" w:eastAsia="en-AU"/>
              </w:rPr>
            </w:pPr>
            <w:r w:rsidRPr="00BA4949">
              <w:rPr>
                <w:rFonts w:cs="Arial"/>
                <w:szCs w:val="22"/>
                <w:lang w:val="en-AU" w:eastAsia="en-AU"/>
              </w:rPr>
              <w:t>Burdekin</w:t>
            </w: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13799D4"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Palms East</w:t>
            </w:r>
          </w:p>
        </w:tc>
        <w:tc>
          <w:tcPr>
            <w:tcW w:w="284" w:type="dxa"/>
            <w:tcBorders>
              <w:top w:val="nil"/>
              <w:left w:val="nil"/>
              <w:bottom w:val="single" w:sz="4" w:space="0" w:color="auto"/>
              <w:right w:val="single" w:sz="4" w:space="0" w:color="auto"/>
            </w:tcBorders>
            <w:shd w:val="clear" w:color="auto" w:fill="auto"/>
            <w:noWrap/>
            <w:vAlign w:val="center"/>
            <w:hideMark/>
          </w:tcPr>
          <w:p w14:paraId="4D151223"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hideMark/>
          </w:tcPr>
          <w:p w14:paraId="3C65A46E" w14:textId="77777777" w:rsidR="00B026FC" w:rsidRPr="00BA4949" w:rsidRDefault="00B026FC" w:rsidP="00B026FC">
            <w:pPr>
              <w:jc w:val="center"/>
              <w:rPr>
                <w:rFonts w:ascii="Arial Narrow" w:hAnsi="Arial Narrow"/>
                <w:sz w:val="20"/>
              </w:rPr>
            </w:pPr>
            <w:r w:rsidRPr="00BA4949">
              <w:rPr>
                <w:rFonts w:ascii="Arial Narrow" w:hAnsi="Arial Narrow"/>
                <w:sz w:val="20"/>
              </w:rPr>
              <w:t>0.23</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2261DB7E" w14:textId="77777777" w:rsidR="00B026FC" w:rsidRPr="00BA4949" w:rsidRDefault="00B026FC" w:rsidP="00B026FC">
            <w:pPr>
              <w:jc w:val="center"/>
              <w:rPr>
                <w:rFonts w:ascii="Arial Narrow" w:hAnsi="Arial Narrow"/>
                <w:sz w:val="20"/>
              </w:rPr>
            </w:pPr>
            <w:r w:rsidRPr="00BA4949">
              <w:rPr>
                <w:rFonts w:ascii="Arial Narrow" w:hAnsi="Arial Narrow"/>
                <w:sz w:val="20"/>
              </w:rPr>
              <w:t>0.53</w:t>
            </w:r>
          </w:p>
        </w:tc>
        <w:tc>
          <w:tcPr>
            <w:tcW w:w="1134" w:type="dxa"/>
            <w:tcBorders>
              <w:top w:val="nil"/>
              <w:left w:val="nil"/>
              <w:bottom w:val="single" w:sz="4" w:space="0" w:color="auto"/>
              <w:right w:val="single" w:sz="4" w:space="0" w:color="auto"/>
            </w:tcBorders>
            <w:shd w:val="clear" w:color="auto" w:fill="auto"/>
            <w:noWrap/>
            <w:hideMark/>
          </w:tcPr>
          <w:p w14:paraId="1F2E27D9" w14:textId="77777777" w:rsidR="00B026FC" w:rsidRPr="00BA4949" w:rsidRDefault="00B026FC" w:rsidP="00B026FC">
            <w:pPr>
              <w:jc w:val="center"/>
              <w:rPr>
                <w:rFonts w:ascii="Arial Narrow" w:hAnsi="Arial Narrow"/>
                <w:sz w:val="20"/>
              </w:rPr>
            </w:pPr>
            <w:r w:rsidRPr="00BA4949">
              <w:rPr>
                <w:rFonts w:ascii="Arial Narrow" w:hAnsi="Arial Narrow"/>
                <w:sz w:val="20"/>
              </w:rPr>
              <w:t>0.21</w:t>
            </w:r>
          </w:p>
        </w:tc>
        <w:tc>
          <w:tcPr>
            <w:tcW w:w="1047" w:type="dxa"/>
            <w:tcBorders>
              <w:top w:val="nil"/>
              <w:left w:val="nil"/>
              <w:bottom w:val="single" w:sz="4" w:space="0" w:color="auto"/>
              <w:right w:val="single" w:sz="4" w:space="0" w:color="auto"/>
            </w:tcBorders>
            <w:shd w:val="clear" w:color="auto" w:fill="auto"/>
            <w:noWrap/>
            <w:hideMark/>
          </w:tcPr>
          <w:p w14:paraId="48BB76B7"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221" w:type="dxa"/>
            <w:tcBorders>
              <w:top w:val="nil"/>
              <w:left w:val="nil"/>
              <w:bottom w:val="single" w:sz="4" w:space="0" w:color="auto"/>
              <w:right w:val="single" w:sz="4" w:space="0" w:color="auto"/>
            </w:tcBorders>
            <w:shd w:val="clear" w:color="auto" w:fill="auto"/>
            <w:noWrap/>
            <w:hideMark/>
          </w:tcPr>
          <w:p w14:paraId="5AC61DE0"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FFFF00"/>
            <w:noWrap/>
            <w:hideMark/>
          </w:tcPr>
          <w:p w14:paraId="7D74FA94" w14:textId="77777777" w:rsidR="00B026FC" w:rsidRPr="00BA4949" w:rsidRDefault="00B026FC" w:rsidP="00B026FC">
            <w:pPr>
              <w:jc w:val="center"/>
              <w:rPr>
                <w:rFonts w:ascii="Arial Narrow" w:hAnsi="Arial Narrow"/>
                <w:sz w:val="20"/>
              </w:rPr>
            </w:pPr>
            <w:r w:rsidRPr="00BA4949">
              <w:rPr>
                <w:rFonts w:ascii="Arial Narrow" w:hAnsi="Arial Narrow"/>
                <w:sz w:val="20"/>
              </w:rPr>
              <w:t>0.49</w:t>
            </w:r>
          </w:p>
        </w:tc>
      </w:tr>
      <w:tr w:rsidR="00B026FC" w:rsidRPr="00BA4949" w14:paraId="31E9D0D2" w14:textId="77777777" w:rsidTr="00B026F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45F0FD7"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1DEF79C8"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071FBCDC"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679CF72C" w14:textId="77777777" w:rsidR="00B026FC" w:rsidRPr="00BA4949" w:rsidRDefault="00B026FC" w:rsidP="00B026FC">
            <w:pPr>
              <w:jc w:val="center"/>
              <w:rPr>
                <w:rFonts w:ascii="Arial Narrow" w:hAnsi="Arial Narrow"/>
                <w:sz w:val="20"/>
              </w:rPr>
            </w:pPr>
            <w:r w:rsidRPr="00BA4949">
              <w:rPr>
                <w:rFonts w:ascii="Arial Narrow" w:hAnsi="Arial Narrow"/>
                <w:sz w:val="20"/>
              </w:rPr>
              <w:t>0.18</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0BC3361E" w14:textId="77777777" w:rsidR="00B026FC" w:rsidRPr="00BA4949" w:rsidRDefault="00B026FC" w:rsidP="00B026FC">
            <w:pPr>
              <w:jc w:val="center"/>
              <w:rPr>
                <w:rFonts w:ascii="Arial Narrow" w:hAnsi="Arial Narrow"/>
                <w:sz w:val="20"/>
              </w:rPr>
            </w:pPr>
            <w:r w:rsidRPr="00BA4949">
              <w:rPr>
                <w:rFonts w:ascii="Arial Narrow" w:hAnsi="Arial Narrow"/>
                <w:sz w:val="20"/>
              </w:rPr>
              <w:t>0.65</w:t>
            </w:r>
          </w:p>
        </w:tc>
        <w:tc>
          <w:tcPr>
            <w:tcW w:w="1134" w:type="dxa"/>
            <w:tcBorders>
              <w:top w:val="nil"/>
              <w:left w:val="nil"/>
              <w:bottom w:val="single" w:sz="4" w:space="0" w:color="auto"/>
              <w:right w:val="single" w:sz="4" w:space="0" w:color="auto"/>
            </w:tcBorders>
            <w:shd w:val="clear" w:color="auto" w:fill="auto"/>
            <w:noWrap/>
            <w:hideMark/>
          </w:tcPr>
          <w:p w14:paraId="5AFFDC49"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24B2CFFC" w14:textId="77777777" w:rsidR="00B026FC" w:rsidRPr="00BA4949" w:rsidRDefault="00B026FC" w:rsidP="00B026FC">
            <w:pPr>
              <w:jc w:val="center"/>
              <w:rPr>
                <w:rFonts w:ascii="Arial Narrow" w:hAnsi="Arial Narrow"/>
                <w:sz w:val="20"/>
              </w:rPr>
            </w:pPr>
            <w:r w:rsidRPr="00BA4949">
              <w:rPr>
                <w:rFonts w:ascii="Arial Narrow" w:hAnsi="Arial Narrow"/>
                <w:sz w:val="20"/>
              </w:rPr>
              <w:t>0.69</w:t>
            </w:r>
          </w:p>
        </w:tc>
        <w:tc>
          <w:tcPr>
            <w:tcW w:w="1221" w:type="dxa"/>
            <w:tcBorders>
              <w:top w:val="nil"/>
              <w:left w:val="nil"/>
              <w:bottom w:val="single" w:sz="4" w:space="0" w:color="auto"/>
              <w:right w:val="single" w:sz="4" w:space="0" w:color="auto"/>
            </w:tcBorders>
            <w:shd w:val="clear" w:color="auto" w:fill="auto"/>
            <w:noWrap/>
            <w:hideMark/>
          </w:tcPr>
          <w:p w14:paraId="7AE1CCDC"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17" w:type="dxa"/>
            <w:tcBorders>
              <w:top w:val="nil"/>
              <w:left w:val="nil"/>
              <w:bottom w:val="single" w:sz="4" w:space="0" w:color="auto"/>
              <w:right w:val="single" w:sz="4" w:space="0" w:color="auto"/>
            </w:tcBorders>
            <w:shd w:val="clear" w:color="000000" w:fill="FFFF00"/>
            <w:noWrap/>
            <w:hideMark/>
          </w:tcPr>
          <w:p w14:paraId="437D1DB7"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r>
      <w:tr w:rsidR="00BA4949" w:rsidRPr="00BA4949" w14:paraId="5716CA84" w14:textId="77777777" w:rsidTr="00BA4949">
        <w:trPr>
          <w:trHeight w:hRule="exact" w:val="255"/>
        </w:trPr>
        <w:tc>
          <w:tcPr>
            <w:tcW w:w="771" w:type="dxa"/>
            <w:vMerge/>
            <w:tcBorders>
              <w:top w:val="nil"/>
              <w:left w:val="single" w:sz="4" w:space="0" w:color="auto"/>
              <w:bottom w:val="single" w:sz="4" w:space="0" w:color="auto"/>
              <w:right w:val="single" w:sz="4" w:space="0" w:color="auto"/>
            </w:tcBorders>
            <w:vAlign w:val="center"/>
          </w:tcPr>
          <w:p w14:paraId="71FCCBDF"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nil"/>
              <w:right w:val="single" w:sz="4" w:space="0" w:color="auto"/>
            </w:tcBorders>
            <w:shd w:val="clear" w:color="auto" w:fill="auto"/>
            <w:noWrap/>
            <w:vAlign w:val="center"/>
          </w:tcPr>
          <w:p w14:paraId="0A262413"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Palms West</w:t>
            </w:r>
          </w:p>
        </w:tc>
        <w:tc>
          <w:tcPr>
            <w:tcW w:w="284" w:type="dxa"/>
            <w:tcBorders>
              <w:top w:val="nil"/>
              <w:left w:val="nil"/>
              <w:bottom w:val="single" w:sz="4" w:space="0" w:color="auto"/>
              <w:right w:val="single" w:sz="4" w:space="0" w:color="auto"/>
            </w:tcBorders>
            <w:shd w:val="clear" w:color="auto" w:fill="auto"/>
            <w:noWrap/>
            <w:vAlign w:val="center"/>
          </w:tcPr>
          <w:p w14:paraId="74429C54"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tcPr>
          <w:p w14:paraId="3A7441E5" w14:textId="77777777" w:rsidR="00B026FC" w:rsidRPr="00BA4949" w:rsidRDefault="00B026FC" w:rsidP="00B026FC">
            <w:pPr>
              <w:jc w:val="center"/>
              <w:rPr>
                <w:rFonts w:ascii="Arial Narrow" w:hAnsi="Arial Narrow"/>
                <w:sz w:val="20"/>
              </w:rPr>
            </w:pPr>
            <w:r w:rsidRPr="00BA4949">
              <w:rPr>
                <w:rFonts w:ascii="Arial Narrow" w:hAnsi="Arial Narrow"/>
                <w:sz w:val="20"/>
              </w:rPr>
              <w:t>0.33</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1910BFF1" w14:textId="77777777" w:rsidR="00B026FC" w:rsidRPr="00BA4949" w:rsidRDefault="00B026FC" w:rsidP="00B026FC">
            <w:pPr>
              <w:jc w:val="center"/>
              <w:rPr>
                <w:rFonts w:ascii="Arial Narrow" w:hAnsi="Arial Narrow"/>
                <w:sz w:val="20"/>
              </w:rPr>
            </w:pPr>
            <w:r w:rsidRPr="00BA4949">
              <w:rPr>
                <w:rFonts w:ascii="Arial Narrow" w:hAnsi="Arial Narrow"/>
                <w:sz w:val="20"/>
              </w:rPr>
              <w:t>0.18</w:t>
            </w:r>
          </w:p>
        </w:tc>
        <w:tc>
          <w:tcPr>
            <w:tcW w:w="1134" w:type="dxa"/>
            <w:tcBorders>
              <w:top w:val="nil"/>
              <w:left w:val="nil"/>
              <w:bottom w:val="single" w:sz="4" w:space="0" w:color="auto"/>
              <w:right w:val="single" w:sz="4" w:space="0" w:color="auto"/>
            </w:tcBorders>
            <w:shd w:val="clear" w:color="auto" w:fill="auto"/>
            <w:noWrap/>
          </w:tcPr>
          <w:p w14:paraId="32A03A8C"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tcPr>
          <w:p w14:paraId="47F2D6F7"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tcPr>
          <w:p w14:paraId="4A2D8DDB"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FF00"/>
            <w:noWrap/>
          </w:tcPr>
          <w:p w14:paraId="50A7F960"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r>
      <w:tr w:rsidR="00BA4949" w:rsidRPr="00BA4949" w14:paraId="24AEF8EE" w14:textId="77777777" w:rsidTr="00BA494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20640059"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left w:val="nil"/>
              <w:bottom w:val="single" w:sz="4" w:space="0" w:color="auto"/>
              <w:right w:val="single" w:sz="4" w:space="0" w:color="auto"/>
            </w:tcBorders>
            <w:shd w:val="clear" w:color="auto" w:fill="auto"/>
            <w:noWrap/>
            <w:vAlign w:val="center"/>
            <w:hideMark/>
          </w:tcPr>
          <w:p w14:paraId="376E1A5E"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5F65F4B"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27B27D3D" w14:textId="77777777" w:rsidR="00B026FC" w:rsidRPr="00BA4949" w:rsidRDefault="00B026FC" w:rsidP="00B026FC">
            <w:pPr>
              <w:jc w:val="center"/>
              <w:rPr>
                <w:rFonts w:ascii="Arial Narrow" w:hAnsi="Arial Narrow"/>
                <w:sz w:val="20"/>
              </w:rPr>
            </w:pPr>
            <w:r w:rsidRPr="00BA4949">
              <w:rPr>
                <w:rFonts w:ascii="Arial Narrow" w:hAnsi="Arial Narrow"/>
                <w:sz w:val="20"/>
              </w:rPr>
              <w:t>0.48</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057B6175" w14:textId="77777777" w:rsidR="00B026FC" w:rsidRPr="00BA4949" w:rsidRDefault="00B026FC" w:rsidP="00B026FC">
            <w:pPr>
              <w:jc w:val="center"/>
              <w:rPr>
                <w:rFonts w:ascii="Arial Narrow" w:hAnsi="Arial Narrow"/>
                <w:sz w:val="20"/>
              </w:rPr>
            </w:pPr>
            <w:r w:rsidRPr="00BA4949">
              <w:rPr>
                <w:rFonts w:ascii="Arial Narrow" w:hAnsi="Arial Narrow"/>
                <w:sz w:val="20"/>
              </w:rPr>
              <w:t>0.40</w:t>
            </w:r>
          </w:p>
        </w:tc>
        <w:tc>
          <w:tcPr>
            <w:tcW w:w="1134" w:type="dxa"/>
            <w:tcBorders>
              <w:top w:val="nil"/>
              <w:left w:val="nil"/>
              <w:bottom w:val="single" w:sz="4" w:space="0" w:color="auto"/>
              <w:right w:val="single" w:sz="4" w:space="0" w:color="auto"/>
            </w:tcBorders>
            <w:shd w:val="clear" w:color="auto" w:fill="auto"/>
            <w:noWrap/>
            <w:hideMark/>
          </w:tcPr>
          <w:p w14:paraId="6956863D"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hideMark/>
          </w:tcPr>
          <w:p w14:paraId="3768CFF7" w14:textId="77777777" w:rsidR="00B026FC" w:rsidRPr="00BA4949" w:rsidRDefault="00B026FC" w:rsidP="00B026FC">
            <w:pPr>
              <w:jc w:val="center"/>
              <w:rPr>
                <w:rFonts w:ascii="Arial Narrow" w:hAnsi="Arial Narrow"/>
                <w:sz w:val="20"/>
              </w:rPr>
            </w:pPr>
            <w:r w:rsidRPr="00BA4949">
              <w:rPr>
                <w:rFonts w:ascii="Arial Narrow" w:hAnsi="Arial Narrow"/>
                <w:sz w:val="20"/>
              </w:rPr>
              <w:t>0.67</w:t>
            </w:r>
          </w:p>
        </w:tc>
        <w:tc>
          <w:tcPr>
            <w:tcW w:w="1221" w:type="dxa"/>
            <w:tcBorders>
              <w:top w:val="nil"/>
              <w:left w:val="nil"/>
              <w:bottom w:val="single" w:sz="4" w:space="0" w:color="auto"/>
              <w:right w:val="single" w:sz="4" w:space="0" w:color="auto"/>
            </w:tcBorders>
            <w:shd w:val="clear" w:color="auto" w:fill="auto"/>
            <w:noWrap/>
            <w:hideMark/>
          </w:tcPr>
          <w:p w14:paraId="4AFF0F98"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92D050"/>
            <w:noWrap/>
            <w:hideMark/>
          </w:tcPr>
          <w:p w14:paraId="36062465" w14:textId="77777777" w:rsidR="00B026FC" w:rsidRPr="00BA4949" w:rsidRDefault="00B026FC" w:rsidP="00B026FC">
            <w:pPr>
              <w:jc w:val="center"/>
              <w:rPr>
                <w:rFonts w:ascii="Arial Narrow" w:hAnsi="Arial Narrow"/>
                <w:sz w:val="20"/>
              </w:rPr>
            </w:pPr>
            <w:r w:rsidRPr="00BA4949">
              <w:rPr>
                <w:rFonts w:ascii="Arial Narrow" w:hAnsi="Arial Narrow"/>
                <w:sz w:val="20"/>
              </w:rPr>
              <w:t>0.71</w:t>
            </w:r>
          </w:p>
        </w:tc>
      </w:tr>
      <w:tr w:rsidR="00BA4949" w:rsidRPr="00BA4949" w14:paraId="6BC6F559" w14:textId="77777777" w:rsidTr="00BA4949">
        <w:trPr>
          <w:trHeight w:hRule="exact" w:val="255"/>
        </w:trPr>
        <w:tc>
          <w:tcPr>
            <w:tcW w:w="771" w:type="dxa"/>
            <w:vMerge/>
            <w:tcBorders>
              <w:top w:val="nil"/>
              <w:left w:val="single" w:sz="4" w:space="0" w:color="auto"/>
              <w:bottom w:val="single" w:sz="4" w:space="0" w:color="auto"/>
              <w:right w:val="single" w:sz="4" w:space="0" w:color="auto"/>
            </w:tcBorders>
            <w:vAlign w:val="center"/>
          </w:tcPr>
          <w:p w14:paraId="67908BD0" w14:textId="77777777" w:rsidR="00B026FC" w:rsidRPr="00BA4949" w:rsidRDefault="00B026FC" w:rsidP="00B026FC">
            <w:pPr>
              <w:spacing w:after="0"/>
              <w:jc w:val="left"/>
              <w:rPr>
                <w:rFonts w:ascii="Arial Narrow" w:hAnsi="Arial Narrow"/>
                <w:szCs w:val="22"/>
                <w:lang w:val="en-AU" w:eastAsia="en-AU"/>
              </w:rPr>
            </w:pPr>
          </w:p>
        </w:tc>
        <w:tc>
          <w:tcPr>
            <w:tcW w:w="1576" w:type="dxa"/>
            <w:tcBorders>
              <w:top w:val="nil"/>
              <w:left w:val="single" w:sz="4" w:space="0" w:color="auto"/>
              <w:bottom w:val="single" w:sz="4" w:space="0" w:color="auto"/>
              <w:right w:val="single" w:sz="4" w:space="0" w:color="auto"/>
            </w:tcBorders>
            <w:shd w:val="clear" w:color="auto" w:fill="auto"/>
            <w:noWrap/>
            <w:vAlign w:val="center"/>
          </w:tcPr>
          <w:p w14:paraId="2F50A419"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Havannah North</w:t>
            </w:r>
          </w:p>
        </w:tc>
        <w:tc>
          <w:tcPr>
            <w:tcW w:w="284" w:type="dxa"/>
            <w:tcBorders>
              <w:top w:val="nil"/>
              <w:left w:val="nil"/>
              <w:bottom w:val="single" w:sz="4" w:space="0" w:color="auto"/>
              <w:right w:val="single" w:sz="4" w:space="0" w:color="auto"/>
            </w:tcBorders>
            <w:shd w:val="clear" w:color="auto" w:fill="auto"/>
            <w:noWrap/>
            <w:vAlign w:val="center"/>
          </w:tcPr>
          <w:p w14:paraId="43B41E63"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tcPr>
          <w:p w14:paraId="6FFE847E" w14:textId="77777777" w:rsidR="00B026FC" w:rsidRPr="00BA4949" w:rsidRDefault="00B026FC" w:rsidP="00B026FC">
            <w:pPr>
              <w:jc w:val="center"/>
              <w:rPr>
                <w:rFonts w:ascii="Arial Narrow" w:hAnsi="Arial Narrow"/>
                <w:sz w:val="20"/>
              </w:rPr>
            </w:pPr>
            <w:r w:rsidRPr="00BA4949">
              <w:rPr>
                <w:rFonts w:ascii="Arial Narrow" w:hAnsi="Arial Narrow"/>
                <w:sz w:val="20"/>
              </w:rPr>
              <w:t>0.09</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122DCF63"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tcPr>
          <w:p w14:paraId="0279B4F4"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tcPr>
          <w:p w14:paraId="121F99A9" w14:textId="77777777" w:rsidR="00B026FC" w:rsidRPr="00BA4949" w:rsidRDefault="00B026FC" w:rsidP="00B026FC">
            <w:pPr>
              <w:jc w:val="center"/>
              <w:rPr>
                <w:rFonts w:ascii="Arial Narrow" w:hAnsi="Arial Narrow"/>
                <w:sz w:val="20"/>
              </w:rPr>
            </w:pPr>
            <w:r w:rsidRPr="00BA4949">
              <w:rPr>
                <w:rFonts w:ascii="Arial Narrow" w:hAnsi="Arial Narrow"/>
                <w:sz w:val="20"/>
              </w:rPr>
              <w:t>0.59</w:t>
            </w:r>
          </w:p>
        </w:tc>
        <w:tc>
          <w:tcPr>
            <w:tcW w:w="1221" w:type="dxa"/>
            <w:tcBorders>
              <w:top w:val="nil"/>
              <w:left w:val="nil"/>
              <w:bottom w:val="single" w:sz="4" w:space="0" w:color="auto"/>
              <w:right w:val="single" w:sz="4" w:space="0" w:color="auto"/>
            </w:tcBorders>
            <w:shd w:val="clear" w:color="auto" w:fill="auto"/>
            <w:noWrap/>
          </w:tcPr>
          <w:p w14:paraId="61569188"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FFFF00"/>
            <w:noWrap/>
          </w:tcPr>
          <w:p w14:paraId="5119F488" w14:textId="77777777" w:rsidR="00B026FC" w:rsidRPr="00BA4949" w:rsidRDefault="00B026FC" w:rsidP="00B026FC">
            <w:pPr>
              <w:jc w:val="center"/>
              <w:rPr>
                <w:rFonts w:ascii="Arial Narrow" w:hAnsi="Arial Narrow"/>
                <w:sz w:val="20"/>
              </w:rPr>
            </w:pPr>
            <w:r w:rsidRPr="00BA4949">
              <w:rPr>
                <w:rFonts w:ascii="Arial Narrow" w:hAnsi="Arial Narrow"/>
                <w:sz w:val="20"/>
              </w:rPr>
              <w:t>0.54</w:t>
            </w:r>
          </w:p>
        </w:tc>
      </w:tr>
      <w:tr w:rsidR="00B026FC" w:rsidRPr="00BA4949" w14:paraId="320E1F4A" w14:textId="77777777" w:rsidTr="00B026F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4ABF3F68"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5F05E29"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Havannah</w:t>
            </w:r>
          </w:p>
        </w:tc>
        <w:tc>
          <w:tcPr>
            <w:tcW w:w="284" w:type="dxa"/>
            <w:tcBorders>
              <w:top w:val="nil"/>
              <w:left w:val="nil"/>
              <w:bottom w:val="single" w:sz="4" w:space="0" w:color="auto"/>
              <w:right w:val="single" w:sz="4" w:space="0" w:color="auto"/>
            </w:tcBorders>
            <w:shd w:val="clear" w:color="auto" w:fill="auto"/>
            <w:noWrap/>
            <w:vAlign w:val="center"/>
            <w:hideMark/>
          </w:tcPr>
          <w:p w14:paraId="11591B85"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hideMark/>
          </w:tcPr>
          <w:p w14:paraId="228181E1" w14:textId="77777777" w:rsidR="00B026FC" w:rsidRPr="00BA4949" w:rsidRDefault="00B026FC" w:rsidP="00B026FC">
            <w:pPr>
              <w:jc w:val="center"/>
              <w:rPr>
                <w:rFonts w:ascii="Arial Narrow" w:hAnsi="Arial Narrow"/>
                <w:sz w:val="20"/>
              </w:rPr>
            </w:pPr>
            <w:r w:rsidRPr="00BA4949">
              <w:rPr>
                <w:rFonts w:ascii="Arial Narrow" w:hAnsi="Arial Narrow"/>
                <w:sz w:val="20"/>
              </w:rPr>
              <w:t>0.52</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5D604FEE" w14:textId="77777777" w:rsidR="00B026FC" w:rsidRPr="00BA4949" w:rsidRDefault="00B026FC" w:rsidP="00B026FC">
            <w:pPr>
              <w:jc w:val="center"/>
              <w:rPr>
                <w:rFonts w:ascii="Arial Narrow" w:hAnsi="Arial Narrow"/>
                <w:sz w:val="20"/>
              </w:rPr>
            </w:pPr>
            <w:r w:rsidRPr="00BA4949">
              <w:rPr>
                <w:rFonts w:ascii="Arial Narrow" w:hAnsi="Arial Narrow"/>
                <w:sz w:val="20"/>
              </w:rPr>
              <w:t>0.11</w:t>
            </w:r>
          </w:p>
        </w:tc>
        <w:tc>
          <w:tcPr>
            <w:tcW w:w="1134" w:type="dxa"/>
            <w:tcBorders>
              <w:top w:val="nil"/>
              <w:left w:val="nil"/>
              <w:bottom w:val="single" w:sz="4" w:space="0" w:color="auto"/>
              <w:right w:val="single" w:sz="4" w:space="0" w:color="auto"/>
            </w:tcBorders>
            <w:shd w:val="clear" w:color="auto" w:fill="auto"/>
            <w:noWrap/>
            <w:hideMark/>
          </w:tcPr>
          <w:p w14:paraId="52E74A55"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hideMark/>
          </w:tcPr>
          <w:p w14:paraId="0E1B75CD"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221" w:type="dxa"/>
            <w:tcBorders>
              <w:top w:val="nil"/>
              <w:left w:val="nil"/>
              <w:bottom w:val="single" w:sz="4" w:space="0" w:color="auto"/>
              <w:right w:val="single" w:sz="4" w:space="0" w:color="auto"/>
            </w:tcBorders>
            <w:shd w:val="clear" w:color="auto" w:fill="auto"/>
            <w:noWrap/>
            <w:hideMark/>
          </w:tcPr>
          <w:p w14:paraId="4E82E18F"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92D050"/>
            <w:noWrap/>
            <w:hideMark/>
          </w:tcPr>
          <w:p w14:paraId="0E140B9C" w14:textId="77777777" w:rsidR="00B026FC" w:rsidRPr="00BA4949" w:rsidRDefault="00B026FC" w:rsidP="00B026FC">
            <w:pPr>
              <w:jc w:val="center"/>
              <w:rPr>
                <w:rFonts w:ascii="Arial Narrow" w:hAnsi="Arial Narrow"/>
                <w:sz w:val="20"/>
              </w:rPr>
            </w:pPr>
            <w:r w:rsidRPr="00BA4949">
              <w:rPr>
                <w:rFonts w:ascii="Arial Narrow" w:hAnsi="Arial Narrow"/>
                <w:sz w:val="20"/>
              </w:rPr>
              <w:t>0.63</w:t>
            </w:r>
          </w:p>
        </w:tc>
      </w:tr>
      <w:tr w:rsidR="00B026FC" w:rsidRPr="00BA4949" w14:paraId="600ACD66" w14:textId="77777777" w:rsidTr="00B026F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62D31586"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6EDA5FF"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76060C30"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610E847F" w14:textId="77777777" w:rsidR="00B026FC" w:rsidRPr="00BA4949" w:rsidRDefault="00B026FC" w:rsidP="00B026FC">
            <w:pPr>
              <w:jc w:val="center"/>
              <w:rPr>
                <w:rFonts w:ascii="Arial Narrow" w:hAnsi="Arial Narrow"/>
                <w:sz w:val="20"/>
              </w:rPr>
            </w:pPr>
            <w:r w:rsidRPr="00BA4949">
              <w:rPr>
                <w:rFonts w:ascii="Arial Narrow" w:hAnsi="Arial Narrow"/>
                <w:sz w:val="20"/>
              </w:rPr>
              <w:t>0.47</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04FDEE1B" w14:textId="77777777" w:rsidR="00B026FC" w:rsidRPr="00BA4949" w:rsidRDefault="00B026FC" w:rsidP="00B026FC">
            <w:pPr>
              <w:jc w:val="center"/>
              <w:rPr>
                <w:rFonts w:ascii="Arial Narrow" w:hAnsi="Arial Narrow"/>
                <w:sz w:val="20"/>
              </w:rPr>
            </w:pPr>
            <w:r w:rsidRPr="00BA4949">
              <w:rPr>
                <w:rFonts w:ascii="Arial Narrow" w:hAnsi="Arial Narrow"/>
                <w:sz w:val="20"/>
              </w:rPr>
              <w:t>0.33</w:t>
            </w:r>
          </w:p>
        </w:tc>
        <w:tc>
          <w:tcPr>
            <w:tcW w:w="1134" w:type="dxa"/>
            <w:tcBorders>
              <w:top w:val="nil"/>
              <w:left w:val="nil"/>
              <w:bottom w:val="single" w:sz="4" w:space="0" w:color="auto"/>
              <w:right w:val="single" w:sz="4" w:space="0" w:color="auto"/>
            </w:tcBorders>
            <w:shd w:val="clear" w:color="auto" w:fill="auto"/>
            <w:noWrap/>
            <w:hideMark/>
          </w:tcPr>
          <w:p w14:paraId="1CA43FDA"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643250F4"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hideMark/>
          </w:tcPr>
          <w:p w14:paraId="79589AC5"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17" w:type="dxa"/>
            <w:tcBorders>
              <w:top w:val="nil"/>
              <w:left w:val="nil"/>
              <w:bottom w:val="single" w:sz="4" w:space="0" w:color="auto"/>
              <w:right w:val="single" w:sz="4" w:space="0" w:color="auto"/>
            </w:tcBorders>
            <w:shd w:val="clear" w:color="000000" w:fill="FFFF00"/>
            <w:noWrap/>
            <w:hideMark/>
          </w:tcPr>
          <w:p w14:paraId="57367A9D" w14:textId="77777777" w:rsidR="00B026FC" w:rsidRPr="00BA4949" w:rsidRDefault="00B026FC" w:rsidP="00B026FC">
            <w:pPr>
              <w:jc w:val="center"/>
              <w:rPr>
                <w:rFonts w:ascii="Arial Narrow" w:hAnsi="Arial Narrow"/>
                <w:sz w:val="20"/>
              </w:rPr>
            </w:pPr>
            <w:r w:rsidRPr="00BA4949">
              <w:rPr>
                <w:rFonts w:ascii="Arial Narrow" w:hAnsi="Arial Narrow"/>
                <w:sz w:val="20"/>
              </w:rPr>
              <w:t>0.56</w:t>
            </w:r>
          </w:p>
        </w:tc>
      </w:tr>
      <w:tr w:rsidR="00BA4949" w:rsidRPr="00BA4949" w14:paraId="68FBDD31" w14:textId="77777777" w:rsidTr="00BA494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9769F45"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6C8CC0A"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Pandora</w:t>
            </w:r>
          </w:p>
        </w:tc>
        <w:tc>
          <w:tcPr>
            <w:tcW w:w="284" w:type="dxa"/>
            <w:tcBorders>
              <w:top w:val="nil"/>
              <w:left w:val="nil"/>
              <w:bottom w:val="single" w:sz="4" w:space="0" w:color="auto"/>
              <w:right w:val="single" w:sz="4" w:space="0" w:color="auto"/>
            </w:tcBorders>
            <w:shd w:val="clear" w:color="auto" w:fill="auto"/>
            <w:noWrap/>
            <w:vAlign w:val="center"/>
            <w:hideMark/>
          </w:tcPr>
          <w:p w14:paraId="1048A1C2"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hideMark/>
          </w:tcPr>
          <w:p w14:paraId="4D724859" w14:textId="77777777" w:rsidR="00B026FC" w:rsidRPr="00BA4949" w:rsidRDefault="00B026FC" w:rsidP="00B026FC">
            <w:pPr>
              <w:jc w:val="center"/>
              <w:rPr>
                <w:rFonts w:ascii="Arial Narrow" w:hAnsi="Arial Narrow"/>
                <w:sz w:val="20"/>
              </w:rPr>
            </w:pPr>
            <w:r w:rsidRPr="00BA4949">
              <w:rPr>
                <w:rFonts w:ascii="Arial Narrow" w:hAnsi="Arial Narrow"/>
                <w:sz w:val="20"/>
              </w:rPr>
              <w:t>0.08</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344E5301" w14:textId="77777777" w:rsidR="00B026FC" w:rsidRPr="00BA4949" w:rsidRDefault="00B026FC" w:rsidP="00B026FC">
            <w:pPr>
              <w:jc w:val="center"/>
              <w:rPr>
                <w:rFonts w:ascii="Arial Narrow" w:hAnsi="Arial Narrow"/>
                <w:sz w:val="20"/>
              </w:rPr>
            </w:pPr>
            <w:r w:rsidRPr="00BA4949">
              <w:rPr>
                <w:rFonts w:ascii="Arial Narrow" w:hAnsi="Arial Narrow"/>
                <w:sz w:val="20"/>
              </w:rPr>
              <w:t>0.26</w:t>
            </w:r>
          </w:p>
        </w:tc>
        <w:tc>
          <w:tcPr>
            <w:tcW w:w="1134" w:type="dxa"/>
            <w:tcBorders>
              <w:top w:val="nil"/>
              <w:left w:val="nil"/>
              <w:bottom w:val="single" w:sz="4" w:space="0" w:color="auto"/>
              <w:right w:val="single" w:sz="4" w:space="0" w:color="auto"/>
            </w:tcBorders>
            <w:shd w:val="clear" w:color="auto" w:fill="auto"/>
            <w:noWrap/>
            <w:hideMark/>
          </w:tcPr>
          <w:p w14:paraId="3BD30A95"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2A49B8F7" w14:textId="77777777" w:rsidR="00B026FC" w:rsidRPr="00BA4949" w:rsidRDefault="00B026FC" w:rsidP="00B026FC">
            <w:pPr>
              <w:jc w:val="center"/>
              <w:rPr>
                <w:rFonts w:ascii="Arial Narrow" w:hAnsi="Arial Narrow"/>
                <w:sz w:val="20"/>
              </w:rPr>
            </w:pPr>
            <w:r w:rsidRPr="00BA4949">
              <w:rPr>
                <w:rFonts w:ascii="Arial Narrow" w:hAnsi="Arial Narrow"/>
                <w:sz w:val="20"/>
              </w:rPr>
              <w:t>0.26</w:t>
            </w:r>
          </w:p>
        </w:tc>
        <w:tc>
          <w:tcPr>
            <w:tcW w:w="1221" w:type="dxa"/>
            <w:tcBorders>
              <w:top w:val="nil"/>
              <w:left w:val="nil"/>
              <w:bottom w:val="single" w:sz="4" w:space="0" w:color="auto"/>
              <w:right w:val="single" w:sz="4" w:space="0" w:color="auto"/>
            </w:tcBorders>
            <w:shd w:val="clear" w:color="auto" w:fill="auto"/>
            <w:noWrap/>
            <w:hideMark/>
          </w:tcPr>
          <w:p w14:paraId="6949B677"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C000"/>
            <w:noWrap/>
            <w:hideMark/>
          </w:tcPr>
          <w:p w14:paraId="4BE9F229" w14:textId="77777777" w:rsidR="00B026FC" w:rsidRPr="00BA4949" w:rsidRDefault="00B026FC" w:rsidP="00B026FC">
            <w:pPr>
              <w:jc w:val="center"/>
              <w:rPr>
                <w:rFonts w:ascii="Arial Narrow" w:hAnsi="Arial Narrow"/>
                <w:sz w:val="20"/>
              </w:rPr>
            </w:pPr>
            <w:r w:rsidRPr="00BA4949">
              <w:rPr>
                <w:rFonts w:ascii="Arial Narrow" w:hAnsi="Arial Narrow"/>
                <w:sz w:val="20"/>
              </w:rPr>
              <w:t>0.22</w:t>
            </w:r>
          </w:p>
        </w:tc>
      </w:tr>
      <w:tr w:rsidR="00B026FC" w:rsidRPr="00BA4949" w14:paraId="0BE8F935" w14:textId="77777777" w:rsidTr="00B026F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216199E3"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38596152"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7F7680B"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495F655B" w14:textId="77777777" w:rsidR="00B026FC" w:rsidRPr="00BA4949" w:rsidRDefault="00B026FC" w:rsidP="00B026FC">
            <w:pPr>
              <w:jc w:val="center"/>
              <w:rPr>
                <w:rFonts w:ascii="Arial Narrow" w:hAnsi="Arial Narrow"/>
                <w:sz w:val="20"/>
              </w:rPr>
            </w:pPr>
            <w:r w:rsidRPr="00BA4949">
              <w:rPr>
                <w:rFonts w:ascii="Arial Narrow" w:hAnsi="Arial Narrow"/>
                <w:sz w:val="20"/>
              </w:rPr>
              <w:t>0.14</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6BC03B75" w14:textId="77777777" w:rsidR="00B026FC" w:rsidRPr="00BA4949" w:rsidRDefault="00B026FC" w:rsidP="00B026FC">
            <w:pPr>
              <w:jc w:val="center"/>
              <w:rPr>
                <w:rFonts w:ascii="Arial Narrow" w:hAnsi="Arial Narrow"/>
                <w:sz w:val="20"/>
              </w:rPr>
            </w:pPr>
            <w:r w:rsidRPr="00BA4949">
              <w:rPr>
                <w:rFonts w:ascii="Arial Narrow" w:hAnsi="Arial Narrow"/>
                <w:sz w:val="20"/>
              </w:rPr>
              <w:t>0.65</w:t>
            </w:r>
          </w:p>
        </w:tc>
        <w:tc>
          <w:tcPr>
            <w:tcW w:w="1134" w:type="dxa"/>
            <w:tcBorders>
              <w:top w:val="nil"/>
              <w:left w:val="nil"/>
              <w:bottom w:val="single" w:sz="4" w:space="0" w:color="auto"/>
              <w:right w:val="single" w:sz="4" w:space="0" w:color="auto"/>
            </w:tcBorders>
            <w:shd w:val="clear" w:color="auto" w:fill="auto"/>
            <w:noWrap/>
            <w:hideMark/>
          </w:tcPr>
          <w:p w14:paraId="48B5EAD1" w14:textId="77777777" w:rsidR="00B026FC" w:rsidRPr="00BA4949" w:rsidRDefault="00B026FC" w:rsidP="00B026FC">
            <w:pPr>
              <w:jc w:val="center"/>
              <w:rPr>
                <w:rFonts w:ascii="Arial Narrow" w:hAnsi="Arial Narrow"/>
                <w:sz w:val="20"/>
              </w:rPr>
            </w:pPr>
            <w:r w:rsidRPr="00BA4949">
              <w:rPr>
                <w:rFonts w:ascii="Arial Narrow" w:hAnsi="Arial Narrow"/>
                <w:sz w:val="20"/>
              </w:rPr>
              <w:t>0.05</w:t>
            </w:r>
          </w:p>
        </w:tc>
        <w:tc>
          <w:tcPr>
            <w:tcW w:w="1047" w:type="dxa"/>
            <w:tcBorders>
              <w:top w:val="nil"/>
              <w:left w:val="nil"/>
              <w:bottom w:val="single" w:sz="4" w:space="0" w:color="auto"/>
              <w:right w:val="single" w:sz="4" w:space="0" w:color="auto"/>
            </w:tcBorders>
            <w:shd w:val="clear" w:color="auto" w:fill="auto"/>
            <w:noWrap/>
            <w:hideMark/>
          </w:tcPr>
          <w:p w14:paraId="05FE42C0" w14:textId="77777777" w:rsidR="00B026FC" w:rsidRPr="00BA4949" w:rsidRDefault="00B026FC" w:rsidP="00B026FC">
            <w:pPr>
              <w:jc w:val="center"/>
              <w:rPr>
                <w:rFonts w:ascii="Arial Narrow" w:hAnsi="Arial Narrow"/>
                <w:sz w:val="20"/>
              </w:rPr>
            </w:pPr>
            <w:r w:rsidRPr="00BA4949">
              <w:rPr>
                <w:rFonts w:ascii="Arial Narrow" w:hAnsi="Arial Narrow"/>
                <w:sz w:val="20"/>
              </w:rPr>
              <w:t>0.54</w:t>
            </w:r>
          </w:p>
        </w:tc>
        <w:tc>
          <w:tcPr>
            <w:tcW w:w="1221" w:type="dxa"/>
            <w:tcBorders>
              <w:top w:val="nil"/>
              <w:left w:val="nil"/>
              <w:bottom w:val="single" w:sz="4" w:space="0" w:color="auto"/>
              <w:right w:val="single" w:sz="4" w:space="0" w:color="auto"/>
            </w:tcBorders>
            <w:shd w:val="clear" w:color="auto" w:fill="auto"/>
            <w:noWrap/>
            <w:hideMark/>
          </w:tcPr>
          <w:p w14:paraId="065365AB"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FFFF00"/>
            <w:noWrap/>
            <w:hideMark/>
          </w:tcPr>
          <w:p w14:paraId="48700126" w14:textId="77777777" w:rsidR="00B026FC" w:rsidRPr="00BA4949" w:rsidRDefault="00B026FC" w:rsidP="00B026FC">
            <w:pPr>
              <w:jc w:val="center"/>
              <w:rPr>
                <w:rFonts w:ascii="Arial Narrow" w:hAnsi="Arial Narrow"/>
                <w:sz w:val="20"/>
              </w:rPr>
            </w:pPr>
            <w:r w:rsidRPr="00BA4949">
              <w:rPr>
                <w:rFonts w:ascii="Arial Narrow" w:hAnsi="Arial Narrow"/>
                <w:sz w:val="20"/>
              </w:rPr>
              <w:t>0.48</w:t>
            </w:r>
          </w:p>
        </w:tc>
      </w:tr>
      <w:tr w:rsidR="00B026FC" w:rsidRPr="00BA4949" w14:paraId="46E3CC46" w14:textId="77777777" w:rsidTr="00B026F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03AD1709" w14:textId="77777777" w:rsidR="00B026FC" w:rsidRPr="00BA4949" w:rsidRDefault="00B026FC" w:rsidP="00B026FC">
            <w:pPr>
              <w:spacing w:after="0"/>
              <w:jc w:val="left"/>
              <w:rPr>
                <w:rFonts w:ascii="Arial Narrow" w:hAnsi="Arial Narrow"/>
                <w:szCs w:val="22"/>
                <w:lang w:val="en-AU" w:eastAsia="en-AU"/>
              </w:rPr>
            </w:pPr>
          </w:p>
        </w:tc>
        <w:tc>
          <w:tcPr>
            <w:tcW w:w="1576" w:type="dxa"/>
            <w:tcBorders>
              <w:top w:val="nil"/>
              <w:left w:val="nil"/>
              <w:bottom w:val="single" w:sz="4" w:space="0" w:color="auto"/>
              <w:right w:val="single" w:sz="4" w:space="0" w:color="auto"/>
            </w:tcBorders>
            <w:shd w:val="clear" w:color="auto" w:fill="auto"/>
            <w:noWrap/>
            <w:vAlign w:val="center"/>
            <w:hideMark/>
          </w:tcPr>
          <w:p w14:paraId="22597143"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Pandora North</w:t>
            </w:r>
          </w:p>
        </w:tc>
        <w:tc>
          <w:tcPr>
            <w:tcW w:w="284" w:type="dxa"/>
            <w:tcBorders>
              <w:top w:val="nil"/>
              <w:left w:val="nil"/>
              <w:bottom w:val="single" w:sz="4" w:space="0" w:color="auto"/>
              <w:right w:val="single" w:sz="4" w:space="0" w:color="auto"/>
            </w:tcBorders>
            <w:shd w:val="clear" w:color="auto" w:fill="auto"/>
            <w:noWrap/>
            <w:vAlign w:val="center"/>
            <w:hideMark/>
          </w:tcPr>
          <w:p w14:paraId="5C5AEBA2" w14:textId="77777777" w:rsidR="00B026FC" w:rsidRPr="00BA4949" w:rsidRDefault="00905194" w:rsidP="00B026FC">
            <w:pPr>
              <w:spacing w:after="0"/>
              <w:jc w:val="center"/>
              <w:rPr>
                <w:rFonts w:ascii="Arial Narrow" w:hAnsi="Arial Narrow"/>
                <w:sz w:val="20"/>
                <w:lang w:val="en-AU" w:eastAsia="en-AU"/>
              </w:rPr>
            </w:pPr>
            <w:r>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270E8CF4" w14:textId="77777777" w:rsidR="00B026FC" w:rsidRPr="00BA4949" w:rsidRDefault="00B026FC" w:rsidP="00B026FC">
            <w:pPr>
              <w:jc w:val="center"/>
              <w:rPr>
                <w:rFonts w:ascii="Arial Narrow" w:hAnsi="Arial Narrow"/>
                <w:sz w:val="20"/>
              </w:rPr>
            </w:pPr>
            <w:r w:rsidRPr="00BA4949">
              <w:rPr>
                <w:rFonts w:ascii="Arial Narrow" w:hAnsi="Arial Narrow"/>
                <w:sz w:val="20"/>
              </w:rPr>
              <w:t>0.73</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74424414" w14:textId="77777777" w:rsidR="00B026FC" w:rsidRPr="00BA4949" w:rsidRDefault="00B026FC" w:rsidP="00B026FC">
            <w:pPr>
              <w:jc w:val="center"/>
              <w:rPr>
                <w:rFonts w:ascii="Arial Narrow" w:hAnsi="Arial Narrow"/>
                <w:sz w:val="20"/>
              </w:rPr>
            </w:pPr>
            <w:r w:rsidRPr="00BA4949">
              <w:rPr>
                <w:rFonts w:ascii="Arial Narrow" w:hAnsi="Arial Narrow"/>
                <w:sz w:val="20"/>
              </w:rPr>
              <w:t>0.59</w:t>
            </w:r>
          </w:p>
        </w:tc>
        <w:tc>
          <w:tcPr>
            <w:tcW w:w="1134" w:type="dxa"/>
            <w:tcBorders>
              <w:top w:val="nil"/>
              <w:left w:val="nil"/>
              <w:bottom w:val="single" w:sz="4" w:space="0" w:color="auto"/>
              <w:right w:val="single" w:sz="4" w:space="0" w:color="auto"/>
            </w:tcBorders>
            <w:shd w:val="clear" w:color="auto" w:fill="auto"/>
            <w:noWrap/>
            <w:hideMark/>
          </w:tcPr>
          <w:p w14:paraId="2D3AB27F"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3FDE7619" w14:textId="77777777" w:rsidR="00B026FC" w:rsidRPr="00BA4949" w:rsidRDefault="00B026FC" w:rsidP="00B026FC">
            <w:pPr>
              <w:jc w:val="center"/>
              <w:rPr>
                <w:rFonts w:ascii="Arial Narrow" w:hAnsi="Arial Narrow"/>
                <w:sz w:val="20"/>
              </w:rPr>
            </w:pPr>
            <w:r w:rsidRPr="00BA4949">
              <w:rPr>
                <w:rFonts w:ascii="Arial Narrow" w:hAnsi="Arial Narrow"/>
                <w:sz w:val="20"/>
              </w:rPr>
              <w:t>0.08</w:t>
            </w:r>
          </w:p>
        </w:tc>
        <w:tc>
          <w:tcPr>
            <w:tcW w:w="1221" w:type="dxa"/>
            <w:tcBorders>
              <w:top w:val="nil"/>
              <w:left w:val="nil"/>
              <w:bottom w:val="single" w:sz="4" w:space="0" w:color="auto"/>
              <w:right w:val="single" w:sz="4" w:space="0" w:color="auto"/>
            </w:tcBorders>
            <w:shd w:val="clear" w:color="auto" w:fill="auto"/>
            <w:noWrap/>
            <w:hideMark/>
          </w:tcPr>
          <w:p w14:paraId="54656D41"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000000" w:fill="FFC000"/>
            <w:noWrap/>
            <w:hideMark/>
          </w:tcPr>
          <w:p w14:paraId="521D3E17" w14:textId="77777777" w:rsidR="00B026FC" w:rsidRPr="00BA4949" w:rsidRDefault="00B026FC" w:rsidP="00B026FC">
            <w:pPr>
              <w:jc w:val="center"/>
              <w:rPr>
                <w:rFonts w:ascii="Arial Narrow" w:hAnsi="Arial Narrow"/>
                <w:sz w:val="20"/>
              </w:rPr>
            </w:pPr>
            <w:r w:rsidRPr="00BA4949">
              <w:rPr>
                <w:rFonts w:ascii="Arial Narrow" w:hAnsi="Arial Narrow"/>
                <w:sz w:val="20"/>
              </w:rPr>
              <w:t>0.28</w:t>
            </w:r>
          </w:p>
        </w:tc>
      </w:tr>
      <w:tr w:rsidR="00B026FC" w:rsidRPr="00BA4949" w14:paraId="1E891FE3" w14:textId="77777777" w:rsidTr="00B026F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2C20840E"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vAlign w:val="center"/>
            <w:hideMark/>
          </w:tcPr>
          <w:p w14:paraId="7676D2C4"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Lady Elliot</w:t>
            </w:r>
          </w:p>
        </w:tc>
        <w:tc>
          <w:tcPr>
            <w:tcW w:w="284" w:type="dxa"/>
            <w:tcBorders>
              <w:top w:val="nil"/>
              <w:left w:val="nil"/>
              <w:bottom w:val="single" w:sz="4" w:space="0" w:color="auto"/>
              <w:right w:val="single" w:sz="4" w:space="0" w:color="auto"/>
            </w:tcBorders>
            <w:shd w:val="clear" w:color="auto" w:fill="auto"/>
            <w:noWrap/>
            <w:vAlign w:val="center"/>
            <w:hideMark/>
          </w:tcPr>
          <w:p w14:paraId="4780A68F"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hideMark/>
          </w:tcPr>
          <w:p w14:paraId="2D829172" w14:textId="77777777" w:rsidR="00B026FC" w:rsidRPr="00BA4949" w:rsidRDefault="00B026FC" w:rsidP="00B026FC">
            <w:pPr>
              <w:jc w:val="center"/>
              <w:rPr>
                <w:rFonts w:ascii="Arial Narrow" w:hAnsi="Arial Narrow"/>
                <w:sz w:val="20"/>
              </w:rPr>
            </w:pPr>
            <w:r w:rsidRPr="00BA4949">
              <w:rPr>
                <w:rFonts w:ascii="Arial Narrow" w:hAnsi="Arial Narrow"/>
                <w:sz w:val="20"/>
              </w:rPr>
              <w:t>0.26</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05127F8F" w14:textId="77777777" w:rsidR="00B026FC" w:rsidRPr="00BA4949" w:rsidRDefault="00B026FC" w:rsidP="00B026FC">
            <w:pPr>
              <w:jc w:val="center"/>
              <w:rPr>
                <w:rFonts w:ascii="Arial Narrow" w:hAnsi="Arial Narrow"/>
                <w:sz w:val="20"/>
              </w:rPr>
            </w:pPr>
            <w:r w:rsidRPr="00BA4949">
              <w:rPr>
                <w:rFonts w:ascii="Arial Narrow" w:hAnsi="Arial Narrow"/>
                <w:sz w:val="20"/>
              </w:rPr>
              <w:t>0.93</w:t>
            </w:r>
          </w:p>
        </w:tc>
        <w:tc>
          <w:tcPr>
            <w:tcW w:w="1134" w:type="dxa"/>
            <w:tcBorders>
              <w:top w:val="nil"/>
              <w:left w:val="nil"/>
              <w:bottom w:val="single" w:sz="4" w:space="0" w:color="auto"/>
              <w:right w:val="single" w:sz="4" w:space="0" w:color="auto"/>
            </w:tcBorders>
            <w:shd w:val="clear" w:color="auto" w:fill="auto"/>
            <w:noWrap/>
            <w:hideMark/>
          </w:tcPr>
          <w:p w14:paraId="31B44CD1"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6CF3CCC8" w14:textId="77777777" w:rsidR="00B026FC" w:rsidRPr="00BA4949" w:rsidRDefault="00B026FC" w:rsidP="00B026FC">
            <w:pPr>
              <w:jc w:val="center"/>
              <w:rPr>
                <w:rFonts w:ascii="Arial Narrow" w:hAnsi="Arial Narrow"/>
                <w:sz w:val="20"/>
              </w:rPr>
            </w:pPr>
            <w:r w:rsidRPr="00BA4949">
              <w:rPr>
                <w:rFonts w:ascii="Arial Narrow" w:hAnsi="Arial Narrow"/>
                <w:sz w:val="20"/>
              </w:rPr>
              <w:t>0.79</w:t>
            </w:r>
          </w:p>
        </w:tc>
        <w:tc>
          <w:tcPr>
            <w:tcW w:w="1221" w:type="dxa"/>
            <w:tcBorders>
              <w:top w:val="nil"/>
              <w:left w:val="nil"/>
              <w:bottom w:val="single" w:sz="4" w:space="0" w:color="auto"/>
              <w:right w:val="single" w:sz="4" w:space="0" w:color="auto"/>
            </w:tcBorders>
            <w:shd w:val="clear" w:color="auto" w:fill="auto"/>
            <w:noWrap/>
            <w:hideMark/>
          </w:tcPr>
          <w:p w14:paraId="60041335"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000000" w:fill="FFFF00"/>
            <w:noWrap/>
            <w:hideMark/>
          </w:tcPr>
          <w:p w14:paraId="1761D084"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r>
      <w:tr w:rsidR="00B026FC" w:rsidRPr="00BA4949" w14:paraId="31C44FA2" w14:textId="77777777" w:rsidTr="00B026F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0D990955"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4307A864"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7D3EC1B"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3815913D" w14:textId="77777777" w:rsidR="00B026FC" w:rsidRPr="00BA4949" w:rsidRDefault="00B026FC" w:rsidP="00B026FC">
            <w:pPr>
              <w:jc w:val="center"/>
              <w:rPr>
                <w:rFonts w:ascii="Arial Narrow" w:hAnsi="Arial Narrow"/>
                <w:sz w:val="20"/>
              </w:rPr>
            </w:pPr>
            <w:r w:rsidRPr="00BA4949">
              <w:rPr>
                <w:rFonts w:ascii="Arial Narrow" w:hAnsi="Arial Narrow"/>
                <w:sz w:val="20"/>
              </w:rPr>
              <w:t>0.47</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2E71AB4D"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hideMark/>
          </w:tcPr>
          <w:p w14:paraId="59C57027" w14:textId="77777777" w:rsidR="00B026FC" w:rsidRPr="00BA4949" w:rsidRDefault="00B026FC" w:rsidP="00B026FC">
            <w:pPr>
              <w:jc w:val="center"/>
              <w:rPr>
                <w:rFonts w:ascii="Arial Narrow" w:hAnsi="Arial Narrow"/>
                <w:sz w:val="20"/>
              </w:rPr>
            </w:pPr>
            <w:r w:rsidRPr="00BA4949">
              <w:rPr>
                <w:rFonts w:ascii="Arial Narrow" w:hAnsi="Arial Narrow"/>
                <w:sz w:val="20"/>
              </w:rPr>
              <w:t>0.61</w:t>
            </w:r>
          </w:p>
        </w:tc>
        <w:tc>
          <w:tcPr>
            <w:tcW w:w="1047" w:type="dxa"/>
            <w:tcBorders>
              <w:top w:val="nil"/>
              <w:left w:val="nil"/>
              <w:bottom w:val="single" w:sz="4" w:space="0" w:color="auto"/>
              <w:right w:val="single" w:sz="4" w:space="0" w:color="auto"/>
            </w:tcBorders>
            <w:shd w:val="clear" w:color="auto" w:fill="auto"/>
            <w:noWrap/>
            <w:hideMark/>
          </w:tcPr>
          <w:p w14:paraId="066C7771" w14:textId="77777777" w:rsidR="00B026FC" w:rsidRPr="00BA4949" w:rsidRDefault="00B026FC" w:rsidP="00B026FC">
            <w:pPr>
              <w:jc w:val="center"/>
              <w:rPr>
                <w:rFonts w:ascii="Arial Narrow" w:hAnsi="Arial Narrow"/>
                <w:sz w:val="20"/>
              </w:rPr>
            </w:pPr>
            <w:r w:rsidRPr="00BA4949">
              <w:rPr>
                <w:rFonts w:ascii="Arial Narrow" w:hAnsi="Arial Narrow"/>
                <w:sz w:val="20"/>
              </w:rPr>
              <w:t>0.51</w:t>
            </w:r>
          </w:p>
        </w:tc>
        <w:tc>
          <w:tcPr>
            <w:tcW w:w="1221" w:type="dxa"/>
            <w:tcBorders>
              <w:top w:val="nil"/>
              <w:left w:val="nil"/>
              <w:bottom w:val="single" w:sz="4" w:space="0" w:color="auto"/>
              <w:right w:val="single" w:sz="4" w:space="0" w:color="auto"/>
            </w:tcBorders>
            <w:shd w:val="clear" w:color="auto" w:fill="auto"/>
            <w:noWrap/>
            <w:hideMark/>
          </w:tcPr>
          <w:p w14:paraId="0A2ED36A"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000000" w:fill="FFFF00"/>
            <w:noWrap/>
            <w:hideMark/>
          </w:tcPr>
          <w:p w14:paraId="4171472D" w14:textId="77777777" w:rsidR="00B026FC" w:rsidRPr="00BA4949" w:rsidRDefault="00B026FC" w:rsidP="00B026FC">
            <w:pPr>
              <w:jc w:val="center"/>
              <w:rPr>
                <w:rFonts w:ascii="Arial Narrow" w:hAnsi="Arial Narrow"/>
                <w:sz w:val="20"/>
              </w:rPr>
            </w:pPr>
            <w:r w:rsidRPr="00BA4949">
              <w:rPr>
                <w:rFonts w:ascii="Arial Narrow" w:hAnsi="Arial Narrow"/>
                <w:sz w:val="20"/>
              </w:rPr>
              <w:t>0.52</w:t>
            </w:r>
          </w:p>
        </w:tc>
      </w:tr>
      <w:tr w:rsidR="00BA4949" w:rsidRPr="00BA4949" w14:paraId="69650A25" w14:textId="77777777" w:rsidTr="00BA4949">
        <w:trPr>
          <w:trHeight w:hRule="exact" w:val="255"/>
        </w:trPr>
        <w:tc>
          <w:tcPr>
            <w:tcW w:w="771" w:type="dxa"/>
            <w:vMerge/>
            <w:tcBorders>
              <w:top w:val="nil"/>
              <w:left w:val="single" w:sz="4" w:space="0" w:color="auto"/>
              <w:bottom w:val="single" w:sz="4" w:space="0" w:color="auto"/>
              <w:right w:val="single" w:sz="4" w:space="0" w:color="auto"/>
            </w:tcBorders>
            <w:vAlign w:val="center"/>
          </w:tcPr>
          <w:p w14:paraId="532FBBDD"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nil"/>
              <w:right w:val="single" w:sz="4" w:space="0" w:color="auto"/>
            </w:tcBorders>
            <w:shd w:val="clear" w:color="auto" w:fill="auto"/>
            <w:noWrap/>
            <w:vAlign w:val="center"/>
          </w:tcPr>
          <w:p w14:paraId="6946E819"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Magnetic</w:t>
            </w:r>
          </w:p>
        </w:tc>
        <w:tc>
          <w:tcPr>
            <w:tcW w:w="284" w:type="dxa"/>
            <w:tcBorders>
              <w:top w:val="nil"/>
              <w:left w:val="nil"/>
              <w:bottom w:val="single" w:sz="4" w:space="0" w:color="auto"/>
              <w:right w:val="single" w:sz="4" w:space="0" w:color="auto"/>
            </w:tcBorders>
            <w:shd w:val="clear" w:color="auto" w:fill="auto"/>
            <w:noWrap/>
            <w:vAlign w:val="center"/>
          </w:tcPr>
          <w:p w14:paraId="6042E69D"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tcPr>
          <w:p w14:paraId="01960595" w14:textId="77777777" w:rsidR="00B026FC" w:rsidRPr="00BA4949" w:rsidRDefault="00B026FC" w:rsidP="00B026FC">
            <w:pPr>
              <w:jc w:val="center"/>
              <w:rPr>
                <w:rFonts w:ascii="Arial Narrow" w:hAnsi="Arial Narrow"/>
                <w:sz w:val="20"/>
              </w:rPr>
            </w:pPr>
            <w:r w:rsidRPr="00BA4949">
              <w:rPr>
                <w:rFonts w:ascii="Arial Narrow" w:hAnsi="Arial Narrow"/>
                <w:sz w:val="20"/>
              </w:rPr>
              <w:t>0.22</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7360D1DC" w14:textId="77777777" w:rsidR="00B026FC" w:rsidRPr="00BA4949" w:rsidRDefault="00B026FC" w:rsidP="00B026FC">
            <w:pPr>
              <w:jc w:val="center"/>
              <w:rPr>
                <w:rFonts w:ascii="Arial Narrow" w:hAnsi="Arial Narrow"/>
                <w:sz w:val="20"/>
              </w:rPr>
            </w:pPr>
            <w:r w:rsidRPr="00BA4949">
              <w:rPr>
                <w:rFonts w:ascii="Arial Narrow" w:hAnsi="Arial Narrow"/>
                <w:sz w:val="20"/>
              </w:rPr>
              <w:t>0.18</w:t>
            </w:r>
          </w:p>
        </w:tc>
        <w:tc>
          <w:tcPr>
            <w:tcW w:w="1134" w:type="dxa"/>
            <w:tcBorders>
              <w:top w:val="nil"/>
              <w:left w:val="nil"/>
              <w:bottom w:val="single" w:sz="4" w:space="0" w:color="auto"/>
              <w:right w:val="single" w:sz="4" w:space="0" w:color="auto"/>
            </w:tcBorders>
            <w:shd w:val="clear" w:color="auto" w:fill="auto"/>
            <w:noWrap/>
          </w:tcPr>
          <w:p w14:paraId="645FCF9E"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tcPr>
          <w:p w14:paraId="4AACDEF4" w14:textId="77777777" w:rsidR="00B026FC" w:rsidRPr="00BA4949" w:rsidRDefault="00B026FC" w:rsidP="00B026FC">
            <w:pPr>
              <w:jc w:val="center"/>
              <w:rPr>
                <w:rFonts w:ascii="Arial Narrow" w:hAnsi="Arial Narrow"/>
                <w:sz w:val="20"/>
              </w:rPr>
            </w:pPr>
            <w:r w:rsidRPr="00BA4949">
              <w:rPr>
                <w:rFonts w:ascii="Arial Narrow" w:hAnsi="Arial Narrow"/>
                <w:sz w:val="20"/>
              </w:rPr>
              <w:t>0.31</w:t>
            </w:r>
          </w:p>
        </w:tc>
        <w:tc>
          <w:tcPr>
            <w:tcW w:w="1221" w:type="dxa"/>
            <w:tcBorders>
              <w:top w:val="nil"/>
              <w:left w:val="nil"/>
              <w:bottom w:val="single" w:sz="4" w:space="0" w:color="auto"/>
              <w:right w:val="single" w:sz="4" w:space="0" w:color="auto"/>
            </w:tcBorders>
            <w:shd w:val="clear" w:color="auto" w:fill="auto"/>
            <w:noWrap/>
          </w:tcPr>
          <w:p w14:paraId="64F20876"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C000"/>
            <w:noWrap/>
          </w:tcPr>
          <w:p w14:paraId="343B7E32" w14:textId="77777777" w:rsidR="00B026FC" w:rsidRPr="00BA4949" w:rsidRDefault="00B026FC" w:rsidP="00B026FC">
            <w:pPr>
              <w:jc w:val="center"/>
              <w:rPr>
                <w:rFonts w:ascii="Arial Narrow" w:hAnsi="Arial Narrow"/>
                <w:sz w:val="20"/>
              </w:rPr>
            </w:pPr>
            <w:r w:rsidRPr="00BA4949">
              <w:rPr>
                <w:rFonts w:ascii="Arial Narrow" w:hAnsi="Arial Narrow"/>
                <w:sz w:val="20"/>
              </w:rPr>
              <w:t>0.24</w:t>
            </w:r>
          </w:p>
        </w:tc>
      </w:tr>
      <w:tr w:rsidR="00B026FC" w:rsidRPr="00BA4949" w14:paraId="011D29C7" w14:textId="77777777" w:rsidTr="00B026FC">
        <w:trPr>
          <w:trHeight w:hRule="exact" w:val="255"/>
        </w:trPr>
        <w:tc>
          <w:tcPr>
            <w:tcW w:w="771" w:type="dxa"/>
            <w:vMerge/>
            <w:tcBorders>
              <w:top w:val="nil"/>
              <w:left w:val="single" w:sz="4" w:space="0" w:color="auto"/>
              <w:bottom w:val="single" w:sz="4" w:space="0" w:color="auto"/>
              <w:right w:val="single" w:sz="4" w:space="0" w:color="auto"/>
            </w:tcBorders>
            <w:vAlign w:val="center"/>
          </w:tcPr>
          <w:p w14:paraId="6443204E"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left w:val="nil"/>
              <w:bottom w:val="single" w:sz="4" w:space="0" w:color="auto"/>
              <w:right w:val="single" w:sz="4" w:space="0" w:color="auto"/>
            </w:tcBorders>
            <w:shd w:val="clear" w:color="auto" w:fill="auto"/>
            <w:noWrap/>
            <w:vAlign w:val="center"/>
          </w:tcPr>
          <w:p w14:paraId="7E3B3BA1"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tcPr>
          <w:p w14:paraId="416B93E3"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tcPr>
          <w:p w14:paraId="571543CE" w14:textId="77777777" w:rsidR="00B026FC" w:rsidRPr="00BA4949" w:rsidRDefault="00B026FC" w:rsidP="00B026FC">
            <w:pPr>
              <w:jc w:val="center"/>
              <w:rPr>
                <w:rFonts w:ascii="Arial Narrow" w:hAnsi="Arial Narrow"/>
                <w:sz w:val="20"/>
              </w:rPr>
            </w:pPr>
            <w:r w:rsidRPr="00BA4949">
              <w:rPr>
                <w:rFonts w:ascii="Arial Narrow" w:hAnsi="Arial Narrow"/>
                <w:sz w:val="20"/>
              </w:rPr>
              <w:t>0.39</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65D71598" w14:textId="77777777" w:rsidR="00B026FC" w:rsidRPr="00BA4949" w:rsidRDefault="00B026FC" w:rsidP="00B026FC">
            <w:pPr>
              <w:jc w:val="center"/>
              <w:rPr>
                <w:rFonts w:ascii="Arial Narrow" w:hAnsi="Arial Narrow"/>
                <w:sz w:val="20"/>
              </w:rPr>
            </w:pPr>
            <w:r w:rsidRPr="00BA4949">
              <w:rPr>
                <w:rFonts w:ascii="Arial Narrow" w:hAnsi="Arial Narrow"/>
                <w:sz w:val="20"/>
              </w:rPr>
              <w:t>0.71</w:t>
            </w:r>
          </w:p>
        </w:tc>
        <w:tc>
          <w:tcPr>
            <w:tcW w:w="1134" w:type="dxa"/>
            <w:tcBorders>
              <w:top w:val="nil"/>
              <w:left w:val="nil"/>
              <w:bottom w:val="single" w:sz="4" w:space="0" w:color="auto"/>
              <w:right w:val="single" w:sz="4" w:space="0" w:color="auto"/>
            </w:tcBorders>
            <w:shd w:val="clear" w:color="auto" w:fill="auto"/>
            <w:noWrap/>
          </w:tcPr>
          <w:p w14:paraId="0764474E"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tcPr>
          <w:p w14:paraId="2D104212" w14:textId="77777777" w:rsidR="00B026FC" w:rsidRPr="00BA4949" w:rsidRDefault="00B026FC" w:rsidP="00B026FC">
            <w:pPr>
              <w:jc w:val="center"/>
              <w:rPr>
                <w:rFonts w:ascii="Arial Narrow" w:hAnsi="Arial Narrow"/>
                <w:sz w:val="20"/>
              </w:rPr>
            </w:pPr>
            <w:r w:rsidRPr="00BA4949">
              <w:rPr>
                <w:rFonts w:ascii="Arial Narrow" w:hAnsi="Arial Narrow"/>
                <w:sz w:val="20"/>
              </w:rPr>
              <w:t>0.34</w:t>
            </w:r>
          </w:p>
        </w:tc>
        <w:tc>
          <w:tcPr>
            <w:tcW w:w="1221" w:type="dxa"/>
            <w:tcBorders>
              <w:top w:val="nil"/>
              <w:left w:val="nil"/>
              <w:bottom w:val="single" w:sz="4" w:space="0" w:color="auto"/>
              <w:right w:val="single" w:sz="4" w:space="0" w:color="auto"/>
            </w:tcBorders>
            <w:shd w:val="clear" w:color="auto" w:fill="auto"/>
            <w:noWrap/>
          </w:tcPr>
          <w:p w14:paraId="63C371FF"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000000" w:fill="FFC000"/>
            <w:noWrap/>
          </w:tcPr>
          <w:p w14:paraId="5BF92C16" w14:textId="77777777" w:rsidR="00B026FC" w:rsidRPr="00BA4949" w:rsidRDefault="00B026FC" w:rsidP="00B026FC">
            <w:pPr>
              <w:jc w:val="center"/>
              <w:rPr>
                <w:rFonts w:ascii="Arial Narrow" w:hAnsi="Arial Narrow"/>
                <w:sz w:val="20"/>
              </w:rPr>
            </w:pPr>
            <w:r w:rsidRPr="00BA4949">
              <w:rPr>
                <w:rFonts w:ascii="Arial Narrow" w:hAnsi="Arial Narrow"/>
                <w:sz w:val="20"/>
              </w:rPr>
              <w:t>0.29</w:t>
            </w:r>
          </w:p>
        </w:tc>
      </w:tr>
      <w:tr w:rsidR="00BA4949" w:rsidRPr="00BA4949" w14:paraId="69CC9996" w14:textId="77777777" w:rsidTr="00B026F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6D86C57" w14:textId="77777777" w:rsidR="00B026FC" w:rsidRPr="00BA4949" w:rsidRDefault="00B026FC" w:rsidP="00B026FC">
            <w:pPr>
              <w:spacing w:after="0"/>
              <w:jc w:val="left"/>
              <w:rPr>
                <w:rFonts w:ascii="Arial Narrow" w:hAnsi="Arial Narrow"/>
                <w:szCs w:val="22"/>
                <w:lang w:val="en-AU" w:eastAsia="en-AU"/>
              </w:rPr>
            </w:pPr>
          </w:p>
        </w:tc>
        <w:tc>
          <w:tcPr>
            <w:tcW w:w="1576" w:type="dxa"/>
            <w:tcBorders>
              <w:top w:val="nil"/>
              <w:left w:val="nil"/>
              <w:bottom w:val="single" w:sz="4" w:space="0" w:color="auto"/>
              <w:right w:val="single" w:sz="4" w:space="0" w:color="auto"/>
            </w:tcBorders>
            <w:shd w:val="clear" w:color="auto" w:fill="auto"/>
            <w:noWrap/>
            <w:vAlign w:val="center"/>
            <w:hideMark/>
          </w:tcPr>
          <w:p w14:paraId="47C13686"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Middle Rf LTMP</w:t>
            </w:r>
          </w:p>
        </w:tc>
        <w:tc>
          <w:tcPr>
            <w:tcW w:w="284" w:type="dxa"/>
            <w:tcBorders>
              <w:top w:val="nil"/>
              <w:left w:val="nil"/>
              <w:bottom w:val="single" w:sz="4" w:space="0" w:color="auto"/>
              <w:right w:val="single" w:sz="4" w:space="0" w:color="auto"/>
            </w:tcBorders>
            <w:shd w:val="clear" w:color="auto" w:fill="auto"/>
            <w:noWrap/>
            <w:vAlign w:val="center"/>
            <w:hideMark/>
          </w:tcPr>
          <w:p w14:paraId="5A558DB7"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hideMark/>
          </w:tcPr>
          <w:p w14:paraId="1F2A99EC" w14:textId="77777777" w:rsidR="00B026FC" w:rsidRPr="00BA4949" w:rsidRDefault="00B026FC" w:rsidP="00B026FC">
            <w:pPr>
              <w:jc w:val="center"/>
              <w:rPr>
                <w:rFonts w:ascii="Arial Narrow" w:hAnsi="Arial Narrow"/>
                <w:sz w:val="20"/>
              </w:rPr>
            </w:pPr>
            <w:r w:rsidRPr="00BA4949">
              <w:rPr>
                <w:rFonts w:ascii="Arial Narrow" w:hAnsi="Arial Narrow"/>
                <w:sz w:val="20"/>
              </w:rPr>
              <w:t>0.52</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405FB08D" w14:textId="77777777" w:rsidR="00B026FC" w:rsidRPr="00BA4949" w:rsidRDefault="00B026FC" w:rsidP="00B026FC">
            <w:pPr>
              <w:jc w:val="center"/>
              <w:rPr>
                <w:rFonts w:ascii="Arial Narrow" w:hAnsi="Arial Narrow"/>
                <w:sz w:val="20"/>
              </w:rPr>
            </w:pPr>
            <w:r w:rsidRPr="00BA4949">
              <w:rPr>
                <w:rFonts w:ascii="Arial Narrow" w:hAnsi="Arial Narrow"/>
                <w:sz w:val="20"/>
              </w:rPr>
              <w:t>0.54</w:t>
            </w:r>
          </w:p>
        </w:tc>
        <w:tc>
          <w:tcPr>
            <w:tcW w:w="1134" w:type="dxa"/>
            <w:tcBorders>
              <w:top w:val="nil"/>
              <w:left w:val="nil"/>
              <w:bottom w:val="single" w:sz="4" w:space="0" w:color="auto"/>
              <w:right w:val="single" w:sz="4" w:space="0" w:color="auto"/>
            </w:tcBorders>
            <w:shd w:val="clear" w:color="auto" w:fill="auto"/>
            <w:noWrap/>
            <w:hideMark/>
          </w:tcPr>
          <w:p w14:paraId="3204E571"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00E30030" w14:textId="77777777" w:rsidR="00B026FC" w:rsidRPr="00BA4949" w:rsidRDefault="00B026FC" w:rsidP="00B026FC">
            <w:pPr>
              <w:jc w:val="center"/>
              <w:rPr>
                <w:rFonts w:ascii="Arial Narrow" w:hAnsi="Arial Narrow"/>
                <w:sz w:val="20"/>
              </w:rPr>
            </w:pPr>
            <w:r w:rsidRPr="00BA4949">
              <w:rPr>
                <w:rFonts w:ascii="Arial Narrow" w:hAnsi="Arial Narrow"/>
                <w:sz w:val="20"/>
              </w:rPr>
              <w:t>NA</w:t>
            </w:r>
          </w:p>
        </w:tc>
        <w:tc>
          <w:tcPr>
            <w:tcW w:w="1221" w:type="dxa"/>
            <w:tcBorders>
              <w:top w:val="nil"/>
              <w:left w:val="nil"/>
              <w:bottom w:val="single" w:sz="4" w:space="0" w:color="auto"/>
              <w:right w:val="single" w:sz="4" w:space="0" w:color="auto"/>
            </w:tcBorders>
            <w:shd w:val="clear" w:color="auto" w:fill="auto"/>
            <w:noWrap/>
            <w:hideMark/>
          </w:tcPr>
          <w:p w14:paraId="1F8AE6A4"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000000" w:fill="FFC000"/>
            <w:noWrap/>
            <w:hideMark/>
          </w:tcPr>
          <w:p w14:paraId="2EBED3B5" w14:textId="77777777" w:rsidR="00B026FC" w:rsidRPr="00BA4949" w:rsidRDefault="00B026FC" w:rsidP="00B026FC">
            <w:pPr>
              <w:jc w:val="center"/>
              <w:rPr>
                <w:rFonts w:ascii="Arial Narrow" w:hAnsi="Arial Narrow"/>
                <w:sz w:val="20"/>
              </w:rPr>
            </w:pPr>
            <w:r w:rsidRPr="00BA4949">
              <w:rPr>
                <w:rFonts w:ascii="Arial Narrow" w:hAnsi="Arial Narrow"/>
                <w:sz w:val="20"/>
              </w:rPr>
              <w:t>0.39</w:t>
            </w:r>
          </w:p>
        </w:tc>
      </w:tr>
      <w:tr w:rsidR="00BA4949" w:rsidRPr="00BA4949" w14:paraId="3643A229" w14:textId="77777777" w:rsidTr="00F54AEB">
        <w:trPr>
          <w:cantSplit/>
          <w:trHeight w:hRule="exact" w:val="255"/>
        </w:trPr>
        <w:tc>
          <w:tcPr>
            <w:tcW w:w="2631" w:type="dxa"/>
            <w:gridSpan w:val="3"/>
            <w:tcBorders>
              <w:top w:val="nil"/>
              <w:left w:val="single" w:sz="4" w:space="0" w:color="auto"/>
              <w:bottom w:val="single" w:sz="4" w:space="0" w:color="auto"/>
              <w:right w:val="single" w:sz="4" w:space="0" w:color="auto"/>
            </w:tcBorders>
            <w:shd w:val="clear" w:color="auto" w:fill="auto"/>
            <w:noWrap/>
            <w:vAlign w:val="center"/>
            <w:hideMark/>
          </w:tcPr>
          <w:p w14:paraId="692CF4FB" w14:textId="77777777" w:rsidR="006C4059" w:rsidRPr="00BA4949" w:rsidRDefault="006C4059" w:rsidP="006C4059">
            <w:pPr>
              <w:shd w:val="clear" w:color="auto" w:fill="FFFF00"/>
              <w:spacing w:after="0"/>
              <w:jc w:val="center"/>
              <w:rPr>
                <w:rFonts w:ascii="Arial Narrow" w:hAnsi="Arial Narrow"/>
                <w:szCs w:val="22"/>
                <w:lang w:val="en-AU" w:eastAsia="en-AU"/>
              </w:rPr>
            </w:pPr>
            <w:r w:rsidRPr="00BA4949">
              <w:rPr>
                <w:rFonts w:ascii="Arial Narrow" w:hAnsi="Arial Narrow"/>
                <w:sz w:val="20"/>
                <w:lang w:val="en-AU" w:eastAsia="en-AU"/>
              </w:rPr>
              <w:t>Report Card Score – Moderate</w:t>
            </w:r>
            <w:r w:rsidRPr="00BA4949">
              <w:rPr>
                <w:rFonts w:ascii="Arial Narrow" w:hAnsi="Arial Narrow"/>
                <w:szCs w:val="22"/>
                <w:lang w:val="en-AU" w:eastAsia="en-AU"/>
              </w:rPr>
              <w:t> </w:t>
            </w:r>
          </w:p>
          <w:p w14:paraId="7CBF2F7A" w14:textId="77777777" w:rsidR="006C4059" w:rsidRPr="00BA4949" w:rsidRDefault="006C4059" w:rsidP="006C4059">
            <w:pPr>
              <w:spacing w:after="0"/>
              <w:jc w:val="left"/>
              <w:rPr>
                <w:rFonts w:ascii="Arial Narrow" w:hAnsi="Arial Narrow"/>
                <w:sz w:val="20"/>
                <w:lang w:val="en-AU" w:eastAsia="en-AU"/>
              </w:rPr>
            </w:pPr>
            <w:r w:rsidRPr="00BA4949">
              <w:rPr>
                <w:rFonts w:ascii="Arial Narrow" w:hAnsi="Arial Narrow"/>
                <w:sz w:val="20"/>
                <w:lang w:val="en-AU" w:eastAsia="en-AU"/>
              </w:rPr>
              <w:t> </w:t>
            </w:r>
          </w:p>
          <w:p w14:paraId="4D8D438C" w14:textId="77777777" w:rsidR="006C4059" w:rsidRPr="00BA4949" w:rsidRDefault="006C4059" w:rsidP="006C4059">
            <w:pPr>
              <w:spacing w:after="0"/>
              <w:jc w:val="center"/>
              <w:rPr>
                <w:rFonts w:ascii="Arial Narrow" w:hAnsi="Arial Narrow"/>
                <w:szCs w:val="22"/>
                <w:lang w:val="en-AU" w:eastAsia="en-AU"/>
              </w:rPr>
            </w:pPr>
            <w:r w:rsidRPr="00BA4949">
              <w:rPr>
                <w:rFonts w:ascii="Arial Narrow" w:hAnsi="Arial Narrow"/>
                <w:szCs w:val="22"/>
                <w:lang w:val="en-AU" w:eastAsia="en-AU"/>
              </w:rPr>
              <w:t> </w:t>
            </w:r>
          </w:p>
        </w:tc>
        <w:tc>
          <w:tcPr>
            <w:tcW w:w="1134" w:type="dxa"/>
            <w:tcBorders>
              <w:top w:val="nil"/>
              <w:left w:val="nil"/>
              <w:bottom w:val="single" w:sz="4" w:space="0" w:color="auto"/>
              <w:right w:val="single" w:sz="4" w:space="0" w:color="auto"/>
            </w:tcBorders>
            <w:shd w:val="clear" w:color="000000" w:fill="FFC000"/>
            <w:noWrap/>
            <w:hideMark/>
          </w:tcPr>
          <w:p w14:paraId="3F651ED0"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0.34</w:t>
            </w:r>
          </w:p>
        </w:tc>
        <w:tc>
          <w:tcPr>
            <w:tcW w:w="1134" w:type="dxa"/>
            <w:tcBorders>
              <w:top w:val="nil"/>
              <w:left w:val="nil"/>
              <w:bottom w:val="single" w:sz="4" w:space="0" w:color="auto"/>
              <w:right w:val="single" w:sz="4" w:space="0" w:color="auto"/>
            </w:tcBorders>
            <w:shd w:val="clear" w:color="000000" w:fill="FFFF00"/>
            <w:noWrap/>
            <w:tcMar>
              <w:left w:w="0" w:type="dxa"/>
              <w:right w:w="0" w:type="dxa"/>
            </w:tcMar>
            <w:hideMark/>
          </w:tcPr>
          <w:p w14:paraId="255BD9F2"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0.54</w:t>
            </w:r>
          </w:p>
        </w:tc>
        <w:tc>
          <w:tcPr>
            <w:tcW w:w="1134" w:type="dxa"/>
            <w:tcBorders>
              <w:top w:val="nil"/>
              <w:left w:val="nil"/>
              <w:bottom w:val="single" w:sz="4" w:space="0" w:color="auto"/>
              <w:right w:val="single" w:sz="4" w:space="0" w:color="auto"/>
            </w:tcBorders>
            <w:shd w:val="clear" w:color="000000" w:fill="FFC000"/>
            <w:noWrap/>
            <w:hideMark/>
          </w:tcPr>
          <w:p w14:paraId="4FC4DE39"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0.26</w:t>
            </w:r>
          </w:p>
        </w:tc>
        <w:tc>
          <w:tcPr>
            <w:tcW w:w="1047" w:type="dxa"/>
            <w:tcBorders>
              <w:top w:val="nil"/>
              <w:left w:val="nil"/>
              <w:bottom w:val="single" w:sz="4" w:space="0" w:color="auto"/>
              <w:right w:val="single" w:sz="4" w:space="0" w:color="auto"/>
            </w:tcBorders>
            <w:shd w:val="clear" w:color="000000" w:fill="FFFF00"/>
            <w:noWrap/>
            <w:hideMark/>
          </w:tcPr>
          <w:p w14:paraId="4E8E0B38"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0.56</w:t>
            </w:r>
          </w:p>
        </w:tc>
        <w:tc>
          <w:tcPr>
            <w:tcW w:w="1221" w:type="dxa"/>
            <w:tcBorders>
              <w:top w:val="nil"/>
              <w:left w:val="nil"/>
              <w:bottom w:val="single" w:sz="4" w:space="0" w:color="auto"/>
              <w:right w:val="single" w:sz="4" w:space="0" w:color="auto"/>
            </w:tcBorders>
            <w:shd w:val="clear" w:color="000000" w:fill="FFFF00"/>
            <w:noWrap/>
            <w:hideMark/>
          </w:tcPr>
          <w:p w14:paraId="3A514D5E"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0.60</w:t>
            </w:r>
          </w:p>
        </w:tc>
        <w:tc>
          <w:tcPr>
            <w:tcW w:w="1117" w:type="dxa"/>
            <w:tcBorders>
              <w:top w:val="nil"/>
              <w:left w:val="nil"/>
              <w:bottom w:val="single" w:sz="4" w:space="0" w:color="auto"/>
              <w:right w:val="single" w:sz="4" w:space="0" w:color="auto"/>
            </w:tcBorders>
            <w:shd w:val="clear" w:color="000000" w:fill="FFFF00"/>
            <w:noWrap/>
            <w:hideMark/>
          </w:tcPr>
          <w:p w14:paraId="5C11E9CF"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0.46</w:t>
            </w:r>
          </w:p>
        </w:tc>
      </w:tr>
    </w:tbl>
    <w:p w14:paraId="5BB0D150" w14:textId="77777777" w:rsidR="005B6EC7" w:rsidRDefault="005B6EC7">
      <w:pPr>
        <w:jc w:val="left"/>
        <w:rPr>
          <w:color w:val="4F81BD" w:themeColor="accent1"/>
          <w:lang w:val="en-AU"/>
        </w:rPr>
      </w:pPr>
    </w:p>
    <w:p w14:paraId="295AE2C6" w14:textId="77777777" w:rsidR="006B2ADA" w:rsidRPr="00F352E1" w:rsidRDefault="006B2ADA">
      <w:pPr>
        <w:jc w:val="left"/>
        <w:rPr>
          <w:color w:val="4F81BD" w:themeColor="accent1"/>
          <w:lang w:val="en-AU"/>
        </w:rPr>
      </w:pPr>
    </w:p>
    <w:p w14:paraId="1EBA914F" w14:textId="77777777" w:rsidR="00C75680" w:rsidRPr="00BA4949" w:rsidRDefault="00C75680">
      <w:pPr>
        <w:jc w:val="left"/>
        <w:rPr>
          <w:rStyle w:val="IntenseReference"/>
          <w:color w:val="auto"/>
        </w:rPr>
      </w:pPr>
      <w:r w:rsidRPr="00BA4949">
        <w:rPr>
          <w:rStyle w:val="IntenseReference"/>
          <w:color w:val="auto"/>
        </w:rPr>
        <w:t>Table A</w:t>
      </w:r>
      <w:r w:rsidR="00817833" w:rsidRPr="00BA4949">
        <w:rPr>
          <w:rStyle w:val="IntenseReference"/>
          <w:color w:val="auto"/>
        </w:rPr>
        <w:t xml:space="preserve">1. </w:t>
      </w:r>
      <w:r w:rsidRPr="00BA4949">
        <w:rPr>
          <w:rStyle w:val="IntenseReference"/>
          <w:color w:val="auto"/>
        </w:rPr>
        <w:t>5 continued</w:t>
      </w:r>
    </w:p>
    <w:tbl>
      <w:tblPr>
        <w:tblW w:w="9418" w:type="dxa"/>
        <w:tblInd w:w="91" w:type="dxa"/>
        <w:tblLayout w:type="fixed"/>
        <w:tblCellMar>
          <w:left w:w="28" w:type="dxa"/>
          <w:right w:w="28" w:type="dxa"/>
        </w:tblCellMar>
        <w:tblLook w:val="04A0" w:firstRow="1" w:lastRow="0" w:firstColumn="1" w:lastColumn="0" w:noHBand="0" w:noVBand="1"/>
      </w:tblPr>
      <w:tblGrid>
        <w:gridCol w:w="771"/>
        <w:gridCol w:w="1576"/>
        <w:gridCol w:w="284"/>
        <w:gridCol w:w="1134"/>
        <w:gridCol w:w="1134"/>
        <w:gridCol w:w="1134"/>
        <w:gridCol w:w="1047"/>
        <w:gridCol w:w="1221"/>
        <w:gridCol w:w="1117"/>
      </w:tblGrid>
      <w:tr w:rsidR="00F352E1" w:rsidRPr="00F352E1" w14:paraId="40D083AA" w14:textId="77777777" w:rsidTr="002C5D29">
        <w:trPr>
          <w:cantSplit/>
          <w:trHeight w:val="925"/>
          <w:tblHeader/>
        </w:trPr>
        <w:tc>
          <w:tcPr>
            <w:tcW w:w="7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655332" w14:textId="77777777" w:rsidR="00C75680" w:rsidRPr="00BA4949" w:rsidRDefault="00C75680" w:rsidP="002C5D29">
            <w:pPr>
              <w:spacing w:after="0"/>
              <w:jc w:val="center"/>
              <w:rPr>
                <w:rFonts w:cs="Arial"/>
                <w:sz w:val="20"/>
                <w:lang w:val="en-AU" w:eastAsia="en-AU"/>
              </w:rPr>
            </w:pPr>
            <w:r w:rsidRPr="00BA4949">
              <w:rPr>
                <w:rFonts w:cs="Arial"/>
                <w:sz w:val="20"/>
                <w:lang w:val="en-AU" w:eastAsia="en-AU"/>
              </w:rPr>
              <w:t>Region</w:t>
            </w:r>
          </w:p>
        </w:tc>
        <w:tc>
          <w:tcPr>
            <w:tcW w:w="1576" w:type="dxa"/>
            <w:tcBorders>
              <w:top w:val="single" w:sz="4" w:space="0" w:color="auto"/>
              <w:left w:val="nil"/>
              <w:bottom w:val="single" w:sz="4" w:space="0" w:color="auto"/>
              <w:right w:val="single" w:sz="4" w:space="0" w:color="auto"/>
            </w:tcBorders>
            <w:shd w:val="clear" w:color="auto" w:fill="auto"/>
            <w:noWrap/>
            <w:vAlign w:val="center"/>
            <w:hideMark/>
          </w:tcPr>
          <w:p w14:paraId="28359AA7" w14:textId="77777777" w:rsidR="00C75680" w:rsidRPr="00BA4949" w:rsidRDefault="00C75680" w:rsidP="002C5D29">
            <w:pPr>
              <w:spacing w:after="0"/>
              <w:jc w:val="center"/>
              <w:rPr>
                <w:rFonts w:cs="Arial"/>
                <w:sz w:val="20"/>
                <w:lang w:val="en-AU" w:eastAsia="en-AU"/>
              </w:rPr>
            </w:pPr>
            <w:r w:rsidRPr="00BA4949">
              <w:rPr>
                <w:rFonts w:cs="Arial"/>
                <w:sz w:val="20"/>
                <w:lang w:val="en-AU" w:eastAsia="en-AU"/>
              </w:rPr>
              <w:t>Reef</w:t>
            </w:r>
          </w:p>
        </w:tc>
        <w:tc>
          <w:tcPr>
            <w:tcW w:w="28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2B7ACB51" w14:textId="77777777" w:rsidR="00C75680" w:rsidRPr="00BA4949" w:rsidRDefault="00C75680" w:rsidP="002C5D29">
            <w:pPr>
              <w:spacing w:after="0"/>
              <w:jc w:val="center"/>
              <w:rPr>
                <w:rFonts w:cs="Arial"/>
                <w:sz w:val="20"/>
                <w:lang w:val="en-AU" w:eastAsia="en-AU"/>
              </w:rPr>
            </w:pPr>
            <w:r w:rsidRPr="00BA4949">
              <w:rPr>
                <w:rFonts w:cs="Arial"/>
                <w:sz w:val="20"/>
                <w:lang w:val="en-AU" w:eastAsia="en-AU"/>
              </w:rPr>
              <w:t>Depth</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20D6A351" w14:textId="77777777" w:rsidR="00C75680" w:rsidRPr="00BA4949" w:rsidRDefault="00C75680" w:rsidP="002C5D29">
            <w:pPr>
              <w:spacing w:after="0"/>
              <w:jc w:val="center"/>
              <w:rPr>
                <w:rFonts w:cs="Arial"/>
                <w:sz w:val="20"/>
                <w:lang w:val="en-AU" w:eastAsia="en-AU"/>
              </w:rPr>
            </w:pPr>
            <w:r w:rsidRPr="00BA4949">
              <w:rPr>
                <w:rFonts w:cs="Arial"/>
                <w:sz w:val="20"/>
                <w:lang w:val="en-AU" w:eastAsia="en-AU"/>
              </w:rPr>
              <w:t>Coral cover</w:t>
            </w:r>
          </w:p>
        </w:tc>
        <w:tc>
          <w:tcPr>
            <w:tcW w:w="1134" w:type="dxa"/>
            <w:tcBorders>
              <w:top w:val="single" w:sz="4" w:space="0" w:color="auto"/>
              <w:left w:val="nil"/>
              <w:bottom w:val="single" w:sz="4" w:space="0" w:color="auto"/>
              <w:right w:val="single" w:sz="4" w:space="0" w:color="auto"/>
            </w:tcBorders>
            <w:shd w:val="clear" w:color="auto" w:fill="auto"/>
            <w:noWrap/>
            <w:tcMar>
              <w:left w:w="0" w:type="dxa"/>
              <w:right w:w="0" w:type="dxa"/>
            </w:tcMar>
            <w:vAlign w:val="center"/>
            <w:hideMark/>
          </w:tcPr>
          <w:p w14:paraId="65441970" w14:textId="77777777" w:rsidR="00C75680" w:rsidRPr="00BA4949" w:rsidRDefault="00C75680">
            <w:pPr>
              <w:spacing w:after="0"/>
              <w:jc w:val="center"/>
              <w:rPr>
                <w:rFonts w:cs="Arial"/>
                <w:sz w:val="20"/>
                <w:lang w:val="en-AU" w:eastAsia="en-AU"/>
              </w:rPr>
            </w:pPr>
            <w:r w:rsidRPr="00BA4949">
              <w:rPr>
                <w:rFonts w:cs="Arial"/>
                <w:sz w:val="20"/>
                <w:lang w:val="en-AU" w:eastAsia="en-AU"/>
              </w:rPr>
              <w:t xml:space="preserve">Juvenile </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0090D4AE" w14:textId="77777777" w:rsidR="00C75680" w:rsidRPr="00BA4949" w:rsidRDefault="00C75680">
            <w:pPr>
              <w:spacing w:after="0"/>
              <w:jc w:val="center"/>
              <w:rPr>
                <w:rFonts w:cs="Arial"/>
                <w:sz w:val="20"/>
                <w:lang w:val="en-AU" w:eastAsia="en-AU"/>
              </w:rPr>
            </w:pPr>
            <w:r w:rsidRPr="00BA4949">
              <w:rPr>
                <w:rFonts w:cs="Arial"/>
                <w:sz w:val="20"/>
                <w:lang w:val="en-AU" w:eastAsia="en-AU"/>
              </w:rPr>
              <w:t>Macroalga</w:t>
            </w:r>
            <w:r w:rsidR="00E20F3D">
              <w:rPr>
                <w:rFonts w:cs="Arial"/>
                <w:sz w:val="20"/>
                <w:lang w:val="en-AU" w:eastAsia="en-AU"/>
              </w:rPr>
              <w:t>e</w:t>
            </w:r>
            <w:r w:rsidRPr="00BA4949">
              <w:rPr>
                <w:rFonts w:cs="Arial"/>
                <w:sz w:val="20"/>
                <w:lang w:val="en-AU" w:eastAsia="en-AU"/>
              </w:rPr>
              <w:t xml:space="preserve"> </w:t>
            </w:r>
          </w:p>
        </w:tc>
        <w:tc>
          <w:tcPr>
            <w:tcW w:w="1047" w:type="dxa"/>
            <w:tcBorders>
              <w:top w:val="single" w:sz="4" w:space="0" w:color="auto"/>
              <w:left w:val="nil"/>
              <w:bottom w:val="single" w:sz="4" w:space="0" w:color="auto"/>
              <w:right w:val="single" w:sz="4" w:space="0" w:color="auto"/>
            </w:tcBorders>
            <w:shd w:val="clear" w:color="auto" w:fill="auto"/>
            <w:noWrap/>
            <w:vAlign w:val="center"/>
            <w:hideMark/>
          </w:tcPr>
          <w:p w14:paraId="4F3BB568" w14:textId="77777777" w:rsidR="00C75680" w:rsidRPr="00BA4949" w:rsidRDefault="00C75680">
            <w:pPr>
              <w:spacing w:after="0"/>
              <w:jc w:val="center"/>
              <w:rPr>
                <w:rFonts w:cs="Arial"/>
                <w:sz w:val="20"/>
                <w:lang w:val="en-AU" w:eastAsia="en-AU"/>
              </w:rPr>
            </w:pPr>
            <w:r w:rsidRPr="00BA4949">
              <w:rPr>
                <w:rFonts w:cs="Arial"/>
                <w:sz w:val="20"/>
                <w:lang w:val="en-AU" w:eastAsia="en-AU"/>
              </w:rPr>
              <w:t>Coral change</w:t>
            </w:r>
          </w:p>
        </w:tc>
        <w:tc>
          <w:tcPr>
            <w:tcW w:w="1221" w:type="dxa"/>
            <w:tcBorders>
              <w:top w:val="single" w:sz="4" w:space="0" w:color="auto"/>
              <w:left w:val="nil"/>
              <w:bottom w:val="single" w:sz="4" w:space="0" w:color="auto"/>
              <w:right w:val="single" w:sz="4" w:space="0" w:color="auto"/>
            </w:tcBorders>
            <w:shd w:val="clear" w:color="auto" w:fill="auto"/>
            <w:noWrap/>
            <w:vAlign w:val="center"/>
            <w:hideMark/>
          </w:tcPr>
          <w:p w14:paraId="40AB3857" w14:textId="77777777" w:rsidR="00C75680" w:rsidRPr="00BA4949" w:rsidRDefault="00E20F3D" w:rsidP="002C5D29">
            <w:pPr>
              <w:spacing w:after="0"/>
              <w:jc w:val="center"/>
              <w:rPr>
                <w:rFonts w:cs="Arial"/>
                <w:sz w:val="20"/>
                <w:lang w:val="en-AU" w:eastAsia="en-AU"/>
              </w:rPr>
            </w:pPr>
            <w:r>
              <w:rPr>
                <w:rFonts w:cs="Arial"/>
                <w:sz w:val="20"/>
                <w:lang w:val="en-AU" w:eastAsia="en-AU"/>
              </w:rPr>
              <w:t>C</w:t>
            </w:r>
            <w:r w:rsidR="00C75680" w:rsidRPr="00BA4949">
              <w:rPr>
                <w:rFonts w:cs="Arial"/>
                <w:sz w:val="20"/>
                <w:lang w:val="en-AU" w:eastAsia="en-AU"/>
              </w:rPr>
              <w:t>omposition</w:t>
            </w:r>
          </w:p>
        </w:tc>
        <w:tc>
          <w:tcPr>
            <w:tcW w:w="1117" w:type="dxa"/>
            <w:tcBorders>
              <w:top w:val="single" w:sz="4" w:space="0" w:color="auto"/>
              <w:left w:val="nil"/>
              <w:bottom w:val="single" w:sz="4" w:space="0" w:color="auto"/>
              <w:right w:val="single" w:sz="4" w:space="0" w:color="auto"/>
            </w:tcBorders>
            <w:shd w:val="clear" w:color="auto" w:fill="auto"/>
            <w:noWrap/>
            <w:vAlign w:val="center"/>
            <w:hideMark/>
          </w:tcPr>
          <w:p w14:paraId="039D3395" w14:textId="77777777" w:rsidR="00C75680" w:rsidRPr="00BA4949" w:rsidRDefault="00C75680" w:rsidP="002C5D29">
            <w:pPr>
              <w:spacing w:after="0"/>
              <w:jc w:val="center"/>
              <w:rPr>
                <w:rFonts w:cs="Arial"/>
                <w:sz w:val="20"/>
                <w:lang w:val="en-AU" w:eastAsia="en-AU"/>
              </w:rPr>
            </w:pPr>
            <w:r w:rsidRPr="00BA4949">
              <w:rPr>
                <w:rFonts w:cs="Arial"/>
                <w:sz w:val="20"/>
                <w:lang w:val="en-AU" w:eastAsia="en-AU"/>
              </w:rPr>
              <w:t>Coral index</w:t>
            </w:r>
          </w:p>
        </w:tc>
      </w:tr>
      <w:tr w:rsidR="00B026FC" w:rsidRPr="00F352E1" w14:paraId="4FB0696B" w14:textId="77777777" w:rsidTr="00B026FC">
        <w:trPr>
          <w:trHeight w:hRule="exact" w:val="255"/>
        </w:trPr>
        <w:tc>
          <w:tcPr>
            <w:tcW w:w="771" w:type="dxa"/>
            <w:vMerge w:val="restart"/>
            <w:tcBorders>
              <w:top w:val="nil"/>
              <w:left w:val="single" w:sz="4" w:space="0" w:color="auto"/>
              <w:right w:val="single" w:sz="4" w:space="0" w:color="auto"/>
            </w:tcBorders>
            <w:shd w:val="clear" w:color="auto" w:fill="auto"/>
            <w:noWrap/>
            <w:textDirection w:val="btLr"/>
            <w:vAlign w:val="center"/>
          </w:tcPr>
          <w:p w14:paraId="1A57F4DD" w14:textId="77777777" w:rsidR="00B026FC" w:rsidRPr="00BA4949" w:rsidRDefault="00B026FC" w:rsidP="00B026FC">
            <w:pPr>
              <w:spacing w:after="0"/>
              <w:jc w:val="center"/>
              <w:rPr>
                <w:rFonts w:cs="Arial"/>
                <w:szCs w:val="22"/>
                <w:lang w:val="en-AU" w:eastAsia="en-AU"/>
              </w:rPr>
            </w:pPr>
            <w:r w:rsidRPr="00BA4949">
              <w:rPr>
                <w:rFonts w:cs="Arial"/>
                <w:szCs w:val="22"/>
                <w:lang w:val="en-AU" w:eastAsia="en-AU"/>
              </w:rPr>
              <w:t>Mackay Whitsunday</w:t>
            </w:r>
          </w:p>
        </w:tc>
        <w:tc>
          <w:tcPr>
            <w:tcW w:w="1576" w:type="dxa"/>
            <w:tcBorders>
              <w:top w:val="nil"/>
              <w:left w:val="nil"/>
              <w:bottom w:val="single" w:sz="4" w:space="0" w:color="auto"/>
              <w:right w:val="single" w:sz="4" w:space="0" w:color="auto"/>
            </w:tcBorders>
            <w:shd w:val="clear" w:color="auto" w:fill="auto"/>
            <w:noWrap/>
            <w:vAlign w:val="center"/>
          </w:tcPr>
          <w:p w14:paraId="3B598F89"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Hayman</w:t>
            </w:r>
          </w:p>
        </w:tc>
        <w:tc>
          <w:tcPr>
            <w:tcW w:w="284" w:type="dxa"/>
            <w:tcBorders>
              <w:top w:val="nil"/>
              <w:left w:val="nil"/>
              <w:bottom w:val="single" w:sz="4" w:space="0" w:color="auto"/>
              <w:right w:val="single" w:sz="4" w:space="0" w:color="auto"/>
            </w:tcBorders>
            <w:shd w:val="clear" w:color="auto" w:fill="auto"/>
            <w:noWrap/>
            <w:vAlign w:val="center"/>
          </w:tcPr>
          <w:p w14:paraId="75E45F05"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tcPr>
          <w:p w14:paraId="551E445E" w14:textId="77777777" w:rsidR="00B026FC" w:rsidRPr="00BA4949" w:rsidRDefault="00B026FC" w:rsidP="00B026FC">
            <w:pPr>
              <w:jc w:val="center"/>
              <w:rPr>
                <w:rFonts w:ascii="Arial Narrow" w:hAnsi="Arial Narrow"/>
                <w:sz w:val="20"/>
              </w:rPr>
            </w:pPr>
            <w:r w:rsidRPr="00BA4949">
              <w:rPr>
                <w:rFonts w:ascii="Arial Narrow" w:hAnsi="Arial Narrow"/>
                <w:sz w:val="20"/>
              </w:rPr>
              <w:t>0.69</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0531A63D"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tcPr>
          <w:p w14:paraId="5CC32EB3"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tcPr>
          <w:p w14:paraId="46E3803D" w14:textId="77777777" w:rsidR="00B026FC" w:rsidRPr="00BA4949" w:rsidRDefault="00B026FC" w:rsidP="00B026FC">
            <w:pPr>
              <w:jc w:val="center"/>
              <w:rPr>
                <w:rFonts w:ascii="Arial Narrow" w:hAnsi="Arial Narrow"/>
                <w:sz w:val="20"/>
              </w:rPr>
            </w:pPr>
            <w:r w:rsidRPr="00BA4949">
              <w:rPr>
                <w:rFonts w:ascii="Arial Narrow" w:hAnsi="Arial Narrow"/>
                <w:sz w:val="20"/>
              </w:rPr>
              <w:t>0.16</w:t>
            </w:r>
          </w:p>
        </w:tc>
        <w:tc>
          <w:tcPr>
            <w:tcW w:w="1221" w:type="dxa"/>
            <w:tcBorders>
              <w:top w:val="nil"/>
              <w:left w:val="nil"/>
              <w:bottom w:val="single" w:sz="4" w:space="0" w:color="auto"/>
              <w:right w:val="single" w:sz="4" w:space="0" w:color="auto"/>
            </w:tcBorders>
            <w:shd w:val="clear" w:color="auto" w:fill="auto"/>
            <w:noWrap/>
          </w:tcPr>
          <w:p w14:paraId="20BB7DA0"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000000" w:fill="92D050"/>
            <w:noWrap/>
          </w:tcPr>
          <w:p w14:paraId="53CF3851" w14:textId="77777777" w:rsidR="00B026FC" w:rsidRPr="00BA4949" w:rsidRDefault="00B026FC" w:rsidP="00B026FC">
            <w:pPr>
              <w:jc w:val="center"/>
              <w:rPr>
                <w:rFonts w:ascii="Arial Narrow" w:hAnsi="Arial Narrow"/>
                <w:sz w:val="20"/>
              </w:rPr>
            </w:pPr>
            <w:r w:rsidRPr="00BA4949">
              <w:rPr>
                <w:rFonts w:ascii="Arial Narrow" w:hAnsi="Arial Narrow"/>
                <w:sz w:val="20"/>
              </w:rPr>
              <w:t>0.67</w:t>
            </w:r>
          </w:p>
        </w:tc>
      </w:tr>
      <w:tr w:rsidR="00B026FC" w:rsidRPr="00F352E1" w14:paraId="60D2F6C8" w14:textId="77777777" w:rsidTr="00B026FC">
        <w:trPr>
          <w:trHeight w:hRule="exact" w:val="255"/>
        </w:trPr>
        <w:tc>
          <w:tcPr>
            <w:tcW w:w="771" w:type="dxa"/>
            <w:vMerge/>
            <w:tcBorders>
              <w:left w:val="single" w:sz="4" w:space="0" w:color="auto"/>
              <w:right w:val="single" w:sz="4" w:space="0" w:color="auto"/>
            </w:tcBorders>
            <w:shd w:val="clear" w:color="auto" w:fill="auto"/>
            <w:noWrap/>
            <w:textDirection w:val="btLr"/>
            <w:vAlign w:val="center"/>
          </w:tcPr>
          <w:p w14:paraId="3DC92096" w14:textId="77777777" w:rsidR="00B026FC" w:rsidRPr="00BA4949" w:rsidRDefault="00B026FC" w:rsidP="00B026FC">
            <w:pPr>
              <w:spacing w:after="0"/>
              <w:jc w:val="center"/>
              <w:rPr>
                <w:rFonts w:cs="Arial"/>
                <w:szCs w:val="22"/>
                <w:lang w:val="en-AU" w:eastAsia="en-AU"/>
              </w:rPr>
            </w:pPr>
          </w:p>
        </w:tc>
        <w:tc>
          <w:tcPr>
            <w:tcW w:w="1576" w:type="dxa"/>
            <w:tcBorders>
              <w:top w:val="nil"/>
              <w:left w:val="nil"/>
              <w:bottom w:val="single" w:sz="4" w:space="0" w:color="auto"/>
              <w:right w:val="single" w:sz="4" w:space="0" w:color="auto"/>
            </w:tcBorders>
            <w:shd w:val="clear" w:color="auto" w:fill="auto"/>
            <w:noWrap/>
            <w:vAlign w:val="center"/>
          </w:tcPr>
          <w:p w14:paraId="67F3F7DA"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Langford</w:t>
            </w:r>
          </w:p>
        </w:tc>
        <w:tc>
          <w:tcPr>
            <w:tcW w:w="284" w:type="dxa"/>
            <w:tcBorders>
              <w:top w:val="nil"/>
              <w:left w:val="nil"/>
              <w:bottom w:val="single" w:sz="4" w:space="0" w:color="auto"/>
              <w:right w:val="single" w:sz="4" w:space="0" w:color="auto"/>
            </w:tcBorders>
            <w:shd w:val="clear" w:color="auto" w:fill="auto"/>
            <w:noWrap/>
            <w:vAlign w:val="center"/>
          </w:tcPr>
          <w:p w14:paraId="15784C7A"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tcPr>
          <w:p w14:paraId="431A9579" w14:textId="77777777" w:rsidR="00B026FC" w:rsidRPr="00BA4949" w:rsidRDefault="00B026FC" w:rsidP="00B026FC">
            <w:pPr>
              <w:jc w:val="center"/>
              <w:rPr>
                <w:rFonts w:ascii="Arial Narrow" w:hAnsi="Arial Narrow"/>
                <w:sz w:val="20"/>
              </w:rPr>
            </w:pPr>
            <w:r w:rsidRPr="00BA4949">
              <w:rPr>
                <w:rFonts w:ascii="Arial Narrow" w:hAnsi="Arial Narrow"/>
                <w:sz w:val="20"/>
              </w:rPr>
              <w:t>0.60</w:t>
            </w:r>
          </w:p>
        </w:tc>
        <w:tc>
          <w:tcPr>
            <w:tcW w:w="1134" w:type="dxa"/>
            <w:tcBorders>
              <w:top w:val="nil"/>
              <w:left w:val="nil"/>
              <w:bottom w:val="single" w:sz="4" w:space="0" w:color="auto"/>
              <w:right w:val="single" w:sz="4" w:space="0" w:color="auto"/>
            </w:tcBorders>
            <w:shd w:val="clear" w:color="auto" w:fill="auto"/>
            <w:noWrap/>
            <w:tcMar>
              <w:left w:w="0" w:type="dxa"/>
              <w:right w:w="0" w:type="dxa"/>
            </w:tcMar>
          </w:tcPr>
          <w:p w14:paraId="6DE522CA" w14:textId="77777777" w:rsidR="00B026FC" w:rsidRPr="00BA4949" w:rsidRDefault="00B026FC" w:rsidP="00B026FC">
            <w:pPr>
              <w:jc w:val="center"/>
              <w:rPr>
                <w:rFonts w:ascii="Arial Narrow" w:hAnsi="Arial Narrow"/>
                <w:sz w:val="20"/>
              </w:rPr>
            </w:pPr>
            <w:r w:rsidRPr="00BA4949">
              <w:rPr>
                <w:rFonts w:ascii="Arial Narrow" w:hAnsi="Arial Narrow"/>
                <w:sz w:val="20"/>
              </w:rPr>
              <w:t>0.78</w:t>
            </w:r>
          </w:p>
        </w:tc>
        <w:tc>
          <w:tcPr>
            <w:tcW w:w="1134" w:type="dxa"/>
            <w:tcBorders>
              <w:top w:val="nil"/>
              <w:left w:val="nil"/>
              <w:bottom w:val="single" w:sz="4" w:space="0" w:color="auto"/>
              <w:right w:val="single" w:sz="4" w:space="0" w:color="auto"/>
            </w:tcBorders>
            <w:shd w:val="clear" w:color="auto" w:fill="auto"/>
            <w:noWrap/>
          </w:tcPr>
          <w:p w14:paraId="0A748570"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tcPr>
          <w:p w14:paraId="332FDC73"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221" w:type="dxa"/>
            <w:tcBorders>
              <w:top w:val="nil"/>
              <w:left w:val="nil"/>
              <w:bottom w:val="single" w:sz="4" w:space="0" w:color="auto"/>
              <w:right w:val="single" w:sz="4" w:space="0" w:color="auto"/>
            </w:tcBorders>
            <w:shd w:val="clear" w:color="auto" w:fill="auto"/>
            <w:noWrap/>
          </w:tcPr>
          <w:p w14:paraId="4E28FB8C"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FF00"/>
            <w:noWrap/>
          </w:tcPr>
          <w:p w14:paraId="1547068C" w14:textId="77777777" w:rsidR="00B026FC" w:rsidRPr="00BA4949" w:rsidRDefault="00B026FC" w:rsidP="00B026FC">
            <w:pPr>
              <w:jc w:val="center"/>
              <w:rPr>
                <w:rFonts w:ascii="Arial Narrow" w:hAnsi="Arial Narrow"/>
                <w:sz w:val="20"/>
              </w:rPr>
            </w:pPr>
            <w:r w:rsidRPr="00BA4949">
              <w:rPr>
                <w:rFonts w:ascii="Arial Narrow" w:hAnsi="Arial Narrow"/>
                <w:sz w:val="20"/>
              </w:rPr>
              <w:t>0.58</w:t>
            </w:r>
          </w:p>
        </w:tc>
      </w:tr>
      <w:tr w:rsidR="00B026FC" w:rsidRPr="00F352E1" w14:paraId="1BC3DEA6" w14:textId="77777777" w:rsidTr="00BA4949">
        <w:trPr>
          <w:trHeight w:hRule="exact" w:val="255"/>
        </w:trPr>
        <w:tc>
          <w:tcPr>
            <w:tcW w:w="771" w:type="dxa"/>
            <w:vMerge/>
            <w:tcBorders>
              <w:left w:val="single" w:sz="4" w:space="0" w:color="auto"/>
              <w:right w:val="single" w:sz="4" w:space="0" w:color="auto"/>
            </w:tcBorders>
            <w:shd w:val="clear" w:color="auto" w:fill="auto"/>
            <w:noWrap/>
            <w:textDirection w:val="btLr"/>
            <w:vAlign w:val="center"/>
            <w:hideMark/>
          </w:tcPr>
          <w:p w14:paraId="18525344" w14:textId="77777777" w:rsidR="00B026FC" w:rsidRPr="00BA4949" w:rsidRDefault="00B026FC" w:rsidP="00B026FC">
            <w:pPr>
              <w:spacing w:after="0"/>
              <w:jc w:val="center"/>
              <w:rPr>
                <w:rFonts w:cs="Arial"/>
                <w:szCs w:val="22"/>
                <w:lang w:val="en-AU" w:eastAsia="en-AU"/>
              </w:rPr>
            </w:pPr>
          </w:p>
        </w:tc>
        <w:tc>
          <w:tcPr>
            <w:tcW w:w="1576" w:type="dxa"/>
            <w:tcBorders>
              <w:top w:val="nil"/>
              <w:left w:val="nil"/>
              <w:bottom w:val="single" w:sz="4" w:space="0" w:color="auto"/>
              <w:right w:val="single" w:sz="4" w:space="0" w:color="auto"/>
            </w:tcBorders>
            <w:shd w:val="clear" w:color="auto" w:fill="auto"/>
            <w:noWrap/>
            <w:vAlign w:val="center"/>
            <w:hideMark/>
          </w:tcPr>
          <w:p w14:paraId="29510DCE"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Border</w:t>
            </w:r>
          </w:p>
        </w:tc>
        <w:tc>
          <w:tcPr>
            <w:tcW w:w="284" w:type="dxa"/>
            <w:tcBorders>
              <w:top w:val="nil"/>
              <w:left w:val="nil"/>
              <w:bottom w:val="single" w:sz="4" w:space="0" w:color="auto"/>
              <w:right w:val="single" w:sz="4" w:space="0" w:color="auto"/>
            </w:tcBorders>
            <w:shd w:val="clear" w:color="auto" w:fill="auto"/>
            <w:noWrap/>
            <w:vAlign w:val="center"/>
            <w:hideMark/>
          </w:tcPr>
          <w:p w14:paraId="258B50DC"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6CA9C429" w14:textId="77777777" w:rsidR="00B026FC" w:rsidRPr="00BA4949" w:rsidRDefault="00B026FC" w:rsidP="00B026FC">
            <w:pPr>
              <w:jc w:val="center"/>
              <w:rPr>
                <w:rFonts w:ascii="Arial Narrow" w:hAnsi="Arial Narrow"/>
                <w:sz w:val="20"/>
              </w:rPr>
            </w:pPr>
            <w:r w:rsidRPr="00BA4949">
              <w:rPr>
                <w:rFonts w:ascii="Arial Narrow" w:hAnsi="Arial Narrow"/>
                <w:sz w:val="20"/>
              </w:rPr>
              <w:t>0.85</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47D75A98"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34" w:type="dxa"/>
            <w:tcBorders>
              <w:top w:val="nil"/>
              <w:left w:val="nil"/>
              <w:bottom w:val="single" w:sz="4" w:space="0" w:color="auto"/>
              <w:right w:val="single" w:sz="4" w:space="0" w:color="auto"/>
            </w:tcBorders>
            <w:shd w:val="clear" w:color="auto" w:fill="auto"/>
            <w:noWrap/>
            <w:hideMark/>
          </w:tcPr>
          <w:p w14:paraId="2BBB633E"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hideMark/>
          </w:tcPr>
          <w:p w14:paraId="4EDB1C30" w14:textId="77777777" w:rsidR="00B026FC" w:rsidRPr="00BA4949" w:rsidRDefault="00B026FC" w:rsidP="00B026FC">
            <w:pPr>
              <w:jc w:val="center"/>
              <w:rPr>
                <w:rFonts w:ascii="Arial Narrow" w:hAnsi="Arial Narrow"/>
                <w:sz w:val="20"/>
              </w:rPr>
            </w:pPr>
            <w:r w:rsidRPr="00BA4949">
              <w:rPr>
                <w:rFonts w:ascii="Arial Narrow" w:hAnsi="Arial Narrow"/>
                <w:sz w:val="20"/>
              </w:rPr>
              <w:t>0.47</w:t>
            </w:r>
          </w:p>
        </w:tc>
        <w:tc>
          <w:tcPr>
            <w:tcW w:w="1221" w:type="dxa"/>
            <w:tcBorders>
              <w:top w:val="nil"/>
              <w:left w:val="nil"/>
              <w:bottom w:val="single" w:sz="4" w:space="0" w:color="auto"/>
              <w:right w:val="single" w:sz="4" w:space="0" w:color="auto"/>
            </w:tcBorders>
            <w:shd w:val="clear" w:color="auto" w:fill="auto"/>
            <w:noWrap/>
            <w:hideMark/>
          </w:tcPr>
          <w:p w14:paraId="46D52F09"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00B050"/>
            <w:noWrap/>
            <w:hideMark/>
          </w:tcPr>
          <w:p w14:paraId="7B7A3EB0" w14:textId="77777777" w:rsidR="00B026FC" w:rsidRPr="00BA4949" w:rsidRDefault="00B026FC" w:rsidP="00B026FC">
            <w:pPr>
              <w:jc w:val="center"/>
              <w:rPr>
                <w:rFonts w:ascii="Arial Narrow" w:hAnsi="Arial Narrow"/>
                <w:sz w:val="20"/>
              </w:rPr>
            </w:pPr>
            <w:r w:rsidRPr="00BA4949">
              <w:rPr>
                <w:rFonts w:ascii="Arial Narrow" w:hAnsi="Arial Narrow"/>
                <w:sz w:val="20"/>
              </w:rPr>
              <w:t>0.86</w:t>
            </w:r>
          </w:p>
        </w:tc>
      </w:tr>
      <w:tr w:rsidR="00B026FC" w:rsidRPr="00F352E1" w14:paraId="6C105BC2" w14:textId="77777777" w:rsidTr="00B026FC">
        <w:trPr>
          <w:trHeight w:hRule="exact" w:val="255"/>
        </w:trPr>
        <w:tc>
          <w:tcPr>
            <w:tcW w:w="771" w:type="dxa"/>
            <w:vMerge/>
            <w:tcBorders>
              <w:left w:val="single" w:sz="4" w:space="0" w:color="auto"/>
              <w:right w:val="single" w:sz="4" w:space="0" w:color="auto"/>
            </w:tcBorders>
            <w:vAlign w:val="center"/>
            <w:hideMark/>
          </w:tcPr>
          <w:p w14:paraId="444151C2"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8EA55F2"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Hook</w:t>
            </w:r>
          </w:p>
        </w:tc>
        <w:tc>
          <w:tcPr>
            <w:tcW w:w="284" w:type="dxa"/>
            <w:tcBorders>
              <w:top w:val="nil"/>
              <w:left w:val="nil"/>
              <w:bottom w:val="single" w:sz="4" w:space="0" w:color="auto"/>
              <w:right w:val="single" w:sz="4" w:space="0" w:color="auto"/>
            </w:tcBorders>
            <w:shd w:val="clear" w:color="auto" w:fill="auto"/>
            <w:noWrap/>
            <w:vAlign w:val="center"/>
            <w:hideMark/>
          </w:tcPr>
          <w:p w14:paraId="70EFEFEA"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hideMark/>
          </w:tcPr>
          <w:p w14:paraId="3FD3DD64" w14:textId="77777777" w:rsidR="00B026FC" w:rsidRPr="00BA4949" w:rsidRDefault="00B026FC" w:rsidP="00B026FC">
            <w:pPr>
              <w:jc w:val="center"/>
              <w:rPr>
                <w:rFonts w:ascii="Arial Narrow" w:hAnsi="Arial Narrow"/>
                <w:sz w:val="20"/>
              </w:rPr>
            </w:pPr>
            <w:r w:rsidRPr="00BA4949">
              <w:rPr>
                <w:rFonts w:ascii="Arial Narrow" w:hAnsi="Arial Narrow"/>
                <w:sz w:val="20"/>
              </w:rPr>
              <w:t>0.61</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3DE1290F" w14:textId="77777777" w:rsidR="00B026FC" w:rsidRPr="00BA4949" w:rsidRDefault="00B026FC" w:rsidP="00B026FC">
            <w:pPr>
              <w:jc w:val="center"/>
              <w:rPr>
                <w:rFonts w:ascii="Arial Narrow" w:hAnsi="Arial Narrow"/>
                <w:sz w:val="20"/>
              </w:rPr>
            </w:pPr>
            <w:r w:rsidRPr="00BA4949">
              <w:rPr>
                <w:rFonts w:ascii="Arial Narrow" w:hAnsi="Arial Narrow"/>
                <w:sz w:val="20"/>
              </w:rPr>
              <w:t>0.51</w:t>
            </w:r>
          </w:p>
        </w:tc>
        <w:tc>
          <w:tcPr>
            <w:tcW w:w="1134" w:type="dxa"/>
            <w:tcBorders>
              <w:top w:val="nil"/>
              <w:left w:val="nil"/>
              <w:bottom w:val="single" w:sz="4" w:space="0" w:color="auto"/>
              <w:right w:val="single" w:sz="4" w:space="0" w:color="auto"/>
            </w:tcBorders>
            <w:shd w:val="clear" w:color="auto" w:fill="auto"/>
            <w:noWrap/>
            <w:hideMark/>
          </w:tcPr>
          <w:p w14:paraId="01F0F53A"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hideMark/>
          </w:tcPr>
          <w:p w14:paraId="13FC5E35" w14:textId="77777777" w:rsidR="00B026FC" w:rsidRPr="00BA4949" w:rsidRDefault="00B026FC" w:rsidP="00B026FC">
            <w:pPr>
              <w:jc w:val="center"/>
              <w:rPr>
                <w:rFonts w:ascii="Arial Narrow" w:hAnsi="Arial Narrow"/>
                <w:sz w:val="20"/>
              </w:rPr>
            </w:pPr>
            <w:r w:rsidRPr="00BA4949">
              <w:rPr>
                <w:rFonts w:ascii="Arial Narrow" w:hAnsi="Arial Narrow"/>
                <w:sz w:val="20"/>
              </w:rPr>
              <w:t>0.33</w:t>
            </w:r>
          </w:p>
        </w:tc>
        <w:tc>
          <w:tcPr>
            <w:tcW w:w="1221" w:type="dxa"/>
            <w:tcBorders>
              <w:top w:val="nil"/>
              <w:left w:val="nil"/>
              <w:bottom w:val="single" w:sz="4" w:space="0" w:color="auto"/>
              <w:right w:val="single" w:sz="4" w:space="0" w:color="auto"/>
            </w:tcBorders>
            <w:shd w:val="clear" w:color="auto" w:fill="auto"/>
            <w:noWrap/>
            <w:hideMark/>
          </w:tcPr>
          <w:p w14:paraId="53B6CA35"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FF00"/>
            <w:noWrap/>
            <w:hideMark/>
          </w:tcPr>
          <w:p w14:paraId="26783184" w14:textId="77777777" w:rsidR="00B026FC" w:rsidRPr="00BA4949" w:rsidRDefault="00B026FC" w:rsidP="00B026FC">
            <w:pPr>
              <w:jc w:val="center"/>
              <w:rPr>
                <w:rFonts w:ascii="Arial Narrow" w:hAnsi="Arial Narrow"/>
                <w:sz w:val="20"/>
              </w:rPr>
            </w:pPr>
            <w:r w:rsidRPr="00BA4949">
              <w:rPr>
                <w:rFonts w:ascii="Arial Narrow" w:hAnsi="Arial Narrow"/>
                <w:sz w:val="20"/>
              </w:rPr>
              <w:t>0.59</w:t>
            </w:r>
          </w:p>
        </w:tc>
      </w:tr>
      <w:tr w:rsidR="00B026FC" w:rsidRPr="00F352E1" w14:paraId="4C6D6DBE" w14:textId="77777777" w:rsidTr="00B026FC">
        <w:trPr>
          <w:trHeight w:hRule="exact" w:val="255"/>
        </w:trPr>
        <w:tc>
          <w:tcPr>
            <w:tcW w:w="771" w:type="dxa"/>
            <w:vMerge/>
            <w:tcBorders>
              <w:left w:val="single" w:sz="4" w:space="0" w:color="auto"/>
              <w:right w:val="single" w:sz="4" w:space="0" w:color="auto"/>
            </w:tcBorders>
            <w:vAlign w:val="center"/>
            <w:hideMark/>
          </w:tcPr>
          <w:p w14:paraId="4A9D1444"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071F5909"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8A76A10"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299CBFB5" w14:textId="77777777" w:rsidR="00B026FC" w:rsidRPr="00BA4949" w:rsidRDefault="00B026FC" w:rsidP="00B026FC">
            <w:pPr>
              <w:jc w:val="center"/>
              <w:rPr>
                <w:rFonts w:ascii="Arial Narrow" w:hAnsi="Arial Narrow"/>
                <w:sz w:val="20"/>
              </w:rPr>
            </w:pPr>
            <w:r w:rsidRPr="00BA4949">
              <w:rPr>
                <w:rFonts w:ascii="Arial Narrow" w:hAnsi="Arial Narrow"/>
                <w:sz w:val="20"/>
              </w:rPr>
              <w:t>0.64</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7D7338B3" w14:textId="77777777" w:rsidR="00B026FC" w:rsidRPr="00BA4949" w:rsidRDefault="00B026FC" w:rsidP="00B026FC">
            <w:pPr>
              <w:jc w:val="center"/>
              <w:rPr>
                <w:rFonts w:ascii="Arial Narrow" w:hAnsi="Arial Narrow"/>
                <w:sz w:val="20"/>
              </w:rPr>
            </w:pPr>
            <w:r w:rsidRPr="00BA4949">
              <w:rPr>
                <w:rFonts w:ascii="Arial Narrow" w:hAnsi="Arial Narrow"/>
                <w:sz w:val="20"/>
              </w:rPr>
              <w:t>0.30</w:t>
            </w:r>
          </w:p>
        </w:tc>
        <w:tc>
          <w:tcPr>
            <w:tcW w:w="1134" w:type="dxa"/>
            <w:tcBorders>
              <w:top w:val="nil"/>
              <w:left w:val="nil"/>
              <w:bottom w:val="single" w:sz="4" w:space="0" w:color="auto"/>
              <w:right w:val="single" w:sz="4" w:space="0" w:color="auto"/>
            </w:tcBorders>
            <w:shd w:val="clear" w:color="auto" w:fill="auto"/>
            <w:noWrap/>
            <w:hideMark/>
          </w:tcPr>
          <w:p w14:paraId="485322D6"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hideMark/>
          </w:tcPr>
          <w:p w14:paraId="386C56AA" w14:textId="77777777" w:rsidR="00B026FC" w:rsidRPr="00BA4949" w:rsidRDefault="00B026FC" w:rsidP="00B026FC">
            <w:pPr>
              <w:jc w:val="center"/>
              <w:rPr>
                <w:rFonts w:ascii="Arial Narrow" w:hAnsi="Arial Narrow"/>
                <w:sz w:val="20"/>
              </w:rPr>
            </w:pPr>
            <w:r w:rsidRPr="00BA4949">
              <w:rPr>
                <w:rFonts w:ascii="Arial Narrow" w:hAnsi="Arial Narrow"/>
                <w:sz w:val="20"/>
              </w:rPr>
              <w:t>0.15</w:t>
            </w:r>
          </w:p>
        </w:tc>
        <w:tc>
          <w:tcPr>
            <w:tcW w:w="1221" w:type="dxa"/>
            <w:tcBorders>
              <w:top w:val="nil"/>
              <w:left w:val="nil"/>
              <w:bottom w:val="single" w:sz="4" w:space="0" w:color="auto"/>
              <w:right w:val="single" w:sz="4" w:space="0" w:color="auto"/>
            </w:tcBorders>
            <w:shd w:val="clear" w:color="auto" w:fill="auto"/>
            <w:noWrap/>
            <w:hideMark/>
          </w:tcPr>
          <w:p w14:paraId="2F459951"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FF00"/>
            <w:noWrap/>
            <w:hideMark/>
          </w:tcPr>
          <w:p w14:paraId="1C177EF0" w14:textId="77777777" w:rsidR="00B026FC" w:rsidRPr="00BA4949" w:rsidRDefault="00B026FC" w:rsidP="00B026FC">
            <w:pPr>
              <w:jc w:val="center"/>
              <w:rPr>
                <w:rFonts w:ascii="Arial Narrow" w:hAnsi="Arial Narrow"/>
                <w:sz w:val="20"/>
              </w:rPr>
            </w:pPr>
            <w:r w:rsidRPr="00BA4949">
              <w:rPr>
                <w:rFonts w:ascii="Arial Narrow" w:hAnsi="Arial Narrow"/>
                <w:sz w:val="20"/>
              </w:rPr>
              <w:t>0.52</w:t>
            </w:r>
          </w:p>
        </w:tc>
      </w:tr>
      <w:tr w:rsidR="00B026FC" w:rsidRPr="00F352E1" w14:paraId="09954F54" w14:textId="77777777" w:rsidTr="00BA4949">
        <w:trPr>
          <w:trHeight w:hRule="exact" w:val="255"/>
        </w:trPr>
        <w:tc>
          <w:tcPr>
            <w:tcW w:w="771" w:type="dxa"/>
            <w:vMerge/>
            <w:tcBorders>
              <w:left w:val="single" w:sz="4" w:space="0" w:color="auto"/>
              <w:right w:val="single" w:sz="4" w:space="0" w:color="auto"/>
            </w:tcBorders>
            <w:vAlign w:val="center"/>
            <w:hideMark/>
          </w:tcPr>
          <w:p w14:paraId="1D17E07A"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80B629E"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Double cone</w:t>
            </w:r>
          </w:p>
        </w:tc>
        <w:tc>
          <w:tcPr>
            <w:tcW w:w="284" w:type="dxa"/>
            <w:tcBorders>
              <w:top w:val="nil"/>
              <w:left w:val="nil"/>
              <w:bottom w:val="single" w:sz="4" w:space="0" w:color="auto"/>
              <w:right w:val="single" w:sz="4" w:space="0" w:color="auto"/>
            </w:tcBorders>
            <w:shd w:val="clear" w:color="auto" w:fill="auto"/>
            <w:noWrap/>
            <w:vAlign w:val="center"/>
            <w:hideMark/>
          </w:tcPr>
          <w:p w14:paraId="27D30704"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hideMark/>
          </w:tcPr>
          <w:p w14:paraId="65C0E018" w14:textId="77777777" w:rsidR="00B026FC" w:rsidRPr="00BA4949" w:rsidRDefault="00B026FC" w:rsidP="00B026FC">
            <w:pPr>
              <w:jc w:val="center"/>
              <w:rPr>
                <w:rFonts w:ascii="Arial Narrow" w:hAnsi="Arial Narrow"/>
                <w:sz w:val="20"/>
              </w:rPr>
            </w:pPr>
            <w:r w:rsidRPr="00BA4949">
              <w:rPr>
                <w:rFonts w:ascii="Arial Narrow" w:hAnsi="Arial Narrow"/>
                <w:sz w:val="20"/>
              </w:rPr>
              <w:t>0.03</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3361E90A" w14:textId="77777777" w:rsidR="00B026FC" w:rsidRPr="00BA4949" w:rsidRDefault="00B026FC" w:rsidP="00B026FC">
            <w:pPr>
              <w:jc w:val="center"/>
              <w:rPr>
                <w:rFonts w:ascii="Arial Narrow" w:hAnsi="Arial Narrow"/>
                <w:sz w:val="20"/>
              </w:rPr>
            </w:pPr>
            <w:r w:rsidRPr="00BA4949">
              <w:rPr>
                <w:rFonts w:ascii="Arial Narrow" w:hAnsi="Arial Narrow"/>
                <w:sz w:val="20"/>
              </w:rPr>
              <w:t>0.03</w:t>
            </w:r>
          </w:p>
        </w:tc>
        <w:tc>
          <w:tcPr>
            <w:tcW w:w="1134" w:type="dxa"/>
            <w:tcBorders>
              <w:top w:val="nil"/>
              <w:left w:val="nil"/>
              <w:bottom w:val="single" w:sz="4" w:space="0" w:color="auto"/>
              <w:right w:val="single" w:sz="4" w:space="0" w:color="auto"/>
            </w:tcBorders>
            <w:shd w:val="clear" w:color="auto" w:fill="auto"/>
            <w:noWrap/>
            <w:hideMark/>
          </w:tcPr>
          <w:p w14:paraId="4E35E2D3"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hideMark/>
          </w:tcPr>
          <w:p w14:paraId="044B895B" w14:textId="77777777" w:rsidR="00B026FC" w:rsidRPr="00BA4949" w:rsidRDefault="00B026FC" w:rsidP="00B026FC">
            <w:pPr>
              <w:jc w:val="center"/>
              <w:rPr>
                <w:rFonts w:ascii="Arial Narrow" w:hAnsi="Arial Narrow"/>
                <w:sz w:val="20"/>
              </w:rPr>
            </w:pPr>
            <w:r w:rsidRPr="00BA4949">
              <w:rPr>
                <w:rFonts w:ascii="Arial Narrow" w:hAnsi="Arial Narrow"/>
                <w:sz w:val="20"/>
              </w:rPr>
              <w:t>0.56</w:t>
            </w:r>
          </w:p>
        </w:tc>
        <w:tc>
          <w:tcPr>
            <w:tcW w:w="1221" w:type="dxa"/>
            <w:tcBorders>
              <w:top w:val="nil"/>
              <w:left w:val="nil"/>
              <w:bottom w:val="single" w:sz="4" w:space="0" w:color="auto"/>
              <w:right w:val="single" w:sz="4" w:space="0" w:color="auto"/>
            </w:tcBorders>
            <w:shd w:val="clear" w:color="auto" w:fill="auto"/>
            <w:noWrap/>
            <w:hideMark/>
          </w:tcPr>
          <w:p w14:paraId="60E10D39"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C000"/>
            <w:noWrap/>
            <w:hideMark/>
          </w:tcPr>
          <w:p w14:paraId="34C52125" w14:textId="77777777" w:rsidR="00B026FC" w:rsidRPr="00BA4949" w:rsidRDefault="00B026FC" w:rsidP="00B026FC">
            <w:pPr>
              <w:jc w:val="center"/>
              <w:rPr>
                <w:rFonts w:ascii="Arial Narrow" w:hAnsi="Arial Narrow"/>
                <w:sz w:val="20"/>
              </w:rPr>
            </w:pPr>
            <w:r w:rsidRPr="00BA4949">
              <w:rPr>
                <w:rFonts w:ascii="Arial Narrow" w:hAnsi="Arial Narrow"/>
                <w:sz w:val="20"/>
              </w:rPr>
              <w:t>0.32</w:t>
            </w:r>
          </w:p>
        </w:tc>
      </w:tr>
      <w:tr w:rsidR="00B026FC" w:rsidRPr="00F352E1" w14:paraId="2C33FBD1" w14:textId="77777777" w:rsidTr="00BA4949">
        <w:trPr>
          <w:trHeight w:hRule="exact" w:val="255"/>
        </w:trPr>
        <w:tc>
          <w:tcPr>
            <w:tcW w:w="771" w:type="dxa"/>
            <w:vMerge/>
            <w:tcBorders>
              <w:left w:val="single" w:sz="4" w:space="0" w:color="auto"/>
              <w:right w:val="single" w:sz="4" w:space="0" w:color="auto"/>
            </w:tcBorders>
            <w:vAlign w:val="center"/>
            <w:hideMark/>
          </w:tcPr>
          <w:p w14:paraId="4010F68C"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65CF3911"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9CD23B5"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2DDFAB20" w14:textId="77777777" w:rsidR="00B026FC" w:rsidRPr="00BA4949" w:rsidRDefault="00B026FC" w:rsidP="00B026FC">
            <w:pPr>
              <w:jc w:val="center"/>
              <w:rPr>
                <w:rFonts w:ascii="Arial Narrow" w:hAnsi="Arial Narrow"/>
                <w:sz w:val="20"/>
              </w:rPr>
            </w:pPr>
            <w:r w:rsidRPr="00BA4949">
              <w:rPr>
                <w:rFonts w:ascii="Arial Narrow" w:hAnsi="Arial Narrow"/>
                <w:sz w:val="20"/>
              </w:rPr>
              <w:t>0.28</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78B4B254" w14:textId="77777777" w:rsidR="00B026FC" w:rsidRPr="00BA4949" w:rsidRDefault="00B026FC" w:rsidP="00B026FC">
            <w:pPr>
              <w:jc w:val="center"/>
              <w:rPr>
                <w:rFonts w:ascii="Arial Narrow" w:hAnsi="Arial Narrow"/>
                <w:sz w:val="20"/>
              </w:rPr>
            </w:pPr>
            <w:r w:rsidRPr="00BA4949">
              <w:rPr>
                <w:rFonts w:ascii="Arial Narrow" w:hAnsi="Arial Narrow"/>
                <w:sz w:val="20"/>
              </w:rPr>
              <w:t>0.11</w:t>
            </w:r>
          </w:p>
        </w:tc>
        <w:tc>
          <w:tcPr>
            <w:tcW w:w="1134" w:type="dxa"/>
            <w:tcBorders>
              <w:top w:val="nil"/>
              <w:left w:val="nil"/>
              <w:bottom w:val="single" w:sz="4" w:space="0" w:color="auto"/>
              <w:right w:val="single" w:sz="4" w:space="0" w:color="auto"/>
            </w:tcBorders>
            <w:shd w:val="clear" w:color="auto" w:fill="auto"/>
            <w:noWrap/>
            <w:hideMark/>
          </w:tcPr>
          <w:p w14:paraId="472A3A33"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hideMark/>
          </w:tcPr>
          <w:p w14:paraId="3A078FC5" w14:textId="77777777" w:rsidR="00B026FC" w:rsidRPr="00BA4949" w:rsidRDefault="00B026FC" w:rsidP="00B026FC">
            <w:pPr>
              <w:jc w:val="center"/>
              <w:rPr>
                <w:rFonts w:ascii="Arial Narrow" w:hAnsi="Arial Narrow"/>
                <w:sz w:val="20"/>
              </w:rPr>
            </w:pPr>
            <w:r w:rsidRPr="00BA4949">
              <w:rPr>
                <w:rFonts w:ascii="Arial Narrow" w:hAnsi="Arial Narrow"/>
                <w:sz w:val="20"/>
              </w:rPr>
              <w:t>0.24</w:t>
            </w:r>
          </w:p>
        </w:tc>
        <w:tc>
          <w:tcPr>
            <w:tcW w:w="1221" w:type="dxa"/>
            <w:tcBorders>
              <w:top w:val="nil"/>
              <w:left w:val="nil"/>
              <w:bottom w:val="single" w:sz="4" w:space="0" w:color="auto"/>
              <w:right w:val="single" w:sz="4" w:space="0" w:color="auto"/>
            </w:tcBorders>
            <w:shd w:val="clear" w:color="auto" w:fill="auto"/>
            <w:noWrap/>
            <w:hideMark/>
          </w:tcPr>
          <w:p w14:paraId="4F2338DB"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FF00"/>
            <w:noWrap/>
            <w:hideMark/>
          </w:tcPr>
          <w:p w14:paraId="1548FD8E" w14:textId="77777777" w:rsidR="00B026FC" w:rsidRPr="00BA4949" w:rsidRDefault="00B026FC" w:rsidP="00B026FC">
            <w:pPr>
              <w:jc w:val="center"/>
              <w:rPr>
                <w:rFonts w:ascii="Arial Narrow" w:hAnsi="Arial Narrow"/>
                <w:sz w:val="20"/>
              </w:rPr>
            </w:pPr>
            <w:r w:rsidRPr="00BA4949">
              <w:rPr>
                <w:rFonts w:ascii="Arial Narrow" w:hAnsi="Arial Narrow"/>
                <w:sz w:val="20"/>
              </w:rPr>
              <w:t>0.43</w:t>
            </w:r>
          </w:p>
        </w:tc>
      </w:tr>
      <w:tr w:rsidR="00B026FC" w:rsidRPr="00F352E1" w14:paraId="237C3C59" w14:textId="77777777" w:rsidTr="00B026FC">
        <w:trPr>
          <w:trHeight w:hRule="exact" w:val="255"/>
        </w:trPr>
        <w:tc>
          <w:tcPr>
            <w:tcW w:w="771" w:type="dxa"/>
            <w:vMerge/>
            <w:tcBorders>
              <w:left w:val="single" w:sz="4" w:space="0" w:color="auto"/>
              <w:right w:val="single" w:sz="4" w:space="0" w:color="auto"/>
            </w:tcBorders>
            <w:vAlign w:val="center"/>
            <w:hideMark/>
          </w:tcPr>
          <w:p w14:paraId="6150427D"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138CC6"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Daydream</w:t>
            </w:r>
          </w:p>
        </w:tc>
        <w:tc>
          <w:tcPr>
            <w:tcW w:w="284" w:type="dxa"/>
            <w:tcBorders>
              <w:top w:val="nil"/>
              <w:left w:val="nil"/>
              <w:bottom w:val="single" w:sz="4" w:space="0" w:color="auto"/>
              <w:right w:val="single" w:sz="4" w:space="0" w:color="auto"/>
            </w:tcBorders>
            <w:shd w:val="clear" w:color="auto" w:fill="auto"/>
            <w:noWrap/>
            <w:vAlign w:val="center"/>
            <w:hideMark/>
          </w:tcPr>
          <w:p w14:paraId="0C0C8031"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hideMark/>
          </w:tcPr>
          <w:p w14:paraId="569E9FBB" w14:textId="77777777" w:rsidR="00B026FC" w:rsidRPr="00BA4949" w:rsidRDefault="00B026FC" w:rsidP="00B026FC">
            <w:pPr>
              <w:jc w:val="center"/>
              <w:rPr>
                <w:rFonts w:ascii="Arial Narrow" w:hAnsi="Arial Narrow"/>
                <w:sz w:val="20"/>
              </w:rPr>
            </w:pPr>
            <w:r w:rsidRPr="00BA4949">
              <w:rPr>
                <w:rFonts w:ascii="Arial Narrow" w:hAnsi="Arial Narrow"/>
                <w:sz w:val="20"/>
              </w:rPr>
              <w:t>0.01</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1E62B129" w14:textId="77777777" w:rsidR="00B026FC" w:rsidRPr="00BA4949" w:rsidRDefault="00B026FC" w:rsidP="00B026FC">
            <w:pPr>
              <w:jc w:val="center"/>
              <w:rPr>
                <w:rFonts w:ascii="Arial Narrow" w:hAnsi="Arial Narrow"/>
                <w:sz w:val="20"/>
              </w:rPr>
            </w:pPr>
            <w:r w:rsidRPr="00BA4949">
              <w:rPr>
                <w:rFonts w:ascii="Arial Narrow" w:hAnsi="Arial Narrow"/>
                <w:sz w:val="20"/>
              </w:rPr>
              <w:t>0.04</w:t>
            </w:r>
          </w:p>
        </w:tc>
        <w:tc>
          <w:tcPr>
            <w:tcW w:w="1134" w:type="dxa"/>
            <w:tcBorders>
              <w:top w:val="nil"/>
              <w:left w:val="nil"/>
              <w:bottom w:val="single" w:sz="4" w:space="0" w:color="auto"/>
              <w:right w:val="single" w:sz="4" w:space="0" w:color="auto"/>
            </w:tcBorders>
            <w:shd w:val="clear" w:color="auto" w:fill="auto"/>
            <w:noWrap/>
            <w:hideMark/>
          </w:tcPr>
          <w:p w14:paraId="4B333EC5"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hideMark/>
          </w:tcPr>
          <w:p w14:paraId="07FBF359" w14:textId="77777777" w:rsidR="00B026FC" w:rsidRPr="00BA4949" w:rsidRDefault="00B026FC" w:rsidP="00B026FC">
            <w:pPr>
              <w:jc w:val="center"/>
              <w:rPr>
                <w:rFonts w:ascii="Arial Narrow" w:hAnsi="Arial Narrow"/>
                <w:sz w:val="20"/>
              </w:rPr>
            </w:pPr>
            <w:r w:rsidRPr="00BA4949">
              <w:rPr>
                <w:rFonts w:ascii="Arial Narrow" w:hAnsi="Arial Narrow"/>
                <w:sz w:val="20"/>
              </w:rPr>
              <w:t>0.93</w:t>
            </w:r>
          </w:p>
        </w:tc>
        <w:tc>
          <w:tcPr>
            <w:tcW w:w="1221" w:type="dxa"/>
            <w:tcBorders>
              <w:top w:val="nil"/>
              <w:left w:val="nil"/>
              <w:bottom w:val="single" w:sz="4" w:space="0" w:color="auto"/>
              <w:right w:val="single" w:sz="4" w:space="0" w:color="auto"/>
            </w:tcBorders>
            <w:shd w:val="clear" w:color="auto" w:fill="auto"/>
            <w:noWrap/>
            <w:hideMark/>
          </w:tcPr>
          <w:p w14:paraId="67B34065"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C000"/>
            <w:noWrap/>
            <w:hideMark/>
          </w:tcPr>
          <w:p w14:paraId="62BA6331" w14:textId="77777777" w:rsidR="00B026FC" w:rsidRPr="00BA4949" w:rsidRDefault="00B026FC" w:rsidP="00B026FC">
            <w:pPr>
              <w:jc w:val="center"/>
              <w:rPr>
                <w:rFonts w:ascii="Arial Narrow" w:hAnsi="Arial Narrow"/>
                <w:sz w:val="20"/>
              </w:rPr>
            </w:pPr>
            <w:r w:rsidRPr="00BA4949">
              <w:rPr>
                <w:rFonts w:ascii="Arial Narrow" w:hAnsi="Arial Narrow"/>
                <w:sz w:val="20"/>
              </w:rPr>
              <w:t>0.40</w:t>
            </w:r>
          </w:p>
        </w:tc>
      </w:tr>
      <w:tr w:rsidR="00B026FC" w:rsidRPr="00F352E1" w14:paraId="684412B7" w14:textId="77777777" w:rsidTr="00B026FC">
        <w:trPr>
          <w:trHeight w:hRule="exact" w:val="255"/>
        </w:trPr>
        <w:tc>
          <w:tcPr>
            <w:tcW w:w="771" w:type="dxa"/>
            <w:vMerge/>
            <w:tcBorders>
              <w:left w:val="single" w:sz="4" w:space="0" w:color="auto"/>
              <w:right w:val="single" w:sz="4" w:space="0" w:color="auto"/>
            </w:tcBorders>
            <w:vAlign w:val="center"/>
            <w:hideMark/>
          </w:tcPr>
          <w:p w14:paraId="7023EB3C"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2D0452E3"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19EC8C22"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22C8BAA3" w14:textId="77777777" w:rsidR="00B026FC" w:rsidRPr="00BA4949" w:rsidRDefault="00B026FC" w:rsidP="00B026FC">
            <w:pPr>
              <w:jc w:val="center"/>
              <w:rPr>
                <w:rFonts w:ascii="Arial Narrow" w:hAnsi="Arial Narrow"/>
                <w:sz w:val="20"/>
              </w:rPr>
            </w:pPr>
            <w:r w:rsidRPr="00BA4949">
              <w:rPr>
                <w:rFonts w:ascii="Arial Narrow" w:hAnsi="Arial Narrow"/>
                <w:sz w:val="20"/>
              </w:rPr>
              <w:t>0.06</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09ACC13B" w14:textId="77777777" w:rsidR="00B026FC" w:rsidRPr="00BA4949" w:rsidRDefault="00B026FC" w:rsidP="00B026FC">
            <w:pPr>
              <w:jc w:val="center"/>
              <w:rPr>
                <w:rFonts w:ascii="Arial Narrow" w:hAnsi="Arial Narrow"/>
                <w:sz w:val="20"/>
              </w:rPr>
            </w:pPr>
            <w:r w:rsidRPr="00BA4949">
              <w:rPr>
                <w:rFonts w:ascii="Arial Narrow" w:hAnsi="Arial Narrow"/>
                <w:sz w:val="20"/>
              </w:rPr>
              <w:t>0.11</w:t>
            </w:r>
          </w:p>
        </w:tc>
        <w:tc>
          <w:tcPr>
            <w:tcW w:w="1134" w:type="dxa"/>
            <w:tcBorders>
              <w:top w:val="nil"/>
              <w:left w:val="nil"/>
              <w:bottom w:val="single" w:sz="4" w:space="0" w:color="auto"/>
              <w:right w:val="single" w:sz="4" w:space="0" w:color="auto"/>
            </w:tcBorders>
            <w:shd w:val="clear" w:color="auto" w:fill="auto"/>
            <w:noWrap/>
            <w:hideMark/>
          </w:tcPr>
          <w:p w14:paraId="437DA8E2"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hideMark/>
          </w:tcPr>
          <w:p w14:paraId="46C4C5A3" w14:textId="77777777" w:rsidR="00B026FC" w:rsidRPr="00BA4949" w:rsidRDefault="00B026FC" w:rsidP="00B026FC">
            <w:pPr>
              <w:jc w:val="center"/>
              <w:rPr>
                <w:rFonts w:ascii="Arial Narrow" w:hAnsi="Arial Narrow"/>
                <w:sz w:val="20"/>
              </w:rPr>
            </w:pPr>
            <w:r w:rsidRPr="00BA4949">
              <w:rPr>
                <w:rFonts w:ascii="Arial Narrow" w:hAnsi="Arial Narrow"/>
                <w:sz w:val="20"/>
              </w:rPr>
              <w:t>0.69</w:t>
            </w:r>
          </w:p>
        </w:tc>
        <w:tc>
          <w:tcPr>
            <w:tcW w:w="1221" w:type="dxa"/>
            <w:tcBorders>
              <w:top w:val="nil"/>
              <w:left w:val="nil"/>
              <w:bottom w:val="single" w:sz="4" w:space="0" w:color="auto"/>
              <w:right w:val="single" w:sz="4" w:space="0" w:color="auto"/>
            </w:tcBorders>
            <w:shd w:val="clear" w:color="auto" w:fill="auto"/>
            <w:noWrap/>
            <w:hideMark/>
          </w:tcPr>
          <w:p w14:paraId="05DEC866"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C000"/>
            <w:noWrap/>
            <w:hideMark/>
          </w:tcPr>
          <w:p w14:paraId="4EBA9DC9" w14:textId="77777777" w:rsidR="00B026FC" w:rsidRPr="00BA4949" w:rsidRDefault="00B026FC" w:rsidP="00B026FC">
            <w:pPr>
              <w:jc w:val="center"/>
              <w:rPr>
                <w:rFonts w:ascii="Arial Narrow" w:hAnsi="Arial Narrow"/>
                <w:sz w:val="20"/>
              </w:rPr>
            </w:pPr>
            <w:r w:rsidRPr="00BA4949">
              <w:rPr>
                <w:rFonts w:ascii="Arial Narrow" w:hAnsi="Arial Narrow"/>
                <w:sz w:val="20"/>
              </w:rPr>
              <w:t>0.37</w:t>
            </w:r>
          </w:p>
        </w:tc>
      </w:tr>
      <w:tr w:rsidR="00B026FC" w:rsidRPr="00F352E1" w14:paraId="010D1C75" w14:textId="77777777" w:rsidTr="00BA4949">
        <w:trPr>
          <w:trHeight w:hRule="exact" w:val="255"/>
        </w:trPr>
        <w:tc>
          <w:tcPr>
            <w:tcW w:w="771" w:type="dxa"/>
            <w:vMerge/>
            <w:tcBorders>
              <w:left w:val="single" w:sz="4" w:space="0" w:color="auto"/>
              <w:right w:val="single" w:sz="4" w:space="0" w:color="auto"/>
            </w:tcBorders>
            <w:vAlign w:val="center"/>
            <w:hideMark/>
          </w:tcPr>
          <w:p w14:paraId="168EE980"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3A08003"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Dent</w:t>
            </w:r>
          </w:p>
        </w:tc>
        <w:tc>
          <w:tcPr>
            <w:tcW w:w="284" w:type="dxa"/>
            <w:tcBorders>
              <w:top w:val="nil"/>
              <w:left w:val="nil"/>
              <w:bottom w:val="single" w:sz="4" w:space="0" w:color="auto"/>
              <w:right w:val="single" w:sz="4" w:space="0" w:color="auto"/>
            </w:tcBorders>
            <w:shd w:val="clear" w:color="auto" w:fill="auto"/>
            <w:noWrap/>
            <w:vAlign w:val="center"/>
            <w:hideMark/>
          </w:tcPr>
          <w:p w14:paraId="3F5BA285"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hideMark/>
          </w:tcPr>
          <w:p w14:paraId="3976A155" w14:textId="77777777" w:rsidR="00B026FC" w:rsidRPr="00BA4949" w:rsidRDefault="00B026FC" w:rsidP="00B026FC">
            <w:pPr>
              <w:jc w:val="center"/>
              <w:rPr>
                <w:rFonts w:ascii="Arial Narrow" w:hAnsi="Arial Narrow"/>
                <w:sz w:val="20"/>
              </w:rPr>
            </w:pPr>
            <w:r w:rsidRPr="00BA4949">
              <w:rPr>
                <w:rFonts w:ascii="Arial Narrow" w:hAnsi="Arial Narrow"/>
                <w:sz w:val="20"/>
              </w:rPr>
              <w:t>0.47</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17180BA1" w14:textId="77777777" w:rsidR="00B026FC" w:rsidRPr="00BA4949" w:rsidRDefault="00B026FC" w:rsidP="00B026FC">
            <w:pPr>
              <w:jc w:val="center"/>
              <w:rPr>
                <w:rFonts w:ascii="Arial Narrow" w:hAnsi="Arial Narrow"/>
                <w:sz w:val="20"/>
              </w:rPr>
            </w:pPr>
            <w:r w:rsidRPr="00BA4949">
              <w:rPr>
                <w:rFonts w:ascii="Arial Narrow" w:hAnsi="Arial Narrow"/>
                <w:sz w:val="20"/>
              </w:rPr>
              <w:t>0.10</w:t>
            </w:r>
          </w:p>
        </w:tc>
        <w:tc>
          <w:tcPr>
            <w:tcW w:w="1134" w:type="dxa"/>
            <w:tcBorders>
              <w:top w:val="nil"/>
              <w:left w:val="nil"/>
              <w:bottom w:val="single" w:sz="4" w:space="0" w:color="auto"/>
              <w:right w:val="single" w:sz="4" w:space="0" w:color="auto"/>
            </w:tcBorders>
            <w:shd w:val="clear" w:color="auto" w:fill="auto"/>
            <w:noWrap/>
            <w:hideMark/>
          </w:tcPr>
          <w:p w14:paraId="1082D97C"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hideMark/>
          </w:tcPr>
          <w:p w14:paraId="06DE3428" w14:textId="77777777" w:rsidR="00B026FC" w:rsidRPr="00BA4949" w:rsidRDefault="00B026FC" w:rsidP="00B026FC">
            <w:pPr>
              <w:jc w:val="center"/>
              <w:rPr>
                <w:rFonts w:ascii="Arial Narrow" w:hAnsi="Arial Narrow"/>
                <w:sz w:val="20"/>
              </w:rPr>
            </w:pPr>
            <w:r w:rsidRPr="00BA4949">
              <w:rPr>
                <w:rFonts w:ascii="Arial Narrow" w:hAnsi="Arial Narrow"/>
                <w:sz w:val="20"/>
              </w:rPr>
              <w:t>0.65</w:t>
            </w:r>
          </w:p>
        </w:tc>
        <w:tc>
          <w:tcPr>
            <w:tcW w:w="1221" w:type="dxa"/>
            <w:tcBorders>
              <w:top w:val="nil"/>
              <w:left w:val="nil"/>
              <w:bottom w:val="single" w:sz="4" w:space="0" w:color="auto"/>
              <w:right w:val="single" w:sz="4" w:space="0" w:color="auto"/>
            </w:tcBorders>
            <w:shd w:val="clear" w:color="auto" w:fill="auto"/>
            <w:noWrap/>
            <w:hideMark/>
          </w:tcPr>
          <w:p w14:paraId="1583884C"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FF00"/>
            <w:noWrap/>
            <w:hideMark/>
          </w:tcPr>
          <w:p w14:paraId="72109410" w14:textId="77777777" w:rsidR="00B026FC" w:rsidRPr="00BA4949" w:rsidRDefault="00B026FC" w:rsidP="00B026FC">
            <w:pPr>
              <w:jc w:val="center"/>
              <w:rPr>
                <w:rFonts w:ascii="Arial Narrow" w:hAnsi="Arial Narrow"/>
                <w:sz w:val="20"/>
              </w:rPr>
            </w:pPr>
            <w:r w:rsidRPr="00BA4949">
              <w:rPr>
                <w:rFonts w:ascii="Arial Narrow" w:hAnsi="Arial Narrow"/>
                <w:sz w:val="20"/>
              </w:rPr>
              <w:t>0.44</w:t>
            </w:r>
          </w:p>
        </w:tc>
      </w:tr>
      <w:tr w:rsidR="00B026FC" w:rsidRPr="00F352E1" w14:paraId="60EF8949" w14:textId="77777777" w:rsidTr="00B026FC">
        <w:trPr>
          <w:trHeight w:hRule="exact" w:val="255"/>
        </w:trPr>
        <w:tc>
          <w:tcPr>
            <w:tcW w:w="771" w:type="dxa"/>
            <w:vMerge/>
            <w:tcBorders>
              <w:left w:val="single" w:sz="4" w:space="0" w:color="auto"/>
              <w:right w:val="single" w:sz="4" w:space="0" w:color="auto"/>
            </w:tcBorders>
            <w:vAlign w:val="center"/>
            <w:hideMark/>
          </w:tcPr>
          <w:p w14:paraId="6F0964AE"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6685F8C"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7D26584B"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43163EAA" w14:textId="77777777" w:rsidR="00B026FC" w:rsidRPr="00BA4949" w:rsidRDefault="00B026FC" w:rsidP="00B026FC">
            <w:pPr>
              <w:jc w:val="center"/>
              <w:rPr>
                <w:rFonts w:ascii="Arial Narrow" w:hAnsi="Arial Narrow"/>
                <w:sz w:val="20"/>
              </w:rPr>
            </w:pPr>
            <w:r w:rsidRPr="00BA4949">
              <w:rPr>
                <w:rFonts w:ascii="Arial Narrow" w:hAnsi="Arial Narrow"/>
                <w:sz w:val="20"/>
              </w:rPr>
              <w:t>0.48</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476EDEB1" w14:textId="77777777" w:rsidR="00B026FC" w:rsidRPr="00BA4949" w:rsidRDefault="00B026FC" w:rsidP="00B026FC">
            <w:pPr>
              <w:jc w:val="center"/>
              <w:rPr>
                <w:rFonts w:ascii="Arial Narrow" w:hAnsi="Arial Narrow"/>
                <w:sz w:val="20"/>
              </w:rPr>
            </w:pPr>
            <w:r w:rsidRPr="00BA4949">
              <w:rPr>
                <w:rFonts w:ascii="Arial Narrow" w:hAnsi="Arial Narrow"/>
                <w:sz w:val="20"/>
              </w:rPr>
              <w:t>0.14</w:t>
            </w:r>
          </w:p>
        </w:tc>
        <w:tc>
          <w:tcPr>
            <w:tcW w:w="1134" w:type="dxa"/>
            <w:tcBorders>
              <w:top w:val="nil"/>
              <w:left w:val="nil"/>
              <w:bottom w:val="single" w:sz="4" w:space="0" w:color="auto"/>
              <w:right w:val="single" w:sz="4" w:space="0" w:color="auto"/>
            </w:tcBorders>
            <w:shd w:val="clear" w:color="auto" w:fill="auto"/>
            <w:noWrap/>
            <w:hideMark/>
          </w:tcPr>
          <w:p w14:paraId="03620B77"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hideMark/>
          </w:tcPr>
          <w:p w14:paraId="635E7B91"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221" w:type="dxa"/>
            <w:tcBorders>
              <w:top w:val="nil"/>
              <w:left w:val="nil"/>
              <w:bottom w:val="single" w:sz="4" w:space="0" w:color="auto"/>
              <w:right w:val="single" w:sz="4" w:space="0" w:color="auto"/>
            </w:tcBorders>
            <w:shd w:val="clear" w:color="auto" w:fill="auto"/>
            <w:noWrap/>
            <w:hideMark/>
          </w:tcPr>
          <w:p w14:paraId="3AB75161"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92D050"/>
            <w:noWrap/>
            <w:hideMark/>
          </w:tcPr>
          <w:p w14:paraId="25B9B8B4" w14:textId="77777777" w:rsidR="00B026FC" w:rsidRPr="00BA4949" w:rsidRDefault="00B026FC" w:rsidP="00B026FC">
            <w:pPr>
              <w:jc w:val="center"/>
              <w:rPr>
                <w:rFonts w:ascii="Arial Narrow" w:hAnsi="Arial Narrow"/>
                <w:sz w:val="20"/>
              </w:rPr>
            </w:pPr>
            <w:r w:rsidRPr="00BA4949">
              <w:rPr>
                <w:rFonts w:ascii="Arial Narrow" w:hAnsi="Arial Narrow"/>
                <w:sz w:val="20"/>
              </w:rPr>
              <w:t>0.62</w:t>
            </w:r>
          </w:p>
        </w:tc>
      </w:tr>
      <w:tr w:rsidR="00B026FC" w:rsidRPr="00F352E1" w14:paraId="18A512C2" w14:textId="77777777" w:rsidTr="00BA4949">
        <w:trPr>
          <w:trHeight w:hRule="exact" w:val="255"/>
        </w:trPr>
        <w:tc>
          <w:tcPr>
            <w:tcW w:w="771" w:type="dxa"/>
            <w:vMerge/>
            <w:tcBorders>
              <w:left w:val="single" w:sz="4" w:space="0" w:color="auto"/>
              <w:right w:val="single" w:sz="4" w:space="0" w:color="auto"/>
            </w:tcBorders>
            <w:vAlign w:val="center"/>
            <w:hideMark/>
          </w:tcPr>
          <w:p w14:paraId="6072A2B0"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D82CBB"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Shute Harbour</w:t>
            </w:r>
          </w:p>
        </w:tc>
        <w:tc>
          <w:tcPr>
            <w:tcW w:w="284" w:type="dxa"/>
            <w:tcBorders>
              <w:top w:val="nil"/>
              <w:left w:val="nil"/>
              <w:bottom w:val="single" w:sz="4" w:space="0" w:color="auto"/>
              <w:right w:val="single" w:sz="4" w:space="0" w:color="auto"/>
            </w:tcBorders>
            <w:shd w:val="clear" w:color="auto" w:fill="auto"/>
            <w:noWrap/>
            <w:vAlign w:val="center"/>
            <w:hideMark/>
          </w:tcPr>
          <w:p w14:paraId="0838BFE7"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hideMark/>
          </w:tcPr>
          <w:p w14:paraId="0426BCB7"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5D226A02" w14:textId="77777777" w:rsidR="00B026FC" w:rsidRPr="00BA4949" w:rsidRDefault="00B026FC" w:rsidP="00B026FC">
            <w:pPr>
              <w:jc w:val="center"/>
              <w:rPr>
                <w:rFonts w:ascii="Arial Narrow" w:hAnsi="Arial Narrow"/>
                <w:sz w:val="20"/>
              </w:rPr>
            </w:pPr>
            <w:r w:rsidRPr="00BA4949">
              <w:rPr>
                <w:rFonts w:ascii="Arial Narrow" w:hAnsi="Arial Narrow"/>
                <w:sz w:val="20"/>
              </w:rPr>
              <w:t>0.17</w:t>
            </w:r>
          </w:p>
        </w:tc>
        <w:tc>
          <w:tcPr>
            <w:tcW w:w="1134" w:type="dxa"/>
            <w:tcBorders>
              <w:top w:val="nil"/>
              <w:left w:val="nil"/>
              <w:bottom w:val="single" w:sz="4" w:space="0" w:color="auto"/>
              <w:right w:val="single" w:sz="4" w:space="0" w:color="auto"/>
            </w:tcBorders>
            <w:shd w:val="clear" w:color="auto" w:fill="auto"/>
            <w:noWrap/>
            <w:hideMark/>
          </w:tcPr>
          <w:p w14:paraId="0C49AB0B"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hideMark/>
          </w:tcPr>
          <w:p w14:paraId="01337016" w14:textId="77777777" w:rsidR="00B026FC" w:rsidRPr="00BA4949" w:rsidRDefault="00B026FC" w:rsidP="00B026FC">
            <w:pPr>
              <w:jc w:val="center"/>
              <w:rPr>
                <w:rFonts w:ascii="Arial Narrow" w:hAnsi="Arial Narrow"/>
                <w:sz w:val="20"/>
              </w:rPr>
            </w:pPr>
            <w:r w:rsidRPr="00BA4949">
              <w:rPr>
                <w:rFonts w:ascii="Arial Narrow" w:hAnsi="Arial Narrow"/>
                <w:sz w:val="20"/>
              </w:rPr>
              <w:t>0.69</w:t>
            </w:r>
          </w:p>
        </w:tc>
        <w:tc>
          <w:tcPr>
            <w:tcW w:w="1221" w:type="dxa"/>
            <w:tcBorders>
              <w:top w:val="nil"/>
              <w:left w:val="nil"/>
              <w:bottom w:val="single" w:sz="4" w:space="0" w:color="auto"/>
              <w:right w:val="single" w:sz="4" w:space="0" w:color="auto"/>
            </w:tcBorders>
            <w:shd w:val="clear" w:color="auto" w:fill="auto"/>
            <w:noWrap/>
            <w:hideMark/>
          </w:tcPr>
          <w:p w14:paraId="2D5F9A1D"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92D050"/>
            <w:noWrap/>
            <w:hideMark/>
          </w:tcPr>
          <w:p w14:paraId="47A82520" w14:textId="77777777" w:rsidR="00B026FC" w:rsidRPr="00BA4949" w:rsidRDefault="00B026FC" w:rsidP="00B026FC">
            <w:pPr>
              <w:jc w:val="center"/>
              <w:rPr>
                <w:rFonts w:ascii="Arial Narrow" w:hAnsi="Arial Narrow"/>
                <w:sz w:val="20"/>
              </w:rPr>
            </w:pPr>
            <w:r w:rsidRPr="00BA4949">
              <w:rPr>
                <w:rFonts w:ascii="Arial Narrow" w:hAnsi="Arial Narrow"/>
                <w:sz w:val="20"/>
              </w:rPr>
              <w:t>0.67</w:t>
            </w:r>
          </w:p>
        </w:tc>
      </w:tr>
      <w:tr w:rsidR="00B026FC" w:rsidRPr="00F352E1" w14:paraId="2DF8DA9B" w14:textId="77777777" w:rsidTr="00BA4949">
        <w:trPr>
          <w:trHeight w:hRule="exact" w:val="255"/>
        </w:trPr>
        <w:tc>
          <w:tcPr>
            <w:tcW w:w="771" w:type="dxa"/>
            <w:vMerge/>
            <w:tcBorders>
              <w:left w:val="single" w:sz="4" w:space="0" w:color="auto"/>
              <w:right w:val="single" w:sz="4" w:space="0" w:color="auto"/>
            </w:tcBorders>
            <w:vAlign w:val="center"/>
            <w:hideMark/>
          </w:tcPr>
          <w:p w14:paraId="0FCD5B45"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43321C9"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48A3ECF1"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53C5B9FC" w14:textId="77777777" w:rsidR="00B026FC" w:rsidRPr="00BA4949" w:rsidRDefault="00B026FC" w:rsidP="00B026FC">
            <w:pPr>
              <w:jc w:val="center"/>
              <w:rPr>
                <w:rFonts w:ascii="Arial Narrow" w:hAnsi="Arial Narrow"/>
                <w:sz w:val="20"/>
              </w:rPr>
            </w:pPr>
            <w:r w:rsidRPr="00BA4949">
              <w:rPr>
                <w:rFonts w:ascii="Arial Narrow" w:hAnsi="Arial Narrow"/>
                <w:sz w:val="20"/>
              </w:rPr>
              <w:t>0.23</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637CC99E" w14:textId="77777777" w:rsidR="00B026FC" w:rsidRPr="00BA4949" w:rsidRDefault="00B026FC" w:rsidP="00B026FC">
            <w:pPr>
              <w:jc w:val="center"/>
              <w:rPr>
                <w:rFonts w:ascii="Arial Narrow" w:hAnsi="Arial Narrow"/>
                <w:sz w:val="20"/>
              </w:rPr>
            </w:pPr>
            <w:r w:rsidRPr="00BA4949">
              <w:rPr>
                <w:rFonts w:ascii="Arial Narrow" w:hAnsi="Arial Narrow"/>
                <w:sz w:val="20"/>
              </w:rPr>
              <w:t>0.25</w:t>
            </w:r>
          </w:p>
        </w:tc>
        <w:tc>
          <w:tcPr>
            <w:tcW w:w="1134" w:type="dxa"/>
            <w:tcBorders>
              <w:top w:val="nil"/>
              <w:left w:val="nil"/>
              <w:bottom w:val="single" w:sz="4" w:space="0" w:color="auto"/>
              <w:right w:val="single" w:sz="4" w:space="0" w:color="auto"/>
            </w:tcBorders>
            <w:shd w:val="clear" w:color="auto" w:fill="auto"/>
            <w:noWrap/>
            <w:hideMark/>
          </w:tcPr>
          <w:p w14:paraId="454FA0C5"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hideMark/>
          </w:tcPr>
          <w:p w14:paraId="1AD76E66"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221" w:type="dxa"/>
            <w:tcBorders>
              <w:top w:val="nil"/>
              <w:left w:val="nil"/>
              <w:bottom w:val="single" w:sz="4" w:space="0" w:color="auto"/>
              <w:right w:val="single" w:sz="4" w:space="0" w:color="auto"/>
            </w:tcBorders>
            <w:shd w:val="clear" w:color="auto" w:fill="auto"/>
            <w:noWrap/>
            <w:hideMark/>
          </w:tcPr>
          <w:p w14:paraId="55B307CF"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FFFF00"/>
            <w:noWrap/>
            <w:hideMark/>
          </w:tcPr>
          <w:p w14:paraId="503F7859" w14:textId="77777777" w:rsidR="00B026FC" w:rsidRPr="00BA4949" w:rsidRDefault="00B026FC" w:rsidP="00B026FC">
            <w:pPr>
              <w:jc w:val="center"/>
              <w:rPr>
                <w:rFonts w:ascii="Arial Narrow" w:hAnsi="Arial Narrow"/>
                <w:sz w:val="20"/>
              </w:rPr>
            </w:pPr>
            <w:r w:rsidRPr="00BA4949">
              <w:rPr>
                <w:rFonts w:ascii="Arial Narrow" w:hAnsi="Arial Narrow"/>
                <w:sz w:val="20"/>
              </w:rPr>
              <w:t>0.60</w:t>
            </w:r>
          </w:p>
        </w:tc>
      </w:tr>
      <w:tr w:rsidR="00B026FC" w:rsidRPr="00F352E1" w14:paraId="5A730099" w14:textId="77777777" w:rsidTr="00BA4949">
        <w:trPr>
          <w:trHeight w:hRule="exact" w:val="255"/>
        </w:trPr>
        <w:tc>
          <w:tcPr>
            <w:tcW w:w="771" w:type="dxa"/>
            <w:vMerge/>
            <w:tcBorders>
              <w:left w:val="single" w:sz="4" w:space="0" w:color="auto"/>
              <w:right w:val="single" w:sz="4" w:space="0" w:color="auto"/>
            </w:tcBorders>
            <w:vAlign w:val="center"/>
            <w:hideMark/>
          </w:tcPr>
          <w:p w14:paraId="3EE731D8"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66FF486"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Pine</w:t>
            </w:r>
          </w:p>
        </w:tc>
        <w:tc>
          <w:tcPr>
            <w:tcW w:w="284" w:type="dxa"/>
            <w:tcBorders>
              <w:top w:val="nil"/>
              <w:left w:val="nil"/>
              <w:bottom w:val="single" w:sz="4" w:space="0" w:color="auto"/>
              <w:right w:val="single" w:sz="4" w:space="0" w:color="auto"/>
            </w:tcBorders>
            <w:shd w:val="clear" w:color="auto" w:fill="auto"/>
            <w:noWrap/>
            <w:vAlign w:val="center"/>
            <w:hideMark/>
          </w:tcPr>
          <w:p w14:paraId="50049657"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hideMark/>
          </w:tcPr>
          <w:p w14:paraId="5B086364" w14:textId="77777777" w:rsidR="00B026FC" w:rsidRPr="00BA4949" w:rsidRDefault="00B026FC" w:rsidP="00B026FC">
            <w:pPr>
              <w:jc w:val="center"/>
              <w:rPr>
                <w:rFonts w:ascii="Arial Narrow" w:hAnsi="Arial Narrow"/>
                <w:sz w:val="20"/>
              </w:rPr>
            </w:pPr>
            <w:r w:rsidRPr="00BA4949">
              <w:rPr>
                <w:rFonts w:ascii="Arial Narrow" w:hAnsi="Arial Narrow"/>
                <w:sz w:val="20"/>
              </w:rPr>
              <w:t>0.19</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6BD9E0B9" w14:textId="77777777" w:rsidR="00B026FC" w:rsidRPr="00BA4949" w:rsidRDefault="00B026FC" w:rsidP="00B026FC">
            <w:pPr>
              <w:jc w:val="center"/>
              <w:rPr>
                <w:rFonts w:ascii="Arial Narrow" w:hAnsi="Arial Narrow"/>
                <w:sz w:val="20"/>
              </w:rPr>
            </w:pPr>
            <w:r w:rsidRPr="00BA4949">
              <w:rPr>
                <w:rFonts w:ascii="Arial Narrow" w:hAnsi="Arial Narrow"/>
                <w:sz w:val="20"/>
              </w:rPr>
              <w:t>0.16</w:t>
            </w:r>
          </w:p>
        </w:tc>
        <w:tc>
          <w:tcPr>
            <w:tcW w:w="1134" w:type="dxa"/>
            <w:tcBorders>
              <w:top w:val="nil"/>
              <w:left w:val="nil"/>
              <w:bottom w:val="single" w:sz="4" w:space="0" w:color="auto"/>
              <w:right w:val="single" w:sz="4" w:space="0" w:color="auto"/>
            </w:tcBorders>
            <w:shd w:val="clear" w:color="auto" w:fill="auto"/>
            <w:noWrap/>
            <w:hideMark/>
          </w:tcPr>
          <w:p w14:paraId="208EFA8B"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hideMark/>
          </w:tcPr>
          <w:p w14:paraId="282E582D" w14:textId="77777777" w:rsidR="00B026FC" w:rsidRPr="00BA4949" w:rsidRDefault="00B026FC" w:rsidP="00B026FC">
            <w:pPr>
              <w:jc w:val="center"/>
              <w:rPr>
                <w:rFonts w:ascii="Arial Narrow" w:hAnsi="Arial Narrow"/>
                <w:sz w:val="20"/>
              </w:rPr>
            </w:pPr>
            <w:r w:rsidRPr="00BA4949">
              <w:rPr>
                <w:rFonts w:ascii="Arial Narrow" w:hAnsi="Arial Narrow"/>
                <w:sz w:val="20"/>
              </w:rPr>
              <w:t>0.33</w:t>
            </w:r>
          </w:p>
        </w:tc>
        <w:tc>
          <w:tcPr>
            <w:tcW w:w="1221" w:type="dxa"/>
            <w:tcBorders>
              <w:top w:val="nil"/>
              <w:left w:val="nil"/>
              <w:bottom w:val="single" w:sz="4" w:space="0" w:color="auto"/>
              <w:right w:val="single" w:sz="4" w:space="0" w:color="auto"/>
            </w:tcBorders>
            <w:shd w:val="clear" w:color="auto" w:fill="auto"/>
            <w:noWrap/>
            <w:hideMark/>
          </w:tcPr>
          <w:p w14:paraId="14F97A3C"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FFFF00"/>
            <w:noWrap/>
            <w:hideMark/>
          </w:tcPr>
          <w:p w14:paraId="41D31901" w14:textId="77777777" w:rsidR="00B026FC" w:rsidRPr="00BA4949" w:rsidRDefault="00B026FC" w:rsidP="00B026FC">
            <w:pPr>
              <w:jc w:val="center"/>
              <w:rPr>
                <w:rFonts w:ascii="Arial Narrow" w:hAnsi="Arial Narrow"/>
                <w:sz w:val="20"/>
              </w:rPr>
            </w:pPr>
            <w:r w:rsidRPr="00BA4949">
              <w:rPr>
                <w:rFonts w:ascii="Arial Narrow" w:hAnsi="Arial Narrow"/>
                <w:sz w:val="20"/>
              </w:rPr>
              <w:t>0.53</w:t>
            </w:r>
          </w:p>
        </w:tc>
      </w:tr>
      <w:tr w:rsidR="00B026FC" w:rsidRPr="00F352E1" w14:paraId="60475CE1" w14:textId="77777777" w:rsidTr="00BA4949">
        <w:trPr>
          <w:trHeight w:hRule="exact" w:val="255"/>
        </w:trPr>
        <w:tc>
          <w:tcPr>
            <w:tcW w:w="771" w:type="dxa"/>
            <w:vMerge/>
            <w:tcBorders>
              <w:left w:val="single" w:sz="4" w:space="0" w:color="auto"/>
              <w:right w:val="single" w:sz="4" w:space="0" w:color="auto"/>
            </w:tcBorders>
            <w:vAlign w:val="center"/>
            <w:hideMark/>
          </w:tcPr>
          <w:p w14:paraId="08EAC121"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30FFD6C5"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61DF1DDA"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47892FAD" w14:textId="77777777" w:rsidR="00B026FC" w:rsidRPr="00BA4949" w:rsidRDefault="00B026FC" w:rsidP="00B026FC">
            <w:pPr>
              <w:jc w:val="center"/>
              <w:rPr>
                <w:rFonts w:ascii="Arial Narrow" w:hAnsi="Arial Narrow"/>
                <w:sz w:val="20"/>
              </w:rPr>
            </w:pPr>
            <w:r w:rsidRPr="00BA4949">
              <w:rPr>
                <w:rFonts w:ascii="Arial Narrow" w:hAnsi="Arial Narrow"/>
                <w:sz w:val="20"/>
              </w:rPr>
              <w:t>0.27</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74F6E6DF" w14:textId="77777777" w:rsidR="00B026FC" w:rsidRPr="00BA4949" w:rsidRDefault="00B026FC" w:rsidP="00B026FC">
            <w:pPr>
              <w:jc w:val="center"/>
              <w:rPr>
                <w:rFonts w:ascii="Arial Narrow" w:hAnsi="Arial Narrow"/>
                <w:sz w:val="20"/>
              </w:rPr>
            </w:pPr>
            <w:r w:rsidRPr="00BA4949">
              <w:rPr>
                <w:rFonts w:ascii="Arial Narrow" w:hAnsi="Arial Narrow"/>
                <w:sz w:val="20"/>
              </w:rPr>
              <w:t>0.20</w:t>
            </w:r>
          </w:p>
        </w:tc>
        <w:tc>
          <w:tcPr>
            <w:tcW w:w="1134" w:type="dxa"/>
            <w:tcBorders>
              <w:top w:val="nil"/>
              <w:left w:val="nil"/>
              <w:bottom w:val="single" w:sz="4" w:space="0" w:color="auto"/>
              <w:right w:val="single" w:sz="4" w:space="0" w:color="auto"/>
            </w:tcBorders>
            <w:shd w:val="clear" w:color="auto" w:fill="auto"/>
            <w:noWrap/>
            <w:hideMark/>
          </w:tcPr>
          <w:p w14:paraId="3F03EFD9"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hideMark/>
          </w:tcPr>
          <w:p w14:paraId="151534F9" w14:textId="77777777" w:rsidR="00B026FC" w:rsidRPr="00BA4949" w:rsidRDefault="00B026FC" w:rsidP="00B026FC">
            <w:pPr>
              <w:jc w:val="center"/>
              <w:rPr>
                <w:rFonts w:ascii="Arial Narrow" w:hAnsi="Arial Narrow"/>
                <w:sz w:val="20"/>
              </w:rPr>
            </w:pPr>
            <w:r w:rsidRPr="00BA4949">
              <w:rPr>
                <w:rFonts w:ascii="Arial Narrow" w:hAnsi="Arial Narrow"/>
                <w:sz w:val="20"/>
              </w:rPr>
              <w:t>0.22</w:t>
            </w:r>
          </w:p>
        </w:tc>
        <w:tc>
          <w:tcPr>
            <w:tcW w:w="1221" w:type="dxa"/>
            <w:tcBorders>
              <w:top w:val="nil"/>
              <w:left w:val="nil"/>
              <w:bottom w:val="single" w:sz="4" w:space="0" w:color="auto"/>
              <w:right w:val="single" w:sz="4" w:space="0" w:color="auto"/>
            </w:tcBorders>
            <w:shd w:val="clear" w:color="auto" w:fill="auto"/>
            <w:noWrap/>
            <w:hideMark/>
          </w:tcPr>
          <w:p w14:paraId="699DDF77"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FF00"/>
            <w:noWrap/>
            <w:hideMark/>
          </w:tcPr>
          <w:p w14:paraId="6892BC1C" w14:textId="77777777" w:rsidR="00B026FC" w:rsidRPr="00BA4949" w:rsidRDefault="00B026FC" w:rsidP="00B026FC">
            <w:pPr>
              <w:jc w:val="center"/>
              <w:rPr>
                <w:rFonts w:ascii="Arial Narrow" w:hAnsi="Arial Narrow"/>
                <w:sz w:val="20"/>
              </w:rPr>
            </w:pPr>
            <w:r w:rsidRPr="00BA4949">
              <w:rPr>
                <w:rFonts w:ascii="Arial Narrow" w:hAnsi="Arial Narrow"/>
                <w:sz w:val="20"/>
              </w:rPr>
              <w:t>0.44</w:t>
            </w:r>
          </w:p>
        </w:tc>
      </w:tr>
      <w:tr w:rsidR="00B026FC" w:rsidRPr="00F352E1" w14:paraId="6D42D677" w14:textId="77777777" w:rsidTr="00B026FC">
        <w:trPr>
          <w:trHeight w:hRule="exact" w:val="255"/>
        </w:trPr>
        <w:tc>
          <w:tcPr>
            <w:tcW w:w="771" w:type="dxa"/>
            <w:vMerge/>
            <w:tcBorders>
              <w:left w:val="single" w:sz="4" w:space="0" w:color="auto"/>
              <w:right w:val="single" w:sz="4" w:space="0" w:color="auto"/>
            </w:tcBorders>
            <w:vAlign w:val="center"/>
            <w:hideMark/>
          </w:tcPr>
          <w:p w14:paraId="2CC3145B"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2F0C11F"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Seaforth</w:t>
            </w:r>
          </w:p>
        </w:tc>
        <w:tc>
          <w:tcPr>
            <w:tcW w:w="284" w:type="dxa"/>
            <w:tcBorders>
              <w:top w:val="nil"/>
              <w:left w:val="nil"/>
              <w:bottom w:val="single" w:sz="4" w:space="0" w:color="auto"/>
              <w:right w:val="single" w:sz="4" w:space="0" w:color="auto"/>
            </w:tcBorders>
            <w:shd w:val="clear" w:color="auto" w:fill="auto"/>
            <w:noWrap/>
            <w:vAlign w:val="center"/>
            <w:hideMark/>
          </w:tcPr>
          <w:p w14:paraId="792DA8D6"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hideMark/>
          </w:tcPr>
          <w:p w14:paraId="67B30D21" w14:textId="77777777" w:rsidR="00B026FC" w:rsidRPr="00BA4949" w:rsidRDefault="00B026FC" w:rsidP="00B026FC">
            <w:pPr>
              <w:jc w:val="center"/>
              <w:rPr>
                <w:rFonts w:ascii="Arial Narrow" w:hAnsi="Arial Narrow"/>
                <w:sz w:val="20"/>
              </w:rPr>
            </w:pPr>
            <w:r w:rsidRPr="00BA4949">
              <w:rPr>
                <w:rFonts w:ascii="Arial Narrow" w:hAnsi="Arial Narrow"/>
                <w:sz w:val="20"/>
              </w:rPr>
              <w:t>0.24</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5B0BA0B3" w14:textId="77777777" w:rsidR="00B026FC" w:rsidRPr="00BA4949" w:rsidRDefault="00B026FC" w:rsidP="00B026FC">
            <w:pPr>
              <w:jc w:val="center"/>
              <w:rPr>
                <w:rFonts w:ascii="Arial Narrow" w:hAnsi="Arial Narrow"/>
                <w:sz w:val="20"/>
              </w:rPr>
            </w:pPr>
            <w:r w:rsidRPr="00BA4949">
              <w:rPr>
                <w:rFonts w:ascii="Arial Narrow" w:hAnsi="Arial Narrow"/>
                <w:sz w:val="20"/>
              </w:rPr>
              <w:t>0.39</w:t>
            </w:r>
          </w:p>
        </w:tc>
        <w:tc>
          <w:tcPr>
            <w:tcW w:w="1134" w:type="dxa"/>
            <w:tcBorders>
              <w:top w:val="nil"/>
              <w:left w:val="nil"/>
              <w:bottom w:val="single" w:sz="4" w:space="0" w:color="auto"/>
              <w:right w:val="single" w:sz="4" w:space="0" w:color="auto"/>
            </w:tcBorders>
            <w:shd w:val="clear" w:color="auto" w:fill="auto"/>
            <w:noWrap/>
            <w:hideMark/>
          </w:tcPr>
          <w:p w14:paraId="6820DA93"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4F6E3AA7" w14:textId="77777777" w:rsidR="00B026FC" w:rsidRPr="00BA4949" w:rsidRDefault="00B026FC" w:rsidP="00B026FC">
            <w:pPr>
              <w:jc w:val="center"/>
              <w:rPr>
                <w:rFonts w:ascii="Arial Narrow" w:hAnsi="Arial Narrow"/>
                <w:sz w:val="20"/>
              </w:rPr>
            </w:pPr>
            <w:r w:rsidRPr="00BA4949">
              <w:rPr>
                <w:rFonts w:ascii="Arial Narrow" w:hAnsi="Arial Narrow"/>
                <w:sz w:val="20"/>
              </w:rPr>
              <w:t>0.41</w:t>
            </w:r>
          </w:p>
        </w:tc>
        <w:tc>
          <w:tcPr>
            <w:tcW w:w="1221" w:type="dxa"/>
            <w:tcBorders>
              <w:top w:val="nil"/>
              <w:left w:val="nil"/>
              <w:bottom w:val="single" w:sz="4" w:space="0" w:color="auto"/>
              <w:right w:val="single" w:sz="4" w:space="0" w:color="auto"/>
            </w:tcBorders>
            <w:shd w:val="clear" w:color="auto" w:fill="auto"/>
            <w:noWrap/>
            <w:hideMark/>
          </w:tcPr>
          <w:p w14:paraId="52CCFF2B"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FF00"/>
            <w:noWrap/>
            <w:hideMark/>
          </w:tcPr>
          <w:p w14:paraId="1D66010B" w14:textId="77777777" w:rsidR="00B026FC" w:rsidRPr="00BA4949" w:rsidRDefault="00B026FC" w:rsidP="00B026FC">
            <w:pPr>
              <w:jc w:val="center"/>
              <w:rPr>
                <w:rFonts w:ascii="Arial Narrow" w:hAnsi="Arial Narrow"/>
                <w:sz w:val="20"/>
              </w:rPr>
            </w:pPr>
            <w:r w:rsidRPr="00BA4949">
              <w:rPr>
                <w:rFonts w:ascii="Arial Narrow" w:hAnsi="Arial Narrow"/>
                <w:sz w:val="20"/>
              </w:rPr>
              <w:t>0.31</w:t>
            </w:r>
          </w:p>
        </w:tc>
      </w:tr>
      <w:tr w:rsidR="00B026FC" w:rsidRPr="00F352E1" w14:paraId="521238C1" w14:textId="77777777" w:rsidTr="00BA4949">
        <w:trPr>
          <w:trHeight w:hRule="exact" w:val="255"/>
        </w:trPr>
        <w:tc>
          <w:tcPr>
            <w:tcW w:w="771" w:type="dxa"/>
            <w:vMerge/>
            <w:tcBorders>
              <w:left w:val="single" w:sz="4" w:space="0" w:color="auto"/>
              <w:bottom w:val="single" w:sz="4" w:space="0" w:color="auto"/>
              <w:right w:val="single" w:sz="4" w:space="0" w:color="auto"/>
            </w:tcBorders>
            <w:vAlign w:val="center"/>
            <w:hideMark/>
          </w:tcPr>
          <w:p w14:paraId="382A7A68"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0A6C644"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2910FA6B"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0B639AF0" w14:textId="77777777" w:rsidR="00B026FC" w:rsidRPr="00BA4949" w:rsidRDefault="00B026FC" w:rsidP="00B026FC">
            <w:pPr>
              <w:jc w:val="center"/>
              <w:rPr>
                <w:rFonts w:ascii="Arial Narrow" w:hAnsi="Arial Narrow"/>
                <w:sz w:val="20"/>
              </w:rPr>
            </w:pPr>
            <w:r w:rsidRPr="00BA4949">
              <w:rPr>
                <w:rFonts w:ascii="Arial Narrow" w:hAnsi="Arial Narrow"/>
                <w:sz w:val="20"/>
              </w:rPr>
              <w:t>0.20</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073BA848" w14:textId="77777777" w:rsidR="00B026FC" w:rsidRPr="00BA4949" w:rsidRDefault="00B026FC" w:rsidP="00B026FC">
            <w:pPr>
              <w:jc w:val="center"/>
              <w:rPr>
                <w:rFonts w:ascii="Arial Narrow" w:hAnsi="Arial Narrow"/>
                <w:sz w:val="20"/>
              </w:rPr>
            </w:pPr>
            <w:r w:rsidRPr="00BA4949">
              <w:rPr>
                <w:rFonts w:ascii="Arial Narrow" w:hAnsi="Arial Narrow"/>
                <w:sz w:val="20"/>
              </w:rPr>
              <w:t>0.42</w:t>
            </w:r>
          </w:p>
        </w:tc>
        <w:tc>
          <w:tcPr>
            <w:tcW w:w="1134" w:type="dxa"/>
            <w:tcBorders>
              <w:top w:val="nil"/>
              <w:left w:val="nil"/>
              <w:bottom w:val="single" w:sz="4" w:space="0" w:color="auto"/>
              <w:right w:val="single" w:sz="4" w:space="0" w:color="auto"/>
            </w:tcBorders>
            <w:shd w:val="clear" w:color="auto" w:fill="auto"/>
            <w:noWrap/>
            <w:hideMark/>
          </w:tcPr>
          <w:p w14:paraId="16B38363" w14:textId="77777777" w:rsidR="00B026FC" w:rsidRPr="00BA4949" w:rsidRDefault="00B026FC" w:rsidP="00B026FC">
            <w:pPr>
              <w:jc w:val="center"/>
              <w:rPr>
                <w:rFonts w:ascii="Arial Narrow" w:hAnsi="Arial Narrow"/>
                <w:sz w:val="20"/>
              </w:rPr>
            </w:pPr>
            <w:r w:rsidRPr="00BA4949">
              <w:rPr>
                <w:rFonts w:ascii="Arial Narrow" w:hAnsi="Arial Narrow"/>
                <w:sz w:val="20"/>
              </w:rPr>
              <w:t>0.82</w:t>
            </w:r>
          </w:p>
        </w:tc>
        <w:tc>
          <w:tcPr>
            <w:tcW w:w="1047" w:type="dxa"/>
            <w:tcBorders>
              <w:top w:val="nil"/>
              <w:left w:val="nil"/>
              <w:bottom w:val="single" w:sz="4" w:space="0" w:color="auto"/>
              <w:right w:val="single" w:sz="4" w:space="0" w:color="auto"/>
            </w:tcBorders>
            <w:shd w:val="clear" w:color="auto" w:fill="auto"/>
            <w:noWrap/>
            <w:hideMark/>
          </w:tcPr>
          <w:p w14:paraId="7FC42D66"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221" w:type="dxa"/>
            <w:tcBorders>
              <w:top w:val="nil"/>
              <w:left w:val="nil"/>
              <w:bottom w:val="single" w:sz="4" w:space="0" w:color="auto"/>
              <w:right w:val="single" w:sz="4" w:space="0" w:color="auto"/>
            </w:tcBorders>
            <w:shd w:val="clear" w:color="auto" w:fill="auto"/>
            <w:noWrap/>
            <w:hideMark/>
          </w:tcPr>
          <w:p w14:paraId="240EAA5A"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FFFF00"/>
            <w:noWrap/>
            <w:hideMark/>
          </w:tcPr>
          <w:p w14:paraId="61AA01C1" w14:textId="77777777" w:rsidR="00B026FC" w:rsidRPr="00BA4949" w:rsidRDefault="00B026FC" w:rsidP="00B026FC">
            <w:pPr>
              <w:jc w:val="center"/>
              <w:rPr>
                <w:rFonts w:ascii="Arial Narrow" w:hAnsi="Arial Narrow"/>
                <w:sz w:val="20"/>
              </w:rPr>
            </w:pPr>
            <w:r w:rsidRPr="00BA4949">
              <w:rPr>
                <w:rFonts w:ascii="Arial Narrow" w:hAnsi="Arial Narrow"/>
                <w:sz w:val="20"/>
              </w:rPr>
              <w:t>0.49</w:t>
            </w:r>
          </w:p>
        </w:tc>
      </w:tr>
      <w:tr w:rsidR="006C4059" w:rsidRPr="00F352E1" w14:paraId="67C5D397" w14:textId="77777777" w:rsidTr="00BA4949">
        <w:trPr>
          <w:cantSplit/>
          <w:trHeight w:hRule="exact" w:val="255"/>
        </w:trPr>
        <w:tc>
          <w:tcPr>
            <w:tcW w:w="2631" w:type="dxa"/>
            <w:gridSpan w:val="3"/>
            <w:tcBorders>
              <w:top w:val="nil"/>
              <w:left w:val="single" w:sz="4" w:space="0" w:color="auto"/>
              <w:bottom w:val="single" w:sz="4" w:space="0" w:color="auto"/>
              <w:right w:val="single" w:sz="4" w:space="0" w:color="auto"/>
            </w:tcBorders>
            <w:shd w:val="clear" w:color="auto" w:fill="FFFF00"/>
            <w:noWrap/>
            <w:vAlign w:val="center"/>
            <w:hideMark/>
          </w:tcPr>
          <w:p w14:paraId="201836AE" w14:textId="77777777" w:rsidR="006C4059" w:rsidRPr="00BA4949" w:rsidRDefault="006C4059" w:rsidP="00BA4949">
            <w:pPr>
              <w:shd w:val="clear" w:color="auto" w:fill="FFFF00"/>
              <w:spacing w:after="0"/>
              <w:jc w:val="center"/>
              <w:rPr>
                <w:rFonts w:ascii="Arial Narrow" w:hAnsi="Arial Narrow"/>
                <w:szCs w:val="22"/>
                <w:lang w:val="en-AU" w:eastAsia="en-AU"/>
              </w:rPr>
            </w:pPr>
            <w:r w:rsidRPr="00BA4949">
              <w:rPr>
                <w:rFonts w:ascii="Arial Narrow" w:hAnsi="Arial Narrow"/>
                <w:szCs w:val="22"/>
                <w:lang w:val="en-AU" w:eastAsia="en-AU"/>
              </w:rPr>
              <w:t> </w:t>
            </w:r>
            <w:r w:rsidR="00BA4949" w:rsidRPr="00BA4949">
              <w:rPr>
                <w:rFonts w:ascii="Arial Narrow" w:hAnsi="Arial Narrow"/>
                <w:sz w:val="20"/>
                <w:lang w:val="en-AU" w:eastAsia="en-AU"/>
              </w:rPr>
              <w:t>Report Card Score – Moderate</w:t>
            </w:r>
          </w:p>
          <w:p w14:paraId="5BF680A2" w14:textId="77777777" w:rsidR="006C4059" w:rsidRPr="00BA4949" w:rsidRDefault="006C4059" w:rsidP="006C4059">
            <w:pPr>
              <w:spacing w:after="0"/>
              <w:jc w:val="left"/>
              <w:rPr>
                <w:rFonts w:ascii="Arial Narrow" w:hAnsi="Arial Narrow"/>
                <w:sz w:val="20"/>
                <w:lang w:val="en-AU" w:eastAsia="en-AU"/>
              </w:rPr>
            </w:pPr>
            <w:r w:rsidRPr="00BA4949">
              <w:rPr>
                <w:rFonts w:ascii="Arial Narrow" w:hAnsi="Arial Narrow"/>
                <w:sz w:val="20"/>
                <w:lang w:val="en-AU" w:eastAsia="en-AU"/>
              </w:rPr>
              <w:t> </w:t>
            </w:r>
          </w:p>
          <w:p w14:paraId="1AB1B560" w14:textId="77777777" w:rsidR="006C4059" w:rsidRPr="00BA4949" w:rsidRDefault="006C4059" w:rsidP="006C4059">
            <w:pPr>
              <w:spacing w:after="0"/>
              <w:jc w:val="center"/>
              <w:rPr>
                <w:rFonts w:ascii="Arial Narrow" w:hAnsi="Arial Narrow"/>
                <w:szCs w:val="22"/>
                <w:lang w:val="en-AU" w:eastAsia="en-AU"/>
              </w:rPr>
            </w:pPr>
            <w:r w:rsidRPr="00BA4949">
              <w:rPr>
                <w:rFonts w:ascii="Arial Narrow" w:hAnsi="Arial Narrow"/>
                <w:szCs w:val="22"/>
                <w:lang w:val="en-AU" w:eastAsia="en-AU"/>
              </w:rPr>
              <w:t> </w:t>
            </w:r>
          </w:p>
        </w:tc>
        <w:tc>
          <w:tcPr>
            <w:tcW w:w="1134" w:type="dxa"/>
            <w:tcBorders>
              <w:top w:val="nil"/>
              <w:left w:val="nil"/>
              <w:bottom w:val="single" w:sz="4" w:space="0" w:color="auto"/>
              <w:right w:val="single" w:sz="4" w:space="0" w:color="auto"/>
            </w:tcBorders>
            <w:shd w:val="clear" w:color="auto" w:fill="FFFF00"/>
            <w:noWrap/>
            <w:hideMark/>
          </w:tcPr>
          <w:p w14:paraId="2E87D448"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0.37</w:t>
            </w:r>
          </w:p>
        </w:tc>
        <w:tc>
          <w:tcPr>
            <w:tcW w:w="1134" w:type="dxa"/>
            <w:tcBorders>
              <w:top w:val="nil"/>
              <w:left w:val="nil"/>
              <w:bottom w:val="single" w:sz="4" w:space="0" w:color="auto"/>
              <w:right w:val="single" w:sz="4" w:space="0" w:color="auto"/>
            </w:tcBorders>
            <w:shd w:val="clear" w:color="auto" w:fill="FFFF00"/>
            <w:noWrap/>
            <w:tcMar>
              <w:left w:w="0" w:type="dxa"/>
              <w:right w:w="0" w:type="dxa"/>
            </w:tcMar>
            <w:hideMark/>
          </w:tcPr>
          <w:p w14:paraId="2BE78EAC"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0.34</w:t>
            </w:r>
          </w:p>
        </w:tc>
        <w:tc>
          <w:tcPr>
            <w:tcW w:w="1134" w:type="dxa"/>
            <w:tcBorders>
              <w:top w:val="nil"/>
              <w:left w:val="nil"/>
              <w:bottom w:val="single" w:sz="4" w:space="0" w:color="auto"/>
              <w:right w:val="single" w:sz="4" w:space="0" w:color="auto"/>
            </w:tcBorders>
            <w:shd w:val="clear" w:color="000000" w:fill="92D050"/>
            <w:noWrap/>
            <w:hideMark/>
          </w:tcPr>
          <w:p w14:paraId="6D591F05"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0.93</w:t>
            </w:r>
          </w:p>
        </w:tc>
        <w:tc>
          <w:tcPr>
            <w:tcW w:w="1047" w:type="dxa"/>
            <w:tcBorders>
              <w:top w:val="nil"/>
              <w:left w:val="nil"/>
              <w:bottom w:val="single" w:sz="4" w:space="0" w:color="auto"/>
              <w:right w:val="single" w:sz="4" w:space="0" w:color="auto"/>
            </w:tcBorders>
            <w:shd w:val="clear" w:color="000000" w:fill="FFFF00"/>
            <w:noWrap/>
            <w:hideMark/>
          </w:tcPr>
          <w:p w14:paraId="0F07E80C"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0.43</w:t>
            </w:r>
          </w:p>
        </w:tc>
        <w:tc>
          <w:tcPr>
            <w:tcW w:w="1221" w:type="dxa"/>
            <w:tcBorders>
              <w:top w:val="nil"/>
              <w:left w:val="nil"/>
              <w:bottom w:val="single" w:sz="4" w:space="0" w:color="auto"/>
              <w:right w:val="single" w:sz="4" w:space="0" w:color="auto"/>
            </w:tcBorders>
            <w:shd w:val="clear" w:color="000000" w:fill="FFFF00"/>
            <w:noWrap/>
            <w:hideMark/>
          </w:tcPr>
          <w:p w14:paraId="3D5DD71F"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0.53</w:t>
            </w:r>
          </w:p>
        </w:tc>
        <w:tc>
          <w:tcPr>
            <w:tcW w:w="1117" w:type="dxa"/>
            <w:tcBorders>
              <w:top w:val="nil"/>
              <w:left w:val="nil"/>
              <w:bottom w:val="single" w:sz="4" w:space="0" w:color="auto"/>
              <w:right w:val="single" w:sz="4" w:space="0" w:color="auto"/>
            </w:tcBorders>
            <w:shd w:val="clear" w:color="auto" w:fill="FFFF00"/>
            <w:noWrap/>
            <w:hideMark/>
          </w:tcPr>
          <w:p w14:paraId="54129408"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0.52</w:t>
            </w:r>
          </w:p>
        </w:tc>
      </w:tr>
      <w:tr w:rsidR="00B026FC" w:rsidRPr="00F352E1" w14:paraId="5A7F4057" w14:textId="77777777" w:rsidTr="00B026FC">
        <w:trPr>
          <w:trHeight w:hRule="exact" w:val="255"/>
        </w:trPr>
        <w:tc>
          <w:tcPr>
            <w:tcW w:w="771"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B533C25" w14:textId="77777777" w:rsidR="00B026FC" w:rsidRPr="00BA4949" w:rsidRDefault="00B026FC" w:rsidP="00B026FC">
            <w:pPr>
              <w:spacing w:after="0"/>
              <w:jc w:val="center"/>
              <w:rPr>
                <w:rFonts w:cs="Arial"/>
                <w:szCs w:val="22"/>
                <w:lang w:val="en-AU" w:eastAsia="en-AU"/>
              </w:rPr>
            </w:pPr>
            <w:r w:rsidRPr="00BA4949">
              <w:rPr>
                <w:rFonts w:cs="Arial"/>
                <w:szCs w:val="22"/>
                <w:lang w:val="en-AU" w:eastAsia="en-AU"/>
              </w:rPr>
              <w:t>Fitzroy</w:t>
            </w: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3372DAF"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Barren</w:t>
            </w:r>
          </w:p>
        </w:tc>
        <w:tc>
          <w:tcPr>
            <w:tcW w:w="284" w:type="dxa"/>
            <w:tcBorders>
              <w:top w:val="nil"/>
              <w:left w:val="nil"/>
              <w:bottom w:val="single" w:sz="4" w:space="0" w:color="auto"/>
              <w:right w:val="single" w:sz="4" w:space="0" w:color="auto"/>
            </w:tcBorders>
            <w:shd w:val="clear" w:color="auto" w:fill="auto"/>
            <w:noWrap/>
            <w:vAlign w:val="center"/>
            <w:hideMark/>
          </w:tcPr>
          <w:p w14:paraId="66E06F09"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hideMark/>
          </w:tcPr>
          <w:p w14:paraId="4B108BA7" w14:textId="77777777" w:rsidR="00B026FC" w:rsidRPr="00BA4949" w:rsidRDefault="00B026FC" w:rsidP="00B026FC">
            <w:pPr>
              <w:jc w:val="center"/>
              <w:rPr>
                <w:rFonts w:ascii="Arial Narrow" w:hAnsi="Arial Narrow"/>
                <w:sz w:val="20"/>
              </w:rPr>
            </w:pPr>
            <w:r w:rsidRPr="00BA4949">
              <w:rPr>
                <w:rFonts w:ascii="Arial Narrow" w:hAnsi="Arial Narrow"/>
                <w:sz w:val="20"/>
              </w:rPr>
              <w:t>0.33</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54CA6846" w14:textId="77777777" w:rsidR="00B026FC" w:rsidRPr="00BA4949" w:rsidRDefault="00B026FC" w:rsidP="00B026FC">
            <w:pPr>
              <w:jc w:val="center"/>
              <w:rPr>
                <w:rFonts w:ascii="Arial Narrow" w:hAnsi="Arial Narrow"/>
                <w:sz w:val="20"/>
              </w:rPr>
            </w:pPr>
            <w:r w:rsidRPr="00BA4949">
              <w:rPr>
                <w:rFonts w:ascii="Arial Narrow" w:hAnsi="Arial Narrow"/>
                <w:sz w:val="20"/>
              </w:rPr>
              <w:t>0.88</w:t>
            </w:r>
          </w:p>
        </w:tc>
        <w:tc>
          <w:tcPr>
            <w:tcW w:w="1134" w:type="dxa"/>
            <w:tcBorders>
              <w:top w:val="nil"/>
              <w:left w:val="nil"/>
              <w:bottom w:val="single" w:sz="4" w:space="0" w:color="auto"/>
              <w:right w:val="single" w:sz="4" w:space="0" w:color="auto"/>
            </w:tcBorders>
            <w:shd w:val="clear" w:color="auto" w:fill="auto"/>
            <w:noWrap/>
            <w:hideMark/>
          </w:tcPr>
          <w:p w14:paraId="740F20C4"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047" w:type="dxa"/>
            <w:tcBorders>
              <w:top w:val="nil"/>
              <w:left w:val="nil"/>
              <w:bottom w:val="single" w:sz="4" w:space="0" w:color="auto"/>
              <w:right w:val="single" w:sz="4" w:space="0" w:color="auto"/>
            </w:tcBorders>
            <w:shd w:val="clear" w:color="auto" w:fill="auto"/>
            <w:noWrap/>
            <w:hideMark/>
          </w:tcPr>
          <w:p w14:paraId="0368E928" w14:textId="77777777" w:rsidR="00B026FC" w:rsidRPr="00BA4949" w:rsidRDefault="00B026FC" w:rsidP="00B026FC">
            <w:pPr>
              <w:jc w:val="center"/>
              <w:rPr>
                <w:rFonts w:ascii="Arial Narrow" w:hAnsi="Arial Narrow"/>
                <w:sz w:val="20"/>
              </w:rPr>
            </w:pPr>
            <w:r w:rsidRPr="00BA4949">
              <w:rPr>
                <w:rFonts w:ascii="Arial Narrow" w:hAnsi="Arial Narrow"/>
                <w:sz w:val="20"/>
              </w:rPr>
              <w:t>0.30</w:t>
            </w:r>
          </w:p>
        </w:tc>
        <w:tc>
          <w:tcPr>
            <w:tcW w:w="1221" w:type="dxa"/>
            <w:tcBorders>
              <w:top w:val="nil"/>
              <w:left w:val="nil"/>
              <w:bottom w:val="single" w:sz="4" w:space="0" w:color="auto"/>
              <w:right w:val="single" w:sz="4" w:space="0" w:color="auto"/>
            </w:tcBorders>
            <w:shd w:val="clear" w:color="auto" w:fill="auto"/>
            <w:noWrap/>
            <w:hideMark/>
          </w:tcPr>
          <w:p w14:paraId="6AC55103"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FF00"/>
            <w:noWrap/>
            <w:hideMark/>
          </w:tcPr>
          <w:p w14:paraId="2EC1C3BF"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r>
      <w:tr w:rsidR="00B026FC" w:rsidRPr="00F352E1" w14:paraId="677F456B" w14:textId="77777777" w:rsidTr="00B026F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ED42E28"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0CFBAB99"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2DF2B1BF"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5299C9D2" w14:textId="77777777" w:rsidR="00B026FC" w:rsidRPr="00BA4949" w:rsidRDefault="00B026FC" w:rsidP="00B026FC">
            <w:pPr>
              <w:jc w:val="center"/>
              <w:rPr>
                <w:rFonts w:ascii="Arial Narrow" w:hAnsi="Arial Narrow"/>
                <w:sz w:val="20"/>
              </w:rPr>
            </w:pPr>
            <w:r w:rsidRPr="00BA4949">
              <w:rPr>
                <w:rFonts w:ascii="Arial Narrow" w:hAnsi="Arial Narrow"/>
                <w:sz w:val="20"/>
              </w:rPr>
              <w:t>0.65</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70E06A88" w14:textId="77777777" w:rsidR="00B026FC" w:rsidRPr="00BA4949" w:rsidRDefault="00B026FC" w:rsidP="00B026FC">
            <w:pPr>
              <w:jc w:val="center"/>
              <w:rPr>
                <w:rFonts w:ascii="Arial Narrow" w:hAnsi="Arial Narrow"/>
                <w:sz w:val="20"/>
              </w:rPr>
            </w:pPr>
            <w:r w:rsidRPr="00BA4949">
              <w:rPr>
                <w:rFonts w:ascii="Arial Narrow" w:hAnsi="Arial Narrow"/>
                <w:sz w:val="20"/>
              </w:rPr>
              <w:t>0.07</w:t>
            </w:r>
          </w:p>
        </w:tc>
        <w:tc>
          <w:tcPr>
            <w:tcW w:w="1134" w:type="dxa"/>
            <w:tcBorders>
              <w:top w:val="nil"/>
              <w:left w:val="nil"/>
              <w:bottom w:val="single" w:sz="4" w:space="0" w:color="auto"/>
              <w:right w:val="single" w:sz="4" w:space="0" w:color="auto"/>
            </w:tcBorders>
            <w:shd w:val="clear" w:color="auto" w:fill="auto"/>
            <w:noWrap/>
            <w:hideMark/>
          </w:tcPr>
          <w:p w14:paraId="6C63DD2A"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4E28748A"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221" w:type="dxa"/>
            <w:tcBorders>
              <w:top w:val="nil"/>
              <w:left w:val="nil"/>
              <w:bottom w:val="single" w:sz="4" w:space="0" w:color="auto"/>
              <w:right w:val="single" w:sz="4" w:space="0" w:color="auto"/>
            </w:tcBorders>
            <w:shd w:val="clear" w:color="auto" w:fill="auto"/>
            <w:noWrap/>
            <w:hideMark/>
          </w:tcPr>
          <w:p w14:paraId="010BBBB6"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C000"/>
            <w:noWrap/>
            <w:hideMark/>
          </w:tcPr>
          <w:p w14:paraId="3A2CE5F9" w14:textId="77777777" w:rsidR="00B026FC" w:rsidRPr="00BA4949" w:rsidRDefault="00B026FC" w:rsidP="00B026FC">
            <w:pPr>
              <w:jc w:val="center"/>
              <w:rPr>
                <w:rFonts w:ascii="Arial Narrow" w:hAnsi="Arial Narrow"/>
                <w:sz w:val="20"/>
              </w:rPr>
            </w:pPr>
            <w:r w:rsidRPr="00BA4949">
              <w:rPr>
                <w:rFonts w:ascii="Arial Narrow" w:hAnsi="Arial Narrow"/>
                <w:sz w:val="20"/>
              </w:rPr>
              <w:t>0.24</w:t>
            </w:r>
          </w:p>
        </w:tc>
      </w:tr>
      <w:tr w:rsidR="00B026FC" w:rsidRPr="00F352E1" w14:paraId="72DB600C" w14:textId="77777777" w:rsidTr="00BA494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1896F583"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72555BAF"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North Keppel</w:t>
            </w:r>
          </w:p>
        </w:tc>
        <w:tc>
          <w:tcPr>
            <w:tcW w:w="284" w:type="dxa"/>
            <w:tcBorders>
              <w:top w:val="nil"/>
              <w:left w:val="nil"/>
              <w:bottom w:val="single" w:sz="4" w:space="0" w:color="auto"/>
              <w:right w:val="single" w:sz="4" w:space="0" w:color="auto"/>
            </w:tcBorders>
            <w:shd w:val="clear" w:color="auto" w:fill="auto"/>
            <w:noWrap/>
            <w:vAlign w:val="center"/>
            <w:hideMark/>
          </w:tcPr>
          <w:p w14:paraId="4FAB3226"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hideMark/>
          </w:tcPr>
          <w:p w14:paraId="75AFB318" w14:textId="77777777" w:rsidR="00B026FC" w:rsidRPr="00BA4949" w:rsidRDefault="00B026FC" w:rsidP="00B026FC">
            <w:pPr>
              <w:jc w:val="center"/>
              <w:rPr>
                <w:rFonts w:ascii="Arial Narrow" w:hAnsi="Arial Narrow"/>
                <w:sz w:val="20"/>
              </w:rPr>
            </w:pPr>
            <w:r w:rsidRPr="00BA4949">
              <w:rPr>
                <w:rFonts w:ascii="Arial Narrow" w:hAnsi="Arial Narrow"/>
                <w:sz w:val="20"/>
              </w:rPr>
              <w:t>0.47</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70769102" w14:textId="77777777" w:rsidR="00B026FC" w:rsidRPr="00BA4949" w:rsidRDefault="00B026FC" w:rsidP="00B026FC">
            <w:pPr>
              <w:jc w:val="center"/>
              <w:rPr>
                <w:rFonts w:ascii="Arial Narrow" w:hAnsi="Arial Narrow"/>
                <w:sz w:val="20"/>
              </w:rPr>
            </w:pPr>
            <w:r w:rsidRPr="00BA4949">
              <w:rPr>
                <w:rFonts w:ascii="Arial Narrow" w:hAnsi="Arial Narrow"/>
                <w:sz w:val="20"/>
              </w:rPr>
              <w:t>0.08</w:t>
            </w:r>
          </w:p>
        </w:tc>
        <w:tc>
          <w:tcPr>
            <w:tcW w:w="1134" w:type="dxa"/>
            <w:tcBorders>
              <w:top w:val="nil"/>
              <w:left w:val="nil"/>
              <w:bottom w:val="single" w:sz="4" w:space="0" w:color="auto"/>
              <w:right w:val="single" w:sz="4" w:space="0" w:color="auto"/>
            </w:tcBorders>
            <w:shd w:val="clear" w:color="auto" w:fill="auto"/>
            <w:noWrap/>
            <w:hideMark/>
          </w:tcPr>
          <w:p w14:paraId="0FA5EC25"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6B610900" w14:textId="77777777" w:rsidR="00B026FC" w:rsidRPr="00BA4949" w:rsidRDefault="00B026FC" w:rsidP="00B026FC">
            <w:pPr>
              <w:jc w:val="center"/>
              <w:rPr>
                <w:rFonts w:ascii="Arial Narrow" w:hAnsi="Arial Narrow"/>
                <w:sz w:val="20"/>
              </w:rPr>
            </w:pPr>
            <w:r w:rsidRPr="00BA4949">
              <w:rPr>
                <w:rFonts w:ascii="Arial Narrow" w:hAnsi="Arial Narrow"/>
                <w:sz w:val="20"/>
              </w:rPr>
              <w:t>0.32</w:t>
            </w:r>
          </w:p>
        </w:tc>
        <w:tc>
          <w:tcPr>
            <w:tcW w:w="1221" w:type="dxa"/>
            <w:tcBorders>
              <w:top w:val="nil"/>
              <w:left w:val="nil"/>
              <w:bottom w:val="single" w:sz="4" w:space="0" w:color="auto"/>
              <w:right w:val="single" w:sz="4" w:space="0" w:color="auto"/>
            </w:tcBorders>
            <w:shd w:val="clear" w:color="auto" w:fill="auto"/>
            <w:noWrap/>
            <w:hideMark/>
          </w:tcPr>
          <w:p w14:paraId="04A342BC" w14:textId="77777777" w:rsidR="00B026FC" w:rsidRPr="00BA4949" w:rsidRDefault="00B026FC" w:rsidP="00B026FC">
            <w:pPr>
              <w:jc w:val="center"/>
              <w:rPr>
                <w:rFonts w:ascii="Arial Narrow" w:hAnsi="Arial Narrow"/>
                <w:sz w:val="20"/>
              </w:rPr>
            </w:pPr>
            <w:r w:rsidRPr="00BA4949">
              <w:rPr>
                <w:rFonts w:ascii="Arial Narrow" w:hAnsi="Arial Narrow"/>
                <w:sz w:val="20"/>
              </w:rPr>
              <w:t>1.00</w:t>
            </w:r>
          </w:p>
        </w:tc>
        <w:tc>
          <w:tcPr>
            <w:tcW w:w="1117" w:type="dxa"/>
            <w:tcBorders>
              <w:top w:val="nil"/>
              <w:left w:val="nil"/>
              <w:bottom w:val="single" w:sz="4" w:space="0" w:color="auto"/>
              <w:right w:val="single" w:sz="4" w:space="0" w:color="auto"/>
            </w:tcBorders>
            <w:shd w:val="clear" w:color="auto" w:fill="FFC000"/>
            <w:noWrap/>
            <w:hideMark/>
          </w:tcPr>
          <w:p w14:paraId="0643D1FC" w14:textId="77777777" w:rsidR="00B026FC" w:rsidRPr="00BA4949" w:rsidRDefault="00B026FC" w:rsidP="00B026FC">
            <w:pPr>
              <w:jc w:val="center"/>
              <w:rPr>
                <w:rFonts w:ascii="Arial Narrow" w:hAnsi="Arial Narrow"/>
                <w:sz w:val="20"/>
              </w:rPr>
            </w:pPr>
            <w:r w:rsidRPr="00BA4949">
              <w:rPr>
                <w:rFonts w:ascii="Arial Narrow" w:hAnsi="Arial Narrow"/>
                <w:sz w:val="20"/>
              </w:rPr>
              <w:t>0.37</w:t>
            </w:r>
          </w:p>
        </w:tc>
      </w:tr>
      <w:tr w:rsidR="00B026FC" w:rsidRPr="00F352E1" w14:paraId="60DC7BC5" w14:textId="77777777" w:rsidTr="00BA494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6500B2B4"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66D49774"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04C324D8"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4D6934EE" w14:textId="77777777" w:rsidR="00B026FC" w:rsidRPr="00BA4949" w:rsidRDefault="00B026FC" w:rsidP="00B026FC">
            <w:pPr>
              <w:jc w:val="center"/>
              <w:rPr>
                <w:rFonts w:ascii="Arial Narrow" w:hAnsi="Arial Narrow"/>
                <w:sz w:val="20"/>
              </w:rPr>
            </w:pPr>
            <w:r w:rsidRPr="00BA4949">
              <w:rPr>
                <w:rFonts w:ascii="Arial Narrow" w:hAnsi="Arial Narrow"/>
                <w:sz w:val="20"/>
              </w:rPr>
              <w:t>0.23</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58206CB8" w14:textId="77777777" w:rsidR="00B026FC" w:rsidRPr="00BA4949" w:rsidRDefault="00B026FC" w:rsidP="00B026FC">
            <w:pPr>
              <w:jc w:val="center"/>
              <w:rPr>
                <w:rFonts w:ascii="Arial Narrow" w:hAnsi="Arial Narrow"/>
                <w:sz w:val="20"/>
              </w:rPr>
            </w:pPr>
            <w:r w:rsidRPr="00BA4949">
              <w:rPr>
                <w:rFonts w:ascii="Arial Narrow" w:hAnsi="Arial Narrow"/>
                <w:sz w:val="20"/>
              </w:rPr>
              <w:t>0.11</w:t>
            </w:r>
          </w:p>
        </w:tc>
        <w:tc>
          <w:tcPr>
            <w:tcW w:w="1134" w:type="dxa"/>
            <w:tcBorders>
              <w:top w:val="nil"/>
              <w:left w:val="nil"/>
              <w:bottom w:val="single" w:sz="4" w:space="0" w:color="auto"/>
              <w:right w:val="single" w:sz="4" w:space="0" w:color="auto"/>
            </w:tcBorders>
            <w:shd w:val="clear" w:color="auto" w:fill="auto"/>
            <w:noWrap/>
            <w:hideMark/>
          </w:tcPr>
          <w:p w14:paraId="6EF7BC03"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30F4B1E2" w14:textId="77777777" w:rsidR="00B026FC" w:rsidRPr="00BA4949" w:rsidRDefault="00B026FC" w:rsidP="00B026FC">
            <w:pPr>
              <w:jc w:val="center"/>
              <w:rPr>
                <w:rFonts w:ascii="Arial Narrow" w:hAnsi="Arial Narrow"/>
                <w:sz w:val="20"/>
              </w:rPr>
            </w:pPr>
            <w:r w:rsidRPr="00BA4949">
              <w:rPr>
                <w:rFonts w:ascii="Arial Narrow" w:hAnsi="Arial Narrow"/>
                <w:sz w:val="20"/>
              </w:rPr>
              <w:t>0.36</w:t>
            </w:r>
          </w:p>
        </w:tc>
        <w:tc>
          <w:tcPr>
            <w:tcW w:w="1221" w:type="dxa"/>
            <w:tcBorders>
              <w:top w:val="nil"/>
              <w:left w:val="nil"/>
              <w:bottom w:val="single" w:sz="4" w:space="0" w:color="auto"/>
              <w:right w:val="single" w:sz="4" w:space="0" w:color="auto"/>
            </w:tcBorders>
            <w:shd w:val="clear" w:color="auto" w:fill="auto"/>
            <w:noWrap/>
            <w:hideMark/>
          </w:tcPr>
          <w:p w14:paraId="3658E911"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0000"/>
            <w:noWrap/>
            <w:hideMark/>
          </w:tcPr>
          <w:p w14:paraId="0BF21356" w14:textId="77777777" w:rsidR="00B026FC" w:rsidRPr="00BA4949" w:rsidRDefault="00B026FC" w:rsidP="00B026FC">
            <w:pPr>
              <w:jc w:val="center"/>
              <w:rPr>
                <w:rFonts w:ascii="Arial Narrow" w:hAnsi="Arial Narrow"/>
                <w:sz w:val="20"/>
              </w:rPr>
            </w:pPr>
            <w:r w:rsidRPr="00BA4949">
              <w:rPr>
                <w:rFonts w:ascii="Arial Narrow" w:hAnsi="Arial Narrow"/>
                <w:sz w:val="20"/>
              </w:rPr>
              <w:t>0.14</w:t>
            </w:r>
          </w:p>
        </w:tc>
      </w:tr>
      <w:tr w:rsidR="00B026FC" w:rsidRPr="00F352E1" w14:paraId="14717926" w14:textId="77777777" w:rsidTr="00BA494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058510E2"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CE5592F"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Middle</w:t>
            </w:r>
          </w:p>
        </w:tc>
        <w:tc>
          <w:tcPr>
            <w:tcW w:w="284" w:type="dxa"/>
            <w:tcBorders>
              <w:top w:val="nil"/>
              <w:left w:val="nil"/>
              <w:bottom w:val="single" w:sz="4" w:space="0" w:color="auto"/>
              <w:right w:val="single" w:sz="4" w:space="0" w:color="auto"/>
            </w:tcBorders>
            <w:shd w:val="clear" w:color="auto" w:fill="auto"/>
            <w:noWrap/>
            <w:vAlign w:val="center"/>
            <w:hideMark/>
          </w:tcPr>
          <w:p w14:paraId="659B4AEC"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hideMark/>
          </w:tcPr>
          <w:p w14:paraId="11961A53" w14:textId="77777777" w:rsidR="00B026FC" w:rsidRPr="00BA4949" w:rsidRDefault="00B026FC" w:rsidP="00B026FC">
            <w:pPr>
              <w:jc w:val="center"/>
              <w:rPr>
                <w:rFonts w:ascii="Arial Narrow" w:hAnsi="Arial Narrow"/>
                <w:sz w:val="20"/>
              </w:rPr>
            </w:pPr>
            <w:r w:rsidRPr="00BA4949">
              <w:rPr>
                <w:rFonts w:ascii="Arial Narrow" w:hAnsi="Arial Narrow"/>
                <w:sz w:val="20"/>
              </w:rPr>
              <w:t>0.35</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467CACC8" w14:textId="77777777" w:rsidR="00B026FC" w:rsidRPr="00BA4949" w:rsidRDefault="00B026FC" w:rsidP="00B026FC">
            <w:pPr>
              <w:jc w:val="center"/>
              <w:rPr>
                <w:rFonts w:ascii="Arial Narrow" w:hAnsi="Arial Narrow"/>
                <w:sz w:val="20"/>
              </w:rPr>
            </w:pPr>
            <w:r w:rsidRPr="00BA4949">
              <w:rPr>
                <w:rFonts w:ascii="Arial Narrow" w:hAnsi="Arial Narrow"/>
                <w:sz w:val="20"/>
              </w:rPr>
              <w:t>0.23</w:t>
            </w:r>
          </w:p>
        </w:tc>
        <w:tc>
          <w:tcPr>
            <w:tcW w:w="1134" w:type="dxa"/>
            <w:tcBorders>
              <w:top w:val="nil"/>
              <w:left w:val="nil"/>
              <w:bottom w:val="single" w:sz="4" w:space="0" w:color="auto"/>
              <w:right w:val="single" w:sz="4" w:space="0" w:color="auto"/>
            </w:tcBorders>
            <w:shd w:val="clear" w:color="auto" w:fill="auto"/>
            <w:noWrap/>
            <w:hideMark/>
          </w:tcPr>
          <w:p w14:paraId="37FD4B33"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0B3AB581" w14:textId="77777777" w:rsidR="00B026FC" w:rsidRPr="00BA4949" w:rsidRDefault="00B026FC" w:rsidP="00B026FC">
            <w:pPr>
              <w:jc w:val="center"/>
              <w:rPr>
                <w:rFonts w:ascii="Arial Narrow" w:hAnsi="Arial Narrow"/>
                <w:sz w:val="20"/>
              </w:rPr>
            </w:pPr>
            <w:r w:rsidRPr="00BA4949">
              <w:rPr>
                <w:rFonts w:ascii="Arial Narrow" w:hAnsi="Arial Narrow"/>
                <w:sz w:val="20"/>
              </w:rPr>
              <w:t>0.22</w:t>
            </w:r>
          </w:p>
        </w:tc>
        <w:tc>
          <w:tcPr>
            <w:tcW w:w="1221" w:type="dxa"/>
            <w:tcBorders>
              <w:top w:val="nil"/>
              <w:left w:val="nil"/>
              <w:bottom w:val="single" w:sz="4" w:space="0" w:color="auto"/>
              <w:right w:val="single" w:sz="4" w:space="0" w:color="auto"/>
            </w:tcBorders>
            <w:shd w:val="clear" w:color="auto" w:fill="auto"/>
            <w:noWrap/>
            <w:hideMark/>
          </w:tcPr>
          <w:p w14:paraId="6651BE66"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0000"/>
            <w:noWrap/>
            <w:hideMark/>
          </w:tcPr>
          <w:p w14:paraId="69023328" w14:textId="77777777" w:rsidR="00B026FC" w:rsidRPr="00BA4949" w:rsidRDefault="00B026FC" w:rsidP="00B026FC">
            <w:pPr>
              <w:jc w:val="center"/>
              <w:rPr>
                <w:rFonts w:ascii="Arial Narrow" w:hAnsi="Arial Narrow"/>
                <w:sz w:val="20"/>
              </w:rPr>
            </w:pPr>
            <w:r w:rsidRPr="00BA4949">
              <w:rPr>
                <w:rFonts w:ascii="Arial Narrow" w:hAnsi="Arial Narrow"/>
                <w:sz w:val="20"/>
              </w:rPr>
              <w:t>0.16</w:t>
            </w:r>
          </w:p>
        </w:tc>
      </w:tr>
      <w:tr w:rsidR="00B026FC" w:rsidRPr="00F352E1" w14:paraId="13122FEB" w14:textId="77777777" w:rsidTr="00B026F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604164B2"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47C0DBDA"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4CBF1635"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59C3CB31" w14:textId="77777777" w:rsidR="00B026FC" w:rsidRPr="00BA4949" w:rsidRDefault="00B026FC" w:rsidP="00B026FC">
            <w:pPr>
              <w:jc w:val="center"/>
              <w:rPr>
                <w:rFonts w:ascii="Arial Narrow" w:hAnsi="Arial Narrow"/>
                <w:sz w:val="20"/>
              </w:rPr>
            </w:pPr>
            <w:r w:rsidRPr="00BA4949">
              <w:rPr>
                <w:rFonts w:ascii="Arial Narrow" w:hAnsi="Arial Narrow"/>
                <w:sz w:val="20"/>
              </w:rPr>
              <w:t>0.20</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4756EBC5" w14:textId="77777777" w:rsidR="00B026FC" w:rsidRPr="00BA4949" w:rsidRDefault="00B026FC" w:rsidP="00B026FC">
            <w:pPr>
              <w:jc w:val="center"/>
              <w:rPr>
                <w:rFonts w:ascii="Arial Narrow" w:hAnsi="Arial Narrow"/>
                <w:sz w:val="20"/>
              </w:rPr>
            </w:pPr>
            <w:r w:rsidRPr="00BA4949">
              <w:rPr>
                <w:rFonts w:ascii="Arial Narrow" w:hAnsi="Arial Narrow"/>
                <w:sz w:val="20"/>
              </w:rPr>
              <w:t>0.43</w:t>
            </w:r>
          </w:p>
        </w:tc>
        <w:tc>
          <w:tcPr>
            <w:tcW w:w="1134" w:type="dxa"/>
            <w:tcBorders>
              <w:top w:val="nil"/>
              <w:left w:val="nil"/>
              <w:bottom w:val="single" w:sz="4" w:space="0" w:color="auto"/>
              <w:right w:val="single" w:sz="4" w:space="0" w:color="auto"/>
            </w:tcBorders>
            <w:shd w:val="clear" w:color="auto" w:fill="auto"/>
            <w:noWrap/>
            <w:hideMark/>
          </w:tcPr>
          <w:p w14:paraId="6C9FBDA7"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473BAEBF" w14:textId="77777777" w:rsidR="00B026FC" w:rsidRPr="00BA4949" w:rsidRDefault="00B026FC" w:rsidP="00B026FC">
            <w:pPr>
              <w:jc w:val="center"/>
              <w:rPr>
                <w:rFonts w:ascii="Arial Narrow" w:hAnsi="Arial Narrow"/>
                <w:sz w:val="20"/>
              </w:rPr>
            </w:pPr>
            <w:r w:rsidRPr="00BA4949">
              <w:rPr>
                <w:rFonts w:ascii="Arial Narrow" w:hAnsi="Arial Narrow"/>
                <w:sz w:val="20"/>
              </w:rPr>
              <w:t>0.20</w:t>
            </w:r>
          </w:p>
        </w:tc>
        <w:tc>
          <w:tcPr>
            <w:tcW w:w="1221" w:type="dxa"/>
            <w:tcBorders>
              <w:top w:val="nil"/>
              <w:left w:val="nil"/>
              <w:bottom w:val="single" w:sz="4" w:space="0" w:color="auto"/>
              <w:right w:val="single" w:sz="4" w:space="0" w:color="auto"/>
            </w:tcBorders>
            <w:shd w:val="clear" w:color="auto" w:fill="auto"/>
            <w:noWrap/>
            <w:hideMark/>
          </w:tcPr>
          <w:p w14:paraId="57ABB19F"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000000" w:fill="FF0000"/>
            <w:noWrap/>
            <w:hideMark/>
          </w:tcPr>
          <w:p w14:paraId="70CA119A" w14:textId="77777777" w:rsidR="00B026FC" w:rsidRPr="00BA4949" w:rsidRDefault="00B026FC" w:rsidP="00B026FC">
            <w:pPr>
              <w:jc w:val="center"/>
              <w:rPr>
                <w:rFonts w:ascii="Arial Narrow" w:hAnsi="Arial Narrow"/>
                <w:sz w:val="20"/>
              </w:rPr>
            </w:pPr>
            <w:r w:rsidRPr="00BA4949">
              <w:rPr>
                <w:rFonts w:ascii="Arial Narrow" w:hAnsi="Arial Narrow"/>
                <w:sz w:val="20"/>
              </w:rPr>
              <w:t>0.17</w:t>
            </w:r>
          </w:p>
        </w:tc>
      </w:tr>
      <w:tr w:rsidR="00B026FC" w:rsidRPr="00F352E1" w14:paraId="4740EA8F" w14:textId="77777777" w:rsidTr="00B026F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3BC4FE4C"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F5C7EBB"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Keppels South</w:t>
            </w:r>
          </w:p>
        </w:tc>
        <w:tc>
          <w:tcPr>
            <w:tcW w:w="284" w:type="dxa"/>
            <w:tcBorders>
              <w:top w:val="nil"/>
              <w:left w:val="nil"/>
              <w:bottom w:val="single" w:sz="4" w:space="0" w:color="auto"/>
              <w:right w:val="single" w:sz="4" w:space="0" w:color="auto"/>
            </w:tcBorders>
            <w:shd w:val="clear" w:color="auto" w:fill="auto"/>
            <w:noWrap/>
            <w:vAlign w:val="center"/>
            <w:hideMark/>
          </w:tcPr>
          <w:p w14:paraId="6A768C98"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hideMark/>
          </w:tcPr>
          <w:p w14:paraId="60FC9A0E" w14:textId="77777777" w:rsidR="00B026FC" w:rsidRPr="00BA4949" w:rsidRDefault="00B026FC" w:rsidP="00B026FC">
            <w:pPr>
              <w:jc w:val="center"/>
              <w:rPr>
                <w:rFonts w:ascii="Arial Narrow" w:hAnsi="Arial Narrow"/>
                <w:sz w:val="20"/>
              </w:rPr>
            </w:pPr>
            <w:r w:rsidRPr="00BA4949">
              <w:rPr>
                <w:rFonts w:ascii="Arial Narrow" w:hAnsi="Arial Narrow"/>
                <w:sz w:val="20"/>
              </w:rPr>
              <w:t>0.27</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55AEE812" w14:textId="77777777" w:rsidR="00B026FC" w:rsidRPr="00BA4949" w:rsidRDefault="00B026FC" w:rsidP="00B026FC">
            <w:pPr>
              <w:jc w:val="center"/>
              <w:rPr>
                <w:rFonts w:ascii="Arial Narrow" w:hAnsi="Arial Narrow"/>
                <w:sz w:val="20"/>
              </w:rPr>
            </w:pPr>
            <w:r w:rsidRPr="00BA4949">
              <w:rPr>
                <w:rFonts w:ascii="Arial Narrow" w:hAnsi="Arial Narrow"/>
                <w:sz w:val="20"/>
              </w:rPr>
              <w:t>0.36</w:t>
            </w:r>
          </w:p>
        </w:tc>
        <w:tc>
          <w:tcPr>
            <w:tcW w:w="1134" w:type="dxa"/>
            <w:tcBorders>
              <w:top w:val="nil"/>
              <w:left w:val="nil"/>
              <w:bottom w:val="single" w:sz="4" w:space="0" w:color="auto"/>
              <w:right w:val="single" w:sz="4" w:space="0" w:color="auto"/>
            </w:tcBorders>
            <w:shd w:val="clear" w:color="auto" w:fill="auto"/>
            <w:noWrap/>
            <w:hideMark/>
          </w:tcPr>
          <w:p w14:paraId="3209E457"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4089A35D" w14:textId="77777777" w:rsidR="00B026FC" w:rsidRPr="00BA4949" w:rsidRDefault="00B026FC" w:rsidP="00B026FC">
            <w:pPr>
              <w:jc w:val="center"/>
              <w:rPr>
                <w:rFonts w:ascii="Arial Narrow" w:hAnsi="Arial Narrow"/>
                <w:sz w:val="20"/>
              </w:rPr>
            </w:pPr>
            <w:r w:rsidRPr="00BA4949">
              <w:rPr>
                <w:rFonts w:ascii="Arial Narrow" w:hAnsi="Arial Narrow"/>
                <w:sz w:val="20"/>
              </w:rPr>
              <w:t>0.31</w:t>
            </w:r>
          </w:p>
        </w:tc>
        <w:tc>
          <w:tcPr>
            <w:tcW w:w="1221" w:type="dxa"/>
            <w:tcBorders>
              <w:top w:val="nil"/>
              <w:left w:val="nil"/>
              <w:bottom w:val="single" w:sz="4" w:space="0" w:color="auto"/>
              <w:right w:val="single" w:sz="4" w:space="0" w:color="auto"/>
            </w:tcBorders>
            <w:shd w:val="clear" w:color="auto" w:fill="auto"/>
            <w:noWrap/>
            <w:hideMark/>
          </w:tcPr>
          <w:p w14:paraId="7B4D04BE"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0000"/>
            <w:noWrap/>
            <w:hideMark/>
          </w:tcPr>
          <w:p w14:paraId="54BBE4AF" w14:textId="77777777" w:rsidR="00B026FC" w:rsidRPr="00BA4949" w:rsidRDefault="00B026FC" w:rsidP="00B026FC">
            <w:pPr>
              <w:jc w:val="center"/>
              <w:rPr>
                <w:rFonts w:ascii="Arial Narrow" w:hAnsi="Arial Narrow"/>
                <w:sz w:val="20"/>
              </w:rPr>
            </w:pPr>
            <w:r w:rsidRPr="00BA4949">
              <w:rPr>
                <w:rFonts w:ascii="Arial Narrow" w:hAnsi="Arial Narrow"/>
                <w:sz w:val="20"/>
              </w:rPr>
              <w:t>0.19</w:t>
            </w:r>
          </w:p>
        </w:tc>
      </w:tr>
      <w:tr w:rsidR="00B026FC" w:rsidRPr="00F352E1" w14:paraId="4D486D92" w14:textId="77777777" w:rsidTr="00B026F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207359C0"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0446E083"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2E1FB930"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121037BD" w14:textId="77777777" w:rsidR="00B026FC" w:rsidRPr="00BA4949" w:rsidRDefault="00B026FC" w:rsidP="00B026FC">
            <w:pPr>
              <w:jc w:val="center"/>
              <w:rPr>
                <w:rFonts w:ascii="Arial Narrow" w:hAnsi="Arial Narrow"/>
                <w:sz w:val="20"/>
              </w:rPr>
            </w:pPr>
            <w:r w:rsidRPr="00BA4949">
              <w:rPr>
                <w:rFonts w:ascii="Arial Narrow" w:hAnsi="Arial Narrow"/>
                <w:sz w:val="20"/>
              </w:rPr>
              <w:t>0.45</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13370436" w14:textId="77777777" w:rsidR="00B026FC" w:rsidRPr="00BA4949" w:rsidRDefault="00B026FC" w:rsidP="00B026FC">
            <w:pPr>
              <w:jc w:val="center"/>
              <w:rPr>
                <w:rFonts w:ascii="Arial Narrow" w:hAnsi="Arial Narrow"/>
                <w:sz w:val="20"/>
              </w:rPr>
            </w:pPr>
            <w:r w:rsidRPr="00BA4949">
              <w:rPr>
                <w:rFonts w:ascii="Arial Narrow" w:hAnsi="Arial Narrow"/>
                <w:sz w:val="20"/>
              </w:rPr>
              <w:t>0.22</w:t>
            </w:r>
          </w:p>
        </w:tc>
        <w:tc>
          <w:tcPr>
            <w:tcW w:w="1134" w:type="dxa"/>
            <w:tcBorders>
              <w:top w:val="nil"/>
              <w:left w:val="nil"/>
              <w:bottom w:val="single" w:sz="4" w:space="0" w:color="auto"/>
              <w:right w:val="single" w:sz="4" w:space="0" w:color="auto"/>
            </w:tcBorders>
            <w:shd w:val="clear" w:color="auto" w:fill="auto"/>
            <w:noWrap/>
            <w:hideMark/>
          </w:tcPr>
          <w:p w14:paraId="40A94816"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393F3DDF" w14:textId="77777777" w:rsidR="00B026FC" w:rsidRPr="00BA4949" w:rsidRDefault="00B026FC" w:rsidP="00B026FC">
            <w:pPr>
              <w:jc w:val="center"/>
              <w:rPr>
                <w:rFonts w:ascii="Arial Narrow" w:hAnsi="Arial Narrow"/>
                <w:sz w:val="20"/>
              </w:rPr>
            </w:pPr>
            <w:r w:rsidRPr="00BA4949">
              <w:rPr>
                <w:rFonts w:ascii="Arial Narrow" w:hAnsi="Arial Narrow"/>
                <w:sz w:val="20"/>
              </w:rPr>
              <w:t>0.26</w:t>
            </w:r>
          </w:p>
        </w:tc>
        <w:tc>
          <w:tcPr>
            <w:tcW w:w="1221" w:type="dxa"/>
            <w:tcBorders>
              <w:top w:val="nil"/>
              <w:left w:val="nil"/>
              <w:bottom w:val="single" w:sz="4" w:space="0" w:color="auto"/>
              <w:right w:val="single" w:sz="4" w:space="0" w:color="auto"/>
            </w:tcBorders>
            <w:shd w:val="clear" w:color="auto" w:fill="auto"/>
            <w:noWrap/>
            <w:hideMark/>
          </w:tcPr>
          <w:p w14:paraId="4A357199"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000000" w:fill="FF0000"/>
            <w:noWrap/>
            <w:hideMark/>
          </w:tcPr>
          <w:p w14:paraId="7F53CF66" w14:textId="77777777" w:rsidR="00B026FC" w:rsidRPr="00BA4949" w:rsidRDefault="00B026FC" w:rsidP="00B026FC">
            <w:pPr>
              <w:jc w:val="center"/>
              <w:rPr>
                <w:rFonts w:ascii="Arial Narrow" w:hAnsi="Arial Narrow"/>
                <w:sz w:val="20"/>
              </w:rPr>
            </w:pPr>
            <w:r w:rsidRPr="00BA4949">
              <w:rPr>
                <w:rFonts w:ascii="Arial Narrow" w:hAnsi="Arial Narrow"/>
                <w:sz w:val="20"/>
              </w:rPr>
              <w:t>0.19</w:t>
            </w:r>
          </w:p>
        </w:tc>
      </w:tr>
      <w:tr w:rsidR="00B026FC" w:rsidRPr="00F352E1" w14:paraId="092BE907" w14:textId="77777777" w:rsidTr="00B026F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6EA05B12"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8D2A3FF"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Pelican</w:t>
            </w:r>
          </w:p>
        </w:tc>
        <w:tc>
          <w:tcPr>
            <w:tcW w:w="284" w:type="dxa"/>
            <w:tcBorders>
              <w:top w:val="nil"/>
              <w:left w:val="nil"/>
              <w:bottom w:val="single" w:sz="4" w:space="0" w:color="auto"/>
              <w:right w:val="single" w:sz="4" w:space="0" w:color="auto"/>
            </w:tcBorders>
            <w:shd w:val="clear" w:color="auto" w:fill="auto"/>
            <w:noWrap/>
            <w:vAlign w:val="center"/>
            <w:hideMark/>
          </w:tcPr>
          <w:p w14:paraId="63EA3B30"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hideMark/>
          </w:tcPr>
          <w:p w14:paraId="2BED7A34" w14:textId="77777777" w:rsidR="00B026FC" w:rsidRPr="00BA4949" w:rsidRDefault="00B026FC" w:rsidP="00B026FC">
            <w:pPr>
              <w:jc w:val="center"/>
              <w:rPr>
                <w:rFonts w:ascii="Arial Narrow" w:hAnsi="Arial Narrow"/>
                <w:sz w:val="20"/>
              </w:rPr>
            </w:pPr>
            <w:r w:rsidRPr="00BA4949">
              <w:rPr>
                <w:rFonts w:ascii="Arial Narrow" w:hAnsi="Arial Narrow"/>
                <w:sz w:val="20"/>
              </w:rPr>
              <w:t>0.02</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5075E798" w14:textId="77777777" w:rsidR="00B026FC" w:rsidRPr="00BA4949" w:rsidRDefault="00B026FC" w:rsidP="00B026FC">
            <w:pPr>
              <w:jc w:val="center"/>
              <w:rPr>
                <w:rFonts w:ascii="Arial Narrow" w:hAnsi="Arial Narrow"/>
                <w:sz w:val="20"/>
              </w:rPr>
            </w:pPr>
            <w:r w:rsidRPr="00BA4949">
              <w:rPr>
                <w:rFonts w:ascii="Arial Narrow" w:hAnsi="Arial Narrow"/>
                <w:sz w:val="20"/>
              </w:rPr>
              <w:t>0.05</w:t>
            </w:r>
          </w:p>
        </w:tc>
        <w:tc>
          <w:tcPr>
            <w:tcW w:w="1134" w:type="dxa"/>
            <w:tcBorders>
              <w:top w:val="nil"/>
              <w:left w:val="nil"/>
              <w:bottom w:val="single" w:sz="4" w:space="0" w:color="auto"/>
              <w:right w:val="single" w:sz="4" w:space="0" w:color="auto"/>
            </w:tcBorders>
            <w:shd w:val="clear" w:color="auto" w:fill="auto"/>
            <w:noWrap/>
            <w:hideMark/>
          </w:tcPr>
          <w:p w14:paraId="56428FBA"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5290C6C9"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221" w:type="dxa"/>
            <w:tcBorders>
              <w:top w:val="nil"/>
              <w:left w:val="nil"/>
              <w:bottom w:val="single" w:sz="4" w:space="0" w:color="auto"/>
              <w:right w:val="single" w:sz="4" w:space="0" w:color="auto"/>
            </w:tcBorders>
            <w:shd w:val="clear" w:color="auto" w:fill="auto"/>
            <w:noWrap/>
            <w:hideMark/>
          </w:tcPr>
          <w:p w14:paraId="1726DC4C"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0000"/>
            <w:noWrap/>
            <w:hideMark/>
          </w:tcPr>
          <w:p w14:paraId="48DE09D4" w14:textId="77777777" w:rsidR="00B026FC" w:rsidRPr="00BA4949" w:rsidRDefault="00B026FC" w:rsidP="00B026FC">
            <w:pPr>
              <w:jc w:val="center"/>
              <w:rPr>
                <w:rFonts w:ascii="Arial Narrow" w:hAnsi="Arial Narrow"/>
                <w:sz w:val="20"/>
              </w:rPr>
            </w:pPr>
            <w:r w:rsidRPr="00BA4949">
              <w:rPr>
                <w:rFonts w:ascii="Arial Narrow" w:hAnsi="Arial Narrow"/>
                <w:sz w:val="20"/>
              </w:rPr>
              <w:t>0.11</w:t>
            </w:r>
          </w:p>
        </w:tc>
      </w:tr>
      <w:tr w:rsidR="00B026FC" w:rsidRPr="00F352E1" w14:paraId="1D92CCEF" w14:textId="77777777" w:rsidTr="00BA494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7497714E"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70E2AD47" w14:textId="77777777" w:rsidR="00B026FC" w:rsidRPr="00BA4949" w:rsidRDefault="00B026FC" w:rsidP="00B026FC">
            <w:pPr>
              <w:spacing w:after="0"/>
              <w:jc w:val="left"/>
              <w:rPr>
                <w:rFonts w:ascii="Arial Narrow" w:hAnsi="Arial Narrow"/>
                <w:sz w:val="20"/>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431E6505"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00163DC6" w14:textId="77777777" w:rsidR="00B026FC" w:rsidRPr="00BA4949" w:rsidRDefault="00B026FC" w:rsidP="00B026FC">
            <w:pPr>
              <w:jc w:val="center"/>
              <w:rPr>
                <w:rFonts w:ascii="Arial Narrow" w:hAnsi="Arial Narrow"/>
                <w:sz w:val="20"/>
              </w:rPr>
            </w:pPr>
            <w:r w:rsidRPr="00BA4949">
              <w:rPr>
                <w:rFonts w:ascii="Arial Narrow" w:hAnsi="Arial Narrow"/>
                <w:sz w:val="20"/>
              </w:rPr>
              <w:t>0.26</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704C76F2" w14:textId="77777777" w:rsidR="00B026FC" w:rsidRPr="00BA4949" w:rsidRDefault="00B026FC" w:rsidP="00B026FC">
            <w:pPr>
              <w:jc w:val="center"/>
              <w:rPr>
                <w:rFonts w:ascii="Arial Narrow" w:hAnsi="Arial Narrow"/>
                <w:sz w:val="20"/>
              </w:rPr>
            </w:pPr>
            <w:r w:rsidRPr="00BA4949">
              <w:rPr>
                <w:rFonts w:ascii="Arial Narrow" w:hAnsi="Arial Narrow"/>
                <w:sz w:val="20"/>
              </w:rPr>
              <w:t>0.12</w:t>
            </w:r>
          </w:p>
        </w:tc>
        <w:tc>
          <w:tcPr>
            <w:tcW w:w="1134" w:type="dxa"/>
            <w:tcBorders>
              <w:top w:val="nil"/>
              <w:left w:val="nil"/>
              <w:bottom w:val="single" w:sz="4" w:space="0" w:color="auto"/>
              <w:right w:val="single" w:sz="4" w:space="0" w:color="auto"/>
            </w:tcBorders>
            <w:shd w:val="clear" w:color="auto" w:fill="auto"/>
            <w:noWrap/>
            <w:hideMark/>
          </w:tcPr>
          <w:p w14:paraId="407C0D96"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72221BB7"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221" w:type="dxa"/>
            <w:tcBorders>
              <w:top w:val="nil"/>
              <w:left w:val="nil"/>
              <w:bottom w:val="single" w:sz="4" w:space="0" w:color="auto"/>
              <w:right w:val="single" w:sz="4" w:space="0" w:color="auto"/>
            </w:tcBorders>
            <w:shd w:val="clear" w:color="auto" w:fill="auto"/>
            <w:noWrap/>
            <w:hideMark/>
          </w:tcPr>
          <w:p w14:paraId="218E2EB9"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117" w:type="dxa"/>
            <w:tcBorders>
              <w:top w:val="nil"/>
              <w:left w:val="nil"/>
              <w:bottom w:val="single" w:sz="4" w:space="0" w:color="auto"/>
              <w:right w:val="single" w:sz="4" w:space="0" w:color="auto"/>
            </w:tcBorders>
            <w:shd w:val="clear" w:color="auto" w:fill="FF0000"/>
            <w:noWrap/>
            <w:hideMark/>
          </w:tcPr>
          <w:p w14:paraId="66A330C4" w14:textId="77777777" w:rsidR="00B026FC" w:rsidRPr="00BA4949" w:rsidRDefault="00B026FC" w:rsidP="00B026FC">
            <w:pPr>
              <w:jc w:val="center"/>
              <w:rPr>
                <w:rFonts w:ascii="Arial Narrow" w:hAnsi="Arial Narrow"/>
                <w:sz w:val="20"/>
              </w:rPr>
            </w:pPr>
            <w:r w:rsidRPr="00BA4949">
              <w:rPr>
                <w:rFonts w:ascii="Arial Narrow" w:hAnsi="Arial Narrow"/>
                <w:sz w:val="20"/>
              </w:rPr>
              <w:t>0.18</w:t>
            </w:r>
          </w:p>
        </w:tc>
      </w:tr>
      <w:tr w:rsidR="00B026FC" w:rsidRPr="00F352E1" w14:paraId="429ADED5" w14:textId="77777777" w:rsidTr="00B026F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23CCBEB9" w14:textId="77777777" w:rsidR="00B026FC" w:rsidRPr="00BA4949" w:rsidRDefault="00B026FC" w:rsidP="00B026FC">
            <w:pPr>
              <w:spacing w:after="0"/>
              <w:jc w:val="left"/>
              <w:rPr>
                <w:rFonts w:ascii="Arial Narrow" w:hAnsi="Arial Narrow"/>
                <w:szCs w:val="22"/>
                <w:lang w:val="en-AU"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0BD8724" w14:textId="77777777" w:rsidR="00B026FC" w:rsidRPr="00BA4949" w:rsidRDefault="00B026FC" w:rsidP="00B026FC">
            <w:pPr>
              <w:spacing w:after="0"/>
              <w:jc w:val="left"/>
              <w:rPr>
                <w:rFonts w:ascii="Arial Narrow" w:hAnsi="Arial Narrow"/>
                <w:sz w:val="20"/>
                <w:lang w:val="en-AU" w:eastAsia="en-AU"/>
              </w:rPr>
            </w:pPr>
            <w:r w:rsidRPr="00BA4949">
              <w:rPr>
                <w:rFonts w:ascii="Arial Narrow" w:hAnsi="Arial Narrow"/>
                <w:sz w:val="20"/>
                <w:lang w:val="en-AU" w:eastAsia="en-AU"/>
              </w:rPr>
              <w:t>Peak</w:t>
            </w:r>
          </w:p>
        </w:tc>
        <w:tc>
          <w:tcPr>
            <w:tcW w:w="284" w:type="dxa"/>
            <w:tcBorders>
              <w:top w:val="nil"/>
              <w:left w:val="nil"/>
              <w:bottom w:val="single" w:sz="4" w:space="0" w:color="auto"/>
              <w:right w:val="single" w:sz="4" w:space="0" w:color="auto"/>
            </w:tcBorders>
            <w:shd w:val="clear" w:color="auto" w:fill="auto"/>
            <w:noWrap/>
            <w:vAlign w:val="center"/>
            <w:hideMark/>
          </w:tcPr>
          <w:p w14:paraId="01F631F2"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2</w:t>
            </w:r>
          </w:p>
        </w:tc>
        <w:tc>
          <w:tcPr>
            <w:tcW w:w="1134" w:type="dxa"/>
            <w:tcBorders>
              <w:top w:val="nil"/>
              <w:left w:val="nil"/>
              <w:bottom w:val="single" w:sz="4" w:space="0" w:color="auto"/>
              <w:right w:val="single" w:sz="4" w:space="0" w:color="auto"/>
            </w:tcBorders>
            <w:shd w:val="clear" w:color="auto" w:fill="auto"/>
            <w:noWrap/>
            <w:hideMark/>
          </w:tcPr>
          <w:p w14:paraId="5CE6B76D" w14:textId="77777777" w:rsidR="00B026FC" w:rsidRPr="00BA4949" w:rsidRDefault="00B026FC" w:rsidP="00B026FC">
            <w:pPr>
              <w:jc w:val="center"/>
              <w:rPr>
                <w:rFonts w:ascii="Arial Narrow" w:hAnsi="Arial Narrow"/>
                <w:sz w:val="20"/>
              </w:rPr>
            </w:pPr>
            <w:r w:rsidRPr="00BA4949">
              <w:rPr>
                <w:rFonts w:ascii="Arial Narrow" w:hAnsi="Arial Narrow"/>
                <w:sz w:val="20"/>
              </w:rPr>
              <w:t>0.15</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1A17C3E0" w14:textId="77777777" w:rsidR="00B026FC" w:rsidRPr="00BA4949" w:rsidRDefault="00B026FC" w:rsidP="00B026FC">
            <w:pPr>
              <w:jc w:val="center"/>
              <w:rPr>
                <w:rFonts w:ascii="Arial Narrow" w:hAnsi="Arial Narrow"/>
                <w:sz w:val="20"/>
              </w:rPr>
            </w:pPr>
            <w:r w:rsidRPr="00BA4949">
              <w:rPr>
                <w:rFonts w:ascii="Arial Narrow" w:hAnsi="Arial Narrow"/>
                <w:sz w:val="20"/>
              </w:rPr>
              <w:t>0.17</w:t>
            </w:r>
          </w:p>
        </w:tc>
        <w:tc>
          <w:tcPr>
            <w:tcW w:w="1134" w:type="dxa"/>
            <w:tcBorders>
              <w:top w:val="nil"/>
              <w:left w:val="nil"/>
              <w:bottom w:val="single" w:sz="4" w:space="0" w:color="auto"/>
              <w:right w:val="single" w:sz="4" w:space="0" w:color="auto"/>
            </w:tcBorders>
            <w:shd w:val="clear" w:color="auto" w:fill="auto"/>
            <w:noWrap/>
            <w:hideMark/>
          </w:tcPr>
          <w:p w14:paraId="1CC2297D"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5FBE7454" w14:textId="77777777" w:rsidR="00B026FC" w:rsidRPr="00BA4949" w:rsidRDefault="00B026FC" w:rsidP="00B026FC">
            <w:pPr>
              <w:jc w:val="center"/>
              <w:rPr>
                <w:rFonts w:ascii="Arial Narrow" w:hAnsi="Arial Narrow"/>
                <w:sz w:val="20"/>
              </w:rPr>
            </w:pPr>
            <w:r w:rsidRPr="00BA4949">
              <w:rPr>
                <w:rFonts w:ascii="Arial Narrow" w:hAnsi="Arial Narrow"/>
                <w:sz w:val="20"/>
              </w:rPr>
              <w:t>0.43</w:t>
            </w:r>
          </w:p>
        </w:tc>
        <w:tc>
          <w:tcPr>
            <w:tcW w:w="1221" w:type="dxa"/>
            <w:tcBorders>
              <w:top w:val="nil"/>
              <w:left w:val="nil"/>
              <w:bottom w:val="single" w:sz="4" w:space="0" w:color="auto"/>
              <w:right w:val="single" w:sz="4" w:space="0" w:color="auto"/>
            </w:tcBorders>
            <w:shd w:val="clear" w:color="auto" w:fill="auto"/>
            <w:noWrap/>
            <w:hideMark/>
          </w:tcPr>
          <w:p w14:paraId="2881A524"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C000"/>
            <w:noWrap/>
            <w:hideMark/>
          </w:tcPr>
          <w:p w14:paraId="10A91BC4" w14:textId="77777777" w:rsidR="00B026FC" w:rsidRPr="00BA4949" w:rsidRDefault="00B026FC" w:rsidP="00B026FC">
            <w:pPr>
              <w:jc w:val="center"/>
              <w:rPr>
                <w:rFonts w:ascii="Arial Narrow" w:hAnsi="Arial Narrow"/>
                <w:sz w:val="20"/>
              </w:rPr>
            </w:pPr>
            <w:r w:rsidRPr="00BA4949">
              <w:rPr>
                <w:rFonts w:ascii="Arial Narrow" w:hAnsi="Arial Narrow"/>
                <w:sz w:val="20"/>
              </w:rPr>
              <w:t>0.25</w:t>
            </w:r>
          </w:p>
        </w:tc>
      </w:tr>
      <w:tr w:rsidR="00B026FC" w:rsidRPr="00F352E1" w14:paraId="4212CEF8" w14:textId="77777777" w:rsidTr="00B026F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4A6366CC" w14:textId="77777777" w:rsidR="00B026FC" w:rsidRPr="00BA4949" w:rsidRDefault="00B026FC" w:rsidP="00B026FC">
            <w:pPr>
              <w:spacing w:after="0"/>
              <w:jc w:val="left"/>
              <w:rPr>
                <w:rFonts w:ascii="Arial Narrow" w:hAnsi="Arial Narrow"/>
                <w:szCs w:val="22"/>
                <w:lang w:val="en-AU" w:eastAsia="en-AU"/>
              </w:rPr>
            </w:pPr>
          </w:p>
        </w:tc>
        <w:tc>
          <w:tcPr>
            <w:tcW w:w="1576" w:type="dxa"/>
            <w:vMerge/>
            <w:tcBorders>
              <w:top w:val="nil"/>
              <w:left w:val="single" w:sz="4" w:space="0" w:color="auto"/>
              <w:bottom w:val="single" w:sz="4" w:space="0" w:color="auto"/>
              <w:right w:val="single" w:sz="4" w:space="0" w:color="auto"/>
            </w:tcBorders>
            <w:vAlign w:val="center"/>
            <w:hideMark/>
          </w:tcPr>
          <w:p w14:paraId="626B7CA5" w14:textId="77777777" w:rsidR="00B026FC" w:rsidRPr="00BA4949" w:rsidRDefault="00B026FC" w:rsidP="00B026FC">
            <w:pPr>
              <w:spacing w:after="0"/>
              <w:jc w:val="left"/>
              <w:rPr>
                <w:rFonts w:ascii="Arial Narrow" w:hAnsi="Arial Narrow"/>
                <w:szCs w:val="22"/>
                <w:lang w:val="en-AU"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099AC4B" w14:textId="77777777" w:rsidR="00B026FC" w:rsidRPr="00BA4949" w:rsidRDefault="00B026FC" w:rsidP="00B026FC">
            <w:pPr>
              <w:spacing w:after="0"/>
              <w:jc w:val="center"/>
              <w:rPr>
                <w:rFonts w:ascii="Arial Narrow" w:hAnsi="Arial Narrow"/>
                <w:sz w:val="20"/>
                <w:lang w:val="en-AU" w:eastAsia="en-AU"/>
              </w:rPr>
            </w:pPr>
            <w:r w:rsidRPr="00BA4949">
              <w:rPr>
                <w:rFonts w:ascii="Arial Narrow" w:hAnsi="Arial Narrow"/>
                <w:sz w:val="20"/>
                <w:lang w:val="en-AU" w:eastAsia="en-AU"/>
              </w:rPr>
              <w:t>5</w:t>
            </w:r>
          </w:p>
        </w:tc>
        <w:tc>
          <w:tcPr>
            <w:tcW w:w="1134" w:type="dxa"/>
            <w:tcBorders>
              <w:top w:val="nil"/>
              <w:left w:val="nil"/>
              <w:bottom w:val="single" w:sz="4" w:space="0" w:color="auto"/>
              <w:right w:val="single" w:sz="4" w:space="0" w:color="auto"/>
            </w:tcBorders>
            <w:shd w:val="clear" w:color="auto" w:fill="auto"/>
            <w:noWrap/>
            <w:hideMark/>
          </w:tcPr>
          <w:p w14:paraId="327397BB" w14:textId="77777777" w:rsidR="00B026FC" w:rsidRPr="00BA4949" w:rsidRDefault="00B026FC" w:rsidP="00B026FC">
            <w:pPr>
              <w:jc w:val="center"/>
              <w:rPr>
                <w:rFonts w:ascii="Arial Narrow" w:hAnsi="Arial Narrow"/>
                <w:sz w:val="20"/>
              </w:rPr>
            </w:pPr>
            <w:r w:rsidRPr="00BA4949">
              <w:rPr>
                <w:rFonts w:ascii="Arial Narrow" w:hAnsi="Arial Narrow"/>
                <w:sz w:val="20"/>
              </w:rPr>
              <w:t>0.32</w:t>
            </w:r>
          </w:p>
        </w:tc>
        <w:tc>
          <w:tcPr>
            <w:tcW w:w="1134" w:type="dxa"/>
            <w:tcBorders>
              <w:top w:val="nil"/>
              <w:left w:val="nil"/>
              <w:bottom w:val="single" w:sz="4" w:space="0" w:color="auto"/>
              <w:right w:val="single" w:sz="4" w:space="0" w:color="auto"/>
            </w:tcBorders>
            <w:shd w:val="clear" w:color="auto" w:fill="auto"/>
            <w:noWrap/>
            <w:tcMar>
              <w:left w:w="0" w:type="dxa"/>
              <w:right w:w="0" w:type="dxa"/>
            </w:tcMar>
            <w:hideMark/>
          </w:tcPr>
          <w:p w14:paraId="1790BCA6" w14:textId="77777777" w:rsidR="00B026FC" w:rsidRPr="00BA4949" w:rsidRDefault="00B026FC" w:rsidP="00B026FC">
            <w:pPr>
              <w:jc w:val="center"/>
              <w:rPr>
                <w:rFonts w:ascii="Arial Narrow" w:hAnsi="Arial Narrow"/>
                <w:sz w:val="20"/>
              </w:rPr>
            </w:pPr>
            <w:r w:rsidRPr="00BA4949">
              <w:rPr>
                <w:rFonts w:ascii="Arial Narrow" w:hAnsi="Arial Narrow"/>
                <w:sz w:val="20"/>
              </w:rPr>
              <w:t>0.42</w:t>
            </w:r>
          </w:p>
        </w:tc>
        <w:tc>
          <w:tcPr>
            <w:tcW w:w="1134" w:type="dxa"/>
            <w:tcBorders>
              <w:top w:val="nil"/>
              <w:left w:val="nil"/>
              <w:bottom w:val="single" w:sz="4" w:space="0" w:color="auto"/>
              <w:right w:val="single" w:sz="4" w:space="0" w:color="auto"/>
            </w:tcBorders>
            <w:shd w:val="clear" w:color="auto" w:fill="auto"/>
            <w:noWrap/>
            <w:hideMark/>
          </w:tcPr>
          <w:p w14:paraId="26A1EC5F" w14:textId="77777777" w:rsidR="00B026FC" w:rsidRPr="00BA4949" w:rsidRDefault="00B026FC" w:rsidP="00B026FC">
            <w:pPr>
              <w:jc w:val="center"/>
              <w:rPr>
                <w:rFonts w:ascii="Arial Narrow" w:hAnsi="Arial Narrow"/>
                <w:sz w:val="20"/>
              </w:rPr>
            </w:pPr>
            <w:r w:rsidRPr="00BA4949">
              <w:rPr>
                <w:rFonts w:ascii="Arial Narrow" w:hAnsi="Arial Narrow"/>
                <w:sz w:val="20"/>
              </w:rPr>
              <w:t>0.00</w:t>
            </w:r>
          </w:p>
        </w:tc>
        <w:tc>
          <w:tcPr>
            <w:tcW w:w="1047" w:type="dxa"/>
            <w:tcBorders>
              <w:top w:val="nil"/>
              <w:left w:val="nil"/>
              <w:bottom w:val="single" w:sz="4" w:space="0" w:color="auto"/>
              <w:right w:val="single" w:sz="4" w:space="0" w:color="auto"/>
            </w:tcBorders>
            <w:shd w:val="clear" w:color="auto" w:fill="auto"/>
            <w:noWrap/>
            <w:hideMark/>
          </w:tcPr>
          <w:p w14:paraId="2CF5B79A" w14:textId="77777777" w:rsidR="00B026FC" w:rsidRPr="00BA4949" w:rsidRDefault="00B026FC" w:rsidP="00B026FC">
            <w:pPr>
              <w:jc w:val="center"/>
              <w:rPr>
                <w:rFonts w:ascii="Arial Narrow" w:hAnsi="Arial Narrow"/>
                <w:sz w:val="20"/>
              </w:rPr>
            </w:pPr>
            <w:r w:rsidRPr="00BA4949">
              <w:rPr>
                <w:rFonts w:ascii="Arial Narrow" w:hAnsi="Arial Narrow"/>
                <w:sz w:val="20"/>
              </w:rPr>
              <w:t>0.12</w:t>
            </w:r>
          </w:p>
        </w:tc>
        <w:tc>
          <w:tcPr>
            <w:tcW w:w="1221" w:type="dxa"/>
            <w:tcBorders>
              <w:top w:val="nil"/>
              <w:left w:val="nil"/>
              <w:bottom w:val="single" w:sz="4" w:space="0" w:color="auto"/>
              <w:right w:val="single" w:sz="4" w:space="0" w:color="auto"/>
            </w:tcBorders>
            <w:shd w:val="clear" w:color="auto" w:fill="auto"/>
            <w:noWrap/>
            <w:hideMark/>
          </w:tcPr>
          <w:p w14:paraId="69916689" w14:textId="77777777" w:rsidR="00B026FC" w:rsidRPr="00BA4949" w:rsidRDefault="00B026FC" w:rsidP="00B026FC">
            <w:pPr>
              <w:jc w:val="center"/>
              <w:rPr>
                <w:rFonts w:ascii="Arial Narrow" w:hAnsi="Arial Narrow"/>
                <w:sz w:val="20"/>
              </w:rPr>
            </w:pPr>
            <w:r w:rsidRPr="00BA4949">
              <w:rPr>
                <w:rFonts w:ascii="Arial Narrow" w:hAnsi="Arial Narrow"/>
                <w:sz w:val="20"/>
              </w:rPr>
              <w:t>0.50</w:t>
            </w:r>
          </w:p>
        </w:tc>
        <w:tc>
          <w:tcPr>
            <w:tcW w:w="1117" w:type="dxa"/>
            <w:tcBorders>
              <w:top w:val="nil"/>
              <w:left w:val="nil"/>
              <w:bottom w:val="single" w:sz="4" w:space="0" w:color="auto"/>
              <w:right w:val="single" w:sz="4" w:space="0" w:color="auto"/>
            </w:tcBorders>
            <w:shd w:val="clear" w:color="auto" w:fill="FFC000"/>
            <w:noWrap/>
            <w:hideMark/>
          </w:tcPr>
          <w:p w14:paraId="0A177C93" w14:textId="77777777" w:rsidR="00B026FC" w:rsidRPr="00BA4949" w:rsidRDefault="00B026FC" w:rsidP="00B026FC">
            <w:pPr>
              <w:jc w:val="center"/>
              <w:rPr>
                <w:rFonts w:ascii="Arial Narrow" w:hAnsi="Arial Narrow"/>
                <w:sz w:val="20"/>
              </w:rPr>
            </w:pPr>
            <w:r w:rsidRPr="00BA4949">
              <w:rPr>
                <w:rFonts w:ascii="Arial Narrow" w:hAnsi="Arial Narrow"/>
                <w:sz w:val="20"/>
              </w:rPr>
              <w:t>0.27</w:t>
            </w:r>
          </w:p>
        </w:tc>
      </w:tr>
      <w:tr w:rsidR="006C4059" w:rsidRPr="00F352E1" w14:paraId="7E11A217" w14:textId="77777777" w:rsidTr="00BA4949">
        <w:trPr>
          <w:trHeight w:hRule="exact" w:val="255"/>
        </w:trPr>
        <w:tc>
          <w:tcPr>
            <w:tcW w:w="2631" w:type="dxa"/>
            <w:gridSpan w:val="3"/>
            <w:tcBorders>
              <w:top w:val="single" w:sz="4" w:space="0" w:color="auto"/>
              <w:left w:val="single" w:sz="4" w:space="0" w:color="auto"/>
              <w:bottom w:val="single" w:sz="4" w:space="0" w:color="auto"/>
              <w:right w:val="single" w:sz="4" w:space="0" w:color="auto"/>
            </w:tcBorders>
            <w:shd w:val="clear" w:color="auto" w:fill="FFC000"/>
            <w:vAlign w:val="center"/>
            <w:hideMark/>
          </w:tcPr>
          <w:p w14:paraId="669AE971" w14:textId="77777777" w:rsidR="006C4059" w:rsidRPr="00BA4949" w:rsidRDefault="006C4059" w:rsidP="006C4059">
            <w:pPr>
              <w:spacing w:after="0"/>
              <w:jc w:val="left"/>
              <w:rPr>
                <w:rFonts w:ascii="Arial Narrow" w:hAnsi="Arial Narrow"/>
                <w:szCs w:val="22"/>
                <w:lang w:val="en-AU" w:eastAsia="en-AU"/>
              </w:rPr>
            </w:pPr>
            <w:r w:rsidRPr="00BA4949">
              <w:rPr>
                <w:rFonts w:ascii="Arial Narrow" w:hAnsi="Arial Narrow"/>
                <w:sz w:val="20"/>
                <w:lang w:val="en-AU" w:eastAsia="en-AU"/>
              </w:rPr>
              <w:t>Report Card Score – Poor</w:t>
            </w:r>
            <w:r w:rsidRPr="00BA4949">
              <w:rPr>
                <w:rFonts w:ascii="Arial Narrow" w:hAnsi="Arial Narrow"/>
                <w:szCs w:val="22"/>
                <w:lang w:val="en-AU" w:eastAsia="en-AU"/>
              </w:rPr>
              <w:t> </w:t>
            </w:r>
          </w:p>
        </w:tc>
        <w:tc>
          <w:tcPr>
            <w:tcW w:w="1134" w:type="dxa"/>
            <w:tcBorders>
              <w:top w:val="nil"/>
              <w:left w:val="nil"/>
              <w:bottom w:val="single" w:sz="4" w:space="0" w:color="auto"/>
              <w:right w:val="single" w:sz="4" w:space="0" w:color="auto"/>
            </w:tcBorders>
            <w:shd w:val="clear" w:color="auto" w:fill="FFC000"/>
            <w:noWrap/>
            <w:hideMark/>
          </w:tcPr>
          <w:p w14:paraId="5FFA7CB9"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0.31</w:t>
            </w:r>
          </w:p>
        </w:tc>
        <w:tc>
          <w:tcPr>
            <w:tcW w:w="1134" w:type="dxa"/>
            <w:tcBorders>
              <w:top w:val="nil"/>
              <w:left w:val="nil"/>
              <w:bottom w:val="single" w:sz="4" w:space="0" w:color="auto"/>
              <w:right w:val="single" w:sz="4" w:space="0" w:color="auto"/>
            </w:tcBorders>
            <w:shd w:val="clear" w:color="auto" w:fill="FFC000"/>
            <w:noWrap/>
            <w:tcMar>
              <w:left w:w="0" w:type="dxa"/>
              <w:right w:w="0" w:type="dxa"/>
            </w:tcMar>
            <w:hideMark/>
          </w:tcPr>
          <w:p w14:paraId="278FBBE5"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0.26</w:t>
            </w:r>
          </w:p>
        </w:tc>
        <w:tc>
          <w:tcPr>
            <w:tcW w:w="1134" w:type="dxa"/>
            <w:tcBorders>
              <w:top w:val="nil"/>
              <w:left w:val="nil"/>
              <w:bottom w:val="single" w:sz="4" w:space="0" w:color="auto"/>
              <w:right w:val="single" w:sz="4" w:space="0" w:color="auto"/>
            </w:tcBorders>
            <w:shd w:val="clear" w:color="000000" w:fill="FF0000"/>
            <w:noWrap/>
            <w:hideMark/>
          </w:tcPr>
          <w:p w14:paraId="50280F3D"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0.08</w:t>
            </w:r>
          </w:p>
        </w:tc>
        <w:tc>
          <w:tcPr>
            <w:tcW w:w="1047" w:type="dxa"/>
            <w:tcBorders>
              <w:top w:val="nil"/>
              <w:left w:val="nil"/>
              <w:bottom w:val="single" w:sz="4" w:space="0" w:color="auto"/>
              <w:right w:val="single" w:sz="4" w:space="0" w:color="auto"/>
            </w:tcBorders>
            <w:shd w:val="clear" w:color="auto" w:fill="FFC000"/>
            <w:noWrap/>
            <w:hideMark/>
          </w:tcPr>
          <w:p w14:paraId="2BDD8934"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0.34</w:t>
            </w:r>
          </w:p>
        </w:tc>
        <w:tc>
          <w:tcPr>
            <w:tcW w:w="1221" w:type="dxa"/>
            <w:tcBorders>
              <w:top w:val="nil"/>
              <w:left w:val="nil"/>
              <w:bottom w:val="single" w:sz="4" w:space="0" w:color="auto"/>
              <w:right w:val="single" w:sz="4" w:space="0" w:color="auto"/>
            </w:tcBorders>
            <w:shd w:val="clear" w:color="auto" w:fill="FF0000"/>
            <w:noWrap/>
            <w:hideMark/>
          </w:tcPr>
          <w:p w14:paraId="6CE554E6"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0.17</w:t>
            </w:r>
          </w:p>
        </w:tc>
        <w:tc>
          <w:tcPr>
            <w:tcW w:w="1117" w:type="dxa"/>
            <w:tcBorders>
              <w:top w:val="nil"/>
              <w:left w:val="nil"/>
              <w:bottom w:val="single" w:sz="4" w:space="0" w:color="auto"/>
              <w:right w:val="single" w:sz="4" w:space="0" w:color="auto"/>
            </w:tcBorders>
            <w:shd w:val="clear" w:color="auto" w:fill="FFC000"/>
            <w:noWrap/>
            <w:hideMark/>
          </w:tcPr>
          <w:p w14:paraId="34F6E08F" w14:textId="77777777" w:rsidR="006C4059" w:rsidRPr="00BA4949" w:rsidRDefault="006C4059" w:rsidP="006C4059">
            <w:pPr>
              <w:spacing w:after="0"/>
              <w:jc w:val="center"/>
              <w:rPr>
                <w:rFonts w:ascii="Arial Narrow" w:hAnsi="Arial Narrow"/>
                <w:sz w:val="20"/>
                <w:lang w:val="en-AU" w:eastAsia="en-AU"/>
              </w:rPr>
            </w:pPr>
            <w:r w:rsidRPr="00BA4949">
              <w:rPr>
                <w:rFonts w:ascii="Arial Narrow" w:hAnsi="Arial Narrow"/>
                <w:sz w:val="20"/>
              </w:rPr>
              <w:t>0.23</w:t>
            </w:r>
          </w:p>
        </w:tc>
      </w:tr>
    </w:tbl>
    <w:p w14:paraId="05844BE3" w14:textId="77777777" w:rsidR="00C75680" w:rsidRPr="00F352E1" w:rsidRDefault="00C75680">
      <w:pPr>
        <w:jc w:val="left"/>
        <w:rPr>
          <w:color w:val="4F81BD" w:themeColor="accent1"/>
          <w:lang w:val="en-AU"/>
        </w:rPr>
      </w:pPr>
    </w:p>
    <w:p w14:paraId="3F5FFCEF" w14:textId="77777777" w:rsidR="00C75680" w:rsidRPr="00F352E1" w:rsidRDefault="00C75680">
      <w:pPr>
        <w:jc w:val="left"/>
        <w:rPr>
          <w:color w:val="4F81BD" w:themeColor="accent1"/>
          <w:lang w:val="en-AU"/>
        </w:rPr>
      </w:pPr>
      <w:r w:rsidRPr="00F352E1">
        <w:rPr>
          <w:color w:val="4F81BD" w:themeColor="accent1"/>
          <w:lang w:val="en-AU"/>
        </w:rPr>
        <w:br w:type="page"/>
      </w:r>
    </w:p>
    <w:p w14:paraId="607742E0" w14:textId="77777777" w:rsidR="003D0F72" w:rsidRPr="004C26C1" w:rsidRDefault="00B14D94" w:rsidP="00606A50">
      <w:pPr>
        <w:pStyle w:val="Caption"/>
        <w:rPr>
          <w:lang w:val="en-AU"/>
        </w:rPr>
      </w:pPr>
      <w:bookmarkStart w:id="360" w:name="_Ref501113071"/>
      <w:bookmarkStart w:id="361" w:name="_Toc498591421"/>
      <w:r>
        <w:t xml:space="preserve">Table A1. </w:t>
      </w:r>
      <w:r>
        <w:fldChar w:fldCharType="begin"/>
      </w:r>
      <w:r>
        <w:instrText xml:space="preserve"> SEQ Table_A1. \* ARABIC </w:instrText>
      </w:r>
      <w:r>
        <w:fldChar w:fldCharType="separate"/>
      </w:r>
      <w:r w:rsidR="00A75175">
        <w:rPr>
          <w:noProof/>
        </w:rPr>
        <w:t>6</w:t>
      </w:r>
      <w:r>
        <w:fldChar w:fldCharType="end"/>
      </w:r>
      <w:bookmarkEnd w:id="360"/>
      <w:r>
        <w:t xml:space="preserve"> </w:t>
      </w:r>
      <w:r w:rsidR="00F25963" w:rsidRPr="0091564F">
        <w:t>Environmental covariates for coral locations.</w:t>
      </w:r>
      <w:r w:rsidR="00F25963" w:rsidRPr="00F352E1">
        <w:t xml:space="preserve"> </w:t>
      </w:r>
      <w:r w:rsidR="00F25963" w:rsidRPr="004C26C1">
        <w:rPr>
          <w:rStyle w:val="IntenseReference"/>
          <w:rFonts w:eastAsia="SimSun"/>
        </w:rPr>
        <w:t>F</w:t>
      </w:r>
      <w:r w:rsidR="00F25963" w:rsidRPr="008A0C2A">
        <w:rPr>
          <w:rStyle w:val="IntenseReference"/>
          <w:rFonts w:eastAsia="SimSun"/>
        </w:rPr>
        <w:t xml:space="preserve">or chlorophyll </w:t>
      </w:r>
      <w:r w:rsidR="00F25963" w:rsidRPr="004C26C1">
        <w:rPr>
          <w:rStyle w:val="IntenseReference"/>
          <w:rFonts w:eastAsia="SimSun"/>
        </w:rPr>
        <w:t>a</w:t>
      </w:r>
      <w:r w:rsidR="00F25963" w:rsidRPr="008A0C2A">
        <w:rPr>
          <w:rStyle w:val="IntenseReference"/>
          <w:rFonts w:eastAsia="SimSun"/>
        </w:rPr>
        <w:t xml:space="preserve"> (Chl </w:t>
      </w:r>
      <w:r w:rsidR="00F25963" w:rsidRPr="004C26C1">
        <w:rPr>
          <w:rStyle w:val="IntenseReference"/>
          <w:rFonts w:eastAsia="SimSun"/>
        </w:rPr>
        <w:t>a</w:t>
      </w:r>
      <w:r w:rsidR="00F25963" w:rsidRPr="008A0C2A">
        <w:rPr>
          <w:rStyle w:val="IntenseReference"/>
          <w:rFonts w:eastAsia="SimSun"/>
        </w:rPr>
        <w:t>) and Non algal particulates (Nap) a square of nine 1km square pixels was selected adjacent to each reef location. From these pixels the mean concentrations</w:t>
      </w:r>
      <w:r w:rsidR="00A43A2C">
        <w:rPr>
          <w:rStyle w:val="IntenseReference"/>
          <w:rFonts w:eastAsia="SimSun"/>
        </w:rPr>
        <w:t xml:space="preserve"> for NAP</w:t>
      </w:r>
      <w:r w:rsidR="00F25963" w:rsidRPr="008A0C2A">
        <w:rPr>
          <w:rStyle w:val="IntenseReference"/>
          <w:rFonts w:eastAsia="SimSun"/>
        </w:rPr>
        <w:t xml:space="preserve"> over the period 2005-201</w:t>
      </w:r>
      <w:r w:rsidR="00807B54">
        <w:rPr>
          <w:rStyle w:val="IntenseReference"/>
          <w:rFonts w:eastAsia="SimSun"/>
        </w:rPr>
        <w:t>7</w:t>
      </w:r>
      <w:r w:rsidR="00F25963" w:rsidRPr="008A0C2A">
        <w:rPr>
          <w:rStyle w:val="IntenseReference"/>
          <w:rFonts w:eastAsia="SimSun"/>
        </w:rPr>
        <w:t xml:space="preserve"> were downloaded from the Bureau of Meteorology, </w:t>
      </w:r>
      <w:r w:rsidR="00EC290C" w:rsidRPr="008A0C2A">
        <w:rPr>
          <w:rStyle w:val="IntenseReference"/>
          <w:rFonts w:eastAsia="SimSun"/>
        </w:rPr>
        <w:t>Marine Water Quality Dashboard</w:t>
      </w:r>
      <w:r w:rsidR="00EC290C">
        <w:rPr>
          <w:rStyle w:val="IntenseReference"/>
          <w:rFonts w:eastAsia="SimSun"/>
        </w:rPr>
        <w:t>. F</w:t>
      </w:r>
      <w:r w:rsidR="00A43A2C">
        <w:rPr>
          <w:rStyle w:val="IntenseReference"/>
          <w:rFonts w:eastAsia="SimSun"/>
        </w:rPr>
        <w:t xml:space="preserve">or Chl </w:t>
      </w:r>
      <w:r w:rsidR="00A43A2C" w:rsidRPr="00A43A2C">
        <w:rPr>
          <w:rStyle w:val="IntenseReference"/>
          <w:rFonts w:eastAsia="SimSun"/>
          <w:i/>
        </w:rPr>
        <w:t>a</w:t>
      </w:r>
      <w:r w:rsidR="00A43A2C">
        <w:rPr>
          <w:rStyle w:val="IntenseReference"/>
          <w:rFonts w:eastAsia="SimSun"/>
        </w:rPr>
        <w:t xml:space="preserve"> mean exceedance of wet season guideline concentrations (0.63ugL</w:t>
      </w:r>
      <w:r w:rsidR="00A43A2C" w:rsidRPr="00EC290C">
        <w:rPr>
          <w:rStyle w:val="IntenseReference"/>
          <w:rFonts w:eastAsia="SimSun"/>
          <w:vertAlign w:val="superscript"/>
        </w:rPr>
        <w:t>-1</w:t>
      </w:r>
      <w:r w:rsidR="00A43A2C">
        <w:rPr>
          <w:rStyle w:val="IntenseReference"/>
          <w:rFonts w:eastAsia="SimSun"/>
        </w:rPr>
        <w:t xml:space="preserve">) were estimated for the </w:t>
      </w:r>
      <w:r w:rsidR="00EC290C">
        <w:rPr>
          <w:rStyle w:val="IntenseReference"/>
          <w:rFonts w:eastAsia="SimSun"/>
        </w:rPr>
        <w:t>period</w:t>
      </w:r>
      <w:r w:rsidR="00A43A2C">
        <w:rPr>
          <w:rStyle w:val="IntenseReference"/>
          <w:rFonts w:eastAsia="SimSun"/>
        </w:rPr>
        <w:t xml:space="preserve"> 2003-2016 based on exposure to colour classified waters and measured </w:t>
      </w:r>
      <w:r w:rsidR="00EC290C">
        <w:rPr>
          <w:rStyle w:val="IntenseReference"/>
          <w:rFonts w:eastAsia="SimSun"/>
        </w:rPr>
        <w:t>Chl a concentrations as described in the method section of this report</w:t>
      </w:r>
      <w:r w:rsidR="00F25963" w:rsidRPr="008A0C2A">
        <w:rPr>
          <w:rStyle w:val="IntenseReference"/>
          <w:rFonts w:eastAsia="SimSun"/>
        </w:rPr>
        <w:t xml:space="preserve">. Clay and silt is the mean proportion of sediments from reef sites with </w:t>
      </w:r>
      <w:r w:rsidR="004C26C1">
        <w:rPr>
          <w:rStyle w:val="IntenseReference"/>
          <w:rFonts w:eastAsia="SimSun"/>
        </w:rPr>
        <w:t>grainsize &lt; 63um.  Within (sub-</w:t>
      </w:r>
      <w:r w:rsidR="00807B54">
        <w:rPr>
          <w:rStyle w:val="IntenseReference"/>
          <w:rFonts w:eastAsia="SimSun"/>
        </w:rPr>
        <w:t>) regions</w:t>
      </w:r>
      <w:r w:rsidR="004C26C1">
        <w:rPr>
          <w:rStyle w:val="IntenseReference"/>
          <w:rFonts w:eastAsia="SimSun"/>
        </w:rPr>
        <w:t>,</w:t>
      </w:r>
      <w:r w:rsidR="00F25963" w:rsidRPr="008A0C2A">
        <w:rPr>
          <w:rStyle w:val="IntenseReference"/>
          <w:rFonts w:eastAsia="SimSun"/>
        </w:rPr>
        <w:t xml:space="preserve"> reefs are ordered by Chl </w:t>
      </w:r>
      <w:r w:rsidR="00F25963" w:rsidRPr="004C26C1">
        <w:rPr>
          <w:rStyle w:val="IntenseReference"/>
          <w:rFonts w:eastAsia="SimSun"/>
        </w:rPr>
        <w:t>a</w:t>
      </w:r>
      <w:r w:rsidR="00F25963" w:rsidRPr="008A0C2A">
        <w:rPr>
          <w:rStyle w:val="IntenseReference"/>
          <w:rFonts w:eastAsia="SimSun"/>
        </w:rPr>
        <w:t xml:space="preserve"> concentration.</w:t>
      </w:r>
      <w:bookmarkEnd w:id="361"/>
    </w:p>
    <w:tbl>
      <w:tblPr>
        <w:tblW w:w="7611" w:type="dxa"/>
        <w:tblInd w:w="93" w:type="dxa"/>
        <w:tblLook w:val="04A0" w:firstRow="1" w:lastRow="0" w:firstColumn="1" w:lastColumn="0" w:noHBand="0" w:noVBand="1"/>
        <w:tblCaption w:val="Table A1. 6 Environmental covariates for coral locations"/>
        <w:tblDescription w:val="A table listing the mean concentrations of Chlorophyll a, Non-algal particulates from waters adjacent to each coral monitoring location"/>
      </w:tblPr>
      <w:tblGrid>
        <w:gridCol w:w="2709"/>
        <w:gridCol w:w="1583"/>
        <w:gridCol w:w="909"/>
        <w:gridCol w:w="1134"/>
        <w:gridCol w:w="1276"/>
      </w:tblGrid>
      <w:tr w:rsidR="00F352E1" w:rsidRPr="00F352E1" w14:paraId="25CBD5EA" w14:textId="77777777" w:rsidTr="00EC290C">
        <w:trPr>
          <w:trHeight w:val="843"/>
        </w:trPr>
        <w:tc>
          <w:tcPr>
            <w:tcW w:w="270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A4D7459" w14:textId="77777777" w:rsidR="00F76D49" w:rsidRPr="00F54AEB" w:rsidRDefault="00F76D49" w:rsidP="00F42DD3">
            <w:pPr>
              <w:spacing w:after="0"/>
              <w:jc w:val="center"/>
              <w:rPr>
                <w:rFonts w:ascii="Arial Narrow" w:hAnsi="Arial Narrow"/>
                <w:b/>
                <w:bCs/>
                <w:sz w:val="20"/>
                <w:lang w:val="en-AU" w:eastAsia="en-AU"/>
              </w:rPr>
            </w:pPr>
            <w:r w:rsidRPr="00F54AEB">
              <w:rPr>
                <w:rFonts w:ascii="Arial Narrow" w:hAnsi="Arial Narrow"/>
                <w:b/>
                <w:bCs/>
                <w:sz w:val="20"/>
                <w:lang w:val="en-AU" w:eastAsia="en-AU"/>
              </w:rPr>
              <w:t>(sub) Region</w:t>
            </w:r>
          </w:p>
        </w:tc>
        <w:tc>
          <w:tcPr>
            <w:tcW w:w="158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8756687" w14:textId="77777777" w:rsidR="00F76D49" w:rsidRPr="00F54AEB" w:rsidRDefault="00F76D49" w:rsidP="00F42DD3">
            <w:pPr>
              <w:spacing w:after="0"/>
              <w:jc w:val="center"/>
              <w:rPr>
                <w:rFonts w:ascii="Arial Narrow" w:hAnsi="Arial Narrow"/>
                <w:b/>
                <w:bCs/>
                <w:sz w:val="20"/>
                <w:lang w:val="en-AU" w:eastAsia="en-AU"/>
              </w:rPr>
            </w:pPr>
            <w:r w:rsidRPr="00F54AEB">
              <w:rPr>
                <w:rFonts w:ascii="Arial Narrow" w:hAnsi="Arial Narrow"/>
                <w:b/>
                <w:bCs/>
                <w:sz w:val="20"/>
                <w:lang w:val="en-AU" w:eastAsia="en-AU"/>
              </w:rPr>
              <w:t>Reef</w:t>
            </w:r>
          </w:p>
        </w:tc>
        <w:tc>
          <w:tcPr>
            <w:tcW w:w="909" w:type="dxa"/>
            <w:tcBorders>
              <w:top w:val="single" w:sz="8" w:space="0" w:color="auto"/>
              <w:left w:val="nil"/>
              <w:bottom w:val="single" w:sz="8" w:space="0" w:color="auto"/>
              <w:right w:val="single" w:sz="8" w:space="0" w:color="auto"/>
            </w:tcBorders>
            <w:shd w:val="clear" w:color="auto" w:fill="auto"/>
            <w:noWrap/>
            <w:vAlign w:val="center"/>
            <w:hideMark/>
          </w:tcPr>
          <w:p w14:paraId="7AEB2DF8" w14:textId="77777777" w:rsidR="00F76D49" w:rsidRDefault="00F76D49" w:rsidP="00F42DD3">
            <w:pPr>
              <w:spacing w:after="0"/>
              <w:jc w:val="center"/>
              <w:rPr>
                <w:rFonts w:ascii="Arial Narrow" w:hAnsi="Arial Narrow"/>
                <w:sz w:val="20"/>
                <w:lang w:val="en-AU" w:eastAsia="en-AU"/>
              </w:rPr>
            </w:pPr>
            <w:r w:rsidRPr="00F54AEB">
              <w:rPr>
                <w:rFonts w:ascii="Arial Narrow" w:hAnsi="Arial Narrow"/>
                <w:sz w:val="20"/>
                <w:lang w:val="en-AU" w:eastAsia="en-AU"/>
              </w:rPr>
              <w:t>Chl a</w:t>
            </w:r>
          </w:p>
          <w:p w14:paraId="2B4F76A3" w14:textId="77777777" w:rsidR="00A43A2C" w:rsidRPr="00F54AEB" w:rsidRDefault="00A43A2C" w:rsidP="00F42DD3">
            <w:pPr>
              <w:spacing w:after="0"/>
              <w:jc w:val="center"/>
              <w:rPr>
                <w:rFonts w:ascii="Arial Narrow" w:hAnsi="Arial Narrow"/>
                <w:sz w:val="20"/>
                <w:lang w:val="en-AU" w:eastAsia="en-AU"/>
              </w:rPr>
            </w:pPr>
            <w:r>
              <w:rPr>
                <w:rFonts w:ascii="Arial Narrow" w:hAnsi="Arial Narrow"/>
                <w:sz w:val="20"/>
                <w:lang w:val="en-AU" w:eastAsia="en-AU"/>
              </w:rPr>
              <w:t>Exposure</w:t>
            </w:r>
          </w:p>
          <w:p w14:paraId="2287024A" w14:textId="77777777" w:rsidR="00F76D49" w:rsidRPr="00F54AEB" w:rsidRDefault="00F76D49" w:rsidP="00F42DD3">
            <w:pPr>
              <w:spacing w:after="0"/>
              <w:jc w:val="center"/>
              <w:rPr>
                <w:rFonts w:ascii="Arial Narrow" w:hAnsi="Arial Narrow"/>
                <w:sz w:val="20"/>
                <w:lang w:val="en-AU" w:eastAsia="en-AU"/>
              </w:rPr>
            </w:pPr>
            <w:r w:rsidRPr="00F54AEB">
              <w:rPr>
                <w:rFonts w:ascii="Arial Narrow" w:hAnsi="Arial Narrow" w:cs="Arial"/>
                <w:sz w:val="20"/>
                <w:lang w:val="en-AU" w:eastAsia="en-AU"/>
              </w:rPr>
              <w:t>(µgL</w:t>
            </w:r>
            <w:r w:rsidRPr="00F54AEB">
              <w:rPr>
                <w:rFonts w:ascii="Arial Narrow" w:hAnsi="Arial Narrow" w:cs="Arial"/>
                <w:sz w:val="20"/>
                <w:vertAlign w:val="superscript"/>
                <w:lang w:val="en-AU" w:eastAsia="en-AU"/>
              </w:rPr>
              <w:t>-1</w:t>
            </w:r>
            <w:r w:rsidRPr="00F54AEB">
              <w:rPr>
                <w:rFonts w:ascii="Arial Narrow" w:hAnsi="Arial Narrow" w:cs="Arial"/>
                <w:sz w:val="20"/>
                <w:lang w:val="en-AU" w:eastAsia="en-AU"/>
              </w:rPr>
              <w:t>)</w:t>
            </w:r>
          </w:p>
        </w:tc>
        <w:tc>
          <w:tcPr>
            <w:tcW w:w="1134" w:type="dxa"/>
            <w:tcBorders>
              <w:top w:val="single" w:sz="8" w:space="0" w:color="auto"/>
              <w:left w:val="nil"/>
              <w:bottom w:val="single" w:sz="8" w:space="0" w:color="auto"/>
              <w:right w:val="single" w:sz="8" w:space="0" w:color="auto"/>
            </w:tcBorders>
            <w:shd w:val="clear" w:color="auto" w:fill="auto"/>
            <w:vAlign w:val="center"/>
            <w:hideMark/>
          </w:tcPr>
          <w:p w14:paraId="306F97C4" w14:textId="77777777" w:rsidR="00F76D49" w:rsidRPr="00F54AEB" w:rsidRDefault="00F76D49" w:rsidP="00F42DD3">
            <w:pPr>
              <w:spacing w:after="0"/>
              <w:jc w:val="center"/>
              <w:rPr>
                <w:rFonts w:ascii="Arial Narrow" w:hAnsi="Arial Narrow"/>
                <w:sz w:val="20"/>
                <w:lang w:val="en-AU" w:eastAsia="en-AU"/>
              </w:rPr>
            </w:pPr>
            <w:r w:rsidRPr="00F54AEB">
              <w:rPr>
                <w:rFonts w:ascii="Arial Narrow" w:hAnsi="Arial Narrow"/>
                <w:sz w:val="20"/>
                <w:lang w:val="en-AU" w:eastAsia="en-AU"/>
              </w:rPr>
              <w:t>Nap</w:t>
            </w:r>
          </w:p>
          <w:p w14:paraId="441E0D99" w14:textId="77777777" w:rsidR="00F76D49" w:rsidRPr="00F54AEB" w:rsidRDefault="00F76D49" w:rsidP="00F42DD3">
            <w:pPr>
              <w:spacing w:after="0"/>
              <w:jc w:val="center"/>
              <w:rPr>
                <w:rFonts w:ascii="Arial Narrow" w:hAnsi="Arial Narrow"/>
                <w:sz w:val="20"/>
                <w:lang w:val="en-AU" w:eastAsia="en-AU"/>
              </w:rPr>
            </w:pPr>
            <w:r w:rsidRPr="00F54AEB">
              <w:rPr>
                <w:rFonts w:ascii="Arial Narrow" w:hAnsi="Arial Narrow" w:cs="Arial"/>
                <w:sz w:val="20"/>
                <w:lang w:val="en-AU" w:eastAsia="en-AU"/>
              </w:rPr>
              <w:t>(mgL</w:t>
            </w:r>
            <w:r w:rsidRPr="00F54AEB">
              <w:rPr>
                <w:rFonts w:ascii="Arial Narrow" w:hAnsi="Arial Narrow" w:cs="Arial"/>
                <w:sz w:val="20"/>
                <w:vertAlign w:val="superscript"/>
                <w:lang w:val="en-AU" w:eastAsia="en-AU"/>
              </w:rPr>
              <w:t>-1</w:t>
            </w:r>
            <w:r w:rsidRPr="00F54AEB">
              <w:rPr>
                <w:rFonts w:ascii="Arial Narrow" w:hAnsi="Arial Narrow" w:cs="Arial"/>
                <w:sz w:val="20"/>
                <w:lang w:val="en-AU" w:eastAsia="en-AU"/>
              </w:rPr>
              <w:t>)</w:t>
            </w:r>
          </w:p>
        </w:tc>
        <w:tc>
          <w:tcPr>
            <w:tcW w:w="127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FFC86CA" w14:textId="77777777" w:rsidR="00F76D49" w:rsidRPr="00F54AEB" w:rsidRDefault="00F76D49" w:rsidP="00F42DD3">
            <w:pPr>
              <w:spacing w:after="0"/>
              <w:jc w:val="center"/>
              <w:rPr>
                <w:rFonts w:ascii="Arial Narrow" w:hAnsi="Arial Narrow"/>
                <w:sz w:val="20"/>
                <w:lang w:val="en-AU" w:eastAsia="en-AU"/>
              </w:rPr>
            </w:pPr>
            <w:r w:rsidRPr="00F54AEB">
              <w:rPr>
                <w:rFonts w:ascii="Arial Narrow" w:hAnsi="Arial Narrow"/>
                <w:sz w:val="20"/>
                <w:lang w:val="en-AU" w:eastAsia="en-AU"/>
              </w:rPr>
              <w:t>Clay and silt (%)</w:t>
            </w:r>
          </w:p>
        </w:tc>
      </w:tr>
      <w:tr w:rsidR="00A43A2C" w:rsidRPr="00F352E1" w14:paraId="437C74BB" w14:textId="77777777" w:rsidTr="00EC290C">
        <w:trPr>
          <w:trHeight w:hRule="exact" w:val="255"/>
        </w:trPr>
        <w:tc>
          <w:tcPr>
            <w:tcW w:w="2709" w:type="dxa"/>
            <w:vMerge w:val="restart"/>
            <w:tcBorders>
              <w:top w:val="nil"/>
              <w:left w:val="single" w:sz="8" w:space="0" w:color="auto"/>
              <w:bottom w:val="single" w:sz="8" w:space="0" w:color="auto"/>
              <w:right w:val="single" w:sz="8" w:space="0" w:color="auto"/>
            </w:tcBorders>
            <w:shd w:val="clear" w:color="auto" w:fill="auto"/>
            <w:noWrap/>
            <w:vAlign w:val="center"/>
            <w:hideMark/>
          </w:tcPr>
          <w:p w14:paraId="17DA4661" w14:textId="77777777" w:rsidR="00A43A2C" w:rsidRPr="00F54AEB" w:rsidRDefault="00A43A2C" w:rsidP="00A43A2C">
            <w:pPr>
              <w:spacing w:after="0"/>
              <w:jc w:val="left"/>
              <w:rPr>
                <w:rFonts w:ascii="Arial Narrow" w:hAnsi="Arial Narrow"/>
                <w:sz w:val="20"/>
                <w:lang w:val="en-AU" w:eastAsia="en-AU"/>
              </w:rPr>
            </w:pPr>
            <w:r w:rsidRPr="00F54AEB">
              <w:rPr>
                <w:rFonts w:ascii="Arial Narrow" w:hAnsi="Arial Narrow"/>
                <w:sz w:val="20"/>
                <w:lang w:val="en-AU" w:eastAsia="en-AU"/>
              </w:rPr>
              <w:t>Barron Daintree</w:t>
            </w:r>
          </w:p>
        </w:tc>
        <w:tc>
          <w:tcPr>
            <w:tcW w:w="1583" w:type="dxa"/>
            <w:tcBorders>
              <w:top w:val="nil"/>
              <w:left w:val="nil"/>
              <w:bottom w:val="single" w:sz="8" w:space="0" w:color="auto"/>
              <w:right w:val="single" w:sz="8" w:space="0" w:color="auto"/>
            </w:tcBorders>
            <w:shd w:val="clear" w:color="auto" w:fill="auto"/>
            <w:noWrap/>
            <w:vAlign w:val="bottom"/>
            <w:hideMark/>
          </w:tcPr>
          <w:p w14:paraId="2BCABEF2" w14:textId="77777777" w:rsidR="00A43A2C" w:rsidRPr="00F54AEB" w:rsidRDefault="00A43A2C" w:rsidP="00A43A2C">
            <w:pPr>
              <w:spacing w:after="0"/>
              <w:jc w:val="left"/>
              <w:rPr>
                <w:rFonts w:ascii="Arial Narrow" w:hAnsi="Arial Narrow"/>
                <w:sz w:val="20"/>
                <w:lang w:val="en-AU" w:eastAsia="en-AU"/>
              </w:rPr>
            </w:pPr>
            <w:r w:rsidRPr="00F54AEB">
              <w:rPr>
                <w:rFonts w:ascii="Arial Narrow" w:hAnsi="Arial Narrow"/>
                <w:sz w:val="20"/>
                <w:lang w:val="en-AU" w:eastAsia="en-AU"/>
              </w:rPr>
              <w:t>Low Isles</w:t>
            </w:r>
          </w:p>
        </w:tc>
        <w:tc>
          <w:tcPr>
            <w:tcW w:w="909" w:type="dxa"/>
            <w:tcBorders>
              <w:top w:val="single" w:sz="8" w:space="0" w:color="auto"/>
              <w:left w:val="nil"/>
              <w:bottom w:val="single" w:sz="8" w:space="0" w:color="auto"/>
              <w:right w:val="single" w:sz="8" w:space="0" w:color="auto"/>
            </w:tcBorders>
            <w:shd w:val="clear" w:color="auto" w:fill="auto"/>
            <w:noWrap/>
            <w:vAlign w:val="bottom"/>
            <w:hideMark/>
          </w:tcPr>
          <w:p w14:paraId="1C0C1D3D" w14:textId="77777777" w:rsidR="00A43A2C" w:rsidRPr="00A43A2C" w:rsidRDefault="00A43A2C" w:rsidP="00FF6CF8">
            <w:pPr>
              <w:jc w:val="right"/>
              <w:rPr>
                <w:rStyle w:val="IntenseReference"/>
              </w:rPr>
            </w:pPr>
            <w:r w:rsidRPr="00A43A2C">
              <w:rPr>
                <w:rStyle w:val="IntenseReference"/>
              </w:rPr>
              <w:t>0.</w:t>
            </w:r>
            <w:r w:rsidR="00FF6CF8">
              <w:rPr>
                <w:rStyle w:val="IntenseReference"/>
              </w:rPr>
              <w:t>049</w:t>
            </w:r>
          </w:p>
        </w:tc>
        <w:tc>
          <w:tcPr>
            <w:tcW w:w="1134" w:type="dxa"/>
            <w:tcBorders>
              <w:top w:val="single" w:sz="8" w:space="0" w:color="auto"/>
              <w:left w:val="nil"/>
              <w:bottom w:val="single" w:sz="8" w:space="0" w:color="auto"/>
              <w:right w:val="single" w:sz="8" w:space="0" w:color="auto"/>
            </w:tcBorders>
            <w:shd w:val="clear" w:color="auto" w:fill="auto"/>
            <w:noWrap/>
            <w:vAlign w:val="bottom"/>
            <w:hideMark/>
          </w:tcPr>
          <w:p w14:paraId="17CA600A" w14:textId="77777777" w:rsidR="00A43A2C" w:rsidRPr="00A43A2C" w:rsidRDefault="00A43A2C" w:rsidP="00A43A2C">
            <w:pPr>
              <w:jc w:val="right"/>
              <w:rPr>
                <w:rStyle w:val="IntenseReference"/>
              </w:rPr>
            </w:pPr>
            <w:r w:rsidRPr="00A43A2C">
              <w:rPr>
                <w:rStyle w:val="IntenseReference"/>
              </w:rPr>
              <w:t>0.850</w:t>
            </w:r>
          </w:p>
        </w:tc>
        <w:tc>
          <w:tcPr>
            <w:tcW w:w="1276" w:type="dxa"/>
            <w:tcBorders>
              <w:top w:val="nil"/>
              <w:left w:val="nil"/>
              <w:bottom w:val="single" w:sz="8" w:space="0" w:color="auto"/>
              <w:right w:val="single" w:sz="8" w:space="0" w:color="auto"/>
            </w:tcBorders>
            <w:shd w:val="clear" w:color="auto" w:fill="auto"/>
            <w:noWrap/>
            <w:vAlign w:val="center"/>
            <w:hideMark/>
          </w:tcPr>
          <w:p w14:paraId="49D31FEC" w14:textId="77777777" w:rsidR="00A43A2C" w:rsidRPr="00F54AEB" w:rsidRDefault="00A43A2C" w:rsidP="00A43A2C">
            <w:pPr>
              <w:spacing w:after="0"/>
              <w:jc w:val="left"/>
              <w:rPr>
                <w:rFonts w:ascii="Arial Narrow" w:hAnsi="Arial Narrow"/>
                <w:sz w:val="20"/>
                <w:lang w:val="en-AU" w:eastAsia="en-AU"/>
              </w:rPr>
            </w:pPr>
            <w:r w:rsidRPr="00F54AEB">
              <w:rPr>
                <w:rFonts w:ascii="Arial Narrow" w:hAnsi="Arial Narrow"/>
                <w:sz w:val="20"/>
                <w:lang w:val="en-AU" w:eastAsia="en-AU"/>
              </w:rPr>
              <w:t>7.5</w:t>
            </w:r>
          </w:p>
        </w:tc>
      </w:tr>
      <w:tr w:rsidR="00A43A2C" w:rsidRPr="00F352E1" w14:paraId="152BB856" w14:textId="77777777" w:rsidTr="00EC290C">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896F52A" w14:textId="77777777" w:rsidR="00A43A2C" w:rsidRPr="00F54AEB" w:rsidRDefault="00A43A2C" w:rsidP="00A43A2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72480DD1" w14:textId="77777777" w:rsidR="00A43A2C" w:rsidRPr="00F54AEB" w:rsidRDefault="00A43A2C" w:rsidP="00A43A2C">
            <w:pPr>
              <w:spacing w:after="0"/>
              <w:jc w:val="left"/>
              <w:rPr>
                <w:rFonts w:ascii="Arial Narrow" w:hAnsi="Arial Narrow"/>
                <w:sz w:val="20"/>
                <w:lang w:val="en-AU" w:eastAsia="en-AU"/>
              </w:rPr>
            </w:pPr>
            <w:r w:rsidRPr="00F54AEB">
              <w:rPr>
                <w:rFonts w:ascii="Arial Narrow" w:hAnsi="Arial Narrow"/>
                <w:sz w:val="20"/>
                <w:lang w:val="en-AU" w:eastAsia="en-AU"/>
              </w:rPr>
              <w:t>Snapper North</w:t>
            </w:r>
          </w:p>
        </w:tc>
        <w:tc>
          <w:tcPr>
            <w:tcW w:w="909" w:type="dxa"/>
            <w:tcBorders>
              <w:top w:val="nil"/>
              <w:left w:val="nil"/>
              <w:bottom w:val="single" w:sz="8" w:space="0" w:color="auto"/>
              <w:right w:val="single" w:sz="8" w:space="0" w:color="auto"/>
            </w:tcBorders>
            <w:shd w:val="clear" w:color="auto" w:fill="auto"/>
            <w:noWrap/>
            <w:vAlign w:val="bottom"/>
            <w:hideMark/>
          </w:tcPr>
          <w:p w14:paraId="514708A8" w14:textId="77777777" w:rsidR="00A43A2C" w:rsidRPr="00A43A2C" w:rsidRDefault="00FF6CF8" w:rsidP="00A43A2C">
            <w:pPr>
              <w:jc w:val="right"/>
              <w:rPr>
                <w:rStyle w:val="IntenseReference"/>
              </w:rPr>
            </w:pPr>
            <w:r>
              <w:rPr>
                <w:rStyle w:val="IntenseReference"/>
              </w:rPr>
              <w:t>0.124</w:t>
            </w:r>
          </w:p>
        </w:tc>
        <w:tc>
          <w:tcPr>
            <w:tcW w:w="1134" w:type="dxa"/>
            <w:tcBorders>
              <w:top w:val="nil"/>
              <w:left w:val="nil"/>
              <w:bottom w:val="single" w:sz="8" w:space="0" w:color="auto"/>
              <w:right w:val="single" w:sz="8" w:space="0" w:color="auto"/>
            </w:tcBorders>
            <w:shd w:val="clear" w:color="auto" w:fill="auto"/>
            <w:noWrap/>
            <w:vAlign w:val="bottom"/>
            <w:hideMark/>
          </w:tcPr>
          <w:p w14:paraId="2D23E714" w14:textId="77777777" w:rsidR="00A43A2C" w:rsidRPr="00A43A2C" w:rsidRDefault="00A43A2C" w:rsidP="00A43A2C">
            <w:pPr>
              <w:jc w:val="right"/>
              <w:rPr>
                <w:rStyle w:val="IntenseReference"/>
              </w:rPr>
            </w:pPr>
            <w:r w:rsidRPr="00A43A2C">
              <w:rPr>
                <w:rStyle w:val="IntenseReference"/>
              </w:rPr>
              <w:t>0.898</w:t>
            </w:r>
          </w:p>
        </w:tc>
        <w:tc>
          <w:tcPr>
            <w:tcW w:w="1276" w:type="dxa"/>
            <w:tcBorders>
              <w:top w:val="nil"/>
              <w:left w:val="nil"/>
              <w:bottom w:val="single" w:sz="8" w:space="0" w:color="auto"/>
              <w:right w:val="single" w:sz="8" w:space="0" w:color="auto"/>
            </w:tcBorders>
            <w:shd w:val="clear" w:color="auto" w:fill="auto"/>
            <w:noWrap/>
            <w:vAlign w:val="center"/>
            <w:hideMark/>
          </w:tcPr>
          <w:p w14:paraId="5564C022" w14:textId="77777777" w:rsidR="00A43A2C" w:rsidRPr="00F54AEB" w:rsidRDefault="00A43A2C" w:rsidP="00A43A2C">
            <w:pPr>
              <w:spacing w:after="0"/>
              <w:jc w:val="left"/>
              <w:rPr>
                <w:rFonts w:ascii="Arial Narrow" w:hAnsi="Arial Narrow"/>
                <w:sz w:val="20"/>
                <w:lang w:val="en-AU" w:eastAsia="en-AU"/>
              </w:rPr>
            </w:pPr>
            <w:r w:rsidRPr="00F54AEB">
              <w:rPr>
                <w:rFonts w:ascii="Arial Narrow" w:hAnsi="Arial Narrow"/>
                <w:sz w:val="20"/>
                <w:lang w:val="en-AU" w:eastAsia="en-AU"/>
              </w:rPr>
              <w:t>40.462</w:t>
            </w:r>
          </w:p>
        </w:tc>
      </w:tr>
      <w:tr w:rsidR="00A43A2C" w:rsidRPr="00F352E1" w14:paraId="26869F7B" w14:textId="77777777" w:rsidTr="00EC290C">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494B88DE" w14:textId="77777777" w:rsidR="00A43A2C" w:rsidRPr="00F54AEB" w:rsidRDefault="00A43A2C" w:rsidP="00A43A2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71CE8D61" w14:textId="77777777" w:rsidR="00A43A2C" w:rsidRPr="00F54AEB" w:rsidRDefault="00A43A2C" w:rsidP="00A43A2C">
            <w:pPr>
              <w:spacing w:after="0"/>
              <w:jc w:val="left"/>
              <w:rPr>
                <w:rFonts w:ascii="Arial Narrow" w:hAnsi="Arial Narrow"/>
                <w:sz w:val="20"/>
                <w:lang w:val="en-AU" w:eastAsia="en-AU"/>
              </w:rPr>
            </w:pPr>
            <w:r w:rsidRPr="00F54AEB">
              <w:rPr>
                <w:rFonts w:ascii="Arial Narrow" w:hAnsi="Arial Narrow"/>
                <w:sz w:val="20"/>
                <w:lang w:val="en-AU" w:eastAsia="en-AU"/>
              </w:rPr>
              <w:t>Snapper South</w:t>
            </w:r>
          </w:p>
        </w:tc>
        <w:tc>
          <w:tcPr>
            <w:tcW w:w="909" w:type="dxa"/>
            <w:tcBorders>
              <w:top w:val="nil"/>
              <w:left w:val="nil"/>
              <w:bottom w:val="single" w:sz="8" w:space="0" w:color="auto"/>
              <w:right w:val="single" w:sz="8" w:space="0" w:color="auto"/>
            </w:tcBorders>
            <w:shd w:val="clear" w:color="auto" w:fill="auto"/>
            <w:noWrap/>
            <w:vAlign w:val="bottom"/>
            <w:hideMark/>
          </w:tcPr>
          <w:p w14:paraId="1C12AF30" w14:textId="77777777" w:rsidR="00A43A2C" w:rsidRPr="00A43A2C" w:rsidRDefault="00FF6CF8" w:rsidP="00A43A2C">
            <w:pPr>
              <w:jc w:val="right"/>
              <w:rPr>
                <w:rStyle w:val="IntenseReference"/>
              </w:rPr>
            </w:pPr>
            <w:r>
              <w:rPr>
                <w:rStyle w:val="IntenseReference"/>
              </w:rPr>
              <w:t>0.136</w:t>
            </w:r>
          </w:p>
        </w:tc>
        <w:tc>
          <w:tcPr>
            <w:tcW w:w="1134" w:type="dxa"/>
            <w:tcBorders>
              <w:top w:val="nil"/>
              <w:left w:val="nil"/>
              <w:bottom w:val="single" w:sz="8" w:space="0" w:color="auto"/>
              <w:right w:val="single" w:sz="8" w:space="0" w:color="auto"/>
            </w:tcBorders>
            <w:shd w:val="clear" w:color="auto" w:fill="auto"/>
            <w:noWrap/>
            <w:vAlign w:val="bottom"/>
            <w:hideMark/>
          </w:tcPr>
          <w:p w14:paraId="13D77C1D" w14:textId="77777777" w:rsidR="00A43A2C" w:rsidRPr="00A43A2C" w:rsidRDefault="00A43A2C" w:rsidP="00A43A2C">
            <w:pPr>
              <w:jc w:val="right"/>
              <w:rPr>
                <w:rStyle w:val="IntenseReference"/>
              </w:rPr>
            </w:pPr>
            <w:r w:rsidRPr="00A43A2C">
              <w:rPr>
                <w:rStyle w:val="IntenseReference"/>
              </w:rPr>
              <w:t>0.975</w:t>
            </w:r>
          </w:p>
        </w:tc>
        <w:tc>
          <w:tcPr>
            <w:tcW w:w="1276" w:type="dxa"/>
            <w:tcBorders>
              <w:top w:val="nil"/>
              <w:left w:val="nil"/>
              <w:bottom w:val="single" w:sz="8" w:space="0" w:color="auto"/>
              <w:right w:val="single" w:sz="8" w:space="0" w:color="auto"/>
            </w:tcBorders>
            <w:shd w:val="clear" w:color="auto" w:fill="auto"/>
            <w:noWrap/>
            <w:vAlign w:val="center"/>
            <w:hideMark/>
          </w:tcPr>
          <w:p w14:paraId="4CC11670" w14:textId="77777777" w:rsidR="00A43A2C" w:rsidRPr="00F54AEB" w:rsidRDefault="00A43A2C" w:rsidP="00A43A2C">
            <w:pPr>
              <w:spacing w:after="0"/>
              <w:jc w:val="left"/>
              <w:rPr>
                <w:rFonts w:ascii="Arial Narrow" w:hAnsi="Arial Narrow"/>
                <w:sz w:val="20"/>
                <w:lang w:val="en-AU" w:eastAsia="en-AU"/>
              </w:rPr>
            </w:pPr>
            <w:r w:rsidRPr="00F54AEB">
              <w:rPr>
                <w:rFonts w:ascii="Arial Narrow" w:hAnsi="Arial Narrow"/>
                <w:sz w:val="20"/>
                <w:lang w:val="en-AU" w:eastAsia="en-AU"/>
              </w:rPr>
              <w:t>11.154</w:t>
            </w:r>
          </w:p>
        </w:tc>
      </w:tr>
      <w:tr w:rsidR="00A43A2C" w:rsidRPr="00F352E1" w14:paraId="1066E345" w14:textId="77777777" w:rsidTr="00EC290C">
        <w:trPr>
          <w:trHeight w:hRule="exact" w:val="255"/>
        </w:trPr>
        <w:tc>
          <w:tcPr>
            <w:tcW w:w="2709" w:type="dxa"/>
            <w:vMerge w:val="restart"/>
            <w:tcBorders>
              <w:top w:val="nil"/>
              <w:left w:val="single" w:sz="8" w:space="0" w:color="auto"/>
              <w:bottom w:val="single" w:sz="8" w:space="0" w:color="auto"/>
              <w:right w:val="single" w:sz="8" w:space="0" w:color="auto"/>
            </w:tcBorders>
            <w:shd w:val="clear" w:color="auto" w:fill="auto"/>
            <w:noWrap/>
            <w:vAlign w:val="center"/>
            <w:hideMark/>
          </w:tcPr>
          <w:p w14:paraId="15A0EE87" w14:textId="77777777" w:rsidR="00A43A2C" w:rsidRPr="00F54AEB" w:rsidRDefault="00A43A2C" w:rsidP="00A43A2C">
            <w:pPr>
              <w:spacing w:after="0"/>
              <w:jc w:val="left"/>
              <w:rPr>
                <w:rFonts w:ascii="Arial Narrow" w:hAnsi="Arial Narrow"/>
                <w:sz w:val="20"/>
                <w:lang w:val="en-AU" w:eastAsia="en-AU"/>
              </w:rPr>
            </w:pPr>
            <w:r w:rsidRPr="00F54AEB">
              <w:rPr>
                <w:rFonts w:ascii="Arial Narrow" w:hAnsi="Arial Narrow"/>
                <w:sz w:val="20"/>
                <w:lang w:val="en-AU" w:eastAsia="en-AU"/>
              </w:rPr>
              <w:t>Johnstone Russell-Mulgrave</w:t>
            </w:r>
          </w:p>
        </w:tc>
        <w:tc>
          <w:tcPr>
            <w:tcW w:w="1583" w:type="dxa"/>
            <w:tcBorders>
              <w:top w:val="nil"/>
              <w:left w:val="nil"/>
              <w:bottom w:val="single" w:sz="8" w:space="0" w:color="auto"/>
              <w:right w:val="single" w:sz="8" w:space="0" w:color="auto"/>
            </w:tcBorders>
            <w:shd w:val="clear" w:color="auto" w:fill="auto"/>
            <w:noWrap/>
            <w:vAlign w:val="bottom"/>
            <w:hideMark/>
          </w:tcPr>
          <w:p w14:paraId="59EB7766" w14:textId="77777777" w:rsidR="00A43A2C" w:rsidRPr="00F54AEB" w:rsidRDefault="00A43A2C" w:rsidP="00A43A2C">
            <w:pPr>
              <w:spacing w:after="0"/>
              <w:jc w:val="left"/>
              <w:rPr>
                <w:rFonts w:ascii="Arial Narrow" w:hAnsi="Arial Narrow"/>
                <w:sz w:val="20"/>
                <w:lang w:val="en-AU" w:eastAsia="en-AU"/>
              </w:rPr>
            </w:pPr>
            <w:r w:rsidRPr="00F54AEB">
              <w:rPr>
                <w:rFonts w:ascii="Arial Narrow" w:hAnsi="Arial Narrow"/>
                <w:sz w:val="20"/>
                <w:lang w:val="en-AU" w:eastAsia="en-AU"/>
              </w:rPr>
              <w:t>Fitzroy East</w:t>
            </w:r>
          </w:p>
        </w:tc>
        <w:tc>
          <w:tcPr>
            <w:tcW w:w="909" w:type="dxa"/>
            <w:tcBorders>
              <w:top w:val="nil"/>
              <w:left w:val="nil"/>
              <w:bottom w:val="single" w:sz="8" w:space="0" w:color="auto"/>
              <w:right w:val="single" w:sz="8" w:space="0" w:color="auto"/>
            </w:tcBorders>
            <w:shd w:val="clear" w:color="auto" w:fill="auto"/>
            <w:noWrap/>
            <w:vAlign w:val="bottom"/>
            <w:hideMark/>
          </w:tcPr>
          <w:p w14:paraId="39507366" w14:textId="77777777" w:rsidR="00A43A2C" w:rsidRPr="00A43A2C" w:rsidRDefault="00A43A2C" w:rsidP="00FF6CF8">
            <w:pPr>
              <w:jc w:val="right"/>
              <w:rPr>
                <w:rStyle w:val="IntenseReference"/>
              </w:rPr>
            </w:pPr>
            <w:r w:rsidRPr="00A43A2C">
              <w:rPr>
                <w:rStyle w:val="IntenseReference"/>
              </w:rPr>
              <w:t>0.</w:t>
            </w:r>
            <w:r w:rsidR="00FF6CF8">
              <w:rPr>
                <w:rStyle w:val="IntenseReference"/>
              </w:rPr>
              <w:t>039</w:t>
            </w:r>
          </w:p>
        </w:tc>
        <w:tc>
          <w:tcPr>
            <w:tcW w:w="1134" w:type="dxa"/>
            <w:tcBorders>
              <w:top w:val="nil"/>
              <w:left w:val="nil"/>
              <w:bottom w:val="single" w:sz="8" w:space="0" w:color="auto"/>
              <w:right w:val="single" w:sz="8" w:space="0" w:color="auto"/>
            </w:tcBorders>
            <w:shd w:val="clear" w:color="auto" w:fill="auto"/>
            <w:noWrap/>
            <w:vAlign w:val="bottom"/>
            <w:hideMark/>
          </w:tcPr>
          <w:p w14:paraId="5E67E6BF" w14:textId="77777777" w:rsidR="00A43A2C" w:rsidRPr="00A43A2C" w:rsidRDefault="00A43A2C" w:rsidP="00A43A2C">
            <w:pPr>
              <w:jc w:val="right"/>
              <w:rPr>
                <w:rStyle w:val="IntenseReference"/>
              </w:rPr>
            </w:pPr>
            <w:r w:rsidRPr="00A43A2C">
              <w:rPr>
                <w:rStyle w:val="IntenseReference"/>
              </w:rPr>
              <w:t>0.617</w:t>
            </w:r>
          </w:p>
        </w:tc>
        <w:tc>
          <w:tcPr>
            <w:tcW w:w="1276" w:type="dxa"/>
            <w:tcBorders>
              <w:top w:val="nil"/>
              <w:left w:val="nil"/>
              <w:bottom w:val="single" w:sz="8" w:space="0" w:color="auto"/>
              <w:right w:val="single" w:sz="8" w:space="0" w:color="auto"/>
            </w:tcBorders>
            <w:shd w:val="clear" w:color="auto" w:fill="auto"/>
            <w:noWrap/>
            <w:vAlign w:val="center"/>
            <w:hideMark/>
          </w:tcPr>
          <w:p w14:paraId="530C0D4B" w14:textId="77777777" w:rsidR="00A43A2C" w:rsidRPr="00F54AEB" w:rsidRDefault="00A43A2C" w:rsidP="00A43A2C">
            <w:pPr>
              <w:spacing w:after="0"/>
              <w:jc w:val="left"/>
              <w:rPr>
                <w:rFonts w:ascii="Arial Narrow" w:hAnsi="Arial Narrow"/>
                <w:sz w:val="20"/>
                <w:lang w:val="en-AU" w:eastAsia="en-AU"/>
              </w:rPr>
            </w:pPr>
            <w:r w:rsidRPr="00F54AEB">
              <w:rPr>
                <w:rFonts w:ascii="Arial Narrow" w:hAnsi="Arial Narrow"/>
                <w:sz w:val="20"/>
                <w:lang w:val="en-AU" w:eastAsia="en-AU"/>
              </w:rPr>
              <w:t>1.653</w:t>
            </w:r>
          </w:p>
        </w:tc>
      </w:tr>
      <w:tr w:rsidR="00A43A2C" w:rsidRPr="00F352E1" w14:paraId="071D61F0" w14:textId="77777777" w:rsidTr="00EC290C">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6298C8E" w14:textId="77777777" w:rsidR="00A43A2C" w:rsidRPr="00F54AEB" w:rsidRDefault="00A43A2C" w:rsidP="00A43A2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3021029" w14:textId="77777777" w:rsidR="00A43A2C" w:rsidRPr="00F54AEB" w:rsidRDefault="00A43A2C" w:rsidP="00A43A2C">
            <w:pPr>
              <w:spacing w:after="0"/>
              <w:jc w:val="left"/>
              <w:rPr>
                <w:rFonts w:ascii="Arial Narrow" w:hAnsi="Arial Narrow"/>
                <w:sz w:val="20"/>
                <w:lang w:val="en-AU" w:eastAsia="en-AU"/>
              </w:rPr>
            </w:pPr>
            <w:r w:rsidRPr="00F54AEB">
              <w:rPr>
                <w:rFonts w:ascii="Arial Narrow" w:hAnsi="Arial Narrow"/>
                <w:sz w:val="20"/>
                <w:lang w:val="en-AU" w:eastAsia="en-AU"/>
              </w:rPr>
              <w:t>Franklands East</w:t>
            </w:r>
          </w:p>
        </w:tc>
        <w:tc>
          <w:tcPr>
            <w:tcW w:w="909" w:type="dxa"/>
            <w:tcBorders>
              <w:top w:val="nil"/>
              <w:left w:val="nil"/>
              <w:bottom w:val="single" w:sz="8" w:space="0" w:color="auto"/>
              <w:right w:val="single" w:sz="8" w:space="0" w:color="auto"/>
            </w:tcBorders>
            <w:shd w:val="clear" w:color="auto" w:fill="auto"/>
            <w:noWrap/>
            <w:vAlign w:val="bottom"/>
            <w:hideMark/>
          </w:tcPr>
          <w:p w14:paraId="5132AFF0" w14:textId="77777777" w:rsidR="00A43A2C" w:rsidRPr="00A43A2C" w:rsidRDefault="00A43A2C" w:rsidP="00FF6CF8">
            <w:pPr>
              <w:jc w:val="right"/>
              <w:rPr>
                <w:rStyle w:val="IntenseReference"/>
              </w:rPr>
            </w:pPr>
            <w:r w:rsidRPr="00A43A2C">
              <w:rPr>
                <w:rStyle w:val="IntenseReference"/>
              </w:rPr>
              <w:t>0.</w:t>
            </w:r>
            <w:r w:rsidR="00FF6CF8">
              <w:rPr>
                <w:rStyle w:val="IntenseReference"/>
              </w:rPr>
              <w:t>046</w:t>
            </w:r>
          </w:p>
        </w:tc>
        <w:tc>
          <w:tcPr>
            <w:tcW w:w="1134" w:type="dxa"/>
            <w:tcBorders>
              <w:top w:val="nil"/>
              <w:left w:val="nil"/>
              <w:bottom w:val="single" w:sz="8" w:space="0" w:color="auto"/>
              <w:right w:val="single" w:sz="8" w:space="0" w:color="auto"/>
            </w:tcBorders>
            <w:shd w:val="clear" w:color="auto" w:fill="auto"/>
            <w:noWrap/>
            <w:vAlign w:val="bottom"/>
            <w:hideMark/>
          </w:tcPr>
          <w:p w14:paraId="20946920" w14:textId="77777777" w:rsidR="00A43A2C" w:rsidRPr="00A43A2C" w:rsidRDefault="00A43A2C" w:rsidP="00A43A2C">
            <w:pPr>
              <w:jc w:val="right"/>
              <w:rPr>
                <w:rStyle w:val="IntenseReference"/>
              </w:rPr>
            </w:pPr>
            <w:r w:rsidRPr="00A43A2C">
              <w:rPr>
                <w:rStyle w:val="IntenseReference"/>
              </w:rPr>
              <w:t>0.645</w:t>
            </w:r>
          </w:p>
        </w:tc>
        <w:tc>
          <w:tcPr>
            <w:tcW w:w="1276" w:type="dxa"/>
            <w:tcBorders>
              <w:top w:val="nil"/>
              <w:left w:val="nil"/>
              <w:bottom w:val="single" w:sz="8" w:space="0" w:color="auto"/>
              <w:right w:val="single" w:sz="8" w:space="0" w:color="auto"/>
            </w:tcBorders>
            <w:shd w:val="clear" w:color="auto" w:fill="auto"/>
            <w:noWrap/>
            <w:vAlign w:val="center"/>
            <w:hideMark/>
          </w:tcPr>
          <w:p w14:paraId="7891A96B" w14:textId="77777777" w:rsidR="00A43A2C" w:rsidRPr="00F54AEB" w:rsidRDefault="00A43A2C" w:rsidP="00A43A2C">
            <w:pPr>
              <w:spacing w:after="0"/>
              <w:jc w:val="left"/>
              <w:rPr>
                <w:rFonts w:ascii="Arial Narrow" w:hAnsi="Arial Narrow"/>
                <w:sz w:val="20"/>
                <w:lang w:val="en-AU" w:eastAsia="en-AU"/>
              </w:rPr>
            </w:pPr>
            <w:r w:rsidRPr="00F54AEB">
              <w:rPr>
                <w:rFonts w:ascii="Arial Narrow" w:hAnsi="Arial Narrow"/>
                <w:sz w:val="20"/>
                <w:lang w:val="en-AU" w:eastAsia="en-AU"/>
              </w:rPr>
              <w:t>3.236</w:t>
            </w:r>
          </w:p>
        </w:tc>
      </w:tr>
      <w:tr w:rsidR="00A43A2C" w:rsidRPr="00F352E1" w14:paraId="004BA1BB" w14:textId="77777777" w:rsidTr="00EC290C">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0D42F59A" w14:textId="77777777" w:rsidR="00A43A2C" w:rsidRPr="00F54AEB" w:rsidRDefault="00A43A2C" w:rsidP="00A43A2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CD4DE60" w14:textId="77777777" w:rsidR="00A43A2C" w:rsidRPr="00F54AEB" w:rsidRDefault="00A43A2C" w:rsidP="00A43A2C">
            <w:pPr>
              <w:spacing w:after="0"/>
              <w:jc w:val="left"/>
              <w:rPr>
                <w:rFonts w:ascii="Arial Narrow" w:hAnsi="Arial Narrow"/>
                <w:sz w:val="20"/>
                <w:lang w:val="en-AU" w:eastAsia="en-AU"/>
              </w:rPr>
            </w:pPr>
            <w:r w:rsidRPr="00F54AEB">
              <w:rPr>
                <w:rFonts w:ascii="Arial Narrow" w:hAnsi="Arial Narrow"/>
                <w:sz w:val="20"/>
                <w:lang w:val="en-AU" w:eastAsia="en-AU"/>
              </w:rPr>
              <w:t>Green</w:t>
            </w:r>
          </w:p>
        </w:tc>
        <w:tc>
          <w:tcPr>
            <w:tcW w:w="909" w:type="dxa"/>
            <w:tcBorders>
              <w:top w:val="nil"/>
              <w:left w:val="nil"/>
              <w:bottom w:val="single" w:sz="8" w:space="0" w:color="auto"/>
              <w:right w:val="single" w:sz="8" w:space="0" w:color="auto"/>
            </w:tcBorders>
            <w:shd w:val="clear" w:color="auto" w:fill="auto"/>
            <w:noWrap/>
            <w:vAlign w:val="bottom"/>
            <w:hideMark/>
          </w:tcPr>
          <w:p w14:paraId="6D63E303" w14:textId="77777777" w:rsidR="00A43A2C" w:rsidRPr="00A43A2C" w:rsidRDefault="00A43A2C" w:rsidP="00FF6CF8">
            <w:pPr>
              <w:jc w:val="right"/>
              <w:rPr>
                <w:rStyle w:val="IntenseReference"/>
              </w:rPr>
            </w:pPr>
            <w:r w:rsidRPr="00A43A2C">
              <w:rPr>
                <w:rStyle w:val="IntenseReference"/>
              </w:rPr>
              <w:t>0.</w:t>
            </w:r>
            <w:r w:rsidR="00FF6CF8">
              <w:rPr>
                <w:rStyle w:val="IntenseReference"/>
              </w:rPr>
              <w:t>043</w:t>
            </w:r>
          </w:p>
        </w:tc>
        <w:tc>
          <w:tcPr>
            <w:tcW w:w="1134" w:type="dxa"/>
            <w:tcBorders>
              <w:top w:val="nil"/>
              <w:left w:val="nil"/>
              <w:bottom w:val="single" w:sz="8" w:space="0" w:color="auto"/>
              <w:right w:val="single" w:sz="8" w:space="0" w:color="auto"/>
            </w:tcBorders>
            <w:shd w:val="clear" w:color="auto" w:fill="auto"/>
            <w:noWrap/>
            <w:vAlign w:val="bottom"/>
            <w:hideMark/>
          </w:tcPr>
          <w:p w14:paraId="2C08D7A3" w14:textId="77777777" w:rsidR="00A43A2C" w:rsidRPr="00A43A2C" w:rsidRDefault="00A43A2C" w:rsidP="00A43A2C">
            <w:pPr>
              <w:jc w:val="right"/>
              <w:rPr>
                <w:rStyle w:val="IntenseReference"/>
              </w:rPr>
            </w:pPr>
            <w:r w:rsidRPr="00A43A2C">
              <w:rPr>
                <w:rStyle w:val="IntenseReference"/>
              </w:rPr>
              <w:t>0.524</w:t>
            </w:r>
          </w:p>
        </w:tc>
        <w:tc>
          <w:tcPr>
            <w:tcW w:w="1276" w:type="dxa"/>
            <w:tcBorders>
              <w:top w:val="nil"/>
              <w:left w:val="nil"/>
              <w:bottom w:val="single" w:sz="8" w:space="0" w:color="auto"/>
              <w:right w:val="single" w:sz="8" w:space="0" w:color="auto"/>
            </w:tcBorders>
            <w:shd w:val="clear" w:color="auto" w:fill="auto"/>
            <w:noWrap/>
            <w:vAlign w:val="center"/>
            <w:hideMark/>
          </w:tcPr>
          <w:p w14:paraId="6A455145" w14:textId="77777777" w:rsidR="00A43A2C" w:rsidRPr="00F54AEB" w:rsidRDefault="00A43A2C" w:rsidP="00A43A2C">
            <w:pPr>
              <w:spacing w:after="0"/>
              <w:jc w:val="left"/>
              <w:rPr>
                <w:rFonts w:ascii="Arial Narrow" w:hAnsi="Arial Narrow"/>
                <w:sz w:val="20"/>
                <w:lang w:val="en-AU" w:eastAsia="en-AU"/>
              </w:rPr>
            </w:pPr>
            <w:r w:rsidRPr="00F54AEB">
              <w:rPr>
                <w:rFonts w:ascii="Arial Narrow" w:hAnsi="Arial Narrow"/>
                <w:sz w:val="20"/>
                <w:lang w:val="en-AU" w:eastAsia="en-AU"/>
              </w:rPr>
              <w:t>6.5</w:t>
            </w:r>
          </w:p>
        </w:tc>
      </w:tr>
      <w:tr w:rsidR="00A43A2C" w:rsidRPr="00F352E1" w14:paraId="0B6862B7" w14:textId="77777777" w:rsidTr="00EC290C">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7088385B" w14:textId="77777777" w:rsidR="00A43A2C" w:rsidRPr="00F54AEB" w:rsidRDefault="00A43A2C" w:rsidP="00A43A2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34E6E875" w14:textId="77777777" w:rsidR="00A43A2C" w:rsidRPr="00F54AEB" w:rsidRDefault="00A43A2C" w:rsidP="00A43A2C">
            <w:pPr>
              <w:spacing w:after="0"/>
              <w:jc w:val="left"/>
              <w:rPr>
                <w:rFonts w:ascii="Arial Narrow" w:hAnsi="Arial Narrow"/>
                <w:sz w:val="20"/>
                <w:lang w:val="en-AU" w:eastAsia="en-AU"/>
              </w:rPr>
            </w:pPr>
            <w:r w:rsidRPr="00F54AEB">
              <w:rPr>
                <w:rFonts w:ascii="Arial Narrow" w:hAnsi="Arial Narrow"/>
                <w:sz w:val="20"/>
                <w:lang w:val="en-AU" w:eastAsia="en-AU"/>
              </w:rPr>
              <w:t>Franklands West</w:t>
            </w:r>
          </w:p>
        </w:tc>
        <w:tc>
          <w:tcPr>
            <w:tcW w:w="909" w:type="dxa"/>
            <w:tcBorders>
              <w:top w:val="nil"/>
              <w:left w:val="nil"/>
              <w:bottom w:val="single" w:sz="8" w:space="0" w:color="auto"/>
              <w:right w:val="single" w:sz="8" w:space="0" w:color="auto"/>
            </w:tcBorders>
            <w:shd w:val="clear" w:color="auto" w:fill="auto"/>
            <w:noWrap/>
            <w:vAlign w:val="bottom"/>
            <w:hideMark/>
          </w:tcPr>
          <w:p w14:paraId="197099DD" w14:textId="77777777" w:rsidR="00A43A2C" w:rsidRPr="00A43A2C" w:rsidRDefault="00A43A2C" w:rsidP="00FF6CF8">
            <w:pPr>
              <w:jc w:val="right"/>
              <w:rPr>
                <w:rStyle w:val="IntenseReference"/>
              </w:rPr>
            </w:pPr>
            <w:r w:rsidRPr="00A43A2C">
              <w:rPr>
                <w:rStyle w:val="IntenseReference"/>
              </w:rPr>
              <w:t>0.</w:t>
            </w:r>
            <w:r w:rsidR="00FF6CF8">
              <w:rPr>
                <w:rStyle w:val="IntenseReference"/>
              </w:rPr>
              <w:t>068</w:t>
            </w:r>
          </w:p>
        </w:tc>
        <w:tc>
          <w:tcPr>
            <w:tcW w:w="1134" w:type="dxa"/>
            <w:tcBorders>
              <w:top w:val="nil"/>
              <w:left w:val="nil"/>
              <w:bottom w:val="single" w:sz="8" w:space="0" w:color="auto"/>
              <w:right w:val="single" w:sz="8" w:space="0" w:color="auto"/>
            </w:tcBorders>
            <w:shd w:val="clear" w:color="auto" w:fill="auto"/>
            <w:noWrap/>
            <w:vAlign w:val="bottom"/>
            <w:hideMark/>
          </w:tcPr>
          <w:p w14:paraId="0FCB6018" w14:textId="77777777" w:rsidR="00A43A2C" w:rsidRPr="00A43A2C" w:rsidRDefault="00A43A2C" w:rsidP="00A43A2C">
            <w:pPr>
              <w:jc w:val="right"/>
              <w:rPr>
                <w:rStyle w:val="IntenseReference"/>
              </w:rPr>
            </w:pPr>
            <w:r w:rsidRPr="00A43A2C">
              <w:rPr>
                <w:rStyle w:val="IntenseReference"/>
              </w:rPr>
              <w:t>0.673</w:t>
            </w:r>
          </w:p>
        </w:tc>
        <w:tc>
          <w:tcPr>
            <w:tcW w:w="1276" w:type="dxa"/>
            <w:tcBorders>
              <w:top w:val="nil"/>
              <w:left w:val="nil"/>
              <w:bottom w:val="single" w:sz="8" w:space="0" w:color="auto"/>
              <w:right w:val="single" w:sz="8" w:space="0" w:color="auto"/>
            </w:tcBorders>
            <w:shd w:val="clear" w:color="auto" w:fill="auto"/>
            <w:noWrap/>
            <w:vAlign w:val="center"/>
            <w:hideMark/>
          </w:tcPr>
          <w:p w14:paraId="08324407" w14:textId="77777777" w:rsidR="00A43A2C" w:rsidRPr="00F54AEB" w:rsidRDefault="00A43A2C" w:rsidP="00A43A2C">
            <w:pPr>
              <w:spacing w:after="0"/>
              <w:jc w:val="left"/>
              <w:rPr>
                <w:rFonts w:ascii="Arial Narrow" w:hAnsi="Arial Narrow"/>
                <w:sz w:val="20"/>
                <w:lang w:val="en-AU" w:eastAsia="en-AU"/>
              </w:rPr>
            </w:pPr>
            <w:r w:rsidRPr="00F54AEB">
              <w:rPr>
                <w:rFonts w:ascii="Arial Narrow" w:hAnsi="Arial Narrow"/>
                <w:sz w:val="20"/>
                <w:lang w:val="en-AU" w:eastAsia="en-AU"/>
              </w:rPr>
              <w:t>31.268</w:t>
            </w:r>
          </w:p>
        </w:tc>
      </w:tr>
      <w:tr w:rsidR="00EC290C" w:rsidRPr="00F352E1" w14:paraId="5A2A0921" w14:textId="77777777" w:rsidTr="00EC290C">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3E9FB35D"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tcPr>
          <w:p w14:paraId="0FB0C90F"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High East</w:t>
            </w:r>
          </w:p>
        </w:tc>
        <w:tc>
          <w:tcPr>
            <w:tcW w:w="909" w:type="dxa"/>
            <w:tcBorders>
              <w:top w:val="nil"/>
              <w:left w:val="nil"/>
              <w:bottom w:val="single" w:sz="8" w:space="0" w:color="auto"/>
              <w:right w:val="single" w:sz="8" w:space="0" w:color="auto"/>
            </w:tcBorders>
            <w:shd w:val="clear" w:color="auto" w:fill="auto"/>
            <w:noWrap/>
            <w:vAlign w:val="bottom"/>
          </w:tcPr>
          <w:p w14:paraId="0C1E08DD" w14:textId="77777777" w:rsidR="00EC290C" w:rsidRPr="00A43A2C" w:rsidRDefault="00EC290C" w:rsidP="00FF6CF8">
            <w:pPr>
              <w:jc w:val="right"/>
              <w:rPr>
                <w:rStyle w:val="IntenseReference"/>
              </w:rPr>
            </w:pPr>
            <w:r w:rsidRPr="00A43A2C">
              <w:rPr>
                <w:rStyle w:val="IntenseReference"/>
              </w:rPr>
              <w:t>0.</w:t>
            </w:r>
            <w:r w:rsidR="00FF6CF8">
              <w:rPr>
                <w:rStyle w:val="IntenseReference"/>
              </w:rPr>
              <w:t>067</w:t>
            </w:r>
          </w:p>
        </w:tc>
        <w:tc>
          <w:tcPr>
            <w:tcW w:w="1134" w:type="dxa"/>
            <w:tcBorders>
              <w:top w:val="nil"/>
              <w:left w:val="nil"/>
              <w:bottom w:val="single" w:sz="8" w:space="0" w:color="auto"/>
              <w:right w:val="single" w:sz="8" w:space="0" w:color="auto"/>
            </w:tcBorders>
            <w:shd w:val="clear" w:color="auto" w:fill="auto"/>
            <w:noWrap/>
            <w:vAlign w:val="bottom"/>
          </w:tcPr>
          <w:p w14:paraId="7746B38A" w14:textId="77777777" w:rsidR="00EC290C" w:rsidRPr="00A43A2C" w:rsidRDefault="00EC290C" w:rsidP="00EC290C">
            <w:pPr>
              <w:jc w:val="right"/>
              <w:rPr>
                <w:rStyle w:val="IntenseReference"/>
              </w:rPr>
            </w:pPr>
            <w:r w:rsidRPr="00A43A2C">
              <w:rPr>
                <w:rStyle w:val="IntenseReference"/>
              </w:rPr>
              <w:t>0.709</w:t>
            </w:r>
          </w:p>
        </w:tc>
        <w:tc>
          <w:tcPr>
            <w:tcW w:w="1276" w:type="dxa"/>
            <w:tcBorders>
              <w:top w:val="nil"/>
              <w:left w:val="nil"/>
              <w:bottom w:val="single" w:sz="8" w:space="0" w:color="auto"/>
              <w:right w:val="single" w:sz="8" w:space="0" w:color="auto"/>
            </w:tcBorders>
            <w:shd w:val="clear" w:color="auto" w:fill="auto"/>
            <w:noWrap/>
            <w:vAlign w:val="center"/>
          </w:tcPr>
          <w:p w14:paraId="6E62AA3E"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1.349</w:t>
            </w:r>
          </w:p>
        </w:tc>
      </w:tr>
      <w:tr w:rsidR="00EC290C" w:rsidRPr="00F352E1" w14:paraId="2D69A1E7" w14:textId="77777777" w:rsidTr="00EC290C">
        <w:trPr>
          <w:trHeight w:hRule="exact" w:val="255"/>
        </w:trPr>
        <w:tc>
          <w:tcPr>
            <w:tcW w:w="2709" w:type="dxa"/>
            <w:vMerge/>
            <w:tcBorders>
              <w:top w:val="nil"/>
              <w:left w:val="single" w:sz="8" w:space="0" w:color="auto"/>
              <w:bottom w:val="single" w:sz="8" w:space="0" w:color="auto"/>
              <w:right w:val="single" w:sz="8" w:space="0" w:color="auto"/>
            </w:tcBorders>
            <w:vAlign w:val="center"/>
          </w:tcPr>
          <w:p w14:paraId="19AD1387"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tcPr>
          <w:p w14:paraId="1FD2E209"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Fitzroy West</w:t>
            </w:r>
          </w:p>
        </w:tc>
        <w:tc>
          <w:tcPr>
            <w:tcW w:w="909" w:type="dxa"/>
            <w:tcBorders>
              <w:top w:val="nil"/>
              <w:left w:val="nil"/>
              <w:bottom w:val="single" w:sz="8" w:space="0" w:color="auto"/>
              <w:right w:val="single" w:sz="8" w:space="0" w:color="auto"/>
            </w:tcBorders>
            <w:shd w:val="clear" w:color="auto" w:fill="auto"/>
            <w:noWrap/>
            <w:vAlign w:val="bottom"/>
          </w:tcPr>
          <w:p w14:paraId="78362B63" w14:textId="77777777" w:rsidR="00EC290C" w:rsidRPr="00A43A2C" w:rsidRDefault="00EC290C" w:rsidP="00FF6CF8">
            <w:pPr>
              <w:jc w:val="right"/>
              <w:rPr>
                <w:rStyle w:val="IntenseReference"/>
              </w:rPr>
            </w:pPr>
            <w:r w:rsidRPr="00A43A2C">
              <w:rPr>
                <w:rStyle w:val="IntenseReference"/>
              </w:rPr>
              <w:t>0.</w:t>
            </w:r>
            <w:r w:rsidR="00FF6CF8">
              <w:rPr>
                <w:rStyle w:val="IntenseReference"/>
              </w:rPr>
              <w:t>062</w:t>
            </w:r>
          </w:p>
        </w:tc>
        <w:tc>
          <w:tcPr>
            <w:tcW w:w="1134" w:type="dxa"/>
            <w:tcBorders>
              <w:top w:val="nil"/>
              <w:left w:val="nil"/>
              <w:bottom w:val="single" w:sz="8" w:space="0" w:color="auto"/>
              <w:right w:val="single" w:sz="8" w:space="0" w:color="auto"/>
            </w:tcBorders>
            <w:shd w:val="clear" w:color="auto" w:fill="auto"/>
            <w:noWrap/>
            <w:vAlign w:val="bottom"/>
          </w:tcPr>
          <w:p w14:paraId="512B770A" w14:textId="77777777" w:rsidR="00EC290C" w:rsidRPr="00A43A2C" w:rsidRDefault="00EC290C" w:rsidP="00EC290C">
            <w:pPr>
              <w:jc w:val="right"/>
              <w:rPr>
                <w:rStyle w:val="IntenseReference"/>
              </w:rPr>
            </w:pPr>
            <w:r w:rsidRPr="00A43A2C">
              <w:rPr>
                <w:rStyle w:val="IntenseReference"/>
              </w:rPr>
              <w:t>0.668</w:t>
            </w:r>
          </w:p>
        </w:tc>
        <w:tc>
          <w:tcPr>
            <w:tcW w:w="1276" w:type="dxa"/>
            <w:tcBorders>
              <w:top w:val="nil"/>
              <w:left w:val="nil"/>
              <w:bottom w:val="single" w:sz="8" w:space="0" w:color="auto"/>
              <w:right w:val="single" w:sz="8" w:space="0" w:color="auto"/>
            </w:tcBorders>
            <w:shd w:val="clear" w:color="auto" w:fill="auto"/>
            <w:noWrap/>
            <w:vAlign w:val="center"/>
          </w:tcPr>
          <w:p w14:paraId="0B82A110"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9.302</w:t>
            </w:r>
          </w:p>
        </w:tc>
      </w:tr>
      <w:tr w:rsidR="00EC290C" w:rsidRPr="00F352E1" w14:paraId="77412D69" w14:textId="77777777" w:rsidTr="00EC290C">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4874F282"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49884C07"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High West</w:t>
            </w:r>
          </w:p>
        </w:tc>
        <w:tc>
          <w:tcPr>
            <w:tcW w:w="909" w:type="dxa"/>
            <w:tcBorders>
              <w:top w:val="nil"/>
              <w:left w:val="nil"/>
              <w:bottom w:val="single" w:sz="8" w:space="0" w:color="auto"/>
              <w:right w:val="single" w:sz="8" w:space="0" w:color="auto"/>
            </w:tcBorders>
            <w:shd w:val="clear" w:color="auto" w:fill="auto"/>
            <w:noWrap/>
            <w:vAlign w:val="bottom"/>
            <w:hideMark/>
          </w:tcPr>
          <w:p w14:paraId="0CD98A7A" w14:textId="77777777" w:rsidR="00EC290C" w:rsidRPr="00A43A2C" w:rsidRDefault="00EC290C" w:rsidP="00FF6CF8">
            <w:pPr>
              <w:jc w:val="right"/>
              <w:rPr>
                <w:rStyle w:val="IntenseReference"/>
              </w:rPr>
            </w:pPr>
            <w:r w:rsidRPr="00A43A2C">
              <w:rPr>
                <w:rStyle w:val="IntenseReference"/>
              </w:rPr>
              <w:t>0.</w:t>
            </w:r>
            <w:r w:rsidR="00FF6CF8">
              <w:rPr>
                <w:rStyle w:val="IntenseReference"/>
              </w:rPr>
              <w:t>134</w:t>
            </w:r>
          </w:p>
        </w:tc>
        <w:tc>
          <w:tcPr>
            <w:tcW w:w="1134" w:type="dxa"/>
            <w:tcBorders>
              <w:top w:val="nil"/>
              <w:left w:val="nil"/>
              <w:bottom w:val="single" w:sz="8" w:space="0" w:color="auto"/>
              <w:right w:val="single" w:sz="8" w:space="0" w:color="auto"/>
            </w:tcBorders>
            <w:shd w:val="clear" w:color="auto" w:fill="auto"/>
            <w:noWrap/>
            <w:vAlign w:val="bottom"/>
            <w:hideMark/>
          </w:tcPr>
          <w:p w14:paraId="10A22D4F" w14:textId="77777777" w:rsidR="00EC290C" w:rsidRPr="00A43A2C" w:rsidRDefault="00EC290C" w:rsidP="00EC290C">
            <w:pPr>
              <w:jc w:val="right"/>
              <w:rPr>
                <w:rStyle w:val="IntenseReference"/>
              </w:rPr>
            </w:pPr>
            <w:r w:rsidRPr="00A43A2C">
              <w:rPr>
                <w:rStyle w:val="IntenseReference"/>
              </w:rPr>
              <w:t>0.880</w:t>
            </w:r>
          </w:p>
        </w:tc>
        <w:tc>
          <w:tcPr>
            <w:tcW w:w="1276" w:type="dxa"/>
            <w:tcBorders>
              <w:top w:val="nil"/>
              <w:left w:val="nil"/>
              <w:bottom w:val="single" w:sz="8" w:space="0" w:color="auto"/>
              <w:right w:val="single" w:sz="8" w:space="0" w:color="auto"/>
            </w:tcBorders>
            <w:shd w:val="clear" w:color="auto" w:fill="auto"/>
            <w:noWrap/>
            <w:vAlign w:val="center"/>
            <w:hideMark/>
          </w:tcPr>
          <w:p w14:paraId="38B0F203"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12.758</w:t>
            </w:r>
          </w:p>
        </w:tc>
      </w:tr>
      <w:tr w:rsidR="00EC290C" w:rsidRPr="00F352E1" w14:paraId="76CE493D" w14:textId="77777777" w:rsidTr="00EC290C">
        <w:trPr>
          <w:trHeight w:hRule="exact" w:val="255"/>
        </w:trPr>
        <w:tc>
          <w:tcPr>
            <w:tcW w:w="2709" w:type="dxa"/>
            <w:vMerge w:val="restart"/>
            <w:tcBorders>
              <w:top w:val="nil"/>
              <w:left w:val="single" w:sz="8" w:space="0" w:color="auto"/>
              <w:bottom w:val="single" w:sz="8" w:space="0" w:color="auto"/>
              <w:right w:val="single" w:sz="8" w:space="0" w:color="auto"/>
            </w:tcBorders>
            <w:shd w:val="clear" w:color="auto" w:fill="auto"/>
            <w:noWrap/>
            <w:vAlign w:val="center"/>
            <w:hideMark/>
          </w:tcPr>
          <w:p w14:paraId="1A780A8F"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Herbert Tully</w:t>
            </w:r>
          </w:p>
        </w:tc>
        <w:tc>
          <w:tcPr>
            <w:tcW w:w="1583" w:type="dxa"/>
            <w:tcBorders>
              <w:top w:val="nil"/>
              <w:left w:val="nil"/>
              <w:bottom w:val="single" w:sz="8" w:space="0" w:color="auto"/>
              <w:right w:val="single" w:sz="8" w:space="0" w:color="auto"/>
            </w:tcBorders>
            <w:shd w:val="clear" w:color="auto" w:fill="auto"/>
            <w:noWrap/>
            <w:vAlign w:val="bottom"/>
            <w:hideMark/>
          </w:tcPr>
          <w:p w14:paraId="0A39DBB5"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Barnards</w:t>
            </w:r>
          </w:p>
        </w:tc>
        <w:tc>
          <w:tcPr>
            <w:tcW w:w="909" w:type="dxa"/>
            <w:tcBorders>
              <w:top w:val="nil"/>
              <w:left w:val="nil"/>
              <w:bottom w:val="single" w:sz="8" w:space="0" w:color="auto"/>
              <w:right w:val="single" w:sz="8" w:space="0" w:color="auto"/>
            </w:tcBorders>
            <w:shd w:val="clear" w:color="auto" w:fill="auto"/>
            <w:noWrap/>
            <w:vAlign w:val="bottom"/>
            <w:hideMark/>
          </w:tcPr>
          <w:p w14:paraId="68AE545E" w14:textId="77777777" w:rsidR="00EC290C" w:rsidRPr="00A43A2C" w:rsidRDefault="00EC290C" w:rsidP="00FF6CF8">
            <w:pPr>
              <w:jc w:val="right"/>
              <w:rPr>
                <w:rStyle w:val="IntenseReference"/>
              </w:rPr>
            </w:pPr>
            <w:r w:rsidRPr="00A43A2C">
              <w:rPr>
                <w:rStyle w:val="IntenseReference"/>
              </w:rPr>
              <w:t>0.</w:t>
            </w:r>
            <w:r w:rsidR="00FF6CF8">
              <w:rPr>
                <w:rStyle w:val="IntenseReference"/>
              </w:rPr>
              <w:t>127</w:t>
            </w:r>
          </w:p>
        </w:tc>
        <w:tc>
          <w:tcPr>
            <w:tcW w:w="1134" w:type="dxa"/>
            <w:tcBorders>
              <w:top w:val="nil"/>
              <w:left w:val="nil"/>
              <w:bottom w:val="single" w:sz="8" w:space="0" w:color="auto"/>
              <w:right w:val="single" w:sz="8" w:space="0" w:color="auto"/>
            </w:tcBorders>
            <w:shd w:val="clear" w:color="auto" w:fill="auto"/>
            <w:noWrap/>
            <w:vAlign w:val="bottom"/>
            <w:hideMark/>
          </w:tcPr>
          <w:p w14:paraId="02E77B09" w14:textId="77777777" w:rsidR="00EC290C" w:rsidRPr="00A43A2C" w:rsidRDefault="00EC290C" w:rsidP="00EC290C">
            <w:pPr>
              <w:jc w:val="right"/>
              <w:rPr>
                <w:rStyle w:val="IntenseReference"/>
              </w:rPr>
            </w:pPr>
            <w:r w:rsidRPr="00A43A2C">
              <w:rPr>
                <w:rStyle w:val="IntenseReference"/>
              </w:rPr>
              <w:t>0.708</w:t>
            </w:r>
          </w:p>
        </w:tc>
        <w:tc>
          <w:tcPr>
            <w:tcW w:w="1276" w:type="dxa"/>
            <w:tcBorders>
              <w:top w:val="nil"/>
              <w:left w:val="nil"/>
              <w:bottom w:val="single" w:sz="8" w:space="0" w:color="auto"/>
              <w:right w:val="single" w:sz="8" w:space="0" w:color="auto"/>
            </w:tcBorders>
            <w:shd w:val="clear" w:color="auto" w:fill="auto"/>
            <w:noWrap/>
            <w:vAlign w:val="center"/>
            <w:hideMark/>
          </w:tcPr>
          <w:p w14:paraId="0567B66E"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6.101</w:t>
            </w:r>
          </w:p>
        </w:tc>
      </w:tr>
      <w:tr w:rsidR="00EC290C" w:rsidRPr="00F352E1" w14:paraId="01438A35" w14:textId="77777777" w:rsidTr="00EC290C">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62DCB198"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4795FC4B"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Dunk North</w:t>
            </w:r>
          </w:p>
        </w:tc>
        <w:tc>
          <w:tcPr>
            <w:tcW w:w="909" w:type="dxa"/>
            <w:tcBorders>
              <w:top w:val="nil"/>
              <w:left w:val="nil"/>
              <w:bottom w:val="single" w:sz="8" w:space="0" w:color="auto"/>
              <w:right w:val="single" w:sz="8" w:space="0" w:color="auto"/>
            </w:tcBorders>
            <w:shd w:val="clear" w:color="auto" w:fill="auto"/>
            <w:noWrap/>
            <w:vAlign w:val="bottom"/>
            <w:hideMark/>
          </w:tcPr>
          <w:p w14:paraId="5FFCAE8C" w14:textId="77777777" w:rsidR="00EC290C" w:rsidRPr="00A43A2C" w:rsidRDefault="00FF6CF8" w:rsidP="00EC290C">
            <w:pPr>
              <w:jc w:val="right"/>
              <w:rPr>
                <w:rStyle w:val="IntenseReference"/>
              </w:rPr>
            </w:pPr>
            <w:r>
              <w:rPr>
                <w:rStyle w:val="IntenseReference"/>
              </w:rPr>
              <w:t>0.187</w:t>
            </w:r>
          </w:p>
        </w:tc>
        <w:tc>
          <w:tcPr>
            <w:tcW w:w="1134" w:type="dxa"/>
            <w:tcBorders>
              <w:top w:val="nil"/>
              <w:left w:val="nil"/>
              <w:bottom w:val="single" w:sz="8" w:space="0" w:color="auto"/>
              <w:right w:val="single" w:sz="8" w:space="0" w:color="auto"/>
            </w:tcBorders>
            <w:shd w:val="clear" w:color="auto" w:fill="auto"/>
            <w:noWrap/>
            <w:vAlign w:val="bottom"/>
            <w:hideMark/>
          </w:tcPr>
          <w:p w14:paraId="7BC120E0" w14:textId="77777777" w:rsidR="00EC290C" w:rsidRPr="00A43A2C" w:rsidRDefault="00EC290C" w:rsidP="00EC290C">
            <w:pPr>
              <w:jc w:val="right"/>
              <w:rPr>
                <w:rStyle w:val="IntenseReference"/>
              </w:rPr>
            </w:pPr>
            <w:r w:rsidRPr="00A43A2C">
              <w:rPr>
                <w:rStyle w:val="IntenseReference"/>
              </w:rPr>
              <w:t>0.880</w:t>
            </w:r>
          </w:p>
        </w:tc>
        <w:tc>
          <w:tcPr>
            <w:tcW w:w="1276" w:type="dxa"/>
            <w:tcBorders>
              <w:top w:val="nil"/>
              <w:left w:val="nil"/>
              <w:bottom w:val="single" w:sz="8" w:space="0" w:color="auto"/>
              <w:right w:val="single" w:sz="8" w:space="0" w:color="auto"/>
            </w:tcBorders>
            <w:shd w:val="clear" w:color="auto" w:fill="auto"/>
            <w:noWrap/>
            <w:vAlign w:val="center"/>
            <w:hideMark/>
          </w:tcPr>
          <w:p w14:paraId="3B17206B"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12.321</w:t>
            </w:r>
          </w:p>
        </w:tc>
      </w:tr>
      <w:tr w:rsidR="00EC290C" w:rsidRPr="00F352E1" w14:paraId="2D669DA5" w14:textId="77777777" w:rsidTr="00EC290C">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1719C4DC"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2A1E8D7"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Dunk South</w:t>
            </w:r>
          </w:p>
        </w:tc>
        <w:tc>
          <w:tcPr>
            <w:tcW w:w="909" w:type="dxa"/>
            <w:tcBorders>
              <w:top w:val="nil"/>
              <w:left w:val="nil"/>
              <w:bottom w:val="single" w:sz="8" w:space="0" w:color="auto"/>
              <w:right w:val="single" w:sz="8" w:space="0" w:color="auto"/>
            </w:tcBorders>
            <w:shd w:val="clear" w:color="auto" w:fill="auto"/>
            <w:noWrap/>
            <w:vAlign w:val="bottom"/>
            <w:hideMark/>
          </w:tcPr>
          <w:p w14:paraId="286E58EF" w14:textId="77777777" w:rsidR="00EC290C" w:rsidRPr="00A43A2C" w:rsidRDefault="00FF6CF8" w:rsidP="00EC290C">
            <w:pPr>
              <w:jc w:val="right"/>
              <w:rPr>
                <w:rStyle w:val="IntenseReference"/>
              </w:rPr>
            </w:pPr>
            <w:r>
              <w:rPr>
                <w:rStyle w:val="IntenseReference"/>
              </w:rPr>
              <w:t>0.207</w:t>
            </w:r>
          </w:p>
        </w:tc>
        <w:tc>
          <w:tcPr>
            <w:tcW w:w="1134" w:type="dxa"/>
            <w:tcBorders>
              <w:top w:val="nil"/>
              <w:left w:val="nil"/>
              <w:bottom w:val="single" w:sz="8" w:space="0" w:color="auto"/>
              <w:right w:val="single" w:sz="8" w:space="0" w:color="auto"/>
            </w:tcBorders>
            <w:shd w:val="clear" w:color="auto" w:fill="auto"/>
            <w:noWrap/>
            <w:vAlign w:val="bottom"/>
            <w:hideMark/>
          </w:tcPr>
          <w:p w14:paraId="2C569C4C" w14:textId="77777777" w:rsidR="00EC290C" w:rsidRPr="00A43A2C" w:rsidRDefault="00EC290C" w:rsidP="00EC290C">
            <w:pPr>
              <w:jc w:val="right"/>
              <w:rPr>
                <w:rStyle w:val="IntenseReference"/>
              </w:rPr>
            </w:pPr>
            <w:r w:rsidRPr="00A43A2C">
              <w:rPr>
                <w:rStyle w:val="IntenseReference"/>
              </w:rPr>
              <w:t>0.933</w:t>
            </w:r>
          </w:p>
        </w:tc>
        <w:tc>
          <w:tcPr>
            <w:tcW w:w="1276" w:type="dxa"/>
            <w:tcBorders>
              <w:top w:val="nil"/>
              <w:left w:val="nil"/>
              <w:bottom w:val="single" w:sz="8" w:space="0" w:color="auto"/>
              <w:right w:val="single" w:sz="8" w:space="0" w:color="auto"/>
            </w:tcBorders>
            <w:shd w:val="clear" w:color="auto" w:fill="auto"/>
            <w:noWrap/>
            <w:vAlign w:val="center"/>
            <w:hideMark/>
          </w:tcPr>
          <w:p w14:paraId="11B6D06D" w14:textId="77777777" w:rsidR="00EC290C" w:rsidRPr="00F54AEB" w:rsidRDefault="00EC290C" w:rsidP="00EC290C">
            <w:pPr>
              <w:spacing w:after="0"/>
              <w:jc w:val="left"/>
              <w:rPr>
                <w:rFonts w:ascii="Arial Narrow" w:hAnsi="Arial Narrow"/>
                <w:sz w:val="20"/>
                <w:lang w:val="en-AU" w:eastAsia="en-AU"/>
              </w:rPr>
            </w:pPr>
            <w:r>
              <w:rPr>
                <w:rFonts w:ascii="Arial Narrow" w:hAnsi="Arial Narrow"/>
                <w:sz w:val="20"/>
                <w:lang w:val="en-AU" w:eastAsia="en-AU"/>
              </w:rPr>
              <w:t>12.146</w:t>
            </w:r>
          </w:p>
        </w:tc>
      </w:tr>
      <w:tr w:rsidR="00EC290C" w:rsidRPr="00F352E1" w14:paraId="76083485" w14:textId="77777777" w:rsidTr="00EC290C">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4BA97AF"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559FF20"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Bedarra</w:t>
            </w:r>
          </w:p>
        </w:tc>
        <w:tc>
          <w:tcPr>
            <w:tcW w:w="909" w:type="dxa"/>
            <w:tcBorders>
              <w:top w:val="nil"/>
              <w:left w:val="nil"/>
              <w:bottom w:val="single" w:sz="8" w:space="0" w:color="auto"/>
              <w:right w:val="single" w:sz="8" w:space="0" w:color="auto"/>
            </w:tcBorders>
            <w:shd w:val="clear" w:color="auto" w:fill="auto"/>
            <w:noWrap/>
            <w:vAlign w:val="bottom"/>
            <w:hideMark/>
          </w:tcPr>
          <w:p w14:paraId="389D2D57" w14:textId="77777777" w:rsidR="00EC290C" w:rsidRPr="00A43A2C" w:rsidRDefault="00FF6CF8" w:rsidP="00EC290C">
            <w:pPr>
              <w:jc w:val="right"/>
              <w:rPr>
                <w:rStyle w:val="IntenseReference"/>
              </w:rPr>
            </w:pPr>
            <w:r>
              <w:rPr>
                <w:rStyle w:val="IntenseReference"/>
              </w:rPr>
              <w:t>0.247</w:t>
            </w:r>
          </w:p>
        </w:tc>
        <w:tc>
          <w:tcPr>
            <w:tcW w:w="1134" w:type="dxa"/>
            <w:tcBorders>
              <w:top w:val="nil"/>
              <w:left w:val="nil"/>
              <w:bottom w:val="single" w:sz="8" w:space="0" w:color="auto"/>
              <w:right w:val="single" w:sz="8" w:space="0" w:color="auto"/>
            </w:tcBorders>
            <w:shd w:val="clear" w:color="auto" w:fill="auto"/>
            <w:noWrap/>
            <w:vAlign w:val="bottom"/>
            <w:hideMark/>
          </w:tcPr>
          <w:p w14:paraId="00E13DB9" w14:textId="77777777" w:rsidR="00EC290C" w:rsidRPr="00A43A2C" w:rsidRDefault="00EC290C" w:rsidP="00EC290C">
            <w:pPr>
              <w:jc w:val="right"/>
              <w:rPr>
                <w:rStyle w:val="IntenseReference"/>
              </w:rPr>
            </w:pPr>
            <w:r w:rsidRPr="00A43A2C">
              <w:rPr>
                <w:rStyle w:val="IntenseReference"/>
              </w:rPr>
              <w:t>1.033</w:t>
            </w:r>
          </w:p>
        </w:tc>
        <w:tc>
          <w:tcPr>
            <w:tcW w:w="1276" w:type="dxa"/>
            <w:tcBorders>
              <w:top w:val="nil"/>
              <w:left w:val="nil"/>
              <w:bottom w:val="single" w:sz="8" w:space="0" w:color="auto"/>
              <w:right w:val="single" w:sz="8" w:space="0" w:color="auto"/>
            </w:tcBorders>
            <w:shd w:val="clear" w:color="auto" w:fill="auto"/>
            <w:noWrap/>
            <w:vAlign w:val="center"/>
            <w:hideMark/>
          </w:tcPr>
          <w:p w14:paraId="5C0990E3" w14:textId="77777777" w:rsidR="00EC290C" w:rsidRPr="00F54AEB" w:rsidRDefault="00EC290C" w:rsidP="00EC290C">
            <w:pPr>
              <w:spacing w:after="0"/>
              <w:jc w:val="left"/>
              <w:rPr>
                <w:rFonts w:ascii="Arial Narrow" w:hAnsi="Arial Narrow"/>
                <w:sz w:val="20"/>
                <w:lang w:val="en-AU" w:eastAsia="en-AU"/>
              </w:rPr>
            </w:pPr>
            <w:r>
              <w:rPr>
                <w:rFonts w:ascii="Arial Narrow" w:hAnsi="Arial Narrow"/>
                <w:sz w:val="20"/>
                <w:lang w:val="en-AU" w:eastAsia="en-AU"/>
              </w:rPr>
              <w:t>42.275</w:t>
            </w:r>
          </w:p>
        </w:tc>
      </w:tr>
      <w:tr w:rsidR="00EC290C" w:rsidRPr="00F352E1" w14:paraId="48DEE61B" w14:textId="77777777" w:rsidTr="00EC290C">
        <w:trPr>
          <w:trHeight w:hRule="exact" w:val="255"/>
        </w:trPr>
        <w:tc>
          <w:tcPr>
            <w:tcW w:w="2709" w:type="dxa"/>
            <w:vMerge w:val="restart"/>
            <w:tcBorders>
              <w:top w:val="nil"/>
              <w:left w:val="single" w:sz="8" w:space="0" w:color="auto"/>
              <w:bottom w:val="single" w:sz="8" w:space="0" w:color="auto"/>
              <w:right w:val="single" w:sz="8" w:space="0" w:color="auto"/>
            </w:tcBorders>
            <w:shd w:val="clear" w:color="auto" w:fill="auto"/>
            <w:noWrap/>
            <w:vAlign w:val="center"/>
            <w:hideMark/>
          </w:tcPr>
          <w:p w14:paraId="33D3D8BD"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Burdekin</w:t>
            </w:r>
          </w:p>
        </w:tc>
        <w:tc>
          <w:tcPr>
            <w:tcW w:w="1583" w:type="dxa"/>
            <w:tcBorders>
              <w:top w:val="nil"/>
              <w:left w:val="nil"/>
              <w:bottom w:val="single" w:sz="8" w:space="0" w:color="auto"/>
              <w:right w:val="single" w:sz="8" w:space="0" w:color="auto"/>
            </w:tcBorders>
            <w:shd w:val="clear" w:color="auto" w:fill="auto"/>
            <w:noWrap/>
            <w:vAlign w:val="bottom"/>
            <w:hideMark/>
          </w:tcPr>
          <w:p w14:paraId="612E9F67"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Palms East</w:t>
            </w:r>
          </w:p>
        </w:tc>
        <w:tc>
          <w:tcPr>
            <w:tcW w:w="909" w:type="dxa"/>
            <w:tcBorders>
              <w:top w:val="nil"/>
              <w:left w:val="nil"/>
              <w:bottom w:val="single" w:sz="8" w:space="0" w:color="auto"/>
              <w:right w:val="single" w:sz="8" w:space="0" w:color="auto"/>
            </w:tcBorders>
            <w:shd w:val="clear" w:color="auto" w:fill="auto"/>
            <w:noWrap/>
            <w:vAlign w:val="bottom"/>
            <w:hideMark/>
          </w:tcPr>
          <w:p w14:paraId="54A61CF7" w14:textId="77777777" w:rsidR="00EC290C" w:rsidRPr="00A43A2C" w:rsidRDefault="00FF6CF8" w:rsidP="00FF6CF8">
            <w:pPr>
              <w:jc w:val="right"/>
              <w:rPr>
                <w:rStyle w:val="IntenseReference"/>
              </w:rPr>
            </w:pPr>
            <w:r>
              <w:rPr>
                <w:rStyle w:val="IntenseReference"/>
              </w:rPr>
              <w:t>0.043</w:t>
            </w:r>
          </w:p>
        </w:tc>
        <w:tc>
          <w:tcPr>
            <w:tcW w:w="1134" w:type="dxa"/>
            <w:tcBorders>
              <w:top w:val="nil"/>
              <w:left w:val="nil"/>
              <w:bottom w:val="single" w:sz="8" w:space="0" w:color="auto"/>
              <w:right w:val="single" w:sz="8" w:space="0" w:color="auto"/>
            </w:tcBorders>
            <w:shd w:val="clear" w:color="auto" w:fill="auto"/>
            <w:noWrap/>
            <w:vAlign w:val="bottom"/>
            <w:hideMark/>
          </w:tcPr>
          <w:p w14:paraId="03B214D0" w14:textId="77777777" w:rsidR="00EC290C" w:rsidRPr="00A43A2C" w:rsidRDefault="00EC290C" w:rsidP="00EC290C">
            <w:pPr>
              <w:jc w:val="right"/>
              <w:rPr>
                <w:rStyle w:val="IntenseReference"/>
              </w:rPr>
            </w:pPr>
            <w:r w:rsidRPr="00A43A2C">
              <w:rPr>
                <w:rStyle w:val="IntenseReference"/>
              </w:rPr>
              <w:t>0.603</w:t>
            </w:r>
          </w:p>
        </w:tc>
        <w:tc>
          <w:tcPr>
            <w:tcW w:w="1276" w:type="dxa"/>
            <w:tcBorders>
              <w:top w:val="nil"/>
              <w:left w:val="nil"/>
              <w:bottom w:val="single" w:sz="8" w:space="0" w:color="auto"/>
              <w:right w:val="single" w:sz="8" w:space="0" w:color="auto"/>
            </w:tcBorders>
            <w:shd w:val="clear" w:color="auto" w:fill="auto"/>
            <w:noWrap/>
            <w:vAlign w:val="center"/>
            <w:hideMark/>
          </w:tcPr>
          <w:p w14:paraId="61D5244F"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0.48</w:t>
            </w:r>
          </w:p>
        </w:tc>
      </w:tr>
      <w:tr w:rsidR="00EC290C" w:rsidRPr="00F352E1" w14:paraId="41469EEB" w14:textId="77777777" w:rsidTr="00EC290C">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2A2E79DE"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4060E3E"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Havannah North</w:t>
            </w:r>
          </w:p>
        </w:tc>
        <w:tc>
          <w:tcPr>
            <w:tcW w:w="909" w:type="dxa"/>
            <w:tcBorders>
              <w:top w:val="nil"/>
              <w:left w:val="nil"/>
              <w:bottom w:val="single" w:sz="8" w:space="0" w:color="auto"/>
              <w:right w:val="single" w:sz="8" w:space="0" w:color="auto"/>
            </w:tcBorders>
            <w:shd w:val="clear" w:color="auto" w:fill="auto"/>
            <w:noWrap/>
            <w:vAlign w:val="bottom"/>
            <w:hideMark/>
          </w:tcPr>
          <w:p w14:paraId="075D3D23" w14:textId="77777777" w:rsidR="00EC290C" w:rsidRPr="00A43A2C" w:rsidRDefault="00FF6CF8" w:rsidP="00EC290C">
            <w:pPr>
              <w:jc w:val="right"/>
              <w:rPr>
                <w:rStyle w:val="IntenseReference"/>
              </w:rPr>
            </w:pPr>
            <w:r>
              <w:rPr>
                <w:rStyle w:val="IntenseReference"/>
              </w:rPr>
              <w:t>0.068</w:t>
            </w:r>
          </w:p>
        </w:tc>
        <w:tc>
          <w:tcPr>
            <w:tcW w:w="1134" w:type="dxa"/>
            <w:tcBorders>
              <w:top w:val="nil"/>
              <w:left w:val="nil"/>
              <w:bottom w:val="single" w:sz="8" w:space="0" w:color="auto"/>
              <w:right w:val="single" w:sz="8" w:space="0" w:color="auto"/>
            </w:tcBorders>
            <w:shd w:val="clear" w:color="auto" w:fill="auto"/>
            <w:noWrap/>
            <w:vAlign w:val="bottom"/>
            <w:hideMark/>
          </w:tcPr>
          <w:p w14:paraId="1EFF2EAD" w14:textId="77777777" w:rsidR="00EC290C" w:rsidRPr="00A43A2C" w:rsidRDefault="00EC290C" w:rsidP="00EC290C">
            <w:pPr>
              <w:jc w:val="right"/>
              <w:rPr>
                <w:rStyle w:val="IntenseReference"/>
              </w:rPr>
            </w:pPr>
            <w:r w:rsidRPr="00A43A2C">
              <w:rPr>
                <w:rStyle w:val="IntenseReference"/>
              </w:rPr>
              <w:t>0.694</w:t>
            </w:r>
          </w:p>
        </w:tc>
        <w:tc>
          <w:tcPr>
            <w:tcW w:w="1276" w:type="dxa"/>
            <w:tcBorders>
              <w:top w:val="nil"/>
              <w:left w:val="nil"/>
              <w:bottom w:val="single" w:sz="8" w:space="0" w:color="auto"/>
              <w:right w:val="single" w:sz="8" w:space="0" w:color="auto"/>
            </w:tcBorders>
            <w:shd w:val="clear" w:color="auto" w:fill="auto"/>
            <w:noWrap/>
            <w:vAlign w:val="center"/>
            <w:hideMark/>
          </w:tcPr>
          <w:p w14:paraId="3EAE56D9"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7.1</w:t>
            </w:r>
          </w:p>
        </w:tc>
      </w:tr>
      <w:tr w:rsidR="00EC290C" w:rsidRPr="00F352E1" w14:paraId="4CCE99AD" w14:textId="77777777" w:rsidTr="00EC290C">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4D4B8047"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6484F4A4"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Palms West</w:t>
            </w:r>
          </w:p>
        </w:tc>
        <w:tc>
          <w:tcPr>
            <w:tcW w:w="909" w:type="dxa"/>
            <w:tcBorders>
              <w:top w:val="nil"/>
              <w:left w:val="nil"/>
              <w:bottom w:val="single" w:sz="8" w:space="0" w:color="auto"/>
              <w:right w:val="single" w:sz="8" w:space="0" w:color="auto"/>
            </w:tcBorders>
            <w:shd w:val="clear" w:color="auto" w:fill="auto"/>
            <w:noWrap/>
            <w:vAlign w:val="bottom"/>
            <w:hideMark/>
          </w:tcPr>
          <w:p w14:paraId="5BAA110B" w14:textId="77777777" w:rsidR="00EC290C" w:rsidRPr="00A43A2C" w:rsidRDefault="00FF6CF8" w:rsidP="00EC290C">
            <w:pPr>
              <w:jc w:val="right"/>
              <w:rPr>
                <w:rStyle w:val="IntenseReference"/>
              </w:rPr>
            </w:pPr>
            <w:r>
              <w:rPr>
                <w:rStyle w:val="IntenseReference"/>
              </w:rPr>
              <w:t>0.086</w:t>
            </w:r>
          </w:p>
        </w:tc>
        <w:tc>
          <w:tcPr>
            <w:tcW w:w="1134" w:type="dxa"/>
            <w:tcBorders>
              <w:top w:val="nil"/>
              <w:left w:val="nil"/>
              <w:bottom w:val="single" w:sz="8" w:space="0" w:color="auto"/>
              <w:right w:val="single" w:sz="8" w:space="0" w:color="auto"/>
            </w:tcBorders>
            <w:shd w:val="clear" w:color="auto" w:fill="auto"/>
            <w:noWrap/>
            <w:vAlign w:val="bottom"/>
            <w:hideMark/>
          </w:tcPr>
          <w:p w14:paraId="265CA831" w14:textId="77777777" w:rsidR="00EC290C" w:rsidRPr="00A43A2C" w:rsidRDefault="00EC290C" w:rsidP="00EC290C">
            <w:pPr>
              <w:jc w:val="right"/>
              <w:rPr>
                <w:rStyle w:val="IntenseReference"/>
              </w:rPr>
            </w:pPr>
            <w:r w:rsidRPr="00A43A2C">
              <w:rPr>
                <w:rStyle w:val="IntenseReference"/>
              </w:rPr>
              <w:t>0.668</w:t>
            </w:r>
          </w:p>
        </w:tc>
        <w:tc>
          <w:tcPr>
            <w:tcW w:w="1276" w:type="dxa"/>
            <w:tcBorders>
              <w:top w:val="nil"/>
              <w:left w:val="nil"/>
              <w:bottom w:val="single" w:sz="8" w:space="0" w:color="auto"/>
              <w:right w:val="single" w:sz="8" w:space="0" w:color="auto"/>
            </w:tcBorders>
            <w:shd w:val="clear" w:color="auto" w:fill="auto"/>
            <w:noWrap/>
            <w:vAlign w:val="center"/>
            <w:hideMark/>
          </w:tcPr>
          <w:p w14:paraId="4BAD276F"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5.59</w:t>
            </w:r>
          </w:p>
        </w:tc>
      </w:tr>
      <w:tr w:rsidR="00EC290C" w:rsidRPr="00F352E1" w14:paraId="5A0E5F8B" w14:textId="77777777" w:rsidTr="00EC290C">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2CEA5F36"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36535A88"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Havannah</w:t>
            </w:r>
          </w:p>
        </w:tc>
        <w:tc>
          <w:tcPr>
            <w:tcW w:w="909" w:type="dxa"/>
            <w:tcBorders>
              <w:top w:val="nil"/>
              <w:left w:val="nil"/>
              <w:bottom w:val="single" w:sz="8" w:space="0" w:color="auto"/>
              <w:right w:val="single" w:sz="8" w:space="0" w:color="auto"/>
            </w:tcBorders>
            <w:shd w:val="clear" w:color="auto" w:fill="auto"/>
            <w:noWrap/>
            <w:vAlign w:val="bottom"/>
            <w:hideMark/>
          </w:tcPr>
          <w:p w14:paraId="36C4EAEC" w14:textId="77777777" w:rsidR="00EC290C" w:rsidRPr="00A43A2C" w:rsidRDefault="00FF6CF8" w:rsidP="00EC290C">
            <w:pPr>
              <w:jc w:val="right"/>
              <w:rPr>
                <w:rStyle w:val="IntenseReference"/>
              </w:rPr>
            </w:pPr>
            <w:r>
              <w:rPr>
                <w:rStyle w:val="IntenseReference"/>
              </w:rPr>
              <w:t>0.082</w:t>
            </w:r>
          </w:p>
        </w:tc>
        <w:tc>
          <w:tcPr>
            <w:tcW w:w="1134" w:type="dxa"/>
            <w:tcBorders>
              <w:top w:val="nil"/>
              <w:left w:val="nil"/>
              <w:bottom w:val="single" w:sz="8" w:space="0" w:color="auto"/>
              <w:right w:val="single" w:sz="8" w:space="0" w:color="auto"/>
            </w:tcBorders>
            <w:shd w:val="clear" w:color="auto" w:fill="auto"/>
            <w:noWrap/>
            <w:vAlign w:val="bottom"/>
            <w:hideMark/>
          </w:tcPr>
          <w:p w14:paraId="3B753F91" w14:textId="77777777" w:rsidR="00EC290C" w:rsidRPr="00A43A2C" w:rsidRDefault="00EC290C" w:rsidP="00EC290C">
            <w:pPr>
              <w:jc w:val="right"/>
              <w:rPr>
                <w:rStyle w:val="IntenseReference"/>
              </w:rPr>
            </w:pPr>
            <w:r w:rsidRPr="00A43A2C">
              <w:rPr>
                <w:rStyle w:val="IntenseReference"/>
              </w:rPr>
              <w:t>0.700</w:t>
            </w:r>
          </w:p>
        </w:tc>
        <w:tc>
          <w:tcPr>
            <w:tcW w:w="1276" w:type="dxa"/>
            <w:tcBorders>
              <w:top w:val="nil"/>
              <w:left w:val="nil"/>
              <w:bottom w:val="single" w:sz="8" w:space="0" w:color="auto"/>
              <w:right w:val="single" w:sz="8" w:space="0" w:color="auto"/>
            </w:tcBorders>
            <w:shd w:val="clear" w:color="auto" w:fill="auto"/>
            <w:noWrap/>
            <w:vAlign w:val="center"/>
            <w:hideMark/>
          </w:tcPr>
          <w:p w14:paraId="1C1483BB"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7.049</w:t>
            </w:r>
          </w:p>
        </w:tc>
      </w:tr>
      <w:tr w:rsidR="00EC290C" w:rsidRPr="00F352E1" w14:paraId="2CC721E7" w14:textId="77777777" w:rsidTr="00EC290C">
        <w:trPr>
          <w:trHeight w:hRule="exact" w:val="255"/>
        </w:trPr>
        <w:tc>
          <w:tcPr>
            <w:tcW w:w="2709" w:type="dxa"/>
            <w:vMerge/>
            <w:tcBorders>
              <w:top w:val="nil"/>
              <w:left w:val="single" w:sz="8" w:space="0" w:color="auto"/>
              <w:bottom w:val="single" w:sz="8" w:space="0" w:color="auto"/>
              <w:right w:val="single" w:sz="8" w:space="0" w:color="auto"/>
            </w:tcBorders>
            <w:vAlign w:val="center"/>
          </w:tcPr>
          <w:p w14:paraId="747443B1"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tcPr>
          <w:p w14:paraId="2B55C23B"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Pandora</w:t>
            </w:r>
          </w:p>
        </w:tc>
        <w:tc>
          <w:tcPr>
            <w:tcW w:w="909" w:type="dxa"/>
            <w:tcBorders>
              <w:top w:val="nil"/>
              <w:left w:val="nil"/>
              <w:bottom w:val="single" w:sz="8" w:space="0" w:color="auto"/>
              <w:right w:val="single" w:sz="8" w:space="0" w:color="auto"/>
            </w:tcBorders>
            <w:shd w:val="clear" w:color="auto" w:fill="auto"/>
            <w:noWrap/>
            <w:vAlign w:val="bottom"/>
          </w:tcPr>
          <w:p w14:paraId="14091EB0" w14:textId="77777777" w:rsidR="00EC290C" w:rsidRPr="00A43A2C" w:rsidRDefault="00FF6CF8" w:rsidP="00EC290C">
            <w:pPr>
              <w:jc w:val="right"/>
              <w:rPr>
                <w:rStyle w:val="IntenseReference"/>
              </w:rPr>
            </w:pPr>
            <w:r>
              <w:rPr>
                <w:rStyle w:val="IntenseReference"/>
              </w:rPr>
              <w:t>0.125</w:t>
            </w:r>
          </w:p>
        </w:tc>
        <w:tc>
          <w:tcPr>
            <w:tcW w:w="1134" w:type="dxa"/>
            <w:tcBorders>
              <w:top w:val="nil"/>
              <w:left w:val="nil"/>
              <w:bottom w:val="single" w:sz="8" w:space="0" w:color="auto"/>
              <w:right w:val="single" w:sz="8" w:space="0" w:color="auto"/>
            </w:tcBorders>
            <w:shd w:val="clear" w:color="auto" w:fill="auto"/>
            <w:noWrap/>
            <w:vAlign w:val="bottom"/>
          </w:tcPr>
          <w:p w14:paraId="3CEB03D4" w14:textId="77777777" w:rsidR="00EC290C" w:rsidRPr="00A43A2C" w:rsidRDefault="00EC290C" w:rsidP="00EC290C">
            <w:pPr>
              <w:jc w:val="right"/>
              <w:rPr>
                <w:rStyle w:val="IntenseReference"/>
              </w:rPr>
            </w:pPr>
            <w:r w:rsidRPr="00A43A2C">
              <w:rPr>
                <w:rStyle w:val="IntenseReference"/>
              </w:rPr>
              <w:t>0.768</w:t>
            </w:r>
          </w:p>
        </w:tc>
        <w:tc>
          <w:tcPr>
            <w:tcW w:w="1276" w:type="dxa"/>
            <w:tcBorders>
              <w:top w:val="nil"/>
              <w:left w:val="nil"/>
              <w:bottom w:val="single" w:sz="8" w:space="0" w:color="auto"/>
              <w:right w:val="single" w:sz="8" w:space="0" w:color="auto"/>
            </w:tcBorders>
            <w:shd w:val="clear" w:color="auto" w:fill="auto"/>
            <w:noWrap/>
            <w:vAlign w:val="center"/>
          </w:tcPr>
          <w:p w14:paraId="1EFEB735"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4.141</w:t>
            </w:r>
          </w:p>
        </w:tc>
      </w:tr>
      <w:tr w:rsidR="00EC290C" w:rsidRPr="00F352E1" w14:paraId="4D267664" w14:textId="77777777" w:rsidTr="00EC290C">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6E6C76DA"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2188487"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Pandora North North</w:t>
            </w:r>
          </w:p>
        </w:tc>
        <w:tc>
          <w:tcPr>
            <w:tcW w:w="909" w:type="dxa"/>
            <w:tcBorders>
              <w:top w:val="nil"/>
              <w:left w:val="nil"/>
              <w:bottom w:val="single" w:sz="8" w:space="0" w:color="auto"/>
              <w:right w:val="single" w:sz="8" w:space="0" w:color="auto"/>
            </w:tcBorders>
            <w:shd w:val="clear" w:color="auto" w:fill="auto"/>
            <w:noWrap/>
            <w:vAlign w:val="bottom"/>
            <w:hideMark/>
          </w:tcPr>
          <w:p w14:paraId="11A10849" w14:textId="77777777" w:rsidR="00EC290C" w:rsidRPr="00A43A2C" w:rsidRDefault="00FF6CF8" w:rsidP="00EC290C">
            <w:pPr>
              <w:jc w:val="right"/>
              <w:rPr>
                <w:rStyle w:val="IntenseReference"/>
              </w:rPr>
            </w:pPr>
            <w:r>
              <w:rPr>
                <w:rStyle w:val="IntenseReference"/>
              </w:rPr>
              <w:t>0.130</w:t>
            </w:r>
          </w:p>
        </w:tc>
        <w:tc>
          <w:tcPr>
            <w:tcW w:w="1134" w:type="dxa"/>
            <w:tcBorders>
              <w:top w:val="nil"/>
              <w:left w:val="nil"/>
              <w:bottom w:val="single" w:sz="8" w:space="0" w:color="auto"/>
              <w:right w:val="single" w:sz="8" w:space="0" w:color="auto"/>
            </w:tcBorders>
            <w:shd w:val="clear" w:color="auto" w:fill="auto"/>
            <w:noWrap/>
            <w:vAlign w:val="bottom"/>
            <w:hideMark/>
          </w:tcPr>
          <w:p w14:paraId="69C798CE" w14:textId="77777777" w:rsidR="00EC290C" w:rsidRPr="00A43A2C" w:rsidRDefault="00EC290C" w:rsidP="00EC290C">
            <w:pPr>
              <w:jc w:val="right"/>
              <w:rPr>
                <w:rStyle w:val="IntenseReference"/>
              </w:rPr>
            </w:pPr>
            <w:r w:rsidRPr="00A43A2C">
              <w:rPr>
                <w:rStyle w:val="IntenseReference"/>
              </w:rPr>
              <w:t>0.780</w:t>
            </w:r>
          </w:p>
        </w:tc>
        <w:tc>
          <w:tcPr>
            <w:tcW w:w="1276" w:type="dxa"/>
            <w:tcBorders>
              <w:top w:val="nil"/>
              <w:left w:val="nil"/>
              <w:bottom w:val="single" w:sz="8" w:space="0" w:color="auto"/>
              <w:right w:val="single" w:sz="8" w:space="0" w:color="auto"/>
            </w:tcBorders>
            <w:shd w:val="clear" w:color="auto" w:fill="auto"/>
            <w:noWrap/>
            <w:vAlign w:val="center"/>
            <w:hideMark/>
          </w:tcPr>
          <w:p w14:paraId="293E1132"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46</w:t>
            </w:r>
          </w:p>
        </w:tc>
      </w:tr>
      <w:tr w:rsidR="00EC290C" w:rsidRPr="00F352E1" w14:paraId="255D773A" w14:textId="77777777" w:rsidTr="00EC290C">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798C241"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tcPr>
          <w:p w14:paraId="1A610EFB"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Magnetic</w:t>
            </w:r>
          </w:p>
        </w:tc>
        <w:tc>
          <w:tcPr>
            <w:tcW w:w="909" w:type="dxa"/>
            <w:tcBorders>
              <w:top w:val="nil"/>
              <w:left w:val="nil"/>
              <w:bottom w:val="single" w:sz="8" w:space="0" w:color="auto"/>
              <w:right w:val="single" w:sz="8" w:space="0" w:color="auto"/>
            </w:tcBorders>
            <w:shd w:val="clear" w:color="auto" w:fill="auto"/>
            <w:noWrap/>
            <w:vAlign w:val="bottom"/>
          </w:tcPr>
          <w:p w14:paraId="18888515" w14:textId="77777777" w:rsidR="00EC290C" w:rsidRPr="00A43A2C" w:rsidRDefault="00FF6CF8" w:rsidP="00EC290C">
            <w:pPr>
              <w:jc w:val="right"/>
              <w:rPr>
                <w:rStyle w:val="IntenseReference"/>
              </w:rPr>
            </w:pPr>
            <w:r>
              <w:rPr>
                <w:rStyle w:val="IntenseReference"/>
              </w:rPr>
              <w:t>0.225</w:t>
            </w:r>
          </w:p>
        </w:tc>
        <w:tc>
          <w:tcPr>
            <w:tcW w:w="1134" w:type="dxa"/>
            <w:tcBorders>
              <w:top w:val="nil"/>
              <w:left w:val="nil"/>
              <w:bottom w:val="single" w:sz="8" w:space="0" w:color="auto"/>
              <w:right w:val="single" w:sz="8" w:space="0" w:color="auto"/>
            </w:tcBorders>
            <w:shd w:val="clear" w:color="auto" w:fill="auto"/>
            <w:noWrap/>
            <w:vAlign w:val="bottom"/>
          </w:tcPr>
          <w:p w14:paraId="48663E8F" w14:textId="77777777" w:rsidR="00EC290C" w:rsidRPr="00A43A2C" w:rsidRDefault="00EC290C" w:rsidP="00EC290C">
            <w:pPr>
              <w:jc w:val="right"/>
              <w:rPr>
                <w:rStyle w:val="IntenseReference"/>
              </w:rPr>
            </w:pPr>
            <w:r w:rsidRPr="00A43A2C">
              <w:rPr>
                <w:rStyle w:val="IntenseReference"/>
              </w:rPr>
              <w:t>1.921</w:t>
            </w:r>
          </w:p>
        </w:tc>
        <w:tc>
          <w:tcPr>
            <w:tcW w:w="1276" w:type="dxa"/>
            <w:tcBorders>
              <w:top w:val="nil"/>
              <w:left w:val="nil"/>
              <w:bottom w:val="single" w:sz="8" w:space="0" w:color="auto"/>
              <w:right w:val="single" w:sz="8" w:space="0" w:color="auto"/>
            </w:tcBorders>
            <w:shd w:val="clear" w:color="auto" w:fill="auto"/>
            <w:noWrap/>
            <w:vAlign w:val="center"/>
          </w:tcPr>
          <w:p w14:paraId="157ADC2D"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9.963</w:t>
            </w:r>
          </w:p>
        </w:tc>
      </w:tr>
      <w:tr w:rsidR="00EC290C" w:rsidRPr="00F352E1" w14:paraId="0D461637" w14:textId="77777777" w:rsidTr="00EC290C">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0DB3AD7C"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4113377A"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Lady Elliot</w:t>
            </w:r>
          </w:p>
        </w:tc>
        <w:tc>
          <w:tcPr>
            <w:tcW w:w="909" w:type="dxa"/>
            <w:tcBorders>
              <w:top w:val="nil"/>
              <w:left w:val="nil"/>
              <w:bottom w:val="single" w:sz="8" w:space="0" w:color="auto"/>
              <w:right w:val="single" w:sz="8" w:space="0" w:color="auto"/>
            </w:tcBorders>
            <w:shd w:val="clear" w:color="auto" w:fill="auto"/>
            <w:noWrap/>
            <w:vAlign w:val="bottom"/>
            <w:hideMark/>
          </w:tcPr>
          <w:p w14:paraId="19441D76" w14:textId="77777777" w:rsidR="00EC290C" w:rsidRPr="00A43A2C" w:rsidRDefault="00FF6CF8" w:rsidP="00EC290C">
            <w:pPr>
              <w:jc w:val="right"/>
              <w:rPr>
                <w:rStyle w:val="IntenseReference"/>
              </w:rPr>
            </w:pPr>
            <w:r>
              <w:rPr>
                <w:rStyle w:val="IntenseReference"/>
              </w:rPr>
              <w:t>0.255</w:t>
            </w:r>
          </w:p>
        </w:tc>
        <w:tc>
          <w:tcPr>
            <w:tcW w:w="1134" w:type="dxa"/>
            <w:tcBorders>
              <w:top w:val="nil"/>
              <w:left w:val="nil"/>
              <w:bottom w:val="single" w:sz="8" w:space="0" w:color="auto"/>
              <w:right w:val="single" w:sz="8" w:space="0" w:color="auto"/>
            </w:tcBorders>
            <w:shd w:val="clear" w:color="auto" w:fill="auto"/>
            <w:noWrap/>
            <w:vAlign w:val="bottom"/>
            <w:hideMark/>
          </w:tcPr>
          <w:p w14:paraId="652AFF0C" w14:textId="77777777" w:rsidR="00EC290C" w:rsidRPr="00A43A2C" w:rsidRDefault="00EC290C" w:rsidP="00EC290C">
            <w:pPr>
              <w:jc w:val="right"/>
              <w:rPr>
                <w:rStyle w:val="IntenseReference"/>
              </w:rPr>
            </w:pPr>
            <w:r w:rsidRPr="00A43A2C">
              <w:rPr>
                <w:rStyle w:val="IntenseReference"/>
              </w:rPr>
              <w:t>1.195</w:t>
            </w:r>
          </w:p>
        </w:tc>
        <w:tc>
          <w:tcPr>
            <w:tcW w:w="1276" w:type="dxa"/>
            <w:tcBorders>
              <w:top w:val="nil"/>
              <w:left w:val="nil"/>
              <w:bottom w:val="single" w:sz="8" w:space="0" w:color="auto"/>
              <w:right w:val="single" w:sz="8" w:space="0" w:color="auto"/>
            </w:tcBorders>
            <w:shd w:val="clear" w:color="auto" w:fill="auto"/>
            <w:noWrap/>
            <w:vAlign w:val="center"/>
            <w:hideMark/>
          </w:tcPr>
          <w:p w14:paraId="3D875EA1"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14.474</w:t>
            </w:r>
          </w:p>
        </w:tc>
      </w:tr>
      <w:tr w:rsidR="00EC290C" w:rsidRPr="00F352E1" w14:paraId="45A31B99" w14:textId="77777777" w:rsidTr="00EC290C">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4CEF9A5"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234C1B97"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Middle Rf</w:t>
            </w:r>
          </w:p>
        </w:tc>
        <w:tc>
          <w:tcPr>
            <w:tcW w:w="909" w:type="dxa"/>
            <w:tcBorders>
              <w:top w:val="nil"/>
              <w:left w:val="nil"/>
              <w:bottom w:val="single" w:sz="8" w:space="0" w:color="auto"/>
              <w:right w:val="single" w:sz="8" w:space="0" w:color="auto"/>
            </w:tcBorders>
            <w:shd w:val="clear" w:color="auto" w:fill="auto"/>
            <w:noWrap/>
            <w:vAlign w:val="bottom"/>
            <w:hideMark/>
          </w:tcPr>
          <w:p w14:paraId="39CB31DE" w14:textId="77777777" w:rsidR="00EC290C" w:rsidRPr="00A43A2C" w:rsidRDefault="00FF6CF8" w:rsidP="00EC290C">
            <w:pPr>
              <w:jc w:val="right"/>
              <w:rPr>
                <w:rStyle w:val="IntenseReference"/>
              </w:rPr>
            </w:pPr>
            <w:r>
              <w:rPr>
                <w:rStyle w:val="IntenseReference"/>
              </w:rPr>
              <w:t>0.298</w:t>
            </w:r>
          </w:p>
        </w:tc>
        <w:tc>
          <w:tcPr>
            <w:tcW w:w="1134" w:type="dxa"/>
            <w:tcBorders>
              <w:top w:val="nil"/>
              <w:left w:val="nil"/>
              <w:bottom w:val="single" w:sz="8" w:space="0" w:color="auto"/>
              <w:right w:val="single" w:sz="8" w:space="0" w:color="auto"/>
            </w:tcBorders>
            <w:shd w:val="clear" w:color="auto" w:fill="auto"/>
            <w:noWrap/>
            <w:vAlign w:val="bottom"/>
            <w:hideMark/>
          </w:tcPr>
          <w:p w14:paraId="4344EC76" w14:textId="77777777" w:rsidR="00EC290C" w:rsidRPr="00A43A2C" w:rsidRDefault="00EC290C" w:rsidP="00EC290C">
            <w:pPr>
              <w:jc w:val="right"/>
              <w:rPr>
                <w:rStyle w:val="IntenseReference"/>
              </w:rPr>
            </w:pPr>
            <w:r w:rsidRPr="00A43A2C">
              <w:rPr>
                <w:rStyle w:val="IntenseReference"/>
              </w:rPr>
              <w:t>3.422</w:t>
            </w:r>
          </w:p>
        </w:tc>
        <w:tc>
          <w:tcPr>
            <w:tcW w:w="1276" w:type="dxa"/>
            <w:tcBorders>
              <w:top w:val="nil"/>
              <w:left w:val="nil"/>
              <w:bottom w:val="single" w:sz="8" w:space="0" w:color="auto"/>
              <w:right w:val="single" w:sz="8" w:space="0" w:color="auto"/>
            </w:tcBorders>
            <w:shd w:val="clear" w:color="auto" w:fill="auto"/>
            <w:noWrap/>
            <w:vAlign w:val="center"/>
            <w:hideMark/>
          </w:tcPr>
          <w:p w14:paraId="46304A67"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51.539</w:t>
            </w:r>
          </w:p>
        </w:tc>
      </w:tr>
      <w:tr w:rsidR="00EC290C" w:rsidRPr="00F352E1" w14:paraId="24B379B5" w14:textId="77777777" w:rsidTr="00EC290C">
        <w:trPr>
          <w:trHeight w:hRule="exact" w:val="255"/>
        </w:trPr>
        <w:tc>
          <w:tcPr>
            <w:tcW w:w="2709" w:type="dxa"/>
            <w:vMerge w:val="restart"/>
            <w:tcBorders>
              <w:top w:val="nil"/>
              <w:left w:val="single" w:sz="8" w:space="0" w:color="auto"/>
              <w:right w:val="single" w:sz="8" w:space="0" w:color="auto"/>
            </w:tcBorders>
            <w:shd w:val="clear" w:color="auto" w:fill="auto"/>
            <w:noWrap/>
            <w:vAlign w:val="center"/>
            <w:hideMark/>
          </w:tcPr>
          <w:p w14:paraId="1D668FAE"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Mackay Whitsunday</w:t>
            </w:r>
          </w:p>
        </w:tc>
        <w:tc>
          <w:tcPr>
            <w:tcW w:w="1583" w:type="dxa"/>
            <w:tcBorders>
              <w:top w:val="nil"/>
              <w:left w:val="nil"/>
              <w:bottom w:val="single" w:sz="8" w:space="0" w:color="auto"/>
              <w:right w:val="single" w:sz="8" w:space="0" w:color="auto"/>
            </w:tcBorders>
            <w:shd w:val="clear" w:color="auto" w:fill="auto"/>
            <w:noWrap/>
            <w:vAlign w:val="bottom"/>
            <w:hideMark/>
          </w:tcPr>
          <w:p w14:paraId="02A2CA8D"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Hayman</w:t>
            </w:r>
          </w:p>
        </w:tc>
        <w:tc>
          <w:tcPr>
            <w:tcW w:w="909" w:type="dxa"/>
            <w:tcBorders>
              <w:top w:val="nil"/>
              <w:left w:val="nil"/>
              <w:bottom w:val="single" w:sz="8" w:space="0" w:color="auto"/>
              <w:right w:val="single" w:sz="8" w:space="0" w:color="auto"/>
            </w:tcBorders>
            <w:shd w:val="clear" w:color="auto" w:fill="auto"/>
            <w:noWrap/>
            <w:vAlign w:val="bottom"/>
            <w:hideMark/>
          </w:tcPr>
          <w:p w14:paraId="3A412983" w14:textId="77777777" w:rsidR="00EC290C" w:rsidRPr="00A43A2C" w:rsidRDefault="00FF6CF8" w:rsidP="00EC290C">
            <w:pPr>
              <w:jc w:val="right"/>
              <w:rPr>
                <w:rStyle w:val="IntenseReference"/>
              </w:rPr>
            </w:pPr>
            <w:r>
              <w:rPr>
                <w:rStyle w:val="IntenseReference"/>
              </w:rPr>
              <w:t>0.018</w:t>
            </w:r>
          </w:p>
        </w:tc>
        <w:tc>
          <w:tcPr>
            <w:tcW w:w="1134" w:type="dxa"/>
            <w:tcBorders>
              <w:top w:val="nil"/>
              <w:left w:val="nil"/>
              <w:bottom w:val="single" w:sz="8" w:space="0" w:color="auto"/>
              <w:right w:val="single" w:sz="8" w:space="0" w:color="auto"/>
            </w:tcBorders>
            <w:shd w:val="clear" w:color="auto" w:fill="auto"/>
            <w:noWrap/>
            <w:vAlign w:val="bottom"/>
            <w:hideMark/>
          </w:tcPr>
          <w:p w14:paraId="70E25976" w14:textId="77777777" w:rsidR="00EC290C" w:rsidRPr="00A43A2C" w:rsidRDefault="00EC290C" w:rsidP="00EC290C">
            <w:pPr>
              <w:jc w:val="right"/>
              <w:rPr>
                <w:rStyle w:val="IntenseReference"/>
              </w:rPr>
            </w:pPr>
            <w:r w:rsidRPr="00A43A2C">
              <w:rPr>
                <w:rStyle w:val="IntenseReference"/>
              </w:rPr>
              <w:t>0.732</w:t>
            </w:r>
          </w:p>
        </w:tc>
        <w:tc>
          <w:tcPr>
            <w:tcW w:w="1276" w:type="dxa"/>
            <w:tcBorders>
              <w:top w:val="nil"/>
              <w:left w:val="nil"/>
              <w:bottom w:val="single" w:sz="8" w:space="0" w:color="auto"/>
              <w:right w:val="single" w:sz="8" w:space="0" w:color="auto"/>
            </w:tcBorders>
            <w:shd w:val="clear" w:color="auto" w:fill="auto"/>
            <w:noWrap/>
            <w:vAlign w:val="center"/>
            <w:hideMark/>
          </w:tcPr>
          <w:p w14:paraId="368EF0AA"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8</w:t>
            </w:r>
          </w:p>
        </w:tc>
      </w:tr>
      <w:tr w:rsidR="00EC290C" w:rsidRPr="00F352E1" w14:paraId="70111DF2" w14:textId="77777777" w:rsidTr="00EC290C">
        <w:trPr>
          <w:trHeight w:hRule="exact" w:val="255"/>
        </w:trPr>
        <w:tc>
          <w:tcPr>
            <w:tcW w:w="2709" w:type="dxa"/>
            <w:vMerge/>
            <w:tcBorders>
              <w:left w:val="single" w:sz="8" w:space="0" w:color="auto"/>
              <w:right w:val="single" w:sz="8" w:space="0" w:color="auto"/>
            </w:tcBorders>
            <w:shd w:val="clear" w:color="auto" w:fill="auto"/>
            <w:vAlign w:val="center"/>
            <w:hideMark/>
          </w:tcPr>
          <w:p w14:paraId="1450E754"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7EC73B6F"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Langford</w:t>
            </w:r>
          </w:p>
        </w:tc>
        <w:tc>
          <w:tcPr>
            <w:tcW w:w="909" w:type="dxa"/>
            <w:tcBorders>
              <w:top w:val="nil"/>
              <w:left w:val="nil"/>
              <w:bottom w:val="single" w:sz="8" w:space="0" w:color="auto"/>
              <w:right w:val="single" w:sz="8" w:space="0" w:color="auto"/>
            </w:tcBorders>
            <w:shd w:val="clear" w:color="auto" w:fill="auto"/>
            <w:noWrap/>
            <w:vAlign w:val="bottom"/>
            <w:hideMark/>
          </w:tcPr>
          <w:p w14:paraId="3C3FFAD3" w14:textId="77777777" w:rsidR="00EC290C" w:rsidRPr="00A43A2C" w:rsidRDefault="00FF6CF8" w:rsidP="00EC290C">
            <w:pPr>
              <w:jc w:val="right"/>
              <w:rPr>
                <w:rStyle w:val="IntenseReference"/>
              </w:rPr>
            </w:pPr>
            <w:r>
              <w:rPr>
                <w:rStyle w:val="IntenseReference"/>
              </w:rPr>
              <w:t>0.026</w:t>
            </w:r>
          </w:p>
        </w:tc>
        <w:tc>
          <w:tcPr>
            <w:tcW w:w="1134" w:type="dxa"/>
            <w:tcBorders>
              <w:top w:val="nil"/>
              <w:left w:val="nil"/>
              <w:bottom w:val="single" w:sz="8" w:space="0" w:color="auto"/>
              <w:right w:val="single" w:sz="8" w:space="0" w:color="auto"/>
            </w:tcBorders>
            <w:shd w:val="clear" w:color="auto" w:fill="auto"/>
            <w:noWrap/>
            <w:vAlign w:val="bottom"/>
            <w:hideMark/>
          </w:tcPr>
          <w:p w14:paraId="7D8640E6" w14:textId="77777777" w:rsidR="00EC290C" w:rsidRPr="00A43A2C" w:rsidRDefault="00EC290C" w:rsidP="00EC290C">
            <w:pPr>
              <w:jc w:val="right"/>
              <w:rPr>
                <w:rStyle w:val="IntenseReference"/>
              </w:rPr>
            </w:pPr>
            <w:r w:rsidRPr="00A43A2C">
              <w:rPr>
                <w:rStyle w:val="IntenseReference"/>
              </w:rPr>
              <w:t>0.847</w:t>
            </w:r>
          </w:p>
        </w:tc>
        <w:tc>
          <w:tcPr>
            <w:tcW w:w="1276" w:type="dxa"/>
            <w:tcBorders>
              <w:top w:val="nil"/>
              <w:left w:val="nil"/>
              <w:bottom w:val="single" w:sz="8" w:space="0" w:color="auto"/>
              <w:right w:val="single" w:sz="8" w:space="0" w:color="auto"/>
            </w:tcBorders>
            <w:shd w:val="clear" w:color="auto" w:fill="auto"/>
            <w:noWrap/>
            <w:vAlign w:val="center"/>
            <w:hideMark/>
          </w:tcPr>
          <w:p w14:paraId="2274A600"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46</w:t>
            </w:r>
          </w:p>
        </w:tc>
      </w:tr>
      <w:tr w:rsidR="00EC290C" w:rsidRPr="00F352E1" w14:paraId="2B203698" w14:textId="77777777" w:rsidTr="00EC290C">
        <w:trPr>
          <w:trHeight w:hRule="exact" w:val="255"/>
        </w:trPr>
        <w:tc>
          <w:tcPr>
            <w:tcW w:w="2709" w:type="dxa"/>
            <w:vMerge/>
            <w:tcBorders>
              <w:left w:val="single" w:sz="8" w:space="0" w:color="auto"/>
              <w:right w:val="single" w:sz="8" w:space="0" w:color="auto"/>
            </w:tcBorders>
            <w:shd w:val="clear" w:color="auto" w:fill="auto"/>
            <w:vAlign w:val="center"/>
            <w:hideMark/>
          </w:tcPr>
          <w:p w14:paraId="5BB6C5D9"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0DD0F645"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Border</w:t>
            </w:r>
          </w:p>
        </w:tc>
        <w:tc>
          <w:tcPr>
            <w:tcW w:w="909" w:type="dxa"/>
            <w:tcBorders>
              <w:top w:val="nil"/>
              <w:left w:val="nil"/>
              <w:bottom w:val="single" w:sz="8" w:space="0" w:color="auto"/>
              <w:right w:val="single" w:sz="8" w:space="0" w:color="auto"/>
            </w:tcBorders>
            <w:shd w:val="clear" w:color="auto" w:fill="auto"/>
            <w:noWrap/>
            <w:vAlign w:val="bottom"/>
            <w:hideMark/>
          </w:tcPr>
          <w:p w14:paraId="24845FC7" w14:textId="77777777" w:rsidR="00EC290C" w:rsidRPr="00A43A2C" w:rsidRDefault="00FF6CF8" w:rsidP="00EC290C">
            <w:pPr>
              <w:jc w:val="right"/>
              <w:rPr>
                <w:rStyle w:val="IntenseReference"/>
              </w:rPr>
            </w:pPr>
            <w:r>
              <w:rPr>
                <w:rStyle w:val="IntenseReference"/>
              </w:rPr>
              <w:t>0.045</w:t>
            </w:r>
          </w:p>
        </w:tc>
        <w:tc>
          <w:tcPr>
            <w:tcW w:w="1134" w:type="dxa"/>
            <w:tcBorders>
              <w:top w:val="nil"/>
              <w:left w:val="nil"/>
              <w:bottom w:val="single" w:sz="8" w:space="0" w:color="auto"/>
              <w:right w:val="single" w:sz="8" w:space="0" w:color="auto"/>
            </w:tcBorders>
            <w:shd w:val="clear" w:color="auto" w:fill="auto"/>
            <w:noWrap/>
            <w:vAlign w:val="bottom"/>
            <w:hideMark/>
          </w:tcPr>
          <w:p w14:paraId="055B1D4E" w14:textId="77777777" w:rsidR="00EC290C" w:rsidRPr="00A43A2C" w:rsidRDefault="00EC290C" w:rsidP="00EC290C">
            <w:pPr>
              <w:jc w:val="right"/>
              <w:rPr>
                <w:rStyle w:val="IntenseReference"/>
              </w:rPr>
            </w:pPr>
            <w:r w:rsidRPr="00A43A2C">
              <w:rPr>
                <w:rStyle w:val="IntenseReference"/>
              </w:rPr>
              <w:t>0.977</w:t>
            </w:r>
          </w:p>
        </w:tc>
        <w:tc>
          <w:tcPr>
            <w:tcW w:w="1276" w:type="dxa"/>
            <w:tcBorders>
              <w:top w:val="nil"/>
              <w:left w:val="nil"/>
              <w:bottom w:val="single" w:sz="8" w:space="0" w:color="auto"/>
              <w:right w:val="single" w:sz="8" w:space="0" w:color="auto"/>
            </w:tcBorders>
            <w:shd w:val="clear" w:color="auto" w:fill="auto"/>
            <w:noWrap/>
            <w:vAlign w:val="center"/>
            <w:hideMark/>
          </w:tcPr>
          <w:p w14:paraId="137FDBCE"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12.5</w:t>
            </w:r>
          </w:p>
        </w:tc>
      </w:tr>
      <w:tr w:rsidR="00EC290C" w:rsidRPr="00F352E1" w14:paraId="169C7514" w14:textId="77777777" w:rsidTr="00EC290C">
        <w:trPr>
          <w:trHeight w:hRule="exact" w:val="255"/>
        </w:trPr>
        <w:tc>
          <w:tcPr>
            <w:tcW w:w="2709" w:type="dxa"/>
            <w:vMerge/>
            <w:tcBorders>
              <w:left w:val="single" w:sz="8" w:space="0" w:color="auto"/>
              <w:right w:val="single" w:sz="8" w:space="0" w:color="auto"/>
            </w:tcBorders>
            <w:shd w:val="clear" w:color="auto" w:fill="auto"/>
            <w:vAlign w:val="center"/>
            <w:hideMark/>
          </w:tcPr>
          <w:p w14:paraId="0DDB2702"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2B743DA3"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Hook</w:t>
            </w:r>
          </w:p>
        </w:tc>
        <w:tc>
          <w:tcPr>
            <w:tcW w:w="909" w:type="dxa"/>
            <w:tcBorders>
              <w:top w:val="nil"/>
              <w:left w:val="nil"/>
              <w:bottom w:val="single" w:sz="8" w:space="0" w:color="auto"/>
              <w:right w:val="single" w:sz="8" w:space="0" w:color="auto"/>
            </w:tcBorders>
            <w:shd w:val="clear" w:color="auto" w:fill="auto"/>
            <w:noWrap/>
            <w:vAlign w:val="bottom"/>
            <w:hideMark/>
          </w:tcPr>
          <w:p w14:paraId="256D5BC0" w14:textId="77777777" w:rsidR="00EC290C" w:rsidRPr="00A43A2C" w:rsidRDefault="00FF6CF8" w:rsidP="00EC290C">
            <w:pPr>
              <w:jc w:val="right"/>
              <w:rPr>
                <w:rStyle w:val="IntenseReference"/>
              </w:rPr>
            </w:pPr>
            <w:r>
              <w:rPr>
                <w:rStyle w:val="IntenseReference"/>
              </w:rPr>
              <w:t>0.060</w:t>
            </w:r>
          </w:p>
        </w:tc>
        <w:tc>
          <w:tcPr>
            <w:tcW w:w="1134" w:type="dxa"/>
            <w:tcBorders>
              <w:top w:val="nil"/>
              <w:left w:val="nil"/>
              <w:bottom w:val="single" w:sz="8" w:space="0" w:color="auto"/>
              <w:right w:val="single" w:sz="8" w:space="0" w:color="auto"/>
            </w:tcBorders>
            <w:shd w:val="clear" w:color="auto" w:fill="auto"/>
            <w:noWrap/>
            <w:vAlign w:val="bottom"/>
            <w:hideMark/>
          </w:tcPr>
          <w:p w14:paraId="6F659DCD" w14:textId="77777777" w:rsidR="00EC290C" w:rsidRPr="00A43A2C" w:rsidRDefault="00EC290C" w:rsidP="00EC290C">
            <w:pPr>
              <w:jc w:val="right"/>
              <w:rPr>
                <w:rStyle w:val="IntenseReference"/>
              </w:rPr>
            </w:pPr>
            <w:r w:rsidRPr="00A43A2C">
              <w:rPr>
                <w:rStyle w:val="IntenseReference"/>
              </w:rPr>
              <w:t>0.995</w:t>
            </w:r>
          </w:p>
        </w:tc>
        <w:tc>
          <w:tcPr>
            <w:tcW w:w="1276" w:type="dxa"/>
            <w:tcBorders>
              <w:top w:val="nil"/>
              <w:left w:val="nil"/>
              <w:bottom w:val="single" w:sz="8" w:space="0" w:color="auto"/>
              <w:right w:val="single" w:sz="8" w:space="0" w:color="auto"/>
            </w:tcBorders>
            <w:shd w:val="clear" w:color="auto" w:fill="auto"/>
            <w:noWrap/>
            <w:vAlign w:val="center"/>
            <w:hideMark/>
          </w:tcPr>
          <w:p w14:paraId="2863C580"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35.636</w:t>
            </w:r>
          </w:p>
        </w:tc>
      </w:tr>
      <w:tr w:rsidR="00EC290C" w:rsidRPr="00F352E1" w14:paraId="68AC66FB" w14:textId="77777777" w:rsidTr="00EC290C">
        <w:trPr>
          <w:trHeight w:hRule="exact" w:val="255"/>
        </w:trPr>
        <w:tc>
          <w:tcPr>
            <w:tcW w:w="2709" w:type="dxa"/>
            <w:vMerge/>
            <w:tcBorders>
              <w:left w:val="single" w:sz="8" w:space="0" w:color="auto"/>
              <w:right w:val="single" w:sz="8" w:space="0" w:color="auto"/>
            </w:tcBorders>
            <w:shd w:val="clear" w:color="auto" w:fill="auto"/>
            <w:vAlign w:val="center"/>
            <w:hideMark/>
          </w:tcPr>
          <w:p w14:paraId="0B442EE0"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1C6FA1A"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Double Cone</w:t>
            </w:r>
          </w:p>
        </w:tc>
        <w:tc>
          <w:tcPr>
            <w:tcW w:w="909" w:type="dxa"/>
            <w:tcBorders>
              <w:top w:val="nil"/>
              <w:left w:val="nil"/>
              <w:bottom w:val="single" w:sz="8" w:space="0" w:color="auto"/>
              <w:right w:val="single" w:sz="8" w:space="0" w:color="auto"/>
            </w:tcBorders>
            <w:shd w:val="clear" w:color="auto" w:fill="auto"/>
            <w:noWrap/>
            <w:vAlign w:val="bottom"/>
            <w:hideMark/>
          </w:tcPr>
          <w:p w14:paraId="59759029" w14:textId="77777777" w:rsidR="00EC290C" w:rsidRPr="00A43A2C" w:rsidRDefault="00FF6CF8" w:rsidP="00EC290C">
            <w:pPr>
              <w:jc w:val="right"/>
              <w:rPr>
                <w:rStyle w:val="IntenseReference"/>
              </w:rPr>
            </w:pPr>
            <w:r>
              <w:rPr>
                <w:rStyle w:val="IntenseReference"/>
              </w:rPr>
              <w:t>0.073</w:t>
            </w:r>
          </w:p>
        </w:tc>
        <w:tc>
          <w:tcPr>
            <w:tcW w:w="1134" w:type="dxa"/>
            <w:tcBorders>
              <w:top w:val="nil"/>
              <w:left w:val="nil"/>
              <w:bottom w:val="single" w:sz="8" w:space="0" w:color="auto"/>
              <w:right w:val="single" w:sz="8" w:space="0" w:color="auto"/>
            </w:tcBorders>
            <w:shd w:val="clear" w:color="auto" w:fill="auto"/>
            <w:noWrap/>
            <w:vAlign w:val="bottom"/>
            <w:hideMark/>
          </w:tcPr>
          <w:p w14:paraId="0E285122" w14:textId="77777777" w:rsidR="00EC290C" w:rsidRPr="00A43A2C" w:rsidRDefault="00EC290C" w:rsidP="00EC290C">
            <w:pPr>
              <w:jc w:val="right"/>
              <w:rPr>
                <w:rStyle w:val="IntenseReference"/>
              </w:rPr>
            </w:pPr>
            <w:r w:rsidRPr="00A43A2C">
              <w:rPr>
                <w:rStyle w:val="IntenseReference"/>
              </w:rPr>
              <w:t>1.121</w:t>
            </w:r>
          </w:p>
        </w:tc>
        <w:tc>
          <w:tcPr>
            <w:tcW w:w="1276" w:type="dxa"/>
            <w:tcBorders>
              <w:top w:val="nil"/>
              <w:left w:val="nil"/>
              <w:bottom w:val="single" w:sz="8" w:space="0" w:color="auto"/>
              <w:right w:val="single" w:sz="8" w:space="0" w:color="auto"/>
            </w:tcBorders>
            <w:shd w:val="clear" w:color="auto" w:fill="auto"/>
            <w:noWrap/>
            <w:vAlign w:val="center"/>
            <w:hideMark/>
          </w:tcPr>
          <w:p w14:paraId="3BBD4FD5"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36.103</w:t>
            </w:r>
          </w:p>
        </w:tc>
      </w:tr>
      <w:tr w:rsidR="00EC290C" w:rsidRPr="00F352E1" w14:paraId="06CBA231" w14:textId="77777777" w:rsidTr="00EC290C">
        <w:trPr>
          <w:trHeight w:hRule="exact" w:val="255"/>
        </w:trPr>
        <w:tc>
          <w:tcPr>
            <w:tcW w:w="2709" w:type="dxa"/>
            <w:vMerge/>
            <w:tcBorders>
              <w:left w:val="single" w:sz="8" w:space="0" w:color="auto"/>
              <w:right w:val="single" w:sz="8" w:space="0" w:color="auto"/>
            </w:tcBorders>
            <w:shd w:val="clear" w:color="auto" w:fill="auto"/>
            <w:vAlign w:val="center"/>
            <w:hideMark/>
          </w:tcPr>
          <w:p w14:paraId="38F7ABC3"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08525FE"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Seaforth</w:t>
            </w:r>
          </w:p>
        </w:tc>
        <w:tc>
          <w:tcPr>
            <w:tcW w:w="909" w:type="dxa"/>
            <w:tcBorders>
              <w:top w:val="nil"/>
              <w:left w:val="nil"/>
              <w:bottom w:val="single" w:sz="8" w:space="0" w:color="auto"/>
              <w:right w:val="single" w:sz="8" w:space="0" w:color="auto"/>
            </w:tcBorders>
            <w:shd w:val="clear" w:color="auto" w:fill="auto"/>
            <w:noWrap/>
            <w:vAlign w:val="bottom"/>
            <w:hideMark/>
          </w:tcPr>
          <w:p w14:paraId="5F0F460E" w14:textId="77777777" w:rsidR="00EC290C" w:rsidRPr="00A43A2C" w:rsidRDefault="00FF6CF8" w:rsidP="00EC290C">
            <w:pPr>
              <w:jc w:val="right"/>
              <w:rPr>
                <w:rStyle w:val="IntenseReference"/>
              </w:rPr>
            </w:pPr>
            <w:r>
              <w:rPr>
                <w:rStyle w:val="IntenseReference"/>
              </w:rPr>
              <w:t>0.097</w:t>
            </w:r>
          </w:p>
        </w:tc>
        <w:tc>
          <w:tcPr>
            <w:tcW w:w="1134" w:type="dxa"/>
            <w:tcBorders>
              <w:top w:val="nil"/>
              <w:left w:val="nil"/>
              <w:bottom w:val="single" w:sz="8" w:space="0" w:color="auto"/>
              <w:right w:val="single" w:sz="8" w:space="0" w:color="auto"/>
            </w:tcBorders>
            <w:shd w:val="clear" w:color="auto" w:fill="auto"/>
            <w:noWrap/>
            <w:vAlign w:val="bottom"/>
            <w:hideMark/>
          </w:tcPr>
          <w:p w14:paraId="67FF7D8C" w14:textId="77777777" w:rsidR="00EC290C" w:rsidRPr="00A43A2C" w:rsidRDefault="00EC290C" w:rsidP="00EC290C">
            <w:pPr>
              <w:jc w:val="right"/>
              <w:rPr>
                <w:rStyle w:val="IntenseReference"/>
              </w:rPr>
            </w:pPr>
            <w:r w:rsidRPr="00A43A2C">
              <w:rPr>
                <w:rStyle w:val="IntenseReference"/>
              </w:rPr>
              <w:t>1.151</w:t>
            </w:r>
          </w:p>
        </w:tc>
        <w:tc>
          <w:tcPr>
            <w:tcW w:w="1276" w:type="dxa"/>
            <w:tcBorders>
              <w:top w:val="nil"/>
              <w:left w:val="nil"/>
              <w:bottom w:val="single" w:sz="8" w:space="0" w:color="auto"/>
              <w:right w:val="single" w:sz="8" w:space="0" w:color="auto"/>
            </w:tcBorders>
            <w:shd w:val="clear" w:color="auto" w:fill="auto"/>
            <w:noWrap/>
            <w:vAlign w:val="center"/>
            <w:hideMark/>
          </w:tcPr>
          <w:p w14:paraId="4F80445E"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37.121</w:t>
            </w:r>
          </w:p>
        </w:tc>
      </w:tr>
      <w:tr w:rsidR="00EC290C" w:rsidRPr="00F352E1" w14:paraId="0F729840" w14:textId="77777777" w:rsidTr="00EC290C">
        <w:trPr>
          <w:trHeight w:hRule="exact" w:val="255"/>
        </w:trPr>
        <w:tc>
          <w:tcPr>
            <w:tcW w:w="2709" w:type="dxa"/>
            <w:vMerge/>
            <w:tcBorders>
              <w:left w:val="single" w:sz="8" w:space="0" w:color="auto"/>
              <w:right w:val="single" w:sz="8" w:space="0" w:color="auto"/>
            </w:tcBorders>
            <w:shd w:val="clear" w:color="auto" w:fill="auto"/>
            <w:vAlign w:val="center"/>
            <w:hideMark/>
          </w:tcPr>
          <w:p w14:paraId="4D19F5AF"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77F32A24"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Dent</w:t>
            </w:r>
          </w:p>
        </w:tc>
        <w:tc>
          <w:tcPr>
            <w:tcW w:w="909" w:type="dxa"/>
            <w:tcBorders>
              <w:top w:val="nil"/>
              <w:left w:val="nil"/>
              <w:bottom w:val="single" w:sz="8" w:space="0" w:color="auto"/>
              <w:right w:val="single" w:sz="8" w:space="0" w:color="auto"/>
            </w:tcBorders>
            <w:shd w:val="clear" w:color="auto" w:fill="auto"/>
            <w:noWrap/>
            <w:vAlign w:val="bottom"/>
            <w:hideMark/>
          </w:tcPr>
          <w:p w14:paraId="46A492AD" w14:textId="77777777" w:rsidR="00EC290C" w:rsidRPr="00A43A2C" w:rsidRDefault="00437D84" w:rsidP="00EC290C">
            <w:pPr>
              <w:jc w:val="right"/>
              <w:rPr>
                <w:rStyle w:val="IntenseReference"/>
              </w:rPr>
            </w:pPr>
            <w:r>
              <w:rPr>
                <w:rStyle w:val="IntenseReference"/>
              </w:rPr>
              <w:t>0.117</w:t>
            </w:r>
          </w:p>
        </w:tc>
        <w:tc>
          <w:tcPr>
            <w:tcW w:w="1134" w:type="dxa"/>
            <w:tcBorders>
              <w:top w:val="nil"/>
              <w:left w:val="nil"/>
              <w:bottom w:val="single" w:sz="8" w:space="0" w:color="auto"/>
              <w:right w:val="single" w:sz="8" w:space="0" w:color="auto"/>
            </w:tcBorders>
            <w:shd w:val="clear" w:color="auto" w:fill="auto"/>
            <w:noWrap/>
            <w:vAlign w:val="bottom"/>
            <w:hideMark/>
          </w:tcPr>
          <w:p w14:paraId="329BCA65" w14:textId="77777777" w:rsidR="00EC290C" w:rsidRPr="00A43A2C" w:rsidRDefault="00EC290C" w:rsidP="00EC290C">
            <w:pPr>
              <w:jc w:val="right"/>
              <w:rPr>
                <w:rStyle w:val="IntenseReference"/>
              </w:rPr>
            </w:pPr>
            <w:r w:rsidRPr="00A43A2C">
              <w:rPr>
                <w:rStyle w:val="IntenseReference"/>
              </w:rPr>
              <w:t>1.292</w:t>
            </w:r>
          </w:p>
        </w:tc>
        <w:tc>
          <w:tcPr>
            <w:tcW w:w="1276" w:type="dxa"/>
            <w:tcBorders>
              <w:top w:val="nil"/>
              <w:left w:val="nil"/>
              <w:bottom w:val="single" w:sz="8" w:space="0" w:color="auto"/>
              <w:right w:val="single" w:sz="8" w:space="0" w:color="auto"/>
            </w:tcBorders>
            <w:shd w:val="clear" w:color="auto" w:fill="auto"/>
            <w:noWrap/>
            <w:vAlign w:val="center"/>
            <w:hideMark/>
          </w:tcPr>
          <w:p w14:paraId="1DB04C7A"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53.768</w:t>
            </w:r>
          </w:p>
        </w:tc>
      </w:tr>
      <w:tr w:rsidR="00EC290C" w:rsidRPr="00F352E1" w14:paraId="18D4FC0B" w14:textId="77777777" w:rsidTr="00EC290C">
        <w:trPr>
          <w:trHeight w:hRule="exact" w:val="255"/>
        </w:trPr>
        <w:tc>
          <w:tcPr>
            <w:tcW w:w="2709" w:type="dxa"/>
            <w:vMerge/>
            <w:tcBorders>
              <w:left w:val="single" w:sz="8" w:space="0" w:color="auto"/>
              <w:right w:val="single" w:sz="8" w:space="0" w:color="auto"/>
            </w:tcBorders>
            <w:shd w:val="clear" w:color="auto" w:fill="auto"/>
            <w:vAlign w:val="center"/>
            <w:hideMark/>
          </w:tcPr>
          <w:p w14:paraId="3A477E02"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63B9D363"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Daydream</w:t>
            </w:r>
          </w:p>
        </w:tc>
        <w:tc>
          <w:tcPr>
            <w:tcW w:w="909" w:type="dxa"/>
            <w:tcBorders>
              <w:top w:val="nil"/>
              <w:left w:val="nil"/>
              <w:bottom w:val="single" w:sz="8" w:space="0" w:color="auto"/>
              <w:right w:val="single" w:sz="8" w:space="0" w:color="auto"/>
            </w:tcBorders>
            <w:shd w:val="clear" w:color="auto" w:fill="auto"/>
            <w:noWrap/>
            <w:vAlign w:val="bottom"/>
            <w:hideMark/>
          </w:tcPr>
          <w:p w14:paraId="6AEF73CC" w14:textId="77777777" w:rsidR="00EC290C" w:rsidRPr="00A43A2C" w:rsidRDefault="00437D84" w:rsidP="00EC290C">
            <w:pPr>
              <w:jc w:val="right"/>
              <w:rPr>
                <w:rStyle w:val="IntenseReference"/>
              </w:rPr>
            </w:pPr>
            <w:r>
              <w:rPr>
                <w:rStyle w:val="IntenseReference"/>
              </w:rPr>
              <w:t>0.122</w:t>
            </w:r>
          </w:p>
        </w:tc>
        <w:tc>
          <w:tcPr>
            <w:tcW w:w="1134" w:type="dxa"/>
            <w:tcBorders>
              <w:top w:val="nil"/>
              <w:left w:val="nil"/>
              <w:bottom w:val="single" w:sz="8" w:space="0" w:color="auto"/>
              <w:right w:val="single" w:sz="8" w:space="0" w:color="auto"/>
            </w:tcBorders>
            <w:shd w:val="clear" w:color="auto" w:fill="auto"/>
            <w:noWrap/>
            <w:vAlign w:val="bottom"/>
            <w:hideMark/>
          </w:tcPr>
          <w:p w14:paraId="7F3A5C75" w14:textId="77777777" w:rsidR="00EC290C" w:rsidRPr="00A43A2C" w:rsidRDefault="00EC290C" w:rsidP="00EC290C">
            <w:pPr>
              <w:jc w:val="right"/>
              <w:rPr>
                <w:rStyle w:val="IntenseReference"/>
              </w:rPr>
            </w:pPr>
            <w:r w:rsidRPr="00A43A2C">
              <w:rPr>
                <w:rStyle w:val="IntenseReference"/>
              </w:rPr>
              <w:t>1.339</w:t>
            </w:r>
          </w:p>
        </w:tc>
        <w:tc>
          <w:tcPr>
            <w:tcW w:w="1276" w:type="dxa"/>
            <w:tcBorders>
              <w:top w:val="nil"/>
              <w:left w:val="nil"/>
              <w:bottom w:val="single" w:sz="8" w:space="0" w:color="auto"/>
              <w:right w:val="single" w:sz="8" w:space="0" w:color="auto"/>
            </w:tcBorders>
            <w:shd w:val="clear" w:color="auto" w:fill="auto"/>
            <w:noWrap/>
            <w:vAlign w:val="center"/>
            <w:hideMark/>
          </w:tcPr>
          <w:p w14:paraId="7CF9DE60"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72.426</w:t>
            </w:r>
          </w:p>
        </w:tc>
      </w:tr>
      <w:tr w:rsidR="00EC290C" w:rsidRPr="00F352E1" w14:paraId="77B0D33A" w14:textId="77777777" w:rsidTr="00EC290C">
        <w:trPr>
          <w:trHeight w:hRule="exact" w:val="255"/>
        </w:trPr>
        <w:tc>
          <w:tcPr>
            <w:tcW w:w="2709" w:type="dxa"/>
            <w:vMerge/>
            <w:tcBorders>
              <w:left w:val="single" w:sz="8" w:space="0" w:color="auto"/>
              <w:right w:val="single" w:sz="8" w:space="0" w:color="auto"/>
            </w:tcBorders>
            <w:shd w:val="clear" w:color="auto" w:fill="auto"/>
            <w:vAlign w:val="center"/>
          </w:tcPr>
          <w:p w14:paraId="3DD5EC84"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tcPr>
          <w:p w14:paraId="52DF5879"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Shute Harbour</w:t>
            </w:r>
          </w:p>
        </w:tc>
        <w:tc>
          <w:tcPr>
            <w:tcW w:w="909" w:type="dxa"/>
            <w:tcBorders>
              <w:top w:val="nil"/>
              <w:left w:val="nil"/>
              <w:bottom w:val="single" w:sz="8" w:space="0" w:color="auto"/>
              <w:right w:val="single" w:sz="8" w:space="0" w:color="auto"/>
            </w:tcBorders>
            <w:shd w:val="clear" w:color="auto" w:fill="auto"/>
            <w:noWrap/>
            <w:vAlign w:val="bottom"/>
          </w:tcPr>
          <w:p w14:paraId="5D51EF99" w14:textId="77777777" w:rsidR="00EC290C" w:rsidRPr="00A43A2C" w:rsidRDefault="00437D84" w:rsidP="00EC290C">
            <w:pPr>
              <w:jc w:val="right"/>
              <w:rPr>
                <w:rStyle w:val="IntenseReference"/>
              </w:rPr>
            </w:pPr>
            <w:r>
              <w:rPr>
                <w:rStyle w:val="IntenseReference"/>
              </w:rPr>
              <w:t>0.132</w:t>
            </w:r>
          </w:p>
        </w:tc>
        <w:tc>
          <w:tcPr>
            <w:tcW w:w="1134" w:type="dxa"/>
            <w:tcBorders>
              <w:top w:val="nil"/>
              <w:left w:val="nil"/>
              <w:bottom w:val="single" w:sz="8" w:space="0" w:color="auto"/>
              <w:right w:val="single" w:sz="8" w:space="0" w:color="auto"/>
            </w:tcBorders>
            <w:shd w:val="clear" w:color="auto" w:fill="auto"/>
            <w:noWrap/>
            <w:vAlign w:val="bottom"/>
          </w:tcPr>
          <w:p w14:paraId="2B61B206" w14:textId="77777777" w:rsidR="00EC290C" w:rsidRPr="00A43A2C" w:rsidRDefault="00EC290C" w:rsidP="00EC290C">
            <w:pPr>
              <w:jc w:val="right"/>
              <w:rPr>
                <w:rStyle w:val="IntenseReference"/>
              </w:rPr>
            </w:pPr>
            <w:r w:rsidRPr="00A43A2C">
              <w:rPr>
                <w:rStyle w:val="IntenseReference"/>
              </w:rPr>
              <w:t>1.336</w:t>
            </w:r>
          </w:p>
        </w:tc>
        <w:tc>
          <w:tcPr>
            <w:tcW w:w="1276" w:type="dxa"/>
            <w:tcBorders>
              <w:top w:val="nil"/>
              <w:left w:val="nil"/>
              <w:bottom w:val="single" w:sz="8" w:space="0" w:color="auto"/>
              <w:right w:val="single" w:sz="8" w:space="0" w:color="auto"/>
            </w:tcBorders>
            <w:shd w:val="clear" w:color="auto" w:fill="auto"/>
            <w:noWrap/>
            <w:vAlign w:val="center"/>
          </w:tcPr>
          <w:p w14:paraId="5DF76A2B"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53.872</w:t>
            </w:r>
          </w:p>
        </w:tc>
      </w:tr>
      <w:tr w:rsidR="00EC290C" w:rsidRPr="00F352E1" w14:paraId="55339C08" w14:textId="77777777" w:rsidTr="00EC290C">
        <w:trPr>
          <w:trHeight w:hRule="exact" w:val="255"/>
        </w:trPr>
        <w:tc>
          <w:tcPr>
            <w:tcW w:w="2709" w:type="dxa"/>
            <w:vMerge/>
            <w:tcBorders>
              <w:left w:val="single" w:sz="8" w:space="0" w:color="auto"/>
              <w:bottom w:val="single" w:sz="8" w:space="0" w:color="auto"/>
              <w:right w:val="single" w:sz="8" w:space="0" w:color="auto"/>
            </w:tcBorders>
            <w:shd w:val="clear" w:color="auto" w:fill="auto"/>
            <w:vAlign w:val="center"/>
            <w:hideMark/>
          </w:tcPr>
          <w:p w14:paraId="55A44F94"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tcPr>
          <w:p w14:paraId="1B8DD62E"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Pine</w:t>
            </w:r>
          </w:p>
        </w:tc>
        <w:tc>
          <w:tcPr>
            <w:tcW w:w="909" w:type="dxa"/>
            <w:tcBorders>
              <w:top w:val="nil"/>
              <w:left w:val="nil"/>
              <w:bottom w:val="single" w:sz="8" w:space="0" w:color="auto"/>
              <w:right w:val="single" w:sz="8" w:space="0" w:color="auto"/>
            </w:tcBorders>
            <w:shd w:val="clear" w:color="auto" w:fill="auto"/>
            <w:noWrap/>
            <w:vAlign w:val="bottom"/>
          </w:tcPr>
          <w:p w14:paraId="2B5E6E64" w14:textId="77777777" w:rsidR="00EC290C" w:rsidRPr="00A43A2C" w:rsidRDefault="00437D84" w:rsidP="00EC290C">
            <w:pPr>
              <w:jc w:val="right"/>
              <w:rPr>
                <w:rStyle w:val="IntenseReference"/>
              </w:rPr>
            </w:pPr>
            <w:r>
              <w:rPr>
                <w:rStyle w:val="IntenseReference"/>
              </w:rPr>
              <w:t>0.135</w:t>
            </w:r>
          </w:p>
        </w:tc>
        <w:tc>
          <w:tcPr>
            <w:tcW w:w="1134" w:type="dxa"/>
            <w:tcBorders>
              <w:top w:val="nil"/>
              <w:left w:val="nil"/>
              <w:bottom w:val="single" w:sz="8" w:space="0" w:color="auto"/>
              <w:right w:val="single" w:sz="8" w:space="0" w:color="auto"/>
            </w:tcBorders>
            <w:shd w:val="clear" w:color="auto" w:fill="auto"/>
            <w:noWrap/>
            <w:vAlign w:val="bottom"/>
          </w:tcPr>
          <w:p w14:paraId="60BDB756" w14:textId="77777777" w:rsidR="00EC290C" w:rsidRPr="00A43A2C" w:rsidRDefault="00EC290C" w:rsidP="00EC290C">
            <w:pPr>
              <w:jc w:val="right"/>
              <w:rPr>
                <w:rStyle w:val="IntenseReference"/>
              </w:rPr>
            </w:pPr>
            <w:r w:rsidRPr="00A43A2C">
              <w:rPr>
                <w:rStyle w:val="IntenseReference"/>
              </w:rPr>
              <w:t>1.510</w:t>
            </w:r>
          </w:p>
        </w:tc>
        <w:tc>
          <w:tcPr>
            <w:tcW w:w="1276" w:type="dxa"/>
            <w:tcBorders>
              <w:top w:val="nil"/>
              <w:left w:val="nil"/>
              <w:bottom w:val="single" w:sz="8" w:space="0" w:color="auto"/>
              <w:right w:val="single" w:sz="8" w:space="0" w:color="auto"/>
            </w:tcBorders>
            <w:shd w:val="clear" w:color="auto" w:fill="auto"/>
            <w:noWrap/>
            <w:vAlign w:val="center"/>
          </w:tcPr>
          <w:p w14:paraId="692F433E"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60.969</w:t>
            </w:r>
          </w:p>
        </w:tc>
      </w:tr>
      <w:tr w:rsidR="00EC290C" w:rsidRPr="00F352E1" w14:paraId="24BDE7AD" w14:textId="77777777" w:rsidTr="00EC290C">
        <w:trPr>
          <w:trHeight w:hRule="exact" w:val="255"/>
        </w:trPr>
        <w:tc>
          <w:tcPr>
            <w:tcW w:w="2709" w:type="dxa"/>
            <w:vMerge w:val="restart"/>
            <w:tcBorders>
              <w:top w:val="nil"/>
              <w:left w:val="single" w:sz="8" w:space="0" w:color="auto"/>
              <w:right w:val="single" w:sz="8" w:space="0" w:color="auto"/>
            </w:tcBorders>
            <w:shd w:val="clear" w:color="auto" w:fill="auto"/>
            <w:vAlign w:val="center"/>
            <w:hideMark/>
          </w:tcPr>
          <w:p w14:paraId="37F5B812"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Fitzroy</w:t>
            </w:r>
          </w:p>
        </w:tc>
        <w:tc>
          <w:tcPr>
            <w:tcW w:w="1583" w:type="dxa"/>
            <w:tcBorders>
              <w:top w:val="nil"/>
              <w:left w:val="nil"/>
              <w:bottom w:val="single" w:sz="8" w:space="0" w:color="auto"/>
              <w:right w:val="single" w:sz="8" w:space="0" w:color="auto"/>
            </w:tcBorders>
            <w:shd w:val="clear" w:color="auto" w:fill="auto"/>
            <w:noWrap/>
            <w:vAlign w:val="bottom"/>
            <w:hideMark/>
          </w:tcPr>
          <w:p w14:paraId="68A36A38"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Barren</w:t>
            </w:r>
          </w:p>
        </w:tc>
        <w:tc>
          <w:tcPr>
            <w:tcW w:w="909" w:type="dxa"/>
            <w:tcBorders>
              <w:top w:val="nil"/>
              <w:left w:val="nil"/>
              <w:bottom w:val="single" w:sz="8" w:space="0" w:color="auto"/>
              <w:right w:val="single" w:sz="8" w:space="0" w:color="auto"/>
            </w:tcBorders>
            <w:shd w:val="clear" w:color="auto" w:fill="auto"/>
            <w:noWrap/>
            <w:vAlign w:val="bottom"/>
            <w:hideMark/>
          </w:tcPr>
          <w:p w14:paraId="602EE4D2" w14:textId="77777777" w:rsidR="00EC290C" w:rsidRPr="00A43A2C" w:rsidRDefault="00437D84" w:rsidP="00EC290C">
            <w:pPr>
              <w:jc w:val="right"/>
              <w:rPr>
                <w:rStyle w:val="IntenseReference"/>
              </w:rPr>
            </w:pPr>
            <w:r>
              <w:rPr>
                <w:rStyle w:val="IntenseReference"/>
              </w:rPr>
              <w:t>0.058</w:t>
            </w:r>
          </w:p>
        </w:tc>
        <w:tc>
          <w:tcPr>
            <w:tcW w:w="1134" w:type="dxa"/>
            <w:tcBorders>
              <w:top w:val="nil"/>
              <w:left w:val="nil"/>
              <w:bottom w:val="single" w:sz="8" w:space="0" w:color="auto"/>
              <w:right w:val="single" w:sz="8" w:space="0" w:color="auto"/>
            </w:tcBorders>
            <w:shd w:val="clear" w:color="auto" w:fill="auto"/>
            <w:noWrap/>
            <w:vAlign w:val="bottom"/>
            <w:hideMark/>
          </w:tcPr>
          <w:p w14:paraId="020D3D83" w14:textId="77777777" w:rsidR="00EC290C" w:rsidRPr="00A43A2C" w:rsidRDefault="00EC290C" w:rsidP="00EC290C">
            <w:pPr>
              <w:jc w:val="right"/>
              <w:rPr>
                <w:rStyle w:val="IntenseReference"/>
              </w:rPr>
            </w:pPr>
            <w:r w:rsidRPr="00A43A2C">
              <w:rPr>
                <w:rStyle w:val="IntenseReference"/>
              </w:rPr>
              <w:t>0.408</w:t>
            </w:r>
          </w:p>
        </w:tc>
        <w:tc>
          <w:tcPr>
            <w:tcW w:w="1276" w:type="dxa"/>
            <w:tcBorders>
              <w:top w:val="nil"/>
              <w:left w:val="nil"/>
              <w:bottom w:val="single" w:sz="8" w:space="0" w:color="auto"/>
              <w:right w:val="single" w:sz="8" w:space="0" w:color="auto"/>
            </w:tcBorders>
            <w:shd w:val="clear" w:color="auto" w:fill="auto"/>
            <w:noWrap/>
            <w:vAlign w:val="center"/>
            <w:hideMark/>
          </w:tcPr>
          <w:p w14:paraId="50FD694F"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4.236</w:t>
            </w:r>
          </w:p>
        </w:tc>
      </w:tr>
      <w:tr w:rsidR="00EC290C" w:rsidRPr="00F352E1" w14:paraId="14CEE462" w14:textId="77777777" w:rsidTr="00EC290C">
        <w:trPr>
          <w:trHeight w:hRule="exact" w:val="255"/>
        </w:trPr>
        <w:tc>
          <w:tcPr>
            <w:tcW w:w="2709" w:type="dxa"/>
            <w:vMerge/>
            <w:tcBorders>
              <w:left w:val="single" w:sz="8" w:space="0" w:color="auto"/>
              <w:right w:val="single" w:sz="8" w:space="0" w:color="auto"/>
            </w:tcBorders>
            <w:shd w:val="clear" w:color="auto" w:fill="auto"/>
            <w:vAlign w:val="center"/>
            <w:hideMark/>
          </w:tcPr>
          <w:p w14:paraId="246D9883"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1B80AA11"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Middle</w:t>
            </w:r>
          </w:p>
        </w:tc>
        <w:tc>
          <w:tcPr>
            <w:tcW w:w="909" w:type="dxa"/>
            <w:tcBorders>
              <w:top w:val="nil"/>
              <w:left w:val="nil"/>
              <w:bottom w:val="single" w:sz="8" w:space="0" w:color="auto"/>
              <w:right w:val="single" w:sz="8" w:space="0" w:color="auto"/>
            </w:tcBorders>
            <w:shd w:val="clear" w:color="auto" w:fill="auto"/>
            <w:noWrap/>
            <w:vAlign w:val="bottom"/>
            <w:hideMark/>
          </w:tcPr>
          <w:p w14:paraId="320904CD" w14:textId="77777777" w:rsidR="00EC290C" w:rsidRPr="00A43A2C" w:rsidRDefault="00437D84" w:rsidP="00EC290C">
            <w:pPr>
              <w:jc w:val="right"/>
              <w:rPr>
                <w:rStyle w:val="IntenseReference"/>
              </w:rPr>
            </w:pPr>
            <w:r>
              <w:rPr>
                <w:rStyle w:val="IntenseReference"/>
              </w:rPr>
              <w:t>0.152</w:t>
            </w:r>
          </w:p>
        </w:tc>
        <w:tc>
          <w:tcPr>
            <w:tcW w:w="1134" w:type="dxa"/>
            <w:tcBorders>
              <w:top w:val="nil"/>
              <w:left w:val="nil"/>
              <w:bottom w:val="single" w:sz="8" w:space="0" w:color="auto"/>
              <w:right w:val="single" w:sz="8" w:space="0" w:color="auto"/>
            </w:tcBorders>
            <w:shd w:val="clear" w:color="auto" w:fill="auto"/>
            <w:noWrap/>
            <w:vAlign w:val="bottom"/>
            <w:hideMark/>
          </w:tcPr>
          <w:p w14:paraId="1F09EFE9" w14:textId="77777777" w:rsidR="00EC290C" w:rsidRPr="00A43A2C" w:rsidRDefault="00EC290C" w:rsidP="00EC290C">
            <w:pPr>
              <w:jc w:val="right"/>
              <w:rPr>
                <w:rStyle w:val="IntenseReference"/>
              </w:rPr>
            </w:pPr>
            <w:r w:rsidRPr="00A43A2C">
              <w:rPr>
                <w:rStyle w:val="IntenseReference"/>
              </w:rPr>
              <w:t>0.764</w:t>
            </w:r>
          </w:p>
        </w:tc>
        <w:tc>
          <w:tcPr>
            <w:tcW w:w="1276" w:type="dxa"/>
            <w:tcBorders>
              <w:top w:val="nil"/>
              <w:left w:val="nil"/>
              <w:bottom w:val="single" w:sz="8" w:space="0" w:color="auto"/>
              <w:right w:val="single" w:sz="8" w:space="0" w:color="auto"/>
            </w:tcBorders>
            <w:shd w:val="clear" w:color="auto" w:fill="auto"/>
            <w:noWrap/>
            <w:vAlign w:val="center"/>
            <w:hideMark/>
          </w:tcPr>
          <w:p w14:paraId="5B458367"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4.766</w:t>
            </w:r>
          </w:p>
        </w:tc>
      </w:tr>
      <w:tr w:rsidR="00EC290C" w:rsidRPr="00F352E1" w14:paraId="55FBE2B0" w14:textId="77777777" w:rsidTr="00EC290C">
        <w:trPr>
          <w:trHeight w:hRule="exact" w:val="255"/>
        </w:trPr>
        <w:tc>
          <w:tcPr>
            <w:tcW w:w="2709" w:type="dxa"/>
            <w:vMerge/>
            <w:tcBorders>
              <w:left w:val="single" w:sz="8" w:space="0" w:color="auto"/>
              <w:right w:val="single" w:sz="8" w:space="0" w:color="auto"/>
            </w:tcBorders>
            <w:shd w:val="clear" w:color="auto" w:fill="auto"/>
            <w:noWrap/>
            <w:vAlign w:val="center"/>
            <w:hideMark/>
          </w:tcPr>
          <w:p w14:paraId="601C2E89"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34321AAF"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North Keppel</w:t>
            </w:r>
          </w:p>
        </w:tc>
        <w:tc>
          <w:tcPr>
            <w:tcW w:w="909" w:type="dxa"/>
            <w:tcBorders>
              <w:top w:val="nil"/>
              <w:left w:val="nil"/>
              <w:bottom w:val="single" w:sz="8" w:space="0" w:color="auto"/>
              <w:right w:val="single" w:sz="8" w:space="0" w:color="auto"/>
            </w:tcBorders>
            <w:shd w:val="clear" w:color="auto" w:fill="auto"/>
            <w:noWrap/>
            <w:vAlign w:val="bottom"/>
            <w:hideMark/>
          </w:tcPr>
          <w:p w14:paraId="0136680C" w14:textId="77777777" w:rsidR="00EC290C" w:rsidRPr="00A43A2C" w:rsidRDefault="00437D84" w:rsidP="00EC290C">
            <w:pPr>
              <w:jc w:val="right"/>
              <w:rPr>
                <w:rStyle w:val="IntenseReference"/>
              </w:rPr>
            </w:pPr>
            <w:r>
              <w:rPr>
                <w:rStyle w:val="IntenseReference"/>
              </w:rPr>
              <w:t>0.172</w:t>
            </w:r>
          </w:p>
        </w:tc>
        <w:tc>
          <w:tcPr>
            <w:tcW w:w="1134" w:type="dxa"/>
            <w:tcBorders>
              <w:top w:val="nil"/>
              <w:left w:val="nil"/>
              <w:bottom w:val="single" w:sz="8" w:space="0" w:color="auto"/>
              <w:right w:val="single" w:sz="8" w:space="0" w:color="auto"/>
            </w:tcBorders>
            <w:shd w:val="clear" w:color="auto" w:fill="auto"/>
            <w:noWrap/>
            <w:vAlign w:val="bottom"/>
            <w:hideMark/>
          </w:tcPr>
          <w:p w14:paraId="1F4237E1" w14:textId="77777777" w:rsidR="00EC290C" w:rsidRPr="00A43A2C" w:rsidRDefault="00EC290C" w:rsidP="00EC290C">
            <w:pPr>
              <w:jc w:val="right"/>
              <w:rPr>
                <w:rStyle w:val="IntenseReference"/>
              </w:rPr>
            </w:pPr>
            <w:r w:rsidRPr="00A43A2C">
              <w:rPr>
                <w:rStyle w:val="IntenseReference"/>
              </w:rPr>
              <w:t>0.714</w:t>
            </w:r>
          </w:p>
        </w:tc>
        <w:tc>
          <w:tcPr>
            <w:tcW w:w="1276" w:type="dxa"/>
            <w:tcBorders>
              <w:top w:val="nil"/>
              <w:left w:val="nil"/>
              <w:bottom w:val="single" w:sz="8" w:space="0" w:color="auto"/>
              <w:right w:val="single" w:sz="8" w:space="0" w:color="auto"/>
            </w:tcBorders>
            <w:shd w:val="clear" w:color="auto" w:fill="auto"/>
            <w:noWrap/>
            <w:vAlign w:val="center"/>
            <w:hideMark/>
          </w:tcPr>
          <w:p w14:paraId="4A6669F6"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21.317</w:t>
            </w:r>
          </w:p>
        </w:tc>
      </w:tr>
      <w:tr w:rsidR="00EC290C" w:rsidRPr="00F352E1" w14:paraId="4A2F6554" w14:textId="77777777" w:rsidTr="00EC290C">
        <w:trPr>
          <w:trHeight w:hRule="exact" w:val="255"/>
        </w:trPr>
        <w:tc>
          <w:tcPr>
            <w:tcW w:w="2709" w:type="dxa"/>
            <w:vMerge/>
            <w:tcBorders>
              <w:left w:val="single" w:sz="8" w:space="0" w:color="auto"/>
              <w:right w:val="single" w:sz="8" w:space="0" w:color="auto"/>
            </w:tcBorders>
            <w:vAlign w:val="center"/>
            <w:hideMark/>
          </w:tcPr>
          <w:p w14:paraId="3B3453B4"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617BEB18"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Keppels South</w:t>
            </w:r>
          </w:p>
        </w:tc>
        <w:tc>
          <w:tcPr>
            <w:tcW w:w="909" w:type="dxa"/>
            <w:tcBorders>
              <w:top w:val="nil"/>
              <w:left w:val="nil"/>
              <w:bottom w:val="single" w:sz="8" w:space="0" w:color="auto"/>
              <w:right w:val="single" w:sz="8" w:space="0" w:color="auto"/>
            </w:tcBorders>
            <w:shd w:val="clear" w:color="auto" w:fill="auto"/>
            <w:noWrap/>
            <w:vAlign w:val="bottom"/>
            <w:hideMark/>
          </w:tcPr>
          <w:p w14:paraId="69F6D53A" w14:textId="77777777" w:rsidR="00EC290C" w:rsidRPr="00A43A2C" w:rsidRDefault="00437D84" w:rsidP="00EC290C">
            <w:pPr>
              <w:jc w:val="right"/>
              <w:rPr>
                <w:rStyle w:val="IntenseReference"/>
              </w:rPr>
            </w:pPr>
            <w:r>
              <w:rPr>
                <w:rStyle w:val="IntenseReference"/>
              </w:rPr>
              <w:t>0.214</w:t>
            </w:r>
          </w:p>
        </w:tc>
        <w:tc>
          <w:tcPr>
            <w:tcW w:w="1134" w:type="dxa"/>
            <w:tcBorders>
              <w:top w:val="nil"/>
              <w:left w:val="nil"/>
              <w:bottom w:val="single" w:sz="8" w:space="0" w:color="auto"/>
              <w:right w:val="single" w:sz="8" w:space="0" w:color="auto"/>
            </w:tcBorders>
            <w:shd w:val="clear" w:color="auto" w:fill="auto"/>
            <w:noWrap/>
            <w:vAlign w:val="bottom"/>
            <w:hideMark/>
          </w:tcPr>
          <w:p w14:paraId="3D5F0649" w14:textId="77777777" w:rsidR="00EC290C" w:rsidRPr="00A43A2C" w:rsidRDefault="00EC290C" w:rsidP="00EC290C">
            <w:pPr>
              <w:jc w:val="right"/>
              <w:rPr>
                <w:rStyle w:val="IntenseReference"/>
              </w:rPr>
            </w:pPr>
            <w:r w:rsidRPr="00A43A2C">
              <w:rPr>
                <w:rStyle w:val="IntenseReference"/>
              </w:rPr>
              <w:t>0.698</w:t>
            </w:r>
          </w:p>
        </w:tc>
        <w:tc>
          <w:tcPr>
            <w:tcW w:w="1276" w:type="dxa"/>
            <w:tcBorders>
              <w:top w:val="nil"/>
              <w:left w:val="nil"/>
              <w:bottom w:val="single" w:sz="8" w:space="0" w:color="auto"/>
              <w:right w:val="single" w:sz="8" w:space="0" w:color="auto"/>
            </w:tcBorders>
            <w:shd w:val="clear" w:color="auto" w:fill="auto"/>
            <w:noWrap/>
            <w:vAlign w:val="center"/>
            <w:hideMark/>
          </w:tcPr>
          <w:p w14:paraId="0180EDCC"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9.785</w:t>
            </w:r>
          </w:p>
        </w:tc>
      </w:tr>
      <w:tr w:rsidR="00EC290C" w:rsidRPr="00F352E1" w14:paraId="4EAD29FE" w14:textId="77777777" w:rsidTr="00EC290C">
        <w:trPr>
          <w:trHeight w:hRule="exact" w:val="255"/>
        </w:trPr>
        <w:tc>
          <w:tcPr>
            <w:tcW w:w="2709" w:type="dxa"/>
            <w:vMerge/>
            <w:tcBorders>
              <w:left w:val="single" w:sz="8" w:space="0" w:color="auto"/>
              <w:right w:val="single" w:sz="8" w:space="0" w:color="auto"/>
            </w:tcBorders>
            <w:vAlign w:val="center"/>
            <w:hideMark/>
          </w:tcPr>
          <w:p w14:paraId="174F2687"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285D445"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Peak</w:t>
            </w:r>
          </w:p>
        </w:tc>
        <w:tc>
          <w:tcPr>
            <w:tcW w:w="909" w:type="dxa"/>
            <w:tcBorders>
              <w:top w:val="nil"/>
              <w:left w:val="nil"/>
              <w:bottom w:val="single" w:sz="8" w:space="0" w:color="auto"/>
              <w:right w:val="single" w:sz="8" w:space="0" w:color="auto"/>
            </w:tcBorders>
            <w:shd w:val="clear" w:color="auto" w:fill="auto"/>
            <w:noWrap/>
            <w:vAlign w:val="bottom"/>
            <w:hideMark/>
          </w:tcPr>
          <w:p w14:paraId="732D42FD" w14:textId="77777777" w:rsidR="00EC290C" w:rsidRPr="00A43A2C" w:rsidRDefault="00437D84" w:rsidP="00EC290C">
            <w:pPr>
              <w:jc w:val="right"/>
              <w:rPr>
                <w:rStyle w:val="IntenseReference"/>
              </w:rPr>
            </w:pPr>
            <w:r>
              <w:rPr>
                <w:rStyle w:val="IntenseReference"/>
              </w:rPr>
              <w:t>0.346</w:t>
            </w:r>
          </w:p>
        </w:tc>
        <w:tc>
          <w:tcPr>
            <w:tcW w:w="1134" w:type="dxa"/>
            <w:tcBorders>
              <w:top w:val="nil"/>
              <w:left w:val="nil"/>
              <w:bottom w:val="single" w:sz="8" w:space="0" w:color="auto"/>
              <w:right w:val="single" w:sz="8" w:space="0" w:color="auto"/>
            </w:tcBorders>
            <w:shd w:val="clear" w:color="auto" w:fill="auto"/>
            <w:noWrap/>
            <w:vAlign w:val="bottom"/>
            <w:hideMark/>
          </w:tcPr>
          <w:p w14:paraId="2A6FE1A4" w14:textId="77777777" w:rsidR="00EC290C" w:rsidRPr="00A43A2C" w:rsidRDefault="00EC290C" w:rsidP="00EC290C">
            <w:pPr>
              <w:jc w:val="right"/>
              <w:rPr>
                <w:rStyle w:val="IntenseReference"/>
              </w:rPr>
            </w:pPr>
            <w:r w:rsidRPr="00A43A2C">
              <w:rPr>
                <w:rStyle w:val="IntenseReference"/>
              </w:rPr>
              <w:t>2.224</w:t>
            </w:r>
          </w:p>
        </w:tc>
        <w:tc>
          <w:tcPr>
            <w:tcW w:w="1276" w:type="dxa"/>
            <w:tcBorders>
              <w:top w:val="nil"/>
              <w:left w:val="nil"/>
              <w:bottom w:val="single" w:sz="8" w:space="0" w:color="auto"/>
              <w:right w:val="single" w:sz="8" w:space="0" w:color="auto"/>
            </w:tcBorders>
            <w:shd w:val="clear" w:color="auto" w:fill="auto"/>
            <w:noWrap/>
            <w:vAlign w:val="center"/>
            <w:hideMark/>
          </w:tcPr>
          <w:p w14:paraId="213022A0"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9.532</w:t>
            </w:r>
          </w:p>
        </w:tc>
      </w:tr>
      <w:tr w:rsidR="00EC290C" w:rsidRPr="00F352E1" w14:paraId="4A222CEC" w14:textId="77777777" w:rsidTr="00EC290C">
        <w:trPr>
          <w:trHeight w:hRule="exact" w:val="300"/>
        </w:trPr>
        <w:tc>
          <w:tcPr>
            <w:tcW w:w="2709" w:type="dxa"/>
            <w:vMerge/>
            <w:tcBorders>
              <w:left w:val="single" w:sz="8" w:space="0" w:color="auto"/>
              <w:bottom w:val="single" w:sz="8" w:space="0" w:color="auto"/>
              <w:right w:val="single" w:sz="8" w:space="0" w:color="auto"/>
            </w:tcBorders>
            <w:vAlign w:val="center"/>
            <w:hideMark/>
          </w:tcPr>
          <w:p w14:paraId="6430D541" w14:textId="77777777" w:rsidR="00EC290C" w:rsidRPr="00F54AEB" w:rsidRDefault="00EC290C" w:rsidP="00EC290C">
            <w:pPr>
              <w:spacing w:after="0"/>
              <w:jc w:val="left"/>
              <w:rPr>
                <w:rFonts w:ascii="Arial Narrow" w:hAnsi="Arial Narrow"/>
                <w:sz w:val="20"/>
                <w:lang w:val="en-AU"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4072129A"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Pelican</w:t>
            </w:r>
          </w:p>
        </w:tc>
        <w:tc>
          <w:tcPr>
            <w:tcW w:w="909" w:type="dxa"/>
            <w:tcBorders>
              <w:top w:val="nil"/>
              <w:left w:val="nil"/>
              <w:bottom w:val="single" w:sz="8" w:space="0" w:color="auto"/>
              <w:right w:val="single" w:sz="8" w:space="0" w:color="auto"/>
            </w:tcBorders>
            <w:shd w:val="clear" w:color="auto" w:fill="auto"/>
            <w:noWrap/>
            <w:vAlign w:val="bottom"/>
            <w:hideMark/>
          </w:tcPr>
          <w:p w14:paraId="73407EAD" w14:textId="77777777" w:rsidR="00EC290C" w:rsidRPr="00A43A2C" w:rsidRDefault="00437D84" w:rsidP="00EC290C">
            <w:pPr>
              <w:jc w:val="right"/>
              <w:rPr>
                <w:rStyle w:val="IntenseReference"/>
              </w:rPr>
            </w:pPr>
            <w:r>
              <w:rPr>
                <w:rStyle w:val="IntenseReference"/>
              </w:rPr>
              <w:t>0.393</w:t>
            </w:r>
          </w:p>
        </w:tc>
        <w:tc>
          <w:tcPr>
            <w:tcW w:w="1134" w:type="dxa"/>
            <w:tcBorders>
              <w:top w:val="nil"/>
              <w:left w:val="nil"/>
              <w:bottom w:val="single" w:sz="8" w:space="0" w:color="auto"/>
              <w:right w:val="single" w:sz="8" w:space="0" w:color="auto"/>
            </w:tcBorders>
            <w:shd w:val="clear" w:color="auto" w:fill="auto"/>
            <w:noWrap/>
            <w:vAlign w:val="bottom"/>
            <w:hideMark/>
          </w:tcPr>
          <w:p w14:paraId="0C489FCC" w14:textId="77777777" w:rsidR="00EC290C" w:rsidRPr="00A43A2C" w:rsidRDefault="00EC290C" w:rsidP="00EC290C">
            <w:pPr>
              <w:jc w:val="right"/>
              <w:rPr>
                <w:rStyle w:val="IntenseReference"/>
              </w:rPr>
            </w:pPr>
            <w:r w:rsidRPr="00A43A2C">
              <w:rPr>
                <w:rStyle w:val="IntenseReference"/>
              </w:rPr>
              <w:t>1.729</w:t>
            </w:r>
          </w:p>
        </w:tc>
        <w:tc>
          <w:tcPr>
            <w:tcW w:w="1276" w:type="dxa"/>
            <w:tcBorders>
              <w:top w:val="nil"/>
              <w:left w:val="nil"/>
              <w:bottom w:val="single" w:sz="8" w:space="0" w:color="auto"/>
              <w:right w:val="single" w:sz="8" w:space="0" w:color="auto"/>
            </w:tcBorders>
            <w:shd w:val="clear" w:color="auto" w:fill="auto"/>
            <w:noWrap/>
            <w:vAlign w:val="center"/>
            <w:hideMark/>
          </w:tcPr>
          <w:p w14:paraId="59270CC8" w14:textId="77777777" w:rsidR="00EC290C" w:rsidRPr="00F54AEB" w:rsidRDefault="00EC290C" w:rsidP="00EC290C">
            <w:pPr>
              <w:spacing w:after="0"/>
              <w:jc w:val="left"/>
              <w:rPr>
                <w:rFonts w:ascii="Arial Narrow" w:hAnsi="Arial Narrow"/>
                <w:sz w:val="20"/>
                <w:lang w:val="en-AU" w:eastAsia="en-AU"/>
              </w:rPr>
            </w:pPr>
            <w:r w:rsidRPr="00F54AEB">
              <w:rPr>
                <w:rFonts w:ascii="Arial Narrow" w:hAnsi="Arial Narrow"/>
                <w:sz w:val="20"/>
                <w:lang w:val="en-AU" w:eastAsia="en-AU"/>
              </w:rPr>
              <w:t>2.125</w:t>
            </w:r>
          </w:p>
        </w:tc>
      </w:tr>
    </w:tbl>
    <w:p w14:paraId="1C223287" w14:textId="77777777" w:rsidR="00F42DD3" w:rsidRPr="00F352E1" w:rsidRDefault="00F42DD3">
      <w:pPr>
        <w:pStyle w:val="Table"/>
        <w:rPr>
          <w:b/>
          <w:color w:val="4F81BD" w:themeColor="accent1"/>
          <w:szCs w:val="22"/>
        </w:rPr>
        <w:sectPr w:rsidR="00F42DD3" w:rsidRPr="00F352E1" w:rsidSect="00393669">
          <w:pgSz w:w="11907" w:h="16840" w:code="9"/>
          <w:pgMar w:top="1440" w:right="1134" w:bottom="1440" w:left="1134" w:header="709" w:footer="709" w:gutter="0"/>
          <w:cols w:space="708"/>
          <w:docGrid w:linePitch="360"/>
        </w:sectPr>
      </w:pPr>
    </w:p>
    <w:p w14:paraId="66F921E2" w14:textId="77777777" w:rsidR="00B8520A" w:rsidRPr="00F352E1" w:rsidRDefault="001E47C7" w:rsidP="00B8520A">
      <w:pPr>
        <w:rPr>
          <w:color w:val="4F81BD" w:themeColor="accent1"/>
        </w:rPr>
      </w:pPr>
      <w:bookmarkStart w:id="362" w:name="_Ref491178771"/>
      <w:bookmarkStart w:id="363" w:name="_Toc374701408"/>
      <w:bookmarkStart w:id="364" w:name="_Toc392929576"/>
      <w:bookmarkStart w:id="365" w:name="_Toc430268217"/>
      <w:r>
        <w:rPr>
          <w:noProof/>
          <w:color w:val="4F81BD" w:themeColor="accent1"/>
          <w:lang w:val="en-AU" w:eastAsia="en-AU"/>
        </w:rPr>
        <w:drawing>
          <wp:inline distT="0" distB="0" distL="0" distR="0" wp14:anchorId="3EFF9362" wp14:editId="242311F8">
            <wp:extent cx="8862060" cy="4945380"/>
            <wp:effectExtent l="0" t="0" r="0" b="7620"/>
            <wp:docPr id="31" name="Picture 31" descr="A panel of plots presenting family-level time-series of cover and juvenile density at each monitoring reef and depth combination." title="Figure A1. 1 Barron Daintree sub-region benthic community composi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ostell\Desktop\Vist 13\Daintreebar.1.png"/>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8862060" cy="4945380"/>
                    </a:xfrm>
                    <a:prstGeom prst="rect">
                      <a:avLst/>
                    </a:prstGeom>
                    <a:noFill/>
                    <a:ln>
                      <a:noFill/>
                    </a:ln>
                  </pic:spPr>
                </pic:pic>
              </a:graphicData>
            </a:graphic>
          </wp:inline>
        </w:drawing>
      </w:r>
    </w:p>
    <w:p w14:paraId="7E95C7D2" w14:textId="642C7EDD" w:rsidR="00F73646" w:rsidRPr="009808B7" w:rsidRDefault="003F670B" w:rsidP="00606A50">
      <w:pPr>
        <w:pStyle w:val="Caption"/>
        <w:rPr>
          <w:rStyle w:val="IntenseReference"/>
          <w:rFonts w:eastAsia="SimSun"/>
        </w:rPr>
      </w:pPr>
      <w:bookmarkStart w:id="366" w:name="_Ref501095809"/>
      <w:bookmarkStart w:id="367" w:name="_Toc500143382"/>
      <w:bookmarkEnd w:id="362"/>
      <w:r>
        <w:t xml:space="preserve">Figure A1. </w:t>
      </w:r>
      <w:r>
        <w:fldChar w:fldCharType="begin"/>
      </w:r>
      <w:r>
        <w:instrText xml:space="preserve"> SEQ Figure_A1. \* ARABIC </w:instrText>
      </w:r>
      <w:r>
        <w:fldChar w:fldCharType="separate"/>
      </w:r>
      <w:r w:rsidR="00A75175">
        <w:rPr>
          <w:noProof/>
        </w:rPr>
        <w:t>1</w:t>
      </w:r>
      <w:r>
        <w:fldChar w:fldCharType="end"/>
      </w:r>
      <w:bookmarkEnd w:id="366"/>
      <w:r>
        <w:t xml:space="preserve"> </w:t>
      </w:r>
      <w:r w:rsidR="001038D9" w:rsidRPr="001E47C7">
        <w:t xml:space="preserve">Barron </w:t>
      </w:r>
      <w:r w:rsidR="00817833" w:rsidRPr="001E47C7">
        <w:t>Daintree sub-region</w:t>
      </w:r>
      <w:r w:rsidR="001038D9" w:rsidRPr="001E47C7">
        <w:t xml:space="preserve"> benthic community composition</w:t>
      </w:r>
      <w:r w:rsidR="00817833" w:rsidRPr="009A622B">
        <w:rPr>
          <w:rStyle w:val="IntenseReference"/>
          <w:rFonts w:eastAsia="SimSun"/>
        </w:rPr>
        <w:t>.</w:t>
      </w:r>
      <w:bookmarkEnd w:id="363"/>
      <w:bookmarkEnd w:id="364"/>
      <w:bookmarkEnd w:id="365"/>
      <w:bookmarkEnd w:id="367"/>
      <w:r w:rsidR="005D0211" w:rsidRPr="009A622B">
        <w:rPr>
          <w:rStyle w:val="IntenseReference"/>
          <w:rFonts w:eastAsia="SimSun"/>
        </w:rPr>
        <w:t xml:space="preserve"> </w:t>
      </w:r>
      <w:bookmarkStart w:id="368" w:name="_Toc437424324"/>
      <w:bookmarkStart w:id="369" w:name="_Toc437432377"/>
      <w:r w:rsidR="008A1A24" w:rsidRPr="00626D6B">
        <w:rPr>
          <w:rStyle w:val="IntenseReference"/>
          <w:rFonts w:eastAsia="SimSun"/>
        </w:rPr>
        <w:t>Cover estimates are separated into regionally abundant</w:t>
      </w:r>
      <w:r w:rsidR="008A1A24" w:rsidRPr="009808B7">
        <w:rPr>
          <w:rStyle w:val="IntenseReference"/>
          <w:rFonts w:eastAsia="SimSun"/>
        </w:rPr>
        <w:t xml:space="preserve"> hard coral families and the total cover for soft corals and macroalgae (hanging). Juvenile density estimates are for regionally abundant hard coral families. Separate legends relevant groupings for cover and juvenile density estimates are located beneath the relevant plots.</w:t>
      </w:r>
      <w:bookmarkEnd w:id="368"/>
      <w:bookmarkEnd w:id="369"/>
    </w:p>
    <w:p w14:paraId="531FB2A2" w14:textId="77777777" w:rsidR="00F73646" w:rsidRPr="00F352E1" w:rsidRDefault="00F73646" w:rsidP="00F73646">
      <w:pPr>
        <w:rPr>
          <w:rFonts w:ascii="Arial Narrow" w:eastAsia="SimSun" w:hAnsi="Arial Narrow"/>
          <w:bCs/>
          <w:color w:val="4F81BD" w:themeColor="accent1"/>
          <w:sz w:val="20"/>
        </w:rPr>
      </w:pPr>
      <w:r w:rsidRPr="00F352E1">
        <w:rPr>
          <w:rStyle w:val="IntenseReference"/>
          <w:rFonts w:eastAsia="SimSun"/>
          <w:color w:val="4F81BD" w:themeColor="accent1"/>
        </w:rPr>
        <w:br w:type="page"/>
      </w:r>
      <w:bookmarkStart w:id="370" w:name="_Toc374701409"/>
      <w:bookmarkStart w:id="371" w:name="_Toc392929577"/>
      <w:bookmarkStart w:id="372" w:name="_Toc430268218"/>
      <w:bookmarkStart w:id="373" w:name="_Toc453243769"/>
    </w:p>
    <w:p w14:paraId="0214C7B3" w14:textId="77777777" w:rsidR="00B8520A" w:rsidRPr="00F352E1" w:rsidRDefault="001E47C7" w:rsidP="00B8520A">
      <w:pPr>
        <w:rPr>
          <w:color w:val="4F81BD" w:themeColor="accent1"/>
        </w:rPr>
      </w:pPr>
      <w:bookmarkStart w:id="374" w:name="_Ref491264631"/>
      <w:r>
        <w:rPr>
          <w:noProof/>
          <w:color w:val="4F81BD" w:themeColor="accent1"/>
          <w:lang w:val="en-AU" w:eastAsia="en-AU"/>
        </w:rPr>
        <w:drawing>
          <wp:inline distT="0" distB="0" distL="0" distR="0" wp14:anchorId="5F15E02B" wp14:editId="675E34F9">
            <wp:extent cx="8862060" cy="4945380"/>
            <wp:effectExtent l="0" t="0" r="0" b="7620"/>
            <wp:docPr id="225" name="Picture 225" descr="A panel of plots presenting family-level time-series of cover and juvenile density at each monitoring reef and depth combination." title="Figure A1. 2 Johnstone Russell-Mulgrave sub-region benthic community composi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ostell\Desktop\Vist 13\Johnstonebar.1.png"/>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8862060" cy="4945380"/>
                    </a:xfrm>
                    <a:prstGeom prst="rect">
                      <a:avLst/>
                    </a:prstGeom>
                    <a:noFill/>
                    <a:ln>
                      <a:noFill/>
                    </a:ln>
                  </pic:spPr>
                </pic:pic>
              </a:graphicData>
            </a:graphic>
          </wp:inline>
        </w:drawing>
      </w:r>
    </w:p>
    <w:p w14:paraId="723DBF25" w14:textId="77777777" w:rsidR="00F73646" w:rsidRPr="009808B7" w:rsidRDefault="003F670B" w:rsidP="00606A50">
      <w:pPr>
        <w:pStyle w:val="Caption"/>
        <w:rPr>
          <w:rStyle w:val="IntenseReference"/>
          <w:rFonts w:eastAsia="SimSun"/>
        </w:rPr>
      </w:pPr>
      <w:bookmarkStart w:id="375" w:name="_Ref501104990"/>
      <w:bookmarkStart w:id="376" w:name="_Toc500143383"/>
      <w:bookmarkEnd w:id="374"/>
      <w:r>
        <w:t xml:space="preserve">Figure A1. </w:t>
      </w:r>
      <w:r>
        <w:fldChar w:fldCharType="begin"/>
      </w:r>
      <w:r>
        <w:instrText xml:space="preserve"> SEQ Figure_A1. \* ARABIC </w:instrText>
      </w:r>
      <w:r>
        <w:fldChar w:fldCharType="separate"/>
      </w:r>
      <w:r w:rsidR="00A75175">
        <w:rPr>
          <w:noProof/>
        </w:rPr>
        <w:t>2</w:t>
      </w:r>
      <w:r>
        <w:fldChar w:fldCharType="end"/>
      </w:r>
      <w:bookmarkEnd w:id="375"/>
      <w:r>
        <w:t xml:space="preserve"> </w:t>
      </w:r>
      <w:r w:rsidR="00817833" w:rsidRPr="004252BF">
        <w:t>Johnstone Russell-Mulgrave sub-region</w:t>
      </w:r>
      <w:r w:rsidR="001038D9" w:rsidRPr="004252BF">
        <w:t xml:space="preserve"> benthic community composition</w:t>
      </w:r>
      <w:r w:rsidR="00817833" w:rsidRPr="004252BF">
        <w:t>.</w:t>
      </w:r>
      <w:bookmarkStart w:id="377" w:name="_Toc471373202"/>
      <w:bookmarkStart w:id="378" w:name="_Toc437424325"/>
      <w:bookmarkStart w:id="379" w:name="_Toc437432378"/>
      <w:bookmarkEnd w:id="370"/>
      <w:bookmarkEnd w:id="371"/>
      <w:bookmarkEnd w:id="372"/>
      <w:r w:rsidR="0082344A" w:rsidRPr="009A622B">
        <w:rPr>
          <w:rStyle w:val="IntenseReference"/>
          <w:rFonts w:eastAsia="SimSun"/>
        </w:rPr>
        <w:t xml:space="preserve"> C</w:t>
      </w:r>
      <w:r w:rsidR="008A1A24" w:rsidRPr="00626D6B">
        <w:rPr>
          <w:rStyle w:val="IntenseReference"/>
          <w:rFonts w:eastAsia="SimSun"/>
        </w:rPr>
        <w:t xml:space="preserve">over estimates are separated into regionally abundant hard coral families and </w:t>
      </w:r>
      <w:r w:rsidR="008A1A24" w:rsidRPr="009808B7">
        <w:rPr>
          <w:rStyle w:val="IntenseReference"/>
          <w:rFonts w:eastAsia="SimSun"/>
        </w:rPr>
        <w:t>the total cover for soft corals and macroalgae (hanging). Juvenile density estimates are for regionally abundant hard coral families. Separate legends relevant groupings for cover and juvenile density estimates are located beneath the relevant plots.</w:t>
      </w:r>
      <w:bookmarkEnd w:id="373"/>
      <w:bookmarkEnd w:id="376"/>
      <w:bookmarkEnd w:id="377"/>
      <w:bookmarkEnd w:id="378"/>
      <w:bookmarkEnd w:id="379"/>
    </w:p>
    <w:p w14:paraId="45DAD339" w14:textId="77777777" w:rsidR="00B8520A" w:rsidRPr="00F352E1" w:rsidRDefault="00F73646" w:rsidP="00606A50">
      <w:pPr>
        <w:pStyle w:val="Caption"/>
        <w:rPr>
          <w:rStyle w:val="IntenseReference"/>
          <w:rFonts w:eastAsia="SimSun"/>
          <w:color w:val="4F81BD" w:themeColor="accent1"/>
        </w:rPr>
      </w:pPr>
      <w:r w:rsidRPr="00F352E1">
        <w:rPr>
          <w:rStyle w:val="IntenseReference"/>
          <w:rFonts w:eastAsia="SimSun"/>
          <w:color w:val="4F81BD" w:themeColor="accent1"/>
        </w:rPr>
        <w:br w:type="page"/>
      </w:r>
    </w:p>
    <w:p w14:paraId="76E607F2" w14:textId="77777777" w:rsidR="00B8520A" w:rsidRPr="00F352E1" w:rsidRDefault="00536454" w:rsidP="00B8520A">
      <w:pPr>
        <w:rPr>
          <w:rStyle w:val="IntenseReference"/>
          <w:rFonts w:eastAsia="SimSun"/>
          <w:color w:val="4F81BD" w:themeColor="accent1"/>
        </w:rPr>
      </w:pPr>
      <w:r>
        <w:rPr>
          <w:rFonts w:ascii="Arial Narrow" w:eastAsia="SimSun" w:hAnsi="Arial Narrow"/>
          <w:bCs/>
          <w:noProof/>
          <w:color w:val="4F81BD" w:themeColor="accent1"/>
          <w:sz w:val="20"/>
          <w:lang w:val="en-AU" w:eastAsia="en-AU"/>
        </w:rPr>
        <w:drawing>
          <wp:inline distT="0" distB="0" distL="0" distR="0" wp14:anchorId="3E340F81" wp14:editId="184D4509">
            <wp:extent cx="8862060" cy="5219700"/>
            <wp:effectExtent l="0" t="0" r="0" b="0"/>
            <wp:docPr id="15" name="Picture 15" descr="A panel of plots presenting family-level time-series of cover and juvenile density at each monitoring reef and depth combination." title="Figure A1.2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EXTERNAL PROJECTS\GBRMPA_RWQPP_Monitoring\Reports\Visit 13 2017\R\Johnstonebar.2.pn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8862060" cy="5219700"/>
                    </a:xfrm>
                    <a:prstGeom prst="rect">
                      <a:avLst/>
                    </a:prstGeom>
                    <a:noFill/>
                    <a:ln>
                      <a:noFill/>
                    </a:ln>
                  </pic:spPr>
                </pic:pic>
              </a:graphicData>
            </a:graphic>
          </wp:inline>
        </w:drawing>
      </w:r>
    </w:p>
    <w:p w14:paraId="71CBD1BC" w14:textId="77777777" w:rsidR="008A1A24" w:rsidRPr="001539D6" w:rsidRDefault="008A1A24" w:rsidP="00606A50">
      <w:pPr>
        <w:pStyle w:val="Caption"/>
        <w:rPr>
          <w:rStyle w:val="IntenseReference"/>
          <w:rFonts w:ascii="Arial" w:eastAsia="SimSun" w:hAnsi="Arial"/>
          <w:bCs w:val="0"/>
          <w:color w:val="auto"/>
          <w:sz w:val="22"/>
          <w:lang w:val="en-AU"/>
        </w:rPr>
      </w:pPr>
      <w:r w:rsidRPr="001539D6">
        <w:rPr>
          <w:rStyle w:val="IntenseReference"/>
          <w:rFonts w:eastAsia="SimSun"/>
          <w:color w:val="auto"/>
        </w:rPr>
        <w:t>Figure A</w:t>
      </w:r>
      <w:r w:rsidR="00817833" w:rsidRPr="001539D6">
        <w:rPr>
          <w:rStyle w:val="IntenseReference"/>
          <w:rFonts w:eastAsia="SimSun"/>
          <w:color w:val="auto"/>
        </w:rPr>
        <w:t>1.</w:t>
      </w:r>
      <w:r w:rsidR="0096504D" w:rsidRPr="001539D6">
        <w:rPr>
          <w:rStyle w:val="IntenseReference"/>
          <w:rFonts w:eastAsia="SimSun"/>
          <w:color w:val="auto"/>
        </w:rPr>
        <w:t xml:space="preserve"> </w:t>
      </w:r>
      <w:r w:rsidR="00C356AC" w:rsidRPr="001539D6">
        <w:rPr>
          <w:rStyle w:val="IntenseReference"/>
          <w:rFonts w:eastAsia="SimSun"/>
          <w:color w:val="auto"/>
        </w:rPr>
        <w:t>2</w:t>
      </w:r>
      <w:r w:rsidR="0063376B" w:rsidRPr="001539D6">
        <w:rPr>
          <w:rStyle w:val="IntenseReference"/>
          <w:rFonts w:eastAsia="SimSun"/>
          <w:color w:val="auto"/>
        </w:rPr>
        <w:t xml:space="preserve"> c</w:t>
      </w:r>
      <w:r w:rsidRPr="001539D6">
        <w:rPr>
          <w:rStyle w:val="IntenseReference"/>
          <w:rFonts w:eastAsia="SimSun"/>
          <w:color w:val="auto"/>
        </w:rPr>
        <w:t>ontinued</w:t>
      </w:r>
    </w:p>
    <w:p w14:paraId="333A1F32" w14:textId="77777777" w:rsidR="004462C7" w:rsidRPr="00F352E1" w:rsidRDefault="00DA1B4E" w:rsidP="001778B8">
      <w:pPr>
        <w:rPr>
          <w:color w:val="4F81BD" w:themeColor="accent1"/>
        </w:rPr>
      </w:pPr>
      <w:r w:rsidRPr="00F352E1">
        <w:rPr>
          <w:color w:val="4F81BD" w:themeColor="accent1"/>
        </w:rPr>
        <w:br w:type="page"/>
      </w:r>
    </w:p>
    <w:p w14:paraId="57CB8B6B" w14:textId="77777777" w:rsidR="00B8520A" w:rsidRPr="00F352E1" w:rsidRDefault="001539D6" w:rsidP="00B8520A">
      <w:pPr>
        <w:rPr>
          <w:rStyle w:val="IntenseReference"/>
          <w:color w:val="4F81BD" w:themeColor="accent1"/>
        </w:rPr>
      </w:pPr>
      <w:r>
        <w:rPr>
          <w:rFonts w:ascii="Arial Narrow" w:hAnsi="Arial Narrow"/>
          <w:bCs/>
          <w:noProof/>
          <w:color w:val="4F81BD" w:themeColor="accent1"/>
          <w:sz w:val="20"/>
          <w:lang w:val="en-AU" w:eastAsia="en-AU"/>
        </w:rPr>
        <w:drawing>
          <wp:inline distT="0" distB="0" distL="0" distR="0" wp14:anchorId="31B69E0D" wp14:editId="2FD7493E">
            <wp:extent cx="8862060" cy="3779520"/>
            <wp:effectExtent l="0" t="0" r="0" b="0"/>
            <wp:docPr id="7" name="Picture 7" descr="A panel of plots presenting family-level time-series of cover and juvenile density at each monitoring reef and depth combination." title="Figure A1. 2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ostell\Desktop\Vist 13\Johnstonebar.3.pn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8862060" cy="3779520"/>
                    </a:xfrm>
                    <a:prstGeom prst="rect">
                      <a:avLst/>
                    </a:prstGeom>
                    <a:noFill/>
                    <a:ln>
                      <a:noFill/>
                    </a:ln>
                  </pic:spPr>
                </pic:pic>
              </a:graphicData>
            </a:graphic>
          </wp:inline>
        </w:drawing>
      </w:r>
    </w:p>
    <w:p w14:paraId="36B061F0" w14:textId="77777777" w:rsidR="00793D8A" w:rsidRPr="001539D6" w:rsidRDefault="004462C7" w:rsidP="001778B8">
      <w:pPr>
        <w:rPr>
          <w:rStyle w:val="IntenseReference"/>
          <w:color w:val="auto"/>
        </w:rPr>
      </w:pPr>
      <w:r w:rsidRPr="001539D6">
        <w:rPr>
          <w:rStyle w:val="IntenseReference"/>
          <w:color w:val="auto"/>
        </w:rPr>
        <w:t>Figure A</w:t>
      </w:r>
      <w:r w:rsidR="00817833" w:rsidRPr="001539D6">
        <w:rPr>
          <w:rStyle w:val="IntenseReference"/>
          <w:color w:val="auto"/>
        </w:rPr>
        <w:t>1.</w:t>
      </w:r>
      <w:r w:rsidR="0096504D" w:rsidRPr="001539D6">
        <w:rPr>
          <w:rStyle w:val="IntenseReference"/>
          <w:color w:val="auto"/>
        </w:rPr>
        <w:t xml:space="preserve"> </w:t>
      </w:r>
      <w:r w:rsidR="00C356AC" w:rsidRPr="001539D6">
        <w:rPr>
          <w:rStyle w:val="IntenseReference"/>
          <w:color w:val="auto"/>
        </w:rPr>
        <w:t>2</w:t>
      </w:r>
      <w:r w:rsidRPr="001539D6">
        <w:rPr>
          <w:rStyle w:val="IntenseReference"/>
          <w:color w:val="auto"/>
        </w:rPr>
        <w:t xml:space="preserve"> </w:t>
      </w:r>
      <w:r w:rsidR="0063376B" w:rsidRPr="001539D6">
        <w:rPr>
          <w:rStyle w:val="IntenseReference"/>
          <w:color w:val="auto"/>
        </w:rPr>
        <w:t>continued</w:t>
      </w:r>
    </w:p>
    <w:p w14:paraId="27A9F467" w14:textId="77777777" w:rsidR="00793D8A" w:rsidRPr="00F352E1" w:rsidRDefault="00793D8A">
      <w:pPr>
        <w:jc w:val="left"/>
        <w:rPr>
          <w:rStyle w:val="IntenseReference"/>
          <w:color w:val="4F81BD" w:themeColor="accent1"/>
        </w:rPr>
      </w:pPr>
      <w:r w:rsidRPr="00F352E1">
        <w:rPr>
          <w:rStyle w:val="IntenseReference"/>
          <w:color w:val="4F81BD" w:themeColor="accent1"/>
        </w:rPr>
        <w:br w:type="page"/>
      </w:r>
    </w:p>
    <w:p w14:paraId="3E11E072" w14:textId="77777777" w:rsidR="00B8520A" w:rsidRPr="00F352E1" w:rsidRDefault="001539D6" w:rsidP="00B8520A">
      <w:pPr>
        <w:rPr>
          <w:color w:val="4F81BD" w:themeColor="accent1"/>
        </w:rPr>
      </w:pPr>
      <w:bookmarkStart w:id="380" w:name="_Ref491267551"/>
      <w:bookmarkStart w:id="381" w:name="_Toc374701410"/>
      <w:bookmarkStart w:id="382" w:name="_Toc392929578"/>
      <w:bookmarkStart w:id="383" w:name="_Toc430268219"/>
      <w:r>
        <w:rPr>
          <w:noProof/>
          <w:color w:val="4F81BD" w:themeColor="accent1"/>
          <w:lang w:val="en-AU" w:eastAsia="en-AU"/>
        </w:rPr>
        <w:drawing>
          <wp:inline distT="0" distB="0" distL="0" distR="0" wp14:anchorId="5A82C1A5" wp14:editId="21F4B984">
            <wp:extent cx="8862060" cy="4945380"/>
            <wp:effectExtent l="0" t="0" r="0" b="7620"/>
            <wp:docPr id="8" name="Picture 8" descr="A panel of plots presenting family-level time-series of cover and juvenile density at each monitoring reef and depth combination." title="Figure A1. 3 Herbert-Tully sub- region benthic community compos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ostell\Desktop\Vist 13\Tullybar.1.pn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8862060" cy="4945380"/>
                    </a:xfrm>
                    <a:prstGeom prst="rect">
                      <a:avLst/>
                    </a:prstGeom>
                    <a:noFill/>
                    <a:ln>
                      <a:noFill/>
                    </a:ln>
                  </pic:spPr>
                </pic:pic>
              </a:graphicData>
            </a:graphic>
          </wp:inline>
        </w:drawing>
      </w:r>
    </w:p>
    <w:p w14:paraId="4EDC44C3" w14:textId="77777777" w:rsidR="00DA1B4E" w:rsidRPr="009808B7" w:rsidRDefault="003F670B" w:rsidP="00606A50">
      <w:pPr>
        <w:pStyle w:val="Caption"/>
        <w:rPr>
          <w:rStyle w:val="IntenseReference"/>
          <w:rFonts w:eastAsia="SimSun"/>
        </w:rPr>
      </w:pPr>
      <w:bookmarkStart w:id="384" w:name="_Ref504643042"/>
      <w:bookmarkStart w:id="385" w:name="_Toc500143384"/>
      <w:bookmarkEnd w:id="380"/>
      <w:r>
        <w:t xml:space="preserve">Figure A1. </w:t>
      </w:r>
      <w:r>
        <w:fldChar w:fldCharType="begin"/>
      </w:r>
      <w:r>
        <w:instrText xml:space="preserve"> SEQ Figure_A1. \* ARABIC </w:instrText>
      </w:r>
      <w:r>
        <w:fldChar w:fldCharType="separate"/>
      </w:r>
      <w:r w:rsidR="00A75175">
        <w:rPr>
          <w:noProof/>
        </w:rPr>
        <w:t>3</w:t>
      </w:r>
      <w:r>
        <w:fldChar w:fldCharType="end"/>
      </w:r>
      <w:bookmarkEnd w:id="384"/>
      <w:r>
        <w:t xml:space="preserve"> </w:t>
      </w:r>
      <w:r w:rsidR="00817833" w:rsidRPr="004252BF">
        <w:t>Herbert-Tully sub- region</w:t>
      </w:r>
      <w:r w:rsidR="002E214E" w:rsidRPr="004252BF">
        <w:t xml:space="preserve"> benthic community composition</w:t>
      </w:r>
      <w:r w:rsidR="00817833" w:rsidRPr="004252BF">
        <w:t>.</w:t>
      </w:r>
      <w:bookmarkStart w:id="386" w:name="_Toc471373203"/>
      <w:bookmarkStart w:id="387" w:name="_Toc437424326"/>
      <w:bookmarkStart w:id="388" w:name="_Toc437432379"/>
      <w:bookmarkEnd w:id="381"/>
      <w:bookmarkEnd w:id="382"/>
      <w:bookmarkEnd w:id="383"/>
      <w:r w:rsidR="0082344A" w:rsidRPr="00626D6B">
        <w:rPr>
          <w:rStyle w:val="IntenseReference"/>
          <w:rFonts w:eastAsia="SimSun"/>
        </w:rPr>
        <w:t xml:space="preserve"> C</w:t>
      </w:r>
      <w:r w:rsidR="008A1A24" w:rsidRPr="009808B7">
        <w:rPr>
          <w:rStyle w:val="IntenseReference"/>
          <w:rFonts w:eastAsia="SimSun"/>
        </w:rPr>
        <w:t>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385"/>
      <w:bookmarkEnd w:id="386"/>
      <w:bookmarkEnd w:id="387"/>
      <w:bookmarkEnd w:id="388"/>
    </w:p>
    <w:p w14:paraId="7346D463" w14:textId="77777777" w:rsidR="008A1A24" w:rsidRPr="00F352E1" w:rsidRDefault="00DA1B4E" w:rsidP="00406BD7">
      <w:pPr>
        <w:rPr>
          <w:color w:val="4F81BD" w:themeColor="accent1"/>
        </w:rPr>
      </w:pPr>
      <w:r w:rsidRPr="00F352E1">
        <w:rPr>
          <w:rStyle w:val="IntenseReference"/>
          <w:rFonts w:eastAsia="SimSun"/>
          <w:color w:val="4F81BD" w:themeColor="accent1"/>
        </w:rPr>
        <w:br w:type="page"/>
      </w:r>
    </w:p>
    <w:p w14:paraId="7F4EDB36" w14:textId="77777777" w:rsidR="00536454" w:rsidRDefault="00536454" w:rsidP="00B8520A">
      <w:pPr>
        <w:rPr>
          <w:rFonts w:ascii="Arial Narrow" w:hAnsi="Arial Narrow"/>
          <w:bCs/>
          <w:noProof/>
          <w:color w:val="4F81BD" w:themeColor="accent1"/>
          <w:sz w:val="20"/>
          <w:lang w:val="en-AU" w:eastAsia="en-AU"/>
        </w:rPr>
      </w:pPr>
    </w:p>
    <w:p w14:paraId="0F3CB390" w14:textId="77777777" w:rsidR="00B8520A" w:rsidRPr="00F352E1" w:rsidRDefault="003055B9" w:rsidP="00B8520A">
      <w:pPr>
        <w:rPr>
          <w:rStyle w:val="IntenseReference"/>
          <w:color w:val="4F81BD" w:themeColor="accent1"/>
        </w:rPr>
      </w:pPr>
      <w:r>
        <w:rPr>
          <w:noProof/>
          <w:lang w:val="en-AU" w:eastAsia="en-AU"/>
        </w:rPr>
        <w:drawing>
          <wp:inline distT="0" distB="0" distL="0" distR="0" wp14:anchorId="25286A8D" wp14:editId="0DCC762C">
            <wp:extent cx="8862060" cy="3779520"/>
            <wp:effectExtent l="0" t="0" r="0" b="0"/>
            <wp:docPr id="21" name="Picture 21" descr="A panel of plots presenting family-level time-series of cover and juvenile density at each monitoring reef and depth combination." title="Figure A1. 3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ostell\Desktop\Vist 13\Tullybar.2.pn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8862060" cy="3779520"/>
                    </a:xfrm>
                    <a:prstGeom prst="rect">
                      <a:avLst/>
                    </a:prstGeom>
                    <a:noFill/>
                    <a:ln>
                      <a:noFill/>
                    </a:ln>
                  </pic:spPr>
                </pic:pic>
              </a:graphicData>
            </a:graphic>
          </wp:inline>
        </w:drawing>
      </w:r>
    </w:p>
    <w:p w14:paraId="26C1420D" w14:textId="77777777" w:rsidR="00DA1B4E" w:rsidRPr="003055B9" w:rsidRDefault="008A1A24" w:rsidP="00406BD7">
      <w:pPr>
        <w:rPr>
          <w:rStyle w:val="IntenseReference"/>
          <w:color w:val="auto"/>
        </w:rPr>
      </w:pPr>
      <w:r w:rsidRPr="003055B9">
        <w:rPr>
          <w:rStyle w:val="IntenseReference"/>
          <w:color w:val="auto"/>
        </w:rPr>
        <w:t>Figure A</w:t>
      </w:r>
      <w:r w:rsidR="00817833" w:rsidRPr="003055B9">
        <w:rPr>
          <w:rStyle w:val="IntenseReference"/>
          <w:color w:val="auto"/>
        </w:rPr>
        <w:t>1.</w:t>
      </w:r>
      <w:r w:rsidR="0096504D" w:rsidRPr="003055B9">
        <w:rPr>
          <w:rStyle w:val="IntenseReference"/>
          <w:color w:val="auto"/>
        </w:rPr>
        <w:t xml:space="preserve"> </w:t>
      </w:r>
      <w:r w:rsidR="00C356AC" w:rsidRPr="003055B9">
        <w:rPr>
          <w:rStyle w:val="IntenseReference"/>
          <w:color w:val="auto"/>
        </w:rPr>
        <w:t xml:space="preserve">3 </w:t>
      </w:r>
      <w:r w:rsidRPr="003055B9">
        <w:rPr>
          <w:rStyle w:val="IntenseReference"/>
          <w:color w:val="auto"/>
        </w:rPr>
        <w:t>continued</w:t>
      </w:r>
    </w:p>
    <w:p w14:paraId="5F0FC30A" w14:textId="77777777" w:rsidR="003230DA" w:rsidRPr="00F352E1" w:rsidRDefault="003230DA" w:rsidP="001778B8">
      <w:pPr>
        <w:rPr>
          <w:noProof/>
          <w:color w:val="4F81BD" w:themeColor="accent1"/>
          <w:lang w:val="en-AU" w:eastAsia="en-AU"/>
        </w:rPr>
      </w:pPr>
    </w:p>
    <w:p w14:paraId="7ABA3A0F" w14:textId="77777777" w:rsidR="008A1A24" w:rsidRPr="00F352E1" w:rsidRDefault="008A1A24" w:rsidP="001778B8">
      <w:pPr>
        <w:rPr>
          <w:color w:val="4F81BD" w:themeColor="accent1"/>
        </w:rPr>
      </w:pPr>
    </w:p>
    <w:p w14:paraId="55525313" w14:textId="77777777" w:rsidR="00817833" w:rsidRPr="00F352E1" w:rsidRDefault="00817833">
      <w:pPr>
        <w:jc w:val="left"/>
        <w:rPr>
          <w:rFonts w:ascii="Arial Narrow" w:eastAsia="SimSun" w:hAnsi="Arial Narrow"/>
          <w:color w:val="4F81BD" w:themeColor="accent1"/>
          <w:sz w:val="20"/>
          <w:szCs w:val="24"/>
        </w:rPr>
      </w:pPr>
      <w:bookmarkStart w:id="389" w:name="_Ref469945408"/>
      <w:bookmarkStart w:id="390" w:name="_Toc374701411"/>
      <w:bookmarkStart w:id="391" w:name="_Toc392929579"/>
      <w:bookmarkStart w:id="392" w:name="_Toc430268220"/>
      <w:bookmarkStart w:id="393" w:name="_Toc453243771"/>
      <w:bookmarkStart w:id="394" w:name="_Toc471373204"/>
      <w:r w:rsidRPr="00F352E1">
        <w:rPr>
          <w:color w:val="4F81BD" w:themeColor="accent1"/>
        </w:rPr>
        <w:br w:type="page"/>
      </w:r>
    </w:p>
    <w:p w14:paraId="5249E308" w14:textId="77777777" w:rsidR="00B8520A" w:rsidRPr="00F352E1" w:rsidRDefault="003055B9" w:rsidP="00B8520A">
      <w:pPr>
        <w:rPr>
          <w:color w:val="4F81BD" w:themeColor="accent1"/>
        </w:rPr>
      </w:pPr>
      <w:bookmarkStart w:id="395" w:name="_Ref491267608"/>
      <w:r>
        <w:rPr>
          <w:noProof/>
          <w:color w:val="4F81BD" w:themeColor="accent1"/>
          <w:lang w:val="en-AU" w:eastAsia="en-AU"/>
        </w:rPr>
        <w:drawing>
          <wp:inline distT="0" distB="0" distL="0" distR="0" wp14:anchorId="19FA283F" wp14:editId="670B6011">
            <wp:extent cx="8862060" cy="4945380"/>
            <wp:effectExtent l="0" t="0" r="0" b="7620"/>
            <wp:docPr id="30" name="Picture 30" descr="A panel of plots presenting family-level time-series of cover and juvenile density at each monitoring reef and depth combination." title="Figure A1. 4 Burdekin Region benthic community compos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ostell\Desktop\Vist 13\Burdekinbar.1.pn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8862060" cy="4945380"/>
                    </a:xfrm>
                    <a:prstGeom prst="rect">
                      <a:avLst/>
                    </a:prstGeom>
                    <a:noFill/>
                    <a:ln>
                      <a:noFill/>
                    </a:ln>
                  </pic:spPr>
                </pic:pic>
              </a:graphicData>
            </a:graphic>
          </wp:inline>
        </w:drawing>
      </w:r>
    </w:p>
    <w:p w14:paraId="77978FA8" w14:textId="77777777" w:rsidR="00DA1B4E" w:rsidRPr="009808B7" w:rsidRDefault="003F670B" w:rsidP="00606A50">
      <w:pPr>
        <w:pStyle w:val="Caption"/>
        <w:rPr>
          <w:rStyle w:val="IntenseReference"/>
          <w:rFonts w:eastAsia="SimSun"/>
        </w:rPr>
      </w:pPr>
      <w:bookmarkStart w:id="396" w:name="_Ref501109656"/>
      <w:bookmarkStart w:id="397" w:name="_Toc500143385"/>
      <w:bookmarkEnd w:id="395"/>
      <w:r>
        <w:t xml:space="preserve">Figure A1. </w:t>
      </w:r>
      <w:r>
        <w:fldChar w:fldCharType="begin"/>
      </w:r>
      <w:r>
        <w:instrText xml:space="preserve"> SEQ Figure_A1. \* ARABIC </w:instrText>
      </w:r>
      <w:r>
        <w:fldChar w:fldCharType="separate"/>
      </w:r>
      <w:r w:rsidR="00A75175">
        <w:rPr>
          <w:noProof/>
        </w:rPr>
        <w:t>4</w:t>
      </w:r>
      <w:r>
        <w:fldChar w:fldCharType="end"/>
      </w:r>
      <w:bookmarkEnd w:id="396"/>
      <w:r>
        <w:t xml:space="preserve"> </w:t>
      </w:r>
      <w:r w:rsidR="002E214E" w:rsidRPr="004252BF">
        <w:t>Burdekin R</w:t>
      </w:r>
      <w:r w:rsidR="00817833" w:rsidRPr="004252BF">
        <w:t>egion</w:t>
      </w:r>
      <w:r w:rsidR="002E214E" w:rsidRPr="004252BF">
        <w:t xml:space="preserve"> benthic community composition</w:t>
      </w:r>
      <w:r w:rsidR="00817833" w:rsidRPr="004252BF">
        <w:t>.</w:t>
      </w:r>
      <w:bookmarkEnd w:id="389"/>
      <w:bookmarkEnd w:id="390"/>
      <w:bookmarkEnd w:id="391"/>
      <w:bookmarkEnd w:id="392"/>
      <w:bookmarkEnd w:id="393"/>
      <w:r w:rsidR="003230DA" w:rsidRPr="009A622B">
        <w:rPr>
          <w:rStyle w:val="IntenseReference"/>
          <w:rFonts w:eastAsia="SimSun"/>
        </w:rPr>
        <w:t xml:space="preserve"> </w:t>
      </w:r>
      <w:bookmarkStart w:id="398" w:name="_Toc437424327"/>
      <w:bookmarkStart w:id="399" w:name="_Toc437432380"/>
      <w:r w:rsidR="0082344A" w:rsidRPr="00626D6B">
        <w:rPr>
          <w:rStyle w:val="IntenseReference"/>
          <w:rFonts w:eastAsia="SimSun"/>
        </w:rPr>
        <w:t>C</w:t>
      </w:r>
      <w:r w:rsidR="008A1A24" w:rsidRPr="009808B7">
        <w:rPr>
          <w:rStyle w:val="IntenseReference"/>
          <w:rFonts w:eastAsia="SimSun"/>
        </w:rPr>
        <w:t>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394"/>
      <w:bookmarkEnd w:id="397"/>
      <w:bookmarkEnd w:id="398"/>
      <w:bookmarkEnd w:id="399"/>
    </w:p>
    <w:p w14:paraId="0C6F1380" w14:textId="77777777" w:rsidR="005521E5" w:rsidRPr="00F352E1" w:rsidRDefault="00DA1B4E" w:rsidP="001778B8">
      <w:pPr>
        <w:rPr>
          <w:noProof/>
          <w:color w:val="4F81BD" w:themeColor="accent1"/>
          <w:lang w:val="en-AU" w:eastAsia="en-AU"/>
        </w:rPr>
      </w:pPr>
      <w:r w:rsidRPr="00F352E1">
        <w:rPr>
          <w:rStyle w:val="IntenseReference"/>
          <w:rFonts w:eastAsia="SimSun"/>
          <w:color w:val="4F81BD" w:themeColor="accent1"/>
        </w:rPr>
        <w:br w:type="page"/>
      </w:r>
    </w:p>
    <w:p w14:paraId="1C4BC588" w14:textId="77777777" w:rsidR="00B8520A" w:rsidRPr="00F352E1" w:rsidRDefault="00387D14" w:rsidP="00B8520A">
      <w:pPr>
        <w:rPr>
          <w:rStyle w:val="IntenseReference"/>
          <w:color w:val="4F81BD" w:themeColor="accent1"/>
        </w:rPr>
      </w:pPr>
      <w:r>
        <w:rPr>
          <w:rFonts w:ascii="Arial Narrow" w:hAnsi="Arial Narrow"/>
          <w:bCs/>
          <w:noProof/>
          <w:color w:val="4F81BD" w:themeColor="accent1"/>
          <w:sz w:val="20"/>
          <w:lang w:val="en-AU" w:eastAsia="en-AU"/>
        </w:rPr>
        <w:drawing>
          <wp:inline distT="0" distB="0" distL="0" distR="0" wp14:anchorId="2AED60C0" wp14:editId="1ACDDFB2">
            <wp:extent cx="8862060" cy="4945380"/>
            <wp:effectExtent l="0" t="0" r="0" b="7620"/>
            <wp:docPr id="226" name="Picture 226" descr="A panel of plots presenting family-level time-series of cover and juvenile density at each monitoring reef and depth combination." title="Figure A1. 4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ostell\Desktop\Vist 13\Burdekinbar.2.pn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8862060" cy="4945380"/>
                    </a:xfrm>
                    <a:prstGeom prst="rect">
                      <a:avLst/>
                    </a:prstGeom>
                    <a:noFill/>
                    <a:ln>
                      <a:noFill/>
                    </a:ln>
                  </pic:spPr>
                </pic:pic>
              </a:graphicData>
            </a:graphic>
          </wp:inline>
        </w:drawing>
      </w:r>
    </w:p>
    <w:p w14:paraId="21E5B671" w14:textId="77777777" w:rsidR="00DA1B4E" w:rsidRPr="00387D14" w:rsidRDefault="008A1A24" w:rsidP="00406BD7">
      <w:pPr>
        <w:rPr>
          <w:rStyle w:val="IntenseReference"/>
          <w:color w:val="auto"/>
        </w:rPr>
      </w:pPr>
      <w:r w:rsidRPr="00387D14">
        <w:rPr>
          <w:rStyle w:val="IntenseReference"/>
          <w:color w:val="auto"/>
        </w:rPr>
        <w:t>Figure A</w:t>
      </w:r>
      <w:r w:rsidR="00817833" w:rsidRPr="00387D14">
        <w:rPr>
          <w:rStyle w:val="IntenseReference"/>
          <w:color w:val="auto"/>
        </w:rPr>
        <w:t>1.</w:t>
      </w:r>
      <w:r w:rsidR="0096504D" w:rsidRPr="00387D14">
        <w:rPr>
          <w:rStyle w:val="IntenseReference"/>
          <w:color w:val="auto"/>
        </w:rPr>
        <w:t xml:space="preserve"> </w:t>
      </w:r>
      <w:r w:rsidR="00C356AC" w:rsidRPr="00387D14">
        <w:rPr>
          <w:rStyle w:val="IntenseReference"/>
          <w:color w:val="auto"/>
        </w:rPr>
        <w:t>4</w:t>
      </w:r>
      <w:r w:rsidR="0063376B" w:rsidRPr="00387D14">
        <w:rPr>
          <w:rStyle w:val="IntenseReference"/>
          <w:color w:val="auto"/>
        </w:rPr>
        <w:t xml:space="preserve"> continued</w:t>
      </w:r>
    </w:p>
    <w:p w14:paraId="0494E432" w14:textId="77777777" w:rsidR="005521E5" w:rsidRPr="00F352E1" w:rsidRDefault="00DA1B4E" w:rsidP="001778B8">
      <w:pPr>
        <w:rPr>
          <w:rFonts w:ascii="Arial Narrow" w:hAnsi="Arial Narrow"/>
          <w:bCs/>
          <w:color w:val="4F81BD" w:themeColor="accent1"/>
          <w:sz w:val="20"/>
        </w:rPr>
      </w:pPr>
      <w:r w:rsidRPr="00F352E1">
        <w:rPr>
          <w:rStyle w:val="IntenseReference"/>
          <w:color w:val="4F81BD" w:themeColor="accent1"/>
        </w:rPr>
        <w:br w:type="page"/>
      </w:r>
    </w:p>
    <w:p w14:paraId="5F030F27" w14:textId="77777777" w:rsidR="00F62EEB" w:rsidRPr="00F352E1" w:rsidRDefault="00387D14" w:rsidP="00F62EEB">
      <w:pPr>
        <w:rPr>
          <w:rStyle w:val="IntenseReference"/>
          <w:color w:val="4F81BD" w:themeColor="accent1"/>
        </w:rPr>
      </w:pPr>
      <w:r>
        <w:rPr>
          <w:rFonts w:ascii="Arial Narrow" w:hAnsi="Arial Narrow"/>
          <w:bCs/>
          <w:noProof/>
          <w:color w:val="4F81BD" w:themeColor="accent1"/>
          <w:sz w:val="20"/>
          <w:lang w:val="en-AU" w:eastAsia="en-AU"/>
        </w:rPr>
        <w:drawing>
          <wp:inline distT="0" distB="0" distL="0" distR="0" wp14:anchorId="362BCE6E" wp14:editId="0F85CB1D">
            <wp:extent cx="8862060" cy="4945380"/>
            <wp:effectExtent l="0" t="0" r="0" b="7620"/>
            <wp:docPr id="227" name="Picture 227" descr="A panel of plots presenting family-level time-series of cover and juvenile density at each monitoring reef and depth combination." title="Figure A1. 4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ostell\Desktop\Vist 13\Burdekinbar.3.pn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8862060" cy="4945380"/>
                    </a:xfrm>
                    <a:prstGeom prst="rect">
                      <a:avLst/>
                    </a:prstGeom>
                    <a:noFill/>
                    <a:ln>
                      <a:noFill/>
                    </a:ln>
                  </pic:spPr>
                </pic:pic>
              </a:graphicData>
            </a:graphic>
          </wp:inline>
        </w:drawing>
      </w:r>
    </w:p>
    <w:p w14:paraId="136945D4" w14:textId="77777777" w:rsidR="00DA1B4E" w:rsidRPr="00387D14" w:rsidRDefault="008A1A24">
      <w:pPr>
        <w:rPr>
          <w:rStyle w:val="IntenseReference"/>
          <w:color w:val="auto"/>
        </w:rPr>
      </w:pPr>
      <w:r w:rsidRPr="00387D14">
        <w:rPr>
          <w:rStyle w:val="IntenseReference"/>
          <w:color w:val="auto"/>
        </w:rPr>
        <w:t>Figure A</w:t>
      </w:r>
      <w:r w:rsidR="00817833" w:rsidRPr="00387D14">
        <w:rPr>
          <w:rStyle w:val="IntenseReference"/>
          <w:color w:val="auto"/>
        </w:rPr>
        <w:t>1.</w:t>
      </w:r>
      <w:r w:rsidR="0096504D" w:rsidRPr="00387D14">
        <w:rPr>
          <w:rStyle w:val="IntenseReference"/>
          <w:color w:val="auto"/>
        </w:rPr>
        <w:t xml:space="preserve"> </w:t>
      </w:r>
      <w:r w:rsidR="00C356AC" w:rsidRPr="00387D14">
        <w:rPr>
          <w:rStyle w:val="IntenseReference"/>
          <w:color w:val="auto"/>
        </w:rPr>
        <w:t>4</w:t>
      </w:r>
      <w:r w:rsidR="0063376B" w:rsidRPr="00387D14">
        <w:rPr>
          <w:rStyle w:val="IntenseReference"/>
          <w:color w:val="auto"/>
        </w:rPr>
        <w:t xml:space="preserve"> continued</w:t>
      </w:r>
    </w:p>
    <w:p w14:paraId="48A896C1" w14:textId="77777777" w:rsidR="00DA1B4E" w:rsidRPr="00F352E1" w:rsidRDefault="00DA1B4E">
      <w:pPr>
        <w:rPr>
          <w:rStyle w:val="IntenseReference"/>
          <w:color w:val="4F81BD" w:themeColor="accent1"/>
        </w:rPr>
      </w:pPr>
      <w:r w:rsidRPr="00F352E1">
        <w:rPr>
          <w:rStyle w:val="IntenseReference"/>
          <w:color w:val="4F81BD" w:themeColor="accent1"/>
        </w:rPr>
        <w:br w:type="page"/>
      </w:r>
    </w:p>
    <w:p w14:paraId="06AC418F" w14:textId="77777777" w:rsidR="00F62EEB" w:rsidRPr="00F352E1" w:rsidRDefault="00387D14" w:rsidP="00F62EEB">
      <w:pPr>
        <w:rPr>
          <w:rStyle w:val="IntenseReference"/>
          <w:color w:val="4F81BD" w:themeColor="accent1"/>
        </w:rPr>
      </w:pPr>
      <w:r>
        <w:rPr>
          <w:rFonts w:ascii="Arial Narrow" w:hAnsi="Arial Narrow"/>
          <w:bCs/>
          <w:noProof/>
          <w:color w:val="4F81BD" w:themeColor="accent1"/>
          <w:sz w:val="20"/>
          <w:lang w:val="en-AU" w:eastAsia="en-AU"/>
        </w:rPr>
        <w:drawing>
          <wp:inline distT="0" distB="0" distL="0" distR="0" wp14:anchorId="62679812" wp14:editId="2EBFCF70">
            <wp:extent cx="8862060" cy="2613660"/>
            <wp:effectExtent l="0" t="0" r="0" b="0"/>
            <wp:docPr id="228" name="Picture 228" descr="A panel of plots presenting family-level time-series of cover and juvenile density at each monitoring reef and depth combination." title="Figure A1. 4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ostell\Desktop\Vist 13\Burdekinbar.4.pn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8862060" cy="2613660"/>
                    </a:xfrm>
                    <a:prstGeom prst="rect">
                      <a:avLst/>
                    </a:prstGeom>
                    <a:noFill/>
                    <a:ln>
                      <a:noFill/>
                    </a:ln>
                  </pic:spPr>
                </pic:pic>
              </a:graphicData>
            </a:graphic>
          </wp:inline>
        </w:drawing>
      </w:r>
    </w:p>
    <w:p w14:paraId="195BBD74" w14:textId="77777777" w:rsidR="004462C7" w:rsidRPr="00387D14" w:rsidRDefault="004462C7">
      <w:pPr>
        <w:rPr>
          <w:rStyle w:val="IntenseReference"/>
          <w:color w:val="auto"/>
        </w:rPr>
      </w:pPr>
      <w:r w:rsidRPr="00387D14">
        <w:rPr>
          <w:rStyle w:val="IntenseReference"/>
          <w:color w:val="auto"/>
        </w:rPr>
        <w:t>Figure A</w:t>
      </w:r>
      <w:r w:rsidR="00817833" w:rsidRPr="00387D14">
        <w:rPr>
          <w:rStyle w:val="IntenseReference"/>
          <w:color w:val="auto"/>
        </w:rPr>
        <w:t>1.</w:t>
      </w:r>
      <w:r w:rsidR="0096504D" w:rsidRPr="00387D14">
        <w:rPr>
          <w:rStyle w:val="IntenseReference"/>
          <w:color w:val="auto"/>
        </w:rPr>
        <w:t xml:space="preserve"> </w:t>
      </w:r>
      <w:r w:rsidR="00C356AC" w:rsidRPr="00387D14">
        <w:rPr>
          <w:rStyle w:val="IntenseReference"/>
          <w:color w:val="auto"/>
        </w:rPr>
        <w:t>4</w:t>
      </w:r>
      <w:r w:rsidR="0063376B" w:rsidRPr="00387D14">
        <w:rPr>
          <w:rStyle w:val="IntenseReference"/>
          <w:color w:val="auto"/>
        </w:rPr>
        <w:t xml:space="preserve"> continued</w:t>
      </w:r>
    </w:p>
    <w:p w14:paraId="6F7FCEF3" w14:textId="77777777" w:rsidR="004462C7" w:rsidRPr="00F352E1" w:rsidRDefault="004462C7">
      <w:pPr>
        <w:rPr>
          <w:color w:val="4F81BD" w:themeColor="accent1"/>
        </w:rPr>
      </w:pPr>
      <w:r w:rsidRPr="00F352E1">
        <w:rPr>
          <w:color w:val="4F81BD" w:themeColor="accent1"/>
        </w:rPr>
        <w:br w:type="page"/>
      </w:r>
    </w:p>
    <w:p w14:paraId="153328E1" w14:textId="77777777" w:rsidR="00F62EEB" w:rsidRPr="00F352E1" w:rsidRDefault="00035C95" w:rsidP="00F62EEB">
      <w:pPr>
        <w:rPr>
          <w:color w:val="4F81BD" w:themeColor="accent1"/>
        </w:rPr>
      </w:pPr>
      <w:bookmarkStart w:id="400" w:name="_Ref491342235"/>
      <w:bookmarkStart w:id="401" w:name="_Toc374701412"/>
      <w:bookmarkStart w:id="402" w:name="_Toc392929580"/>
      <w:bookmarkStart w:id="403" w:name="_Toc430268221"/>
      <w:r>
        <w:rPr>
          <w:noProof/>
          <w:color w:val="4F81BD" w:themeColor="accent1"/>
          <w:lang w:val="en-AU" w:eastAsia="en-AU"/>
        </w:rPr>
        <w:drawing>
          <wp:inline distT="0" distB="0" distL="0" distR="0" wp14:anchorId="69BD995E" wp14:editId="2FD8E46C">
            <wp:extent cx="8862060" cy="4945380"/>
            <wp:effectExtent l="0" t="0" r="0" b="7620"/>
            <wp:docPr id="229" name="Picture 229" descr="A panel of plots presenting family-level time-series of cover and juvenile density at each monitoring reef and depth combination." title="Figure A1. 5 Mackay Whitsunday Region benthic community compos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costell\Desktop\Vist 13\Proserpinebar.1.png"/>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8862060" cy="4945380"/>
                    </a:xfrm>
                    <a:prstGeom prst="rect">
                      <a:avLst/>
                    </a:prstGeom>
                    <a:noFill/>
                    <a:ln>
                      <a:noFill/>
                    </a:ln>
                  </pic:spPr>
                </pic:pic>
              </a:graphicData>
            </a:graphic>
          </wp:inline>
        </w:drawing>
      </w:r>
    </w:p>
    <w:p w14:paraId="66B40917" w14:textId="77777777" w:rsidR="006E3C16" w:rsidRPr="00035C95" w:rsidRDefault="003F670B" w:rsidP="00606A50">
      <w:pPr>
        <w:pStyle w:val="Caption"/>
        <w:rPr>
          <w:vanish/>
        </w:rPr>
      </w:pPr>
      <w:bookmarkStart w:id="404" w:name="_Ref501546141"/>
      <w:bookmarkStart w:id="405" w:name="_Toc500143386"/>
      <w:bookmarkEnd w:id="400"/>
      <w:r>
        <w:t xml:space="preserve">Figure A1. </w:t>
      </w:r>
      <w:r>
        <w:fldChar w:fldCharType="begin"/>
      </w:r>
      <w:r>
        <w:instrText xml:space="preserve"> SEQ Figure_A1. \* ARABIC </w:instrText>
      </w:r>
      <w:r>
        <w:fldChar w:fldCharType="separate"/>
      </w:r>
      <w:r w:rsidR="00A75175">
        <w:rPr>
          <w:noProof/>
        </w:rPr>
        <w:t>5</w:t>
      </w:r>
      <w:r>
        <w:fldChar w:fldCharType="end"/>
      </w:r>
      <w:bookmarkEnd w:id="404"/>
      <w:r>
        <w:t xml:space="preserve"> </w:t>
      </w:r>
      <w:r w:rsidR="00817833" w:rsidRPr="00035C95">
        <w:t xml:space="preserve">Mackay Whitsunday </w:t>
      </w:r>
      <w:r w:rsidR="002E214E" w:rsidRPr="00035C95">
        <w:t>R</w:t>
      </w:r>
      <w:r w:rsidR="00817833" w:rsidRPr="00035C95">
        <w:t>egion</w:t>
      </w:r>
      <w:r w:rsidR="002E214E" w:rsidRPr="00035C95">
        <w:t xml:space="preserve"> benthic community composition</w:t>
      </w:r>
      <w:r w:rsidR="00817833" w:rsidRPr="00035C95">
        <w:t>.</w:t>
      </w:r>
      <w:bookmarkEnd w:id="401"/>
      <w:bookmarkEnd w:id="402"/>
      <w:bookmarkEnd w:id="403"/>
      <w:bookmarkEnd w:id="405"/>
      <w:r w:rsidR="00817833" w:rsidRPr="00035C95">
        <w:rPr>
          <w:vanish/>
        </w:rPr>
        <w:t xml:space="preserve"> </w:t>
      </w:r>
    </w:p>
    <w:p w14:paraId="23CDB0E4" w14:textId="77777777" w:rsidR="008A1A24" w:rsidRPr="009808B7" w:rsidRDefault="0082344A" w:rsidP="00606A50">
      <w:pPr>
        <w:pStyle w:val="Caption"/>
        <w:rPr>
          <w:rStyle w:val="IntenseReference"/>
          <w:rFonts w:eastAsia="SimSun"/>
        </w:rPr>
      </w:pPr>
      <w:bookmarkStart w:id="406" w:name="_Toc437424328"/>
      <w:bookmarkStart w:id="407" w:name="_Toc437432381"/>
      <w:r w:rsidRPr="00035C95">
        <w:rPr>
          <w:rStyle w:val="IntenseReference"/>
          <w:rFonts w:eastAsia="SimSun"/>
          <w:color w:val="auto"/>
        </w:rPr>
        <w:t xml:space="preserve"> </w:t>
      </w:r>
      <w:r w:rsidRPr="00626D6B">
        <w:rPr>
          <w:rStyle w:val="IntenseReference"/>
          <w:rFonts w:eastAsia="SimSun"/>
        </w:rPr>
        <w:t>C</w:t>
      </w:r>
      <w:r w:rsidR="008A1A24" w:rsidRPr="009808B7">
        <w:rPr>
          <w:rStyle w:val="IntenseReference"/>
          <w:rFonts w:eastAsia="SimSun"/>
        </w:rPr>
        <w:t>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406"/>
      <w:bookmarkEnd w:id="407"/>
    </w:p>
    <w:p w14:paraId="2507E622" w14:textId="77777777" w:rsidR="005521E5" w:rsidRPr="00F352E1" w:rsidRDefault="005521E5" w:rsidP="001778B8">
      <w:pPr>
        <w:rPr>
          <w:noProof/>
          <w:color w:val="4F81BD" w:themeColor="accent1"/>
          <w:lang w:val="en-AU" w:eastAsia="en-AU"/>
        </w:rPr>
      </w:pPr>
    </w:p>
    <w:p w14:paraId="3B146EE2" w14:textId="77777777" w:rsidR="00F62EEB" w:rsidRPr="00F352E1" w:rsidRDefault="00817833" w:rsidP="00035C95">
      <w:pPr>
        <w:jc w:val="left"/>
        <w:rPr>
          <w:rStyle w:val="IntenseReference"/>
          <w:color w:val="4F81BD" w:themeColor="accent1"/>
        </w:rPr>
      </w:pPr>
      <w:r w:rsidRPr="00F352E1">
        <w:rPr>
          <w:color w:val="4F81BD" w:themeColor="accent1"/>
        </w:rPr>
        <w:br w:type="page"/>
      </w:r>
      <w:r w:rsidR="00035C95">
        <w:rPr>
          <w:rFonts w:ascii="Arial Narrow" w:hAnsi="Arial Narrow"/>
          <w:bCs/>
          <w:noProof/>
          <w:color w:val="4F81BD" w:themeColor="accent1"/>
          <w:sz w:val="20"/>
          <w:lang w:val="en-AU" w:eastAsia="en-AU"/>
        </w:rPr>
        <w:drawing>
          <wp:inline distT="0" distB="0" distL="0" distR="0" wp14:anchorId="1D3E8D71" wp14:editId="7E3E1C84">
            <wp:extent cx="8862060" cy="4945380"/>
            <wp:effectExtent l="0" t="0" r="0" b="7620"/>
            <wp:docPr id="230" name="Picture 230" descr="A panel of plots presenting family-level time-series of cover and juvenile density at each monitoring reef and depth combination." title="Figure A1. 5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costell\Desktop\Vist 13\Proserpinebar.2.png"/>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8862060" cy="4945380"/>
                    </a:xfrm>
                    <a:prstGeom prst="rect">
                      <a:avLst/>
                    </a:prstGeom>
                    <a:noFill/>
                    <a:ln>
                      <a:noFill/>
                    </a:ln>
                  </pic:spPr>
                </pic:pic>
              </a:graphicData>
            </a:graphic>
          </wp:inline>
        </w:drawing>
      </w:r>
    </w:p>
    <w:p w14:paraId="19EEA759" w14:textId="77777777" w:rsidR="008A1A24" w:rsidRPr="00035C95" w:rsidRDefault="008A1A24">
      <w:pPr>
        <w:rPr>
          <w:rStyle w:val="IntenseReference"/>
          <w:color w:val="auto"/>
        </w:rPr>
      </w:pPr>
      <w:r w:rsidRPr="00035C95">
        <w:rPr>
          <w:rStyle w:val="IntenseReference"/>
          <w:color w:val="auto"/>
        </w:rPr>
        <w:t>Figure A</w:t>
      </w:r>
      <w:r w:rsidR="00817833" w:rsidRPr="00035C95">
        <w:rPr>
          <w:rStyle w:val="IntenseReference"/>
          <w:color w:val="auto"/>
        </w:rPr>
        <w:t>1.</w:t>
      </w:r>
      <w:r w:rsidR="0096504D" w:rsidRPr="00035C95">
        <w:rPr>
          <w:rStyle w:val="IntenseReference"/>
          <w:color w:val="auto"/>
        </w:rPr>
        <w:t xml:space="preserve"> </w:t>
      </w:r>
      <w:r w:rsidR="00C356AC" w:rsidRPr="00035C95">
        <w:rPr>
          <w:rStyle w:val="IntenseReference"/>
          <w:color w:val="auto"/>
        </w:rPr>
        <w:t>5</w:t>
      </w:r>
      <w:r w:rsidR="0063376B" w:rsidRPr="00035C95">
        <w:rPr>
          <w:rStyle w:val="IntenseReference"/>
          <w:color w:val="auto"/>
        </w:rPr>
        <w:t xml:space="preserve"> continued</w:t>
      </w:r>
    </w:p>
    <w:p w14:paraId="7396D39A" w14:textId="77777777" w:rsidR="008A1A24" w:rsidRPr="00F352E1" w:rsidRDefault="008A1A24">
      <w:pPr>
        <w:rPr>
          <w:color w:val="4F81BD" w:themeColor="accent1"/>
        </w:rPr>
      </w:pPr>
    </w:p>
    <w:p w14:paraId="7C40A5B7" w14:textId="77777777" w:rsidR="00817833" w:rsidRPr="00F352E1" w:rsidRDefault="00817833">
      <w:pPr>
        <w:jc w:val="left"/>
        <w:rPr>
          <w:color w:val="4F81BD" w:themeColor="accent1"/>
        </w:rPr>
      </w:pPr>
      <w:r w:rsidRPr="00F352E1">
        <w:rPr>
          <w:color w:val="4F81BD" w:themeColor="accent1"/>
        </w:rPr>
        <w:br w:type="page"/>
      </w:r>
    </w:p>
    <w:p w14:paraId="5722578A" w14:textId="77777777" w:rsidR="00F62EEB" w:rsidRPr="00F352E1" w:rsidRDefault="00035C95" w:rsidP="00F62EEB">
      <w:pPr>
        <w:rPr>
          <w:rStyle w:val="IntenseReference"/>
          <w:color w:val="4F81BD" w:themeColor="accent1"/>
        </w:rPr>
      </w:pPr>
      <w:r>
        <w:rPr>
          <w:rFonts w:ascii="Arial Narrow" w:hAnsi="Arial Narrow"/>
          <w:bCs/>
          <w:noProof/>
          <w:color w:val="4F81BD" w:themeColor="accent1"/>
          <w:sz w:val="20"/>
          <w:lang w:val="en-AU" w:eastAsia="en-AU"/>
        </w:rPr>
        <w:drawing>
          <wp:inline distT="0" distB="0" distL="0" distR="0" wp14:anchorId="35C43213" wp14:editId="1A16F83E">
            <wp:extent cx="8862060" cy="4945380"/>
            <wp:effectExtent l="0" t="0" r="0" b="7620"/>
            <wp:docPr id="231" name="Picture 231" descr="A panel of plots presenting family-level time-series of cover and juvenile density at each monitoring reef and depth combination." title="Figure A1. 5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costell\Desktop\Vist 13\Proserpinebar.3.png"/>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8862060" cy="4945380"/>
                    </a:xfrm>
                    <a:prstGeom prst="rect">
                      <a:avLst/>
                    </a:prstGeom>
                    <a:noFill/>
                    <a:ln>
                      <a:noFill/>
                    </a:ln>
                  </pic:spPr>
                </pic:pic>
              </a:graphicData>
            </a:graphic>
          </wp:inline>
        </w:drawing>
      </w:r>
    </w:p>
    <w:p w14:paraId="5B851EED" w14:textId="77777777" w:rsidR="00DA1B4E" w:rsidRPr="00035C95" w:rsidRDefault="008A1A24">
      <w:pPr>
        <w:rPr>
          <w:rStyle w:val="IntenseReference"/>
          <w:color w:val="auto"/>
        </w:rPr>
      </w:pPr>
      <w:r w:rsidRPr="00035C95">
        <w:rPr>
          <w:rStyle w:val="IntenseReference"/>
          <w:color w:val="auto"/>
        </w:rPr>
        <w:t>Figure A</w:t>
      </w:r>
      <w:r w:rsidR="00817833" w:rsidRPr="00035C95">
        <w:rPr>
          <w:rStyle w:val="IntenseReference"/>
          <w:color w:val="auto"/>
        </w:rPr>
        <w:t>1.</w:t>
      </w:r>
      <w:r w:rsidR="0096504D" w:rsidRPr="00035C95">
        <w:rPr>
          <w:rStyle w:val="IntenseReference"/>
          <w:color w:val="auto"/>
        </w:rPr>
        <w:t xml:space="preserve"> </w:t>
      </w:r>
      <w:r w:rsidR="00C356AC" w:rsidRPr="00035C95">
        <w:rPr>
          <w:rStyle w:val="IntenseReference"/>
          <w:color w:val="auto"/>
        </w:rPr>
        <w:t>5</w:t>
      </w:r>
      <w:r w:rsidRPr="00035C95">
        <w:rPr>
          <w:rStyle w:val="IntenseReference"/>
          <w:color w:val="auto"/>
        </w:rPr>
        <w:t xml:space="preserve"> continued</w:t>
      </w:r>
    </w:p>
    <w:p w14:paraId="1D00431D" w14:textId="77777777" w:rsidR="00EF20F3" w:rsidRPr="00F352E1" w:rsidRDefault="00EF20F3">
      <w:pPr>
        <w:jc w:val="left"/>
        <w:rPr>
          <w:rStyle w:val="IntenseReference"/>
          <w:color w:val="4F81BD" w:themeColor="accent1"/>
        </w:rPr>
      </w:pPr>
      <w:r w:rsidRPr="00F352E1">
        <w:rPr>
          <w:rStyle w:val="IntenseReference"/>
          <w:color w:val="4F81BD" w:themeColor="accent1"/>
        </w:rPr>
        <w:br w:type="page"/>
      </w:r>
    </w:p>
    <w:p w14:paraId="2E1B8149" w14:textId="77777777" w:rsidR="00F62EEB" w:rsidRPr="00F352E1" w:rsidRDefault="00035C95" w:rsidP="00F62EEB">
      <w:pPr>
        <w:rPr>
          <w:rStyle w:val="IntenseReference"/>
          <w:color w:val="4F81BD" w:themeColor="accent1"/>
        </w:rPr>
      </w:pPr>
      <w:r>
        <w:rPr>
          <w:rFonts w:ascii="Arial Narrow" w:hAnsi="Arial Narrow"/>
          <w:bCs/>
          <w:noProof/>
          <w:color w:val="4F81BD" w:themeColor="accent1"/>
          <w:sz w:val="20"/>
          <w:lang w:val="en-AU" w:eastAsia="en-AU"/>
        </w:rPr>
        <w:drawing>
          <wp:inline distT="0" distB="0" distL="0" distR="0" wp14:anchorId="1EC8DE88" wp14:editId="7A81B848">
            <wp:extent cx="8862060" cy="2613660"/>
            <wp:effectExtent l="0" t="0" r="0" b="0"/>
            <wp:docPr id="234" name="Picture 234" descr="A panel of plots presenting family-level time-series of cover and juvenile density at each monitoring reef and depth combination." title="Figure A1. 5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costell\Desktop\Vist 13\Proserpinebar.4.png"/>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8862060" cy="2613660"/>
                    </a:xfrm>
                    <a:prstGeom prst="rect">
                      <a:avLst/>
                    </a:prstGeom>
                    <a:noFill/>
                    <a:ln>
                      <a:noFill/>
                    </a:ln>
                  </pic:spPr>
                </pic:pic>
              </a:graphicData>
            </a:graphic>
          </wp:inline>
        </w:drawing>
      </w:r>
    </w:p>
    <w:p w14:paraId="703B8783" w14:textId="77777777" w:rsidR="004462C7" w:rsidRPr="00035C95" w:rsidRDefault="0096504D">
      <w:pPr>
        <w:rPr>
          <w:rStyle w:val="IntenseReference"/>
          <w:color w:val="auto"/>
        </w:rPr>
      </w:pPr>
      <w:r w:rsidRPr="00035C95">
        <w:rPr>
          <w:rStyle w:val="IntenseReference"/>
          <w:color w:val="auto"/>
        </w:rPr>
        <w:t>Figure</w:t>
      </w:r>
      <w:r w:rsidR="00817833" w:rsidRPr="00035C95">
        <w:rPr>
          <w:rStyle w:val="IntenseReference"/>
          <w:color w:val="auto"/>
        </w:rPr>
        <w:t xml:space="preserve"> A1.</w:t>
      </w:r>
      <w:r w:rsidR="00E75F5C" w:rsidRPr="00035C95">
        <w:rPr>
          <w:rStyle w:val="IntenseReference"/>
          <w:color w:val="auto"/>
        </w:rPr>
        <w:t xml:space="preserve"> </w:t>
      </w:r>
      <w:r w:rsidR="00C356AC" w:rsidRPr="00035C95">
        <w:rPr>
          <w:rStyle w:val="IntenseReference"/>
          <w:color w:val="auto"/>
        </w:rPr>
        <w:t>5</w:t>
      </w:r>
      <w:r w:rsidR="0063376B" w:rsidRPr="00035C95">
        <w:rPr>
          <w:rStyle w:val="IntenseReference"/>
          <w:color w:val="auto"/>
        </w:rPr>
        <w:t xml:space="preserve"> continued</w:t>
      </w:r>
    </w:p>
    <w:p w14:paraId="36CA9D0F" w14:textId="77777777" w:rsidR="004462C7" w:rsidRPr="00F352E1" w:rsidRDefault="004462C7">
      <w:pPr>
        <w:rPr>
          <w:color w:val="4F81BD" w:themeColor="accent1"/>
        </w:rPr>
      </w:pPr>
      <w:r w:rsidRPr="00F352E1">
        <w:rPr>
          <w:color w:val="4F81BD" w:themeColor="accent1"/>
        </w:rPr>
        <w:br w:type="page"/>
      </w:r>
    </w:p>
    <w:p w14:paraId="15F814A7" w14:textId="77777777" w:rsidR="00F62EEB" w:rsidRPr="00F352E1" w:rsidRDefault="000B0FAD" w:rsidP="00F62EEB">
      <w:pPr>
        <w:rPr>
          <w:color w:val="4F81BD" w:themeColor="accent1"/>
        </w:rPr>
      </w:pPr>
      <w:bookmarkStart w:id="408" w:name="_Ref491177966"/>
      <w:bookmarkStart w:id="409" w:name="_Toc374701413"/>
      <w:bookmarkStart w:id="410" w:name="_Toc392929581"/>
      <w:bookmarkStart w:id="411" w:name="_Toc430268222"/>
      <w:r>
        <w:rPr>
          <w:noProof/>
          <w:color w:val="4F81BD" w:themeColor="accent1"/>
          <w:lang w:val="en-AU" w:eastAsia="en-AU"/>
        </w:rPr>
        <w:drawing>
          <wp:inline distT="0" distB="0" distL="0" distR="0" wp14:anchorId="79347CDB" wp14:editId="57412DAA">
            <wp:extent cx="8862060" cy="4945380"/>
            <wp:effectExtent l="0" t="0" r="0" b="7620"/>
            <wp:docPr id="235" name="Picture 235" descr="A panel of plots presenting family-level time-series of cover and juvenile density at each monitoring reef and depth combination." title="Figure A1. 6 Fitzroy Region benthic community compos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ostell\Desktop\Vist 13\Fitzroybar.1.png"/>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8862060" cy="4945380"/>
                    </a:xfrm>
                    <a:prstGeom prst="rect">
                      <a:avLst/>
                    </a:prstGeom>
                    <a:noFill/>
                    <a:ln>
                      <a:noFill/>
                    </a:ln>
                  </pic:spPr>
                </pic:pic>
              </a:graphicData>
            </a:graphic>
          </wp:inline>
        </w:drawing>
      </w:r>
    </w:p>
    <w:p w14:paraId="693D1A17" w14:textId="77777777" w:rsidR="00DA1B4E" w:rsidRPr="009808B7" w:rsidRDefault="003F670B" w:rsidP="00606A50">
      <w:pPr>
        <w:pStyle w:val="Caption"/>
        <w:rPr>
          <w:rStyle w:val="IntenseReference"/>
          <w:rFonts w:eastAsia="SimSun"/>
        </w:rPr>
      </w:pPr>
      <w:bookmarkStart w:id="412" w:name="_Ref504643702"/>
      <w:bookmarkStart w:id="413" w:name="_Toc500143387"/>
      <w:bookmarkEnd w:id="408"/>
      <w:r>
        <w:t xml:space="preserve">Figure A1. </w:t>
      </w:r>
      <w:r>
        <w:fldChar w:fldCharType="begin"/>
      </w:r>
      <w:r>
        <w:instrText xml:space="preserve"> SEQ Figure_A1. \* ARABIC </w:instrText>
      </w:r>
      <w:r>
        <w:fldChar w:fldCharType="separate"/>
      </w:r>
      <w:r w:rsidR="00A75175">
        <w:rPr>
          <w:noProof/>
        </w:rPr>
        <w:t>6</w:t>
      </w:r>
      <w:r>
        <w:fldChar w:fldCharType="end"/>
      </w:r>
      <w:bookmarkEnd w:id="412"/>
      <w:r>
        <w:t xml:space="preserve"> </w:t>
      </w:r>
      <w:r w:rsidR="002E214E" w:rsidRPr="004252BF">
        <w:t>Fitzroy R</w:t>
      </w:r>
      <w:r w:rsidR="00817833" w:rsidRPr="004252BF">
        <w:t>egion</w:t>
      </w:r>
      <w:r w:rsidR="002E214E" w:rsidRPr="004252BF">
        <w:t xml:space="preserve"> benthic community </w:t>
      </w:r>
      <w:r w:rsidR="00084CC6" w:rsidRPr="004252BF">
        <w:t>composition</w:t>
      </w:r>
      <w:r w:rsidR="00817833" w:rsidRPr="004252BF">
        <w:t>.</w:t>
      </w:r>
      <w:bookmarkStart w:id="414" w:name="_Toc437424329"/>
      <w:bookmarkStart w:id="415" w:name="_Toc437432382"/>
      <w:bookmarkEnd w:id="409"/>
      <w:bookmarkEnd w:id="410"/>
      <w:bookmarkEnd w:id="411"/>
      <w:r w:rsidR="0082344A" w:rsidRPr="00626D6B">
        <w:rPr>
          <w:rStyle w:val="IntenseReference"/>
          <w:rFonts w:eastAsia="SimSun"/>
        </w:rPr>
        <w:t xml:space="preserve"> C</w:t>
      </w:r>
      <w:r w:rsidR="008A1A24" w:rsidRPr="009808B7">
        <w:rPr>
          <w:rStyle w:val="IntenseReference"/>
          <w:rFonts w:eastAsia="SimSun"/>
        </w:rPr>
        <w:t>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413"/>
      <w:bookmarkEnd w:id="414"/>
      <w:bookmarkEnd w:id="415"/>
    </w:p>
    <w:p w14:paraId="681ED2DF" w14:textId="77777777" w:rsidR="00F62EEB" w:rsidRPr="00F352E1" w:rsidRDefault="00F62EEB">
      <w:pPr>
        <w:jc w:val="left"/>
        <w:rPr>
          <w:rStyle w:val="IntenseReference"/>
          <w:rFonts w:eastAsia="SimSun"/>
          <w:color w:val="4F81BD" w:themeColor="accent1"/>
        </w:rPr>
      </w:pPr>
      <w:r w:rsidRPr="00F352E1">
        <w:rPr>
          <w:rStyle w:val="IntenseReference"/>
          <w:rFonts w:eastAsia="SimSun"/>
          <w:color w:val="4F81BD" w:themeColor="accent1"/>
        </w:rPr>
        <w:br w:type="page"/>
      </w:r>
    </w:p>
    <w:p w14:paraId="018CB225" w14:textId="77777777" w:rsidR="00F62EEB" w:rsidRPr="00F352E1" w:rsidRDefault="000B0FAD" w:rsidP="00F62EEB">
      <w:pPr>
        <w:rPr>
          <w:rStyle w:val="IntenseReference"/>
          <w:rFonts w:eastAsia="SimSun"/>
          <w:color w:val="4F81BD" w:themeColor="accent1"/>
        </w:rPr>
      </w:pPr>
      <w:r>
        <w:rPr>
          <w:rFonts w:eastAsia="SimSun"/>
          <w:noProof/>
          <w:lang w:val="en-AU" w:eastAsia="en-AU"/>
        </w:rPr>
        <w:drawing>
          <wp:inline distT="0" distB="0" distL="0" distR="0" wp14:anchorId="350C59CC" wp14:editId="7FFAE571">
            <wp:extent cx="8862060" cy="4945380"/>
            <wp:effectExtent l="0" t="0" r="0" b="7620"/>
            <wp:docPr id="238" name="Picture 238" descr="A panel of plots presenting family-level time-series of cover and juvenile density at each monitoring reef and depth combination." title="Figure A1. 6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ostell\Desktop\Vist 13\Fitzroybar.2.png"/>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8862060" cy="4945380"/>
                    </a:xfrm>
                    <a:prstGeom prst="rect">
                      <a:avLst/>
                    </a:prstGeom>
                    <a:noFill/>
                    <a:ln>
                      <a:noFill/>
                    </a:ln>
                  </pic:spPr>
                </pic:pic>
              </a:graphicData>
            </a:graphic>
          </wp:inline>
        </w:drawing>
      </w:r>
    </w:p>
    <w:p w14:paraId="0D9AF5F5" w14:textId="77777777" w:rsidR="008A1A24" w:rsidRPr="000B0FAD" w:rsidRDefault="008A1A24" w:rsidP="001778B8">
      <w:pPr>
        <w:rPr>
          <w:rStyle w:val="IntenseReference"/>
          <w:color w:val="auto"/>
        </w:rPr>
      </w:pPr>
      <w:r w:rsidRPr="000B0FAD">
        <w:rPr>
          <w:rStyle w:val="IntenseReference"/>
          <w:color w:val="auto"/>
        </w:rPr>
        <w:t>Figure A</w:t>
      </w:r>
      <w:r w:rsidR="00817833" w:rsidRPr="000B0FAD">
        <w:rPr>
          <w:rStyle w:val="IntenseReference"/>
          <w:color w:val="auto"/>
        </w:rPr>
        <w:t>1.</w:t>
      </w:r>
      <w:r w:rsidR="0096504D" w:rsidRPr="000B0FAD">
        <w:rPr>
          <w:rStyle w:val="IntenseReference"/>
          <w:color w:val="auto"/>
        </w:rPr>
        <w:t xml:space="preserve"> </w:t>
      </w:r>
      <w:r w:rsidR="00C356AC" w:rsidRPr="000B0FAD">
        <w:rPr>
          <w:rStyle w:val="IntenseReference"/>
          <w:color w:val="auto"/>
        </w:rPr>
        <w:t xml:space="preserve">6 </w:t>
      </w:r>
      <w:r w:rsidR="00823331" w:rsidRPr="000B0FAD">
        <w:rPr>
          <w:rStyle w:val="IntenseReference"/>
          <w:color w:val="auto"/>
        </w:rPr>
        <w:t>continued</w:t>
      </w:r>
    </w:p>
    <w:p w14:paraId="0CDA7A8B" w14:textId="77777777" w:rsidR="00DA1B4E" w:rsidRPr="00F352E1" w:rsidRDefault="00DA1B4E" w:rsidP="00406BD7">
      <w:pPr>
        <w:rPr>
          <w:color w:val="4F81BD" w:themeColor="accent1"/>
        </w:rPr>
      </w:pPr>
      <w:r w:rsidRPr="00F352E1">
        <w:rPr>
          <w:color w:val="4F81BD" w:themeColor="accent1"/>
        </w:rPr>
        <w:br w:type="page"/>
      </w:r>
    </w:p>
    <w:p w14:paraId="349BF0DD" w14:textId="77777777" w:rsidR="008A1A24" w:rsidRPr="00F352E1" w:rsidRDefault="008A1A24">
      <w:pPr>
        <w:rPr>
          <w:color w:val="4F81BD" w:themeColor="accent1"/>
        </w:rPr>
        <w:sectPr w:rsidR="008A1A24" w:rsidRPr="00F352E1" w:rsidSect="000E5535">
          <w:pgSz w:w="16840" w:h="11907" w:orient="landscape" w:code="9"/>
          <w:pgMar w:top="993" w:right="1440" w:bottom="1134" w:left="1440" w:header="709" w:footer="709" w:gutter="0"/>
          <w:cols w:space="708"/>
          <w:docGrid w:linePitch="360"/>
        </w:sectPr>
      </w:pPr>
    </w:p>
    <w:p w14:paraId="5D741F9E" w14:textId="77777777" w:rsidR="001778B8" w:rsidRPr="00F352E1" w:rsidRDefault="0041296E" w:rsidP="001778B8">
      <w:pPr>
        <w:rPr>
          <w:color w:val="4F81BD" w:themeColor="accent1"/>
        </w:rPr>
      </w:pPr>
      <w:bookmarkStart w:id="416" w:name="_Toc374701415"/>
      <w:bookmarkStart w:id="417" w:name="_Toc392929583"/>
      <w:bookmarkStart w:id="418" w:name="_Toc430268223"/>
      <w:bookmarkStart w:id="419" w:name="_Toc358712538"/>
      <w:r w:rsidRPr="00F352E1">
        <w:rPr>
          <w:noProof/>
          <w:color w:val="4F81BD" w:themeColor="accent1"/>
          <w:lang w:val="en-AU" w:eastAsia="en-AU"/>
        </w:rPr>
        <w:drawing>
          <wp:inline distT="0" distB="0" distL="0" distR="0" wp14:anchorId="13632871" wp14:editId="42C919C1">
            <wp:extent cx="8363712" cy="5227320"/>
            <wp:effectExtent l="0" t="0" r="0" b="0"/>
            <wp:docPr id="5" name="Picture 5" descr="Boxplots include the number of coral colonies suffering ongoing mortality attributed to either disease, sedimentation or ‘unknown causes’ for each reef, depth and year. Data are standardised to the reef and depth mean across years. " title="Figure A1. 7 Coral disease by year in each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regional disease box.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8365043" cy="5228152"/>
                    </a:xfrm>
                    <a:prstGeom prst="rect">
                      <a:avLst/>
                    </a:prstGeom>
                  </pic:spPr>
                </pic:pic>
              </a:graphicData>
            </a:graphic>
          </wp:inline>
        </w:drawing>
      </w:r>
    </w:p>
    <w:p w14:paraId="4AEDE3FA" w14:textId="77777777" w:rsidR="00CA2954" w:rsidRPr="007918DA" w:rsidRDefault="003F670B" w:rsidP="00606A50">
      <w:pPr>
        <w:pStyle w:val="Caption"/>
        <w:rPr>
          <w:rStyle w:val="IntenseReference"/>
          <w:rFonts w:eastAsia="SimSun"/>
          <w:color w:val="auto"/>
        </w:rPr>
      </w:pPr>
      <w:bookmarkStart w:id="420" w:name="_Ref501096335"/>
      <w:bookmarkStart w:id="421" w:name="_Ref469692010"/>
      <w:bookmarkStart w:id="422" w:name="_Toc453243774"/>
      <w:bookmarkStart w:id="423" w:name="_Toc471373207"/>
      <w:bookmarkStart w:id="424" w:name="_Toc500143388"/>
      <w:r>
        <w:t xml:space="preserve">Figure A1. </w:t>
      </w:r>
      <w:r>
        <w:fldChar w:fldCharType="begin"/>
      </w:r>
      <w:r>
        <w:instrText xml:space="preserve"> SEQ Figure_A1. \* ARABIC </w:instrText>
      </w:r>
      <w:r>
        <w:fldChar w:fldCharType="separate"/>
      </w:r>
      <w:r w:rsidR="00A75175">
        <w:rPr>
          <w:noProof/>
        </w:rPr>
        <w:t>7</w:t>
      </w:r>
      <w:r>
        <w:fldChar w:fldCharType="end"/>
      </w:r>
      <w:bookmarkEnd w:id="420"/>
      <w:r>
        <w:t xml:space="preserve"> </w:t>
      </w:r>
      <w:r w:rsidR="0036265A" w:rsidRPr="004252BF">
        <w:t>Coral disease by year in each region.</w:t>
      </w:r>
      <w:bookmarkEnd w:id="416"/>
      <w:bookmarkEnd w:id="417"/>
      <w:bookmarkEnd w:id="418"/>
      <w:bookmarkEnd w:id="421"/>
      <w:bookmarkEnd w:id="422"/>
      <w:bookmarkEnd w:id="423"/>
      <w:r w:rsidR="008A1A24" w:rsidRPr="009A622B">
        <w:rPr>
          <w:rStyle w:val="IntenseReference"/>
          <w:rFonts w:eastAsia="SimSun"/>
        </w:rPr>
        <w:t xml:space="preserve"> </w:t>
      </w:r>
      <w:r w:rsidR="008A1A24" w:rsidRPr="00626D6B">
        <w:rPr>
          <w:rStyle w:val="IntenseReference"/>
          <w:rFonts w:eastAsia="SimSun"/>
        </w:rPr>
        <w:t>Boxplots include the number of coral colonies suffering ongoing mortality attributed to either disease, sedimentation or ‘unknown causes’ for each reef, depth and year</w:t>
      </w:r>
      <w:r w:rsidR="00AD4E98" w:rsidRPr="009808B7">
        <w:rPr>
          <w:rStyle w:val="IntenseReference"/>
          <w:rFonts w:eastAsia="SimSun"/>
        </w:rPr>
        <w:t>. Data are</w:t>
      </w:r>
      <w:r w:rsidR="008A1A24" w:rsidRPr="009808B7">
        <w:rPr>
          <w:rStyle w:val="IntenseReference"/>
          <w:rFonts w:eastAsia="SimSun"/>
        </w:rPr>
        <w:t xml:space="preserve"> standardised to the reef and depth mean across years.</w:t>
      </w:r>
      <w:bookmarkEnd w:id="424"/>
      <w:r w:rsidR="00E75F5C" w:rsidRPr="007918DA">
        <w:rPr>
          <w:rStyle w:val="IntenseReference"/>
          <w:rFonts w:eastAsia="SimSun"/>
          <w:color w:val="auto"/>
        </w:rPr>
        <w:t xml:space="preserve"> </w:t>
      </w:r>
    </w:p>
    <w:p w14:paraId="234FBB73" w14:textId="77777777" w:rsidR="000A241F" w:rsidRPr="007918DA" w:rsidRDefault="000A241F" w:rsidP="00833B1F">
      <w:pPr>
        <w:sectPr w:rsidR="000A241F" w:rsidRPr="007918DA" w:rsidSect="006608FC">
          <w:pgSz w:w="16840" w:h="11907" w:orient="landscape" w:code="9"/>
          <w:pgMar w:top="1134" w:right="1440" w:bottom="1134" w:left="1440" w:header="862" w:footer="720" w:gutter="0"/>
          <w:cols w:space="720"/>
          <w:docGrid w:linePitch="299"/>
        </w:sectPr>
      </w:pPr>
    </w:p>
    <w:p w14:paraId="44D6E526" w14:textId="77777777" w:rsidR="00FF1B38" w:rsidRPr="008A0C2A" w:rsidRDefault="00B14D94" w:rsidP="00606A50">
      <w:pPr>
        <w:pStyle w:val="Caption"/>
        <w:rPr>
          <w:rStyle w:val="IntenseReference"/>
          <w:rFonts w:eastAsia="SimSun"/>
        </w:rPr>
      </w:pPr>
      <w:bookmarkStart w:id="425" w:name="_Toc498591422"/>
      <w:r>
        <w:t xml:space="preserve">Table A1. </w:t>
      </w:r>
      <w:r>
        <w:fldChar w:fldCharType="begin"/>
      </w:r>
      <w:r>
        <w:instrText xml:space="preserve"> SEQ Table_A1. \* ARABIC </w:instrText>
      </w:r>
      <w:r>
        <w:fldChar w:fldCharType="separate"/>
      </w:r>
      <w:r w:rsidR="00A75175">
        <w:rPr>
          <w:noProof/>
        </w:rPr>
        <w:t>7</w:t>
      </w:r>
      <w:r>
        <w:fldChar w:fldCharType="end"/>
      </w:r>
      <w:r>
        <w:t xml:space="preserve"> </w:t>
      </w:r>
      <w:r w:rsidR="00482EEE" w:rsidRPr="00F352E1">
        <w:t>Percent</w:t>
      </w:r>
      <w:r w:rsidR="00482EEE">
        <w:t xml:space="preserve"> cover of hard coral genera 2017</w:t>
      </w:r>
      <w:r w:rsidR="00482EEE" w:rsidRPr="00F352E1">
        <w:t xml:space="preserve">. </w:t>
      </w:r>
      <w:r w:rsidR="00482EEE" w:rsidRPr="008A0C2A">
        <w:rPr>
          <w:rStyle w:val="IntenseReference"/>
          <w:rFonts w:eastAsia="SimSun"/>
        </w:rPr>
        <w:t>Genera for which cover did not exceeded 1% on at least one reef or were unidentified to genus level are grouped as “other”.</w:t>
      </w:r>
      <w:bookmarkEnd w:id="425"/>
    </w:p>
    <w:tbl>
      <w:tblPr>
        <w:tblW w:w="12830" w:type="dxa"/>
        <w:tblInd w:w="93" w:type="dxa"/>
        <w:tblLayout w:type="fixed"/>
        <w:tblCellMar>
          <w:left w:w="0" w:type="dxa"/>
          <w:right w:w="0" w:type="dxa"/>
        </w:tblCellMar>
        <w:tblLook w:val="04A0" w:firstRow="1" w:lastRow="0" w:firstColumn="1" w:lastColumn="0" w:noHBand="0" w:noVBand="1"/>
        <w:tblCaption w:val="Table A1. 7 Percent cover of hard coral genera 2017"/>
        <w:tblDescription w:val="A table listing the cover estimates for each coral genus at each reef and depth."/>
      </w:tblPr>
      <w:tblGrid>
        <w:gridCol w:w="389"/>
        <w:gridCol w:w="874"/>
        <w:gridCol w:w="313"/>
        <w:gridCol w:w="335"/>
        <w:gridCol w:w="332"/>
        <w:gridCol w:w="352"/>
        <w:gridCol w:w="353"/>
        <w:gridCol w:w="353"/>
        <w:gridCol w:w="353"/>
        <w:gridCol w:w="353"/>
        <w:gridCol w:w="353"/>
        <w:gridCol w:w="352"/>
        <w:gridCol w:w="352"/>
        <w:gridCol w:w="353"/>
        <w:gridCol w:w="353"/>
        <w:gridCol w:w="353"/>
        <w:gridCol w:w="353"/>
        <w:gridCol w:w="353"/>
        <w:gridCol w:w="353"/>
        <w:gridCol w:w="353"/>
        <w:gridCol w:w="353"/>
        <w:gridCol w:w="353"/>
        <w:gridCol w:w="353"/>
        <w:gridCol w:w="353"/>
        <w:gridCol w:w="353"/>
        <w:gridCol w:w="353"/>
        <w:gridCol w:w="353"/>
        <w:gridCol w:w="353"/>
        <w:gridCol w:w="353"/>
        <w:gridCol w:w="353"/>
        <w:gridCol w:w="353"/>
        <w:gridCol w:w="353"/>
        <w:gridCol w:w="353"/>
        <w:gridCol w:w="353"/>
        <w:gridCol w:w="353"/>
      </w:tblGrid>
      <w:tr w:rsidR="005B15EC" w:rsidRPr="005B15EC" w14:paraId="4EFE1255" w14:textId="77777777" w:rsidTr="00DA2628">
        <w:trPr>
          <w:trHeight w:val="1051"/>
          <w:tblHeader/>
        </w:trPr>
        <w:tc>
          <w:tcPr>
            <w:tcW w:w="3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0321A964" w14:textId="77777777" w:rsidR="005B15EC" w:rsidRPr="005B15EC" w:rsidRDefault="005B15EC" w:rsidP="005B15EC">
            <w:pPr>
              <w:spacing w:after="0"/>
              <w:jc w:val="center"/>
              <w:rPr>
                <w:rFonts w:ascii="Arial Narrow" w:hAnsi="Arial Narrow"/>
                <w:sz w:val="20"/>
                <w:lang w:val="en-AU" w:eastAsia="en-AU"/>
              </w:rPr>
            </w:pPr>
            <w:r w:rsidRPr="005B15EC">
              <w:rPr>
                <w:rFonts w:ascii="Arial Narrow" w:hAnsi="Arial Narrow"/>
                <w:sz w:val="20"/>
                <w:lang w:val="en-AU" w:eastAsia="en-AU"/>
              </w:rPr>
              <w:t>subregion</w:t>
            </w:r>
          </w:p>
        </w:tc>
        <w:tc>
          <w:tcPr>
            <w:tcW w:w="875"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3D6C18DA" w14:textId="77777777" w:rsidR="005B15EC" w:rsidRPr="005B15EC" w:rsidRDefault="005B15EC" w:rsidP="005B15EC">
            <w:pPr>
              <w:spacing w:after="0"/>
              <w:jc w:val="center"/>
              <w:rPr>
                <w:rFonts w:ascii="Arial Narrow" w:hAnsi="Arial Narrow"/>
                <w:sz w:val="20"/>
                <w:lang w:val="en-AU" w:eastAsia="en-AU"/>
              </w:rPr>
            </w:pPr>
            <w:r w:rsidRPr="005B15EC">
              <w:rPr>
                <w:rFonts w:ascii="Arial Narrow" w:hAnsi="Arial Narrow"/>
                <w:sz w:val="20"/>
                <w:lang w:val="en-AU" w:eastAsia="en-AU"/>
              </w:rPr>
              <w:t>Reef</w:t>
            </w:r>
          </w:p>
        </w:tc>
        <w:tc>
          <w:tcPr>
            <w:tcW w:w="313"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77022D86" w14:textId="77777777" w:rsidR="005B15EC" w:rsidRPr="005B15EC" w:rsidRDefault="005B15EC" w:rsidP="005B15EC">
            <w:pPr>
              <w:spacing w:after="0"/>
              <w:jc w:val="center"/>
              <w:rPr>
                <w:rFonts w:ascii="Arial Narrow" w:hAnsi="Arial Narrow"/>
                <w:sz w:val="20"/>
                <w:lang w:val="en-AU" w:eastAsia="en-AU"/>
              </w:rPr>
            </w:pPr>
            <w:r w:rsidRPr="005B15EC">
              <w:rPr>
                <w:rFonts w:ascii="Arial Narrow" w:hAnsi="Arial Narrow"/>
                <w:sz w:val="20"/>
                <w:lang w:val="en-AU" w:eastAsia="en-AU"/>
              </w:rPr>
              <w:t>Depth</w:t>
            </w:r>
          </w:p>
        </w:tc>
        <w:tc>
          <w:tcPr>
            <w:tcW w:w="335"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299965B7"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Acropora</w:t>
            </w:r>
          </w:p>
        </w:tc>
        <w:tc>
          <w:tcPr>
            <w:tcW w:w="332"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7CDFF704"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Alveopora</w:t>
            </w:r>
          </w:p>
        </w:tc>
        <w:tc>
          <w:tcPr>
            <w:tcW w:w="352"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371456FB"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Caulastrea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22599ED9"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Cyphastrea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632F9F21"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Diploastrea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34F8ACF3"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Echinophyllia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430FB8B3"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Echinopora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4D2D7D60"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Favia</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652F9740"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Favites</w:t>
            </w:r>
          </w:p>
        </w:tc>
        <w:tc>
          <w:tcPr>
            <w:tcW w:w="3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6DCA681C"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Fungia</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0908EFAA"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Galaxea</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36DEF90B"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Goniastrea</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2304DBE3"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Goniopra</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0C74527C"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Isopora</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658D094E"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Lobophyllia</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6EAAE042"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Merulina</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2C6A2589"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Montipora</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7F2EBF6C"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Mycedium</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3F729D74"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Oxypora</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2B0F3180"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Pachyseris</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00EAC47C"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Pavona</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49807960"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Pectinia</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60BD37C8"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Platygyra</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5611EC24"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Plesiastrea</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089CFDEB"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Pocillopora</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09C5D5E0"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Podobacia</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05AA9A04"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Porites</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7CE3424C"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Psammocora</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35735C50"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Seriatopora</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25A948E6"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Symphyllia</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6A5E5F3E" w14:textId="77777777" w:rsidR="005B15EC" w:rsidRPr="005B15EC" w:rsidRDefault="005B15EC" w:rsidP="005B15EC">
            <w:pPr>
              <w:spacing w:after="0"/>
              <w:jc w:val="center"/>
              <w:rPr>
                <w:rFonts w:ascii="Arial Narrow" w:hAnsi="Arial Narrow"/>
                <w:i/>
                <w:iCs/>
                <w:sz w:val="18"/>
                <w:szCs w:val="18"/>
                <w:lang w:val="en-AU" w:eastAsia="en-AU"/>
              </w:rPr>
            </w:pPr>
            <w:r w:rsidRPr="005B15EC">
              <w:rPr>
                <w:rFonts w:ascii="Arial Narrow" w:hAnsi="Arial Narrow"/>
                <w:i/>
                <w:iCs/>
                <w:sz w:val="18"/>
                <w:szCs w:val="18"/>
              </w:rPr>
              <w:t>Turbanaria</w:t>
            </w:r>
          </w:p>
        </w:tc>
        <w:tc>
          <w:tcPr>
            <w:tcW w:w="35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4178B680" w14:textId="77777777" w:rsidR="005B15EC" w:rsidRPr="005B15EC" w:rsidRDefault="005B15EC" w:rsidP="005B15EC">
            <w:pPr>
              <w:spacing w:after="0"/>
              <w:jc w:val="center"/>
              <w:rPr>
                <w:rFonts w:ascii="Arial Narrow" w:hAnsi="Arial Narrow"/>
                <w:iCs/>
                <w:sz w:val="18"/>
                <w:szCs w:val="18"/>
                <w:lang w:val="en-AU" w:eastAsia="en-AU"/>
              </w:rPr>
            </w:pPr>
            <w:r w:rsidRPr="005B15EC">
              <w:rPr>
                <w:rFonts w:ascii="Arial Narrow" w:hAnsi="Arial Narrow"/>
                <w:i/>
                <w:iCs/>
                <w:sz w:val="18"/>
                <w:szCs w:val="18"/>
              </w:rPr>
              <w:t>Other</w:t>
            </w:r>
          </w:p>
        </w:tc>
      </w:tr>
      <w:tr w:rsidR="005B15EC" w:rsidRPr="005B15EC" w14:paraId="63D398A3" w14:textId="77777777" w:rsidTr="00DA2628">
        <w:trPr>
          <w:trHeight w:hRule="exact" w:val="397"/>
        </w:trPr>
        <w:tc>
          <w:tcPr>
            <w:tcW w:w="389"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04122BD0"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Daintree</w:t>
            </w: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8277160"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Snapper North</w:t>
            </w:r>
          </w:p>
        </w:tc>
        <w:tc>
          <w:tcPr>
            <w:tcW w:w="313" w:type="dxa"/>
            <w:tcBorders>
              <w:top w:val="nil"/>
              <w:left w:val="nil"/>
              <w:bottom w:val="single" w:sz="4" w:space="0" w:color="auto"/>
              <w:right w:val="single" w:sz="4" w:space="0" w:color="auto"/>
            </w:tcBorders>
            <w:shd w:val="clear" w:color="auto" w:fill="auto"/>
            <w:noWrap/>
            <w:vAlign w:val="center"/>
            <w:hideMark/>
          </w:tcPr>
          <w:p w14:paraId="2C354D2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13DDFD3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1.08</w:t>
            </w:r>
          </w:p>
        </w:tc>
        <w:tc>
          <w:tcPr>
            <w:tcW w:w="332" w:type="dxa"/>
            <w:tcBorders>
              <w:top w:val="nil"/>
              <w:left w:val="nil"/>
              <w:bottom w:val="single" w:sz="4" w:space="0" w:color="auto"/>
              <w:right w:val="single" w:sz="4" w:space="0" w:color="auto"/>
            </w:tcBorders>
            <w:shd w:val="clear" w:color="auto" w:fill="auto"/>
            <w:noWrap/>
            <w:vAlign w:val="center"/>
            <w:hideMark/>
          </w:tcPr>
          <w:p w14:paraId="46478F8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425A0D8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3C4D114"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0959D2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6B9723A"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35FC4E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1.04</w:t>
            </w:r>
          </w:p>
        </w:tc>
        <w:tc>
          <w:tcPr>
            <w:tcW w:w="353" w:type="dxa"/>
            <w:tcBorders>
              <w:top w:val="nil"/>
              <w:left w:val="nil"/>
              <w:bottom w:val="single" w:sz="4" w:space="0" w:color="auto"/>
              <w:right w:val="single" w:sz="4" w:space="0" w:color="auto"/>
            </w:tcBorders>
            <w:shd w:val="clear" w:color="auto" w:fill="auto"/>
            <w:noWrap/>
            <w:vAlign w:val="center"/>
            <w:hideMark/>
          </w:tcPr>
          <w:p w14:paraId="5C10DEB7"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E3CF50D"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391B85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0.08</w:t>
            </w:r>
          </w:p>
        </w:tc>
        <w:tc>
          <w:tcPr>
            <w:tcW w:w="354" w:type="dxa"/>
            <w:tcBorders>
              <w:top w:val="nil"/>
              <w:left w:val="nil"/>
              <w:bottom w:val="single" w:sz="4" w:space="0" w:color="auto"/>
              <w:right w:val="single" w:sz="4" w:space="0" w:color="auto"/>
            </w:tcBorders>
            <w:shd w:val="clear" w:color="auto" w:fill="auto"/>
            <w:noWrap/>
            <w:vAlign w:val="center"/>
            <w:hideMark/>
          </w:tcPr>
          <w:p w14:paraId="185A639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EAB33E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8F2160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0.04</w:t>
            </w:r>
          </w:p>
        </w:tc>
        <w:tc>
          <w:tcPr>
            <w:tcW w:w="354" w:type="dxa"/>
            <w:tcBorders>
              <w:top w:val="nil"/>
              <w:left w:val="nil"/>
              <w:bottom w:val="single" w:sz="4" w:space="0" w:color="auto"/>
              <w:right w:val="single" w:sz="4" w:space="0" w:color="auto"/>
            </w:tcBorders>
            <w:shd w:val="clear" w:color="auto" w:fill="auto"/>
            <w:noWrap/>
            <w:vAlign w:val="center"/>
            <w:hideMark/>
          </w:tcPr>
          <w:p w14:paraId="2A43FBD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D210CC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0.17</w:t>
            </w:r>
          </w:p>
        </w:tc>
        <w:tc>
          <w:tcPr>
            <w:tcW w:w="354" w:type="dxa"/>
            <w:tcBorders>
              <w:top w:val="nil"/>
              <w:left w:val="nil"/>
              <w:bottom w:val="single" w:sz="4" w:space="0" w:color="auto"/>
              <w:right w:val="single" w:sz="4" w:space="0" w:color="auto"/>
            </w:tcBorders>
            <w:shd w:val="clear" w:color="auto" w:fill="auto"/>
            <w:noWrap/>
            <w:vAlign w:val="center"/>
            <w:hideMark/>
          </w:tcPr>
          <w:p w14:paraId="47F4AF9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10150F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0.08</w:t>
            </w:r>
          </w:p>
        </w:tc>
        <w:tc>
          <w:tcPr>
            <w:tcW w:w="354" w:type="dxa"/>
            <w:tcBorders>
              <w:top w:val="nil"/>
              <w:left w:val="nil"/>
              <w:bottom w:val="single" w:sz="4" w:space="0" w:color="auto"/>
              <w:right w:val="single" w:sz="4" w:space="0" w:color="auto"/>
            </w:tcBorders>
            <w:shd w:val="clear" w:color="auto" w:fill="auto"/>
            <w:noWrap/>
            <w:vAlign w:val="center"/>
            <w:hideMark/>
          </w:tcPr>
          <w:p w14:paraId="7A8C833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B92297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14CE63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E29745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760568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5E4C39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42FB74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59695E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D009AF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B46322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1EFFBB8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3C9A89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A56A44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8E9A47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658481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0.04</w:t>
            </w:r>
          </w:p>
        </w:tc>
      </w:tr>
      <w:tr w:rsidR="005B15EC" w:rsidRPr="005B15EC" w14:paraId="6926FBA7" w14:textId="77777777" w:rsidTr="00DA2628">
        <w:trPr>
          <w:cantSplit/>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7939B14"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04B11D65"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19C157F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2958D2B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32" w:type="dxa"/>
            <w:tcBorders>
              <w:top w:val="nil"/>
              <w:left w:val="nil"/>
              <w:bottom w:val="single" w:sz="4" w:space="0" w:color="auto"/>
              <w:right w:val="single" w:sz="4" w:space="0" w:color="auto"/>
            </w:tcBorders>
            <w:shd w:val="clear" w:color="auto" w:fill="auto"/>
            <w:noWrap/>
            <w:vAlign w:val="center"/>
            <w:hideMark/>
          </w:tcPr>
          <w:p w14:paraId="4F984F2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21209BF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7B0C8A6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B258CC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A9734C4"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5D0280E"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D9D8DA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3050478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2D4527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766D86C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62D9A7A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5300FC8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5.44</w:t>
            </w:r>
          </w:p>
        </w:tc>
        <w:tc>
          <w:tcPr>
            <w:tcW w:w="354" w:type="dxa"/>
            <w:tcBorders>
              <w:top w:val="nil"/>
              <w:left w:val="nil"/>
              <w:bottom w:val="single" w:sz="4" w:space="0" w:color="auto"/>
              <w:right w:val="single" w:sz="4" w:space="0" w:color="auto"/>
            </w:tcBorders>
            <w:shd w:val="clear" w:color="auto" w:fill="auto"/>
            <w:noWrap/>
            <w:vAlign w:val="center"/>
            <w:hideMark/>
          </w:tcPr>
          <w:p w14:paraId="67E542A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13AD88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992C24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E3355C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26EEAD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435216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54EAB8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3.31</w:t>
            </w:r>
          </w:p>
        </w:tc>
        <w:tc>
          <w:tcPr>
            <w:tcW w:w="354" w:type="dxa"/>
            <w:tcBorders>
              <w:top w:val="nil"/>
              <w:left w:val="nil"/>
              <w:bottom w:val="single" w:sz="4" w:space="0" w:color="auto"/>
              <w:right w:val="single" w:sz="4" w:space="0" w:color="auto"/>
            </w:tcBorders>
            <w:shd w:val="clear" w:color="auto" w:fill="auto"/>
            <w:noWrap/>
            <w:vAlign w:val="center"/>
            <w:hideMark/>
          </w:tcPr>
          <w:p w14:paraId="76174EB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4" w:type="dxa"/>
            <w:tcBorders>
              <w:top w:val="nil"/>
              <w:left w:val="nil"/>
              <w:bottom w:val="single" w:sz="4" w:space="0" w:color="auto"/>
              <w:right w:val="single" w:sz="4" w:space="0" w:color="auto"/>
            </w:tcBorders>
            <w:shd w:val="clear" w:color="auto" w:fill="auto"/>
            <w:noWrap/>
            <w:vAlign w:val="center"/>
            <w:hideMark/>
          </w:tcPr>
          <w:p w14:paraId="7733487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0570382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3D27F7A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155A62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0DD4EFA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3CF9C0D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2.81</w:t>
            </w:r>
          </w:p>
        </w:tc>
        <w:tc>
          <w:tcPr>
            <w:tcW w:w="354" w:type="dxa"/>
            <w:tcBorders>
              <w:top w:val="nil"/>
              <w:left w:val="nil"/>
              <w:bottom w:val="single" w:sz="4" w:space="0" w:color="auto"/>
              <w:right w:val="single" w:sz="4" w:space="0" w:color="auto"/>
            </w:tcBorders>
            <w:shd w:val="clear" w:color="auto" w:fill="auto"/>
            <w:noWrap/>
            <w:vAlign w:val="center"/>
            <w:hideMark/>
          </w:tcPr>
          <w:p w14:paraId="5466D6C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84AB41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4EB8C6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B753DA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BCB166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1.00</w:t>
            </w:r>
          </w:p>
        </w:tc>
      </w:tr>
      <w:tr w:rsidR="005B15EC" w:rsidRPr="005B15EC" w14:paraId="421D3327"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1791234A"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6039DC2"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Snapper South</w:t>
            </w:r>
          </w:p>
        </w:tc>
        <w:tc>
          <w:tcPr>
            <w:tcW w:w="313" w:type="dxa"/>
            <w:tcBorders>
              <w:top w:val="nil"/>
              <w:left w:val="nil"/>
              <w:bottom w:val="single" w:sz="4" w:space="0" w:color="auto"/>
              <w:right w:val="single" w:sz="4" w:space="0" w:color="auto"/>
            </w:tcBorders>
            <w:shd w:val="clear" w:color="auto" w:fill="auto"/>
            <w:noWrap/>
            <w:vAlign w:val="center"/>
            <w:hideMark/>
          </w:tcPr>
          <w:p w14:paraId="43C7E71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6F8CEA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3.58</w:t>
            </w:r>
          </w:p>
        </w:tc>
        <w:tc>
          <w:tcPr>
            <w:tcW w:w="332" w:type="dxa"/>
            <w:tcBorders>
              <w:top w:val="nil"/>
              <w:left w:val="nil"/>
              <w:bottom w:val="single" w:sz="4" w:space="0" w:color="auto"/>
              <w:right w:val="single" w:sz="4" w:space="0" w:color="auto"/>
            </w:tcBorders>
            <w:shd w:val="clear" w:color="auto" w:fill="auto"/>
            <w:noWrap/>
            <w:vAlign w:val="center"/>
            <w:hideMark/>
          </w:tcPr>
          <w:p w14:paraId="721D5F3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6BDBC7A7"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98754D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0.21</w:t>
            </w:r>
          </w:p>
        </w:tc>
        <w:tc>
          <w:tcPr>
            <w:tcW w:w="353" w:type="dxa"/>
            <w:tcBorders>
              <w:top w:val="nil"/>
              <w:left w:val="nil"/>
              <w:bottom w:val="single" w:sz="4" w:space="0" w:color="auto"/>
              <w:right w:val="single" w:sz="4" w:space="0" w:color="auto"/>
            </w:tcBorders>
            <w:shd w:val="clear" w:color="auto" w:fill="auto"/>
            <w:noWrap/>
            <w:vAlign w:val="center"/>
            <w:hideMark/>
          </w:tcPr>
          <w:p w14:paraId="07CFA497"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3E9E376"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EC7FEF4"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98CD5B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0.04</w:t>
            </w:r>
          </w:p>
        </w:tc>
        <w:tc>
          <w:tcPr>
            <w:tcW w:w="353" w:type="dxa"/>
            <w:tcBorders>
              <w:top w:val="nil"/>
              <w:left w:val="nil"/>
              <w:bottom w:val="single" w:sz="4" w:space="0" w:color="auto"/>
              <w:right w:val="single" w:sz="4" w:space="0" w:color="auto"/>
            </w:tcBorders>
            <w:shd w:val="clear" w:color="auto" w:fill="auto"/>
            <w:noWrap/>
            <w:vAlign w:val="center"/>
            <w:hideMark/>
          </w:tcPr>
          <w:p w14:paraId="0AEFD01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0.21</w:t>
            </w:r>
          </w:p>
        </w:tc>
        <w:tc>
          <w:tcPr>
            <w:tcW w:w="353" w:type="dxa"/>
            <w:tcBorders>
              <w:top w:val="nil"/>
              <w:left w:val="nil"/>
              <w:bottom w:val="single" w:sz="4" w:space="0" w:color="auto"/>
              <w:right w:val="single" w:sz="4" w:space="0" w:color="auto"/>
            </w:tcBorders>
            <w:shd w:val="clear" w:color="auto" w:fill="auto"/>
            <w:noWrap/>
            <w:vAlign w:val="center"/>
            <w:hideMark/>
          </w:tcPr>
          <w:p w14:paraId="2D0E801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0557AC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1.83</w:t>
            </w:r>
          </w:p>
        </w:tc>
        <w:tc>
          <w:tcPr>
            <w:tcW w:w="354" w:type="dxa"/>
            <w:tcBorders>
              <w:top w:val="nil"/>
              <w:left w:val="nil"/>
              <w:bottom w:val="single" w:sz="4" w:space="0" w:color="auto"/>
              <w:right w:val="single" w:sz="4" w:space="0" w:color="auto"/>
            </w:tcBorders>
            <w:shd w:val="clear" w:color="auto" w:fill="auto"/>
            <w:noWrap/>
            <w:vAlign w:val="center"/>
            <w:hideMark/>
          </w:tcPr>
          <w:p w14:paraId="0A53FE8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0.54</w:t>
            </w:r>
          </w:p>
        </w:tc>
        <w:tc>
          <w:tcPr>
            <w:tcW w:w="354" w:type="dxa"/>
            <w:tcBorders>
              <w:top w:val="nil"/>
              <w:left w:val="nil"/>
              <w:bottom w:val="single" w:sz="4" w:space="0" w:color="auto"/>
              <w:right w:val="single" w:sz="4" w:space="0" w:color="auto"/>
            </w:tcBorders>
            <w:shd w:val="clear" w:color="auto" w:fill="auto"/>
            <w:noWrap/>
            <w:vAlign w:val="center"/>
            <w:hideMark/>
          </w:tcPr>
          <w:p w14:paraId="53578F6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0.08</w:t>
            </w:r>
          </w:p>
        </w:tc>
        <w:tc>
          <w:tcPr>
            <w:tcW w:w="354" w:type="dxa"/>
            <w:tcBorders>
              <w:top w:val="nil"/>
              <w:left w:val="nil"/>
              <w:bottom w:val="single" w:sz="4" w:space="0" w:color="auto"/>
              <w:right w:val="single" w:sz="4" w:space="0" w:color="auto"/>
            </w:tcBorders>
            <w:shd w:val="clear" w:color="auto" w:fill="auto"/>
            <w:noWrap/>
            <w:vAlign w:val="center"/>
            <w:hideMark/>
          </w:tcPr>
          <w:p w14:paraId="6124410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6DF534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08AAB4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2DA810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2.92</w:t>
            </w:r>
          </w:p>
        </w:tc>
        <w:tc>
          <w:tcPr>
            <w:tcW w:w="354" w:type="dxa"/>
            <w:tcBorders>
              <w:top w:val="nil"/>
              <w:left w:val="nil"/>
              <w:bottom w:val="single" w:sz="4" w:space="0" w:color="auto"/>
              <w:right w:val="single" w:sz="4" w:space="0" w:color="auto"/>
            </w:tcBorders>
            <w:shd w:val="clear" w:color="auto" w:fill="auto"/>
            <w:noWrap/>
            <w:vAlign w:val="center"/>
            <w:hideMark/>
          </w:tcPr>
          <w:p w14:paraId="73943A5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88EF04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EA4912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A61A2A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0.29</w:t>
            </w:r>
          </w:p>
        </w:tc>
        <w:tc>
          <w:tcPr>
            <w:tcW w:w="354" w:type="dxa"/>
            <w:tcBorders>
              <w:top w:val="nil"/>
              <w:left w:val="nil"/>
              <w:bottom w:val="single" w:sz="4" w:space="0" w:color="auto"/>
              <w:right w:val="single" w:sz="4" w:space="0" w:color="auto"/>
            </w:tcBorders>
            <w:shd w:val="clear" w:color="auto" w:fill="auto"/>
            <w:noWrap/>
            <w:vAlign w:val="center"/>
            <w:hideMark/>
          </w:tcPr>
          <w:p w14:paraId="1EAA4C9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64A22B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0.17</w:t>
            </w:r>
          </w:p>
        </w:tc>
        <w:tc>
          <w:tcPr>
            <w:tcW w:w="354" w:type="dxa"/>
            <w:tcBorders>
              <w:top w:val="nil"/>
              <w:left w:val="nil"/>
              <w:bottom w:val="single" w:sz="4" w:space="0" w:color="auto"/>
              <w:right w:val="single" w:sz="4" w:space="0" w:color="auto"/>
            </w:tcBorders>
            <w:shd w:val="clear" w:color="auto" w:fill="auto"/>
            <w:noWrap/>
            <w:vAlign w:val="center"/>
            <w:hideMark/>
          </w:tcPr>
          <w:p w14:paraId="65228DB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9A45B8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0.33</w:t>
            </w:r>
          </w:p>
        </w:tc>
        <w:tc>
          <w:tcPr>
            <w:tcW w:w="354" w:type="dxa"/>
            <w:tcBorders>
              <w:top w:val="nil"/>
              <w:left w:val="nil"/>
              <w:bottom w:val="single" w:sz="4" w:space="0" w:color="auto"/>
              <w:right w:val="single" w:sz="4" w:space="0" w:color="auto"/>
            </w:tcBorders>
            <w:shd w:val="clear" w:color="auto" w:fill="auto"/>
            <w:noWrap/>
            <w:vAlign w:val="center"/>
            <w:hideMark/>
          </w:tcPr>
          <w:p w14:paraId="3158626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6C2BAF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32.67</w:t>
            </w:r>
          </w:p>
        </w:tc>
        <w:tc>
          <w:tcPr>
            <w:tcW w:w="354" w:type="dxa"/>
            <w:tcBorders>
              <w:top w:val="nil"/>
              <w:left w:val="nil"/>
              <w:bottom w:val="single" w:sz="4" w:space="0" w:color="auto"/>
              <w:right w:val="single" w:sz="4" w:space="0" w:color="auto"/>
            </w:tcBorders>
            <w:shd w:val="clear" w:color="auto" w:fill="auto"/>
            <w:noWrap/>
            <w:vAlign w:val="center"/>
            <w:hideMark/>
          </w:tcPr>
          <w:p w14:paraId="178C6C0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0.21</w:t>
            </w:r>
          </w:p>
        </w:tc>
        <w:tc>
          <w:tcPr>
            <w:tcW w:w="354" w:type="dxa"/>
            <w:tcBorders>
              <w:top w:val="nil"/>
              <w:left w:val="nil"/>
              <w:bottom w:val="single" w:sz="4" w:space="0" w:color="auto"/>
              <w:right w:val="single" w:sz="4" w:space="0" w:color="auto"/>
            </w:tcBorders>
            <w:shd w:val="clear" w:color="auto" w:fill="auto"/>
            <w:noWrap/>
            <w:vAlign w:val="center"/>
            <w:hideMark/>
          </w:tcPr>
          <w:p w14:paraId="0118320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8437A2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0.04</w:t>
            </w:r>
          </w:p>
        </w:tc>
        <w:tc>
          <w:tcPr>
            <w:tcW w:w="354" w:type="dxa"/>
            <w:tcBorders>
              <w:top w:val="nil"/>
              <w:left w:val="nil"/>
              <w:bottom w:val="single" w:sz="4" w:space="0" w:color="auto"/>
              <w:right w:val="single" w:sz="4" w:space="0" w:color="auto"/>
            </w:tcBorders>
            <w:shd w:val="clear" w:color="auto" w:fill="auto"/>
            <w:noWrap/>
            <w:vAlign w:val="center"/>
            <w:hideMark/>
          </w:tcPr>
          <w:p w14:paraId="6FB1F49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1900788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r>
      <w:tr w:rsidR="005B15EC" w:rsidRPr="005B15EC" w14:paraId="3DD884EE"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75404405"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000000"/>
              <w:right w:val="single" w:sz="4" w:space="0" w:color="auto"/>
            </w:tcBorders>
            <w:vAlign w:val="center"/>
            <w:hideMark/>
          </w:tcPr>
          <w:p w14:paraId="3D7E6063"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3444977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672D65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4.36</w:t>
            </w:r>
          </w:p>
        </w:tc>
        <w:tc>
          <w:tcPr>
            <w:tcW w:w="332" w:type="dxa"/>
            <w:tcBorders>
              <w:top w:val="nil"/>
              <w:left w:val="nil"/>
              <w:bottom w:val="single" w:sz="4" w:space="0" w:color="auto"/>
              <w:right w:val="single" w:sz="4" w:space="0" w:color="auto"/>
            </w:tcBorders>
            <w:shd w:val="clear" w:color="auto" w:fill="auto"/>
            <w:noWrap/>
            <w:vAlign w:val="center"/>
            <w:hideMark/>
          </w:tcPr>
          <w:p w14:paraId="3E94BC7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6B0EEF4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2.86</w:t>
            </w:r>
          </w:p>
        </w:tc>
        <w:tc>
          <w:tcPr>
            <w:tcW w:w="353" w:type="dxa"/>
            <w:tcBorders>
              <w:top w:val="nil"/>
              <w:left w:val="nil"/>
              <w:bottom w:val="single" w:sz="4" w:space="0" w:color="auto"/>
              <w:right w:val="single" w:sz="4" w:space="0" w:color="auto"/>
            </w:tcBorders>
            <w:shd w:val="clear" w:color="auto" w:fill="auto"/>
            <w:noWrap/>
            <w:vAlign w:val="center"/>
            <w:hideMark/>
          </w:tcPr>
          <w:p w14:paraId="36FF6784"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F33073E"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3A9E2F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775DB5B"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F6CE48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F892C2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C6E89D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7ABACA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400AE2D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CAC8AE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2.00</w:t>
            </w:r>
          </w:p>
        </w:tc>
        <w:tc>
          <w:tcPr>
            <w:tcW w:w="354" w:type="dxa"/>
            <w:tcBorders>
              <w:top w:val="nil"/>
              <w:left w:val="nil"/>
              <w:bottom w:val="single" w:sz="4" w:space="0" w:color="auto"/>
              <w:right w:val="single" w:sz="4" w:space="0" w:color="auto"/>
            </w:tcBorders>
            <w:shd w:val="clear" w:color="auto" w:fill="auto"/>
            <w:noWrap/>
            <w:vAlign w:val="center"/>
            <w:hideMark/>
          </w:tcPr>
          <w:p w14:paraId="025A6A8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1B4D0E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70BFC37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7BA223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0ABE7EC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9117A7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E951F7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2.31</w:t>
            </w:r>
          </w:p>
        </w:tc>
        <w:tc>
          <w:tcPr>
            <w:tcW w:w="354" w:type="dxa"/>
            <w:tcBorders>
              <w:top w:val="nil"/>
              <w:left w:val="nil"/>
              <w:bottom w:val="single" w:sz="4" w:space="0" w:color="auto"/>
              <w:right w:val="single" w:sz="4" w:space="0" w:color="auto"/>
            </w:tcBorders>
            <w:shd w:val="clear" w:color="auto" w:fill="auto"/>
            <w:noWrap/>
            <w:vAlign w:val="center"/>
            <w:hideMark/>
          </w:tcPr>
          <w:p w14:paraId="79E432E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4282981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712B80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429B09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E6778F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298E18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E11595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29.40</w:t>
            </w:r>
          </w:p>
        </w:tc>
        <w:tc>
          <w:tcPr>
            <w:tcW w:w="354" w:type="dxa"/>
            <w:tcBorders>
              <w:top w:val="nil"/>
              <w:left w:val="nil"/>
              <w:bottom w:val="single" w:sz="4" w:space="0" w:color="auto"/>
              <w:right w:val="single" w:sz="4" w:space="0" w:color="auto"/>
            </w:tcBorders>
            <w:shd w:val="clear" w:color="auto" w:fill="auto"/>
            <w:noWrap/>
            <w:vAlign w:val="center"/>
            <w:hideMark/>
          </w:tcPr>
          <w:p w14:paraId="3A9DB2F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4EE722A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428CBE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C239DC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7D68F05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r>
      <w:tr w:rsidR="005B15EC" w:rsidRPr="005B15EC" w14:paraId="139E9A57"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36708424" w14:textId="77777777" w:rsidR="005B15EC" w:rsidRPr="005B15EC" w:rsidRDefault="005B15EC" w:rsidP="005B15EC">
            <w:pPr>
              <w:spacing w:after="0"/>
              <w:jc w:val="left"/>
              <w:rPr>
                <w:rFonts w:ascii="Arial Narrow" w:hAnsi="Arial Narrow"/>
                <w:sz w:val="18"/>
                <w:szCs w:val="18"/>
                <w:lang w:val="en-AU" w:eastAsia="en-AU"/>
              </w:rPr>
            </w:pPr>
          </w:p>
        </w:tc>
        <w:tc>
          <w:tcPr>
            <w:tcW w:w="875" w:type="dxa"/>
            <w:tcBorders>
              <w:top w:val="nil"/>
              <w:left w:val="nil"/>
              <w:bottom w:val="single" w:sz="4" w:space="0" w:color="auto"/>
              <w:right w:val="single" w:sz="4" w:space="0" w:color="auto"/>
            </w:tcBorders>
            <w:shd w:val="clear" w:color="auto" w:fill="auto"/>
            <w:noWrap/>
            <w:vAlign w:val="center"/>
            <w:hideMark/>
          </w:tcPr>
          <w:p w14:paraId="158A1F37"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Low Isles</w:t>
            </w:r>
          </w:p>
        </w:tc>
        <w:tc>
          <w:tcPr>
            <w:tcW w:w="313" w:type="dxa"/>
            <w:tcBorders>
              <w:top w:val="nil"/>
              <w:left w:val="nil"/>
              <w:bottom w:val="single" w:sz="4" w:space="0" w:color="auto"/>
              <w:right w:val="single" w:sz="4" w:space="0" w:color="auto"/>
            </w:tcBorders>
            <w:shd w:val="clear" w:color="auto" w:fill="auto"/>
            <w:noWrap/>
            <w:vAlign w:val="center"/>
            <w:hideMark/>
          </w:tcPr>
          <w:p w14:paraId="6EDC350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10EC3D2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0.27</w:t>
            </w:r>
          </w:p>
        </w:tc>
        <w:tc>
          <w:tcPr>
            <w:tcW w:w="332" w:type="dxa"/>
            <w:tcBorders>
              <w:top w:val="nil"/>
              <w:left w:val="nil"/>
              <w:bottom w:val="single" w:sz="4" w:space="0" w:color="auto"/>
              <w:right w:val="single" w:sz="4" w:space="0" w:color="auto"/>
            </w:tcBorders>
            <w:shd w:val="clear" w:color="auto" w:fill="auto"/>
            <w:noWrap/>
            <w:vAlign w:val="center"/>
            <w:hideMark/>
          </w:tcPr>
          <w:p w14:paraId="51F26D0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5C4CEB3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0DE9C3F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5C0F28F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0.43</w:t>
            </w:r>
          </w:p>
        </w:tc>
        <w:tc>
          <w:tcPr>
            <w:tcW w:w="353" w:type="dxa"/>
            <w:tcBorders>
              <w:top w:val="nil"/>
              <w:left w:val="nil"/>
              <w:bottom w:val="single" w:sz="4" w:space="0" w:color="auto"/>
              <w:right w:val="single" w:sz="4" w:space="0" w:color="auto"/>
            </w:tcBorders>
            <w:shd w:val="clear" w:color="auto" w:fill="auto"/>
            <w:noWrap/>
            <w:vAlign w:val="center"/>
            <w:hideMark/>
          </w:tcPr>
          <w:p w14:paraId="4CA3E7A5"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6FA833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1.13</w:t>
            </w:r>
          </w:p>
        </w:tc>
        <w:tc>
          <w:tcPr>
            <w:tcW w:w="353" w:type="dxa"/>
            <w:tcBorders>
              <w:top w:val="nil"/>
              <w:left w:val="nil"/>
              <w:bottom w:val="single" w:sz="4" w:space="0" w:color="auto"/>
              <w:right w:val="single" w:sz="4" w:space="0" w:color="auto"/>
            </w:tcBorders>
            <w:shd w:val="clear" w:color="auto" w:fill="auto"/>
            <w:noWrap/>
            <w:vAlign w:val="center"/>
            <w:hideMark/>
          </w:tcPr>
          <w:p w14:paraId="138828B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98E277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0.17</w:t>
            </w:r>
          </w:p>
        </w:tc>
        <w:tc>
          <w:tcPr>
            <w:tcW w:w="353" w:type="dxa"/>
            <w:tcBorders>
              <w:top w:val="nil"/>
              <w:left w:val="nil"/>
              <w:bottom w:val="single" w:sz="4" w:space="0" w:color="auto"/>
              <w:right w:val="single" w:sz="4" w:space="0" w:color="auto"/>
            </w:tcBorders>
            <w:shd w:val="clear" w:color="auto" w:fill="auto"/>
            <w:noWrap/>
            <w:vAlign w:val="center"/>
            <w:hideMark/>
          </w:tcPr>
          <w:p w14:paraId="0D8C717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0.23</w:t>
            </w:r>
          </w:p>
        </w:tc>
        <w:tc>
          <w:tcPr>
            <w:tcW w:w="354" w:type="dxa"/>
            <w:tcBorders>
              <w:top w:val="nil"/>
              <w:left w:val="nil"/>
              <w:bottom w:val="single" w:sz="4" w:space="0" w:color="auto"/>
              <w:right w:val="single" w:sz="4" w:space="0" w:color="auto"/>
            </w:tcBorders>
            <w:shd w:val="clear" w:color="auto" w:fill="auto"/>
            <w:noWrap/>
            <w:vAlign w:val="center"/>
            <w:hideMark/>
          </w:tcPr>
          <w:p w14:paraId="5FE9EAC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3.33</w:t>
            </w:r>
          </w:p>
        </w:tc>
        <w:tc>
          <w:tcPr>
            <w:tcW w:w="354" w:type="dxa"/>
            <w:tcBorders>
              <w:top w:val="nil"/>
              <w:left w:val="nil"/>
              <w:bottom w:val="single" w:sz="4" w:space="0" w:color="auto"/>
              <w:right w:val="single" w:sz="4" w:space="0" w:color="auto"/>
            </w:tcBorders>
            <w:shd w:val="clear" w:color="auto" w:fill="auto"/>
            <w:noWrap/>
            <w:vAlign w:val="center"/>
            <w:hideMark/>
          </w:tcPr>
          <w:p w14:paraId="2BDF9FA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0.10</w:t>
            </w:r>
          </w:p>
        </w:tc>
        <w:tc>
          <w:tcPr>
            <w:tcW w:w="354" w:type="dxa"/>
            <w:tcBorders>
              <w:top w:val="nil"/>
              <w:left w:val="nil"/>
              <w:bottom w:val="single" w:sz="4" w:space="0" w:color="auto"/>
              <w:right w:val="single" w:sz="4" w:space="0" w:color="auto"/>
            </w:tcBorders>
            <w:shd w:val="clear" w:color="auto" w:fill="auto"/>
            <w:noWrap/>
            <w:vAlign w:val="center"/>
            <w:hideMark/>
          </w:tcPr>
          <w:p w14:paraId="3CFC32E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0.10</w:t>
            </w:r>
          </w:p>
        </w:tc>
        <w:tc>
          <w:tcPr>
            <w:tcW w:w="354" w:type="dxa"/>
            <w:tcBorders>
              <w:top w:val="nil"/>
              <w:left w:val="nil"/>
              <w:bottom w:val="single" w:sz="4" w:space="0" w:color="auto"/>
              <w:right w:val="single" w:sz="4" w:space="0" w:color="auto"/>
            </w:tcBorders>
            <w:shd w:val="clear" w:color="auto" w:fill="auto"/>
            <w:noWrap/>
            <w:vAlign w:val="center"/>
            <w:hideMark/>
          </w:tcPr>
          <w:p w14:paraId="3239264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57E364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1.23</w:t>
            </w:r>
          </w:p>
        </w:tc>
        <w:tc>
          <w:tcPr>
            <w:tcW w:w="354" w:type="dxa"/>
            <w:tcBorders>
              <w:top w:val="nil"/>
              <w:left w:val="nil"/>
              <w:bottom w:val="single" w:sz="4" w:space="0" w:color="auto"/>
              <w:right w:val="single" w:sz="4" w:space="0" w:color="auto"/>
            </w:tcBorders>
            <w:shd w:val="clear" w:color="auto" w:fill="auto"/>
            <w:noWrap/>
            <w:vAlign w:val="center"/>
            <w:hideMark/>
          </w:tcPr>
          <w:p w14:paraId="65F51C6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0.33</w:t>
            </w:r>
          </w:p>
        </w:tc>
        <w:tc>
          <w:tcPr>
            <w:tcW w:w="354" w:type="dxa"/>
            <w:tcBorders>
              <w:top w:val="nil"/>
              <w:left w:val="nil"/>
              <w:bottom w:val="single" w:sz="4" w:space="0" w:color="auto"/>
              <w:right w:val="single" w:sz="4" w:space="0" w:color="auto"/>
            </w:tcBorders>
            <w:shd w:val="clear" w:color="auto" w:fill="auto"/>
            <w:noWrap/>
            <w:vAlign w:val="center"/>
            <w:hideMark/>
          </w:tcPr>
          <w:p w14:paraId="074EA63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0.67</w:t>
            </w:r>
          </w:p>
        </w:tc>
        <w:tc>
          <w:tcPr>
            <w:tcW w:w="354" w:type="dxa"/>
            <w:tcBorders>
              <w:top w:val="nil"/>
              <w:left w:val="nil"/>
              <w:bottom w:val="single" w:sz="4" w:space="0" w:color="auto"/>
              <w:right w:val="single" w:sz="4" w:space="0" w:color="auto"/>
            </w:tcBorders>
            <w:shd w:val="clear" w:color="auto" w:fill="auto"/>
            <w:noWrap/>
            <w:vAlign w:val="center"/>
            <w:hideMark/>
          </w:tcPr>
          <w:p w14:paraId="6F4BFBF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10E77C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4" w:type="dxa"/>
            <w:tcBorders>
              <w:top w:val="nil"/>
              <w:left w:val="nil"/>
              <w:bottom w:val="single" w:sz="4" w:space="0" w:color="auto"/>
              <w:right w:val="single" w:sz="4" w:space="0" w:color="auto"/>
            </w:tcBorders>
            <w:shd w:val="clear" w:color="auto" w:fill="auto"/>
            <w:noWrap/>
            <w:vAlign w:val="center"/>
            <w:hideMark/>
          </w:tcPr>
          <w:p w14:paraId="331675C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1.17</w:t>
            </w:r>
          </w:p>
        </w:tc>
        <w:tc>
          <w:tcPr>
            <w:tcW w:w="354" w:type="dxa"/>
            <w:tcBorders>
              <w:top w:val="nil"/>
              <w:left w:val="nil"/>
              <w:bottom w:val="single" w:sz="4" w:space="0" w:color="auto"/>
              <w:right w:val="single" w:sz="4" w:space="0" w:color="auto"/>
            </w:tcBorders>
            <w:shd w:val="clear" w:color="auto" w:fill="auto"/>
            <w:noWrap/>
            <w:vAlign w:val="center"/>
            <w:hideMark/>
          </w:tcPr>
          <w:p w14:paraId="7FB1DEC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65BCB06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0.10</w:t>
            </w:r>
          </w:p>
        </w:tc>
        <w:tc>
          <w:tcPr>
            <w:tcW w:w="354" w:type="dxa"/>
            <w:tcBorders>
              <w:top w:val="nil"/>
              <w:left w:val="nil"/>
              <w:bottom w:val="single" w:sz="4" w:space="0" w:color="auto"/>
              <w:right w:val="single" w:sz="4" w:space="0" w:color="auto"/>
            </w:tcBorders>
            <w:shd w:val="clear" w:color="auto" w:fill="auto"/>
            <w:noWrap/>
            <w:vAlign w:val="center"/>
            <w:hideMark/>
          </w:tcPr>
          <w:p w14:paraId="12C7D16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0.07</w:t>
            </w:r>
          </w:p>
        </w:tc>
        <w:tc>
          <w:tcPr>
            <w:tcW w:w="354" w:type="dxa"/>
            <w:tcBorders>
              <w:top w:val="nil"/>
              <w:left w:val="nil"/>
              <w:bottom w:val="single" w:sz="4" w:space="0" w:color="auto"/>
              <w:right w:val="single" w:sz="4" w:space="0" w:color="auto"/>
            </w:tcBorders>
            <w:shd w:val="clear" w:color="auto" w:fill="auto"/>
            <w:noWrap/>
            <w:vAlign w:val="center"/>
            <w:hideMark/>
          </w:tcPr>
          <w:p w14:paraId="16B95DE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4" w:type="dxa"/>
            <w:tcBorders>
              <w:top w:val="nil"/>
              <w:left w:val="nil"/>
              <w:bottom w:val="single" w:sz="4" w:space="0" w:color="auto"/>
              <w:right w:val="single" w:sz="4" w:space="0" w:color="auto"/>
            </w:tcBorders>
            <w:shd w:val="clear" w:color="auto" w:fill="auto"/>
            <w:noWrap/>
            <w:vAlign w:val="center"/>
            <w:hideMark/>
          </w:tcPr>
          <w:p w14:paraId="6053EF3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0.10</w:t>
            </w:r>
          </w:p>
        </w:tc>
        <w:tc>
          <w:tcPr>
            <w:tcW w:w="354" w:type="dxa"/>
            <w:tcBorders>
              <w:top w:val="nil"/>
              <w:left w:val="nil"/>
              <w:bottom w:val="single" w:sz="4" w:space="0" w:color="auto"/>
              <w:right w:val="single" w:sz="4" w:space="0" w:color="auto"/>
            </w:tcBorders>
            <w:shd w:val="clear" w:color="auto" w:fill="auto"/>
            <w:noWrap/>
            <w:vAlign w:val="center"/>
            <w:hideMark/>
          </w:tcPr>
          <w:p w14:paraId="0F0DB0D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0.07</w:t>
            </w:r>
          </w:p>
        </w:tc>
        <w:tc>
          <w:tcPr>
            <w:tcW w:w="354" w:type="dxa"/>
            <w:tcBorders>
              <w:top w:val="nil"/>
              <w:left w:val="nil"/>
              <w:bottom w:val="single" w:sz="4" w:space="0" w:color="auto"/>
              <w:right w:val="single" w:sz="4" w:space="0" w:color="auto"/>
            </w:tcBorders>
            <w:shd w:val="clear" w:color="auto" w:fill="auto"/>
            <w:noWrap/>
            <w:vAlign w:val="center"/>
            <w:hideMark/>
          </w:tcPr>
          <w:p w14:paraId="1B46962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18.73</w:t>
            </w:r>
          </w:p>
        </w:tc>
        <w:tc>
          <w:tcPr>
            <w:tcW w:w="354" w:type="dxa"/>
            <w:tcBorders>
              <w:top w:val="nil"/>
              <w:left w:val="nil"/>
              <w:bottom w:val="single" w:sz="4" w:space="0" w:color="auto"/>
              <w:right w:val="single" w:sz="4" w:space="0" w:color="auto"/>
            </w:tcBorders>
            <w:shd w:val="clear" w:color="auto" w:fill="auto"/>
            <w:noWrap/>
            <w:vAlign w:val="center"/>
            <w:hideMark/>
          </w:tcPr>
          <w:p w14:paraId="7DFB32C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0.17</w:t>
            </w:r>
          </w:p>
        </w:tc>
        <w:tc>
          <w:tcPr>
            <w:tcW w:w="354" w:type="dxa"/>
            <w:tcBorders>
              <w:top w:val="nil"/>
              <w:left w:val="nil"/>
              <w:bottom w:val="single" w:sz="4" w:space="0" w:color="auto"/>
              <w:right w:val="single" w:sz="4" w:space="0" w:color="auto"/>
            </w:tcBorders>
            <w:shd w:val="clear" w:color="auto" w:fill="auto"/>
            <w:noWrap/>
            <w:vAlign w:val="center"/>
            <w:hideMark/>
          </w:tcPr>
          <w:p w14:paraId="28D7E99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0.10</w:t>
            </w:r>
          </w:p>
        </w:tc>
        <w:tc>
          <w:tcPr>
            <w:tcW w:w="354" w:type="dxa"/>
            <w:tcBorders>
              <w:top w:val="nil"/>
              <w:left w:val="nil"/>
              <w:bottom w:val="single" w:sz="4" w:space="0" w:color="auto"/>
              <w:right w:val="single" w:sz="4" w:space="0" w:color="auto"/>
            </w:tcBorders>
            <w:shd w:val="clear" w:color="auto" w:fill="auto"/>
            <w:noWrap/>
            <w:vAlign w:val="center"/>
            <w:hideMark/>
          </w:tcPr>
          <w:p w14:paraId="7E2A067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4" w:type="dxa"/>
            <w:tcBorders>
              <w:top w:val="nil"/>
              <w:left w:val="nil"/>
              <w:bottom w:val="single" w:sz="4" w:space="0" w:color="auto"/>
              <w:right w:val="single" w:sz="4" w:space="0" w:color="auto"/>
            </w:tcBorders>
            <w:shd w:val="clear" w:color="auto" w:fill="auto"/>
            <w:noWrap/>
            <w:vAlign w:val="center"/>
            <w:hideMark/>
          </w:tcPr>
          <w:p w14:paraId="2D47330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0.07</w:t>
            </w:r>
          </w:p>
        </w:tc>
        <w:tc>
          <w:tcPr>
            <w:tcW w:w="354" w:type="dxa"/>
            <w:tcBorders>
              <w:top w:val="nil"/>
              <w:left w:val="nil"/>
              <w:bottom w:val="single" w:sz="4" w:space="0" w:color="auto"/>
              <w:right w:val="single" w:sz="4" w:space="0" w:color="auto"/>
            </w:tcBorders>
            <w:shd w:val="clear" w:color="auto" w:fill="auto"/>
            <w:noWrap/>
            <w:vAlign w:val="center"/>
            <w:hideMark/>
          </w:tcPr>
          <w:p w14:paraId="1F7CD90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1.27</w:t>
            </w:r>
          </w:p>
        </w:tc>
      </w:tr>
      <w:tr w:rsidR="005B15EC" w:rsidRPr="005B15EC" w14:paraId="651F70EE" w14:textId="77777777" w:rsidTr="00DA2628">
        <w:trPr>
          <w:trHeight w:hRule="exact" w:val="397"/>
        </w:trPr>
        <w:tc>
          <w:tcPr>
            <w:tcW w:w="389"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4693C94E"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Johnstone</w:t>
            </w:r>
          </w:p>
        </w:tc>
        <w:tc>
          <w:tcPr>
            <w:tcW w:w="875" w:type="dxa"/>
            <w:tcBorders>
              <w:top w:val="nil"/>
              <w:left w:val="nil"/>
              <w:bottom w:val="single" w:sz="4" w:space="0" w:color="auto"/>
              <w:right w:val="single" w:sz="4" w:space="0" w:color="auto"/>
            </w:tcBorders>
            <w:shd w:val="clear" w:color="auto" w:fill="auto"/>
            <w:noWrap/>
            <w:vAlign w:val="center"/>
            <w:hideMark/>
          </w:tcPr>
          <w:p w14:paraId="2E9E9D0A"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Green</w:t>
            </w:r>
          </w:p>
        </w:tc>
        <w:tc>
          <w:tcPr>
            <w:tcW w:w="313" w:type="dxa"/>
            <w:tcBorders>
              <w:top w:val="nil"/>
              <w:left w:val="nil"/>
              <w:bottom w:val="single" w:sz="4" w:space="0" w:color="auto"/>
              <w:right w:val="single" w:sz="4" w:space="0" w:color="auto"/>
            </w:tcBorders>
            <w:shd w:val="clear" w:color="auto" w:fill="auto"/>
            <w:noWrap/>
            <w:vAlign w:val="center"/>
            <w:hideMark/>
          </w:tcPr>
          <w:p w14:paraId="15FB4B1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47CB5F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0.67</w:t>
            </w:r>
          </w:p>
        </w:tc>
        <w:tc>
          <w:tcPr>
            <w:tcW w:w="332" w:type="dxa"/>
            <w:tcBorders>
              <w:top w:val="nil"/>
              <w:left w:val="nil"/>
              <w:bottom w:val="single" w:sz="4" w:space="0" w:color="auto"/>
              <w:right w:val="single" w:sz="4" w:space="0" w:color="auto"/>
            </w:tcBorders>
            <w:shd w:val="clear" w:color="auto" w:fill="auto"/>
            <w:noWrap/>
            <w:vAlign w:val="center"/>
            <w:hideMark/>
          </w:tcPr>
          <w:p w14:paraId="1F5E24F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79BDF0B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6C7E75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E03704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24F7A5BE"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B9E4237"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15F09C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0.27</w:t>
            </w:r>
          </w:p>
        </w:tc>
        <w:tc>
          <w:tcPr>
            <w:tcW w:w="353" w:type="dxa"/>
            <w:tcBorders>
              <w:top w:val="nil"/>
              <w:left w:val="nil"/>
              <w:bottom w:val="single" w:sz="4" w:space="0" w:color="auto"/>
              <w:right w:val="single" w:sz="4" w:space="0" w:color="auto"/>
            </w:tcBorders>
            <w:shd w:val="clear" w:color="auto" w:fill="auto"/>
            <w:noWrap/>
            <w:vAlign w:val="center"/>
            <w:hideMark/>
          </w:tcPr>
          <w:p w14:paraId="0607E4C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77E1527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A251F0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0.07</w:t>
            </w:r>
          </w:p>
        </w:tc>
        <w:tc>
          <w:tcPr>
            <w:tcW w:w="354" w:type="dxa"/>
            <w:tcBorders>
              <w:top w:val="nil"/>
              <w:left w:val="nil"/>
              <w:bottom w:val="single" w:sz="4" w:space="0" w:color="auto"/>
              <w:right w:val="single" w:sz="4" w:space="0" w:color="auto"/>
            </w:tcBorders>
            <w:shd w:val="clear" w:color="auto" w:fill="auto"/>
            <w:noWrap/>
            <w:vAlign w:val="center"/>
            <w:hideMark/>
          </w:tcPr>
          <w:p w14:paraId="1D2354B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0.10</w:t>
            </w:r>
          </w:p>
        </w:tc>
        <w:tc>
          <w:tcPr>
            <w:tcW w:w="354" w:type="dxa"/>
            <w:tcBorders>
              <w:top w:val="nil"/>
              <w:left w:val="nil"/>
              <w:bottom w:val="single" w:sz="4" w:space="0" w:color="auto"/>
              <w:right w:val="single" w:sz="4" w:space="0" w:color="auto"/>
            </w:tcBorders>
            <w:shd w:val="clear" w:color="auto" w:fill="auto"/>
            <w:noWrap/>
            <w:vAlign w:val="center"/>
            <w:hideMark/>
          </w:tcPr>
          <w:p w14:paraId="6F76954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0.10</w:t>
            </w:r>
          </w:p>
        </w:tc>
        <w:tc>
          <w:tcPr>
            <w:tcW w:w="354" w:type="dxa"/>
            <w:tcBorders>
              <w:top w:val="nil"/>
              <w:left w:val="nil"/>
              <w:bottom w:val="single" w:sz="4" w:space="0" w:color="auto"/>
              <w:right w:val="single" w:sz="4" w:space="0" w:color="auto"/>
            </w:tcBorders>
            <w:shd w:val="clear" w:color="auto" w:fill="auto"/>
            <w:noWrap/>
            <w:vAlign w:val="center"/>
            <w:hideMark/>
          </w:tcPr>
          <w:p w14:paraId="334A7F1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BFB7B2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0.30</w:t>
            </w:r>
          </w:p>
        </w:tc>
        <w:tc>
          <w:tcPr>
            <w:tcW w:w="354" w:type="dxa"/>
            <w:tcBorders>
              <w:top w:val="nil"/>
              <w:left w:val="nil"/>
              <w:bottom w:val="single" w:sz="4" w:space="0" w:color="auto"/>
              <w:right w:val="single" w:sz="4" w:space="0" w:color="auto"/>
            </w:tcBorders>
            <w:shd w:val="clear" w:color="auto" w:fill="auto"/>
            <w:noWrap/>
            <w:vAlign w:val="center"/>
            <w:hideMark/>
          </w:tcPr>
          <w:p w14:paraId="09AFD45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4" w:type="dxa"/>
            <w:tcBorders>
              <w:top w:val="nil"/>
              <w:left w:val="nil"/>
              <w:bottom w:val="single" w:sz="4" w:space="0" w:color="auto"/>
              <w:right w:val="single" w:sz="4" w:space="0" w:color="auto"/>
            </w:tcBorders>
            <w:shd w:val="clear" w:color="auto" w:fill="auto"/>
            <w:noWrap/>
            <w:vAlign w:val="center"/>
            <w:hideMark/>
          </w:tcPr>
          <w:p w14:paraId="3972EE2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0.23</w:t>
            </w:r>
          </w:p>
        </w:tc>
        <w:tc>
          <w:tcPr>
            <w:tcW w:w="354" w:type="dxa"/>
            <w:tcBorders>
              <w:top w:val="nil"/>
              <w:left w:val="nil"/>
              <w:bottom w:val="single" w:sz="4" w:space="0" w:color="auto"/>
              <w:right w:val="single" w:sz="4" w:space="0" w:color="auto"/>
            </w:tcBorders>
            <w:shd w:val="clear" w:color="auto" w:fill="auto"/>
            <w:noWrap/>
            <w:vAlign w:val="center"/>
            <w:hideMark/>
          </w:tcPr>
          <w:p w14:paraId="0926CCA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086A40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85037B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0.10</w:t>
            </w:r>
          </w:p>
        </w:tc>
        <w:tc>
          <w:tcPr>
            <w:tcW w:w="354" w:type="dxa"/>
            <w:tcBorders>
              <w:top w:val="nil"/>
              <w:left w:val="nil"/>
              <w:bottom w:val="single" w:sz="4" w:space="0" w:color="auto"/>
              <w:right w:val="single" w:sz="4" w:space="0" w:color="auto"/>
            </w:tcBorders>
            <w:shd w:val="clear" w:color="auto" w:fill="auto"/>
            <w:noWrap/>
            <w:vAlign w:val="center"/>
            <w:hideMark/>
          </w:tcPr>
          <w:p w14:paraId="7876AC7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BC33F8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C68DFE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0.07</w:t>
            </w:r>
          </w:p>
        </w:tc>
        <w:tc>
          <w:tcPr>
            <w:tcW w:w="354" w:type="dxa"/>
            <w:tcBorders>
              <w:top w:val="nil"/>
              <w:left w:val="nil"/>
              <w:bottom w:val="single" w:sz="4" w:space="0" w:color="auto"/>
              <w:right w:val="single" w:sz="4" w:space="0" w:color="auto"/>
            </w:tcBorders>
            <w:shd w:val="clear" w:color="auto" w:fill="auto"/>
            <w:noWrap/>
            <w:vAlign w:val="center"/>
            <w:hideMark/>
          </w:tcPr>
          <w:p w14:paraId="2E62943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6DD8A2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C0ACC0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541B65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6.27</w:t>
            </w:r>
          </w:p>
        </w:tc>
        <w:tc>
          <w:tcPr>
            <w:tcW w:w="354" w:type="dxa"/>
            <w:tcBorders>
              <w:top w:val="nil"/>
              <w:left w:val="nil"/>
              <w:bottom w:val="single" w:sz="4" w:space="0" w:color="auto"/>
              <w:right w:val="single" w:sz="4" w:space="0" w:color="auto"/>
            </w:tcBorders>
            <w:shd w:val="clear" w:color="auto" w:fill="auto"/>
            <w:noWrap/>
            <w:vAlign w:val="center"/>
            <w:hideMark/>
          </w:tcPr>
          <w:p w14:paraId="54FC9E8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4" w:type="dxa"/>
            <w:tcBorders>
              <w:top w:val="nil"/>
              <w:left w:val="nil"/>
              <w:bottom w:val="single" w:sz="4" w:space="0" w:color="auto"/>
              <w:right w:val="single" w:sz="4" w:space="0" w:color="auto"/>
            </w:tcBorders>
            <w:shd w:val="clear" w:color="auto" w:fill="auto"/>
            <w:noWrap/>
            <w:vAlign w:val="center"/>
            <w:hideMark/>
          </w:tcPr>
          <w:p w14:paraId="7A5AEEC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D87D9B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FB7C74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4" w:type="dxa"/>
            <w:tcBorders>
              <w:top w:val="nil"/>
              <w:left w:val="nil"/>
              <w:bottom w:val="single" w:sz="4" w:space="0" w:color="auto"/>
              <w:right w:val="single" w:sz="4" w:space="0" w:color="auto"/>
            </w:tcBorders>
            <w:shd w:val="clear" w:color="auto" w:fill="auto"/>
            <w:noWrap/>
            <w:vAlign w:val="center"/>
            <w:hideMark/>
          </w:tcPr>
          <w:p w14:paraId="3863BB9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0.40</w:t>
            </w:r>
          </w:p>
        </w:tc>
      </w:tr>
      <w:tr w:rsidR="005B15EC" w:rsidRPr="005B15EC" w14:paraId="1531F03C"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023C50B4" w14:textId="77777777" w:rsidR="005B15EC" w:rsidRPr="005B15EC" w:rsidRDefault="005B15EC" w:rsidP="005B15EC">
            <w:pPr>
              <w:spacing w:after="0"/>
              <w:jc w:val="left"/>
              <w:rPr>
                <w:rFonts w:ascii="Arial Narrow" w:hAnsi="Arial Narrow"/>
                <w:sz w:val="18"/>
                <w:szCs w:val="18"/>
                <w:lang w:val="en-AU" w:eastAsia="en-AU"/>
              </w:rPr>
            </w:pPr>
          </w:p>
        </w:tc>
        <w:tc>
          <w:tcPr>
            <w:tcW w:w="875" w:type="dxa"/>
            <w:tcBorders>
              <w:top w:val="nil"/>
              <w:left w:val="nil"/>
              <w:bottom w:val="single" w:sz="4" w:space="0" w:color="auto"/>
              <w:right w:val="single" w:sz="4" w:space="0" w:color="auto"/>
            </w:tcBorders>
            <w:shd w:val="clear" w:color="auto" w:fill="auto"/>
            <w:noWrap/>
            <w:vAlign w:val="center"/>
            <w:hideMark/>
          </w:tcPr>
          <w:p w14:paraId="5EF0AEA1"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Fitzroy West LTMP</w:t>
            </w:r>
          </w:p>
        </w:tc>
        <w:tc>
          <w:tcPr>
            <w:tcW w:w="313" w:type="dxa"/>
            <w:tcBorders>
              <w:top w:val="nil"/>
              <w:left w:val="nil"/>
              <w:bottom w:val="single" w:sz="4" w:space="0" w:color="auto"/>
              <w:right w:val="single" w:sz="4" w:space="0" w:color="auto"/>
            </w:tcBorders>
            <w:shd w:val="clear" w:color="auto" w:fill="auto"/>
            <w:noWrap/>
            <w:vAlign w:val="center"/>
            <w:hideMark/>
          </w:tcPr>
          <w:p w14:paraId="52683AE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03A83CF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0.43</w:t>
            </w:r>
          </w:p>
        </w:tc>
        <w:tc>
          <w:tcPr>
            <w:tcW w:w="332" w:type="dxa"/>
            <w:tcBorders>
              <w:top w:val="nil"/>
              <w:left w:val="nil"/>
              <w:bottom w:val="single" w:sz="4" w:space="0" w:color="auto"/>
              <w:right w:val="single" w:sz="4" w:space="0" w:color="auto"/>
            </w:tcBorders>
            <w:shd w:val="clear" w:color="auto" w:fill="auto"/>
            <w:noWrap/>
            <w:vAlign w:val="center"/>
            <w:hideMark/>
          </w:tcPr>
          <w:p w14:paraId="68374DB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2CACF644"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2705C8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B9B82DD"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7F8128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2EAD4E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0.10</w:t>
            </w:r>
          </w:p>
        </w:tc>
        <w:tc>
          <w:tcPr>
            <w:tcW w:w="353" w:type="dxa"/>
            <w:tcBorders>
              <w:top w:val="nil"/>
              <w:left w:val="nil"/>
              <w:bottom w:val="single" w:sz="4" w:space="0" w:color="auto"/>
              <w:right w:val="single" w:sz="4" w:space="0" w:color="auto"/>
            </w:tcBorders>
            <w:shd w:val="clear" w:color="auto" w:fill="auto"/>
            <w:noWrap/>
            <w:vAlign w:val="center"/>
            <w:hideMark/>
          </w:tcPr>
          <w:p w14:paraId="15F5727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0.10</w:t>
            </w:r>
          </w:p>
        </w:tc>
        <w:tc>
          <w:tcPr>
            <w:tcW w:w="353" w:type="dxa"/>
            <w:tcBorders>
              <w:top w:val="nil"/>
              <w:left w:val="nil"/>
              <w:bottom w:val="single" w:sz="4" w:space="0" w:color="auto"/>
              <w:right w:val="single" w:sz="4" w:space="0" w:color="auto"/>
            </w:tcBorders>
            <w:shd w:val="clear" w:color="auto" w:fill="auto"/>
            <w:noWrap/>
            <w:vAlign w:val="center"/>
            <w:hideMark/>
          </w:tcPr>
          <w:p w14:paraId="0433FD18"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981435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0.20</w:t>
            </w:r>
          </w:p>
        </w:tc>
        <w:tc>
          <w:tcPr>
            <w:tcW w:w="354" w:type="dxa"/>
            <w:tcBorders>
              <w:top w:val="nil"/>
              <w:left w:val="nil"/>
              <w:bottom w:val="single" w:sz="4" w:space="0" w:color="auto"/>
              <w:right w:val="single" w:sz="4" w:space="0" w:color="auto"/>
            </w:tcBorders>
            <w:shd w:val="clear" w:color="auto" w:fill="auto"/>
            <w:noWrap/>
            <w:vAlign w:val="center"/>
            <w:hideMark/>
          </w:tcPr>
          <w:p w14:paraId="4F01D86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0.53</w:t>
            </w:r>
          </w:p>
        </w:tc>
        <w:tc>
          <w:tcPr>
            <w:tcW w:w="354" w:type="dxa"/>
            <w:tcBorders>
              <w:top w:val="nil"/>
              <w:left w:val="nil"/>
              <w:bottom w:val="single" w:sz="4" w:space="0" w:color="auto"/>
              <w:right w:val="single" w:sz="4" w:space="0" w:color="auto"/>
            </w:tcBorders>
            <w:shd w:val="clear" w:color="auto" w:fill="auto"/>
            <w:noWrap/>
            <w:vAlign w:val="center"/>
            <w:hideMark/>
          </w:tcPr>
          <w:p w14:paraId="14D7687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6CF8BE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0.07</w:t>
            </w:r>
          </w:p>
        </w:tc>
        <w:tc>
          <w:tcPr>
            <w:tcW w:w="354" w:type="dxa"/>
            <w:tcBorders>
              <w:top w:val="nil"/>
              <w:left w:val="nil"/>
              <w:bottom w:val="single" w:sz="4" w:space="0" w:color="auto"/>
              <w:right w:val="single" w:sz="4" w:space="0" w:color="auto"/>
            </w:tcBorders>
            <w:shd w:val="clear" w:color="auto" w:fill="auto"/>
            <w:noWrap/>
            <w:vAlign w:val="center"/>
            <w:hideMark/>
          </w:tcPr>
          <w:p w14:paraId="0336DB4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A86519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0.73</w:t>
            </w:r>
          </w:p>
        </w:tc>
        <w:tc>
          <w:tcPr>
            <w:tcW w:w="354" w:type="dxa"/>
            <w:tcBorders>
              <w:top w:val="nil"/>
              <w:left w:val="nil"/>
              <w:bottom w:val="single" w:sz="4" w:space="0" w:color="auto"/>
              <w:right w:val="single" w:sz="4" w:space="0" w:color="auto"/>
            </w:tcBorders>
            <w:shd w:val="clear" w:color="auto" w:fill="auto"/>
            <w:noWrap/>
            <w:vAlign w:val="center"/>
            <w:hideMark/>
          </w:tcPr>
          <w:p w14:paraId="3DF5B75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0.10</w:t>
            </w:r>
          </w:p>
        </w:tc>
        <w:tc>
          <w:tcPr>
            <w:tcW w:w="354" w:type="dxa"/>
            <w:tcBorders>
              <w:top w:val="nil"/>
              <w:left w:val="nil"/>
              <w:bottom w:val="single" w:sz="4" w:space="0" w:color="auto"/>
              <w:right w:val="single" w:sz="4" w:space="0" w:color="auto"/>
            </w:tcBorders>
            <w:shd w:val="clear" w:color="auto" w:fill="auto"/>
            <w:noWrap/>
            <w:vAlign w:val="center"/>
            <w:hideMark/>
          </w:tcPr>
          <w:p w14:paraId="1686B9F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1.33</w:t>
            </w:r>
          </w:p>
        </w:tc>
        <w:tc>
          <w:tcPr>
            <w:tcW w:w="354" w:type="dxa"/>
            <w:tcBorders>
              <w:top w:val="nil"/>
              <w:left w:val="nil"/>
              <w:bottom w:val="single" w:sz="4" w:space="0" w:color="auto"/>
              <w:right w:val="single" w:sz="4" w:space="0" w:color="auto"/>
            </w:tcBorders>
            <w:shd w:val="clear" w:color="auto" w:fill="auto"/>
            <w:noWrap/>
            <w:vAlign w:val="center"/>
            <w:hideMark/>
          </w:tcPr>
          <w:p w14:paraId="499988F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2227F06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0.17</w:t>
            </w:r>
          </w:p>
        </w:tc>
        <w:tc>
          <w:tcPr>
            <w:tcW w:w="354" w:type="dxa"/>
            <w:tcBorders>
              <w:top w:val="nil"/>
              <w:left w:val="nil"/>
              <w:bottom w:val="single" w:sz="4" w:space="0" w:color="auto"/>
              <w:right w:val="single" w:sz="4" w:space="0" w:color="auto"/>
            </w:tcBorders>
            <w:shd w:val="clear" w:color="auto" w:fill="auto"/>
            <w:noWrap/>
            <w:vAlign w:val="center"/>
            <w:hideMark/>
          </w:tcPr>
          <w:p w14:paraId="713D76C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1.47</w:t>
            </w:r>
          </w:p>
        </w:tc>
        <w:tc>
          <w:tcPr>
            <w:tcW w:w="354" w:type="dxa"/>
            <w:tcBorders>
              <w:top w:val="nil"/>
              <w:left w:val="nil"/>
              <w:bottom w:val="single" w:sz="4" w:space="0" w:color="auto"/>
              <w:right w:val="single" w:sz="4" w:space="0" w:color="auto"/>
            </w:tcBorders>
            <w:shd w:val="clear" w:color="auto" w:fill="auto"/>
            <w:noWrap/>
            <w:vAlign w:val="center"/>
            <w:hideMark/>
          </w:tcPr>
          <w:p w14:paraId="5E01A8D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0B670E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0.17</w:t>
            </w:r>
          </w:p>
        </w:tc>
        <w:tc>
          <w:tcPr>
            <w:tcW w:w="354" w:type="dxa"/>
            <w:tcBorders>
              <w:top w:val="nil"/>
              <w:left w:val="nil"/>
              <w:bottom w:val="single" w:sz="4" w:space="0" w:color="auto"/>
              <w:right w:val="single" w:sz="4" w:space="0" w:color="auto"/>
            </w:tcBorders>
            <w:shd w:val="clear" w:color="auto" w:fill="auto"/>
            <w:noWrap/>
            <w:vAlign w:val="center"/>
            <w:hideMark/>
          </w:tcPr>
          <w:p w14:paraId="72164E5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5CC86C8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FF90F8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0.27</w:t>
            </w:r>
          </w:p>
        </w:tc>
        <w:tc>
          <w:tcPr>
            <w:tcW w:w="354" w:type="dxa"/>
            <w:tcBorders>
              <w:top w:val="nil"/>
              <w:left w:val="nil"/>
              <w:bottom w:val="single" w:sz="4" w:space="0" w:color="auto"/>
              <w:right w:val="single" w:sz="4" w:space="0" w:color="auto"/>
            </w:tcBorders>
            <w:shd w:val="clear" w:color="auto" w:fill="auto"/>
            <w:noWrap/>
            <w:vAlign w:val="center"/>
            <w:hideMark/>
          </w:tcPr>
          <w:p w14:paraId="60D476C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1DD322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9.70</w:t>
            </w:r>
          </w:p>
        </w:tc>
        <w:tc>
          <w:tcPr>
            <w:tcW w:w="354" w:type="dxa"/>
            <w:tcBorders>
              <w:top w:val="nil"/>
              <w:left w:val="nil"/>
              <w:bottom w:val="single" w:sz="4" w:space="0" w:color="auto"/>
              <w:right w:val="single" w:sz="4" w:space="0" w:color="auto"/>
            </w:tcBorders>
            <w:shd w:val="clear" w:color="auto" w:fill="auto"/>
            <w:noWrap/>
            <w:vAlign w:val="center"/>
            <w:hideMark/>
          </w:tcPr>
          <w:p w14:paraId="2DDA63D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E357FE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0.17</w:t>
            </w:r>
          </w:p>
        </w:tc>
        <w:tc>
          <w:tcPr>
            <w:tcW w:w="354" w:type="dxa"/>
            <w:tcBorders>
              <w:top w:val="nil"/>
              <w:left w:val="nil"/>
              <w:bottom w:val="single" w:sz="4" w:space="0" w:color="auto"/>
              <w:right w:val="single" w:sz="4" w:space="0" w:color="auto"/>
            </w:tcBorders>
            <w:shd w:val="clear" w:color="auto" w:fill="auto"/>
            <w:noWrap/>
            <w:vAlign w:val="center"/>
            <w:hideMark/>
          </w:tcPr>
          <w:p w14:paraId="5579B03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4" w:type="dxa"/>
            <w:tcBorders>
              <w:top w:val="nil"/>
              <w:left w:val="nil"/>
              <w:bottom w:val="single" w:sz="4" w:space="0" w:color="auto"/>
              <w:right w:val="single" w:sz="4" w:space="0" w:color="auto"/>
            </w:tcBorders>
            <w:shd w:val="clear" w:color="auto" w:fill="auto"/>
            <w:noWrap/>
            <w:vAlign w:val="center"/>
            <w:hideMark/>
          </w:tcPr>
          <w:p w14:paraId="386A174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4" w:type="dxa"/>
            <w:tcBorders>
              <w:top w:val="nil"/>
              <w:left w:val="nil"/>
              <w:bottom w:val="single" w:sz="4" w:space="0" w:color="auto"/>
              <w:right w:val="single" w:sz="4" w:space="0" w:color="auto"/>
            </w:tcBorders>
            <w:shd w:val="clear" w:color="auto" w:fill="auto"/>
            <w:noWrap/>
            <w:vAlign w:val="center"/>
            <w:hideMark/>
          </w:tcPr>
          <w:p w14:paraId="590AFA5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1.37</w:t>
            </w:r>
          </w:p>
        </w:tc>
      </w:tr>
      <w:tr w:rsidR="005B15EC" w:rsidRPr="005B15EC" w14:paraId="2915FE10"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37D9FC79"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B77D28"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Fitzroy East</w:t>
            </w:r>
          </w:p>
        </w:tc>
        <w:tc>
          <w:tcPr>
            <w:tcW w:w="313" w:type="dxa"/>
            <w:tcBorders>
              <w:top w:val="nil"/>
              <w:left w:val="nil"/>
              <w:bottom w:val="single" w:sz="4" w:space="0" w:color="auto"/>
              <w:right w:val="single" w:sz="4" w:space="0" w:color="auto"/>
            </w:tcBorders>
            <w:shd w:val="clear" w:color="auto" w:fill="auto"/>
            <w:noWrap/>
            <w:vAlign w:val="center"/>
            <w:hideMark/>
          </w:tcPr>
          <w:p w14:paraId="5A49412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7550B9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11.25</w:t>
            </w:r>
          </w:p>
        </w:tc>
        <w:tc>
          <w:tcPr>
            <w:tcW w:w="332" w:type="dxa"/>
            <w:tcBorders>
              <w:top w:val="nil"/>
              <w:left w:val="nil"/>
              <w:bottom w:val="single" w:sz="4" w:space="0" w:color="auto"/>
              <w:right w:val="single" w:sz="4" w:space="0" w:color="auto"/>
            </w:tcBorders>
            <w:shd w:val="clear" w:color="auto" w:fill="auto"/>
            <w:noWrap/>
            <w:vAlign w:val="center"/>
            <w:hideMark/>
          </w:tcPr>
          <w:p w14:paraId="24A9C5C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2015C9D9"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EED602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38E753B"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B345A2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272B46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57EA18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4607FCB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3B77645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E51C96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2A8662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4" w:type="dxa"/>
            <w:tcBorders>
              <w:top w:val="nil"/>
              <w:left w:val="nil"/>
              <w:bottom w:val="single" w:sz="4" w:space="0" w:color="auto"/>
              <w:right w:val="single" w:sz="4" w:space="0" w:color="auto"/>
            </w:tcBorders>
            <w:shd w:val="clear" w:color="auto" w:fill="auto"/>
            <w:noWrap/>
            <w:vAlign w:val="center"/>
            <w:hideMark/>
          </w:tcPr>
          <w:p w14:paraId="2164028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14C26B8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1A5175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357DBFB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42FEE0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6.94</w:t>
            </w:r>
          </w:p>
        </w:tc>
        <w:tc>
          <w:tcPr>
            <w:tcW w:w="354" w:type="dxa"/>
            <w:tcBorders>
              <w:top w:val="nil"/>
              <w:left w:val="nil"/>
              <w:bottom w:val="single" w:sz="4" w:space="0" w:color="auto"/>
              <w:right w:val="single" w:sz="4" w:space="0" w:color="auto"/>
            </w:tcBorders>
            <w:shd w:val="clear" w:color="auto" w:fill="auto"/>
            <w:noWrap/>
            <w:vAlign w:val="center"/>
            <w:hideMark/>
          </w:tcPr>
          <w:p w14:paraId="2DCA4F3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54EBDD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8D4A88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153412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41F8434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C39ABC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c>
          <w:tcPr>
            <w:tcW w:w="354" w:type="dxa"/>
            <w:tcBorders>
              <w:top w:val="nil"/>
              <w:left w:val="nil"/>
              <w:bottom w:val="single" w:sz="4" w:space="0" w:color="auto"/>
              <w:right w:val="single" w:sz="4" w:space="0" w:color="auto"/>
            </w:tcBorders>
            <w:shd w:val="clear" w:color="auto" w:fill="auto"/>
            <w:noWrap/>
            <w:vAlign w:val="center"/>
            <w:hideMark/>
          </w:tcPr>
          <w:p w14:paraId="7B80830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C2EABB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1.75</w:t>
            </w:r>
          </w:p>
        </w:tc>
        <w:tc>
          <w:tcPr>
            <w:tcW w:w="354" w:type="dxa"/>
            <w:tcBorders>
              <w:top w:val="nil"/>
              <w:left w:val="nil"/>
              <w:bottom w:val="single" w:sz="4" w:space="0" w:color="auto"/>
              <w:right w:val="single" w:sz="4" w:space="0" w:color="auto"/>
            </w:tcBorders>
            <w:shd w:val="clear" w:color="auto" w:fill="auto"/>
            <w:noWrap/>
            <w:vAlign w:val="center"/>
            <w:hideMark/>
          </w:tcPr>
          <w:p w14:paraId="757F143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736DE9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7.44</w:t>
            </w:r>
          </w:p>
        </w:tc>
        <w:tc>
          <w:tcPr>
            <w:tcW w:w="354" w:type="dxa"/>
            <w:tcBorders>
              <w:top w:val="nil"/>
              <w:left w:val="nil"/>
              <w:bottom w:val="single" w:sz="4" w:space="0" w:color="auto"/>
              <w:right w:val="single" w:sz="4" w:space="0" w:color="auto"/>
            </w:tcBorders>
            <w:shd w:val="clear" w:color="auto" w:fill="auto"/>
            <w:noWrap/>
            <w:vAlign w:val="center"/>
            <w:hideMark/>
          </w:tcPr>
          <w:p w14:paraId="7F07111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D267F7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8F4940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39DFB94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6D4498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1.25</w:t>
            </w:r>
          </w:p>
        </w:tc>
      </w:tr>
      <w:tr w:rsidR="005B15EC" w:rsidRPr="005B15EC" w14:paraId="3B5302E7"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BC077DD"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31C34123"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2AA6AC1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5725AA8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2.19</w:t>
            </w:r>
          </w:p>
        </w:tc>
        <w:tc>
          <w:tcPr>
            <w:tcW w:w="332" w:type="dxa"/>
            <w:tcBorders>
              <w:top w:val="nil"/>
              <w:left w:val="nil"/>
              <w:bottom w:val="single" w:sz="4" w:space="0" w:color="auto"/>
              <w:right w:val="single" w:sz="4" w:space="0" w:color="auto"/>
            </w:tcBorders>
            <w:shd w:val="clear" w:color="auto" w:fill="auto"/>
            <w:noWrap/>
            <w:vAlign w:val="center"/>
            <w:hideMark/>
          </w:tcPr>
          <w:p w14:paraId="5B0CD12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15C03DD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B10A92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935634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3" w:type="dxa"/>
            <w:tcBorders>
              <w:top w:val="nil"/>
              <w:left w:val="nil"/>
              <w:bottom w:val="single" w:sz="4" w:space="0" w:color="auto"/>
              <w:right w:val="single" w:sz="4" w:space="0" w:color="auto"/>
            </w:tcBorders>
            <w:shd w:val="clear" w:color="auto" w:fill="auto"/>
            <w:noWrap/>
            <w:vAlign w:val="center"/>
            <w:hideMark/>
          </w:tcPr>
          <w:p w14:paraId="302D8FA7"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EECC7B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1.94</w:t>
            </w:r>
          </w:p>
        </w:tc>
        <w:tc>
          <w:tcPr>
            <w:tcW w:w="353" w:type="dxa"/>
            <w:tcBorders>
              <w:top w:val="nil"/>
              <w:left w:val="nil"/>
              <w:bottom w:val="single" w:sz="4" w:space="0" w:color="auto"/>
              <w:right w:val="single" w:sz="4" w:space="0" w:color="auto"/>
            </w:tcBorders>
            <w:shd w:val="clear" w:color="auto" w:fill="auto"/>
            <w:noWrap/>
            <w:vAlign w:val="center"/>
            <w:hideMark/>
          </w:tcPr>
          <w:p w14:paraId="3CB7A83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c>
          <w:tcPr>
            <w:tcW w:w="353" w:type="dxa"/>
            <w:tcBorders>
              <w:top w:val="nil"/>
              <w:left w:val="nil"/>
              <w:bottom w:val="single" w:sz="4" w:space="0" w:color="auto"/>
              <w:right w:val="single" w:sz="4" w:space="0" w:color="auto"/>
            </w:tcBorders>
            <w:shd w:val="clear" w:color="auto" w:fill="auto"/>
            <w:noWrap/>
            <w:vAlign w:val="center"/>
            <w:hideMark/>
          </w:tcPr>
          <w:p w14:paraId="6CBCA71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1C63BD4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396234F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1.81</w:t>
            </w:r>
          </w:p>
        </w:tc>
        <w:tc>
          <w:tcPr>
            <w:tcW w:w="354" w:type="dxa"/>
            <w:tcBorders>
              <w:top w:val="nil"/>
              <w:left w:val="nil"/>
              <w:bottom w:val="single" w:sz="4" w:space="0" w:color="auto"/>
              <w:right w:val="single" w:sz="4" w:space="0" w:color="auto"/>
            </w:tcBorders>
            <w:shd w:val="clear" w:color="auto" w:fill="auto"/>
            <w:noWrap/>
            <w:vAlign w:val="center"/>
            <w:hideMark/>
          </w:tcPr>
          <w:p w14:paraId="079713E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49E3E19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4651E85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F4B624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1A06A76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C519B5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31C1794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65576D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7BE350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5706577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29555F8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4B3F3B0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53C7513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084234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3.81</w:t>
            </w:r>
          </w:p>
        </w:tc>
        <w:tc>
          <w:tcPr>
            <w:tcW w:w="354" w:type="dxa"/>
            <w:tcBorders>
              <w:top w:val="nil"/>
              <w:left w:val="nil"/>
              <w:bottom w:val="single" w:sz="4" w:space="0" w:color="auto"/>
              <w:right w:val="single" w:sz="4" w:space="0" w:color="auto"/>
            </w:tcBorders>
            <w:shd w:val="clear" w:color="auto" w:fill="auto"/>
            <w:noWrap/>
            <w:vAlign w:val="center"/>
            <w:hideMark/>
          </w:tcPr>
          <w:p w14:paraId="084ACC7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891B68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11.75</w:t>
            </w:r>
          </w:p>
        </w:tc>
        <w:tc>
          <w:tcPr>
            <w:tcW w:w="354" w:type="dxa"/>
            <w:tcBorders>
              <w:top w:val="nil"/>
              <w:left w:val="nil"/>
              <w:bottom w:val="single" w:sz="4" w:space="0" w:color="auto"/>
              <w:right w:val="single" w:sz="4" w:space="0" w:color="auto"/>
            </w:tcBorders>
            <w:shd w:val="clear" w:color="auto" w:fill="auto"/>
            <w:noWrap/>
            <w:vAlign w:val="center"/>
            <w:hideMark/>
          </w:tcPr>
          <w:p w14:paraId="4913808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0C378D9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A3EE68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A1F276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483884F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1.56</w:t>
            </w:r>
          </w:p>
        </w:tc>
      </w:tr>
      <w:tr w:rsidR="005B15EC" w:rsidRPr="005B15EC" w14:paraId="684F26CF"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7AA330B4"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19072F5"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Fitzroy West</w:t>
            </w:r>
          </w:p>
        </w:tc>
        <w:tc>
          <w:tcPr>
            <w:tcW w:w="313" w:type="dxa"/>
            <w:tcBorders>
              <w:top w:val="nil"/>
              <w:left w:val="nil"/>
              <w:bottom w:val="single" w:sz="4" w:space="0" w:color="auto"/>
              <w:right w:val="single" w:sz="4" w:space="0" w:color="auto"/>
            </w:tcBorders>
            <w:shd w:val="clear" w:color="auto" w:fill="auto"/>
            <w:noWrap/>
            <w:vAlign w:val="center"/>
            <w:hideMark/>
          </w:tcPr>
          <w:p w14:paraId="7D970DB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26F6618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7.50</w:t>
            </w:r>
          </w:p>
        </w:tc>
        <w:tc>
          <w:tcPr>
            <w:tcW w:w="332" w:type="dxa"/>
            <w:tcBorders>
              <w:top w:val="nil"/>
              <w:left w:val="nil"/>
              <w:bottom w:val="single" w:sz="4" w:space="0" w:color="auto"/>
              <w:right w:val="single" w:sz="4" w:space="0" w:color="auto"/>
            </w:tcBorders>
            <w:shd w:val="clear" w:color="auto" w:fill="auto"/>
            <w:noWrap/>
            <w:vAlign w:val="center"/>
            <w:hideMark/>
          </w:tcPr>
          <w:p w14:paraId="5509351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5D4594A8"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164D5C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46B4BC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1.06</w:t>
            </w:r>
          </w:p>
        </w:tc>
        <w:tc>
          <w:tcPr>
            <w:tcW w:w="353" w:type="dxa"/>
            <w:tcBorders>
              <w:top w:val="nil"/>
              <w:left w:val="nil"/>
              <w:bottom w:val="single" w:sz="4" w:space="0" w:color="auto"/>
              <w:right w:val="single" w:sz="4" w:space="0" w:color="auto"/>
            </w:tcBorders>
            <w:shd w:val="clear" w:color="auto" w:fill="auto"/>
            <w:noWrap/>
            <w:vAlign w:val="center"/>
            <w:hideMark/>
          </w:tcPr>
          <w:p w14:paraId="4347DD0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6F6278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3" w:type="dxa"/>
            <w:tcBorders>
              <w:top w:val="nil"/>
              <w:left w:val="nil"/>
              <w:bottom w:val="single" w:sz="4" w:space="0" w:color="auto"/>
              <w:right w:val="single" w:sz="4" w:space="0" w:color="auto"/>
            </w:tcBorders>
            <w:shd w:val="clear" w:color="auto" w:fill="auto"/>
            <w:noWrap/>
            <w:vAlign w:val="center"/>
            <w:hideMark/>
          </w:tcPr>
          <w:p w14:paraId="1C587BA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098BB1C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F309E9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4" w:type="dxa"/>
            <w:tcBorders>
              <w:top w:val="nil"/>
              <w:left w:val="nil"/>
              <w:bottom w:val="single" w:sz="4" w:space="0" w:color="auto"/>
              <w:right w:val="single" w:sz="4" w:space="0" w:color="auto"/>
            </w:tcBorders>
            <w:shd w:val="clear" w:color="auto" w:fill="auto"/>
            <w:noWrap/>
            <w:vAlign w:val="center"/>
            <w:hideMark/>
          </w:tcPr>
          <w:p w14:paraId="1740417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0.81</w:t>
            </w:r>
          </w:p>
        </w:tc>
        <w:tc>
          <w:tcPr>
            <w:tcW w:w="354" w:type="dxa"/>
            <w:tcBorders>
              <w:top w:val="nil"/>
              <w:left w:val="nil"/>
              <w:bottom w:val="single" w:sz="4" w:space="0" w:color="auto"/>
              <w:right w:val="single" w:sz="4" w:space="0" w:color="auto"/>
            </w:tcBorders>
            <w:shd w:val="clear" w:color="auto" w:fill="auto"/>
            <w:noWrap/>
            <w:vAlign w:val="center"/>
            <w:hideMark/>
          </w:tcPr>
          <w:p w14:paraId="171C912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3DF968F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c>
          <w:tcPr>
            <w:tcW w:w="354" w:type="dxa"/>
            <w:tcBorders>
              <w:top w:val="nil"/>
              <w:left w:val="nil"/>
              <w:bottom w:val="single" w:sz="4" w:space="0" w:color="auto"/>
              <w:right w:val="single" w:sz="4" w:space="0" w:color="auto"/>
            </w:tcBorders>
            <w:shd w:val="clear" w:color="auto" w:fill="auto"/>
            <w:noWrap/>
            <w:vAlign w:val="center"/>
            <w:hideMark/>
          </w:tcPr>
          <w:p w14:paraId="243CF03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0D7A2E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c>
          <w:tcPr>
            <w:tcW w:w="354" w:type="dxa"/>
            <w:tcBorders>
              <w:top w:val="nil"/>
              <w:left w:val="nil"/>
              <w:bottom w:val="single" w:sz="4" w:space="0" w:color="auto"/>
              <w:right w:val="single" w:sz="4" w:space="0" w:color="auto"/>
            </w:tcBorders>
            <w:shd w:val="clear" w:color="auto" w:fill="auto"/>
            <w:noWrap/>
            <w:vAlign w:val="center"/>
            <w:hideMark/>
          </w:tcPr>
          <w:p w14:paraId="7B91519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10F4916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2.56</w:t>
            </w:r>
          </w:p>
        </w:tc>
        <w:tc>
          <w:tcPr>
            <w:tcW w:w="354" w:type="dxa"/>
            <w:tcBorders>
              <w:top w:val="nil"/>
              <w:left w:val="nil"/>
              <w:bottom w:val="single" w:sz="4" w:space="0" w:color="auto"/>
              <w:right w:val="single" w:sz="4" w:space="0" w:color="auto"/>
            </w:tcBorders>
            <w:shd w:val="clear" w:color="auto" w:fill="auto"/>
            <w:noWrap/>
            <w:vAlign w:val="center"/>
            <w:hideMark/>
          </w:tcPr>
          <w:p w14:paraId="117B246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C30C3F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35DB6D5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DFE97C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B1223E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1F7667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7B2313F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BC2973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1.00</w:t>
            </w:r>
          </w:p>
        </w:tc>
        <w:tc>
          <w:tcPr>
            <w:tcW w:w="354" w:type="dxa"/>
            <w:tcBorders>
              <w:top w:val="nil"/>
              <w:left w:val="nil"/>
              <w:bottom w:val="single" w:sz="4" w:space="0" w:color="auto"/>
              <w:right w:val="single" w:sz="4" w:space="0" w:color="auto"/>
            </w:tcBorders>
            <w:shd w:val="clear" w:color="auto" w:fill="auto"/>
            <w:noWrap/>
            <w:vAlign w:val="center"/>
            <w:hideMark/>
          </w:tcPr>
          <w:p w14:paraId="432F1B5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13827E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6.31</w:t>
            </w:r>
          </w:p>
        </w:tc>
        <w:tc>
          <w:tcPr>
            <w:tcW w:w="354" w:type="dxa"/>
            <w:tcBorders>
              <w:top w:val="nil"/>
              <w:left w:val="nil"/>
              <w:bottom w:val="single" w:sz="4" w:space="0" w:color="auto"/>
              <w:right w:val="single" w:sz="4" w:space="0" w:color="auto"/>
            </w:tcBorders>
            <w:shd w:val="clear" w:color="auto" w:fill="auto"/>
            <w:noWrap/>
            <w:vAlign w:val="center"/>
            <w:hideMark/>
          </w:tcPr>
          <w:p w14:paraId="625FA03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0992028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1788C6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8AE1EB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5ADCEBC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r>
      <w:tr w:rsidR="005B15EC" w:rsidRPr="005B15EC" w14:paraId="76743037"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3F90BF65"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2F0B6A9F"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640622F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5A772E7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0.81</w:t>
            </w:r>
          </w:p>
        </w:tc>
        <w:tc>
          <w:tcPr>
            <w:tcW w:w="332" w:type="dxa"/>
            <w:tcBorders>
              <w:top w:val="nil"/>
              <w:left w:val="nil"/>
              <w:bottom w:val="single" w:sz="4" w:space="0" w:color="auto"/>
              <w:right w:val="single" w:sz="4" w:space="0" w:color="auto"/>
            </w:tcBorders>
            <w:shd w:val="clear" w:color="auto" w:fill="auto"/>
            <w:noWrap/>
            <w:vAlign w:val="center"/>
            <w:hideMark/>
          </w:tcPr>
          <w:p w14:paraId="293EB74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6609875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1699F411"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B34F36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0.94</w:t>
            </w:r>
          </w:p>
        </w:tc>
        <w:tc>
          <w:tcPr>
            <w:tcW w:w="353" w:type="dxa"/>
            <w:tcBorders>
              <w:top w:val="nil"/>
              <w:left w:val="nil"/>
              <w:bottom w:val="single" w:sz="4" w:space="0" w:color="auto"/>
              <w:right w:val="single" w:sz="4" w:space="0" w:color="auto"/>
            </w:tcBorders>
            <w:shd w:val="clear" w:color="auto" w:fill="auto"/>
            <w:noWrap/>
            <w:vAlign w:val="center"/>
            <w:hideMark/>
          </w:tcPr>
          <w:p w14:paraId="2969F42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0C9730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2B4EF07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0E6B068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3AE63CF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2DBD93F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0.69</w:t>
            </w:r>
          </w:p>
        </w:tc>
        <w:tc>
          <w:tcPr>
            <w:tcW w:w="354" w:type="dxa"/>
            <w:tcBorders>
              <w:top w:val="nil"/>
              <w:left w:val="nil"/>
              <w:bottom w:val="single" w:sz="4" w:space="0" w:color="auto"/>
              <w:right w:val="single" w:sz="4" w:space="0" w:color="auto"/>
            </w:tcBorders>
            <w:shd w:val="clear" w:color="auto" w:fill="auto"/>
            <w:noWrap/>
            <w:vAlign w:val="center"/>
            <w:hideMark/>
          </w:tcPr>
          <w:p w14:paraId="5CE33CF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14A65A0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4" w:type="dxa"/>
            <w:tcBorders>
              <w:top w:val="nil"/>
              <w:left w:val="nil"/>
              <w:bottom w:val="single" w:sz="4" w:space="0" w:color="auto"/>
              <w:right w:val="single" w:sz="4" w:space="0" w:color="auto"/>
            </w:tcBorders>
            <w:shd w:val="clear" w:color="auto" w:fill="auto"/>
            <w:noWrap/>
            <w:vAlign w:val="center"/>
            <w:hideMark/>
          </w:tcPr>
          <w:p w14:paraId="4CD7610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DB3329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1.13</w:t>
            </w:r>
          </w:p>
        </w:tc>
        <w:tc>
          <w:tcPr>
            <w:tcW w:w="354" w:type="dxa"/>
            <w:tcBorders>
              <w:top w:val="nil"/>
              <w:left w:val="nil"/>
              <w:bottom w:val="single" w:sz="4" w:space="0" w:color="auto"/>
              <w:right w:val="single" w:sz="4" w:space="0" w:color="auto"/>
            </w:tcBorders>
            <w:shd w:val="clear" w:color="auto" w:fill="auto"/>
            <w:noWrap/>
            <w:vAlign w:val="center"/>
            <w:hideMark/>
          </w:tcPr>
          <w:p w14:paraId="5EA9E41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36A10B2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1.25</w:t>
            </w:r>
          </w:p>
        </w:tc>
        <w:tc>
          <w:tcPr>
            <w:tcW w:w="354" w:type="dxa"/>
            <w:tcBorders>
              <w:top w:val="nil"/>
              <w:left w:val="nil"/>
              <w:bottom w:val="single" w:sz="4" w:space="0" w:color="auto"/>
              <w:right w:val="single" w:sz="4" w:space="0" w:color="auto"/>
            </w:tcBorders>
            <w:shd w:val="clear" w:color="auto" w:fill="auto"/>
            <w:noWrap/>
            <w:vAlign w:val="center"/>
            <w:hideMark/>
          </w:tcPr>
          <w:p w14:paraId="5B365A4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4F31E74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881687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1.00</w:t>
            </w:r>
          </w:p>
        </w:tc>
        <w:tc>
          <w:tcPr>
            <w:tcW w:w="354" w:type="dxa"/>
            <w:tcBorders>
              <w:top w:val="nil"/>
              <w:left w:val="nil"/>
              <w:bottom w:val="single" w:sz="4" w:space="0" w:color="auto"/>
              <w:right w:val="single" w:sz="4" w:space="0" w:color="auto"/>
            </w:tcBorders>
            <w:shd w:val="clear" w:color="auto" w:fill="auto"/>
            <w:noWrap/>
            <w:vAlign w:val="center"/>
            <w:hideMark/>
          </w:tcPr>
          <w:p w14:paraId="2790FAB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FEE15E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BCAB18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5A088E6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54D19C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9E3D9B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52502B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9.06</w:t>
            </w:r>
          </w:p>
        </w:tc>
        <w:tc>
          <w:tcPr>
            <w:tcW w:w="354" w:type="dxa"/>
            <w:tcBorders>
              <w:top w:val="nil"/>
              <w:left w:val="nil"/>
              <w:bottom w:val="single" w:sz="4" w:space="0" w:color="auto"/>
              <w:right w:val="single" w:sz="4" w:space="0" w:color="auto"/>
            </w:tcBorders>
            <w:shd w:val="clear" w:color="auto" w:fill="auto"/>
            <w:noWrap/>
            <w:vAlign w:val="center"/>
            <w:hideMark/>
          </w:tcPr>
          <w:p w14:paraId="37E55B1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74E4D89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A57465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1327E1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91C870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r>
      <w:tr w:rsidR="005B15EC" w:rsidRPr="005B15EC" w14:paraId="5FB66553" w14:textId="77777777" w:rsidTr="00DA2628">
        <w:trPr>
          <w:cantSplit/>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626A9BAC"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E312B1"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Franklands East</w:t>
            </w:r>
          </w:p>
        </w:tc>
        <w:tc>
          <w:tcPr>
            <w:tcW w:w="313" w:type="dxa"/>
            <w:tcBorders>
              <w:top w:val="nil"/>
              <w:left w:val="nil"/>
              <w:bottom w:val="single" w:sz="4" w:space="0" w:color="auto"/>
              <w:right w:val="single" w:sz="4" w:space="0" w:color="auto"/>
            </w:tcBorders>
            <w:shd w:val="clear" w:color="auto" w:fill="auto"/>
            <w:noWrap/>
            <w:vAlign w:val="center"/>
            <w:hideMark/>
          </w:tcPr>
          <w:p w14:paraId="5850D7C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3072F87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11.75</w:t>
            </w:r>
          </w:p>
        </w:tc>
        <w:tc>
          <w:tcPr>
            <w:tcW w:w="332" w:type="dxa"/>
            <w:tcBorders>
              <w:top w:val="nil"/>
              <w:left w:val="nil"/>
              <w:bottom w:val="single" w:sz="4" w:space="0" w:color="auto"/>
              <w:right w:val="single" w:sz="4" w:space="0" w:color="auto"/>
            </w:tcBorders>
            <w:shd w:val="clear" w:color="auto" w:fill="auto"/>
            <w:noWrap/>
            <w:vAlign w:val="center"/>
            <w:hideMark/>
          </w:tcPr>
          <w:p w14:paraId="45B19FE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4A512CA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729D4B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AD1204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3CF3FE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0D4003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3018789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35D757C8"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14F511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7AE703D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0B8A840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5BF7DA6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E81B34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60C75DD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5B670F8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BCB06B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16.56</w:t>
            </w:r>
          </w:p>
        </w:tc>
        <w:tc>
          <w:tcPr>
            <w:tcW w:w="354" w:type="dxa"/>
            <w:tcBorders>
              <w:top w:val="nil"/>
              <w:left w:val="nil"/>
              <w:bottom w:val="single" w:sz="4" w:space="0" w:color="auto"/>
              <w:right w:val="single" w:sz="4" w:space="0" w:color="auto"/>
            </w:tcBorders>
            <w:shd w:val="clear" w:color="auto" w:fill="auto"/>
            <w:noWrap/>
            <w:vAlign w:val="center"/>
            <w:hideMark/>
          </w:tcPr>
          <w:p w14:paraId="56CD19B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560FBD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4A9557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F3FCC0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D84268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1C6E30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600898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DA85E1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0.75</w:t>
            </w:r>
          </w:p>
        </w:tc>
        <w:tc>
          <w:tcPr>
            <w:tcW w:w="354" w:type="dxa"/>
            <w:tcBorders>
              <w:top w:val="nil"/>
              <w:left w:val="nil"/>
              <w:bottom w:val="single" w:sz="4" w:space="0" w:color="auto"/>
              <w:right w:val="single" w:sz="4" w:space="0" w:color="auto"/>
            </w:tcBorders>
            <w:shd w:val="clear" w:color="auto" w:fill="auto"/>
            <w:noWrap/>
            <w:vAlign w:val="center"/>
            <w:hideMark/>
          </w:tcPr>
          <w:p w14:paraId="2F2EDA6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37E25F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1.69</w:t>
            </w:r>
          </w:p>
        </w:tc>
        <w:tc>
          <w:tcPr>
            <w:tcW w:w="354" w:type="dxa"/>
            <w:tcBorders>
              <w:top w:val="nil"/>
              <w:left w:val="nil"/>
              <w:bottom w:val="single" w:sz="4" w:space="0" w:color="auto"/>
              <w:right w:val="single" w:sz="4" w:space="0" w:color="auto"/>
            </w:tcBorders>
            <w:shd w:val="clear" w:color="auto" w:fill="auto"/>
            <w:noWrap/>
            <w:vAlign w:val="center"/>
            <w:hideMark/>
          </w:tcPr>
          <w:p w14:paraId="09827E0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E2A509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863E1C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5AD9F04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5E4A5B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r>
      <w:tr w:rsidR="005B15EC" w:rsidRPr="005B15EC" w14:paraId="2E9B56EF"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735A0720"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5FD05EFE"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57D9269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0AA536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27.06</w:t>
            </w:r>
          </w:p>
        </w:tc>
        <w:tc>
          <w:tcPr>
            <w:tcW w:w="332" w:type="dxa"/>
            <w:tcBorders>
              <w:top w:val="nil"/>
              <w:left w:val="nil"/>
              <w:bottom w:val="single" w:sz="4" w:space="0" w:color="auto"/>
              <w:right w:val="single" w:sz="4" w:space="0" w:color="auto"/>
            </w:tcBorders>
            <w:shd w:val="clear" w:color="auto" w:fill="auto"/>
            <w:noWrap/>
            <w:vAlign w:val="center"/>
            <w:hideMark/>
          </w:tcPr>
          <w:p w14:paraId="614EB3D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2356310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CA2841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41B193C9"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47F596A"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49617B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7D18AA0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63F0976"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B5ABBB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52E0897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4" w:type="dxa"/>
            <w:tcBorders>
              <w:top w:val="nil"/>
              <w:left w:val="nil"/>
              <w:bottom w:val="single" w:sz="4" w:space="0" w:color="auto"/>
              <w:right w:val="single" w:sz="4" w:space="0" w:color="auto"/>
            </w:tcBorders>
            <w:shd w:val="clear" w:color="auto" w:fill="auto"/>
            <w:noWrap/>
            <w:vAlign w:val="center"/>
            <w:hideMark/>
          </w:tcPr>
          <w:p w14:paraId="0B066B3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04C777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609029E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5A4980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666909D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66ABCAB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3.13</w:t>
            </w:r>
          </w:p>
        </w:tc>
        <w:tc>
          <w:tcPr>
            <w:tcW w:w="354" w:type="dxa"/>
            <w:tcBorders>
              <w:top w:val="nil"/>
              <w:left w:val="nil"/>
              <w:bottom w:val="single" w:sz="4" w:space="0" w:color="auto"/>
              <w:right w:val="single" w:sz="4" w:space="0" w:color="auto"/>
            </w:tcBorders>
            <w:shd w:val="clear" w:color="auto" w:fill="auto"/>
            <w:noWrap/>
            <w:vAlign w:val="center"/>
            <w:hideMark/>
          </w:tcPr>
          <w:p w14:paraId="678C6BC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10F8BF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C79079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A25715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97AF57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3D28D48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626D9B7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1F1804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48D2835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F05D49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2.25</w:t>
            </w:r>
          </w:p>
        </w:tc>
        <w:tc>
          <w:tcPr>
            <w:tcW w:w="354" w:type="dxa"/>
            <w:tcBorders>
              <w:top w:val="nil"/>
              <w:left w:val="nil"/>
              <w:bottom w:val="single" w:sz="4" w:space="0" w:color="auto"/>
              <w:right w:val="single" w:sz="4" w:space="0" w:color="auto"/>
            </w:tcBorders>
            <w:shd w:val="clear" w:color="auto" w:fill="auto"/>
            <w:noWrap/>
            <w:vAlign w:val="center"/>
            <w:hideMark/>
          </w:tcPr>
          <w:p w14:paraId="2DB93D8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67974D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C8493C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52534A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F62712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r>
      <w:tr w:rsidR="005B15EC" w:rsidRPr="005B15EC" w14:paraId="4113D8B2"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1862D52F"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99350E"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Franklands West</w:t>
            </w:r>
          </w:p>
        </w:tc>
        <w:tc>
          <w:tcPr>
            <w:tcW w:w="313" w:type="dxa"/>
            <w:tcBorders>
              <w:top w:val="nil"/>
              <w:left w:val="nil"/>
              <w:bottom w:val="single" w:sz="4" w:space="0" w:color="auto"/>
              <w:right w:val="single" w:sz="4" w:space="0" w:color="auto"/>
            </w:tcBorders>
            <w:shd w:val="clear" w:color="auto" w:fill="auto"/>
            <w:noWrap/>
            <w:vAlign w:val="center"/>
            <w:hideMark/>
          </w:tcPr>
          <w:p w14:paraId="6A9530C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87D223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2.75</w:t>
            </w:r>
          </w:p>
        </w:tc>
        <w:tc>
          <w:tcPr>
            <w:tcW w:w="332" w:type="dxa"/>
            <w:tcBorders>
              <w:top w:val="nil"/>
              <w:left w:val="nil"/>
              <w:bottom w:val="single" w:sz="4" w:space="0" w:color="auto"/>
              <w:right w:val="single" w:sz="4" w:space="0" w:color="auto"/>
            </w:tcBorders>
            <w:shd w:val="clear" w:color="auto" w:fill="auto"/>
            <w:noWrap/>
            <w:vAlign w:val="center"/>
            <w:hideMark/>
          </w:tcPr>
          <w:p w14:paraId="7395EB8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597A3EC9"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1C798A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137631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4E1DDF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80E5BA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69DECB3D"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327DE7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B8F60D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5683D70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1ADBF73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3A8A9A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1.75</w:t>
            </w:r>
          </w:p>
        </w:tc>
        <w:tc>
          <w:tcPr>
            <w:tcW w:w="354" w:type="dxa"/>
            <w:tcBorders>
              <w:top w:val="nil"/>
              <w:left w:val="nil"/>
              <w:bottom w:val="single" w:sz="4" w:space="0" w:color="auto"/>
              <w:right w:val="single" w:sz="4" w:space="0" w:color="auto"/>
            </w:tcBorders>
            <w:shd w:val="clear" w:color="auto" w:fill="auto"/>
            <w:noWrap/>
            <w:vAlign w:val="center"/>
            <w:hideMark/>
          </w:tcPr>
          <w:p w14:paraId="7880C12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E80024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FE49F0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0B5E12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C8A860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945A37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1F9D317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5.25</w:t>
            </w:r>
          </w:p>
        </w:tc>
        <w:tc>
          <w:tcPr>
            <w:tcW w:w="354" w:type="dxa"/>
            <w:tcBorders>
              <w:top w:val="nil"/>
              <w:left w:val="nil"/>
              <w:bottom w:val="single" w:sz="4" w:space="0" w:color="auto"/>
              <w:right w:val="single" w:sz="4" w:space="0" w:color="auto"/>
            </w:tcBorders>
            <w:shd w:val="clear" w:color="auto" w:fill="auto"/>
            <w:noWrap/>
            <w:vAlign w:val="center"/>
            <w:hideMark/>
          </w:tcPr>
          <w:p w14:paraId="6C7ED01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802990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6B4F60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74E967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CEF819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4B4B4B5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295CEA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26.63</w:t>
            </w:r>
          </w:p>
        </w:tc>
        <w:tc>
          <w:tcPr>
            <w:tcW w:w="354" w:type="dxa"/>
            <w:tcBorders>
              <w:top w:val="nil"/>
              <w:left w:val="nil"/>
              <w:bottom w:val="single" w:sz="4" w:space="0" w:color="auto"/>
              <w:right w:val="single" w:sz="4" w:space="0" w:color="auto"/>
            </w:tcBorders>
            <w:shd w:val="clear" w:color="auto" w:fill="auto"/>
            <w:noWrap/>
            <w:vAlign w:val="center"/>
            <w:hideMark/>
          </w:tcPr>
          <w:p w14:paraId="682691A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2AAF509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22B4B52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0995BD3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0895F2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r>
      <w:tr w:rsidR="005B15EC" w:rsidRPr="005B15EC" w14:paraId="1AA79952"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316CFEBB"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3D750C26"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4E5FDAD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E5AECBA" w14:textId="77777777" w:rsidR="005B15EC" w:rsidRPr="005B15EC" w:rsidRDefault="005B15EC" w:rsidP="005B15EC">
            <w:pPr>
              <w:spacing w:after="0"/>
              <w:jc w:val="center"/>
              <w:rPr>
                <w:rFonts w:ascii="Arial Narrow" w:hAnsi="Arial Narrow"/>
                <w:sz w:val="14"/>
                <w:szCs w:val="14"/>
                <w:lang w:val="en-AU" w:eastAsia="en-AU"/>
              </w:rPr>
            </w:pPr>
          </w:p>
        </w:tc>
        <w:tc>
          <w:tcPr>
            <w:tcW w:w="332" w:type="dxa"/>
            <w:tcBorders>
              <w:top w:val="nil"/>
              <w:left w:val="nil"/>
              <w:bottom w:val="single" w:sz="4" w:space="0" w:color="auto"/>
              <w:right w:val="single" w:sz="4" w:space="0" w:color="auto"/>
            </w:tcBorders>
            <w:shd w:val="clear" w:color="auto" w:fill="auto"/>
            <w:noWrap/>
            <w:vAlign w:val="center"/>
            <w:hideMark/>
          </w:tcPr>
          <w:p w14:paraId="1138832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400B1726"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483F34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519E3C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D435CF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C51971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3" w:type="dxa"/>
            <w:tcBorders>
              <w:top w:val="nil"/>
              <w:left w:val="nil"/>
              <w:bottom w:val="single" w:sz="4" w:space="0" w:color="auto"/>
              <w:right w:val="single" w:sz="4" w:space="0" w:color="auto"/>
            </w:tcBorders>
            <w:shd w:val="clear" w:color="auto" w:fill="auto"/>
            <w:noWrap/>
            <w:vAlign w:val="center"/>
            <w:hideMark/>
          </w:tcPr>
          <w:p w14:paraId="611E2BC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D81D2F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886787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9C82BF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4F4ABE0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168E79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089458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D3E06D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F98680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4DC1D3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B5A880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B221AD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66D565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3.00</w:t>
            </w:r>
          </w:p>
        </w:tc>
        <w:tc>
          <w:tcPr>
            <w:tcW w:w="354" w:type="dxa"/>
            <w:tcBorders>
              <w:top w:val="nil"/>
              <w:left w:val="nil"/>
              <w:bottom w:val="single" w:sz="4" w:space="0" w:color="auto"/>
              <w:right w:val="single" w:sz="4" w:space="0" w:color="auto"/>
            </w:tcBorders>
            <w:shd w:val="clear" w:color="auto" w:fill="auto"/>
            <w:noWrap/>
            <w:vAlign w:val="center"/>
            <w:hideMark/>
          </w:tcPr>
          <w:p w14:paraId="7B96418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E5C2CB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12D02B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6CEC95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60F607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46F51FF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4D8BD2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49.31</w:t>
            </w:r>
          </w:p>
        </w:tc>
        <w:tc>
          <w:tcPr>
            <w:tcW w:w="354" w:type="dxa"/>
            <w:tcBorders>
              <w:top w:val="nil"/>
              <w:left w:val="nil"/>
              <w:bottom w:val="single" w:sz="4" w:space="0" w:color="auto"/>
              <w:right w:val="single" w:sz="4" w:space="0" w:color="auto"/>
            </w:tcBorders>
            <w:shd w:val="clear" w:color="auto" w:fill="auto"/>
            <w:noWrap/>
            <w:vAlign w:val="center"/>
            <w:hideMark/>
          </w:tcPr>
          <w:p w14:paraId="49DE046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55C68F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2534B63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23FED1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9778EA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r>
      <w:tr w:rsidR="005B15EC" w:rsidRPr="005B15EC" w14:paraId="77418870"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2AB1A8AC"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A085B4"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High East</w:t>
            </w:r>
          </w:p>
        </w:tc>
        <w:tc>
          <w:tcPr>
            <w:tcW w:w="313" w:type="dxa"/>
            <w:tcBorders>
              <w:top w:val="nil"/>
              <w:left w:val="nil"/>
              <w:bottom w:val="single" w:sz="4" w:space="0" w:color="auto"/>
              <w:right w:val="single" w:sz="4" w:space="0" w:color="auto"/>
            </w:tcBorders>
            <w:shd w:val="clear" w:color="auto" w:fill="auto"/>
            <w:noWrap/>
            <w:vAlign w:val="center"/>
            <w:hideMark/>
          </w:tcPr>
          <w:p w14:paraId="3536459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E17E38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21.13</w:t>
            </w:r>
          </w:p>
        </w:tc>
        <w:tc>
          <w:tcPr>
            <w:tcW w:w="332" w:type="dxa"/>
            <w:tcBorders>
              <w:top w:val="nil"/>
              <w:left w:val="nil"/>
              <w:bottom w:val="single" w:sz="4" w:space="0" w:color="auto"/>
              <w:right w:val="single" w:sz="4" w:space="0" w:color="auto"/>
            </w:tcBorders>
            <w:shd w:val="clear" w:color="auto" w:fill="auto"/>
            <w:noWrap/>
            <w:vAlign w:val="center"/>
            <w:hideMark/>
          </w:tcPr>
          <w:p w14:paraId="75819F8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08D2732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C97BEE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3482D4A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A24910A"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7DCF0F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0.88</w:t>
            </w:r>
          </w:p>
        </w:tc>
        <w:tc>
          <w:tcPr>
            <w:tcW w:w="353" w:type="dxa"/>
            <w:tcBorders>
              <w:top w:val="nil"/>
              <w:left w:val="nil"/>
              <w:bottom w:val="single" w:sz="4" w:space="0" w:color="auto"/>
              <w:right w:val="single" w:sz="4" w:space="0" w:color="auto"/>
            </w:tcBorders>
            <w:shd w:val="clear" w:color="auto" w:fill="auto"/>
            <w:noWrap/>
            <w:vAlign w:val="center"/>
            <w:hideMark/>
          </w:tcPr>
          <w:p w14:paraId="421526B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407C404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79B9F9C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EAFD39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6A54CCE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52448DC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2B010F4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2B3B86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23B7698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4E57DC1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8.13</w:t>
            </w:r>
          </w:p>
        </w:tc>
        <w:tc>
          <w:tcPr>
            <w:tcW w:w="354" w:type="dxa"/>
            <w:tcBorders>
              <w:top w:val="nil"/>
              <w:left w:val="nil"/>
              <w:bottom w:val="single" w:sz="4" w:space="0" w:color="auto"/>
              <w:right w:val="single" w:sz="4" w:space="0" w:color="auto"/>
            </w:tcBorders>
            <w:shd w:val="clear" w:color="auto" w:fill="auto"/>
            <w:noWrap/>
            <w:vAlign w:val="center"/>
            <w:hideMark/>
          </w:tcPr>
          <w:p w14:paraId="1BA286B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515FA3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72CAF2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848343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55084C7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A696DC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c>
          <w:tcPr>
            <w:tcW w:w="354" w:type="dxa"/>
            <w:tcBorders>
              <w:top w:val="nil"/>
              <w:left w:val="nil"/>
              <w:bottom w:val="single" w:sz="4" w:space="0" w:color="auto"/>
              <w:right w:val="single" w:sz="4" w:space="0" w:color="auto"/>
            </w:tcBorders>
            <w:shd w:val="clear" w:color="auto" w:fill="auto"/>
            <w:noWrap/>
            <w:vAlign w:val="center"/>
            <w:hideMark/>
          </w:tcPr>
          <w:p w14:paraId="79A6611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EE850E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4" w:type="dxa"/>
            <w:tcBorders>
              <w:top w:val="nil"/>
              <w:left w:val="nil"/>
              <w:bottom w:val="single" w:sz="4" w:space="0" w:color="auto"/>
              <w:right w:val="single" w:sz="4" w:space="0" w:color="auto"/>
            </w:tcBorders>
            <w:shd w:val="clear" w:color="auto" w:fill="auto"/>
            <w:noWrap/>
            <w:vAlign w:val="center"/>
            <w:hideMark/>
          </w:tcPr>
          <w:p w14:paraId="31739C2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B3B85D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6.38</w:t>
            </w:r>
          </w:p>
        </w:tc>
        <w:tc>
          <w:tcPr>
            <w:tcW w:w="354" w:type="dxa"/>
            <w:tcBorders>
              <w:top w:val="nil"/>
              <w:left w:val="nil"/>
              <w:bottom w:val="single" w:sz="4" w:space="0" w:color="auto"/>
              <w:right w:val="single" w:sz="4" w:space="0" w:color="auto"/>
            </w:tcBorders>
            <w:shd w:val="clear" w:color="auto" w:fill="auto"/>
            <w:noWrap/>
            <w:vAlign w:val="center"/>
            <w:hideMark/>
          </w:tcPr>
          <w:p w14:paraId="7589C5D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176DEC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84D823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1.13</w:t>
            </w:r>
          </w:p>
        </w:tc>
        <w:tc>
          <w:tcPr>
            <w:tcW w:w="354" w:type="dxa"/>
            <w:tcBorders>
              <w:top w:val="nil"/>
              <w:left w:val="nil"/>
              <w:bottom w:val="single" w:sz="4" w:space="0" w:color="auto"/>
              <w:right w:val="single" w:sz="4" w:space="0" w:color="auto"/>
            </w:tcBorders>
            <w:shd w:val="clear" w:color="auto" w:fill="auto"/>
            <w:noWrap/>
            <w:vAlign w:val="center"/>
            <w:hideMark/>
          </w:tcPr>
          <w:p w14:paraId="208A210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6E20B15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r>
      <w:tr w:rsidR="005B15EC" w:rsidRPr="005B15EC" w14:paraId="5433F1EF"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281C2581"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5AD7803B"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185F446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19CF1B2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12.00</w:t>
            </w:r>
          </w:p>
        </w:tc>
        <w:tc>
          <w:tcPr>
            <w:tcW w:w="332" w:type="dxa"/>
            <w:tcBorders>
              <w:top w:val="nil"/>
              <w:left w:val="nil"/>
              <w:bottom w:val="single" w:sz="4" w:space="0" w:color="auto"/>
              <w:right w:val="single" w:sz="4" w:space="0" w:color="auto"/>
            </w:tcBorders>
            <w:shd w:val="clear" w:color="auto" w:fill="auto"/>
            <w:noWrap/>
            <w:vAlign w:val="center"/>
            <w:hideMark/>
          </w:tcPr>
          <w:p w14:paraId="395064F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5C3DC5A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8D539F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371C9FF4"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0311F77"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791118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2.44</w:t>
            </w:r>
          </w:p>
        </w:tc>
        <w:tc>
          <w:tcPr>
            <w:tcW w:w="353" w:type="dxa"/>
            <w:tcBorders>
              <w:top w:val="nil"/>
              <w:left w:val="nil"/>
              <w:bottom w:val="single" w:sz="4" w:space="0" w:color="auto"/>
              <w:right w:val="single" w:sz="4" w:space="0" w:color="auto"/>
            </w:tcBorders>
            <w:shd w:val="clear" w:color="auto" w:fill="auto"/>
            <w:noWrap/>
            <w:vAlign w:val="center"/>
            <w:hideMark/>
          </w:tcPr>
          <w:p w14:paraId="735AB7E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7A4DA11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0F299B3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A33645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309C562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4" w:type="dxa"/>
            <w:tcBorders>
              <w:top w:val="nil"/>
              <w:left w:val="nil"/>
              <w:bottom w:val="single" w:sz="4" w:space="0" w:color="auto"/>
              <w:right w:val="single" w:sz="4" w:space="0" w:color="auto"/>
            </w:tcBorders>
            <w:shd w:val="clear" w:color="auto" w:fill="auto"/>
            <w:noWrap/>
            <w:vAlign w:val="center"/>
            <w:hideMark/>
          </w:tcPr>
          <w:p w14:paraId="78A146F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5E2C722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A244F4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0E0171F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87CF1A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8.56</w:t>
            </w:r>
          </w:p>
        </w:tc>
        <w:tc>
          <w:tcPr>
            <w:tcW w:w="354" w:type="dxa"/>
            <w:tcBorders>
              <w:top w:val="nil"/>
              <w:left w:val="nil"/>
              <w:bottom w:val="single" w:sz="4" w:space="0" w:color="auto"/>
              <w:right w:val="single" w:sz="4" w:space="0" w:color="auto"/>
            </w:tcBorders>
            <w:shd w:val="clear" w:color="auto" w:fill="auto"/>
            <w:noWrap/>
            <w:vAlign w:val="center"/>
            <w:hideMark/>
          </w:tcPr>
          <w:p w14:paraId="1C4FA25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6136AB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1F21ED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6096CE1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146D1EF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94A0F6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4" w:type="dxa"/>
            <w:tcBorders>
              <w:top w:val="nil"/>
              <w:left w:val="nil"/>
              <w:bottom w:val="single" w:sz="4" w:space="0" w:color="auto"/>
              <w:right w:val="single" w:sz="4" w:space="0" w:color="auto"/>
            </w:tcBorders>
            <w:shd w:val="clear" w:color="auto" w:fill="auto"/>
            <w:noWrap/>
            <w:vAlign w:val="center"/>
            <w:hideMark/>
          </w:tcPr>
          <w:p w14:paraId="693D86D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86A7DD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4" w:type="dxa"/>
            <w:tcBorders>
              <w:top w:val="nil"/>
              <w:left w:val="nil"/>
              <w:bottom w:val="single" w:sz="4" w:space="0" w:color="auto"/>
              <w:right w:val="single" w:sz="4" w:space="0" w:color="auto"/>
            </w:tcBorders>
            <w:shd w:val="clear" w:color="auto" w:fill="auto"/>
            <w:noWrap/>
            <w:vAlign w:val="center"/>
            <w:hideMark/>
          </w:tcPr>
          <w:p w14:paraId="286B2AA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c>
          <w:tcPr>
            <w:tcW w:w="354" w:type="dxa"/>
            <w:tcBorders>
              <w:top w:val="nil"/>
              <w:left w:val="nil"/>
              <w:bottom w:val="single" w:sz="4" w:space="0" w:color="auto"/>
              <w:right w:val="single" w:sz="4" w:space="0" w:color="auto"/>
            </w:tcBorders>
            <w:shd w:val="clear" w:color="auto" w:fill="auto"/>
            <w:noWrap/>
            <w:vAlign w:val="center"/>
            <w:hideMark/>
          </w:tcPr>
          <w:p w14:paraId="3250185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14.69</w:t>
            </w:r>
          </w:p>
        </w:tc>
        <w:tc>
          <w:tcPr>
            <w:tcW w:w="354" w:type="dxa"/>
            <w:tcBorders>
              <w:top w:val="nil"/>
              <w:left w:val="nil"/>
              <w:bottom w:val="single" w:sz="4" w:space="0" w:color="auto"/>
              <w:right w:val="single" w:sz="4" w:space="0" w:color="auto"/>
            </w:tcBorders>
            <w:shd w:val="clear" w:color="auto" w:fill="auto"/>
            <w:noWrap/>
            <w:vAlign w:val="center"/>
            <w:hideMark/>
          </w:tcPr>
          <w:p w14:paraId="45C1B87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33CF5DD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54EDC9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D705EA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4AEBD41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r>
      <w:tr w:rsidR="005B15EC" w:rsidRPr="005B15EC" w14:paraId="4D005D0B"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67D54287"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6613AD"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High West</w:t>
            </w:r>
          </w:p>
        </w:tc>
        <w:tc>
          <w:tcPr>
            <w:tcW w:w="313" w:type="dxa"/>
            <w:tcBorders>
              <w:top w:val="nil"/>
              <w:left w:val="nil"/>
              <w:bottom w:val="single" w:sz="4" w:space="0" w:color="auto"/>
              <w:right w:val="single" w:sz="4" w:space="0" w:color="auto"/>
            </w:tcBorders>
            <w:shd w:val="clear" w:color="auto" w:fill="auto"/>
            <w:noWrap/>
            <w:vAlign w:val="center"/>
            <w:hideMark/>
          </w:tcPr>
          <w:p w14:paraId="160DBD8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282B8F7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3.31</w:t>
            </w:r>
          </w:p>
        </w:tc>
        <w:tc>
          <w:tcPr>
            <w:tcW w:w="332" w:type="dxa"/>
            <w:tcBorders>
              <w:top w:val="nil"/>
              <w:left w:val="nil"/>
              <w:bottom w:val="single" w:sz="4" w:space="0" w:color="auto"/>
              <w:right w:val="single" w:sz="4" w:space="0" w:color="auto"/>
            </w:tcBorders>
            <w:shd w:val="clear" w:color="auto" w:fill="auto"/>
            <w:noWrap/>
            <w:vAlign w:val="center"/>
            <w:hideMark/>
          </w:tcPr>
          <w:p w14:paraId="2A2BE2B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70A60E9A"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D8B0EA6"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ABDD4F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F9EE4D5"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DBDC3E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3" w:type="dxa"/>
            <w:tcBorders>
              <w:top w:val="nil"/>
              <w:left w:val="nil"/>
              <w:bottom w:val="single" w:sz="4" w:space="0" w:color="auto"/>
              <w:right w:val="single" w:sz="4" w:space="0" w:color="auto"/>
            </w:tcBorders>
            <w:shd w:val="clear" w:color="auto" w:fill="auto"/>
            <w:noWrap/>
            <w:vAlign w:val="center"/>
            <w:hideMark/>
          </w:tcPr>
          <w:p w14:paraId="3412416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3B62D76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59EDF72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192FC5F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0.81</w:t>
            </w:r>
          </w:p>
        </w:tc>
        <w:tc>
          <w:tcPr>
            <w:tcW w:w="354" w:type="dxa"/>
            <w:tcBorders>
              <w:top w:val="nil"/>
              <w:left w:val="nil"/>
              <w:bottom w:val="single" w:sz="4" w:space="0" w:color="auto"/>
              <w:right w:val="single" w:sz="4" w:space="0" w:color="auto"/>
            </w:tcBorders>
            <w:shd w:val="clear" w:color="auto" w:fill="auto"/>
            <w:noWrap/>
            <w:vAlign w:val="center"/>
            <w:hideMark/>
          </w:tcPr>
          <w:p w14:paraId="58C9BDE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4E8699A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2.56</w:t>
            </w:r>
          </w:p>
        </w:tc>
        <w:tc>
          <w:tcPr>
            <w:tcW w:w="354" w:type="dxa"/>
            <w:tcBorders>
              <w:top w:val="nil"/>
              <w:left w:val="nil"/>
              <w:bottom w:val="single" w:sz="4" w:space="0" w:color="auto"/>
              <w:right w:val="single" w:sz="4" w:space="0" w:color="auto"/>
            </w:tcBorders>
            <w:shd w:val="clear" w:color="auto" w:fill="auto"/>
            <w:noWrap/>
            <w:vAlign w:val="center"/>
            <w:hideMark/>
          </w:tcPr>
          <w:p w14:paraId="1CC1CD5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1EEB65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4DD591C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154744C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c>
          <w:tcPr>
            <w:tcW w:w="354" w:type="dxa"/>
            <w:tcBorders>
              <w:top w:val="nil"/>
              <w:left w:val="nil"/>
              <w:bottom w:val="single" w:sz="4" w:space="0" w:color="auto"/>
              <w:right w:val="single" w:sz="4" w:space="0" w:color="auto"/>
            </w:tcBorders>
            <w:shd w:val="clear" w:color="auto" w:fill="auto"/>
            <w:noWrap/>
            <w:vAlign w:val="center"/>
            <w:hideMark/>
          </w:tcPr>
          <w:p w14:paraId="6A26884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34784B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9BAD6F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FD598F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6059663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0B4025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74CA5E5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2929CF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1.25</w:t>
            </w:r>
          </w:p>
        </w:tc>
        <w:tc>
          <w:tcPr>
            <w:tcW w:w="354" w:type="dxa"/>
            <w:tcBorders>
              <w:top w:val="nil"/>
              <w:left w:val="nil"/>
              <w:bottom w:val="single" w:sz="4" w:space="0" w:color="auto"/>
              <w:right w:val="single" w:sz="4" w:space="0" w:color="auto"/>
            </w:tcBorders>
            <w:shd w:val="clear" w:color="auto" w:fill="auto"/>
            <w:noWrap/>
            <w:vAlign w:val="center"/>
            <w:hideMark/>
          </w:tcPr>
          <w:p w14:paraId="1D9D0D7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2D19941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38.75</w:t>
            </w:r>
          </w:p>
        </w:tc>
        <w:tc>
          <w:tcPr>
            <w:tcW w:w="354" w:type="dxa"/>
            <w:tcBorders>
              <w:top w:val="nil"/>
              <w:left w:val="nil"/>
              <w:bottom w:val="single" w:sz="4" w:space="0" w:color="auto"/>
              <w:right w:val="single" w:sz="4" w:space="0" w:color="auto"/>
            </w:tcBorders>
            <w:shd w:val="clear" w:color="auto" w:fill="auto"/>
            <w:noWrap/>
            <w:vAlign w:val="center"/>
            <w:hideMark/>
          </w:tcPr>
          <w:p w14:paraId="49535A1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DB3605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583065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0E96848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F66275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r>
      <w:tr w:rsidR="005B15EC" w:rsidRPr="005B15EC" w14:paraId="53B9131B" w14:textId="77777777" w:rsidTr="00DA2628">
        <w:trPr>
          <w:cantSplit/>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21FE556D"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351FF5B0"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2621388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38279D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0.69</w:t>
            </w:r>
          </w:p>
        </w:tc>
        <w:tc>
          <w:tcPr>
            <w:tcW w:w="332" w:type="dxa"/>
            <w:tcBorders>
              <w:top w:val="nil"/>
              <w:left w:val="nil"/>
              <w:bottom w:val="single" w:sz="4" w:space="0" w:color="auto"/>
              <w:right w:val="single" w:sz="4" w:space="0" w:color="auto"/>
            </w:tcBorders>
            <w:shd w:val="clear" w:color="auto" w:fill="auto"/>
            <w:noWrap/>
            <w:vAlign w:val="center"/>
            <w:hideMark/>
          </w:tcPr>
          <w:p w14:paraId="1F89356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 </w:t>
            </w:r>
          </w:p>
        </w:tc>
        <w:tc>
          <w:tcPr>
            <w:tcW w:w="352" w:type="dxa"/>
            <w:tcBorders>
              <w:top w:val="nil"/>
              <w:left w:val="nil"/>
              <w:bottom w:val="single" w:sz="4" w:space="0" w:color="auto"/>
              <w:right w:val="single" w:sz="4" w:space="0" w:color="auto"/>
            </w:tcBorders>
            <w:shd w:val="clear" w:color="auto" w:fill="auto"/>
            <w:noWrap/>
            <w:vAlign w:val="center"/>
            <w:hideMark/>
          </w:tcPr>
          <w:p w14:paraId="6DD27367"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DA21F1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F8FAC1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5CAD0EB"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0BD8EE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232105D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44EA10F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6299202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4" w:type="dxa"/>
            <w:tcBorders>
              <w:top w:val="nil"/>
              <w:left w:val="nil"/>
              <w:bottom w:val="single" w:sz="4" w:space="0" w:color="auto"/>
              <w:right w:val="single" w:sz="4" w:space="0" w:color="auto"/>
            </w:tcBorders>
            <w:shd w:val="clear" w:color="auto" w:fill="auto"/>
            <w:noWrap/>
            <w:vAlign w:val="center"/>
            <w:hideMark/>
          </w:tcPr>
          <w:p w14:paraId="27745FC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0.69</w:t>
            </w:r>
          </w:p>
        </w:tc>
        <w:tc>
          <w:tcPr>
            <w:tcW w:w="354" w:type="dxa"/>
            <w:tcBorders>
              <w:top w:val="nil"/>
              <w:left w:val="nil"/>
              <w:bottom w:val="single" w:sz="4" w:space="0" w:color="auto"/>
              <w:right w:val="single" w:sz="4" w:space="0" w:color="auto"/>
            </w:tcBorders>
            <w:shd w:val="clear" w:color="auto" w:fill="auto"/>
            <w:noWrap/>
            <w:vAlign w:val="center"/>
            <w:hideMark/>
          </w:tcPr>
          <w:p w14:paraId="368A16D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A9A80D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3.63</w:t>
            </w:r>
          </w:p>
        </w:tc>
        <w:tc>
          <w:tcPr>
            <w:tcW w:w="354" w:type="dxa"/>
            <w:tcBorders>
              <w:top w:val="nil"/>
              <w:left w:val="nil"/>
              <w:bottom w:val="single" w:sz="4" w:space="0" w:color="auto"/>
              <w:right w:val="single" w:sz="4" w:space="0" w:color="auto"/>
            </w:tcBorders>
            <w:shd w:val="clear" w:color="auto" w:fill="auto"/>
            <w:noWrap/>
            <w:vAlign w:val="center"/>
            <w:hideMark/>
          </w:tcPr>
          <w:p w14:paraId="444D3F9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28DB0B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70C1380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F8FD67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0C2440D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5D76FB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14E6690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6657C9F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0.88</w:t>
            </w:r>
          </w:p>
        </w:tc>
        <w:tc>
          <w:tcPr>
            <w:tcW w:w="354" w:type="dxa"/>
            <w:tcBorders>
              <w:top w:val="nil"/>
              <w:left w:val="nil"/>
              <w:bottom w:val="single" w:sz="4" w:space="0" w:color="auto"/>
              <w:right w:val="single" w:sz="4" w:space="0" w:color="auto"/>
            </w:tcBorders>
            <w:shd w:val="clear" w:color="auto" w:fill="auto"/>
            <w:noWrap/>
            <w:vAlign w:val="center"/>
            <w:hideMark/>
          </w:tcPr>
          <w:p w14:paraId="50EC112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B5BBC4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5952837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D8B969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7F1C4D6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BD27DF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15.97</w:t>
            </w:r>
          </w:p>
        </w:tc>
        <w:tc>
          <w:tcPr>
            <w:tcW w:w="354" w:type="dxa"/>
            <w:tcBorders>
              <w:top w:val="nil"/>
              <w:left w:val="nil"/>
              <w:bottom w:val="single" w:sz="4" w:space="0" w:color="auto"/>
              <w:right w:val="single" w:sz="4" w:space="0" w:color="auto"/>
            </w:tcBorders>
            <w:shd w:val="clear" w:color="auto" w:fill="auto"/>
            <w:noWrap/>
            <w:vAlign w:val="center"/>
            <w:hideMark/>
          </w:tcPr>
          <w:p w14:paraId="5537A89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534AF7A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E0AA85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9E9DF8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C3260D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0.94</w:t>
            </w:r>
          </w:p>
        </w:tc>
      </w:tr>
      <w:tr w:rsidR="005B15EC" w:rsidRPr="005B15EC" w14:paraId="5A8C325E" w14:textId="77777777" w:rsidTr="00DA2628">
        <w:trPr>
          <w:trHeight w:hRule="exact" w:val="397"/>
        </w:trPr>
        <w:tc>
          <w:tcPr>
            <w:tcW w:w="389"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7E1EE333"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Tully</w:t>
            </w: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1FF070E"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Barnards</w:t>
            </w:r>
          </w:p>
        </w:tc>
        <w:tc>
          <w:tcPr>
            <w:tcW w:w="313" w:type="dxa"/>
            <w:tcBorders>
              <w:top w:val="nil"/>
              <w:left w:val="nil"/>
              <w:bottom w:val="single" w:sz="4" w:space="0" w:color="auto"/>
              <w:right w:val="single" w:sz="4" w:space="0" w:color="auto"/>
            </w:tcBorders>
            <w:shd w:val="clear" w:color="auto" w:fill="auto"/>
            <w:noWrap/>
            <w:vAlign w:val="center"/>
            <w:hideMark/>
          </w:tcPr>
          <w:p w14:paraId="2FBE4A6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323817C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16.13</w:t>
            </w:r>
          </w:p>
        </w:tc>
        <w:tc>
          <w:tcPr>
            <w:tcW w:w="332" w:type="dxa"/>
            <w:tcBorders>
              <w:top w:val="nil"/>
              <w:left w:val="nil"/>
              <w:bottom w:val="single" w:sz="4" w:space="0" w:color="auto"/>
              <w:right w:val="single" w:sz="4" w:space="0" w:color="auto"/>
            </w:tcBorders>
            <w:shd w:val="clear" w:color="auto" w:fill="auto"/>
            <w:noWrap/>
            <w:vAlign w:val="center"/>
            <w:hideMark/>
          </w:tcPr>
          <w:p w14:paraId="2CF3E72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23F8C606"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9D1A6C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AF6F409"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EFCC069"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16E2608"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9B5C8F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5DEC61B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06D47C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B66794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5475B2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D81CB0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755B05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D5BD92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7A72A5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73108F8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8.94</w:t>
            </w:r>
          </w:p>
        </w:tc>
        <w:tc>
          <w:tcPr>
            <w:tcW w:w="354" w:type="dxa"/>
            <w:tcBorders>
              <w:top w:val="nil"/>
              <w:left w:val="nil"/>
              <w:bottom w:val="single" w:sz="4" w:space="0" w:color="auto"/>
              <w:right w:val="single" w:sz="4" w:space="0" w:color="auto"/>
            </w:tcBorders>
            <w:shd w:val="clear" w:color="auto" w:fill="auto"/>
            <w:noWrap/>
            <w:vAlign w:val="center"/>
            <w:hideMark/>
          </w:tcPr>
          <w:p w14:paraId="5D5FA0F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8AED2B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5D665B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D07D50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0850B7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B15D9D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00526EB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56D132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4" w:type="dxa"/>
            <w:tcBorders>
              <w:top w:val="nil"/>
              <w:left w:val="nil"/>
              <w:bottom w:val="single" w:sz="4" w:space="0" w:color="auto"/>
              <w:right w:val="single" w:sz="4" w:space="0" w:color="auto"/>
            </w:tcBorders>
            <w:shd w:val="clear" w:color="auto" w:fill="auto"/>
            <w:noWrap/>
            <w:vAlign w:val="center"/>
            <w:hideMark/>
          </w:tcPr>
          <w:p w14:paraId="7484A85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03C074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39EFDC4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41E24D1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1B40EC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13A87EB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42127E8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r>
      <w:tr w:rsidR="005B15EC" w:rsidRPr="005B15EC" w14:paraId="2E16DD1C"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F7524A0"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5C0AFE37"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2CC779F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B9FE25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12.19</w:t>
            </w:r>
          </w:p>
        </w:tc>
        <w:tc>
          <w:tcPr>
            <w:tcW w:w="332" w:type="dxa"/>
            <w:tcBorders>
              <w:top w:val="nil"/>
              <w:left w:val="nil"/>
              <w:bottom w:val="single" w:sz="4" w:space="0" w:color="auto"/>
              <w:right w:val="single" w:sz="4" w:space="0" w:color="auto"/>
            </w:tcBorders>
            <w:shd w:val="clear" w:color="auto" w:fill="auto"/>
            <w:noWrap/>
            <w:vAlign w:val="center"/>
            <w:hideMark/>
          </w:tcPr>
          <w:p w14:paraId="3FBAC7A5"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7B89ED0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55697C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1608B72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7665C1B"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CE85FF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0.69</w:t>
            </w:r>
          </w:p>
        </w:tc>
        <w:tc>
          <w:tcPr>
            <w:tcW w:w="353" w:type="dxa"/>
            <w:tcBorders>
              <w:top w:val="nil"/>
              <w:left w:val="nil"/>
              <w:bottom w:val="single" w:sz="4" w:space="0" w:color="auto"/>
              <w:right w:val="single" w:sz="4" w:space="0" w:color="auto"/>
            </w:tcBorders>
            <w:shd w:val="clear" w:color="auto" w:fill="auto"/>
            <w:noWrap/>
            <w:vAlign w:val="center"/>
            <w:hideMark/>
          </w:tcPr>
          <w:p w14:paraId="59B6264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3BE7375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30425A9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7C9970B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5855ED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08933F0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4" w:type="dxa"/>
            <w:tcBorders>
              <w:top w:val="nil"/>
              <w:left w:val="nil"/>
              <w:bottom w:val="single" w:sz="4" w:space="0" w:color="auto"/>
              <w:right w:val="single" w:sz="4" w:space="0" w:color="auto"/>
            </w:tcBorders>
            <w:shd w:val="clear" w:color="auto" w:fill="auto"/>
            <w:noWrap/>
            <w:vAlign w:val="center"/>
            <w:hideMark/>
          </w:tcPr>
          <w:p w14:paraId="13E5FE3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9560B1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74F4A1B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67ED999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11.75</w:t>
            </w:r>
          </w:p>
        </w:tc>
        <w:tc>
          <w:tcPr>
            <w:tcW w:w="354" w:type="dxa"/>
            <w:tcBorders>
              <w:top w:val="nil"/>
              <w:left w:val="nil"/>
              <w:bottom w:val="single" w:sz="4" w:space="0" w:color="auto"/>
              <w:right w:val="single" w:sz="4" w:space="0" w:color="auto"/>
            </w:tcBorders>
            <w:shd w:val="clear" w:color="auto" w:fill="auto"/>
            <w:noWrap/>
            <w:vAlign w:val="center"/>
            <w:hideMark/>
          </w:tcPr>
          <w:p w14:paraId="212B00A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09C5516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0.69</w:t>
            </w:r>
          </w:p>
        </w:tc>
        <w:tc>
          <w:tcPr>
            <w:tcW w:w="354" w:type="dxa"/>
            <w:tcBorders>
              <w:top w:val="nil"/>
              <w:left w:val="nil"/>
              <w:bottom w:val="single" w:sz="4" w:space="0" w:color="auto"/>
              <w:right w:val="single" w:sz="4" w:space="0" w:color="auto"/>
            </w:tcBorders>
            <w:shd w:val="clear" w:color="auto" w:fill="auto"/>
            <w:noWrap/>
            <w:vAlign w:val="center"/>
            <w:hideMark/>
          </w:tcPr>
          <w:p w14:paraId="71D18A0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0EA8262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63CD4FB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677B7E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49D7215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D27BDB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1.13</w:t>
            </w:r>
          </w:p>
        </w:tc>
        <w:tc>
          <w:tcPr>
            <w:tcW w:w="354" w:type="dxa"/>
            <w:tcBorders>
              <w:top w:val="nil"/>
              <w:left w:val="nil"/>
              <w:bottom w:val="single" w:sz="4" w:space="0" w:color="auto"/>
              <w:right w:val="single" w:sz="4" w:space="0" w:color="auto"/>
            </w:tcBorders>
            <w:shd w:val="clear" w:color="auto" w:fill="auto"/>
            <w:noWrap/>
            <w:vAlign w:val="center"/>
            <w:hideMark/>
          </w:tcPr>
          <w:p w14:paraId="58A5A92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658678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1.13</w:t>
            </w:r>
          </w:p>
        </w:tc>
        <w:tc>
          <w:tcPr>
            <w:tcW w:w="354" w:type="dxa"/>
            <w:tcBorders>
              <w:top w:val="nil"/>
              <w:left w:val="nil"/>
              <w:bottom w:val="single" w:sz="4" w:space="0" w:color="auto"/>
              <w:right w:val="single" w:sz="4" w:space="0" w:color="auto"/>
            </w:tcBorders>
            <w:shd w:val="clear" w:color="auto" w:fill="auto"/>
            <w:noWrap/>
            <w:vAlign w:val="center"/>
            <w:hideMark/>
          </w:tcPr>
          <w:p w14:paraId="6887D49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3DF3BA6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0.69</w:t>
            </w:r>
          </w:p>
        </w:tc>
        <w:tc>
          <w:tcPr>
            <w:tcW w:w="354" w:type="dxa"/>
            <w:tcBorders>
              <w:top w:val="nil"/>
              <w:left w:val="nil"/>
              <w:bottom w:val="single" w:sz="4" w:space="0" w:color="auto"/>
              <w:right w:val="single" w:sz="4" w:space="0" w:color="auto"/>
            </w:tcBorders>
            <w:shd w:val="clear" w:color="auto" w:fill="auto"/>
            <w:noWrap/>
            <w:vAlign w:val="center"/>
            <w:hideMark/>
          </w:tcPr>
          <w:p w14:paraId="4A433D4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0921B7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1.75</w:t>
            </w:r>
          </w:p>
        </w:tc>
        <w:tc>
          <w:tcPr>
            <w:tcW w:w="354" w:type="dxa"/>
            <w:tcBorders>
              <w:top w:val="nil"/>
              <w:left w:val="nil"/>
              <w:bottom w:val="single" w:sz="4" w:space="0" w:color="auto"/>
              <w:right w:val="single" w:sz="4" w:space="0" w:color="auto"/>
            </w:tcBorders>
            <w:shd w:val="clear" w:color="auto" w:fill="auto"/>
            <w:noWrap/>
            <w:vAlign w:val="center"/>
            <w:hideMark/>
          </w:tcPr>
          <w:p w14:paraId="503576A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0.81</w:t>
            </w:r>
          </w:p>
        </w:tc>
      </w:tr>
      <w:tr w:rsidR="005B15EC" w:rsidRPr="005B15EC" w14:paraId="17F38EFB"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3E2D443A"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99F42BA"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Dunk North</w:t>
            </w:r>
          </w:p>
        </w:tc>
        <w:tc>
          <w:tcPr>
            <w:tcW w:w="313" w:type="dxa"/>
            <w:tcBorders>
              <w:top w:val="nil"/>
              <w:left w:val="nil"/>
              <w:bottom w:val="single" w:sz="4" w:space="0" w:color="auto"/>
              <w:right w:val="single" w:sz="4" w:space="0" w:color="auto"/>
            </w:tcBorders>
            <w:shd w:val="clear" w:color="auto" w:fill="auto"/>
            <w:noWrap/>
            <w:vAlign w:val="center"/>
            <w:hideMark/>
          </w:tcPr>
          <w:p w14:paraId="1DCFDBB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A2D0F3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9.31</w:t>
            </w:r>
          </w:p>
        </w:tc>
        <w:tc>
          <w:tcPr>
            <w:tcW w:w="332" w:type="dxa"/>
            <w:tcBorders>
              <w:top w:val="nil"/>
              <w:left w:val="nil"/>
              <w:bottom w:val="single" w:sz="4" w:space="0" w:color="auto"/>
              <w:right w:val="single" w:sz="4" w:space="0" w:color="auto"/>
            </w:tcBorders>
            <w:shd w:val="clear" w:color="auto" w:fill="auto"/>
            <w:noWrap/>
            <w:vAlign w:val="center"/>
            <w:hideMark/>
          </w:tcPr>
          <w:p w14:paraId="3DAE787E"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695151BD"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FB9A2F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3FACC4E1"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209B098"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8C8B4A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36C720B1"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03DFEB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3561993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C3F613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2681687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4D90EC2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4BC06EF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06E72B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1833C70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567044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3.88</w:t>
            </w:r>
          </w:p>
        </w:tc>
        <w:tc>
          <w:tcPr>
            <w:tcW w:w="354" w:type="dxa"/>
            <w:tcBorders>
              <w:top w:val="nil"/>
              <w:left w:val="nil"/>
              <w:bottom w:val="single" w:sz="4" w:space="0" w:color="auto"/>
              <w:right w:val="single" w:sz="4" w:space="0" w:color="auto"/>
            </w:tcBorders>
            <w:shd w:val="clear" w:color="auto" w:fill="auto"/>
            <w:noWrap/>
            <w:vAlign w:val="center"/>
            <w:hideMark/>
          </w:tcPr>
          <w:p w14:paraId="2C1BDC2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3D8AAA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A17287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577999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84B4F0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C249DD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3C7D4B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43920E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0.94</w:t>
            </w:r>
          </w:p>
        </w:tc>
        <w:tc>
          <w:tcPr>
            <w:tcW w:w="354" w:type="dxa"/>
            <w:tcBorders>
              <w:top w:val="nil"/>
              <w:left w:val="nil"/>
              <w:bottom w:val="single" w:sz="4" w:space="0" w:color="auto"/>
              <w:right w:val="single" w:sz="4" w:space="0" w:color="auto"/>
            </w:tcBorders>
            <w:shd w:val="clear" w:color="auto" w:fill="auto"/>
            <w:noWrap/>
            <w:vAlign w:val="center"/>
            <w:hideMark/>
          </w:tcPr>
          <w:p w14:paraId="0EB08B1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5D4181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4" w:type="dxa"/>
            <w:tcBorders>
              <w:top w:val="nil"/>
              <w:left w:val="nil"/>
              <w:bottom w:val="single" w:sz="4" w:space="0" w:color="auto"/>
              <w:right w:val="single" w:sz="4" w:space="0" w:color="auto"/>
            </w:tcBorders>
            <w:shd w:val="clear" w:color="auto" w:fill="auto"/>
            <w:noWrap/>
            <w:vAlign w:val="center"/>
            <w:hideMark/>
          </w:tcPr>
          <w:p w14:paraId="54AE03E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32D96A7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9D57EF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E74A49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2.31</w:t>
            </w:r>
          </w:p>
        </w:tc>
        <w:tc>
          <w:tcPr>
            <w:tcW w:w="354" w:type="dxa"/>
            <w:tcBorders>
              <w:top w:val="nil"/>
              <w:left w:val="nil"/>
              <w:bottom w:val="single" w:sz="4" w:space="0" w:color="auto"/>
              <w:right w:val="single" w:sz="4" w:space="0" w:color="auto"/>
            </w:tcBorders>
            <w:shd w:val="clear" w:color="auto" w:fill="auto"/>
            <w:noWrap/>
            <w:vAlign w:val="center"/>
            <w:hideMark/>
          </w:tcPr>
          <w:p w14:paraId="0BDC27E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r>
      <w:tr w:rsidR="005B15EC" w:rsidRPr="005B15EC" w14:paraId="250EF81D"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75C0E04A"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03695E10"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7C4A43E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81D038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3.00</w:t>
            </w:r>
          </w:p>
        </w:tc>
        <w:tc>
          <w:tcPr>
            <w:tcW w:w="332" w:type="dxa"/>
            <w:tcBorders>
              <w:top w:val="nil"/>
              <w:left w:val="nil"/>
              <w:bottom w:val="single" w:sz="4" w:space="0" w:color="auto"/>
              <w:right w:val="single" w:sz="4" w:space="0" w:color="auto"/>
            </w:tcBorders>
            <w:shd w:val="clear" w:color="auto" w:fill="auto"/>
            <w:noWrap/>
            <w:vAlign w:val="center"/>
            <w:hideMark/>
          </w:tcPr>
          <w:p w14:paraId="1C1D853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2" w:type="dxa"/>
            <w:tcBorders>
              <w:top w:val="nil"/>
              <w:left w:val="nil"/>
              <w:bottom w:val="single" w:sz="4" w:space="0" w:color="auto"/>
              <w:right w:val="single" w:sz="4" w:space="0" w:color="auto"/>
            </w:tcBorders>
            <w:shd w:val="clear" w:color="auto" w:fill="auto"/>
            <w:noWrap/>
            <w:vAlign w:val="center"/>
            <w:hideMark/>
          </w:tcPr>
          <w:p w14:paraId="338BB49E"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19CE8F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4BA318B6"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AF7E00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25B15B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B5CA96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4CDCB14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498A0C9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01108B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8883FD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5E06733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387E3FA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E5D82A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4469F9F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0A8370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3.69</w:t>
            </w:r>
          </w:p>
        </w:tc>
        <w:tc>
          <w:tcPr>
            <w:tcW w:w="354" w:type="dxa"/>
            <w:tcBorders>
              <w:top w:val="nil"/>
              <w:left w:val="nil"/>
              <w:bottom w:val="single" w:sz="4" w:space="0" w:color="auto"/>
              <w:right w:val="single" w:sz="4" w:space="0" w:color="auto"/>
            </w:tcBorders>
            <w:shd w:val="clear" w:color="auto" w:fill="auto"/>
            <w:noWrap/>
            <w:vAlign w:val="center"/>
            <w:hideMark/>
          </w:tcPr>
          <w:p w14:paraId="4053D26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6ABB582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4" w:type="dxa"/>
            <w:tcBorders>
              <w:top w:val="nil"/>
              <w:left w:val="nil"/>
              <w:bottom w:val="single" w:sz="4" w:space="0" w:color="auto"/>
              <w:right w:val="single" w:sz="4" w:space="0" w:color="auto"/>
            </w:tcBorders>
            <w:shd w:val="clear" w:color="auto" w:fill="auto"/>
            <w:noWrap/>
            <w:vAlign w:val="center"/>
            <w:hideMark/>
          </w:tcPr>
          <w:p w14:paraId="303122B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80C89F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4157BE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73F4F7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0.88</w:t>
            </w:r>
          </w:p>
        </w:tc>
        <w:tc>
          <w:tcPr>
            <w:tcW w:w="354" w:type="dxa"/>
            <w:tcBorders>
              <w:top w:val="nil"/>
              <w:left w:val="nil"/>
              <w:bottom w:val="single" w:sz="4" w:space="0" w:color="auto"/>
              <w:right w:val="single" w:sz="4" w:space="0" w:color="auto"/>
            </w:tcBorders>
            <w:shd w:val="clear" w:color="auto" w:fill="auto"/>
            <w:noWrap/>
            <w:vAlign w:val="center"/>
            <w:hideMark/>
          </w:tcPr>
          <w:p w14:paraId="22D78BE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21FCFD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4" w:type="dxa"/>
            <w:tcBorders>
              <w:top w:val="nil"/>
              <w:left w:val="nil"/>
              <w:bottom w:val="single" w:sz="4" w:space="0" w:color="auto"/>
              <w:right w:val="single" w:sz="4" w:space="0" w:color="auto"/>
            </w:tcBorders>
            <w:shd w:val="clear" w:color="auto" w:fill="auto"/>
            <w:noWrap/>
            <w:vAlign w:val="center"/>
            <w:hideMark/>
          </w:tcPr>
          <w:p w14:paraId="5974AB7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BE3D27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1.00</w:t>
            </w:r>
          </w:p>
        </w:tc>
        <w:tc>
          <w:tcPr>
            <w:tcW w:w="354" w:type="dxa"/>
            <w:tcBorders>
              <w:top w:val="nil"/>
              <w:left w:val="nil"/>
              <w:bottom w:val="single" w:sz="4" w:space="0" w:color="auto"/>
              <w:right w:val="single" w:sz="4" w:space="0" w:color="auto"/>
            </w:tcBorders>
            <w:shd w:val="clear" w:color="auto" w:fill="auto"/>
            <w:noWrap/>
            <w:vAlign w:val="center"/>
            <w:hideMark/>
          </w:tcPr>
          <w:p w14:paraId="1E0D38C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7C49052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856E27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839AA8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3.69</w:t>
            </w:r>
          </w:p>
        </w:tc>
        <w:tc>
          <w:tcPr>
            <w:tcW w:w="354" w:type="dxa"/>
            <w:tcBorders>
              <w:top w:val="nil"/>
              <w:left w:val="nil"/>
              <w:bottom w:val="single" w:sz="4" w:space="0" w:color="auto"/>
              <w:right w:val="single" w:sz="4" w:space="0" w:color="auto"/>
            </w:tcBorders>
            <w:shd w:val="clear" w:color="auto" w:fill="auto"/>
            <w:noWrap/>
            <w:vAlign w:val="center"/>
            <w:hideMark/>
          </w:tcPr>
          <w:p w14:paraId="375077C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1.19</w:t>
            </w:r>
          </w:p>
        </w:tc>
      </w:tr>
      <w:tr w:rsidR="005B15EC" w:rsidRPr="005B15EC" w14:paraId="1A9D9415"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A513193"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7E7A15B"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Dunk South</w:t>
            </w:r>
          </w:p>
        </w:tc>
        <w:tc>
          <w:tcPr>
            <w:tcW w:w="313" w:type="dxa"/>
            <w:tcBorders>
              <w:top w:val="nil"/>
              <w:left w:val="nil"/>
              <w:bottom w:val="single" w:sz="4" w:space="0" w:color="auto"/>
              <w:right w:val="single" w:sz="4" w:space="0" w:color="auto"/>
            </w:tcBorders>
            <w:shd w:val="clear" w:color="auto" w:fill="auto"/>
            <w:noWrap/>
            <w:vAlign w:val="center"/>
            <w:hideMark/>
          </w:tcPr>
          <w:p w14:paraId="7C25E87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5552FC5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4.19</w:t>
            </w:r>
          </w:p>
        </w:tc>
        <w:tc>
          <w:tcPr>
            <w:tcW w:w="332" w:type="dxa"/>
            <w:tcBorders>
              <w:top w:val="nil"/>
              <w:left w:val="nil"/>
              <w:bottom w:val="single" w:sz="4" w:space="0" w:color="auto"/>
              <w:right w:val="single" w:sz="4" w:space="0" w:color="auto"/>
            </w:tcBorders>
            <w:shd w:val="clear" w:color="auto" w:fill="auto"/>
            <w:noWrap/>
            <w:vAlign w:val="center"/>
            <w:hideMark/>
          </w:tcPr>
          <w:p w14:paraId="6BA83002"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E46ADB8"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883426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0.75</w:t>
            </w:r>
          </w:p>
        </w:tc>
        <w:tc>
          <w:tcPr>
            <w:tcW w:w="353" w:type="dxa"/>
            <w:tcBorders>
              <w:top w:val="nil"/>
              <w:left w:val="nil"/>
              <w:bottom w:val="single" w:sz="4" w:space="0" w:color="auto"/>
              <w:right w:val="single" w:sz="4" w:space="0" w:color="auto"/>
            </w:tcBorders>
            <w:shd w:val="clear" w:color="auto" w:fill="auto"/>
            <w:noWrap/>
            <w:vAlign w:val="center"/>
            <w:hideMark/>
          </w:tcPr>
          <w:p w14:paraId="0E96A1F1"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3CF4316"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14D871A"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644975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606E7C2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099D0B0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8BD695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0.75</w:t>
            </w:r>
          </w:p>
        </w:tc>
        <w:tc>
          <w:tcPr>
            <w:tcW w:w="354" w:type="dxa"/>
            <w:tcBorders>
              <w:top w:val="nil"/>
              <w:left w:val="nil"/>
              <w:bottom w:val="single" w:sz="4" w:space="0" w:color="auto"/>
              <w:right w:val="single" w:sz="4" w:space="0" w:color="auto"/>
            </w:tcBorders>
            <w:shd w:val="clear" w:color="auto" w:fill="auto"/>
            <w:noWrap/>
            <w:vAlign w:val="center"/>
            <w:hideMark/>
          </w:tcPr>
          <w:p w14:paraId="457EAE8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7FA6A4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4CCBFB9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87F828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5EBE86F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E4CDED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1.63</w:t>
            </w:r>
          </w:p>
        </w:tc>
        <w:tc>
          <w:tcPr>
            <w:tcW w:w="354" w:type="dxa"/>
            <w:tcBorders>
              <w:top w:val="nil"/>
              <w:left w:val="nil"/>
              <w:bottom w:val="single" w:sz="4" w:space="0" w:color="auto"/>
              <w:right w:val="single" w:sz="4" w:space="0" w:color="auto"/>
            </w:tcBorders>
            <w:shd w:val="clear" w:color="auto" w:fill="auto"/>
            <w:noWrap/>
            <w:vAlign w:val="center"/>
            <w:hideMark/>
          </w:tcPr>
          <w:p w14:paraId="760CC20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27C790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C3C16B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840A9D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4" w:type="dxa"/>
            <w:tcBorders>
              <w:top w:val="nil"/>
              <w:left w:val="nil"/>
              <w:bottom w:val="single" w:sz="4" w:space="0" w:color="auto"/>
              <w:right w:val="single" w:sz="4" w:space="0" w:color="auto"/>
            </w:tcBorders>
            <w:shd w:val="clear" w:color="auto" w:fill="auto"/>
            <w:noWrap/>
            <w:vAlign w:val="center"/>
            <w:hideMark/>
          </w:tcPr>
          <w:p w14:paraId="33C0C03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49B351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15123F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0DD04A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A078F2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F0B658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1.88</w:t>
            </w:r>
          </w:p>
        </w:tc>
        <w:tc>
          <w:tcPr>
            <w:tcW w:w="354" w:type="dxa"/>
            <w:tcBorders>
              <w:top w:val="nil"/>
              <w:left w:val="nil"/>
              <w:bottom w:val="single" w:sz="4" w:space="0" w:color="auto"/>
              <w:right w:val="single" w:sz="4" w:space="0" w:color="auto"/>
            </w:tcBorders>
            <w:shd w:val="clear" w:color="auto" w:fill="auto"/>
            <w:noWrap/>
            <w:vAlign w:val="center"/>
            <w:hideMark/>
          </w:tcPr>
          <w:p w14:paraId="73435CE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7A513C2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97C88D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99A8BA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0.75</w:t>
            </w:r>
          </w:p>
        </w:tc>
        <w:tc>
          <w:tcPr>
            <w:tcW w:w="354" w:type="dxa"/>
            <w:tcBorders>
              <w:top w:val="nil"/>
              <w:left w:val="nil"/>
              <w:bottom w:val="single" w:sz="4" w:space="0" w:color="auto"/>
              <w:right w:val="single" w:sz="4" w:space="0" w:color="auto"/>
            </w:tcBorders>
            <w:shd w:val="clear" w:color="auto" w:fill="auto"/>
            <w:noWrap/>
            <w:vAlign w:val="center"/>
            <w:hideMark/>
          </w:tcPr>
          <w:p w14:paraId="18EB6C1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r>
      <w:tr w:rsidR="005B15EC" w:rsidRPr="005B15EC" w14:paraId="3465E2D0"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2A469D2E"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7208C659"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55AE3FF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18D8B57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1.63</w:t>
            </w:r>
          </w:p>
        </w:tc>
        <w:tc>
          <w:tcPr>
            <w:tcW w:w="332" w:type="dxa"/>
            <w:tcBorders>
              <w:top w:val="nil"/>
              <w:left w:val="nil"/>
              <w:bottom w:val="single" w:sz="4" w:space="0" w:color="auto"/>
              <w:right w:val="single" w:sz="4" w:space="0" w:color="auto"/>
            </w:tcBorders>
            <w:shd w:val="clear" w:color="auto" w:fill="auto"/>
            <w:noWrap/>
            <w:vAlign w:val="center"/>
            <w:hideMark/>
          </w:tcPr>
          <w:p w14:paraId="4CB705DA"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46851B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112B07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5507C148"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58EC604"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14F5FA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3" w:type="dxa"/>
            <w:tcBorders>
              <w:top w:val="nil"/>
              <w:left w:val="nil"/>
              <w:bottom w:val="single" w:sz="4" w:space="0" w:color="auto"/>
              <w:right w:val="single" w:sz="4" w:space="0" w:color="auto"/>
            </w:tcBorders>
            <w:shd w:val="clear" w:color="auto" w:fill="auto"/>
            <w:noWrap/>
            <w:vAlign w:val="center"/>
            <w:hideMark/>
          </w:tcPr>
          <w:p w14:paraId="0D150EC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3.75</w:t>
            </w:r>
          </w:p>
        </w:tc>
        <w:tc>
          <w:tcPr>
            <w:tcW w:w="353" w:type="dxa"/>
            <w:tcBorders>
              <w:top w:val="nil"/>
              <w:left w:val="nil"/>
              <w:bottom w:val="single" w:sz="4" w:space="0" w:color="auto"/>
              <w:right w:val="single" w:sz="4" w:space="0" w:color="auto"/>
            </w:tcBorders>
            <w:shd w:val="clear" w:color="auto" w:fill="auto"/>
            <w:noWrap/>
            <w:vAlign w:val="center"/>
            <w:hideMark/>
          </w:tcPr>
          <w:p w14:paraId="7BE4362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1.00</w:t>
            </w:r>
          </w:p>
        </w:tc>
        <w:tc>
          <w:tcPr>
            <w:tcW w:w="353" w:type="dxa"/>
            <w:tcBorders>
              <w:top w:val="nil"/>
              <w:left w:val="nil"/>
              <w:bottom w:val="single" w:sz="4" w:space="0" w:color="auto"/>
              <w:right w:val="single" w:sz="4" w:space="0" w:color="auto"/>
            </w:tcBorders>
            <w:shd w:val="clear" w:color="auto" w:fill="auto"/>
            <w:noWrap/>
            <w:vAlign w:val="center"/>
            <w:hideMark/>
          </w:tcPr>
          <w:p w14:paraId="7CFED59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575567F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02821B5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545EA8D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4E7F7B8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BB392F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031AA15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4.00</w:t>
            </w:r>
          </w:p>
        </w:tc>
        <w:tc>
          <w:tcPr>
            <w:tcW w:w="354" w:type="dxa"/>
            <w:tcBorders>
              <w:top w:val="nil"/>
              <w:left w:val="nil"/>
              <w:bottom w:val="single" w:sz="4" w:space="0" w:color="auto"/>
              <w:right w:val="single" w:sz="4" w:space="0" w:color="auto"/>
            </w:tcBorders>
            <w:shd w:val="clear" w:color="auto" w:fill="auto"/>
            <w:noWrap/>
            <w:vAlign w:val="center"/>
            <w:hideMark/>
          </w:tcPr>
          <w:p w14:paraId="2FAB7D1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2.38</w:t>
            </w:r>
          </w:p>
        </w:tc>
        <w:tc>
          <w:tcPr>
            <w:tcW w:w="354" w:type="dxa"/>
            <w:tcBorders>
              <w:top w:val="nil"/>
              <w:left w:val="nil"/>
              <w:bottom w:val="single" w:sz="4" w:space="0" w:color="auto"/>
              <w:right w:val="single" w:sz="4" w:space="0" w:color="auto"/>
            </w:tcBorders>
            <w:shd w:val="clear" w:color="auto" w:fill="auto"/>
            <w:noWrap/>
            <w:vAlign w:val="center"/>
            <w:hideMark/>
          </w:tcPr>
          <w:p w14:paraId="60EB8F7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1.69</w:t>
            </w:r>
          </w:p>
        </w:tc>
        <w:tc>
          <w:tcPr>
            <w:tcW w:w="354" w:type="dxa"/>
            <w:tcBorders>
              <w:top w:val="nil"/>
              <w:left w:val="nil"/>
              <w:bottom w:val="single" w:sz="4" w:space="0" w:color="auto"/>
              <w:right w:val="single" w:sz="4" w:space="0" w:color="auto"/>
            </w:tcBorders>
            <w:shd w:val="clear" w:color="auto" w:fill="auto"/>
            <w:noWrap/>
            <w:vAlign w:val="center"/>
            <w:hideMark/>
          </w:tcPr>
          <w:p w14:paraId="47EB8F1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0.88</w:t>
            </w:r>
          </w:p>
        </w:tc>
        <w:tc>
          <w:tcPr>
            <w:tcW w:w="354" w:type="dxa"/>
            <w:tcBorders>
              <w:top w:val="nil"/>
              <w:left w:val="nil"/>
              <w:bottom w:val="single" w:sz="4" w:space="0" w:color="auto"/>
              <w:right w:val="single" w:sz="4" w:space="0" w:color="auto"/>
            </w:tcBorders>
            <w:shd w:val="clear" w:color="auto" w:fill="auto"/>
            <w:noWrap/>
            <w:vAlign w:val="center"/>
            <w:hideMark/>
          </w:tcPr>
          <w:p w14:paraId="32DE1EE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3.75</w:t>
            </w:r>
          </w:p>
        </w:tc>
        <w:tc>
          <w:tcPr>
            <w:tcW w:w="354" w:type="dxa"/>
            <w:tcBorders>
              <w:top w:val="nil"/>
              <w:left w:val="nil"/>
              <w:bottom w:val="single" w:sz="4" w:space="0" w:color="auto"/>
              <w:right w:val="single" w:sz="4" w:space="0" w:color="auto"/>
            </w:tcBorders>
            <w:shd w:val="clear" w:color="auto" w:fill="auto"/>
            <w:noWrap/>
            <w:vAlign w:val="center"/>
            <w:hideMark/>
          </w:tcPr>
          <w:p w14:paraId="0E5570A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7ED032A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c>
          <w:tcPr>
            <w:tcW w:w="354" w:type="dxa"/>
            <w:tcBorders>
              <w:top w:val="nil"/>
              <w:left w:val="nil"/>
              <w:bottom w:val="single" w:sz="4" w:space="0" w:color="auto"/>
              <w:right w:val="single" w:sz="4" w:space="0" w:color="auto"/>
            </w:tcBorders>
            <w:shd w:val="clear" w:color="auto" w:fill="auto"/>
            <w:noWrap/>
            <w:vAlign w:val="center"/>
            <w:hideMark/>
          </w:tcPr>
          <w:p w14:paraId="1434050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0.69</w:t>
            </w:r>
          </w:p>
        </w:tc>
        <w:tc>
          <w:tcPr>
            <w:tcW w:w="354" w:type="dxa"/>
            <w:tcBorders>
              <w:top w:val="nil"/>
              <w:left w:val="nil"/>
              <w:bottom w:val="single" w:sz="4" w:space="0" w:color="auto"/>
              <w:right w:val="single" w:sz="4" w:space="0" w:color="auto"/>
            </w:tcBorders>
            <w:shd w:val="clear" w:color="auto" w:fill="auto"/>
            <w:noWrap/>
            <w:vAlign w:val="center"/>
            <w:hideMark/>
          </w:tcPr>
          <w:p w14:paraId="2AB2187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D6254A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4" w:type="dxa"/>
            <w:tcBorders>
              <w:top w:val="nil"/>
              <w:left w:val="nil"/>
              <w:bottom w:val="single" w:sz="4" w:space="0" w:color="auto"/>
              <w:right w:val="single" w:sz="4" w:space="0" w:color="auto"/>
            </w:tcBorders>
            <w:shd w:val="clear" w:color="auto" w:fill="auto"/>
            <w:noWrap/>
            <w:vAlign w:val="center"/>
            <w:hideMark/>
          </w:tcPr>
          <w:p w14:paraId="1056F51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7306674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2.69</w:t>
            </w:r>
          </w:p>
        </w:tc>
        <w:tc>
          <w:tcPr>
            <w:tcW w:w="354" w:type="dxa"/>
            <w:tcBorders>
              <w:top w:val="nil"/>
              <w:left w:val="nil"/>
              <w:bottom w:val="single" w:sz="4" w:space="0" w:color="auto"/>
              <w:right w:val="single" w:sz="4" w:space="0" w:color="auto"/>
            </w:tcBorders>
            <w:shd w:val="clear" w:color="auto" w:fill="auto"/>
            <w:noWrap/>
            <w:vAlign w:val="center"/>
            <w:hideMark/>
          </w:tcPr>
          <w:p w14:paraId="57B5C1E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2DD698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4" w:type="dxa"/>
            <w:tcBorders>
              <w:top w:val="nil"/>
              <w:left w:val="nil"/>
              <w:bottom w:val="single" w:sz="4" w:space="0" w:color="auto"/>
              <w:right w:val="single" w:sz="4" w:space="0" w:color="auto"/>
            </w:tcBorders>
            <w:shd w:val="clear" w:color="auto" w:fill="auto"/>
            <w:noWrap/>
            <w:vAlign w:val="center"/>
            <w:hideMark/>
          </w:tcPr>
          <w:p w14:paraId="332738D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2BD4CD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4.69</w:t>
            </w:r>
          </w:p>
        </w:tc>
        <w:tc>
          <w:tcPr>
            <w:tcW w:w="354" w:type="dxa"/>
            <w:tcBorders>
              <w:top w:val="nil"/>
              <w:left w:val="nil"/>
              <w:bottom w:val="single" w:sz="4" w:space="0" w:color="auto"/>
              <w:right w:val="single" w:sz="4" w:space="0" w:color="auto"/>
            </w:tcBorders>
            <w:shd w:val="clear" w:color="auto" w:fill="auto"/>
            <w:noWrap/>
            <w:vAlign w:val="center"/>
            <w:hideMark/>
          </w:tcPr>
          <w:p w14:paraId="333932F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1.38</w:t>
            </w:r>
          </w:p>
        </w:tc>
      </w:tr>
      <w:tr w:rsidR="005B15EC" w:rsidRPr="005B15EC" w14:paraId="150286E4"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3BB1A4E"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ED0CE1"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Bedarra</w:t>
            </w:r>
          </w:p>
        </w:tc>
        <w:tc>
          <w:tcPr>
            <w:tcW w:w="313" w:type="dxa"/>
            <w:tcBorders>
              <w:top w:val="nil"/>
              <w:left w:val="nil"/>
              <w:bottom w:val="single" w:sz="4" w:space="0" w:color="auto"/>
              <w:right w:val="single" w:sz="4" w:space="0" w:color="auto"/>
            </w:tcBorders>
            <w:shd w:val="clear" w:color="auto" w:fill="auto"/>
            <w:noWrap/>
            <w:vAlign w:val="center"/>
            <w:hideMark/>
          </w:tcPr>
          <w:p w14:paraId="50141F2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2EFD02E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1.88</w:t>
            </w:r>
          </w:p>
        </w:tc>
        <w:tc>
          <w:tcPr>
            <w:tcW w:w="332" w:type="dxa"/>
            <w:tcBorders>
              <w:top w:val="nil"/>
              <w:left w:val="nil"/>
              <w:bottom w:val="single" w:sz="4" w:space="0" w:color="auto"/>
              <w:right w:val="single" w:sz="4" w:space="0" w:color="auto"/>
            </w:tcBorders>
            <w:shd w:val="clear" w:color="auto" w:fill="auto"/>
            <w:noWrap/>
            <w:vAlign w:val="center"/>
            <w:hideMark/>
          </w:tcPr>
          <w:p w14:paraId="3B650D91"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EC64F9D"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8E90F0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3" w:type="dxa"/>
            <w:tcBorders>
              <w:top w:val="nil"/>
              <w:left w:val="nil"/>
              <w:bottom w:val="single" w:sz="4" w:space="0" w:color="auto"/>
              <w:right w:val="single" w:sz="4" w:space="0" w:color="auto"/>
            </w:tcBorders>
            <w:shd w:val="clear" w:color="auto" w:fill="auto"/>
            <w:noWrap/>
            <w:vAlign w:val="center"/>
            <w:hideMark/>
          </w:tcPr>
          <w:p w14:paraId="6FF1727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CC0A4D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58141C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6AC5F99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4804DE7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7DD72F2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4338E6A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78F5555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76D76E5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41B14FD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A506FD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4" w:type="dxa"/>
            <w:tcBorders>
              <w:top w:val="nil"/>
              <w:left w:val="nil"/>
              <w:bottom w:val="single" w:sz="4" w:space="0" w:color="auto"/>
              <w:right w:val="single" w:sz="4" w:space="0" w:color="auto"/>
            </w:tcBorders>
            <w:shd w:val="clear" w:color="auto" w:fill="auto"/>
            <w:noWrap/>
            <w:vAlign w:val="center"/>
            <w:hideMark/>
          </w:tcPr>
          <w:p w14:paraId="0ADEDC8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2BDF51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0.69</w:t>
            </w:r>
          </w:p>
        </w:tc>
        <w:tc>
          <w:tcPr>
            <w:tcW w:w="354" w:type="dxa"/>
            <w:tcBorders>
              <w:top w:val="nil"/>
              <w:left w:val="nil"/>
              <w:bottom w:val="single" w:sz="4" w:space="0" w:color="auto"/>
              <w:right w:val="single" w:sz="4" w:space="0" w:color="auto"/>
            </w:tcBorders>
            <w:shd w:val="clear" w:color="auto" w:fill="auto"/>
            <w:noWrap/>
            <w:vAlign w:val="center"/>
            <w:hideMark/>
          </w:tcPr>
          <w:p w14:paraId="6C703DF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906C31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03771B6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B63144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30E148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E35667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61A9AA2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4F1141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6F9CE7E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717AA86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2.44</w:t>
            </w:r>
          </w:p>
        </w:tc>
        <w:tc>
          <w:tcPr>
            <w:tcW w:w="354" w:type="dxa"/>
            <w:tcBorders>
              <w:top w:val="nil"/>
              <w:left w:val="nil"/>
              <w:bottom w:val="single" w:sz="4" w:space="0" w:color="auto"/>
              <w:right w:val="single" w:sz="4" w:space="0" w:color="auto"/>
            </w:tcBorders>
            <w:shd w:val="clear" w:color="auto" w:fill="auto"/>
            <w:noWrap/>
            <w:vAlign w:val="center"/>
            <w:hideMark/>
          </w:tcPr>
          <w:p w14:paraId="099B0C2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C2ED9F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C6C945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C84F0D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4" w:type="dxa"/>
            <w:tcBorders>
              <w:top w:val="nil"/>
              <w:left w:val="nil"/>
              <w:bottom w:val="single" w:sz="4" w:space="0" w:color="auto"/>
              <w:right w:val="single" w:sz="4" w:space="0" w:color="auto"/>
            </w:tcBorders>
            <w:shd w:val="clear" w:color="auto" w:fill="auto"/>
            <w:noWrap/>
            <w:vAlign w:val="center"/>
            <w:hideMark/>
          </w:tcPr>
          <w:p w14:paraId="1317D99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r>
      <w:tr w:rsidR="005B15EC" w:rsidRPr="005B15EC" w14:paraId="793A1D74"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1CFD8BEF"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45EDFEA8"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564F3AA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388A581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32" w:type="dxa"/>
            <w:tcBorders>
              <w:top w:val="nil"/>
              <w:left w:val="nil"/>
              <w:bottom w:val="single" w:sz="4" w:space="0" w:color="auto"/>
              <w:right w:val="single" w:sz="4" w:space="0" w:color="auto"/>
            </w:tcBorders>
            <w:shd w:val="clear" w:color="auto" w:fill="auto"/>
            <w:noWrap/>
            <w:vAlign w:val="center"/>
            <w:hideMark/>
          </w:tcPr>
          <w:p w14:paraId="2E630789"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824D2A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7B35B1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26BA6131"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72F547D"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DC9286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91F23C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2.88</w:t>
            </w:r>
          </w:p>
        </w:tc>
        <w:tc>
          <w:tcPr>
            <w:tcW w:w="353" w:type="dxa"/>
            <w:tcBorders>
              <w:top w:val="nil"/>
              <w:left w:val="nil"/>
              <w:bottom w:val="single" w:sz="4" w:space="0" w:color="auto"/>
              <w:right w:val="single" w:sz="4" w:space="0" w:color="auto"/>
            </w:tcBorders>
            <w:shd w:val="clear" w:color="auto" w:fill="auto"/>
            <w:noWrap/>
            <w:vAlign w:val="center"/>
            <w:hideMark/>
          </w:tcPr>
          <w:p w14:paraId="7AAD2E0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60CC02C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0D949CA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1949E01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4226F27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3.69</w:t>
            </w:r>
          </w:p>
        </w:tc>
        <w:tc>
          <w:tcPr>
            <w:tcW w:w="354" w:type="dxa"/>
            <w:tcBorders>
              <w:top w:val="nil"/>
              <w:left w:val="nil"/>
              <w:bottom w:val="single" w:sz="4" w:space="0" w:color="auto"/>
              <w:right w:val="single" w:sz="4" w:space="0" w:color="auto"/>
            </w:tcBorders>
            <w:shd w:val="clear" w:color="auto" w:fill="auto"/>
            <w:noWrap/>
            <w:vAlign w:val="center"/>
            <w:hideMark/>
          </w:tcPr>
          <w:p w14:paraId="6B31128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4A0A79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1.19</w:t>
            </w:r>
          </w:p>
        </w:tc>
        <w:tc>
          <w:tcPr>
            <w:tcW w:w="354" w:type="dxa"/>
            <w:tcBorders>
              <w:top w:val="nil"/>
              <w:left w:val="nil"/>
              <w:bottom w:val="single" w:sz="4" w:space="0" w:color="auto"/>
              <w:right w:val="single" w:sz="4" w:space="0" w:color="auto"/>
            </w:tcBorders>
            <w:shd w:val="clear" w:color="auto" w:fill="auto"/>
            <w:noWrap/>
            <w:vAlign w:val="center"/>
            <w:hideMark/>
          </w:tcPr>
          <w:p w14:paraId="324986D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49C7018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0.88</w:t>
            </w:r>
          </w:p>
        </w:tc>
        <w:tc>
          <w:tcPr>
            <w:tcW w:w="354" w:type="dxa"/>
            <w:tcBorders>
              <w:top w:val="nil"/>
              <w:left w:val="nil"/>
              <w:bottom w:val="single" w:sz="4" w:space="0" w:color="auto"/>
              <w:right w:val="single" w:sz="4" w:space="0" w:color="auto"/>
            </w:tcBorders>
            <w:shd w:val="clear" w:color="auto" w:fill="auto"/>
            <w:noWrap/>
            <w:vAlign w:val="center"/>
            <w:hideMark/>
          </w:tcPr>
          <w:p w14:paraId="7291A76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0.75</w:t>
            </w:r>
          </w:p>
        </w:tc>
        <w:tc>
          <w:tcPr>
            <w:tcW w:w="354" w:type="dxa"/>
            <w:tcBorders>
              <w:top w:val="nil"/>
              <w:left w:val="nil"/>
              <w:bottom w:val="single" w:sz="4" w:space="0" w:color="auto"/>
              <w:right w:val="single" w:sz="4" w:space="0" w:color="auto"/>
            </w:tcBorders>
            <w:shd w:val="clear" w:color="auto" w:fill="auto"/>
            <w:noWrap/>
            <w:vAlign w:val="center"/>
            <w:hideMark/>
          </w:tcPr>
          <w:p w14:paraId="58D0DA3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F502CB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21D1812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D540F2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1CD72E0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060DA5F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54A51CB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5D4BA1D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398BF37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3.63</w:t>
            </w:r>
          </w:p>
        </w:tc>
        <w:tc>
          <w:tcPr>
            <w:tcW w:w="354" w:type="dxa"/>
            <w:tcBorders>
              <w:top w:val="nil"/>
              <w:left w:val="nil"/>
              <w:bottom w:val="single" w:sz="4" w:space="0" w:color="auto"/>
              <w:right w:val="single" w:sz="4" w:space="0" w:color="auto"/>
            </w:tcBorders>
            <w:shd w:val="clear" w:color="auto" w:fill="auto"/>
            <w:noWrap/>
            <w:vAlign w:val="center"/>
            <w:hideMark/>
          </w:tcPr>
          <w:p w14:paraId="490817F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68B27C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3381019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726B59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c>
          <w:tcPr>
            <w:tcW w:w="354" w:type="dxa"/>
            <w:tcBorders>
              <w:top w:val="nil"/>
              <w:left w:val="nil"/>
              <w:bottom w:val="single" w:sz="4" w:space="0" w:color="auto"/>
              <w:right w:val="single" w:sz="4" w:space="0" w:color="auto"/>
            </w:tcBorders>
            <w:shd w:val="clear" w:color="auto" w:fill="auto"/>
            <w:noWrap/>
            <w:vAlign w:val="center"/>
            <w:hideMark/>
          </w:tcPr>
          <w:p w14:paraId="2311B42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0.69</w:t>
            </w:r>
          </w:p>
        </w:tc>
      </w:tr>
      <w:tr w:rsidR="005B15EC" w:rsidRPr="005B15EC" w14:paraId="04905C40" w14:textId="77777777" w:rsidTr="00DA2628">
        <w:trPr>
          <w:trHeight w:hRule="exact" w:val="397"/>
        </w:trPr>
        <w:tc>
          <w:tcPr>
            <w:tcW w:w="389"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4588D5B0"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Burdekin</w:t>
            </w: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D7AA62B"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Palms East</w:t>
            </w:r>
          </w:p>
        </w:tc>
        <w:tc>
          <w:tcPr>
            <w:tcW w:w="313" w:type="dxa"/>
            <w:tcBorders>
              <w:top w:val="nil"/>
              <w:left w:val="nil"/>
              <w:bottom w:val="single" w:sz="4" w:space="0" w:color="auto"/>
              <w:right w:val="single" w:sz="4" w:space="0" w:color="auto"/>
            </w:tcBorders>
            <w:shd w:val="clear" w:color="auto" w:fill="auto"/>
            <w:noWrap/>
            <w:vAlign w:val="center"/>
            <w:hideMark/>
          </w:tcPr>
          <w:p w14:paraId="5545824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6A4DD8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12.06</w:t>
            </w:r>
          </w:p>
        </w:tc>
        <w:tc>
          <w:tcPr>
            <w:tcW w:w="332" w:type="dxa"/>
            <w:tcBorders>
              <w:top w:val="nil"/>
              <w:left w:val="nil"/>
              <w:bottom w:val="single" w:sz="4" w:space="0" w:color="auto"/>
              <w:right w:val="single" w:sz="4" w:space="0" w:color="auto"/>
            </w:tcBorders>
            <w:shd w:val="clear" w:color="auto" w:fill="auto"/>
            <w:noWrap/>
            <w:vAlign w:val="center"/>
            <w:hideMark/>
          </w:tcPr>
          <w:p w14:paraId="5DD2584E"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69929C3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8811D0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4C42ED28"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E90F50B"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A1574D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430781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27C8464"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DEFCF5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3F1FC5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56B921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7AD0646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7A9B54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49BBB5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56F811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1B8A3A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0.94</w:t>
            </w:r>
          </w:p>
        </w:tc>
        <w:tc>
          <w:tcPr>
            <w:tcW w:w="354" w:type="dxa"/>
            <w:tcBorders>
              <w:top w:val="nil"/>
              <w:left w:val="nil"/>
              <w:bottom w:val="single" w:sz="4" w:space="0" w:color="auto"/>
              <w:right w:val="single" w:sz="4" w:space="0" w:color="auto"/>
            </w:tcBorders>
            <w:shd w:val="clear" w:color="auto" w:fill="auto"/>
            <w:noWrap/>
            <w:vAlign w:val="center"/>
            <w:hideMark/>
          </w:tcPr>
          <w:p w14:paraId="136A218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994B07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84304E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E1FB77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1CDDD6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1B42A8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7CFB8E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6F67E6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95BC3E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0766AD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1.00</w:t>
            </w:r>
          </w:p>
        </w:tc>
        <w:tc>
          <w:tcPr>
            <w:tcW w:w="354" w:type="dxa"/>
            <w:tcBorders>
              <w:top w:val="nil"/>
              <w:left w:val="nil"/>
              <w:bottom w:val="single" w:sz="4" w:space="0" w:color="auto"/>
              <w:right w:val="single" w:sz="4" w:space="0" w:color="auto"/>
            </w:tcBorders>
            <w:shd w:val="clear" w:color="auto" w:fill="auto"/>
            <w:noWrap/>
            <w:vAlign w:val="center"/>
            <w:hideMark/>
          </w:tcPr>
          <w:p w14:paraId="59ED038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4AE55C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F1E580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2A2444E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C73765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r>
      <w:tr w:rsidR="005B15EC" w:rsidRPr="005B15EC" w14:paraId="7DD57C80"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312FB8E6"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0ED52B7F"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22F255B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5D0331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7.38</w:t>
            </w:r>
          </w:p>
        </w:tc>
        <w:tc>
          <w:tcPr>
            <w:tcW w:w="332" w:type="dxa"/>
            <w:tcBorders>
              <w:top w:val="nil"/>
              <w:left w:val="nil"/>
              <w:bottom w:val="single" w:sz="4" w:space="0" w:color="auto"/>
              <w:right w:val="single" w:sz="4" w:space="0" w:color="auto"/>
            </w:tcBorders>
            <w:shd w:val="clear" w:color="auto" w:fill="auto"/>
            <w:noWrap/>
            <w:vAlign w:val="center"/>
            <w:hideMark/>
          </w:tcPr>
          <w:p w14:paraId="5F45B840"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10BA4B7D"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5EEC4E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4404276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E69A789"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64D2748"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8E8E061"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8F4C04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3" w:type="dxa"/>
            <w:tcBorders>
              <w:top w:val="nil"/>
              <w:left w:val="nil"/>
              <w:bottom w:val="single" w:sz="4" w:space="0" w:color="auto"/>
              <w:right w:val="single" w:sz="4" w:space="0" w:color="auto"/>
            </w:tcBorders>
            <w:shd w:val="clear" w:color="auto" w:fill="auto"/>
            <w:noWrap/>
            <w:vAlign w:val="center"/>
            <w:hideMark/>
          </w:tcPr>
          <w:p w14:paraId="40824CB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1C62D9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0AD1137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11E57D6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C0792F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99E8F7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2F35BE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D191D7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1.19</w:t>
            </w:r>
          </w:p>
        </w:tc>
        <w:tc>
          <w:tcPr>
            <w:tcW w:w="354" w:type="dxa"/>
            <w:tcBorders>
              <w:top w:val="nil"/>
              <w:left w:val="nil"/>
              <w:bottom w:val="single" w:sz="4" w:space="0" w:color="auto"/>
              <w:right w:val="single" w:sz="4" w:space="0" w:color="auto"/>
            </w:tcBorders>
            <w:shd w:val="clear" w:color="auto" w:fill="auto"/>
            <w:noWrap/>
            <w:vAlign w:val="center"/>
            <w:hideMark/>
          </w:tcPr>
          <w:p w14:paraId="678CE7D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3A76CD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906408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FE55FA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D92FB0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AB6382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B960C5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665027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4" w:type="dxa"/>
            <w:tcBorders>
              <w:top w:val="nil"/>
              <w:left w:val="nil"/>
              <w:bottom w:val="single" w:sz="4" w:space="0" w:color="auto"/>
              <w:right w:val="single" w:sz="4" w:space="0" w:color="auto"/>
            </w:tcBorders>
            <w:shd w:val="clear" w:color="auto" w:fill="auto"/>
            <w:noWrap/>
            <w:vAlign w:val="center"/>
            <w:hideMark/>
          </w:tcPr>
          <w:p w14:paraId="4C1D197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36638C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0.88</w:t>
            </w:r>
          </w:p>
        </w:tc>
        <w:tc>
          <w:tcPr>
            <w:tcW w:w="354" w:type="dxa"/>
            <w:tcBorders>
              <w:top w:val="nil"/>
              <w:left w:val="nil"/>
              <w:bottom w:val="single" w:sz="4" w:space="0" w:color="auto"/>
              <w:right w:val="single" w:sz="4" w:space="0" w:color="auto"/>
            </w:tcBorders>
            <w:shd w:val="clear" w:color="auto" w:fill="auto"/>
            <w:noWrap/>
            <w:vAlign w:val="center"/>
            <w:hideMark/>
          </w:tcPr>
          <w:p w14:paraId="539D08A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A60D64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008B70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961AC6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320D69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r>
      <w:tr w:rsidR="005B15EC" w:rsidRPr="005B15EC" w14:paraId="6BDD464F"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0216414D"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D3D1C2"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Palms West</w:t>
            </w:r>
          </w:p>
        </w:tc>
        <w:tc>
          <w:tcPr>
            <w:tcW w:w="313" w:type="dxa"/>
            <w:tcBorders>
              <w:top w:val="nil"/>
              <w:left w:val="nil"/>
              <w:bottom w:val="single" w:sz="4" w:space="0" w:color="auto"/>
              <w:right w:val="single" w:sz="4" w:space="0" w:color="auto"/>
            </w:tcBorders>
            <w:shd w:val="clear" w:color="auto" w:fill="auto"/>
            <w:noWrap/>
            <w:vAlign w:val="center"/>
            <w:hideMark/>
          </w:tcPr>
          <w:p w14:paraId="1B22CE7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215713D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1.00</w:t>
            </w:r>
          </w:p>
        </w:tc>
        <w:tc>
          <w:tcPr>
            <w:tcW w:w="332" w:type="dxa"/>
            <w:tcBorders>
              <w:top w:val="nil"/>
              <w:left w:val="nil"/>
              <w:bottom w:val="single" w:sz="4" w:space="0" w:color="auto"/>
              <w:right w:val="single" w:sz="4" w:space="0" w:color="auto"/>
            </w:tcBorders>
            <w:shd w:val="clear" w:color="auto" w:fill="auto"/>
            <w:noWrap/>
            <w:vAlign w:val="center"/>
            <w:hideMark/>
          </w:tcPr>
          <w:p w14:paraId="24A178A0"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619D5137"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B41829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B3B01D7"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1C2770A"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C5D7D9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79A8FF1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34E4C3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4DCF1C1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D769CF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A6F8E8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54BCE8F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E41ACC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88E742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C0C0EE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35A4C05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0C7365D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217486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241094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640CF62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04C137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193287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5839F6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58784F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5.13</w:t>
            </w:r>
          </w:p>
        </w:tc>
        <w:tc>
          <w:tcPr>
            <w:tcW w:w="354" w:type="dxa"/>
            <w:tcBorders>
              <w:top w:val="nil"/>
              <w:left w:val="nil"/>
              <w:bottom w:val="single" w:sz="4" w:space="0" w:color="auto"/>
              <w:right w:val="single" w:sz="4" w:space="0" w:color="auto"/>
            </w:tcBorders>
            <w:shd w:val="clear" w:color="auto" w:fill="auto"/>
            <w:noWrap/>
            <w:vAlign w:val="center"/>
            <w:hideMark/>
          </w:tcPr>
          <w:p w14:paraId="3B04E14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544448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4" w:type="dxa"/>
            <w:tcBorders>
              <w:top w:val="nil"/>
              <w:left w:val="nil"/>
              <w:bottom w:val="single" w:sz="4" w:space="0" w:color="auto"/>
              <w:right w:val="single" w:sz="4" w:space="0" w:color="auto"/>
            </w:tcBorders>
            <w:shd w:val="clear" w:color="auto" w:fill="auto"/>
            <w:noWrap/>
            <w:vAlign w:val="center"/>
            <w:hideMark/>
          </w:tcPr>
          <w:p w14:paraId="6706BF8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8EF2E0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AC5D06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1D8138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971BFF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r>
      <w:tr w:rsidR="005B15EC" w:rsidRPr="005B15EC" w14:paraId="487537F7"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22DF22A9"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65417ED7"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1CABE8F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0A14B33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4.00</w:t>
            </w:r>
          </w:p>
        </w:tc>
        <w:tc>
          <w:tcPr>
            <w:tcW w:w="332" w:type="dxa"/>
            <w:tcBorders>
              <w:top w:val="nil"/>
              <w:left w:val="nil"/>
              <w:bottom w:val="single" w:sz="4" w:space="0" w:color="auto"/>
              <w:right w:val="single" w:sz="4" w:space="0" w:color="auto"/>
            </w:tcBorders>
            <w:shd w:val="clear" w:color="auto" w:fill="auto"/>
            <w:noWrap/>
            <w:vAlign w:val="center"/>
            <w:hideMark/>
          </w:tcPr>
          <w:p w14:paraId="572CA910"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675EA15A"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460F20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0631EBC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443021F1"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592E7C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FD387B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210AC5C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35517F9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2979A3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5D04273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3605C4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4" w:type="dxa"/>
            <w:tcBorders>
              <w:top w:val="nil"/>
              <w:left w:val="nil"/>
              <w:bottom w:val="single" w:sz="4" w:space="0" w:color="auto"/>
              <w:right w:val="single" w:sz="4" w:space="0" w:color="auto"/>
            </w:tcBorders>
            <w:shd w:val="clear" w:color="auto" w:fill="auto"/>
            <w:noWrap/>
            <w:vAlign w:val="center"/>
            <w:hideMark/>
          </w:tcPr>
          <w:p w14:paraId="22C071E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BDE4C3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2A1D99C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CA1B7B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0.81</w:t>
            </w:r>
          </w:p>
        </w:tc>
        <w:tc>
          <w:tcPr>
            <w:tcW w:w="354" w:type="dxa"/>
            <w:tcBorders>
              <w:top w:val="nil"/>
              <w:left w:val="nil"/>
              <w:bottom w:val="single" w:sz="4" w:space="0" w:color="auto"/>
              <w:right w:val="single" w:sz="4" w:space="0" w:color="auto"/>
            </w:tcBorders>
            <w:shd w:val="clear" w:color="auto" w:fill="auto"/>
            <w:noWrap/>
            <w:vAlign w:val="center"/>
            <w:hideMark/>
          </w:tcPr>
          <w:p w14:paraId="7312DA4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354D937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7C20023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302EA9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51EDF28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307DF8E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BC2001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C8B6F1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5C30B5D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3BDE58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4.13</w:t>
            </w:r>
          </w:p>
        </w:tc>
        <w:tc>
          <w:tcPr>
            <w:tcW w:w="354" w:type="dxa"/>
            <w:tcBorders>
              <w:top w:val="nil"/>
              <w:left w:val="nil"/>
              <w:bottom w:val="single" w:sz="4" w:space="0" w:color="auto"/>
              <w:right w:val="single" w:sz="4" w:space="0" w:color="auto"/>
            </w:tcBorders>
            <w:shd w:val="clear" w:color="auto" w:fill="auto"/>
            <w:noWrap/>
            <w:vAlign w:val="center"/>
            <w:hideMark/>
          </w:tcPr>
          <w:p w14:paraId="371C659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772D02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AA8A17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24733A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094D32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r>
      <w:tr w:rsidR="005B15EC" w:rsidRPr="005B15EC" w14:paraId="0C9B6E1A"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F0CC6E" w14:textId="77777777" w:rsidR="005B15EC" w:rsidRPr="005B15EC" w:rsidRDefault="005B15EC" w:rsidP="005B15EC">
            <w:pPr>
              <w:spacing w:after="0"/>
              <w:jc w:val="left"/>
              <w:rPr>
                <w:rFonts w:ascii="Arial Narrow" w:hAnsi="Arial Narrow"/>
                <w:sz w:val="18"/>
                <w:szCs w:val="18"/>
                <w:lang w:val="en-AU" w:eastAsia="en-AU"/>
              </w:rPr>
            </w:pPr>
          </w:p>
        </w:tc>
        <w:tc>
          <w:tcPr>
            <w:tcW w:w="875" w:type="dxa"/>
            <w:tcBorders>
              <w:top w:val="nil"/>
              <w:left w:val="nil"/>
              <w:bottom w:val="single" w:sz="4" w:space="0" w:color="auto"/>
              <w:right w:val="single" w:sz="4" w:space="0" w:color="auto"/>
            </w:tcBorders>
            <w:shd w:val="clear" w:color="auto" w:fill="auto"/>
            <w:noWrap/>
            <w:vAlign w:val="center"/>
            <w:hideMark/>
          </w:tcPr>
          <w:p w14:paraId="57DF7FA9"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Havannah North</w:t>
            </w:r>
          </w:p>
        </w:tc>
        <w:tc>
          <w:tcPr>
            <w:tcW w:w="313" w:type="dxa"/>
            <w:tcBorders>
              <w:top w:val="nil"/>
              <w:left w:val="nil"/>
              <w:bottom w:val="single" w:sz="4" w:space="0" w:color="auto"/>
              <w:right w:val="single" w:sz="4" w:space="0" w:color="auto"/>
            </w:tcBorders>
            <w:shd w:val="clear" w:color="auto" w:fill="auto"/>
            <w:noWrap/>
            <w:vAlign w:val="center"/>
            <w:hideMark/>
          </w:tcPr>
          <w:p w14:paraId="34315F3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51EC59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2.97</w:t>
            </w:r>
          </w:p>
        </w:tc>
        <w:tc>
          <w:tcPr>
            <w:tcW w:w="332" w:type="dxa"/>
            <w:tcBorders>
              <w:top w:val="nil"/>
              <w:left w:val="nil"/>
              <w:bottom w:val="single" w:sz="4" w:space="0" w:color="auto"/>
              <w:right w:val="single" w:sz="4" w:space="0" w:color="auto"/>
            </w:tcBorders>
            <w:shd w:val="clear" w:color="auto" w:fill="auto"/>
            <w:noWrap/>
            <w:vAlign w:val="center"/>
            <w:hideMark/>
          </w:tcPr>
          <w:p w14:paraId="688F921D"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66E5555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707357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3A9B91D7"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D36BCF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0.10</w:t>
            </w:r>
          </w:p>
        </w:tc>
        <w:tc>
          <w:tcPr>
            <w:tcW w:w="353" w:type="dxa"/>
            <w:tcBorders>
              <w:top w:val="nil"/>
              <w:left w:val="nil"/>
              <w:bottom w:val="single" w:sz="4" w:space="0" w:color="auto"/>
              <w:right w:val="single" w:sz="4" w:space="0" w:color="auto"/>
            </w:tcBorders>
            <w:shd w:val="clear" w:color="auto" w:fill="auto"/>
            <w:noWrap/>
            <w:vAlign w:val="center"/>
            <w:hideMark/>
          </w:tcPr>
          <w:p w14:paraId="37FD5EF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E3061BA"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121E10D"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BC3B0A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0.07</w:t>
            </w:r>
          </w:p>
        </w:tc>
        <w:tc>
          <w:tcPr>
            <w:tcW w:w="354" w:type="dxa"/>
            <w:tcBorders>
              <w:top w:val="nil"/>
              <w:left w:val="nil"/>
              <w:bottom w:val="single" w:sz="4" w:space="0" w:color="auto"/>
              <w:right w:val="single" w:sz="4" w:space="0" w:color="auto"/>
            </w:tcBorders>
            <w:shd w:val="clear" w:color="auto" w:fill="auto"/>
            <w:noWrap/>
            <w:vAlign w:val="center"/>
            <w:hideMark/>
          </w:tcPr>
          <w:p w14:paraId="5D5DA78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0.27</w:t>
            </w:r>
          </w:p>
        </w:tc>
        <w:tc>
          <w:tcPr>
            <w:tcW w:w="354" w:type="dxa"/>
            <w:tcBorders>
              <w:top w:val="nil"/>
              <w:left w:val="nil"/>
              <w:bottom w:val="single" w:sz="4" w:space="0" w:color="auto"/>
              <w:right w:val="single" w:sz="4" w:space="0" w:color="auto"/>
            </w:tcBorders>
            <w:shd w:val="clear" w:color="auto" w:fill="auto"/>
            <w:noWrap/>
            <w:vAlign w:val="center"/>
            <w:hideMark/>
          </w:tcPr>
          <w:p w14:paraId="6CF1A9B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0.07</w:t>
            </w:r>
          </w:p>
        </w:tc>
        <w:tc>
          <w:tcPr>
            <w:tcW w:w="354" w:type="dxa"/>
            <w:tcBorders>
              <w:top w:val="nil"/>
              <w:left w:val="nil"/>
              <w:bottom w:val="single" w:sz="4" w:space="0" w:color="auto"/>
              <w:right w:val="single" w:sz="4" w:space="0" w:color="auto"/>
            </w:tcBorders>
            <w:shd w:val="clear" w:color="auto" w:fill="auto"/>
            <w:noWrap/>
            <w:vAlign w:val="center"/>
            <w:hideMark/>
          </w:tcPr>
          <w:p w14:paraId="0E095F2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4" w:type="dxa"/>
            <w:tcBorders>
              <w:top w:val="nil"/>
              <w:left w:val="nil"/>
              <w:bottom w:val="single" w:sz="4" w:space="0" w:color="auto"/>
              <w:right w:val="single" w:sz="4" w:space="0" w:color="auto"/>
            </w:tcBorders>
            <w:shd w:val="clear" w:color="auto" w:fill="auto"/>
            <w:noWrap/>
            <w:vAlign w:val="center"/>
            <w:hideMark/>
          </w:tcPr>
          <w:p w14:paraId="1894042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17033B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87CF4B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0.27</w:t>
            </w:r>
          </w:p>
        </w:tc>
        <w:tc>
          <w:tcPr>
            <w:tcW w:w="354" w:type="dxa"/>
            <w:tcBorders>
              <w:top w:val="nil"/>
              <w:left w:val="nil"/>
              <w:bottom w:val="single" w:sz="4" w:space="0" w:color="auto"/>
              <w:right w:val="single" w:sz="4" w:space="0" w:color="auto"/>
            </w:tcBorders>
            <w:shd w:val="clear" w:color="auto" w:fill="auto"/>
            <w:noWrap/>
            <w:vAlign w:val="center"/>
            <w:hideMark/>
          </w:tcPr>
          <w:p w14:paraId="7CC5906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0.93</w:t>
            </w:r>
          </w:p>
        </w:tc>
        <w:tc>
          <w:tcPr>
            <w:tcW w:w="354" w:type="dxa"/>
            <w:tcBorders>
              <w:top w:val="nil"/>
              <w:left w:val="nil"/>
              <w:bottom w:val="single" w:sz="4" w:space="0" w:color="auto"/>
              <w:right w:val="single" w:sz="4" w:space="0" w:color="auto"/>
            </w:tcBorders>
            <w:shd w:val="clear" w:color="auto" w:fill="auto"/>
            <w:noWrap/>
            <w:vAlign w:val="center"/>
            <w:hideMark/>
          </w:tcPr>
          <w:p w14:paraId="4242EA3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C1FE51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EA3BA0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A23A9B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5333DF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9DC9D5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F8E164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8F9C10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306E8FC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4" w:type="dxa"/>
            <w:tcBorders>
              <w:top w:val="nil"/>
              <w:left w:val="nil"/>
              <w:bottom w:val="single" w:sz="4" w:space="0" w:color="auto"/>
              <w:right w:val="single" w:sz="4" w:space="0" w:color="auto"/>
            </w:tcBorders>
            <w:shd w:val="clear" w:color="auto" w:fill="auto"/>
            <w:noWrap/>
            <w:vAlign w:val="center"/>
            <w:hideMark/>
          </w:tcPr>
          <w:p w14:paraId="1C8E3FD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0.30</w:t>
            </w:r>
          </w:p>
        </w:tc>
        <w:tc>
          <w:tcPr>
            <w:tcW w:w="354" w:type="dxa"/>
            <w:tcBorders>
              <w:top w:val="nil"/>
              <w:left w:val="nil"/>
              <w:bottom w:val="single" w:sz="4" w:space="0" w:color="auto"/>
              <w:right w:val="single" w:sz="4" w:space="0" w:color="auto"/>
            </w:tcBorders>
            <w:shd w:val="clear" w:color="auto" w:fill="auto"/>
            <w:noWrap/>
            <w:vAlign w:val="center"/>
            <w:hideMark/>
          </w:tcPr>
          <w:p w14:paraId="1833518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3CB73A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F20655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8DCCA1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0.17</w:t>
            </w:r>
          </w:p>
        </w:tc>
        <w:tc>
          <w:tcPr>
            <w:tcW w:w="354" w:type="dxa"/>
            <w:tcBorders>
              <w:top w:val="nil"/>
              <w:left w:val="nil"/>
              <w:bottom w:val="single" w:sz="4" w:space="0" w:color="auto"/>
              <w:right w:val="single" w:sz="4" w:space="0" w:color="auto"/>
            </w:tcBorders>
            <w:shd w:val="clear" w:color="auto" w:fill="auto"/>
            <w:noWrap/>
            <w:vAlign w:val="center"/>
            <w:hideMark/>
          </w:tcPr>
          <w:p w14:paraId="1941CE7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0.70</w:t>
            </w:r>
          </w:p>
        </w:tc>
      </w:tr>
      <w:tr w:rsidR="005B15EC" w:rsidRPr="005B15EC" w14:paraId="60BA78E6"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1DB8302"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D3DB9F9"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Havannah</w:t>
            </w:r>
          </w:p>
        </w:tc>
        <w:tc>
          <w:tcPr>
            <w:tcW w:w="313" w:type="dxa"/>
            <w:tcBorders>
              <w:top w:val="nil"/>
              <w:left w:val="nil"/>
              <w:bottom w:val="single" w:sz="4" w:space="0" w:color="auto"/>
              <w:right w:val="single" w:sz="4" w:space="0" w:color="auto"/>
            </w:tcBorders>
            <w:shd w:val="clear" w:color="auto" w:fill="auto"/>
            <w:noWrap/>
            <w:vAlign w:val="center"/>
            <w:hideMark/>
          </w:tcPr>
          <w:p w14:paraId="64143B8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73D95F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19.56</w:t>
            </w:r>
          </w:p>
        </w:tc>
        <w:tc>
          <w:tcPr>
            <w:tcW w:w="332" w:type="dxa"/>
            <w:tcBorders>
              <w:top w:val="nil"/>
              <w:left w:val="nil"/>
              <w:bottom w:val="single" w:sz="4" w:space="0" w:color="auto"/>
              <w:right w:val="single" w:sz="4" w:space="0" w:color="auto"/>
            </w:tcBorders>
            <w:shd w:val="clear" w:color="auto" w:fill="auto"/>
            <w:noWrap/>
            <w:vAlign w:val="center"/>
            <w:hideMark/>
          </w:tcPr>
          <w:p w14:paraId="10AF2DB4"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B79075E"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D1C64BB"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55153FE"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C100CFE"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ECF3E5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1.00</w:t>
            </w:r>
          </w:p>
        </w:tc>
        <w:tc>
          <w:tcPr>
            <w:tcW w:w="353" w:type="dxa"/>
            <w:tcBorders>
              <w:top w:val="nil"/>
              <w:left w:val="nil"/>
              <w:bottom w:val="single" w:sz="4" w:space="0" w:color="auto"/>
              <w:right w:val="single" w:sz="4" w:space="0" w:color="auto"/>
            </w:tcBorders>
            <w:shd w:val="clear" w:color="auto" w:fill="auto"/>
            <w:noWrap/>
            <w:vAlign w:val="center"/>
            <w:hideMark/>
          </w:tcPr>
          <w:p w14:paraId="7F96A5A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15DFE0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DE6AD2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358D98D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4" w:type="dxa"/>
            <w:tcBorders>
              <w:top w:val="nil"/>
              <w:left w:val="nil"/>
              <w:bottom w:val="single" w:sz="4" w:space="0" w:color="auto"/>
              <w:right w:val="single" w:sz="4" w:space="0" w:color="auto"/>
            </w:tcBorders>
            <w:shd w:val="clear" w:color="auto" w:fill="auto"/>
            <w:noWrap/>
            <w:vAlign w:val="center"/>
            <w:hideMark/>
          </w:tcPr>
          <w:p w14:paraId="142E657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52F7B13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0356782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1.94</w:t>
            </w:r>
          </w:p>
        </w:tc>
        <w:tc>
          <w:tcPr>
            <w:tcW w:w="354" w:type="dxa"/>
            <w:tcBorders>
              <w:top w:val="nil"/>
              <w:left w:val="nil"/>
              <w:bottom w:val="single" w:sz="4" w:space="0" w:color="auto"/>
              <w:right w:val="single" w:sz="4" w:space="0" w:color="auto"/>
            </w:tcBorders>
            <w:shd w:val="clear" w:color="auto" w:fill="auto"/>
            <w:noWrap/>
            <w:vAlign w:val="center"/>
            <w:hideMark/>
          </w:tcPr>
          <w:p w14:paraId="274C3C9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32BD778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29A0180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7.56</w:t>
            </w:r>
          </w:p>
        </w:tc>
        <w:tc>
          <w:tcPr>
            <w:tcW w:w="354" w:type="dxa"/>
            <w:tcBorders>
              <w:top w:val="nil"/>
              <w:left w:val="nil"/>
              <w:bottom w:val="single" w:sz="4" w:space="0" w:color="auto"/>
              <w:right w:val="single" w:sz="4" w:space="0" w:color="auto"/>
            </w:tcBorders>
            <w:shd w:val="clear" w:color="auto" w:fill="auto"/>
            <w:noWrap/>
            <w:vAlign w:val="center"/>
            <w:hideMark/>
          </w:tcPr>
          <w:p w14:paraId="7DC6295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62CF14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531289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9EF86C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7512F47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733A11A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0.81</w:t>
            </w:r>
          </w:p>
        </w:tc>
        <w:tc>
          <w:tcPr>
            <w:tcW w:w="354" w:type="dxa"/>
            <w:tcBorders>
              <w:top w:val="nil"/>
              <w:left w:val="nil"/>
              <w:bottom w:val="single" w:sz="4" w:space="0" w:color="auto"/>
              <w:right w:val="single" w:sz="4" w:space="0" w:color="auto"/>
            </w:tcBorders>
            <w:shd w:val="clear" w:color="auto" w:fill="auto"/>
            <w:noWrap/>
            <w:vAlign w:val="center"/>
            <w:hideMark/>
          </w:tcPr>
          <w:p w14:paraId="15C5624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05839C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63AE388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DBC533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1.94</w:t>
            </w:r>
          </w:p>
        </w:tc>
        <w:tc>
          <w:tcPr>
            <w:tcW w:w="354" w:type="dxa"/>
            <w:tcBorders>
              <w:top w:val="nil"/>
              <w:left w:val="nil"/>
              <w:bottom w:val="single" w:sz="4" w:space="0" w:color="auto"/>
              <w:right w:val="single" w:sz="4" w:space="0" w:color="auto"/>
            </w:tcBorders>
            <w:shd w:val="clear" w:color="auto" w:fill="auto"/>
            <w:noWrap/>
            <w:vAlign w:val="center"/>
            <w:hideMark/>
          </w:tcPr>
          <w:p w14:paraId="2CD11E3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D81683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1887FB5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3C13DA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1.56</w:t>
            </w:r>
          </w:p>
        </w:tc>
        <w:tc>
          <w:tcPr>
            <w:tcW w:w="354" w:type="dxa"/>
            <w:tcBorders>
              <w:top w:val="nil"/>
              <w:left w:val="nil"/>
              <w:bottom w:val="single" w:sz="4" w:space="0" w:color="auto"/>
              <w:right w:val="single" w:sz="4" w:space="0" w:color="auto"/>
            </w:tcBorders>
            <w:shd w:val="clear" w:color="auto" w:fill="auto"/>
            <w:noWrap/>
            <w:vAlign w:val="center"/>
            <w:hideMark/>
          </w:tcPr>
          <w:p w14:paraId="1766E06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r>
      <w:tr w:rsidR="005B15EC" w:rsidRPr="005B15EC" w14:paraId="0AE14D22"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6CBCE7F8"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261BFBD3"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1A98825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7CC9E9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8.19</w:t>
            </w:r>
          </w:p>
        </w:tc>
        <w:tc>
          <w:tcPr>
            <w:tcW w:w="332" w:type="dxa"/>
            <w:tcBorders>
              <w:top w:val="nil"/>
              <w:left w:val="nil"/>
              <w:bottom w:val="single" w:sz="4" w:space="0" w:color="auto"/>
              <w:right w:val="single" w:sz="4" w:space="0" w:color="auto"/>
            </w:tcBorders>
            <w:shd w:val="clear" w:color="auto" w:fill="auto"/>
            <w:noWrap/>
            <w:vAlign w:val="center"/>
            <w:hideMark/>
          </w:tcPr>
          <w:p w14:paraId="2FECEB09"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F018C7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977778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2731EB0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11376F1"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2C6C2E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1.19</w:t>
            </w:r>
          </w:p>
        </w:tc>
        <w:tc>
          <w:tcPr>
            <w:tcW w:w="353" w:type="dxa"/>
            <w:tcBorders>
              <w:top w:val="nil"/>
              <w:left w:val="nil"/>
              <w:bottom w:val="single" w:sz="4" w:space="0" w:color="auto"/>
              <w:right w:val="single" w:sz="4" w:space="0" w:color="auto"/>
            </w:tcBorders>
            <w:shd w:val="clear" w:color="auto" w:fill="auto"/>
            <w:noWrap/>
            <w:vAlign w:val="center"/>
            <w:hideMark/>
          </w:tcPr>
          <w:p w14:paraId="3E2F2EF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0.81</w:t>
            </w:r>
          </w:p>
        </w:tc>
        <w:tc>
          <w:tcPr>
            <w:tcW w:w="353" w:type="dxa"/>
            <w:tcBorders>
              <w:top w:val="nil"/>
              <w:left w:val="nil"/>
              <w:bottom w:val="single" w:sz="4" w:space="0" w:color="auto"/>
              <w:right w:val="single" w:sz="4" w:space="0" w:color="auto"/>
            </w:tcBorders>
            <w:shd w:val="clear" w:color="auto" w:fill="auto"/>
            <w:noWrap/>
            <w:vAlign w:val="center"/>
            <w:hideMark/>
          </w:tcPr>
          <w:p w14:paraId="3328C16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3D90247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2.44</w:t>
            </w:r>
          </w:p>
        </w:tc>
        <w:tc>
          <w:tcPr>
            <w:tcW w:w="354" w:type="dxa"/>
            <w:tcBorders>
              <w:top w:val="nil"/>
              <w:left w:val="nil"/>
              <w:bottom w:val="single" w:sz="4" w:space="0" w:color="auto"/>
              <w:right w:val="single" w:sz="4" w:space="0" w:color="auto"/>
            </w:tcBorders>
            <w:shd w:val="clear" w:color="auto" w:fill="auto"/>
            <w:noWrap/>
            <w:vAlign w:val="center"/>
            <w:hideMark/>
          </w:tcPr>
          <w:p w14:paraId="5DD3F53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0.88</w:t>
            </w:r>
          </w:p>
        </w:tc>
        <w:tc>
          <w:tcPr>
            <w:tcW w:w="354" w:type="dxa"/>
            <w:tcBorders>
              <w:top w:val="nil"/>
              <w:left w:val="nil"/>
              <w:bottom w:val="single" w:sz="4" w:space="0" w:color="auto"/>
              <w:right w:val="single" w:sz="4" w:space="0" w:color="auto"/>
            </w:tcBorders>
            <w:shd w:val="clear" w:color="auto" w:fill="auto"/>
            <w:noWrap/>
            <w:vAlign w:val="center"/>
            <w:hideMark/>
          </w:tcPr>
          <w:p w14:paraId="277264B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A8DB8D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59F9B29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5B45A04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19219D1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1.75</w:t>
            </w:r>
          </w:p>
        </w:tc>
        <w:tc>
          <w:tcPr>
            <w:tcW w:w="354" w:type="dxa"/>
            <w:tcBorders>
              <w:top w:val="nil"/>
              <w:left w:val="nil"/>
              <w:bottom w:val="single" w:sz="4" w:space="0" w:color="auto"/>
              <w:right w:val="single" w:sz="4" w:space="0" w:color="auto"/>
            </w:tcBorders>
            <w:shd w:val="clear" w:color="auto" w:fill="auto"/>
            <w:noWrap/>
            <w:vAlign w:val="center"/>
            <w:hideMark/>
          </w:tcPr>
          <w:p w14:paraId="3993DC5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2.94</w:t>
            </w:r>
          </w:p>
        </w:tc>
        <w:tc>
          <w:tcPr>
            <w:tcW w:w="354" w:type="dxa"/>
            <w:tcBorders>
              <w:top w:val="nil"/>
              <w:left w:val="nil"/>
              <w:bottom w:val="single" w:sz="4" w:space="0" w:color="auto"/>
              <w:right w:val="single" w:sz="4" w:space="0" w:color="auto"/>
            </w:tcBorders>
            <w:shd w:val="clear" w:color="auto" w:fill="auto"/>
            <w:noWrap/>
            <w:vAlign w:val="center"/>
            <w:hideMark/>
          </w:tcPr>
          <w:p w14:paraId="7878A16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6D6297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4" w:type="dxa"/>
            <w:tcBorders>
              <w:top w:val="nil"/>
              <w:left w:val="nil"/>
              <w:bottom w:val="single" w:sz="4" w:space="0" w:color="auto"/>
              <w:right w:val="single" w:sz="4" w:space="0" w:color="auto"/>
            </w:tcBorders>
            <w:shd w:val="clear" w:color="auto" w:fill="auto"/>
            <w:noWrap/>
            <w:vAlign w:val="center"/>
            <w:hideMark/>
          </w:tcPr>
          <w:p w14:paraId="21029E8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7C87FC5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7E7FC3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4" w:type="dxa"/>
            <w:tcBorders>
              <w:top w:val="nil"/>
              <w:left w:val="nil"/>
              <w:bottom w:val="single" w:sz="4" w:space="0" w:color="auto"/>
              <w:right w:val="single" w:sz="4" w:space="0" w:color="auto"/>
            </w:tcBorders>
            <w:shd w:val="clear" w:color="auto" w:fill="auto"/>
            <w:noWrap/>
            <w:vAlign w:val="center"/>
            <w:hideMark/>
          </w:tcPr>
          <w:p w14:paraId="69C3411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02A3EB6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58B0AD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222C937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321D1D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2.06</w:t>
            </w:r>
          </w:p>
        </w:tc>
        <w:tc>
          <w:tcPr>
            <w:tcW w:w="354" w:type="dxa"/>
            <w:tcBorders>
              <w:top w:val="nil"/>
              <w:left w:val="nil"/>
              <w:bottom w:val="single" w:sz="4" w:space="0" w:color="auto"/>
              <w:right w:val="single" w:sz="4" w:space="0" w:color="auto"/>
            </w:tcBorders>
            <w:shd w:val="clear" w:color="auto" w:fill="auto"/>
            <w:noWrap/>
            <w:vAlign w:val="center"/>
            <w:hideMark/>
          </w:tcPr>
          <w:p w14:paraId="637AD80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7ABE589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35A513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AEB285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3.25</w:t>
            </w:r>
          </w:p>
        </w:tc>
        <w:tc>
          <w:tcPr>
            <w:tcW w:w="354" w:type="dxa"/>
            <w:tcBorders>
              <w:top w:val="nil"/>
              <w:left w:val="nil"/>
              <w:bottom w:val="single" w:sz="4" w:space="0" w:color="auto"/>
              <w:right w:val="single" w:sz="4" w:space="0" w:color="auto"/>
            </w:tcBorders>
            <w:shd w:val="clear" w:color="auto" w:fill="auto"/>
            <w:noWrap/>
            <w:vAlign w:val="center"/>
            <w:hideMark/>
          </w:tcPr>
          <w:p w14:paraId="5A7663D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1.63</w:t>
            </w:r>
          </w:p>
        </w:tc>
      </w:tr>
      <w:tr w:rsidR="005B15EC" w:rsidRPr="005B15EC" w14:paraId="73150744"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0058C7E7" w14:textId="77777777" w:rsidR="005B15EC" w:rsidRPr="005B15EC" w:rsidRDefault="005B15EC" w:rsidP="005B15EC">
            <w:pPr>
              <w:spacing w:after="0"/>
              <w:jc w:val="left"/>
              <w:rPr>
                <w:rFonts w:ascii="Arial Narrow" w:hAnsi="Arial Narrow"/>
                <w:sz w:val="18"/>
                <w:szCs w:val="18"/>
                <w:lang w:val="en-AU" w:eastAsia="en-AU"/>
              </w:rPr>
            </w:pPr>
          </w:p>
        </w:tc>
        <w:tc>
          <w:tcPr>
            <w:tcW w:w="875" w:type="dxa"/>
            <w:tcBorders>
              <w:top w:val="nil"/>
              <w:left w:val="nil"/>
              <w:bottom w:val="single" w:sz="4" w:space="0" w:color="auto"/>
              <w:right w:val="single" w:sz="4" w:space="0" w:color="auto"/>
            </w:tcBorders>
            <w:shd w:val="clear" w:color="auto" w:fill="auto"/>
            <w:noWrap/>
            <w:vAlign w:val="center"/>
            <w:hideMark/>
          </w:tcPr>
          <w:p w14:paraId="68F9A562"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Pandora North</w:t>
            </w:r>
          </w:p>
        </w:tc>
        <w:tc>
          <w:tcPr>
            <w:tcW w:w="313" w:type="dxa"/>
            <w:tcBorders>
              <w:top w:val="nil"/>
              <w:left w:val="nil"/>
              <w:bottom w:val="single" w:sz="4" w:space="0" w:color="auto"/>
              <w:right w:val="single" w:sz="4" w:space="0" w:color="auto"/>
            </w:tcBorders>
            <w:shd w:val="clear" w:color="auto" w:fill="auto"/>
            <w:noWrap/>
            <w:vAlign w:val="center"/>
            <w:hideMark/>
          </w:tcPr>
          <w:p w14:paraId="4C4A90D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3A39A7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1.27</w:t>
            </w:r>
          </w:p>
        </w:tc>
        <w:tc>
          <w:tcPr>
            <w:tcW w:w="332" w:type="dxa"/>
            <w:tcBorders>
              <w:top w:val="nil"/>
              <w:left w:val="nil"/>
              <w:bottom w:val="single" w:sz="4" w:space="0" w:color="auto"/>
              <w:right w:val="single" w:sz="4" w:space="0" w:color="auto"/>
            </w:tcBorders>
            <w:shd w:val="clear" w:color="auto" w:fill="auto"/>
            <w:noWrap/>
            <w:vAlign w:val="center"/>
            <w:hideMark/>
          </w:tcPr>
          <w:p w14:paraId="1668B11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1.10</w:t>
            </w:r>
          </w:p>
        </w:tc>
        <w:tc>
          <w:tcPr>
            <w:tcW w:w="352" w:type="dxa"/>
            <w:tcBorders>
              <w:top w:val="nil"/>
              <w:left w:val="nil"/>
              <w:bottom w:val="single" w:sz="4" w:space="0" w:color="auto"/>
              <w:right w:val="single" w:sz="4" w:space="0" w:color="auto"/>
            </w:tcBorders>
            <w:shd w:val="clear" w:color="auto" w:fill="auto"/>
            <w:noWrap/>
            <w:vAlign w:val="center"/>
            <w:hideMark/>
          </w:tcPr>
          <w:p w14:paraId="495DFF7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3" w:type="dxa"/>
            <w:tcBorders>
              <w:top w:val="nil"/>
              <w:left w:val="nil"/>
              <w:bottom w:val="single" w:sz="4" w:space="0" w:color="auto"/>
              <w:right w:val="single" w:sz="4" w:space="0" w:color="auto"/>
            </w:tcBorders>
            <w:shd w:val="clear" w:color="auto" w:fill="auto"/>
            <w:noWrap/>
            <w:vAlign w:val="center"/>
            <w:hideMark/>
          </w:tcPr>
          <w:p w14:paraId="361D6E3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2219F77E"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938698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1.00</w:t>
            </w:r>
          </w:p>
        </w:tc>
        <w:tc>
          <w:tcPr>
            <w:tcW w:w="353" w:type="dxa"/>
            <w:tcBorders>
              <w:top w:val="nil"/>
              <w:left w:val="nil"/>
              <w:bottom w:val="single" w:sz="4" w:space="0" w:color="auto"/>
              <w:right w:val="single" w:sz="4" w:space="0" w:color="auto"/>
            </w:tcBorders>
            <w:shd w:val="clear" w:color="auto" w:fill="auto"/>
            <w:noWrap/>
            <w:vAlign w:val="center"/>
            <w:hideMark/>
          </w:tcPr>
          <w:p w14:paraId="64342D5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0.83</w:t>
            </w:r>
          </w:p>
        </w:tc>
        <w:tc>
          <w:tcPr>
            <w:tcW w:w="353" w:type="dxa"/>
            <w:tcBorders>
              <w:top w:val="nil"/>
              <w:left w:val="nil"/>
              <w:bottom w:val="single" w:sz="4" w:space="0" w:color="auto"/>
              <w:right w:val="single" w:sz="4" w:space="0" w:color="auto"/>
            </w:tcBorders>
            <w:shd w:val="clear" w:color="auto" w:fill="auto"/>
            <w:noWrap/>
            <w:vAlign w:val="center"/>
            <w:hideMark/>
          </w:tcPr>
          <w:p w14:paraId="40BC344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0.37</w:t>
            </w:r>
          </w:p>
        </w:tc>
        <w:tc>
          <w:tcPr>
            <w:tcW w:w="353" w:type="dxa"/>
            <w:tcBorders>
              <w:top w:val="nil"/>
              <w:left w:val="nil"/>
              <w:bottom w:val="single" w:sz="4" w:space="0" w:color="auto"/>
              <w:right w:val="single" w:sz="4" w:space="0" w:color="auto"/>
            </w:tcBorders>
            <w:shd w:val="clear" w:color="auto" w:fill="auto"/>
            <w:noWrap/>
            <w:vAlign w:val="center"/>
            <w:hideMark/>
          </w:tcPr>
          <w:p w14:paraId="0F2E613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0.10</w:t>
            </w:r>
          </w:p>
        </w:tc>
        <w:tc>
          <w:tcPr>
            <w:tcW w:w="353" w:type="dxa"/>
            <w:tcBorders>
              <w:top w:val="nil"/>
              <w:left w:val="nil"/>
              <w:bottom w:val="single" w:sz="4" w:space="0" w:color="auto"/>
              <w:right w:val="single" w:sz="4" w:space="0" w:color="auto"/>
            </w:tcBorders>
            <w:shd w:val="clear" w:color="auto" w:fill="auto"/>
            <w:noWrap/>
            <w:vAlign w:val="center"/>
            <w:hideMark/>
          </w:tcPr>
          <w:p w14:paraId="0153164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0.23</w:t>
            </w:r>
          </w:p>
        </w:tc>
        <w:tc>
          <w:tcPr>
            <w:tcW w:w="354" w:type="dxa"/>
            <w:tcBorders>
              <w:top w:val="nil"/>
              <w:left w:val="nil"/>
              <w:bottom w:val="single" w:sz="4" w:space="0" w:color="auto"/>
              <w:right w:val="single" w:sz="4" w:space="0" w:color="auto"/>
            </w:tcBorders>
            <w:shd w:val="clear" w:color="auto" w:fill="auto"/>
            <w:noWrap/>
            <w:vAlign w:val="center"/>
            <w:hideMark/>
          </w:tcPr>
          <w:p w14:paraId="6B8B53B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1.40</w:t>
            </w:r>
          </w:p>
        </w:tc>
        <w:tc>
          <w:tcPr>
            <w:tcW w:w="354" w:type="dxa"/>
            <w:tcBorders>
              <w:top w:val="nil"/>
              <w:left w:val="nil"/>
              <w:bottom w:val="single" w:sz="4" w:space="0" w:color="auto"/>
              <w:right w:val="single" w:sz="4" w:space="0" w:color="auto"/>
            </w:tcBorders>
            <w:shd w:val="clear" w:color="auto" w:fill="auto"/>
            <w:noWrap/>
            <w:vAlign w:val="center"/>
            <w:hideMark/>
          </w:tcPr>
          <w:p w14:paraId="5B17D28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0.07</w:t>
            </w:r>
          </w:p>
        </w:tc>
        <w:tc>
          <w:tcPr>
            <w:tcW w:w="354" w:type="dxa"/>
            <w:tcBorders>
              <w:top w:val="nil"/>
              <w:left w:val="nil"/>
              <w:bottom w:val="single" w:sz="4" w:space="0" w:color="auto"/>
              <w:right w:val="single" w:sz="4" w:space="0" w:color="auto"/>
            </w:tcBorders>
            <w:shd w:val="clear" w:color="auto" w:fill="auto"/>
            <w:noWrap/>
            <w:vAlign w:val="center"/>
            <w:hideMark/>
          </w:tcPr>
          <w:p w14:paraId="3BF5314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10.73</w:t>
            </w:r>
          </w:p>
        </w:tc>
        <w:tc>
          <w:tcPr>
            <w:tcW w:w="354" w:type="dxa"/>
            <w:tcBorders>
              <w:top w:val="nil"/>
              <w:left w:val="nil"/>
              <w:bottom w:val="single" w:sz="4" w:space="0" w:color="auto"/>
              <w:right w:val="single" w:sz="4" w:space="0" w:color="auto"/>
            </w:tcBorders>
            <w:shd w:val="clear" w:color="auto" w:fill="auto"/>
            <w:noWrap/>
            <w:vAlign w:val="center"/>
            <w:hideMark/>
          </w:tcPr>
          <w:p w14:paraId="48706AA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0.30</w:t>
            </w:r>
          </w:p>
        </w:tc>
        <w:tc>
          <w:tcPr>
            <w:tcW w:w="354" w:type="dxa"/>
            <w:tcBorders>
              <w:top w:val="nil"/>
              <w:left w:val="nil"/>
              <w:bottom w:val="single" w:sz="4" w:space="0" w:color="auto"/>
              <w:right w:val="single" w:sz="4" w:space="0" w:color="auto"/>
            </w:tcBorders>
            <w:shd w:val="clear" w:color="auto" w:fill="auto"/>
            <w:noWrap/>
            <w:vAlign w:val="center"/>
            <w:hideMark/>
          </w:tcPr>
          <w:p w14:paraId="1BB7634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0.30</w:t>
            </w:r>
          </w:p>
        </w:tc>
        <w:tc>
          <w:tcPr>
            <w:tcW w:w="354" w:type="dxa"/>
            <w:tcBorders>
              <w:top w:val="nil"/>
              <w:left w:val="nil"/>
              <w:bottom w:val="single" w:sz="4" w:space="0" w:color="auto"/>
              <w:right w:val="single" w:sz="4" w:space="0" w:color="auto"/>
            </w:tcBorders>
            <w:shd w:val="clear" w:color="auto" w:fill="auto"/>
            <w:noWrap/>
            <w:vAlign w:val="center"/>
            <w:hideMark/>
          </w:tcPr>
          <w:p w14:paraId="65695F6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0.77</w:t>
            </w:r>
          </w:p>
        </w:tc>
        <w:tc>
          <w:tcPr>
            <w:tcW w:w="354" w:type="dxa"/>
            <w:tcBorders>
              <w:top w:val="nil"/>
              <w:left w:val="nil"/>
              <w:bottom w:val="single" w:sz="4" w:space="0" w:color="auto"/>
              <w:right w:val="single" w:sz="4" w:space="0" w:color="auto"/>
            </w:tcBorders>
            <w:shd w:val="clear" w:color="auto" w:fill="auto"/>
            <w:noWrap/>
            <w:vAlign w:val="center"/>
            <w:hideMark/>
          </w:tcPr>
          <w:p w14:paraId="167D075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1.40</w:t>
            </w:r>
          </w:p>
        </w:tc>
        <w:tc>
          <w:tcPr>
            <w:tcW w:w="354" w:type="dxa"/>
            <w:tcBorders>
              <w:top w:val="nil"/>
              <w:left w:val="nil"/>
              <w:bottom w:val="single" w:sz="4" w:space="0" w:color="auto"/>
              <w:right w:val="single" w:sz="4" w:space="0" w:color="auto"/>
            </w:tcBorders>
            <w:shd w:val="clear" w:color="auto" w:fill="auto"/>
            <w:noWrap/>
            <w:vAlign w:val="center"/>
            <w:hideMark/>
          </w:tcPr>
          <w:p w14:paraId="558FA58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0.77</w:t>
            </w:r>
          </w:p>
        </w:tc>
        <w:tc>
          <w:tcPr>
            <w:tcW w:w="354" w:type="dxa"/>
            <w:tcBorders>
              <w:top w:val="nil"/>
              <w:left w:val="nil"/>
              <w:bottom w:val="single" w:sz="4" w:space="0" w:color="auto"/>
              <w:right w:val="single" w:sz="4" w:space="0" w:color="auto"/>
            </w:tcBorders>
            <w:shd w:val="clear" w:color="auto" w:fill="auto"/>
            <w:noWrap/>
            <w:vAlign w:val="center"/>
            <w:hideMark/>
          </w:tcPr>
          <w:p w14:paraId="02CD9E0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0.07</w:t>
            </w:r>
          </w:p>
        </w:tc>
        <w:tc>
          <w:tcPr>
            <w:tcW w:w="354" w:type="dxa"/>
            <w:tcBorders>
              <w:top w:val="nil"/>
              <w:left w:val="nil"/>
              <w:bottom w:val="single" w:sz="4" w:space="0" w:color="auto"/>
              <w:right w:val="single" w:sz="4" w:space="0" w:color="auto"/>
            </w:tcBorders>
            <w:shd w:val="clear" w:color="auto" w:fill="auto"/>
            <w:noWrap/>
            <w:vAlign w:val="center"/>
            <w:hideMark/>
          </w:tcPr>
          <w:p w14:paraId="2534740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4.53</w:t>
            </w:r>
          </w:p>
        </w:tc>
        <w:tc>
          <w:tcPr>
            <w:tcW w:w="354" w:type="dxa"/>
            <w:tcBorders>
              <w:top w:val="nil"/>
              <w:left w:val="nil"/>
              <w:bottom w:val="single" w:sz="4" w:space="0" w:color="auto"/>
              <w:right w:val="single" w:sz="4" w:space="0" w:color="auto"/>
            </w:tcBorders>
            <w:shd w:val="clear" w:color="auto" w:fill="auto"/>
            <w:noWrap/>
            <w:vAlign w:val="center"/>
            <w:hideMark/>
          </w:tcPr>
          <w:p w14:paraId="6853B8D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6EE7C6F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4" w:type="dxa"/>
            <w:tcBorders>
              <w:top w:val="nil"/>
              <w:left w:val="nil"/>
              <w:bottom w:val="single" w:sz="4" w:space="0" w:color="auto"/>
              <w:right w:val="single" w:sz="4" w:space="0" w:color="auto"/>
            </w:tcBorders>
            <w:shd w:val="clear" w:color="auto" w:fill="auto"/>
            <w:noWrap/>
            <w:vAlign w:val="center"/>
            <w:hideMark/>
          </w:tcPr>
          <w:p w14:paraId="4CC97D1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68D01F5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34F137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0.27</w:t>
            </w:r>
          </w:p>
        </w:tc>
        <w:tc>
          <w:tcPr>
            <w:tcW w:w="354" w:type="dxa"/>
            <w:tcBorders>
              <w:top w:val="nil"/>
              <w:left w:val="nil"/>
              <w:bottom w:val="single" w:sz="4" w:space="0" w:color="auto"/>
              <w:right w:val="single" w:sz="4" w:space="0" w:color="auto"/>
            </w:tcBorders>
            <w:shd w:val="clear" w:color="auto" w:fill="auto"/>
            <w:noWrap/>
            <w:vAlign w:val="center"/>
            <w:hideMark/>
          </w:tcPr>
          <w:p w14:paraId="5BAB75C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0.30</w:t>
            </w:r>
          </w:p>
        </w:tc>
        <w:tc>
          <w:tcPr>
            <w:tcW w:w="354" w:type="dxa"/>
            <w:tcBorders>
              <w:top w:val="nil"/>
              <w:left w:val="nil"/>
              <w:bottom w:val="single" w:sz="4" w:space="0" w:color="auto"/>
              <w:right w:val="single" w:sz="4" w:space="0" w:color="auto"/>
            </w:tcBorders>
            <w:shd w:val="clear" w:color="auto" w:fill="auto"/>
            <w:noWrap/>
            <w:vAlign w:val="center"/>
            <w:hideMark/>
          </w:tcPr>
          <w:p w14:paraId="5BD3400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2.03</w:t>
            </w:r>
          </w:p>
        </w:tc>
        <w:tc>
          <w:tcPr>
            <w:tcW w:w="354" w:type="dxa"/>
            <w:tcBorders>
              <w:top w:val="nil"/>
              <w:left w:val="nil"/>
              <w:bottom w:val="single" w:sz="4" w:space="0" w:color="auto"/>
              <w:right w:val="single" w:sz="4" w:space="0" w:color="auto"/>
            </w:tcBorders>
            <w:shd w:val="clear" w:color="auto" w:fill="auto"/>
            <w:noWrap/>
            <w:vAlign w:val="center"/>
            <w:hideMark/>
          </w:tcPr>
          <w:p w14:paraId="524CC88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6B5B76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4" w:type="dxa"/>
            <w:tcBorders>
              <w:top w:val="nil"/>
              <w:left w:val="nil"/>
              <w:bottom w:val="single" w:sz="4" w:space="0" w:color="auto"/>
              <w:right w:val="single" w:sz="4" w:space="0" w:color="auto"/>
            </w:tcBorders>
            <w:shd w:val="clear" w:color="auto" w:fill="auto"/>
            <w:noWrap/>
            <w:vAlign w:val="center"/>
            <w:hideMark/>
          </w:tcPr>
          <w:p w14:paraId="644A253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B82824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7.03</w:t>
            </w:r>
          </w:p>
        </w:tc>
        <w:tc>
          <w:tcPr>
            <w:tcW w:w="354" w:type="dxa"/>
            <w:tcBorders>
              <w:top w:val="nil"/>
              <w:left w:val="nil"/>
              <w:bottom w:val="single" w:sz="4" w:space="0" w:color="auto"/>
              <w:right w:val="single" w:sz="4" w:space="0" w:color="auto"/>
            </w:tcBorders>
            <w:shd w:val="clear" w:color="auto" w:fill="auto"/>
            <w:noWrap/>
            <w:vAlign w:val="center"/>
            <w:hideMark/>
          </w:tcPr>
          <w:p w14:paraId="28CD9D3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2.70</w:t>
            </w:r>
          </w:p>
        </w:tc>
      </w:tr>
      <w:tr w:rsidR="005B15EC" w:rsidRPr="005B15EC" w14:paraId="5D185218"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08C4B611"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D894F1D"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Pandora</w:t>
            </w:r>
          </w:p>
        </w:tc>
        <w:tc>
          <w:tcPr>
            <w:tcW w:w="313" w:type="dxa"/>
            <w:tcBorders>
              <w:top w:val="nil"/>
              <w:left w:val="nil"/>
              <w:bottom w:val="single" w:sz="4" w:space="0" w:color="auto"/>
              <w:right w:val="single" w:sz="4" w:space="0" w:color="auto"/>
            </w:tcBorders>
            <w:shd w:val="clear" w:color="auto" w:fill="auto"/>
            <w:noWrap/>
            <w:vAlign w:val="center"/>
            <w:hideMark/>
          </w:tcPr>
          <w:p w14:paraId="17ACFA6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210213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1.44</w:t>
            </w:r>
          </w:p>
        </w:tc>
        <w:tc>
          <w:tcPr>
            <w:tcW w:w="332" w:type="dxa"/>
            <w:tcBorders>
              <w:top w:val="nil"/>
              <w:left w:val="nil"/>
              <w:bottom w:val="single" w:sz="4" w:space="0" w:color="auto"/>
              <w:right w:val="single" w:sz="4" w:space="0" w:color="auto"/>
            </w:tcBorders>
            <w:shd w:val="clear" w:color="auto" w:fill="auto"/>
            <w:noWrap/>
            <w:vAlign w:val="center"/>
            <w:hideMark/>
          </w:tcPr>
          <w:p w14:paraId="1FD6C087"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CA4BF75"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75198C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05E3F98"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ABA5A06"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A1C6DAD"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FA8516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746AD5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3D739CF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758C35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3498DE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7D5DFC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2F802E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F9552A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E91BE7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3844D29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4" w:type="dxa"/>
            <w:tcBorders>
              <w:top w:val="nil"/>
              <w:left w:val="nil"/>
              <w:bottom w:val="single" w:sz="4" w:space="0" w:color="auto"/>
              <w:right w:val="single" w:sz="4" w:space="0" w:color="auto"/>
            </w:tcBorders>
            <w:shd w:val="clear" w:color="auto" w:fill="auto"/>
            <w:noWrap/>
            <w:vAlign w:val="center"/>
            <w:hideMark/>
          </w:tcPr>
          <w:p w14:paraId="434FD25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844DAC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48AAEB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75E27F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2309F2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E5756C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17A879B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3553450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568B7FD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0B56A8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2.31</w:t>
            </w:r>
          </w:p>
        </w:tc>
        <w:tc>
          <w:tcPr>
            <w:tcW w:w="354" w:type="dxa"/>
            <w:tcBorders>
              <w:top w:val="nil"/>
              <w:left w:val="nil"/>
              <w:bottom w:val="single" w:sz="4" w:space="0" w:color="auto"/>
              <w:right w:val="single" w:sz="4" w:space="0" w:color="auto"/>
            </w:tcBorders>
            <w:shd w:val="clear" w:color="auto" w:fill="auto"/>
            <w:noWrap/>
            <w:vAlign w:val="center"/>
            <w:hideMark/>
          </w:tcPr>
          <w:p w14:paraId="0AC5633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17BED1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A43DA2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81516F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1C1E9A7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r>
      <w:tr w:rsidR="005B15EC" w:rsidRPr="005B15EC" w14:paraId="588BFC2A"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09124986"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1D9B5540"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6B223B3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1B47557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3.00</w:t>
            </w:r>
          </w:p>
        </w:tc>
        <w:tc>
          <w:tcPr>
            <w:tcW w:w="332" w:type="dxa"/>
            <w:tcBorders>
              <w:top w:val="nil"/>
              <w:left w:val="nil"/>
              <w:bottom w:val="single" w:sz="4" w:space="0" w:color="auto"/>
              <w:right w:val="single" w:sz="4" w:space="0" w:color="auto"/>
            </w:tcBorders>
            <w:shd w:val="clear" w:color="auto" w:fill="auto"/>
            <w:noWrap/>
            <w:vAlign w:val="center"/>
            <w:hideMark/>
          </w:tcPr>
          <w:p w14:paraId="1AA6D35C"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D072014"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56666D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2483720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2.69</w:t>
            </w:r>
          </w:p>
        </w:tc>
        <w:tc>
          <w:tcPr>
            <w:tcW w:w="353" w:type="dxa"/>
            <w:tcBorders>
              <w:top w:val="nil"/>
              <w:left w:val="nil"/>
              <w:bottom w:val="single" w:sz="4" w:space="0" w:color="auto"/>
              <w:right w:val="single" w:sz="4" w:space="0" w:color="auto"/>
            </w:tcBorders>
            <w:shd w:val="clear" w:color="auto" w:fill="auto"/>
            <w:noWrap/>
            <w:vAlign w:val="center"/>
            <w:hideMark/>
          </w:tcPr>
          <w:p w14:paraId="61BAA4C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04F3FA7"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B49C4B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1.13</w:t>
            </w:r>
          </w:p>
        </w:tc>
        <w:tc>
          <w:tcPr>
            <w:tcW w:w="353" w:type="dxa"/>
            <w:tcBorders>
              <w:top w:val="nil"/>
              <w:left w:val="nil"/>
              <w:bottom w:val="single" w:sz="4" w:space="0" w:color="auto"/>
              <w:right w:val="single" w:sz="4" w:space="0" w:color="auto"/>
            </w:tcBorders>
            <w:shd w:val="clear" w:color="auto" w:fill="auto"/>
            <w:noWrap/>
            <w:vAlign w:val="center"/>
            <w:hideMark/>
          </w:tcPr>
          <w:p w14:paraId="280C21D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747AA63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2046A06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4" w:type="dxa"/>
            <w:tcBorders>
              <w:top w:val="nil"/>
              <w:left w:val="nil"/>
              <w:bottom w:val="single" w:sz="4" w:space="0" w:color="auto"/>
              <w:right w:val="single" w:sz="4" w:space="0" w:color="auto"/>
            </w:tcBorders>
            <w:shd w:val="clear" w:color="auto" w:fill="auto"/>
            <w:noWrap/>
            <w:vAlign w:val="center"/>
            <w:hideMark/>
          </w:tcPr>
          <w:p w14:paraId="5083AFB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66F99AD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0B6C26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E4D23D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064C5F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350AC2C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0.94</w:t>
            </w:r>
          </w:p>
        </w:tc>
        <w:tc>
          <w:tcPr>
            <w:tcW w:w="354" w:type="dxa"/>
            <w:tcBorders>
              <w:top w:val="nil"/>
              <w:left w:val="nil"/>
              <w:bottom w:val="single" w:sz="4" w:space="0" w:color="auto"/>
              <w:right w:val="single" w:sz="4" w:space="0" w:color="auto"/>
            </w:tcBorders>
            <w:shd w:val="clear" w:color="auto" w:fill="auto"/>
            <w:noWrap/>
            <w:vAlign w:val="center"/>
            <w:hideMark/>
          </w:tcPr>
          <w:p w14:paraId="78DE714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8ABBE9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FBBFAA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298CABC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4A768A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565D92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4" w:type="dxa"/>
            <w:tcBorders>
              <w:top w:val="nil"/>
              <w:left w:val="nil"/>
              <w:bottom w:val="single" w:sz="4" w:space="0" w:color="auto"/>
              <w:right w:val="single" w:sz="4" w:space="0" w:color="auto"/>
            </w:tcBorders>
            <w:shd w:val="clear" w:color="auto" w:fill="auto"/>
            <w:noWrap/>
            <w:vAlign w:val="center"/>
            <w:hideMark/>
          </w:tcPr>
          <w:p w14:paraId="5F499AB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5C24D8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A2614F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1FEC2B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580936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0A508E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65452D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BFA439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B00CB8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r>
      <w:tr w:rsidR="005B15EC" w:rsidRPr="005B15EC" w14:paraId="25C3E58E"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0D55AB1B"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91E81A"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Lady Elliot</w:t>
            </w:r>
          </w:p>
        </w:tc>
        <w:tc>
          <w:tcPr>
            <w:tcW w:w="313" w:type="dxa"/>
            <w:tcBorders>
              <w:top w:val="nil"/>
              <w:left w:val="nil"/>
              <w:bottom w:val="single" w:sz="4" w:space="0" w:color="auto"/>
              <w:right w:val="single" w:sz="4" w:space="0" w:color="auto"/>
            </w:tcBorders>
            <w:shd w:val="clear" w:color="auto" w:fill="auto"/>
            <w:noWrap/>
            <w:vAlign w:val="center"/>
            <w:hideMark/>
          </w:tcPr>
          <w:p w14:paraId="3A81F74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26F728D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4.88</w:t>
            </w:r>
          </w:p>
        </w:tc>
        <w:tc>
          <w:tcPr>
            <w:tcW w:w="332" w:type="dxa"/>
            <w:tcBorders>
              <w:top w:val="nil"/>
              <w:left w:val="nil"/>
              <w:bottom w:val="single" w:sz="4" w:space="0" w:color="auto"/>
              <w:right w:val="single" w:sz="4" w:space="0" w:color="auto"/>
            </w:tcBorders>
            <w:shd w:val="clear" w:color="auto" w:fill="auto"/>
            <w:noWrap/>
            <w:vAlign w:val="center"/>
            <w:hideMark/>
          </w:tcPr>
          <w:p w14:paraId="72E7A596"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3BC85CA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096977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7C3E2159"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6924119"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3D86054"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EF4674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12B1D29"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E0A65D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3.50</w:t>
            </w:r>
          </w:p>
        </w:tc>
        <w:tc>
          <w:tcPr>
            <w:tcW w:w="354" w:type="dxa"/>
            <w:tcBorders>
              <w:top w:val="nil"/>
              <w:left w:val="nil"/>
              <w:bottom w:val="single" w:sz="4" w:space="0" w:color="auto"/>
              <w:right w:val="single" w:sz="4" w:space="0" w:color="auto"/>
            </w:tcBorders>
            <w:shd w:val="clear" w:color="auto" w:fill="auto"/>
            <w:noWrap/>
            <w:vAlign w:val="center"/>
            <w:hideMark/>
          </w:tcPr>
          <w:p w14:paraId="1FF2C36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2.63</w:t>
            </w:r>
          </w:p>
        </w:tc>
        <w:tc>
          <w:tcPr>
            <w:tcW w:w="354" w:type="dxa"/>
            <w:tcBorders>
              <w:top w:val="nil"/>
              <w:left w:val="nil"/>
              <w:bottom w:val="single" w:sz="4" w:space="0" w:color="auto"/>
              <w:right w:val="single" w:sz="4" w:space="0" w:color="auto"/>
            </w:tcBorders>
            <w:shd w:val="clear" w:color="auto" w:fill="auto"/>
            <w:noWrap/>
            <w:vAlign w:val="center"/>
            <w:hideMark/>
          </w:tcPr>
          <w:p w14:paraId="3F40007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55DD2B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4B69338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DEBCB9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9ED529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087422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3.94</w:t>
            </w:r>
          </w:p>
        </w:tc>
        <w:tc>
          <w:tcPr>
            <w:tcW w:w="354" w:type="dxa"/>
            <w:tcBorders>
              <w:top w:val="nil"/>
              <w:left w:val="nil"/>
              <w:bottom w:val="single" w:sz="4" w:space="0" w:color="auto"/>
              <w:right w:val="single" w:sz="4" w:space="0" w:color="auto"/>
            </w:tcBorders>
            <w:shd w:val="clear" w:color="auto" w:fill="auto"/>
            <w:noWrap/>
            <w:vAlign w:val="center"/>
            <w:hideMark/>
          </w:tcPr>
          <w:p w14:paraId="00029CF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F4CFA7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73254D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0ECC19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1.56</w:t>
            </w:r>
          </w:p>
        </w:tc>
        <w:tc>
          <w:tcPr>
            <w:tcW w:w="354" w:type="dxa"/>
            <w:tcBorders>
              <w:top w:val="nil"/>
              <w:left w:val="nil"/>
              <w:bottom w:val="single" w:sz="4" w:space="0" w:color="auto"/>
              <w:right w:val="single" w:sz="4" w:space="0" w:color="auto"/>
            </w:tcBorders>
            <w:shd w:val="clear" w:color="auto" w:fill="auto"/>
            <w:noWrap/>
            <w:vAlign w:val="center"/>
            <w:hideMark/>
          </w:tcPr>
          <w:p w14:paraId="45CBE51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A20B3B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39C5AB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04FE38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3D8D13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6FDE172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0.75</w:t>
            </w:r>
          </w:p>
        </w:tc>
        <w:tc>
          <w:tcPr>
            <w:tcW w:w="354" w:type="dxa"/>
            <w:tcBorders>
              <w:top w:val="nil"/>
              <w:left w:val="nil"/>
              <w:bottom w:val="single" w:sz="4" w:space="0" w:color="auto"/>
              <w:right w:val="single" w:sz="4" w:space="0" w:color="auto"/>
            </w:tcBorders>
            <w:shd w:val="clear" w:color="auto" w:fill="auto"/>
            <w:noWrap/>
            <w:vAlign w:val="center"/>
            <w:hideMark/>
          </w:tcPr>
          <w:p w14:paraId="362AD82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24B452B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4D6604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F38017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1.25</w:t>
            </w:r>
          </w:p>
        </w:tc>
        <w:tc>
          <w:tcPr>
            <w:tcW w:w="354" w:type="dxa"/>
            <w:tcBorders>
              <w:top w:val="nil"/>
              <w:left w:val="nil"/>
              <w:bottom w:val="single" w:sz="4" w:space="0" w:color="auto"/>
              <w:right w:val="single" w:sz="4" w:space="0" w:color="auto"/>
            </w:tcBorders>
            <w:shd w:val="clear" w:color="auto" w:fill="auto"/>
            <w:noWrap/>
            <w:vAlign w:val="center"/>
            <w:hideMark/>
          </w:tcPr>
          <w:p w14:paraId="429D409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r>
      <w:tr w:rsidR="005B15EC" w:rsidRPr="005B15EC" w14:paraId="3D219985"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674A465C"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277A2618"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1414251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3DE8F1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0.75</w:t>
            </w:r>
          </w:p>
        </w:tc>
        <w:tc>
          <w:tcPr>
            <w:tcW w:w="332" w:type="dxa"/>
            <w:tcBorders>
              <w:top w:val="nil"/>
              <w:left w:val="nil"/>
              <w:bottom w:val="single" w:sz="4" w:space="0" w:color="auto"/>
              <w:right w:val="single" w:sz="4" w:space="0" w:color="auto"/>
            </w:tcBorders>
            <w:shd w:val="clear" w:color="auto" w:fill="auto"/>
            <w:noWrap/>
            <w:vAlign w:val="center"/>
            <w:hideMark/>
          </w:tcPr>
          <w:p w14:paraId="6C24024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2" w:type="dxa"/>
            <w:tcBorders>
              <w:top w:val="nil"/>
              <w:left w:val="nil"/>
              <w:bottom w:val="single" w:sz="4" w:space="0" w:color="auto"/>
              <w:right w:val="single" w:sz="4" w:space="0" w:color="auto"/>
            </w:tcBorders>
            <w:shd w:val="clear" w:color="auto" w:fill="auto"/>
            <w:noWrap/>
            <w:vAlign w:val="center"/>
            <w:hideMark/>
          </w:tcPr>
          <w:p w14:paraId="3C783BFA"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BA1CC1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391FB299"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013776B"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5D9038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16A6DE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0.88</w:t>
            </w:r>
          </w:p>
        </w:tc>
        <w:tc>
          <w:tcPr>
            <w:tcW w:w="353" w:type="dxa"/>
            <w:tcBorders>
              <w:top w:val="nil"/>
              <w:left w:val="nil"/>
              <w:bottom w:val="single" w:sz="4" w:space="0" w:color="auto"/>
              <w:right w:val="single" w:sz="4" w:space="0" w:color="auto"/>
            </w:tcBorders>
            <w:shd w:val="clear" w:color="auto" w:fill="auto"/>
            <w:noWrap/>
            <w:vAlign w:val="center"/>
            <w:hideMark/>
          </w:tcPr>
          <w:p w14:paraId="6B07E2E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3" w:type="dxa"/>
            <w:tcBorders>
              <w:top w:val="nil"/>
              <w:left w:val="nil"/>
              <w:bottom w:val="single" w:sz="4" w:space="0" w:color="auto"/>
              <w:right w:val="single" w:sz="4" w:space="0" w:color="auto"/>
            </w:tcBorders>
            <w:shd w:val="clear" w:color="auto" w:fill="auto"/>
            <w:noWrap/>
            <w:vAlign w:val="center"/>
            <w:hideMark/>
          </w:tcPr>
          <w:p w14:paraId="2899A96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A043A1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14.13</w:t>
            </w:r>
          </w:p>
        </w:tc>
        <w:tc>
          <w:tcPr>
            <w:tcW w:w="354" w:type="dxa"/>
            <w:tcBorders>
              <w:top w:val="nil"/>
              <w:left w:val="nil"/>
              <w:bottom w:val="single" w:sz="4" w:space="0" w:color="auto"/>
              <w:right w:val="single" w:sz="4" w:space="0" w:color="auto"/>
            </w:tcBorders>
            <w:shd w:val="clear" w:color="auto" w:fill="auto"/>
            <w:noWrap/>
            <w:vAlign w:val="center"/>
            <w:hideMark/>
          </w:tcPr>
          <w:p w14:paraId="7F36741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0.69</w:t>
            </w:r>
          </w:p>
        </w:tc>
        <w:tc>
          <w:tcPr>
            <w:tcW w:w="354" w:type="dxa"/>
            <w:tcBorders>
              <w:top w:val="nil"/>
              <w:left w:val="nil"/>
              <w:bottom w:val="single" w:sz="4" w:space="0" w:color="auto"/>
              <w:right w:val="single" w:sz="4" w:space="0" w:color="auto"/>
            </w:tcBorders>
            <w:shd w:val="clear" w:color="auto" w:fill="auto"/>
            <w:noWrap/>
            <w:vAlign w:val="center"/>
            <w:hideMark/>
          </w:tcPr>
          <w:p w14:paraId="6710F62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2.38</w:t>
            </w:r>
          </w:p>
        </w:tc>
        <w:tc>
          <w:tcPr>
            <w:tcW w:w="354" w:type="dxa"/>
            <w:tcBorders>
              <w:top w:val="nil"/>
              <w:left w:val="nil"/>
              <w:bottom w:val="single" w:sz="4" w:space="0" w:color="auto"/>
              <w:right w:val="single" w:sz="4" w:space="0" w:color="auto"/>
            </w:tcBorders>
            <w:shd w:val="clear" w:color="auto" w:fill="auto"/>
            <w:noWrap/>
            <w:vAlign w:val="center"/>
            <w:hideMark/>
          </w:tcPr>
          <w:p w14:paraId="10C098A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7AE028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1.63</w:t>
            </w:r>
          </w:p>
        </w:tc>
        <w:tc>
          <w:tcPr>
            <w:tcW w:w="354" w:type="dxa"/>
            <w:tcBorders>
              <w:top w:val="nil"/>
              <w:left w:val="nil"/>
              <w:bottom w:val="single" w:sz="4" w:space="0" w:color="auto"/>
              <w:right w:val="single" w:sz="4" w:space="0" w:color="auto"/>
            </w:tcBorders>
            <w:shd w:val="clear" w:color="auto" w:fill="auto"/>
            <w:noWrap/>
            <w:vAlign w:val="center"/>
            <w:hideMark/>
          </w:tcPr>
          <w:p w14:paraId="79A3110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4" w:type="dxa"/>
            <w:tcBorders>
              <w:top w:val="nil"/>
              <w:left w:val="nil"/>
              <w:bottom w:val="single" w:sz="4" w:space="0" w:color="auto"/>
              <w:right w:val="single" w:sz="4" w:space="0" w:color="auto"/>
            </w:tcBorders>
            <w:shd w:val="clear" w:color="auto" w:fill="auto"/>
            <w:noWrap/>
            <w:vAlign w:val="center"/>
            <w:hideMark/>
          </w:tcPr>
          <w:p w14:paraId="7FD08D7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c>
          <w:tcPr>
            <w:tcW w:w="354" w:type="dxa"/>
            <w:tcBorders>
              <w:top w:val="nil"/>
              <w:left w:val="nil"/>
              <w:bottom w:val="single" w:sz="4" w:space="0" w:color="auto"/>
              <w:right w:val="single" w:sz="4" w:space="0" w:color="auto"/>
            </w:tcBorders>
            <w:shd w:val="clear" w:color="auto" w:fill="auto"/>
            <w:noWrap/>
            <w:vAlign w:val="center"/>
            <w:hideMark/>
          </w:tcPr>
          <w:p w14:paraId="7ED0AF6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4" w:type="dxa"/>
            <w:tcBorders>
              <w:top w:val="nil"/>
              <w:left w:val="nil"/>
              <w:bottom w:val="single" w:sz="4" w:space="0" w:color="auto"/>
              <w:right w:val="single" w:sz="4" w:space="0" w:color="auto"/>
            </w:tcBorders>
            <w:shd w:val="clear" w:color="auto" w:fill="auto"/>
            <w:noWrap/>
            <w:vAlign w:val="center"/>
            <w:hideMark/>
          </w:tcPr>
          <w:p w14:paraId="26E4F44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0.75</w:t>
            </w:r>
          </w:p>
        </w:tc>
        <w:tc>
          <w:tcPr>
            <w:tcW w:w="354" w:type="dxa"/>
            <w:tcBorders>
              <w:top w:val="nil"/>
              <w:left w:val="nil"/>
              <w:bottom w:val="single" w:sz="4" w:space="0" w:color="auto"/>
              <w:right w:val="single" w:sz="4" w:space="0" w:color="auto"/>
            </w:tcBorders>
            <w:shd w:val="clear" w:color="auto" w:fill="auto"/>
            <w:noWrap/>
            <w:vAlign w:val="center"/>
            <w:hideMark/>
          </w:tcPr>
          <w:p w14:paraId="387C321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1.94</w:t>
            </w:r>
          </w:p>
        </w:tc>
        <w:tc>
          <w:tcPr>
            <w:tcW w:w="354" w:type="dxa"/>
            <w:tcBorders>
              <w:top w:val="nil"/>
              <w:left w:val="nil"/>
              <w:bottom w:val="single" w:sz="4" w:space="0" w:color="auto"/>
              <w:right w:val="single" w:sz="4" w:space="0" w:color="auto"/>
            </w:tcBorders>
            <w:shd w:val="clear" w:color="auto" w:fill="auto"/>
            <w:noWrap/>
            <w:vAlign w:val="center"/>
            <w:hideMark/>
          </w:tcPr>
          <w:p w14:paraId="0F9B791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A808F0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0.88</w:t>
            </w:r>
          </w:p>
        </w:tc>
        <w:tc>
          <w:tcPr>
            <w:tcW w:w="354" w:type="dxa"/>
            <w:tcBorders>
              <w:top w:val="nil"/>
              <w:left w:val="nil"/>
              <w:bottom w:val="single" w:sz="4" w:space="0" w:color="auto"/>
              <w:right w:val="single" w:sz="4" w:space="0" w:color="auto"/>
            </w:tcBorders>
            <w:shd w:val="clear" w:color="auto" w:fill="auto"/>
            <w:noWrap/>
            <w:vAlign w:val="center"/>
            <w:hideMark/>
          </w:tcPr>
          <w:p w14:paraId="10FB606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6AD072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6F78F6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245130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1.00</w:t>
            </w:r>
          </w:p>
        </w:tc>
        <w:tc>
          <w:tcPr>
            <w:tcW w:w="354" w:type="dxa"/>
            <w:tcBorders>
              <w:top w:val="nil"/>
              <w:left w:val="nil"/>
              <w:bottom w:val="single" w:sz="4" w:space="0" w:color="auto"/>
              <w:right w:val="single" w:sz="4" w:space="0" w:color="auto"/>
            </w:tcBorders>
            <w:shd w:val="clear" w:color="auto" w:fill="auto"/>
            <w:noWrap/>
            <w:vAlign w:val="center"/>
            <w:hideMark/>
          </w:tcPr>
          <w:p w14:paraId="0EF888C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2.81</w:t>
            </w:r>
          </w:p>
        </w:tc>
        <w:tc>
          <w:tcPr>
            <w:tcW w:w="354" w:type="dxa"/>
            <w:tcBorders>
              <w:top w:val="nil"/>
              <w:left w:val="nil"/>
              <w:bottom w:val="single" w:sz="4" w:space="0" w:color="auto"/>
              <w:right w:val="single" w:sz="4" w:space="0" w:color="auto"/>
            </w:tcBorders>
            <w:shd w:val="clear" w:color="auto" w:fill="auto"/>
            <w:noWrap/>
            <w:vAlign w:val="center"/>
            <w:hideMark/>
          </w:tcPr>
          <w:p w14:paraId="6FA416D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c>
          <w:tcPr>
            <w:tcW w:w="354" w:type="dxa"/>
            <w:tcBorders>
              <w:top w:val="nil"/>
              <w:left w:val="nil"/>
              <w:bottom w:val="single" w:sz="4" w:space="0" w:color="auto"/>
              <w:right w:val="single" w:sz="4" w:space="0" w:color="auto"/>
            </w:tcBorders>
            <w:shd w:val="clear" w:color="auto" w:fill="auto"/>
            <w:noWrap/>
            <w:vAlign w:val="center"/>
            <w:hideMark/>
          </w:tcPr>
          <w:p w14:paraId="050CA95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1CA59C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AE3374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1.81</w:t>
            </w:r>
          </w:p>
        </w:tc>
        <w:tc>
          <w:tcPr>
            <w:tcW w:w="354" w:type="dxa"/>
            <w:tcBorders>
              <w:top w:val="nil"/>
              <w:left w:val="nil"/>
              <w:bottom w:val="single" w:sz="4" w:space="0" w:color="auto"/>
              <w:right w:val="single" w:sz="4" w:space="0" w:color="auto"/>
            </w:tcBorders>
            <w:shd w:val="clear" w:color="auto" w:fill="auto"/>
            <w:noWrap/>
            <w:vAlign w:val="center"/>
            <w:hideMark/>
          </w:tcPr>
          <w:p w14:paraId="59CD898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1.38</w:t>
            </w:r>
          </w:p>
        </w:tc>
      </w:tr>
      <w:tr w:rsidR="005B15EC" w:rsidRPr="005B15EC" w14:paraId="072EE844"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D0B53DD" w14:textId="77777777" w:rsidR="005B15EC" w:rsidRPr="005B15EC" w:rsidRDefault="005B15EC" w:rsidP="005B15EC">
            <w:pPr>
              <w:spacing w:after="0"/>
              <w:jc w:val="left"/>
              <w:rPr>
                <w:rFonts w:ascii="Arial Narrow" w:hAnsi="Arial Narrow"/>
                <w:sz w:val="18"/>
                <w:szCs w:val="18"/>
                <w:lang w:val="en-AU" w:eastAsia="en-AU"/>
              </w:rPr>
            </w:pPr>
          </w:p>
        </w:tc>
        <w:tc>
          <w:tcPr>
            <w:tcW w:w="875" w:type="dxa"/>
            <w:tcBorders>
              <w:top w:val="nil"/>
              <w:left w:val="nil"/>
              <w:bottom w:val="single" w:sz="4" w:space="0" w:color="auto"/>
              <w:right w:val="single" w:sz="4" w:space="0" w:color="auto"/>
            </w:tcBorders>
            <w:shd w:val="clear" w:color="auto" w:fill="auto"/>
            <w:noWrap/>
            <w:vAlign w:val="center"/>
            <w:hideMark/>
          </w:tcPr>
          <w:p w14:paraId="469D293D"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Middle Reef LTMP</w:t>
            </w:r>
          </w:p>
        </w:tc>
        <w:tc>
          <w:tcPr>
            <w:tcW w:w="313" w:type="dxa"/>
            <w:tcBorders>
              <w:top w:val="nil"/>
              <w:left w:val="nil"/>
              <w:bottom w:val="single" w:sz="4" w:space="0" w:color="auto"/>
              <w:right w:val="single" w:sz="4" w:space="0" w:color="auto"/>
            </w:tcBorders>
            <w:shd w:val="clear" w:color="auto" w:fill="auto"/>
            <w:noWrap/>
            <w:vAlign w:val="center"/>
            <w:hideMark/>
          </w:tcPr>
          <w:p w14:paraId="1643EED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72E743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1.47</w:t>
            </w:r>
          </w:p>
        </w:tc>
        <w:tc>
          <w:tcPr>
            <w:tcW w:w="332" w:type="dxa"/>
            <w:tcBorders>
              <w:top w:val="nil"/>
              <w:left w:val="nil"/>
              <w:bottom w:val="single" w:sz="4" w:space="0" w:color="auto"/>
              <w:right w:val="single" w:sz="4" w:space="0" w:color="auto"/>
            </w:tcBorders>
            <w:shd w:val="clear" w:color="auto" w:fill="auto"/>
            <w:noWrap/>
            <w:vAlign w:val="center"/>
            <w:hideMark/>
          </w:tcPr>
          <w:p w14:paraId="5C2E2299"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70F22AA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55A8E0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4E06674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6B5AB85"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281F02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2DE6ABA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0.91</w:t>
            </w:r>
          </w:p>
        </w:tc>
        <w:tc>
          <w:tcPr>
            <w:tcW w:w="353" w:type="dxa"/>
            <w:tcBorders>
              <w:top w:val="nil"/>
              <w:left w:val="nil"/>
              <w:bottom w:val="single" w:sz="4" w:space="0" w:color="auto"/>
              <w:right w:val="single" w:sz="4" w:space="0" w:color="auto"/>
            </w:tcBorders>
            <w:shd w:val="clear" w:color="auto" w:fill="auto"/>
            <w:noWrap/>
            <w:vAlign w:val="center"/>
            <w:hideMark/>
          </w:tcPr>
          <w:p w14:paraId="0555362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0.10</w:t>
            </w:r>
          </w:p>
        </w:tc>
        <w:tc>
          <w:tcPr>
            <w:tcW w:w="353" w:type="dxa"/>
            <w:tcBorders>
              <w:top w:val="nil"/>
              <w:left w:val="nil"/>
              <w:bottom w:val="single" w:sz="4" w:space="0" w:color="auto"/>
              <w:right w:val="single" w:sz="4" w:space="0" w:color="auto"/>
            </w:tcBorders>
            <w:shd w:val="clear" w:color="auto" w:fill="auto"/>
            <w:noWrap/>
            <w:vAlign w:val="center"/>
            <w:hideMark/>
          </w:tcPr>
          <w:p w14:paraId="310B97B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4" w:type="dxa"/>
            <w:tcBorders>
              <w:top w:val="nil"/>
              <w:left w:val="nil"/>
              <w:bottom w:val="single" w:sz="4" w:space="0" w:color="auto"/>
              <w:right w:val="single" w:sz="4" w:space="0" w:color="auto"/>
            </w:tcBorders>
            <w:shd w:val="clear" w:color="auto" w:fill="auto"/>
            <w:noWrap/>
            <w:vAlign w:val="center"/>
            <w:hideMark/>
          </w:tcPr>
          <w:p w14:paraId="24C812A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2A7FB1C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0.07</w:t>
            </w:r>
          </w:p>
        </w:tc>
        <w:tc>
          <w:tcPr>
            <w:tcW w:w="354" w:type="dxa"/>
            <w:tcBorders>
              <w:top w:val="nil"/>
              <w:left w:val="nil"/>
              <w:bottom w:val="single" w:sz="4" w:space="0" w:color="auto"/>
              <w:right w:val="single" w:sz="4" w:space="0" w:color="auto"/>
            </w:tcBorders>
            <w:shd w:val="clear" w:color="auto" w:fill="auto"/>
            <w:noWrap/>
            <w:vAlign w:val="center"/>
            <w:hideMark/>
          </w:tcPr>
          <w:p w14:paraId="7FD52DA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15.38</w:t>
            </w:r>
          </w:p>
        </w:tc>
        <w:tc>
          <w:tcPr>
            <w:tcW w:w="354" w:type="dxa"/>
            <w:tcBorders>
              <w:top w:val="nil"/>
              <w:left w:val="nil"/>
              <w:bottom w:val="single" w:sz="4" w:space="0" w:color="auto"/>
              <w:right w:val="single" w:sz="4" w:space="0" w:color="auto"/>
            </w:tcBorders>
            <w:shd w:val="clear" w:color="auto" w:fill="auto"/>
            <w:noWrap/>
            <w:vAlign w:val="center"/>
            <w:hideMark/>
          </w:tcPr>
          <w:p w14:paraId="30468A7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0.23</w:t>
            </w:r>
          </w:p>
        </w:tc>
        <w:tc>
          <w:tcPr>
            <w:tcW w:w="354" w:type="dxa"/>
            <w:tcBorders>
              <w:top w:val="nil"/>
              <w:left w:val="nil"/>
              <w:bottom w:val="single" w:sz="4" w:space="0" w:color="auto"/>
              <w:right w:val="single" w:sz="4" w:space="0" w:color="auto"/>
            </w:tcBorders>
            <w:shd w:val="clear" w:color="auto" w:fill="auto"/>
            <w:noWrap/>
            <w:vAlign w:val="center"/>
            <w:hideMark/>
          </w:tcPr>
          <w:p w14:paraId="1D3A9C5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0.24</w:t>
            </w:r>
          </w:p>
        </w:tc>
        <w:tc>
          <w:tcPr>
            <w:tcW w:w="354" w:type="dxa"/>
            <w:tcBorders>
              <w:top w:val="nil"/>
              <w:left w:val="nil"/>
              <w:bottom w:val="single" w:sz="4" w:space="0" w:color="auto"/>
              <w:right w:val="single" w:sz="4" w:space="0" w:color="auto"/>
            </w:tcBorders>
            <w:shd w:val="clear" w:color="auto" w:fill="auto"/>
            <w:noWrap/>
            <w:vAlign w:val="center"/>
            <w:hideMark/>
          </w:tcPr>
          <w:p w14:paraId="6C8BCC4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0.47</w:t>
            </w:r>
          </w:p>
        </w:tc>
        <w:tc>
          <w:tcPr>
            <w:tcW w:w="354" w:type="dxa"/>
            <w:tcBorders>
              <w:top w:val="nil"/>
              <w:left w:val="nil"/>
              <w:bottom w:val="single" w:sz="4" w:space="0" w:color="auto"/>
              <w:right w:val="single" w:sz="4" w:space="0" w:color="auto"/>
            </w:tcBorders>
            <w:shd w:val="clear" w:color="auto" w:fill="auto"/>
            <w:noWrap/>
            <w:vAlign w:val="center"/>
            <w:hideMark/>
          </w:tcPr>
          <w:p w14:paraId="4A27CAF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5.54</w:t>
            </w:r>
          </w:p>
        </w:tc>
        <w:tc>
          <w:tcPr>
            <w:tcW w:w="354" w:type="dxa"/>
            <w:tcBorders>
              <w:top w:val="nil"/>
              <w:left w:val="nil"/>
              <w:bottom w:val="single" w:sz="4" w:space="0" w:color="auto"/>
              <w:right w:val="single" w:sz="4" w:space="0" w:color="auto"/>
            </w:tcBorders>
            <w:shd w:val="clear" w:color="auto" w:fill="auto"/>
            <w:noWrap/>
            <w:vAlign w:val="center"/>
            <w:hideMark/>
          </w:tcPr>
          <w:p w14:paraId="73A2D24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0.07</w:t>
            </w:r>
          </w:p>
        </w:tc>
        <w:tc>
          <w:tcPr>
            <w:tcW w:w="354" w:type="dxa"/>
            <w:tcBorders>
              <w:top w:val="nil"/>
              <w:left w:val="nil"/>
              <w:bottom w:val="single" w:sz="4" w:space="0" w:color="auto"/>
              <w:right w:val="single" w:sz="4" w:space="0" w:color="auto"/>
            </w:tcBorders>
            <w:shd w:val="clear" w:color="auto" w:fill="auto"/>
            <w:noWrap/>
            <w:vAlign w:val="center"/>
            <w:hideMark/>
          </w:tcPr>
          <w:p w14:paraId="4869D87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0.20</w:t>
            </w:r>
          </w:p>
        </w:tc>
        <w:tc>
          <w:tcPr>
            <w:tcW w:w="354" w:type="dxa"/>
            <w:tcBorders>
              <w:top w:val="nil"/>
              <w:left w:val="nil"/>
              <w:bottom w:val="single" w:sz="4" w:space="0" w:color="auto"/>
              <w:right w:val="single" w:sz="4" w:space="0" w:color="auto"/>
            </w:tcBorders>
            <w:shd w:val="clear" w:color="auto" w:fill="auto"/>
            <w:noWrap/>
            <w:vAlign w:val="center"/>
            <w:hideMark/>
          </w:tcPr>
          <w:p w14:paraId="1FA3266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4.27</w:t>
            </w:r>
          </w:p>
        </w:tc>
        <w:tc>
          <w:tcPr>
            <w:tcW w:w="354" w:type="dxa"/>
            <w:tcBorders>
              <w:top w:val="nil"/>
              <w:left w:val="nil"/>
              <w:bottom w:val="single" w:sz="4" w:space="0" w:color="auto"/>
              <w:right w:val="single" w:sz="4" w:space="0" w:color="auto"/>
            </w:tcBorders>
            <w:shd w:val="clear" w:color="auto" w:fill="auto"/>
            <w:noWrap/>
            <w:vAlign w:val="center"/>
            <w:hideMark/>
          </w:tcPr>
          <w:p w14:paraId="5105F67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6CCD2F6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0.41</w:t>
            </w:r>
          </w:p>
        </w:tc>
        <w:tc>
          <w:tcPr>
            <w:tcW w:w="354" w:type="dxa"/>
            <w:tcBorders>
              <w:top w:val="nil"/>
              <w:left w:val="nil"/>
              <w:bottom w:val="single" w:sz="4" w:space="0" w:color="auto"/>
              <w:right w:val="single" w:sz="4" w:space="0" w:color="auto"/>
            </w:tcBorders>
            <w:shd w:val="clear" w:color="auto" w:fill="auto"/>
            <w:noWrap/>
            <w:vAlign w:val="center"/>
            <w:hideMark/>
          </w:tcPr>
          <w:p w14:paraId="169FC1F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0.24</w:t>
            </w:r>
          </w:p>
        </w:tc>
        <w:tc>
          <w:tcPr>
            <w:tcW w:w="354" w:type="dxa"/>
            <w:tcBorders>
              <w:top w:val="nil"/>
              <w:left w:val="nil"/>
              <w:bottom w:val="single" w:sz="4" w:space="0" w:color="auto"/>
              <w:right w:val="single" w:sz="4" w:space="0" w:color="auto"/>
            </w:tcBorders>
            <w:shd w:val="clear" w:color="auto" w:fill="auto"/>
            <w:noWrap/>
            <w:vAlign w:val="center"/>
            <w:hideMark/>
          </w:tcPr>
          <w:p w14:paraId="09E18BE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CC209D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2AFF876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0.23</w:t>
            </w:r>
          </w:p>
        </w:tc>
        <w:tc>
          <w:tcPr>
            <w:tcW w:w="354" w:type="dxa"/>
            <w:tcBorders>
              <w:top w:val="nil"/>
              <w:left w:val="nil"/>
              <w:bottom w:val="single" w:sz="4" w:space="0" w:color="auto"/>
              <w:right w:val="single" w:sz="4" w:space="0" w:color="auto"/>
            </w:tcBorders>
            <w:shd w:val="clear" w:color="auto" w:fill="auto"/>
            <w:noWrap/>
            <w:vAlign w:val="center"/>
            <w:hideMark/>
          </w:tcPr>
          <w:p w14:paraId="27F9F9D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1.31</w:t>
            </w:r>
          </w:p>
        </w:tc>
        <w:tc>
          <w:tcPr>
            <w:tcW w:w="354" w:type="dxa"/>
            <w:tcBorders>
              <w:top w:val="nil"/>
              <w:left w:val="nil"/>
              <w:bottom w:val="single" w:sz="4" w:space="0" w:color="auto"/>
              <w:right w:val="single" w:sz="4" w:space="0" w:color="auto"/>
            </w:tcBorders>
            <w:shd w:val="clear" w:color="auto" w:fill="auto"/>
            <w:noWrap/>
            <w:vAlign w:val="center"/>
            <w:hideMark/>
          </w:tcPr>
          <w:p w14:paraId="3BF1B5B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2D62CA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D7C4C2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4" w:type="dxa"/>
            <w:tcBorders>
              <w:top w:val="nil"/>
              <w:left w:val="nil"/>
              <w:bottom w:val="single" w:sz="4" w:space="0" w:color="auto"/>
              <w:right w:val="single" w:sz="4" w:space="0" w:color="auto"/>
            </w:tcBorders>
            <w:shd w:val="clear" w:color="auto" w:fill="auto"/>
            <w:noWrap/>
            <w:vAlign w:val="center"/>
            <w:hideMark/>
          </w:tcPr>
          <w:p w14:paraId="1482383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0.37</w:t>
            </w:r>
          </w:p>
        </w:tc>
        <w:tc>
          <w:tcPr>
            <w:tcW w:w="354" w:type="dxa"/>
            <w:tcBorders>
              <w:top w:val="nil"/>
              <w:left w:val="nil"/>
              <w:bottom w:val="single" w:sz="4" w:space="0" w:color="auto"/>
              <w:right w:val="single" w:sz="4" w:space="0" w:color="auto"/>
            </w:tcBorders>
            <w:shd w:val="clear" w:color="auto" w:fill="auto"/>
            <w:noWrap/>
            <w:vAlign w:val="center"/>
            <w:hideMark/>
          </w:tcPr>
          <w:p w14:paraId="62B2FA0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1.21</w:t>
            </w:r>
          </w:p>
        </w:tc>
      </w:tr>
      <w:tr w:rsidR="005B15EC" w:rsidRPr="005B15EC" w14:paraId="3E9EDC1D"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2D9126A3"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483FBF4"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Magnetic</w:t>
            </w:r>
          </w:p>
        </w:tc>
        <w:tc>
          <w:tcPr>
            <w:tcW w:w="313" w:type="dxa"/>
            <w:tcBorders>
              <w:top w:val="nil"/>
              <w:left w:val="nil"/>
              <w:bottom w:val="single" w:sz="4" w:space="0" w:color="auto"/>
              <w:right w:val="single" w:sz="4" w:space="0" w:color="auto"/>
            </w:tcBorders>
            <w:shd w:val="clear" w:color="auto" w:fill="auto"/>
            <w:noWrap/>
            <w:vAlign w:val="center"/>
            <w:hideMark/>
          </w:tcPr>
          <w:p w14:paraId="4665971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261D97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2.81</w:t>
            </w:r>
          </w:p>
        </w:tc>
        <w:tc>
          <w:tcPr>
            <w:tcW w:w="332" w:type="dxa"/>
            <w:tcBorders>
              <w:top w:val="nil"/>
              <w:left w:val="nil"/>
              <w:bottom w:val="single" w:sz="4" w:space="0" w:color="auto"/>
              <w:right w:val="single" w:sz="4" w:space="0" w:color="auto"/>
            </w:tcBorders>
            <w:shd w:val="clear" w:color="auto" w:fill="auto"/>
            <w:noWrap/>
            <w:vAlign w:val="center"/>
            <w:hideMark/>
          </w:tcPr>
          <w:p w14:paraId="3EE1A0F2"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70E84C8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ACC2D4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25F302F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6C4D02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77385D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25E2A98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38E75D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0B4B6BC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771C33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125B421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202504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3DCEA64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BCE06F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9EE711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7B75A27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8.31</w:t>
            </w:r>
          </w:p>
        </w:tc>
        <w:tc>
          <w:tcPr>
            <w:tcW w:w="354" w:type="dxa"/>
            <w:tcBorders>
              <w:top w:val="nil"/>
              <w:left w:val="nil"/>
              <w:bottom w:val="single" w:sz="4" w:space="0" w:color="auto"/>
              <w:right w:val="single" w:sz="4" w:space="0" w:color="auto"/>
            </w:tcBorders>
            <w:shd w:val="clear" w:color="auto" w:fill="auto"/>
            <w:noWrap/>
            <w:vAlign w:val="center"/>
            <w:hideMark/>
          </w:tcPr>
          <w:p w14:paraId="6AE6E65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720083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2E76FF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63BEE54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2D6E44A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A4DC56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49A62A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01C8362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8D15B1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29F752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1.25</w:t>
            </w:r>
          </w:p>
        </w:tc>
        <w:tc>
          <w:tcPr>
            <w:tcW w:w="354" w:type="dxa"/>
            <w:tcBorders>
              <w:top w:val="nil"/>
              <w:left w:val="nil"/>
              <w:bottom w:val="single" w:sz="4" w:space="0" w:color="auto"/>
              <w:right w:val="single" w:sz="4" w:space="0" w:color="auto"/>
            </w:tcBorders>
            <w:shd w:val="clear" w:color="auto" w:fill="auto"/>
            <w:noWrap/>
            <w:vAlign w:val="center"/>
            <w:hideMark/>
          </w:tcPr>
          <w:p w14:paraId="0A5EC2D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066AD1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E0B418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0DD500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0.81</w:t>
            </w:r>
          </w:p>
        </w:tc>
        <w:tc>
          <w:tcPr>
            <w:tcW w:w="354" w:type="dxa"/>
            <w:tcBorders>
              <w:top w:val="nil"/>
              <w:left w:val="nil"/>
              <w:bottom w:val="single" w:sz="4" w:space="0" w:color="auto"/>
              <w:right w:val="single" w:sz="4" w:space="0" w:color="auto"/>
            </w:tcBorders>
            <w:shd w:val="clear" w:color="auto" w:fill="auto"/>
            <w:noWrap/>
            <w:vAlign w:val="center"/>
            <w:hideMark/>
          </w:tcPr>
          <w:p w14:paraId="4553E5A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r>
      <w:tr w:rsidR="005B15EC" w:rsidRPr="005B15EC" w14:paraId="0F97C465"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6F6F27AA"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16518A83"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513B90D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5306C5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1.06</w:t>
            </w:r>
          </w:p>
        </w:tc>
        <w:tc>
          <w:tcPr>
            <w:tcW w:w="332" w:type="dxa"/>
            <w:tcBorders>
              <w:top w:val="nil"/>
              <w:left w:val="nil"/>
              <w:bottom w:val="single" w:sz="4" w:space="0" w:color="auto"/>
              <w:right w:val="single" w:sz="4" w:space="0" w:color="auto"/>
            </w:tcBorders>
            <w:shd w:val="clear" w:color="auto" w:fill="auto"/>
            <w:noWrap/>
            <w:vAlign w:val="center"/>
            <w:hideMark/>
          </w:tcPr>
          <w:p w14:paraId="5DB9E09C"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3EEA9CC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98CA16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3317FD7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A62FE3E"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2C065B9"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A0B0B7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2.00</w:t>
            </w:r>
          </w:p>
        </w:tc>
        <w:tc>
          <w:tcPr>
            <w:tcW w:w="353" w:type="dxa"/>
            <w:tcBorders>
              <w:top w:val="nil"/>
              <w:left w:val="nil"/>
              <w:bottom w:val="single" w:sz="4" w:space="0" w:color="auto"/>
              <w:right w:val="single" w:sz="4" w:space="0" w:color="auto"/>
            </w:tcBorders>
            <w:shd w:val="clear" w:color="auto" w:fill="auto"/>
            <w:noWrap/>
            <w:vAlign w:val="center"/>
            <w:hideMark/>
          </w:tcPr>
          <w:p w14:paraId="04C413A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1.31</w:t>
            </w:r>
          </w:p>
        </w:tc>
        <w:tc>
          <w:tcPr>
            <w:tcW w:w="353" w:type="dxa"/>
            <w:tcBorders>
              <w:top w:val="nil"/>
              <w:left w:val="nil"/>
              <w:bottom w:val="single" w:sz="4" w:space="0" w:color="auto"/>
              <w:right w:val="single" w:sz="4" w:space="0" w:color="auto"/>
            </w:tcBorders>
            <w:shd w:val="clear" w:color="auto" w:fill="auto"/>
            <w:noWrap/>
            <w:vAlign w:val="center"/>
            <w:hideMark/>
          </w:tcPr>
          <w:p w14:paraId="7133A1D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64D4DF0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557D815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AD7A00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3.19</w:t>
            </w:r>
          </w:p>
        </w:tc>
        <w:tc>
          <w:tcPr>
            <w:tcW w:w="354" w:type="dxa"/>
            <w:tcBorders>
              <w:top w:val="nil"/>
              <w:left w:val="nil"/>
              <w:bottom w:val="single" w:sz="4" w:space="0" w:color="auto"/>
              <w:right w:val="single" w:sz="4" w:space="0" w:color="auto"/>
            </w:tcBorders>
            <w:shd w:val="clear" w:color="auto" w:fill="auto"/>
            <w:noWrap/>
            <w:vAlign w:val="center"/>
            <w:hideMark/>
          </w:tcPr>
          <w:p w14:paraId="4D21FF1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C43B5B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3C9F660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2.44</w:t>
            </w:r>
          </w:p>
        </w:tc>
        <w:tc>
          <w:tcPr>
            <w:tcW w:w="354" w:type="dxa"/>
            <w:tcBorders>
              <w:top w:val="nil"/>
              <w:left w:val="nil"/>
              <w:bottom w:val="single" w:sz="4" w:space="0" w:color="auto"/>
              <w:right w:val="single" w:sz="4" w:space="0" w:color="auto"/>
            </w:tcBorders>
            <w:shd w:val="clear" w:color="auto" w:fill="auto"/>
            <w:noWrap/>
            <w:vAlign w:val="center"/>
            <w:hideMark/>
          </w:tcPr>
          <w:p w14:paraId="4A1A02F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1.63</w:t>
            </w:r>
          </w:p>
        </w:tc>
        <w:tc>
          <w:tcPr>
            <w:tcW w:w="354" w:type="dxa"/>
            <w:tcBorders>
              <w:top w:val="nil"/>
              <w:left w:val="nil"/>
              <w:bottom w:val="single" w:sz="4" w:space="0" w:color="auto"/>
              <w:right w:val="single" w:sz="4" w:space="0" w:color="auto"/>
            </w:tcBorders>
            <w:shd w:val="clear" w:color="auto" w:fill="auto"/>
            <w:noWrap/>
            <w:vAlign w:val="center"/>
            <w:hideMark/>
          </w:tcPr>
          <w:p w14:paraId="62F1AC0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6C62707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1.06</w:t>
            </w:r>
          </w:p>
        </w:tc>
        <w:tc>
          <w:tcPr>
            <w:tcW w:w="354" w:type="dxa"/>
            <w:tcBorders>
              <w:top w:val="nil"/>
              <w:left w:val="nil"/>
              <w:bottom w:val="single" w:sz="4" w:space="0" w:color="auto"/>
              <w:right w:val="single" w:sz="4" w:space="0" w:color="auto"/>
            </w:tcBorders>
            <w:shd w:val="clear" w:color="auto" w:fill="auto"/>
            <w:noWrap/>
            <w:vAlign w:val="center"/>
            <w:hideMark/>
          </w:tcPr>
          <w:p w14:paraId="1782A90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2.06</w:t>
            </w:r>
          </w:p>
        </w:tc>
        <w:tc>
          <w:tcPr>
            <w:tcW w:w="354" w:type="dxa"/>
            <w:tcBorders>
              <w:top w:val="nil"/>
              <w:left w:val="nil"/>
              <w:bottom w:val="single" w:sz="4" w:space="0" w:color="auto"/>
              <w:right w:val="single" w:sz="4" w:space="0" w:color="auto"/>
            </w:tcBorders>
            <w:shd w:val="clear" w:color="auto" w:fill="auto"/>
            <w:noWrap/>
            <w:vAlign w:val="center"/>
            <w:hideMark/>
          </w:tcPr>
          <w:p w14:paraId="0A9C4DB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95F025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1.13</w:t>
            </w:r>
          </w:p>
        </w:tc>
        <w:tc>
          <w:tcPr>
            <w:tcW w:w="354" w:type="dxa"/>
            <w:tcBorders>
              <w:top w:val="nil"/>
              <w:left w:val="nil"/>
              <w:bottom w:val="single" w:sz="4" w:space="0" w:color="auto"/>
              <w:right w:val="single" w:sz="4" w:space="0" w:color="auto"/>
            </w:tcBorders>
            <w:shd w:val="clear" w:color="auto" w:fill="auto"/>
            <w:noWrap/>
            <w:vAlign w:val="center"/>
            <w:hideMark/>
          </w:tcPr>
          <w:p w14:paraId="3CEA4DD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1.63</w:t>
            </w:r>
          </w:p>
        </w:tc>
        <w:tc>
          <w:tcPr>
            <w:tcW w:w="354" w:type="dxa"/>
            <w:tcBorders>
              <w:top w:val="nil"/>
              <w:left w:val="nil"/>
              <w:bottom w:val="single" w:sz="4" w:space="0" w:color="auto"/>
              <w:right w:val="single" w:sz="4" w:space="0" w:color="auto"/>
            </w:tcBorders>
            <w:shd w:val="clear" w:color="auto" w:fill="auto"/>
            <w:noWrap/>
            <w:vAlign w:val="center"/>
            <w:hideMark/>
          </w:tcPr>
          <w:p w14:paraId="03B87FA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5806080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c>
          <w:tcPr>
            <w:tcW w:w="354" w:type="dxa"/>
            <w:tcBorders>
              <w:top w:val="nil"/>
              <w:left w:val="nil"/>
              <w:bottom w:val="single" w:sz="4" w:space="0" w:color="auto"/>
              <w:right w:val="single" w:sz="4" w:space="0" w:color="auto"/>
            </w:tcBorders>
            <w:shd w:val="clear" w:color="auto" w:fill="auto"/>
            <w:noWrap/>
            <w:vAlign w:val="center"/>
            <w:hideMark/>
          </w:tcPr>
          <w:p w14:paraId="7A6DDC2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1.81</w:t>
            </w:r>
          </w:p>
        </w:tc>
        <w:tc>
          <w:tcPr>
            <w:tcW w:w="354" w:type="dxa"/>
            <w:tcBorders>
              <w:top w:val="nil"/>
              <w:left w:val="nil"/>
              <w:bottom w:val="single" w:sz="4" w:space="0" w:color="auto"/>
              <w:right w:val="single" w:sz="4" w:space="0" w:color="auto"/>
            </w:tcBorders>
            <w:shd w:val="clear" w:color="auto" w:fill="auto"/>
            <w:noWrap/>
            <w:vAlign w:val="center"/>
            <w:hideMark/>
          </w:tcPr>
          <w:p w14:paraId="63A3196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1.81</w:t>
            </w:r>
          </w:p>
        </w:tc>
        <w:tc>
          <w:tcPr>
            <w:tcW w:w="354" w:type="dxa"/>
            <w:tcBorders>
              <w:top w:val="nil"/>
              <w:left w:val="nil"/>
              <w:bottom w:val="single" w:sz="4" w:space="0" w:color="auto"/>
              <w:right w:val="single" w:sz="4" w:space="0" w:color="auto"/>
            </w:tcBorders>
            <w:shd w:val="clear" w:color="auto" w:fill="auto"/>
            <w:noWrap/>
            <w:vAlign w:val="center"/>
            <w:hideMark/>
          </w:tcPr>
          <w:p w14:paraId="0311A96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79BD3D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01AC4A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DF6706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2.50</w:t>
            </w:r>
          </w:p>
        </w:tc>
        <w:tc>
          <w:tcPr>
            <w:tcW w:w="354" w:type="dxa"/>
            <w:tcBorders>
              <w:top w:val="nil"/>
              <w:left w:val="nil"/>
              <w:bottom w:val="single" w:sz="4" w:space="0" w:color="auto"/>
              <w:right w:val="single" w:sz="4" w:space="0" w:color="auto"/>
            </w:tcBorders>
            <w:shd w:val="clear" w:color="auto" w:fill="auto"/>
            <w:noWrap/>
            <w:vAlign w:val="center"/>
            <w:hideMark/>
          </w:tcPr>
          <w:p w14:paraId="22436C2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2.06</w:t>
            </w:r>
          </w:p>
        </w:tc>
      </w:tr>
      <w:tr w:rsidR="005B15EC" w:rsidRPr="005B15EC" w14:paraId="50D0D2D2" w14:textId="77777777" w:rsidTr="00DA2628">
        <w:trPr>
          <w:trHeight w:hRule="exact" w:val="397"/>
        </w:trPr>
        <w:tc>
          <w:tcPr>
            <w:tcW w:w="389"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4C561615"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Proserpine</w:t>
            </w:r>
          </w:p>
        </w:tc>
        <w:tc>
          <w:tcPr>
            <w:tcW w:w="875" w:type="dxa"/>
            <w:tcBorders>
              <w:top w:val="nil"/>
              <w:left w:val="nil"/>
              <w:bottom w:val="single" w:sz="4" w:space="0" w:color="auto"/>
              <w:right w:val="single" w:sz="4" w:space="0" w:color="auto"/>
            </w:tcBorders>
            <w:shd w:val="clear" w:color="auto" w:fill="auto"/>
            <w:noWrap/>
            <w:vAlign w:val="center"/>
            <w:hideMark/>
          </w:tcPr>
          <w:p w14:paraId="1D99F0BC"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Hayman</w:t>
            </w:r>
          </w:p>
        </w:tc>
        <w:tc>
          <w:tcPr>
            <w:tcW w:w="313" w:type="dxa"/>
            <w:tcBorders>
              <w:top w:val="nil"/>
              <w:left w:val="nil"/>
              <w:bottom w:val="single" w:sz="4" w:space="0" w:color="auto"/>
              <w:right w:val="single" w:sz="4" w:space="0" w:color="auto"/>
            </w:tcBorders>
            <w:shd w:val="clear" w:color="auto" w:fill="auto"/>
            <w:noWrap/>
            <w:vAlign w:val="center"/>
            <w:hideMark/>
          </w:tcPr>
          <w:p w14:paraId="35B50C4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DA3D6A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6.71</w:t>
            </w:r>
          </w:p>
        </w:tc>
        <w:tc>
          <w:tcPr>
            <w:tcW w:w="332" w:type="dxa"/>
            <w:tcBorders>
              <w:top w:val="nil"/>
              <w:left w:val="nil"/>
              <w:bottom w:val="single" w:sz="4" w:space="0" w:color="auto"/>
              <w:right w:val="single" w:sz="4" w:space="0" w:color="auto"/>
            </w:tcBorders>
            <w:shd w:val="clear" w:color="auto" w:fill="auto"/>
            <w:noWrap/>
            <w:vAlign w:val="center"/>
            <w:hideMark/>
          </w:tcPr>
          <w:p w14:paraId="116FAC7A"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4388117"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6BD0EC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0.10</w:t>
            </w:r>
          </w:p>
        </w:tc>
        <w:tc>
          <w:tcPr>
            <w:tcW w:w="353" w:type="dxa"/>
            <w:tcBorders>
              <w:top w:val="nil"/>
              <w:left w:val="nil"/>
              <w:bottom w:val="single" w:sz="4" w:space="0" w:color="auto"/>
              <w:right w:val="single" w:sz="4" w:space="0" w:color="auto"/>
            </w:tcBorders>
            <w:shd w:val="clear" w:color="auto" w:fill="auto"/>
            <w:noWrap/>
            <w:vAlign w:val="center"/>
            <w:hideMark/>
          </w:tcPr>
          <w:p w14:paraId="1DEB827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1.87</w:t>
            </w:r>
          </w:p>
        </w:tc>
        <w:tc>
          <w:tcPr>
            <w:tcW w:w="353" w:type="dxa"/>
            <w:tcBorders>
              <w:top w:val="nil"/>
              <w:left w:val="nil"/>
              <w:bottom w:val="single" w:sz="4" w:space="0" w:color="auto"/>
              <w:right w:val="single" w:sz="4" w:space="0" w:color="auto"/>
            </w:tcBorders>
            <w:shd w:val="clear" w:color="auto" w:fill="auto"/>
            <w:noWrap/>
            <w:vAlign w:val="center"/>
            <w:hideMark/>
          </w:tcPr>
          <w:p w14:paraId="6EF9CBB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0.30</w:t>
            </w:r>
          </w:p>
        </w:tc>
        <w:tc>
          <w:tcPr>
            <w:tcW w:w="353" w:type="dxa"/>
            <w:tcBorders>
              <w:top w:val="nil"/>
              <w:left w:val="nil"/>
              <w:bottom w:val="single" w:sz="4" w:space="0" w:color="auto"/>
              <w:right w:val="single" w:sz="4" w:space="0" w:color="auto"/>
            </w:tcBorders>
            <w:shd w:val="clear" w:color="auto" w:fill="auto"/>
            <w:noWrap/>
            <w:vAlign w:val="center"/>
            <w:hideMark/>
          </w:tcPr>
          <w:p w14:paraId="0009820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1.17</w:t>
            </w:r>
          </w:p>
        </w:tc>
        <w:tc>
          <w:tcPr>
            <w:tcW w:w="353" w:type="dxa"/>
            <w:tcBorders>
              <w:top w:val="nil"/>
              <w:left w:val="nil"/>
              <w:bottom w:val="single" w:sz="4" w:space="0" w:color="auto"/>
              <w:right w:val="single" w:sz="4" w:space="0" w:color="auto"/>
            </w:tcBorders>
            <w:shd w:val="clear" w:color="auto" w:fill="auto"/>
            <w:noWrap/>
            <w:vAlign w:val="center"/>
            <w:hideMark/>
          </w:tcPr>
          <w:p w14:paraId="07CD155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0.70</w:t>
            </w:r>
          </w:p>
        </w:tc>
        <w:tc>
          <w:tcPr>
            <w:tcW w:w="353" w:type="dxa"/>
            <w:tcBorders>
              <w:top w:val="nil"/>
              <w:left w:val="nil"/>
              <w:bottom w:val="single" w:sz="4" w:space="0" w:color="auto"/>
              <w:right w:val="single" w:sz="4" w:space="0" w:color="auto"/>
            </w:tcBorders>
            <w:shd w:val="clear" w:color="auto" w:fill="auto"/>
            <w:noWrap/>
            <w:vAlign w:val="center"/>
            <w:hideMark/>
          </w:tcPr>
          <w:p w14:paraId="61B86E3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0.33</w:t>
            </w:r>
          </w:p>
        </w:tc>
        <w:tc>
          <w:tcPr>
            <w:tcW w:w="353" w:type="dxa"/>
            <w:tcBorders>
              <w:top w:val="nil"/>
              <w:left w:val="nil"/>
              <w:bottom w:val="single" w:sz="4" w:space="0" w:color="auto"/>
              <w:right w:val="single" w:sz="4" w:space="0" w:color="auto"/>
            </w:tcBorders>
            <w:shd w:val="clear" w:color="auto" w:fill="auto"/>
            <w:noWrap/>
            <w:vAlign w:val="center"/>
            <w:hideMark/>
          </w:tcPr>
          <w:p w14:paraId="7B682F2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66E5BB4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0.47</w:t>
            </w:r>
          </w:p>
        </w:tc>
        <w:tc>
          <w:tcPr>
            <w:tcW w:w="354" w:type="dxa"/>
            <w:tcBorders>
              <w:top w:val="nil"/>
              <w:left w:val="nil"/>
              <w:bottom w:val="single" w:sz="4" w:space="0" w:color="auto"/>
              <w:right w:val="single" w:sz="4" w:space="0" w:color="auto"/>
            </w:tcBorders>
            <w:shd w:val="clear" w:color="auto" w:fill="auto"/>
            <w:noWrap/>
            <w:vAlign w:val="center"/>
            <w:hideMark/>
          </w:tcPr>
          <w:p w14:paraId="164E004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0.53</w:t>
            </w:r>
          </w:p>
        </w:tc>
        <w:tc>
          <w:tcPr>
            <w:tcW w:w="354" w:type="dxa"/>
            <w:tcBorders>
              <w:top w:val="nil"/>
              <w:left w:val="nil"/>
              <w:bottom w:val="single" w:sz="4" w:space="0" w:color="auto"/>
              <w:right w:val="single" w:sz="4" w:space="0" w:color="auto"/>
            </w:tcBorders>
            <w:shd w:val="clear" w:color="auto" w:fill="auto"/>
            <w:noWrap/>
            <w:vAlign w:val="center"/>
            <w:hideMark/>
          </w:tcPr>
          <w:p w14:paraId="496DCF8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0.27</w:t>
            </w:r>
          </w:p>
        </w:tc>
        <w:tc>
          <w:tcPr>
            <w:tcW w:w="354" w:type="dxa"/>
            <w:tcBorders>
              <w:top w:val="nil"/>
              <w:left w:val="nil"/>
              <w:bottom w:val="single" w:sz="4" w:space="0" w:color="auto"/>
              <w:right w:val="single" w:sz="4" w:space="0" w:color="auto"/>
            </w:tcBorders>
            <w:shd w:val="clear" w:color="auto" w:fill="auto"/>
            <w:noWrap/>
            <w:vAlign w:val="center"/>
            <w:hideMark/>
          </w:tcPr>
          <w:p w14:paraId="14BF542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4" w:type="dxa"/>
            <w:tcBorders>
              <w:top w:val="nil"/>
              <w:left w:val="nil"/>
              <w:bottom w:val="single" w:sz="4" w:space="0" w:color="auto"/>
              <w:right w:val="single" w:sz="4" w:space="0" w:color="auto"/>
            </w:tcBorders>
            <w:shd w:val="clear" w:color="auto" w:fill="auto"/>
            <w:noWrap/>
            <w:vAlign w:val="center"/>
            <w:hideMark/>
          </w:tcPr>
          <w:p w14:paraId="0B0CE59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0.73</w:t>
            </w:r>
          </w:p>
        </w:tc>
        <w:tc>
          <w:tcPr>
            <w:tcW w:w="354" w:type="dxa"/>
            <w:tcBorders>
              <w:top w:val="nil"/>
              <w:left w:val="nil"/>
              <w:bottom w:val="single" w:sz="4" w:space="0" w:color="auto"/>
              <w:right w:val="single" w:sz="4" w:space="0" w:color="auto"/>
            </w:tcBorders>
            <w:shd w:val="clear" w:color="auto" w:fill="auto"/>
            <w:noWrap/>
            <w:vAlign w:val="center"/>
            <w:hideMark/>
          </w:tcPr>
          <w:p w14:paraId="08CFAD6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1.27</w:t>
            </w:r>
          </w:p>
        </w:tc>
        <w:tc>
          <w:tcPr>
            <w:tcW w:w="354" w:type="dxa"/>
            <w:tcBorders>
              <w:top w:val="nil"/>
              <w:left w:val="nil"/>
              <w:bottom w:val="single" w:sz="4" w:space="0" w:color="auto"/>
              <w:right w:val="single" w:sz="4" w:space="0" w:color="auto"/>
            </w:tcBorders>
            <w:shd w:val="clear" w:color="auto" w:fill="auto"/>
            <w:noWrap/>
            <w:vAlign w:val="center"/>
            <w:hideMark/>
          </w:tcPr>
          <w:p w14:paraId="223B944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12.98</w:t>
            </w:r>
          </w:p>
        </w:tc>
        <w:tc>
          <w:tcPr>
            <w:tcW w:w="354" w:type="dxa"/>
            <w:tcBorders>
              <w:top w:val="nil"/>
              <w:left w:val="nil"/>
              <w:bottom w:val="single" w:sz="4" w:space="0" w:color="auto"/>
              <w:right w:val="single" w:sz="4" w:space="0" w:color="auto"/>
            </w:tcBorders>
            <w:shd w:val="clear" w:color="auto" w:fill="auto"/>
            <w:noWrap/>
            <w:vAlign w:val="center"/>
            <w:hideMark/>
          </w:tcPr>
          <w:p w14:paraId="62B3E4B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0.33</w:t>
            </w:r>
          </w:p>
        </w:tc>
        <w:tc>
          <w:tcPr>
            <w:tcW w:w="354" w:type="dxa"/>
            <w:tcBorders>
              <w:top w:val="nil"/>
              <w:left w:val="nil"/>
              <w:bottom w:val="single" w:sz="4" w:space="0" w:color="auto"/>
              <w:right w:val="single" w:sz="4" w:space="0" w:color="auto"/>
            </w:tcBorders>
            <w:shd w:val="clear" w:color="auto" w:fill="auto"/>
            <w:noWrap/>
            <w:vAlign w:val="center"/>
            <w:hideMark/>
          </w:tcPr>
          <w:p w14:paraId="2A5A55E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0.17</w:t>
            </w:r>
          </w:p>
        </w:tc>
        <w:tc>
          <w:tcPr>
            <w:tcW w:w="354" w:type="dxa"/>
            <w:tcBorders>
              <w:top w:val="nil"/>
              <w:left w:val="nil"/>
              <w:bottom w:val="single" w:sz="4" w:space="0" w:color="auto"/>
              <w:right w:val="single" w:sz="4" w:space="0" w:color="auto"/>
            </w:tcBorders>
            <w:shd w:val="clear" w:color="auto" w:fill="auto"/>
            <w:noWrap/>
            <w:vAlign w:val="center"/>
            <w:hideMark/>
          </w:tcPr>
          <w:p w14:paraId="669DC6A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2.74</w:t>
            </w:r>
          </w:p>
        </w:tc>
        <w:tc>
          <w:tcPr>
            <w:tcW w:w="354" w:type="dxa"/>
            <w:tcBorders>
              <w:top w:val="nil"/>
              <w:left w:val="nil"/>
              <w:bottom w:val="single" w:sz="4" w:space="0" w:color="auto"/>
              <w:right w:val="single" w:sz="4" w:space="0" w:color="auto"/>
            </w:tcBorders>
            <w:shd w:val="clear" w:color="auto" w:fill="auto"/>
            <w:noWrap/>
            <w:vAlign w:val="center"/>
            <w:hideMark/>
          </w:tcPr>
          <w:p w14:paraId="4DDA985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0.27</w:t>
            </w:r>
          </w:p>
        </w:tc>
        <w:tc>
          <w:tcPr>
            <w:tcW w:w="354" w:type="dxa"/>
            <w:tcBorders>
              <w:top w:val="nil"/>
              <w:left w:val="nil"/>
              <w:bottom w:val="single" w:sz="4" w:space="0" w:color="auto"/>
              <w:right w:val="single" w:sz="4" w:space="0" w:color="auto"/>
            </w:tcBorders>
            <w:shd w:val="clear" w:color="auto" w:fill="auto"/>
            <w:noWrap/>
            <w:vAlign w:val="center"/>
            <w:hideMark/>
          </w:tcPr>
          <w:p w14:paraId="5612E06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4" w:type="dxa"/>
            <w:tcBorders>
              <w:top w:val="nil"/>
              <w:left w:val="nil"/>
              <w:bottom w:val="single" w:sz="4" w:space="0" w:color="auto"/>
              <w:right w:val="single" w:sz="4" w:space="0" w:color="auto"/>
            </w:tcBorders>
            <w:shd w:val="clear" w:color="auto" w:fill="auto"/>
            <w:noWrap/>
            <w:vAlign w:val="center"/>
            <w:hideMark/>
          </w:tcPr>
          <w:p w14:paraId="2D379BF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0.23</w:t>
            </w:r>
          </w:p>
        </w:tc>
        <w:tc>
          <w:tcPr>
            <w:tcW w:w="354" w:type="dxa"/>
            <w:tcBorders>
              <w:top w:val="nil"/>
              <w:left w:val="nil"/>
              <w:bottom w:val="single" w:sz="4" w:space="0" w:color="auto"/>
              <w:right w:val="single" w:sz="4" w:space="0" w:color="auto"/>
            </w:tcBorders>
            <w:shd w:val="clear" w:color="auto" w:fill="auto"/>
            <w:noWrap/>
            <w:vAlign w:val="center"/>
            <w:hideMark/>
          </w:tcPr>
          <w:p w14:paraId="4968518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20CF50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0.37</w:t>
            </w:r>
          </w:p>
        </w:tc>
        <w:tc>
          <w:tcPr>
            <w:tcW w:w="354" w:type="dxa"/>
            <w:tcBorders>
              <w:top w:val="nil"/>
              <w:left w:val="nil"/>
              <w:bottom w:val="single" w:sz="4" w:space="0" w:color="auto"/>
              <w:right w:val="single" w:sz="4" w:space="0" w:color="auto"/>
            </w:tcBorders>
            <w:shd w:val="clear" w:color="auto" w:fill="auto"/>
            <w:noWrap/>
            <w:vAlign w:val="center"/>
            <w:hideMark/>
          </w:tcPr>
          <w:p w14:paraId="0621A60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0.10</w:t>
            </w:r>
          </w:p>
        </w:tc>
        <w:tc>
          <w:tcPr>
            <w:tcW w:w="354" w:type="dxa"/>
            <w:tcBorders>
              <w:top w:val="nil"/>
              <w:left w:val="nil"/>
              <w:bottom w:val="single" w:sz="4" w:space="0" w:color="auto"/>
              <w:right w:val="single" w:sz="4" w:space="0" w:color="auto"/>
            </w:tcBorders>
            <w:shd w:val="clear" w:color="auto" w:fill="auto"/>
            <w:noWrap/>
            <w:vAlign w:val="center"/>
            <w:hideMark/>
          </w:tcPr>
          <w:p w14:paraId="53EA234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2.17</w:t>
            </w:r>
          </w:p>
        </w:tc>
        <w:tc>
          <w:tcPr>
            <w:tcW w:w="354" w:type="dxa"/>
            <w:tcBorders>
              <w:top w:val="nil"/>
              <w:left w:val="nil"/>
              <w:bottom w:val="single" w:sz="4" w:space="0" w:color="auto"/>
              <w:right w:val="single" w:sz="4" w:space="0" w:color="auto"/>
            </w:tcBorders>
            <w:shd w:val="clear" w:color="auto" w:fill="auto"/>
            <w:noWrap/>
            <w:vAlign w:val="center"/>
            <w:hideMark/>
          </w:tcPr>
          <w:p w14:paraId="5857DCA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DB9545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1.93</w:t>
            </w:r>
          </w:p>
        </w:tc>
        <w:tc>
          <w:tcPr>
            <w:tcW w:w="354" w:type="dxa"/>
            <w:tcBorders>
              <w:top w:val="nil"/>
              <w:left w:val="nil"/>
              <w:bottom w:val="single" w:sz="4" w:space="0" w:color="auto"/>
              <w:right w:val="single" w:sz="4" w:space="0" w:color="auto"/>
            </w:tcBorders>
            <w:shd w:val="clear" w:color="auto" w:fill="auto"/>
            <w:noWrap/>
            <w:vAlign w:val="center"/>
            <w:hideMark/>
          </w:tcPr>
          <w:p w14:paraId="09E5DE6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4" w:type="dxa"/>
            <w:tcBorders>
              <w:top w:val="nil"/>
              <w:left w:val="nil"/>
              <w:bottom w:val="single" w:sz="4" w:space="0" w:color="auto"/>
              <w:right w:val="single" w:sz="4" w:space="0" w:color="auto"/>
            </w:tcBorders>
            <w:shd w:val="clear" w:color="auto" w:fill="auto"/>
            <w:noWrap/>
            <w:vAlign w:val="center"/>
            <w:hideMark/>
          </w:tcPr>
          <w:p w14:paraId="529304B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0.30</w:t>
            </w:r>
          </w:p>
        </w:tc>
        <w:tc>
          <w:tcPr>
            <w:tcW w:w="354" w:type="dxa"/>
            <w:tcBorders>
              <w:top w:val="nil"/>
              <w:left w:val="nil"/>
              <w:bottom w:val="single" w:sz="4" w:space="0" w:color="auto"/>
              <w:right w:val="single" w:sz="4" w:space="0" w:color="auto"/>
            </w:tcBorders>
            <w:shd w:val="clear" w:color="auto" w:fill="auto"/>
            <w:noWrap/>
            <w:vAlign w:val="center"/>
            <w:hideMark/>
          </w:tcPr>
          <w:p w14:paraId="6D28C9C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1.14</w:t>
            </w:r>
          </w:p>
        </w:tc>
      </w:tr>
      <w:tr w:rsidR="005B15EC" w:rsidRPr="005B15EC" w14:paraId="6F005FC4"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763496BB" w14:textId="77777777" w:rsidR="005B15EC" w:rsidRPr="005B15EC" w:rsidRDefault="005B15EC" w:rsidP="005B15EC">
            <w:pPr>
              <w:spacing w:after="0"/>
              <w:jc w:val="left"/>
              <w:rPr>
                <w:rFonts w:ascii="Arial Narrow" w:hAnsi="Arial Narrow"/>
                <w:sz w:val="18"/>
                <w:szCs w:val="18"/>
                <w:lang w:val="en-AU" w:eastAsia="en-AU"/>
              </w:rPr>
            </w:pPr>
          </w:p>
        </w:tc>
        <w:tc>
          <w:tcPr>
            <w:tcW w:w="875" w:type="dxa"/>
            <w:tcBorders>
              <w:top w:val="nil"/>
              <w:left w:val="nil"/>
              <w:bottom w:val="single" w:sz="4" w:space="0" w:color="auto"/>
              <w:right w:val="single" w:sz="4" w:space="0" w:color="auto"/>
            </w:tcBorders>
            <w:shd w:val="clear" w:color="auto" w:fill="auto"/>
            <w:noWrap/>
            <w:vAlign w:val="center"/>
            <w:hideMark/>
          </w:tcPr>
          <w:p w14:paraId="5A8778F8"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Langford</w:t>
            </w:r>
          </w:p>
        </w:tc>
        <w:tc>
          <w:tcPr>
            <w:tcW w:w="313" w:type="dxa"/>
            <w:tcBorders>
              <w:top w:val="nil"/>
              <w:left w:val="nil"/>
              <w:bottom w:val="single" w:sz="4" w:space="0" w:color="auto"/>
              <w:right w:val="single" w:sz="4" w:space="0" w:color="auto"/>
            </w:tcBorders>
            <w:shd w:val="clear" w:color="auto" w:fill="auto"/>
            <w:noWrap/>
            <w:vAlign w:val="center"/>
            <w:hideMark/>
          </w:tcPr>
          <w:p w14:paraId="1A38B7C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0CF0416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4.07</w:t>
            </w:r>
          </w:p>
        </w:tc>
        <w:tc>
          <w:tcPr>
            <w:tcW w:w="332" w:type="dxa"/>
            <w:tcBorders>
              <w:top w:val="nil"/>
              <w:left w:val="nil"/>
              <w:bottom w:val="single" w:sz="4" w:space="0" w:color="auto"/>
              <w:right w:val="single" w:sz="4" w:space="0" w:color="auto"/>
            </w:tcBorders>
            <w:shd w:val="clear" w:color="auto" w:fill="auto"/>
            <w:noWrap/>
            <w:vAlign w:val="center"/>
            <w:hideMark/>
          </w:tcPr>
          <w:p w14:paraId="78094DD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2" w:type="dxa"/>
            <w:tcBorders>
              <w:top w:val="nil"/>
              <w:left w:val="nil"/>
              <w:bottom w:val="single" w:sz="4" w:space="0" w:color="auto"/>
              <w:right w:val="single" w:sz="4" w:space="0" w:color="auto"/>
            </w:tcBorders>
            <w:shd w:val="clear" w:color="auto" w:fill="auto"/>
            <w:noWrap/>
            <w:vAlign w:val="center"/>
            <w:hideMark/>
          </w:tcPr>
          <w:p w14:paraId="17FC8AB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E61BB1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0.07</w:t>
            </w:r>
          </w:p>
        </w:tc>
        <w:tc>
          <w:tcPr>
            <w:tcW w:w="353" w:type="dxa"/>
            <w:tcBorders>
              <w:top w:val="nil"/>
              <w:left w:val="nil"/>
              <w:bottom w:val="single" w:sz="4" w:space="0" w:color="auto"/>
              <w:right w:val="single" w:sz="4" w:space="0" w:color="auto"/>
            </w:tcBorders>
            <w:shd w:val="clear" w:color="auto" w:fill="auto"/>
            <w:noWrap/>
            <w:vAlign w:val="center"/>
            <w:hideMark/>
          </w:tcPr>
          <w:p w14:paraId="16530E7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0.33</w:t>
            </w:r>
          </w:p>
        </w:tc>
        <w:tc>
          <w:tcPr>
            <w:tcW w:w="353" w:type="dxa"/>
            <w:tcBorders>
              <w:top w:val="nil"/>
              <w:left w:val="nil"/>
              <w:bottom w:val="single" w:sz="4" w:space="0" w:color="auto"/>
              <w:right w:val="single" w:sz="4" w:space="0" w:color="auto"/>
            </w:tcBorders>
            <w:shd w:val="clear" w:color="auto" w:fill="auto"/>
            <w:noWrap/>
            <w:vAlign w:val="center"/>
            <w:hideMark/>
          </w:tcPr>
          <w:p w14:paraId="0B5EAC0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49FB006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1.90</w:t>
            </w:r>
          </w:p>
        </w:tc>
        <w:tc>
          <w:tcPr>
            <w:tcW w:w="353" w:type="dxa"/>
            <w:tcBorders>
              <w:top w:val="nil"/>
              <w:left w:val="nil"/>
              <w:bottom w:val="single" w:sz="4" w:space="0" w:color="auto"/>
              <w:right w:val="single" w:sz="4" w:space="0" w:color="auto"/>
            </w:tcBorders>
            <w:shd w:val="clear" w:color="auto" w:fill="auto"/>
            <w:noWrap/>
            <w:vAlign w:val="center"/>
            <w:hideMark/>
          </w:tcPr>
          <w:p w14:paraId="3D4B6A8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0.90</w:t>
            </w:r>
          </w:p>
        </w:tc>
        <w:tc>
          <w:tcPr>
            <w:tcW w:w="353" w:type="dxa"/>
            <w:tcBorders>
              <w:top w:val="nil"/>
              <w:left w:val="nil"/>
              <w:bottom w:val="single" w:sz="4" w:space="0" w:color="auto"/>
              <w:right w:val="single" w:sz="4" w:space="0" w:color="auto"/>
            </w:tcBorders>
            <w:shd w:val="clear" w:color="auto" w:fill="auto"/>
            <w:noWrap/>
            <w:vAlign w:val="center"/>
            <w:hideMark/>
          </w:tcPr>
          <w:p w14:paraId="1142813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0.23</w:t>
            </w:r>
          </w:p>
        </w:tc>
        <w:tc>
          <w:tcPr>
            <w:tcW w:w="353" w:type="dxa"/>
            <w:tcBorders>
              <w:top w:val="nil"/>
              <w:left w:val="nil"/>
              <w:bottom w:val="single" w:sz="4" w:space="0" w:color="auto"/>
              <w:right w:val="single" w:sz="4" w:space="0" w:color="auto"/>
            </w:tcBorders>
            <w:shd w:val="clear" w:color="auto" w:fill="auto"/>
            <w:noWrap/>
            <w:vAlign w:val="center"/>
            <w:hideMark/>
          </w:tcPr>
          <w:p w14:paraId="3F64732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BA253E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0.07</w:t>
            </w:r>
          </w:p>
        </w:tc>
        <w:tc>
          <w:tcPr>
            <w:tcW w:w="354" w:type="dxa"/>
            <w:tcBorders>
              <w:top w:val="nil"/>
              <w:left w:val="nil"/>
              <w:bottom w:val="single" w:sz="4" w:space="0" w:color="auto"/>
              <w:right w:val="single" w:sz="4" w:space="0" w:color="auto"/>
            </w:tcBorders>
            <w:shd w:val="clear" w:color="auto" w:fill="auto"/>
            <w:noWrap/>
            <w:vAlign w:val="center"/>
            <w:hideMark/>
          </w:tcPr>
          <w:p w14:paraId="6D7A336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0.20</w:t>
            </w:r>
          </w:p>
        </w:tc>
        <w:tc>
          <w:tcPr>
            <w:tcW w:w="354" w:type="dxa"/>
            <w:tcBorders>
              <w:top w:val="nil"/>
              <w:left w:val="nil"/>
              <w:bottom w:val="single" w:sz="4" w:space="0" w:color="auto"/>
              <w:right w:val="single" w:sz="4" w:space="0" w:color="auto"/>
            </w:tcBorders>
            <w:shd w:val="clear" w:color="auto" w:fill="auto"/>
            <w:noWrap/>
            <w:vAlign w:val="center"/>
            <w:hideMark/>
          </w:tcPr>
          <w:p w14:paraId="0413499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6.07</w:t>
            </w:r>
          </w:p>
        </w:tc>
        <w:tc>
          <w:tcPr>
            <w:tcW w:w="354" w:type="dxa"/>
            <w:tcBorders>
              <w:top w:val="nil"/>
              <w:left w:val="nil"/>
              <w:bottom w:val="single" w:sz="4" w:space="0" w:color="auto"/>
              <w:right w:val="single" w:sz="4" w:space="0" w:color="auto"/>
            </w:tcBorders>
            <w:shd w:val="clear" w:color="auto" w:fill="auto"/>
            <w:noWrap/>
            <w:vAlign w:val="center"/>
            <w:hideMark/>
          </w:tcPr>
          <w:p w14:paraId="72FA146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EEE376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4" w:type="dxa"/>
            <w:tcBorders>
              <w:top w:val="nil"/>
              <w:left w:val="nil"/>
              <w:bottom w:val="single" w:sz="4" w:space="0" w:color="auto"/>
              <w:right w:val="single" w:sz="4" w:space="0" w:color="auto"/>
            </w:tcBorders>
            <w:shd w:val="clear" w:color="auto" w:fill="auto"/>
            <w:noWrap/>
            <w:vAlign w:val="center"/>
            <w:hideMark/>
          </w:tcPr>
          <w:p w14:paraId="13D0E91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08B4D3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0.93</w:t>
            </w:r>
          </w:p>
        </w:tc>
        <w:tc>
          <w:tcPr>
            <w:tcW w:w="354" w:type="dxa"/>
            <w:tcBorders>
              <w:top w:val="nil"/>
              <w:left w:val="nil"/>
              <w:bottom w:val="single" w:sz="4" w:space="0" w:color="auto"/>
              <w:right w:val="single" w:sz="4" w:space="0" w:color="auto"/>
            </w:tcBorders>
            <w:shd w:val="clear" w:color="auto" w:fill="auto"/>
            <w:noWrap/>
            <w:vAlign w:val="center"/>
            <w:hideMark/>
          </w:tcPr>
          <w:p w14:paraId="0B1DBE0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4" w:type="dxa"/>
            <w:tcBorders>
              <w:top w:val="nil"/>
              <w:left w:val="nil"/>
              <w:bottom w:val="single" w:sz="4" w:space="0" w:color="auto"/>
              <w:right w:val="single" w:sz="4" w:space="0" w:color="auto"/>
            </w:tcBorders>
            <w:shd w:val="clear" w:color="auto" w:fill="auto"/>
            <w:noWrap/>
            <w:vAlign w:val="center"/>
            <w:hideMark/>
          </w:tcPr>
          <w:p w14:paraId="0F0FC8D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B99BA9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0.33</w:t>
            </w:r>
          </w:p>
        </w:tc>
        <w:tc>
          <w:tcPr>
            <w:tcW w:w="354" w:type="dxa"/>
            <w:tcBorders>
              <w:top w:val="nil"/>
              <w:left w:val="nil"/>
              <w:bottom w:val="single" w:sz="4" w:space="0" w:color="auto"/>
              <w:right w:val="single" w:sz="4" w:space="0" w:color="auto"/>
            </w:tcBorders>
            <w:shd w:val="clear" w:color="auto" w:fill="auto"/>
            <w:noWrap/>
            <w:vAlign w:val="center"/>
            <w:hideMark/>
          </w:tcPr>
          <w:p w14:paraId="03976FA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2.50</w:t>
            </w:r>
          </w:p>
        </w:tc>
        <w:tc>
          <w:tcPr>
            <w:tcW w:w="354" w:type="dxa"/>
            <w:tcBorders>
              <w:top w:val="nil"/>
              <w:left w:val="nil"/>
              <w:bottom w:val="single" w:sz="4" w:space="0" w:color="auto"/>
              <w:right w:val="single" w:sz="4" w:space="0" w:color="auto"/>
            </w:tcBorders>
            <w:shd w:val="clear" w:color="auto" w:fill="auto"/>
            <w:noWrap/>
            <w:vAlign w:val="center"/>
            <w:hideMark/>
          </w:tcPr>
          <w:p w14:paraId="63A2E97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0.20</w:t>
            </w:r>
          </w:p>
        </w:tc>
        <w:tc>
          <w:tcPr>
            <w:tcW w:w="354" w:type="dxa"/>
            <w:tcBorders>
              <w:top w:val="nil"/>
              <w:left w:val="nil"/>
              <w:bottom w:val="single" w:sz="4" w:space="0" w:color="auto"/>
              <w:right w:val="single" w:sz="4" w:space="0" w:color="auto"/>
            </w:tcBorders>
            <w:shd w:val="clear" w:color="auto" w:fill="auto"/>
            <w:noWrap/>
            <w:vAlign w:val="center"/>
            <w:hideMark/>
          </w:tcPr>
          <w:p w14:paraId="7BE3D3A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0.20</w:t>
            </w:r>
          </w:p>
        </w:tc>
        <w:tc>
          <w:tcPr>
            <w:tcW w:w="354" w:type="dxa"/>
            <w:tcBorders>
              <w:top w:val="nil"/>
              <w:left w:val="nil"/>
              <w:bottom w:val="single" w:sz="4" w:space="0" w:color="auto"/>
              <w:right w:val="single" w:sz="4" w:space="0" w:color="auto"/>
            </w:tcBorders>
            <w:shd w:val="clear" w:color="auto" w:fill="auto"/>
            <w:noWrap/>
            <w:vAlign w:val="center"/>
            <w:hideMark/>
          </w:tcPr>
          <w:p w14:paraId="6E3C4BF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A3B44E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0.47</w:t>
            </w:r>
          </w:p>
        </w:tc>
        <w:tc>
          <w:tcPr>
            <w:tcW w:w="354" w:type="dxa"/>
            <w:tcBorders>
              <w:top w:val="nil"/>
              <w:left w:val="nil"/>
              <w:bottom w:val="single" w:sz="4" w:space="0" w:color="auto"/>
              <w:right w:val="single" w:sz="4" w:space="0" w:color="auto"/>
            </w:tcBorders>
            <w:shd w:val="clear" w:color="auto" w:fill="auto"/>
            <w:noWrap/>
            <w:vAlign w:val="center"/>
            <w:hideMark/>
          </w:tcPr>
          <w:p w14:paraId="6ECE593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D412E8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2.20</w:t>
            </w:r>
          </w:p>
        </w:tc>
        <w:tc>
          <w:tcPr>
            <w:tcW w:w="354" w:type="dxa"/>
            <w:tcBorders>
              <w:top w:val="nil"/>
              <w:left w:val="nil"/>
              <w:bottom w:val="single" w:sz="4" w:space="0" w:color="auto"/>
              <w:right w:val="single" w:sz="4" w:space="0" w:color="auto"/>
            </w:tcBorders>
            <w:shd w:val="clear" w:color="auto" w:fill="auto"/>
            <w:noWrap/>
            <w:vAlign w:val="center"/>
            <w:hideMark/>
          </w:tcPr>
          <w:p w14:paraId="48A3D16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FA64CB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0.20</w:t>
            </w:r>
          </w:p>
        </w:tc>
        <w:tc>
          <w:tcPr>
            <w:tcW w:w="354" w:type="dxa"/>
            <w:tcBorders>
              <w:top w:val="nil"/>
              <w:left w:val="nil"/>
              <w:bottom w:val="single" w:sz="4" w:space="0" w:color="auto"/>
              <w:right w:val="single" w:sz="4" w:space="0" w:color="auto"/>
            </w:tcBorders>
            <w:shd w:val="clear" w:color="auto" w:fill="auto"/>
            <w:noWrap/>
            <w:vAlign w:val="center"/>
            <w:hideMark/>
          </w:tcPr>
          <w:p w14:paraId="39D8F31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2F1F26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0.23</w:t>
            </w:r>
          </w:p>
        </w:tc>
        <w:tc>
          <w:tcPr>
            <w:tcW w:w="354" w:type="dxa"/>
            <w:tcBorders>
              <w:top w:val="nil"/>
              <w:left w:val="nil"/>
              <w:bottom w:val="single" w:sz="4" w:space="0" w:color="auto"/>
              <w:right w:val="single" w:sz="4" w:space="0" w:color="auto"/>
            </w:tcBorders>
            <w:shd w:val="clear" w:color="auto" w:fill="auto"/>
            <w:noWrap/>
            <w:vAlign w:val="center"/>
            <w:hideMark/>
          </w:tcPr>
          <w:p w14:paraId="26ED0C5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0.87</w:t>
            </w:r>
          </w:p>
        </w:tc>
      </w:tr>
      <w:tr w:rsidR="005B15EC" w:rsidRPr="005B15EC" w14:paraId="1C3629C8"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7C66D870" w14:textId="77777777" w:rsidR="005B15EC" w:rsidRPr="005B15EC" w:rsidRDefault="005B15EC" w:rsidP="005B15EC">
            <w:pPr>
              <w:spacing w:after="0"/>
              <w:jc w:val="left"/>
              <w:rPr>
                <w:rFonts w:ascii="Arial Narrow" w:hAnsi="Arial Narrow"/>
                <w:sz w:val="18"/>
                <w:szCs w:val="18"/>
                <w:lang w:val="en-AU" w:eastAsia="en-AU"/>
              </w:rPr>
            </w:pPr>
          </w:p>
        </w:tc>
        <w:tc>
          <w:tcPr>
            <w:tcW w:w="875" w:type="dxa"/>
            <w:tcBorders>
              <w:top w:val="nil"/>
              <w:left w:val="nil"/>
              <w:bottom w:val="single" w:sz="4" w:space="0" w:color="auto"/>
              <w:right w:val="single" w:sz="4" w:space="0" w:color="auto"/>
            </w:tcBorders>
            <w:shd w:val="clear" w:color="auto" w:fill="auto"/>
            <w:noWrap/>
            <w:vAlign w:val="center"/>
            <w:hideMark/>
          </w:tcPr>
          <w:p w14:paraId="108A32CE"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Border</w:t>
            </w:r>
          </w:p>
        </w:tc>
        <w:tc>
          <w:tcPr>
            <w:tcW w:w="313" w:type="dxa"/>
            <w:tcBorders>
              <w:top w:val="nil"/>
              <w:left w:val="nil"/>
              <w:bottom w:val="single" w:sz="4" w:space="0" w:color="auto"/>
              <w:right w:val="single" w:sz="4" w:space="0" w:color="auto"/>
            </w:tcBorders>
            <w:shd w:val="clear" w:color="auto" w:fill="auto"/>
            <w:noWrap/>
            <w:vAlign w:val="center"/>
            <w:hideMark/>
          </w:tcPr>
          <w:p w14:paraId="20CBD4E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6B2F05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5.13</w:t>
            </w:r>
          </w:p>
        </w:tc>
        <w:tc>
          <w:tcPr>
            <w:tcW w:w="332" w:type="dxa"/>
            <w:tcBorders>
              <w:top w:val="nil"/>
              <w:left w:val="nil"/>
              <w:bottom w:val="single" w:sz="4" w:space="0" w:color="auto"/>
              <w:right w:val="single" w:sz="4" w:space="0" w:color="auto"/>
            </w:tcBorders>
            <w:shd w:val="clear" w:color="auto" w:fill="auto"/>
            <w:noWrap/>
            <w:vAlign w:val="center"/>
            <w:hideMark/>
          </w:tcPr>
          <w:p w14:paraId="59BA23D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0.37</w:t>
            </w:r>
          </w:p>
        </w:tc>
        <w:tc>
          <w:tcPr>
            <w:tcW w:w="352" w:type="dxa"/>
            <w:tcBorders>
              <w:top w:val="nil"/>
              <w:left w:val="nil"/>
              <w:bottom w:val="single" w:sz="4" w:space="0" w:color="auto"/>
              <w:right w:val="single" w:sz="4" w:space="0" w:color="auto"/>
            </w:tcBorders>
            <w:shd w:val="clear" w:color="auto" w:fill="auto"/>
            <w:noWrap/>
            <w:vAlign w:val="center"/>
            <w:hideMark/>
          </w:tcPr>
          <w:p w14:paraId="54FD2BAB"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F812D0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0.03</w:t>
            </w:r>
          </w:p>
        </w:tc>
        <w:tc>
          <w:tcPr>
            <w:tcW w:w="353" w:type="dxa"/>
            <w:tcBorders>
              <w:top w:val="nil"/>
              <w:left w:val="nil"/>
              <w:bottom w:val="single" w:sz="4" w:space="0" w:color="auto"/>
              <w:right w:val="single" w:sz="4" w:space="0" w:color="auto"/>
            </w:tcBorders>
            <w:shd w:val="clear" w:color="auto" w:fill="auto"/>
            <w:noWrap/>
            <w:vAlign w:val="center"/>
            <w:hideMark/>
          </w:tcPr>
          <w:p w14:paraId="69A9C46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0.43</w:t>
            </w:r>
          </w:p>
        </w:tc>
        <w:tc>
          <w:tcPr>
            <w:tcW w:w="353" w:type="dxa"/>
            <w:tcBorders>
              <w:top w:val="nil"/>
              <w:left w:val="nil"/>
              <w:bottom w:val="single" w:sz="4" w:space="0" w:color="auto"/>
              <w:right w:val="single" w:sz="4" w:space="0" w:color="auto"/>
            </w:tcBorders>
            <w:shd w:val="clear" w:color="auto" w:fill="auto"/>
            <w:noWrap/>
            <w:vAlign w:val="center"/>
            <w:hideMark/>
          </w:tcPr>
          <w:p w14:paraId="30DF9EB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0.60</w:t>
            </w:r>
          </w:p>
        </w:tc>
        <w:tc>
          <w:tcPr>
            <w:tcW w:w="353" w:type="dxa"/>
            <w:tcBorders>
              <w:top w:val="nil"/>
              <w:left w:val="nil"/>
              <w:bottom w:val="single" w:sz="4" w:space="0" w:color="auto"/>
              <w:right w:val="single" w:sz="4" w:space="0" w:color="auto"/>
            </w:tcBorders>
            <w:shd w:val="clear" w:color="auto" w:fill="auto"/>
            <w:noWrap/>
            <w:vAlign w:val="center"/>
            <w:hideMark/>
          </w:tcPr>
          <w:p w14:paraId="0DD8DEC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0.67</w:t>
            </w:r>
          </w:p>
        </w:tc>
        <w:tc>
          <w:tcPr>
            <w:tcW w:w="353" w:type="dxa"/>
            <w:tcBorders>
              <w:top w:val="nil"/>
              <w:left w:val="nil"/>
              <w:bottom w:val="single" w:sz="4" w:space="0" w:color="auto"/>
              <w:right w:val="single" w:sz="4" w:space="0" w:color="auto"/>
            </w:tcBorders>
            <w:shd w:val="clear" w:color="auto" w:fill="auto"/>
            <w:noWrap/>
            <w:vAlign w:val="center"/>
            <w:hideMark/>
          </w:tcPr>
          <w:p w14:paraId="53E6206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0.90</w:t>
            </w:r>
          </w:p>
        </w:tc>
        <w:tc>
          <w:tcPr>
            <w:tcW w:w="353" w:type="dxa"/>
            <w:tcBorders>
              <w:top w:val="nil"/>
              <w:left w:val="nil"/>
              <w:bottom w:val="single" w:sz="4" w:space="0" w:color="auto"/>
              <w:right w:val="single" w:sz="4" w:space="0" w:color="auto"/>
            </w:tcBorders>
            <w:shd w:val="clear" w:color="auto" w:fill="auto"/>
            <w:noWrap/>
            <w:vAlign w:val="center"/>
            <w:hideMark/>
          </w:tcPr>
          <w:p w14:paraId="3E76C3A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0.27</w:t>
            </w:r>
          </w:p>
        </w:tc>
        <w:tc>
          <w:tcPr>
            <w:tcW w:w="353" w:type="dxa"/>
            <w:tcBorders>
              <w:top w:val="nil"/>
              <w:left w:val="nil"/>
              <w:bottom w:val="single" w:sz="4" w:space="0" w:color="auto"/>
              <w:right w:val="single" w:sz="4" w:space="0" w:color="auto"/>
            </w:tcBorders>
            <w:shd w:val="clear" w:color="auto" w:fill="auto"/>
            <w:noWrap/>
            <w:vAlign w:val="center"/>
            <w:hideMark/>
          </w:tcPr>
          <w:p w14:paraId="6D3D81A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0.17</w:t>
            </w:r>
          </w:p>
        </w:tc>
        <w:tc>
          <w:tcPr>
            <w:tcW w:w="354" w:type="dxa"/>
            <w:tcBorders>
              <w:top w:val="nil"/>
              <w:left w:val="nil"/>
              <w:bottom w:val="single" w:sz="4" w:space="0" w:color="auto"/>
              <w:right w:val="single" w:sz="4" w:space="0" w:color="auto"/>
            </w:tcBorders>
            <w:shd w:val="clear" w:color="auto" w:fill="auto"/>
            <w:noWrap/>
            <w:vAlign w:val="center"/>
            <w:hideMark/>
          </w:tcPr>
          <w:p w14:paraId="6BA42AF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0.20</w:t>
            </w:r>
          </w:p>
        </w:tc>
        <w:tc>
          <w:tcPr>
            <w:tcW w:w="354" w:type="dxa"/>
            <w:tcBorders>
              <w:top w:val="nil"/>
              <w:left w:val="nil"/>
              <w:bottom w:val="single" w:sz="4" w:space="0" w:color="auto"/>
              <w:right w:val="single" w:sz="4" w:space="0" w:color="auto"/>
            </w:tcBorders>
            <w:shd w:val="clear" w:color="auto" w:fill="auto"/>
            <w:noWrap/>
            <w:vAlign w:val="center"/>
            <w:hideMark/>
          </w:tcPr>
          <w:p w14:paraId="141198F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0.27</w:t>
            </w:r>
          </w:p>
        </w:tc>
        <w:tc>
          <w:tcPr>
            <w:tcW w:w="354" w:type="dxa"/>
            <w:tcBorders>
              <w:top w:val="nil"/>
              <w:left w:val="nil"/>
              <w:bottom w:val="single" w:sz="4" w:space="0" w:color="auto"/>
              <w:right w:val="single" w:sz="4" w:space="0" w:color="auto"/>
            </w:tcBorders>
            <w:shd w:val="clear" w:color="auto" w:fill="auto"/>
            <w:noWrap/>
            <w:vAlign w:val="center"/>
            <w:hideMark/>
          </w:tcPr>
          <w:p w14:paraId="0225A44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13.00</w:t>
            </w:r>
          </w:p>
        </w:tc>
        <w:tc>
          <w:tcPr>
            <w:tcW w:w="354" w:type="dxa"/>
            <w:tcBorders>
              <w:top w:val="nil"/>
              <w:left w:val="nil"/>
              <w:bottom w:val="single" w:sz="4" w:space="0" w:color="auto"/>
              <w:right w:val="single" w:sz="4" w:space="0" w:color="auto"/>
            </w:tcBorders>
            <w:shd w:val="clear" w:color="auto" w:fill="auto"/>
            <w:noWrap/>
            <w:vAlign w:val="center"/>
            <w:hideMark/>
          </w:tcPr>
          <w:p w14:paraId="791C174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0.07</w:t>
            </w:r>
          </w:p>
        </w:tc>
        <w:tc>
          <w:tcPr>
            <w:tcW w:w="354" w:type="dxa"/>
            <w:tcBorders>
              <w:top w:val="nil"/>
              <w:left w:val="nil"/>
              <w:bottom w:val="single" w:sz="4" w:space="0" w:color="auto"/>
              <w:right w:val="single" w:sz="4" w:space="0" w:color="auto"/>
            </w:tcBorders>
            <w:shd w:val="clear" w:color="auto" w:fill="auto"/>
            <w:noWrap/>
            <w:vAlign w:val="center"/>
            <w:hideMark/>
          </w:tcPr>
          <w:p w14:paraId="45B4DBD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0.87</w:t>
            </w:r>
          </w:p>
        </w:tc>
        <w:tc>
          <w:tcPr>
            <w:tcW w:w="354" w:type="dxa"/>
            <w:tcBorders>
              <w:top w:val="nil"/>
              <w:left w:val="nil"/>
              <w:bottom w:val="single" w:sz="4" w:space="0" w:color="auto"/>
              <w:right w:val="single" w:sz="4" w:space="0" w:color="auto"/>
            </w:tcBorders>
            <w:shd w:val="clear" w:color="auto" w:fill="auto"/>
            <w:noWrap/>
            <w:vAlign w:val="center"/>
            <w:hideMark/>
          </w:tcPr>
          <w:p w14:paraId="46621BD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0.27</w:t>
            </w:r>
          </w:p>
        </w:tc>
        <w:tc>
          <w:tcPr>
            <w:tcW w:w="354" w:type="dxa"/>
            <w:tcBorders>
              <w:top w:val="nil"/>
              <w:left w:val="nil"/>
              <w:bottom w:val="single" w:sz="4" w:space="0" w:color="auto"/>
              <w:right w:val="single" w:sz="4" w:space="0" w:color="auto"/>
            </w:tcBorders>
            <w:shd w:val="clear" w:color="auto" w:fill="auto"/>
            <w:noWrap/>
            <w:vAlign w:val="center"/>
            <w:hideMark/>
          </w:tcPr>
          <w:p w14:paraId="3CD41B4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1.43</w:t>
            </w:r>
          </w:p>
        </w:tc>
        <w:tc>
          <w:tcPr>
            <w:tcW w:w="354" w:type="dxa"/>
            <w:tcBorders>
              <w:top w:val="nil"/>
              <w:left w:val="nil"/>
              <w:bottom w:val="single" w:sz="4" w:space="0" w:color="auto"/>
              <w:right w:val="single" w:sz="4" w:space="0" w:color="auto"/>
            </w:tcBorders>
            <w:shd w:val="clear" w:color="auto" w:fill="auto"/>
            <w:noWrap/>
            <w:vAlign w:val="center"/>
            <w:hideMark/>
          </w:tcPr>
          <w:p w14:paraId="3026F71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0.43</w:t>
            </w:r>
          </w:p>
        </w:tc>
        <w:tc>
          <w:tcPr>
            <w:tcW w:w="354" w:type="dxa"/>
            <w:tcBorders>
              <w:top w:val="nil"/>
              <w:left w:val="nil"/>
              <w:bottom w:val="single" w:sz="4" w:space="0" w:color="auto"/>
              <w:right w:val="single" w:sz="4" w:space="0" w:color="auto"/>
            </w:tcBorders>
            <w:shd w:val="clear" w:color="auto" w:fill="auto"/>
            <w:noWrap/>
            <w:vAlign w:val="center"/>
            <w:hideMark/>
          </w:tcPr>
          <w:p w14:paraId="61E1083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0.10</w:t>
            </w:r>
          </w:p>
        </w:tc>
        <w:tc>
          <w:tcPr>
            <w:tcW w:w="354" w:type="dxa"/>
            <w:tcBorders>
              <w:top w:val="nil"/>
              <w:left w:val="nil"/>
              <w:bottom w:val="single" w:sz="4" w:space="0" w:color="auto"/>
              <w:right w:val="single" w:sz="4" w:space="0" w:color="auto"/>
            </w:tcBorders>
            <w:shd w:val="clear" w:color="auto" w:fill="auto"/>
            <w:noWrap/>
            <w:vAlign w:val="center"/>
            <w:hideMark/>
          </w:tcPr>
          <w:p w14:paraId="1104F2E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0.70</w:t>
            </w:r>
          </w:p>
        </w:tc>
        <w:tc>
          <w:tcPr>
            <w:tcW w:w="354" w:type="dxa"/>
            <w:tcBorders>
              <w:top w:val="nil"/>
              <w:left w:val="nil"/>
              <w:bottom w:val="single" w:sz="4" w:space="0" w:color="auto"/>
              <w:right w:val="single" w:sz="4" w:space="0" w:color="auto"/>
            </w:tcBorders>
            <w:shd w:val="clear" w:color="auto" w:fill="auto"/>
            <w:noWrap/>
            <w:vAlign w:val="center"/>
            <w:hideMark/>
          </w:tcPr>
          <w:p w14:paraId="05E8833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0.47</w:t>
            </w:r>
          </w:p>
        </w:tc>
        <w:tc>
          <w:tcPr>
            <w:tcW w:w="354" w:type="dxa"/>
            <w:tcBorders>
              <w:top w:val="nil"/>
              <w:left w:val="nil"/>
              <w:bottom w:val="single" w:sz="4" w:space="0" w:color="auto"/>
              <w:right w:val="single" w:sz="4" w:space="0" w:color="auto"/>
            </w:tcBorders>
            <w:shd w:val="clear" w:color="auto" w:fill="auto"/>
            <w:noWrap/>
            <w:vAlign w:val="center"/>
            <w:hideMark/>
          </w:tcPr>
          <w:p w14:paraId="43FE4D9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1.07</w:t>
            </w:r>
          </w:p>
        </w:tc>
        <w:tc>
          <w:tcPr>
            <w:tcW w:w="354" w:type="dxa"/>
            <w:tcBorders>
              <w:top w:val="nil"/>
              <w:left w:val="nil"/>
              <w:bottom w:val="single" w:sz="4" w:space="0" w:color="auto"/>
              <w:right w:val="single" w:sz="4" w:space="0" w:color="auto"/>
            </w:tcBorders>
            <w:shd w:val="clear" w:color="auto" w:fill="auto"/>
            <w:noWrap/>
            <w:vAlign w:val="center"/>
            <w:hideMark/>
          </w:tcPr>
          <w:p w14:paraId="0DF267D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0.40</w:t>
            </w:r>
          </w:p>
        </w:tc>
        <w:tc>
          <w:tcPr>
            <w:tcW w:w="354" w:type="dxa"/>
            <w:tcBorders>
              <w:top w:val="nil"/>
              <w:left w:val="nil"/>
              <w:bottom w:val="single" w:sz="4" w:space="0" w:color="auto"/>
              <w:right w:val="single" w:sz="4" w:space="0" w:color="auto"/>
            </w:tcBorders>
            <w:shd w:val="clear" w:color="auto" w:fill="auto"/>
            <w:noWrap/>
            <w:vAlign w:val="center"/>
            <w:hideMark/>
          </w:tcPr>
          <w:p w14:paraId="2785F3A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8E20E8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0.20</w:t>
            </w:r>
          </w:p>
        </w:tc>
        <w:tc>
          <w:tcPr>
            <w:tcW w:w="354" w:type="dxa"/>
            <w:tcBorders>
              <w:top w:val="nil"/>
              <w:left w:val="nil"/>
              <w:bottom w:val="single" w:sz="4" w:space="0" w:color="auto"/>
              <w:right w:val="single" w:sz="4" w:space="0" w:color="auto"/>
            </w:tcBorders>
            <w:shd w:val="clear" w:color="auto" w:fill="auto"/>
            <w:noWrap/>
            <w:vAlign w:val="center"/>
            <w:hideMark/>
          </w:tcPr>
          <w:p w14:paraId="7353892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6C2C8D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4.87</w:t>
            </w:r>
          </w:p>
        </w:tc>
        <w:tc>
          <w:tcPr>
            <w:tcW w:w="354" w:type="dxa"/>
            <w:tcBorders>
              <w:top w:val="nil"/>
              <w:left w:val="nil"/>
              <w:bottom w:val="single" w:sz="4" w:space="0" w:color="auto"/>
              <w:right w:val="single" w:sz="4" w:space="0" w:color="auto"/>
            </w:tcBorders>
            <w:shd w:val="clear" w:color="auto" w:fill="auto"/>
            <w:noWrap/>
            <w:vAlign w:val="center"/>
            <w:hideMark/>
          </w:tcPr>
          <w:p w14:paraId="59A0724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B4C8C7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0.70</w:t>
            </w:r>
          </w:p>
        </w:tc>
        <w:tc>
          <w:tcPr>
            <w:tcW w:w="354" w:type="dxa"/>
            <w:tcBorders>
              <w:top w:val="nil"/>
              <w:left w:val="nil"/>
              <w:bottom w:val="single" w:sz="4" w:space="0" w:color="auto"/>
              <w:right w:val="single" w:sz="4" w:space="0" w:color="auto"/>
            </w:tcBorders>
            <w:shd w:val="clear" w:color="auto" w:fill="auto"/>
            <w:noWrap/>
            <w:vAlign w:val="center"/>
            <w:hideMark/>
          </w:tcPr>
          <w:p w14:paraId="42B4C0E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B59A03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0.27</w:t>
            </w:r>
          </w:p>
        </w:tc>
        <w:tc>
          <w:tcPr>
            <w:tcW w:w="354" w:type="dxa"/>
            <w:tcBorders>
              <w:top w:val="nil"/>
              <w:left w:val="nil"/>
              <w:bottom w:val="single" w:sz="4" w:space="0" w:color="auto"/>
              <w:right w:val="single" w:sz="4" w:space="0" w:color="auto"/>
            </w:tcBorders>
            <w:shd w:val="clear" w:color="auto" w:fill="auto"/>
            <w:noWrap/>
            <w:vAlign w:val="center"/>
            <w:hideMark/>
          </w:tcPr>
          <w:p w14:paraId="2863EAD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1.37</w:t>
            </w:r>
          </w:p>
        </w:tc>
      </w:tr>
      <w:tr w:rsidR="005B15EC" w:rsidRPr="005B15EC" w14:paraId="1A86BAB4"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64ED9D0B"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AAEA277"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Hook</w:t>
            </w:r>
          </w:p>
        </w:tc>
        <w:tc>
          <w:tcPr>
            <w:tcW w:w="313" w:type="dxa"/>
            <w:tcBorders>
              <w:top w:val="nil"/>
              <w:left w:val="nil"/>
              <w:bottom w:val="single" w:sz="4" w:space="0" w:color="auto"/>
              <w:right w:val="single" w:sz="4" w:space="0" w:color="auto"/>
            </w:tcBorders>
            <w:shd w:val="clear" w:color="auto" w:fill="auto"/>
            <w:noWrap/>
            <w:vAlign w:val="center"/>
            <w:hideMark/>
          </w:tcPr>
          <w:p w14:paraId="689B5F2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2B9F718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3.38</w:t>
            </w:r>
          </w:p>
        </w:tc>
        <w:tc>
          <w:tcPr>
            <w:tcW w:w="332" w:type="dxa"/>
            <w:tcBorders>
              <w:top w:val="nil"/>
              <w:left w:val="nil"/>
              <w:bottom w:val="single" w:sz="4" w:space="0" w:color="auto"/>
              <w:right w:val="single" w:sz="4" w:space="0" w:color="auto"/>
            </w:tcBorders>
            <w:shd w:val="clear" w:color="auto" w:fill="auto"/>
            <w:noWrap/>
            <w:vAlign w:val="center"/>
            <w:hideMark/>
          </w:tcPr>
          <w:p w14:paraId="1ED23D21"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27FD79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D7F2D1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12F2F9F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1.38</w:t>
            </w:r>
          </w:p>
        </w:tc>
        <w:tc>
          <w:tcPr>
            <w:tcW w:w="353" w:type="dxa"/>
            <w:tcBorders>
              <w:top w:val="nil"/>
              <w:left w:val="nil"/>
              <w:bottom w:val="single" w:sz="4" w:space="0" w:color="auto"/>
              <w:right w:val="single" w:sz="4" w:space="0" w:color="auto"/>
            </w:tcBorders>
            <w:shd w:val="clear" w:color="auto" w:fill="auto"/>
            <w:noWrap/>
            <w:vAlign w:val="center"/>
            <w:hideMark/>
          </w:tcPr>
          <w:p w14:paraId="0E6C8BAB"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536DA2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0.69</w:t>
            </w:r>
          </w:p>
        </w:tc>
        <w:tc>
          <w:tcPr>
            <w:tcW w:w="353" w:type="dxa"/>
            <w:tcBorders>
              <w:top w:val="nil"/>
              <w:left w:val="nil"/>
              <w:bottom w:val="single" w:sz="4" w:space="0" w:color="auto"/>
              <w:right w:val="single" w:sz="4" w:space="0" w:color="auto"/>
            </w:tcBorders>
            <w:shd w:val="clear" w:color="auto" w:fill="auto"/>
            <w:noWrap/>
            <w:vAlign w:val="center"/>
            <w:hideMark/>
          </w:tcPr>
          <w:p w14:paraId="545C5C3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c>
          <w:tcPr>
            <w:tcW w:w="353" w:type="dxa"/>
            <w:tcBorders>
              <w:top w:val="nil"/>
              <w:left w:val="nil"/>
              <w:bottom w:val="single" w:sz="4" w:space="0" w:color="auto"/>
              <w:right w:val="single" w:sz="4" w:space="0" w:color="auto"/>
            </w:tcBorders>
            <w:shd w:val="clear" w:color="auto" w:fill="auto"/>
            <w:noWrap/>
            <w:vAlign w:val="center"/>
            <w:hideMark/>
          </w:tcPr>
          <w:p w14:paraId="7649A30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0.75</w:t>
            </w:r>
          </w:p>
        </w:tc>
        <w:tc>
          <w:tcPr>
            <w:tcW w:w="353" w:type="dxa"/>
            <w:tcBorders>
              <w:top w:val="nil"/>
              <w:left w:val="nil"/>
              <w:bottom w:val="single" w:sz="4" w:space="0" w:color="auto"/>
              <w:right w:val="single" w:sz="4" w:space="0" w:color="auto"/>
            </w:tcBorders>
            <w:shd w:val="clear" w:color="auto" w:fill="auto"/>
            <w:noWrap/>
            <w:vAlign w:val="center"/>
            <w:hideMark/>
          </w:tcPr>
          <w:p w14:paraId="020064F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42D2EE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46DBE2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71247AF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1F8D3FC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8D563A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7D5BEE4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4AD01A7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3.00</w:t>
            </w:r>
          </w:p>
        </w:tc>
        <w:tc>
          <w:tcPr>
            <w:tcW w:w="354" w:type="dxa"/>
            <w:tcBorders>
              <w:top w:val="nil"/>
              <w:left w:val="nil"/>
              <w:bottom w:val="single" w:sz="4" w:space="0" w:color="auto"/>
              <w:right w:val="single" w:sz="4" w:space="0" w:color="auto"/>
            </w:tcBorders>
            <w:shd w:val="clear" w:color="auto" w:fill="auto"/>
            <w:noWrap/>
            <w:vAlign w:val="center"/>
            <w:hideMark/>
          </w:tcPr>
          <w:p w14:paraId="2C95166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6E8899C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09810C0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0.81</w:t>
            </w:r>
          </w:p>
        </w:tc>
        <w:tc>
          <w:tcPr>
            <w:tcW w:w="354" w:type="dxa"/>
            <w:tcBorders>
              <w:top w:val="nil"/>
              <w:left w:val="nil"/>
              <w:bottom w:val="single" w:sz="4" w:space="0" w:color="auto"/>
              <w:right w:val="single" w:sz="4" w:space="0" w:color="auto"/>
            </w:tcBorders>
            <w:shd w:val="clear" w:color="auto" w:fill="auto"/>
            <w:noWrap/>
            <w:vAlign w:val="center"/>
            <w:hideMark/>
          </w:tcPr>
          <w:p w14:paraId="36B7A8E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3ED6CA5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511DE03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0230ACE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065CF7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4" w:type="dxa"/>
            <w:tcBorders>
              <w:top w:val="nil"/>
              <w:left w:val="nil"/>
              <w:bottom w:val="single" w:sz="4" w:space="0" w:color="auto"/>
              <w:right w:val="single" w:sz="4" w:space="0" w:color="auto"/>
            </w:tcBorders>
            <w:shd w:val="clear" w:color="auto" w:fill="auto"/>
            <w:noWrap/>
            <w:vAlign w:val="center"/>
            <w:hideMark/>
          </w:tcPr>
          <w:p w14:paraId="7CD5E9B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5750E1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4.76</w:t>
            </w:r>
          </w:p>
        </w:tc>
        <w:tc>
          <w:tcPr>
            <w:tcW w:w="354" w:type="dxa"/>
            <w:tcBorders>
              <w:top w:val="nil"/>
              <w:left w:val="nil"/>
              <w:bottom w:val="single" w:sz="4" w:space="0" w:color="auto"/>
              <w:right w:val="single" w:sz="4" w:space="0" w:color="auto"/>
            </w:tcBorders>
            <w:shd w:val="clear" w:color="auto" w:fill="auto"/>
            <w:noWrap/>
            <w:vAlign w:val="center"/>
            <w:hideMark/>
          </w:tcPr>
          <w:p w14:paraId="66AB648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83D2BE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DCAC72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74671B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0.69</w:t>
            </w:r>
          </w:p>
        </w:tc>
        <w:tc>
          <w:tcPr>
            <w:tcW w:w="354" w:type="dxa"/>
            <w:tcBorders>
              <w:top w:val="nil"/>
              <w:left w:val="nil"/>
              <w:bottom w:val="single" w:sz="4" w:space="0" w:color="auto"/>
              <w:right w:val="single" w:sz="4" w:space="0" w:color="auto"/>
            </w:tcBorders>
            <w:shd w:val="clear" w:color="auto" w:fill="auto"/>
            <w:noWrap/>
            <w:vAlign w:val="center"/>
            <w:hideMark/>
          </w:tcPr>
          <w:p w14:paraId="548557D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1.38</w:t>
            </w:r>
          </w:p>
        </w:tc>
      </w:tr>
      <w:tr w:rsidR="005B15EC" w:rsidRPr="005B15EC" w14:paraId="4C0254BB"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3DB553B2"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7058B85D"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16A5CCC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1ADFE6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1.63</w:t>
            </w:r>
          </w:p>
        </w:tc>
        <w:tc>
          <w:tcPr>
            <w:tcW w:w="332" w:type="dxa"/>
            <w:tcBorders>
              <w:top w:val="nil"/>
              <w:left w:val="nil"/>
              <w:bottom w:val="single" w:sz="4" w:space="0" w:color="auto"/>
              <w:right w:val="single" w:sz="4" w:space="0" w:color="auto"/>
            </w:tcBorders>
            <w:shd w:val="clear" w:color="auto" w:fill="auto"/>
            <w:noWrap/>
            <w:vAlign w:val="center"/>
            <w:hideMark/>
          </w:tcPr>
          <w:p w14:paraId="3B04B46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2" w:type="dxa"/>
            <w:tcBorders>
              <w:top w:val="nil"/>
              <w:left w:val="nil"/>
              <w:bottom w:val="single" w:sz="4" w:space="0" w:color="auto"/>
              <w:right w:val="single" w:sz="4" w:space="0" w:color="auto"/>
            </w:tcBorders>
            <w:shd w:val="clear" w:color="auto" w:fill="auto"/>
            <w:noWrap/>
            <w:vAlign w:val="center"/>
            <w:hideMark/>
          </w:tcPr>
          <w:p w14:paraId="3E89428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2CB46C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3B684B6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2B210D27"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E02522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2A15A85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1.06</w:t>
            </w:r>
          </w:p>
        </w:tc>
        <w:tc>
          <w:tcPr>
            <w:tcW w:w="353" w:type="dxa"/>
            <w:tcBorders>
              <w:top w:val="nil"/>
              <w:left w:val="nil"/>
              <w:bottom w:val="single" w:sz="4" w:space="0" w:color="auto"/>
              <w:right w:val="single" w:sz="4" w:space="0" w:color="auto"/>
            </w:tcBorders>
            <w:shd w:val="clear" w:color="auto" w:fill="auto"/>
            <w:noWrap/>
            <w:vAlign w:val="center"/>
            <w:hideMark/>
          </w:tcPr>
          <w:p w14:paraId="1BE7B7B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1.44</w:t>
            </w:r>
          </w:p>
        </w:tc>
        <w:tc>
          <w:tcPr>
            <w:tcW w:w="353" w:type="dxa"/>
            <w:tcBorders>
              <w:top w:val="nil"/>
              <w:left w:val="nil"/>
              <w:bottom w:val="single" w:sz="4" w:space="0" w:color="auto"/>
              <w:right w:val="single" w:sz="4" w:space="0" w:color="auto"/>
            </w:tcBorders>
            <w:shd w:val="clear" w:color="auto" w:fill="auto"/>
            <w:noWrap/>
            <w:vAlign w:val="center"/>
            <w:hideMark/>
          </w:tcPr>
          <w:p w14:paraId="2380DF5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22042AD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4EBB8E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3221E82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3.25</w:t>
            </w:r>
          </w:p>
        </w:tc>
        <w:tc>
          <w:tcPr>
            <w:tcW w:w="354" w:type="dxa"/>
            <w:tcBorders>
              <w:top w:val="nil"/>
              <w:left w:val="nil"/>
              <w:bottom w:val="single" w:sz="4" w:space="0" w:color="auto"/>
              <w:right w:val="single" w:sz="4" w:space="0" w:color="auto"/>
            </w:tcBorders>
            <w:shd w:val="clear" w:color="auto" w:fill="auto"/>
            <w:noWrap/>
            <w:vAlign w:val="center"/>
            <w:hideMark/>
          </w:tcPr>
          <w:p w14:paraId="59D4501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111BBC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4" w:type="dxa"/>
            <w:tcBorders>
              <w:top w:val="nil"/>
              <w:left w:val="nil"/>
              <w:bottom w:val="single" w:sz="4" w:space="0" w:color="auto"/>
              <w:right w:val="single" w:sz="4" w:space="0" w:color="auto"/>
            </w:tcBorders>
            <w:shd w:val="clear" w:color="auto" w:fill="auto"/>
            <w:noWrap/>
            <w:vAlign w:val="center"/>
            <w:hideMark/>
          </w:tcPr>
          <w:p w14:paraId="605E96D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7CCA69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1.94</w:t>
            </w:r>
          </w:p>
        </w:tc>
        <w:tc>
          <w:tcPr>
            <w:tcW w:w="354" w:type="dxa"/>
            <w:tcBorders>
              <w:top w:val="nil"/>
              <w:left w:val="nil"/>
              <w:bottom w:val="single" w:sz="4" w:space="0" w:color="auto"/>
              <w:right w:val="single" w:sz="4" w:space="0" w:color="auto"/>
            </w:tcBorders>
            <w:shd w:val="clear" w:color="auto" w:fill="auto"/>
            <w:noWrap/>
            <w:vAlign w:val="center"/>
            <w:hideMark/>
          </w:tcPr>
          <w:p w14:paraId="7120DB4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48A2C5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3D483F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0.88</w:t>
            </w:r>
          </w:p>
        </w:tc>
        <w:tc>
          <w:tcPr>
            <w:tcW w:w="354" w:type="dxa"/>
            <w:tcBorders>
              <w:top w:val="nil"/>
              <w:left w:val="nil"/>
              <w:bottom w:val="single" w:sz="4" w:space="0" w:color="auto"/>
              <w:right w:val="single" w:sz="4" w:space="0" w:color="auto"/>
            </w:tcBorders>
            <w:shd w:val="clear" w:color="auto" w:fill="auto"/>
            <w:noWrap/>
            <w:vAlign w:val="center"/>
            <w:hideMark/>
          </w:tcPr>
          <w:p w14:paraId="5AD84E1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1.75</w:t>
            </w:r>
          </w:p>
        </w:tc>
        <w:tc>
          <w:tcPr>
            <w:tcW w:w="354" w:type="dxa"/>
            <w:tcBorders>
              <w:top w:val="nil"/>
              <w:left w:val="nil"/>
              <w:bottom w:val="single" w:sz="4" w:space="0" w:color="auto"/>
              <w:right w:val="single" w:sz="4" w:space="0" w:color="auto"/>
            </w:tcBorders>
            <w:shd w:val="clear" w:color="auto" w:fill="auto"/>
            <w:noWrap/>
            <w:vAlign w:val="center"/>
            <w:hideMark/>
          </w:tcPr>
          <w:p w14:paraId="37387F4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0D77A61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422C0F1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F4B781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7D4ACD9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9BD0AE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14.81</w:t>
            </w:r>
          </w:p>
        </w:tc>
        <w:tc>
          <w:tcPr>
            <w:tcW w:w="354" w:type="dxa"/>
            <w:tcBorders>
              <w:top w:val="nil"/>
              <w:left w:val="nil"/>
              <w:bottom w:val="single" w:sz="4" w:space="0" w:color="auto"/>
              <w:right w:val="single" w:sz="4" w:space="0" w:color="auto"/>
            </w:tcBorders>
            <w:shd w:val="clear" w:color="auto" w:fill="auto"/>
            <w:noWrap/>
            <w:vAlign w:val="center"/>
            <w:hideMark/>
          </w:tcPr>
          <w:p w14:paraId="2457B72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41A235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9CAA81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E9F018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750B427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1.31</w:t>
            </w:r>
          </w:p>
        </w:tc>
      </w:tr>
      <w:tr w:rsidR="005B15EC" w:rsidRPr="005B15EC" w14:paraId="1CE2DB6E"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10796114"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8DF943"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Double Cone</w:t>
            </w:r>
          </w:p>
        </w:tc>
        <w:tc>
          <w:tcPr>
            <w:tcW w:w="313" w:type="dxa"/>
            <w:tcBorders>
              <w:top w:val="nil"/>
              <w:left w:val="nil"/>
              <w:bottom w:val="single" w:sz="4" w:space="0" w:color="auto"/>
              <w:right w:val="single" w:sz="4" w:space="0" w:color="auto"/>
            </w:tcBorders>
            <w:shd w:val="clear" w:color="auto" w:fill="auto"/>
            <w:noWrap/>
            <w:vAlign w:val="center"/>
            <w:hideMark/>
          </w:tcPr>
          <w:p w14:paraId="30A02D4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0BF5972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32" w:type="dxa"/>
            <w:tcBorders>
              <w:top w:val="nil"/>
              <w:left w:val="nil"/>
              <w:bottom w:val="single" w:sz="4" w:space="0" w:color="auto"/>
              <w:right w:val="single" w:sz="4" w:space="0" w:color="auto"/>
            </w:tcBorders>
            <w:shd w:val="clear" w:color="auto" w:fill="auto"/>
            <w:noWrap/>
            <w:vAlign w:val="center"/>
            <w:hideMark/>
          </w:tcPr>
          <w:p w14:paraId="67B5240F"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B3552AE"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7B1A106"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47B256B"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3574339"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5BADB3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1C79A4F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1BAE15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79647EC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F5FA76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3A508F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5D566FB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58093E0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59CD43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1C85A3F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4DEEE7F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1457D9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1EEFC2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84CC4F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042C9B7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E55AB8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7A23ED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650E3E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843875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1AC8C9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39B6C1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2C8E1D9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3114FD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A31CBB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361240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50B0777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r>
      <w:tr w:rsidR="005B15EC" w:rsidRPr="005B15EC" w14:paraId="0A7A978B"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608D956"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5C8691EE"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3199419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5F74EC9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32" w:type="dxa"/>
            <w:tcBorders>
              <w:top w:val="nil"/>
              <w:left w:val="nil"/>
              <w:bottom w:val="single" w:sz="4" w:space="0" w:color="auto"/>
              <w:right w:val="single" w:sz="4" w:space="0" w:color="auto"/>
            </w:tcBorders>
            <w:shd w:val="clear" w:color="auto" w:fill="auto"/>
            <w:noWrap/>
            <w:vAlign w:val="center"/>
            <w:hideMark/>
          </w:tcPr>
          <w:p w14:paraId="23A4DD9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2" w:type="dxa"/>
            <w:tcBorders>
              <w:top w:val="nil"/>
              <w:left w:val="nil"/>
              <w:bottom w:val="single" w:sz="4" w:space="0" w:color="auto"/>
              <w:right w:val="single" w:sz="4" w:space="0" w:color="auto"/>
            </w:tcBorders>
            <w:shd w:val="clear" w:color="auto" w:fill="auto"/>
            <w:noWrap/>
            <w:vAlign w:val="center"/>
            <w:hideMark/>
          </w:tcPr>
          <w:p w14:paraId="06D6561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7B218A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3667DBFD"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96F4A48"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D81900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3" w:type="dxa"/>
            <w:tcBorders>
              <w:top w:val="nil"/>
              <w:left w:val="nil"/>
              <w:bottom w:val="single" w:sz="4" w:space="0" w:color="auto"/>
              <w:right w:val="single" w:sz="4" w:space="0" w:color="auto"/>
            </w:tcBorders>
            <w:shd w:val="clear" w:color="auto" w:fill="auto"/>
            <w:noWrap/>
            <w:vAlign w:val="center"/>
            <w:hideMark/>
          </w:tcPr>
          <w:p w14:paraId="7E7F87F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D90726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9830CD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38FE84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4" w:type="dxa"/>
            <w:tcBorders>
              <w:top w:val="nil"/>
              <w:left w:val="nil"/>
              <w:bottom w:val="single" w:sz="4" w:space="0" w:color="auto"/>
              <w:right w:val="single" w:sz="4" w:space="0" w:color="auto"/>
            </w:tcBorders>
            <w:shd w:val="clear" w:color="auto" w:fill="auto"/>
            <w:noWrap/>
            <w:vAlign w:val="center"/>
            <w:hideMark/>
          </w:tcPr>
          <w:p w14:paraId="62CE954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2A429CF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14.69</w:t>
            </w:r>
          </w:p>
        </w:tc>
        <w:tc>
          <w:tcPr>
            <w:tcW w:w="354" w:type="dxa"/>
            <w:tcBorders>
              <w:top w:val="nil"/>
              <w:left w:val="nil"/>
              <w:bottom w:val="single" w:sz="4" w:space="0" w:color="auto"/>
              <w:right w:val="single" w:sz="4" w:space="0" w:color="auto"/>
            </w:tcBorders>
            <w:shd w:val="clear" w:color="auto" w:fill="auto"/>
            <w:noWrap/>
            <w:vAlign w:val="center"/>
            <w:hideMark/>
          </w:tcPr>
          <w:p w14:paraId="588B879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BDD94F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0.75</w:t>
            </w:r>
          </w:p>
        </w:tc>
        <w:tc>
          <w:tcPr>
            <w:tcW w:w="354" w:type="dxa"/>
            <w:tcBorders>
              <w:top w:val="nil"/>
              <w:left w:val="nil"/>
              <w:bottom w:val="single" w:sz="4" w:space="0" w:color="auto"/>
              <w:right w:val="single" w:sz="4" w:space="0" w:color="auto"/>
            </w:tcBorders>
            <w:shd w:val="clear" w:color="auto" w:fill="auto"/>
            <w:noWrap/>
            <w:vAlign w:val="center"/>
            <w:hideMark/>
          </w:tcPr>
          <w:p w14:paraId="7EA934F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3C61517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7C7F914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4F465F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EF7CE2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33AC94D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ED6106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5414B7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4F9DA3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03662A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1736A4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63BFDAF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1.25</w:t>
            </w:r>
          </w:p>
        </w:tc>
        <w:tc>
          <w:tcPr>
            <w:tcW w:w="354" w:type="dxa"/>
            <w:tcBorders>
              <w:top w:val="nil"/>
              <w:left w:val="nil"/>
              <w:bottom w:val="single" w:sz="4" w:space="0" w:color="auto"/>
              <w:right w:val="single" w:sz="4" w:space="0" w:color="auto"/>
            </w:tcBorders>
            <w:shd w:val="clear" w:color="auto" w:fill="auto"/>
            <w:noWrap/>
            <w:vAlign w:val="center"/>
            <w:hideMark/>
          </w:tcPr>
          <w:p w14:paraId="523FF4A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A9A342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8CF11C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AE920D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C9C7D2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r>
      <w:tr w:rsidR="005B15EC" w:rsidRPr="005B15EC" w14:paraId="6E2A22DA"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1C145676"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45B1BA"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Daydream</w:t>
            </w:r>
          </w:p>
        </w:tc>
        <w:tc>
          <w:tcPr>
            <w:tcW w:w="313" w:type="dxa"/>
            <w:tcBorders>
              <w:top w:val="nil"/>
              <w:left w:val="nil"/>
              <w:bottom w:val="single" w:sz="4" w:space="0" w:color="auto"/>
              <w:right w:val="single" w:sz="4" w:space="0" w:color="auto"/>
            </w:tcBorders>
            <w:shd w:val="clear" w:color="auto" w:fill="auto"/>
            <w:noWrap/>
            <w:vAlign w:val="center"/>
            <w:hideMark/>
          </w:tcPr>
          <w:p w14:paraId="33C003A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8586099" w14:textId="77777777" w:rsidR="005B15EC" w:rsidRPr="005B15EC" w:rsidRDefault="005B15EC" w:rsidP="005B15EC">
            <w:pPr>
              <w:spacing w:after="0"/>
              <w:jc w:val="center"/>
              <w:rPr>
                <w:rFonts w:ascii="Arial Narrow" w:hAnsi="Arial Narrow"/>
                <w:sz w:val="14"/>
                <w:szCs w:val="14"/>
                <w:lang w:val="en-AU" w:eastAsia="en-AU"/>
              </w:rPr>
            </w:pPr>
          </w:p>
        </w:tc>
        <w:tc>
          <w:tcPr>
            <w:tcW w:w="332" w:type="dxa"/>
            <w:tcBorders>
              <w:top w:val="nil"/>
              <w:left w:val="nil"/>
              <w:bottom w:val="single" w:sz="4" w:space="0" w:color="auto"/>
              <w:right w:val="single" w:sz="4" w:space="0" w:color="auto"/>
            </w:tcBorders>
            <w:shd w:val="clear" w:color="auto" w:fill="auto"/>
            <w:noWrap/>
            <w:vAlign w:val="center"/>
            <w:hideMark/>
          </w:tcPr>
          <w:p w14:paraId="217ECC5D"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1872CC27"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70EA8C5"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86D54A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55632C8"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6E71CDE"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B4B2E0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E31203A"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DAE23B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C9D0AB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FB18D7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98CC66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8A5264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2BA541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13928E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8E346B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621CACA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1194CA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29E7A6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4CADC8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57ABF7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11040A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78DFDC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D4D4F0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9DC842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BC674C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677AE15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0249C4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78C346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8C3EAF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F1A473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r>
      <w:tr w:rsidR="005B15EC" w:rsidRPr="005B15EC" w14:paraId="5F39AA4F"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6187EF4B"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36F3F1E1"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4793123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02E9AC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32" w:type="dxa"/>
            <w:tcBorders>
              <w:top w:val="nil"/>
              <w:left w:val="nil"/>
              <w:bottom w:val="single" w:sz="4" w:space="0" w:color="auto"/>
              <w:right w:val="single" w:sz="4" w:space="0" w:color="auto"/>
            </w:tcBorders>
            <w:shd w:val="clear" w:color="auto" w:fill="auto"/>
            <w:noWrap/>
            <w:vAlign w:val="center"/>
            <w:hideMark/>
          </w:tcPr>
          <w:p w14:paraId="46F4931E"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FBCC309"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79301A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DB2D475"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08D6B4A"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C59C71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c>
          <w:tcPr>
            <w:tcW w:w="353" w:type="dxa"/>
            <w:tcBorders>
              <w:top w:val="nil"/>
              <w:left w:val="nil"/>
              <w:bottom w:val="single" w:sz="4" w:space="0" w:color="auto"/>
              <w:right w:val="single" w:sz="4" w:space="0" w:color="auto"/>
            </w:tcBorders>
            <w:shd w:val="clear" w:color="auto" w:fill="auto"/>
            <w:noWrap/>
            <w:vAlign w:val="center"/>
            <w:hideMark/>
          </w:tcPr>
          <w:p w14:paraId="5B382CC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519A8B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3" w:type="dxa"/>
            <w:tcBorders>
              <w:top w:val="nil"/>
              <w:left w:val="nil"/>
              <w:bottom w:val="single" w:sz="4" w:space="0" w:color="auto"/>
              <w:right w:val="single" w:sz="4" w:space="0" w:color="auto"/>
            </w:tcBorders>
            <w:shd w:val="clear" w:color="auto" w:fill="auto"/>
            <w:noWrap/>
            <w:vAlign w:val="center"/>
            <w:hideMark/>
          </w:tcPr>
          <w:p w14:paraId="1469CAE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999944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3DB110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6294F8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9DDA06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660450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4644BF5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66D1D0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1.38</w:t>
            </w:r>
          </w:p>
        </w:tc>
        <w:tc>
          <w:tcPr>
            <w:tcW w:w="354" w:type="dxa"/>
            <w:tcBorders>
              <w:top w:val="nil"/>
              <w:left w:val="nil"/>
              <w:bottom w:val="single" w:sz="4" w:space="0" w:color="auto"/>
              <w:right w:val="single" w:sz="4" w:space="0" w:color="auto"/>
            </w:tcBorders>
            <w:shd w:val="clear" w:color="auto" w:fill="auto"/>
            <w:noWrap/>
            <w:vAlign w:val="center"/>
            <w:hideMark/>
          </w:tcPr>
          <w:p w14:paraId="32FEBC9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19648D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D756BB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0CB174C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EDA3D2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568DDD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0313E87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DCAB34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544CFA5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82CF85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0.75</w:t>
            </w:r>
          </w:p>
        </w:tc>
        <w:tc>
          <w:tcPr>
            <w:tcW w:w="354" w:type="dxa"/>
            <w:tcBorders>
              <w:top w:val="nil"/>
              <w:left w:val="nil"/>
              <w:bottom w:val="single" w:sz="4" w:space="0" w:color="auto"/>
              <w:right w:val="single" w:sz="4" w:space="0" w:color="auto"/>
            </w:tcBorders>
            <w:shd w:val="clear" w:color="auto" w:fill="auto"/>
            <w:noWrap/>
            <w:vAlign w:val="center"/>
            <w:hideMark/>
          </w:tcPr>
          <w:p w14:paraId="6040949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8918DB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2F79BE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024934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6330AF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r>
      <w:tr w:rsidR="005B15EC" w:rsidRPr="005B15EC" w14:paraId="0BD4B5BA"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2477217"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9F0AA95"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Dent</w:t>
            </w:r>
          </w:p>
        </w:tc>
        <w:tc>
          <w:tcPr>
            <w:tcW w:w="313" w:type="dxa"/>
            <w:tcBorders>
              <w:top w:val="nil"/>
              <w:left w:val="nil"/>
              <w:bottom w:val="single" w:sz="4" w:space="0" w:color="auto"/>
              <w:right w:val="single" w:sz="4" w:space="0" w:color="auto"/>
            </w:tcBorders>
            <w:shd w:val="clear" w:color="auto" w:fill="auto"/>
            <w:noWrap/>
            <w:vAlign w:val="center"/>
            <w:hideMark/>
          </w:tcPr>
          <w:p w14:paraId="30CCE1E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3F02671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11.31</w:t>
            </w:r>
          </w:p>
        </w:tc>
        <w:tc>
          <w:tcPr>
            <w:tcW w:w="332" w:type="dxa"/>
            <w:tcBorders>
              <w:top w:val="nil"/>
              <w:left w:val="nil"/>
              <w:bottom w:val="single" w:sz="4" w:space="0" w:color="auto"/>
              <w:right w:val="single" w:sz="4" w:space="0" w:color="auto"/>
            </w:tcBorders>
            <w:shd w:val="clear" w:color="auto" w:fill="auto"/>
            <w:noWrap/>
            <w:vAlign w:val="center"/>
            <w:hideMark/>
          </w:tcPr>
          <w:p w14:paraId="5A394B26"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6304C55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912D6C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2C71B2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B6ADA6D"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D4A674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1A690D4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4B2F014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6551129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24389E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4" w:type="dxa"/>
            <w:tcBorders>
              <w:top w:val="nil"/>
              <w:left w:val="nil"/>
              <w:bottom w:val="single" w:sz="4" w:space="0" w:color="auto"/>
              <w:right w:val="single" w:sz="4" w:space="0" w:color="auto"/>
            </w:tcBorders>
            <w:shd w:val="clear" w:color="auto" w:fill="auto"/>
            <w:noWrap/>
            <w:vAlign w:val="center"/>
            <w:hideMark/>
          </w:tcPr>
          <w:p w14:paraId="240ECC6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6C4183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4.88</w:t>
            </w:r>
          </w:p>
        </w:tc>
        <w:tc>
          <w:tcPr>
            <w:tcW w:w="354" w:type="dxa"/>
            <w:tcBorders>
              <w:top w:val="nil"/>
              <w:left w:val="nil"/>
              <w:bottom w:val="single" w:sz="4" w:space="0" w:color="auto"/>
              <w:right w:val="single" w:sz="4" w:space="0" w:color="auto"/>
            </w:tcBorders>
            <w:shd w:val="clear" w:color="auto" w:fill="auto"/>
            <w:noWrap/>
            <w:vAlign w:val="center"/>
            <w:hideMark/>
          </w:tcPr>
          <w:p w14:paraId="0BE26B9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846901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1.50</w:t>
            </w:r>
          </w:p>
        </w:tc>
        <w:tc>
          <w:tcPr>
            <w:tcW w:w="354" w:type="dxa"/>
            <w:tcBorders>
              <w:top w:val="nil"/>
              <w:left w:val="nil"/>
              <w:bottom w:val="single" w:sz="4" w:space="0" w:color="auto"/>
              <w:right w:val="single" w:sz="4" w:space="0" w:color="auto"/>
            </w:tcBorders>
            <w:shd w:val="clear" w:color="auto" w:fill="auto"/>
            <w:noWrap/>
            <w:vAlign w:val="center"/>
            <w:hideMark/>
          </w:tcPr>
          <w:p w14:paraId="1612B57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c>
          <w:tcPr>
            <w:tcW w:w="354" w:type="dxa"/>
            <w:tcBorders>
              <w:top w:val="nil"/>
              <w:left w:val="nil"/>
              <w:bottom w:val="single" w:sz="4" w:space="0" w:color="auto"/>
              <w:right w:val="single" w:sz="4" w:space="0" w:color="auto"/>
            </w:tcBorders>
            <w:shd w:val="clear" w:color="auto" w:fill="auto"/>
            <w:noWrap/>
            <w:vAlign w:val="center"/>
            <w:hideMark/>
          </w:tcPr>
          <w:p w14:paraId="66C7B04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15C17F4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B3CECE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2B5974D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1E55AC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1.63</w:t>
            </w:r>
          </w:p>
        </w:tc>
        <w:tc>
          <w:tcPr>
            <w:tcW w:w="354" w:type="dxa"/>
            <w:tcBorders>
              <w:top w:val="nil"/>
              <w:left w:val="nil"/>
              <w:bottom w:val="single" w:sz="4" w:space="0" w:color="auto"/>
              <w:right w:val="single" w:sz="4" w:space="0" w:color="auto"/>
            </w:tcBorders>
            <w:shd w:val="clear" w:color="auto" w:fill="auto"/>
            <w:noWrap/>
            <w:vAlign w:val="center"/>
            <w:hideMark/>
          </w:tcPr>
          <w:p w14:paraId="76D7DD2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1.50</w:t>
            </w:r>
          </w:p>
        </w:tc>
        <w:tc>
          <w:tcPr>
            <w:tcW w:w="354" w:type="dxa"/>
            <w:tcBorders>
              <w:top w:val="nil"/>
              <w:left w:val="nil"/>
              <w:bottom w:val="single" w:sz="4" w:space="0" w:color="auto"/>
              <w:right w:val="single" w:sz="4" w:space="0" w:color="auto"/>
            </w:tcBorders>
            <w:shd w:val="clear" w:color="auto" w:fill="auto"/>
            <w:noWrap/>
            <w:vAlign w:val="center"/>
            <w:hideMark/>
          </w:tcPr>
          <w:p w14:paraId="524D0E9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135B1C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3F3552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1917664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1BC98B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6.75</w:t>
            </w:r>
          </w:p>
        </w:tc>
        <w:tc>
          <w:tcPr>
            <w:tcW w:w="354" w:type="dxa"/>
            <w:tcBorders>
              <w:top w:val="nil"/>
              <w:left w:val="nil"/>
              <w:bottom w:val="single" w:sz="4" w:space="0" w:color="auto"/>
              <w:right w:val="single" w:sz="4" w:space="0" w:color="auto"/>
            </w:tcBorders>
            <w:shd w:val="clear" w:color="auto" w:fill="auto"/>
            <w:noWrap/>
            <w:vAlign w:val="center"/>
            <w:hideMark/>
          </w:tcPr>
          <w:p w14:paraId="2B3AE71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0DC1267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45EC8DE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F0C8A0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1.44</w:t>
            </w:r>
          </w:p>
        </w:tc>
        <w:tc>
          <w:tcPr>
            <w:tcW w:w="354" w:type="dxa"/>
            <w:tcBorders>
              <w:top w:val="nil"/>
              <w:left w:val="nil"/>
              <w:bottom w:val="single" w:sz="4" w:space="0" w:color="auto"/>
              <w:right w:val="single" w:sz="4" w:space="0" w:color="auto"/>
            </w:tcBorders>
            <w:shd w:val="clear" w:color="auto" w:fill="auto"/>
            <w:noWrap/>
            <w:vAlign w:val="center"/>
            <w:hideMark/>
          </w:tcPr>
          <w:p w14:paraId="3F17B70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r>
      <w:tr w:rsidR="005B15EC" w:rsidRPr="005B15EC" w14:paraId="2689E870"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7A4C468E"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5B3BB94F"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1D40F22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5F959B1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10.81</w:t>
            </w:r>
          </w:p>
        </w:tc>
        <w:tc>
          <w:tcPr>
            <w:tcW w:w="332" w:type="dxa"/>
            <w:tcBorders>
              <w:top w:val="nil"/>
              <w:left w:val="nil"/>
              <w:bottom w:val="single" w:sz="4" w:space="0" w:color="auto"/>
              <w:right w:val="single" w:sz="4" w:space="0" w:color="auto"/>
            </w:tcBorders>
            <w:shd w:val="clear" w:color="auto" w:fill="auto"/>
            <w:noWrap/>
            <w:vAlign w:val="center"/>
            <w:hideMark/>
          </w:tcPr>
          <w:p w14:paraId="096B25DC"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6E98295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E77905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2BE9B61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FFC8C8B"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6A87CB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8C4AE7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3" w:type="dxa"/>
            <w:tcBorders>
              <w:top w:val="nil"/>
              <w:left w:val="nil"/>
              <w:bottom w:val="single" w:sz="4" w:space="0" w:color="auto"/>
              <w:right w:val="single" w:sz="4" w:space="0" w:color="auto"/>
            </w:tcBorders>
            <w:shd w:val="clear" w:color="auto" w:fill="auto"/>
            <w:noWrap/>
            <w:vAlign w:val="center"/>
            <w:hideMark/>
          </w:tcPr>
          <w:p w14:paraId="4C65604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82C1A6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EFCBBB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1.56</w:t>
            </w:r>
          </w:p>
        </w:tc>
        <w:tc>
          <w:tcPr>
            <w:tcW w:w="354" w:type="dxa"/>
            <w:tcBorders>
              <w:top w:val="nil"/>
              <w:left w:val="nil"/>
              <w:bottom w:val="single" w:sz="4" w:space="0" w:color="auto"/>
              <w:right w:val="single" w:sz="4" w:space="0" w:color="auto"/>
            </w:tcBorders>
            <w:shd w:val="clear" w:color="auto" w:fill="auto"/>
            <w:noWrap/>
            <w:vAlign w:val="center"/>
            <w:hideMark/>
          </w:tcPr>
          <w:p w14:paraId="40BB9DA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789BCE8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10.19</w:t>
            </w:r>
          </w:p>
        </w:tc>
        <w:tc>
          <w:tcPr>
            <w:tcW w:w="354" w:type="dxa"/>
            <w:tcBorders>
              <w:top w:val="nil"/>
              <w:left w:val="nil"/>
              <w:bottom w:val="single" w:sz="4" w:space="0" w:color="auto"/>
              <w:right w:val="single" w:sz="4" w:space="0" w:color="auto"/>
            </w:tcBorders>
            <w:shd w:val="clear" w:color="auto" w:fill="auto"/>
            <w:noWrap/>
            <w:vAlign w:val="center"/>
            <w:hideMark/>
          </w:tcPr>
          <w:p w14:paraId="0C4F207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29CF57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4" w:type="dxa"/>
            <w:tcBorders>
              <w:top w:val="nil"/>
              <w:left w:val="nil"/>
              <w:bottom w:val="single" w:sz="4" w:space="0" w:color="auto"/>
              <w:right w:val="single" w:sz="4" w:space="0" w:color="auto"/>
            </w:tcBorders>
            <w:shd w:val="clear" w:color="auto" w:fill="auto"/>
            <w:noWrap/>
            <w:vAlign w:val="center"/>
            <w:hideMark/>
          </w:tcPr>
          <w:p w14:paraId="6A8151E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1.31</w:t>
            </w:r>
          </w:p>
        </w:tc>
        <w:tc>
          <w:tcPr>
            <w:tcW w:w="354" w:type="dxa"/>
            <w:tcBorders>
              <w:top w:val="nil"/>
              <w:left w:val="nil"/>
              <w:bottom w:val="single" w:sz="4" w:space="0" w:color="auto"/>
              <w:right w:val="single" w:sz="4" w:space="0" w:color="auto"/>
            </w:tcBorders>
            <w:shd w:val="clear" w:color="auto" w:fill="auto"/>
            <w:noWrap/>
            <w:vAlign w:val="center"/>
            <w:hideMark/>
          </w:tcPr>
          <w:p w14:paraId="7E2F36C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0.69</w:t>
            </w:r>
          </w:p>
        </w:tc>
        <w:tc>
          <w:tcPr>
            <w:tcW w:w="354" w:type="dxa"/>
            <w:tcBorders>
              <w:top w:val="nil"/>
              <w:left w:val="nil"/>
              <w:bottom w:val="single" w:sz="4" w:space="0" w:color="auto"/>
              <w:right w:val="single" w:sz="4" w:space="0" w:color="auto"/>
            </w:tcBorders>
            <w:shd w:val="clear" w:color="auto" w:fill="auto"/>
            <w:noWrap/>
            <w:vAlign w:val="center"/>
            <w:hideMark/>
          </w:tcPr>
          <w:p w14:paraId="7455247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0163ED1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0.94</w:t>
            </w:r>
          </w:p>
        </w:tc>
        <w:tc>
          <w:tcPr>
            <w:tcW w:w="354" w:type="dxa"/>
            <w:tcBorders>
              <w:top w:val="nil"/>
              <w:left w:val="nil"/>
              <w:bottom w:val="single" w:sz="4" w:space="0" w:color="auto"/>
              <w:right w:val="single" w:sz="4" w:space="0" w:color="auto"/>
            </w:tcBorders>
            <w:shd w:val="clear" w:color="auto" w:fill="auto"/>
            <w:noWrap/>
            <w:vAlign w:val="center"/>
            <w:hideMark/>
          </w:tcPr>
          <w:p w14:paraId="718ACCA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2.81</w:t>
            </w:r>
          </w:p>
        </w:tc>
        <w:tc>
          <w:tcPr>
            <w:tcW w:w="354" w:type="dxa"/>
            <w:tcBorders>
              <w:top w:val="nil"/>
              <w:left w:val="nil"/>
              <w:bottom w:val="single" w:sz="4" w:space="0" w:color="auto"/>
              <w:right w:val="single" w:sz="4" w:space="0" w:color="auto"/>
            </w:tcBorders>
            <w:shd w:val="clear" w:color="auto" w:fill="auto"/>
            <w:noWrap/>
            <w:vAlign w:val="center"/>
            <w:hideMark/>
          </w:tcPr>
          <w:p w14:paraId="74D9882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5848CD4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0.81</w:t>
            </w:r>
          </w:p>
        </w:tc>
        <w:tc>
          <w:tcPr>
            <w:tcW w:w="354" w:type="dxa"/>
            <w:tcBorders>
              <w:top w:val="nil"/>
              <w:left w:val="nil"/>
              <w:bottom w:val="single" w:sz="4" w:space="0" w:color="auto"/>
              <w:right w:val="single" w:sz="4" w:space="0" w:color="auto"/>
            </w:tcBorders>
            <w:shd w:val="clear" w:color="auto" w:fill="auto"/>
            <w:noWrap/>
            <w:vAlign w:val="center"/>
            <w:hideMark/>
          </w:tcPr>
          <w:p w14:paraId="7BF814E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7746C24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097E80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0EADEE8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41A36BC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1.06</w:t>
            </w:r>
          </w:p>
        </w:tc>
        <w:tc>
          <w:tcPr>
            <w:tcW w:w="354" w:type="dxa"/>
            <w:tcBorders>
              <w:top w:val="nil"/>
              <w:left w:val="nil"/>
              <w:bottom w:val="single" w:sz="4" w:space="0" w:color="auto"/>
              <w:right w:val="single" w:sz="4" w:space="0" w:color="auto"/>
            </w:tcBorders>
            <w:shd w:val="clear" w:color="auto" w:fill="auto"/>
            <w:noWrap/>
            <w:vAlign w:val="center"/>
            <w:hideMark/>
          </w:tcPr>
          <w:p w14:paraId="3569C15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52B654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CD9F90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132D13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4" w:type="dxa"/>
            <w:tcBorders>
              <w:top w:val="nil"/>
              <w:left w:val="nil"/>
              <w:bottom w:val="single" w:sz="4" w:space="0" w:color="auto"/>
              <w:right w:val="single" w:sz="4" w:space="0" w:color="auto"/>
            </w:tcBorders>
            <w:shd w:val="clear" w:color="auto" w:fill="auto"/>
            <w:noWrap/>
            <w:vAlign w:val="center"/>
            <w:hideMark/>
          </w:tcPr>
          <w:p w14:paraId="0590FEC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1.75</w:t>
            </w:r>
          </w:p>
        </w:tc>
      </w:tr>
      <w:tr w:rsidR="005B15EC" w:rsidRPr="005B15EC" w14:paraId="49CBCD9F"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13A6DE9E"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3B70348"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Shute Harbour</w:t>
            </w:r>
          </w:p>
        </w:tc>
        <w:tc>
          <w:tcPr>
            <w:tcW w:w="313" w:type="dxa"/>
            <w:tcBorders>
              <w:top w:val="nil"/>
              <w:left w:val="nil"/>
              <w:bottom w:val="single" w:sz="4" w:space="0" w:color="auto"/>
              <w:right w:val="single" w:sz="4" w:space="0" w:color="auto"/>
            </w:tcBorders>
            <w:shd w:val="clear" w:color="auto" w:fill="auto"/>
            <w:noWrap/>
            <w:vAlign w:val="center"/>
            <w:hideMark/>
          </w:tcPr>
          <w:p w14:paraId="1F05974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348877F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23.00</w:t>
            </w:r>
          </w:p>
        </w:tc>
        <w:tc>
          <w:tcPr>
            <w:tcW w:w="332" w:type="dxa"/>
            <w:tcBorders>
              <w:top w:val="nil"/>
              <w:left w:val="nil"/>
              <w:bottom w:val="single" w:sz="4" w:space="0" w:color="auto"/>
              <w:right w:val="single" w:sz="4" w:space="0" w:color="auto"/>
            </w:tcBorders>
            <w:shd w:val="clear" w:color="auto" w:fill="auto"/>
            <w:noWrap/>
            <w:vAlign w:val="center"/>
            <w:hideMark/>
          </w:tcPr>
          <w:p w14:paraId="7270543D"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5A5CA9D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FED46F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CC78C94"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E68DB5D"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7B45135"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B9C309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42014F5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74CF2A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6E05BFC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D9BA16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068B60A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2.00</w:t>
            </w:r>
          </w:p>
        </w:tc>
        <w:tc>
          <w:tcPr>
            <w:tcW w:w="354" w:type="dxa"/>
            <w:tcBorders>
              <w:top w:val="nil"/>
              <w:left w:val="nil"/>
              <w:bottom w:val="single" w:sz="4" w:space="0" w:color="auto"/>
              <w:right w:val="single" w:sz="4" w:space="0" w:color="auto"/>
            </w:tcBorders>
            <w:shd w:val="clear" w:color="auto" w:fill="auto"/>
            <w:noWrap/>
            <w:vAlign w:val="center"/>
            <w:hideMark/>
          </w:tcPr>
          <w:p w14:paraId="2C07D31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339ECD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4" w:type="dxa"/>
            <w:tcBorders>
              <w:top w:val="nil"/>
              <w:left w:val="nil"/>
              <w:bottom w:val="single" w:sz="4" w:space="0" w:color="auto"/>
              <w:right w:val="single" w:sz="4" w:space="0" w:color="auto"/>
            </w:tcBorders>
            <w:shd w:val="clear" w:color="auto" w:fill="auto"/>
            <w:noWrap/>
            <w:vAlign w:val="center"/>
            <w:hideMark/>
          </w:tcPr>
          <w:p w14:paraId="203F41D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35CD406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3.94</w:t>
            </w:r>
          </w:p>
        </w:tc>
        <w:tc>
          <w:tcPr>
            <w:tcW w:w="354" w:type="dxa"/>
            <w:tcBorders>
              <w:top w:val="nil"/>
              <w:left w:val="nil"/>
              <w:bottom w:val="single" w:sz="4" w:space="0" w:color="auto"/>
              <w:right w:val="single" w:sz="4" w:space="0" w:color="auto"/>
            </w:tcBorders>
            <w:shd w:val="clear" w:color="auto" w:fill="auto"/>
            <w:noWrap/>
            <w:vAlign w:val="center"/>
            <w:hideMark/>
          </w:tcPr>
          <w:p w14:paraId="1E2D6A5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F55762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1CA29B4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52A9B0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4" w:type="dxa"/>
            <w:tcBorders>
              <w:top w:val="nil"/>
              <w:left w:val="nil"/>
              <w:bottom w:val="single" w:sz="4" w:space="0" w:color="auto"/>
              <w:right w:val="single" w:sz="4" w:space="0" w:color="auto"/>
            </w:tcBorders>
            <w:shd w:val="clear" w:color="auto" w:fill="auto"/>
            <w:noWrap/>
            <w:vAlign w:val="center"/>
            <w:hideMark/>
          </w:tcPr>
          <w:p w14:paraId="6E89240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1E389A0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C7ADFD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0E9B29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7074238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2844E2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c>
          <w:tcPr>
            <w:tcW w:w="354" w:type="dxa"/>
            <w:tcBorders>
              <w:top w:val="nil"/>
              <w:left w:val="nil"/>
              <w:bottom w:val="single" w:sz="4" w:space="0" w:color="auto"/>
              <w:right w:val="single" w:sz="4" w:space="0" w:color="auto"/>
            </w:tcBorders>
            <w:shd w:val="clear" w:color="auto" w:fill="auto"/>
            <w:noWrap/>
            <w:vAlign w:val="center"/>
            <w:hideMark/>
          </w:tcPr>
          <w:p w14:paraId="18B82E0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CCA8AE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1406B6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F654F5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CA2BA2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r>
      <w:tr w:rsidR="005B15EC" w:rsidRPr="005B15EC" w14:paraId="53A0D10D"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2A9C1EBC"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4253E132"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26F31F4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5803675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5.69</w:t>
            </w:r>
          </w:p>
        </w:tc>
        <w:tc>
          <w:tcPr>
            <w:tcW w:w="332" w:type="dxa"/>
            <w:tcBorders>
              <w:top w:val="nil"/>
              <w:left w:val="nil"/>
              <w:bottom w:val="single" w:sz="4" w:space="0" w:color="auto"/>
              <w:right w:val="single" w:sz="4" w:space="0" w:color="auto"/>
            </w:tcBorders>
            <w:shd w:val="clear" w:color="auto" w:fill="auto"/>
            <w:noWrap/>
            <w:vAlign w:val="center"/>
            <w:hideMark/>
          </w:tcPr>
          <w:p w14:paraId="159F72AF"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0FF586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7EEF1D1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63AF11D"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E40BA95"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4429FD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AFA363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BFFEB8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3FA547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586E6D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353AEB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C63454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1.94</w:t>
            </w:r>
          </w:p>
        </w:tc>
        <w:tc>
          <w:tcPr>
            <w:tcW w:w="354" w:type="dxa"/>
            <w:tcBorders>
              <w:top w:val="nil"/>
              <w:left w:val="nil"/>
              <w:bottom w:val="single" w:sz="4" w:space="0" w:color="auto"/>
              <w:right w:val="single" w:sz="4" w:space="0" w:color="auto"/>
            </w:tcBorders>
            <w:shd w:val="clear" w:color="auto" w:fill="auto"/>
            <w:noWrap/>
            <w:vAlign w:val="center"/>
            <w:hideMark/>
          </w:tcPr>
          <w:p w14:paraId="17658C9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DD0120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1.63</w:t>
            </w:r>
          </w:p>
        </w:tc>
        <w:tc>
          <w:tcPr>
            <w:tcW w:w="354" w:type="dxa"/>
            <w:tcBorders>
              <w:top w:val="nil"/>
              <w:left w:val="nil"/>
              <w:bottom w:val="single" w:sz="4" w:space="0" w:color="auto"/>
              <w:right w:val="single" w:sz="4" w:space="0" w:color="auto"/>
            </w:tcBorders>
            <w:shd w:val="clear" w:color="auto" w:fill="auto"/>
            <w:noWrap/>
            <w:vAlign w:val="center"/>
            <w:hideMark/>
          </w:tcPr>
          <w:p w14:paraId="224FF90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71111F4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1.63</w:t>
            </w:r>
          </w:p>
        </w:tc>
        <w:tc>
          <w:tcPr>
            <w:tcW w:w="354" w:type="dxa"/>
            <w:tcBorders>
              <w:top w:val="nil"/>
              <w:left w:val="nil"/>
              <w:bottom w:val="single" w:sz="4" w:space="0" w:color="auto"/>
              <w:right w:val="single" w:sz="4" w:space="0" w:color="auto"/>
            </w:tcBorders>
            <w:shd w:val="clear" w:color="auto" w:fill="auto"/>
            <w:noWrap/>
            <w:vAlign w:val="center"/>
            <w:hideMark/>
          </w:tcPr>
          <w:p w14:paraId="38EA37F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C72EA8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c>
          <w:tcPr>
            <w:tcW w:w="354" w:type="dxa"/>
            <w:tcBorders>
              <w:top w:val="nil"/>
              <w:left w:val="nil"/>
              <w:bottom w:val="single" w:sz="4" w:space="0" w:color="auto"/>
              <w:right w:val="single" w:sz="4" w:space="0" w:color="auto"/>
            </w:tcBorders>
            <w:shd w:val="clear" w:color="auto" w:fill="auto"/>
            <w:noWrap/>
            <w:vAlign w:val="center"/>
            <w:hideMark/>
          </w:tcPr>
          <w:p w14:paraId="2F9B51E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0.88</w:t>
            </w:r>
          </w:p>
        </w:tc>
        <w:tc>
          <w:tcPr>
            <w:tcW w:w="354" w:type="dxa"/>
            <w:tcBorders>
              <w:top w:val="nil"/>
              <w:left w:val="nil"/>
              <w:bottom w:val="single" w:sz="4" w:space="0" w:color="auto"/>
              <w:right w:val="single" w:sz="4" w:space="0" w:color="auto"/>
            </w:tcBorders>
            <w:shd w:val="clear" w:color="auto" w:fill="auto"/>
            <w:noWrap/>
            <w:vAlign w:val="center"/>
            <w:hideMark/>
          </w:tcPr>
          <w:p w14:paraId="74A1A1C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77C7EBC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4BAC98F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37742E3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F1CE31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23FF82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3B1F456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39B5A54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8937FF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DA136B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CBDF53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2E74D87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r>
      <w:tr w:rsidR="005B15EC" w:rsidRPr="005B15EC" w14:paraId="031B53EC"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B80C3AD"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5DFA986"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Pine</w:t>
            </w:r>
          </w:p>
        </w:tc>
        <w:tc>
          <w:tcPr>
            <w:tcW w:w="313" w:type="dxa"/>
            <w:tcBorders>
              <w:top w:val="nil"/>
              <w:left w:val="nil"/>
              <w:bottom w:val="single" w:sz="4" w:space="0" w:color="auto"/>
              <w:right w:val="single" w:sz="4" w:space="0" w:color="auto"/>
            </w:tcBorders>
            <w:shd w:val="clear" w:color="auto" w:fill="auto"/>
            <w:noWrap/>
            <w:vAlign w:val="center"/>
            <w:hideMark/>
          </w:tcPr>
          <w:p w14:paraId="2077662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1F97A6C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1.56</w:t>
            </w:r>
          </w:p>
        </w:tc>
        <w:tc>
          <w:tcPr>
            <w:tcW w:w="332" w:type="dxa"/>
            <w:tcBorders>
              <w:top w:val="nil"/>
              <w:left w:val="nil"/>
              <w:bottom w:val="single" w:sz="4" w:space="0" w:color="auto"/>
              <w:right w:val="single" w:sz="4" w:space="0" w:color="auto"/>
            </w:tcBorders>
            <w:shd w:val="clear" w:color="auto" w:fill="auto"/>
            <w:noWrap/>
            <w:vAlign w:val="center"/>
            <w:hideMark/>
          </w:tcPr>
          <w:p w14:paraId="17E65014"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799AC7A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1EB7C29"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20706D7"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29E26B1"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83F442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5E271DB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1DAC6F4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7B365A5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6F34FAD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7.31</w:t>
            </w:r>
          </w:p>
        </w:tc>
        <w:tc>
          <w:tcPr>
            <w:tcW w:w="354" w:type="dxa"/>
            <w:tcBorders>
              <w:top w:val="nil"/>
              <w:left w:val="nil"/>
              <w:bottom w:val="single" w:sz="4" w:space="0" w:color="auto"/>
              <w:right w:val="single" w:sz="4" w:space="0" w:color="auto"/>
            </w:tcBorders>
            <w:shd w:val="clear" w:color="auto" w:fill="auto"/>
            <w:noWrap/>
            <w:vAlign w:val="center"/>
            <w:hideMark/>
          </w:tcPr>
          <w:p w14:paraId="5E87391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04A6B38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A41F90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FFBDAE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1C09F42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44E8A8B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1.44</w:t>
            </w:r>
          </w:p>
        </w:tc>
        <w:tc>
          <w:tcPr>
            <w:tcW w:w="354" w:type="dxa"/>
            <w:tcBorders>
              <w:top w:val="nil"/>
              <w:left w:val="nil"/>
              <w:bottom w:val="single" w:sz="4" w:space="0" w:color="auto"/>
              <w:right w:val="single" w:sz="4" w:space="0" w:color="auto"/>
            </w:tcBorders>
            <w:shd w:val="clear" w:color="auto" w:fill="auto"/>
            <w:noWrap/>
            <w:vAlign w:val="center"/>
            <w:hideMark/>
          </w:tcPr>
          <w:p w14:paraId="2C9DCDA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3CE635B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4" w:type="dxa"/>
            <w:tcBorders>
              <w:top w:val="nil"/>
              <w:left w:val="nil"/>
              <w:bottom w:val="single" w:sz="4" w:space="0" w:color="auto"/>
              <w:right w:val="single" w:sz="4" w:space="0" w:color="auto"/>
            </w:tcBorders>
            <w:shd w:val="clear" w:color="auto" w:fill="auto"/>
            <w:noWrap/>
            <w:vAlign w:val="center"/>
            <w:hideMark/>
          </w:tcPr>
          <w:p w14:paraId="66A8597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4" w:type="dxa"/>
            <w:tcBorders>
              <w:top w:val="nil"/>
              <w:left w:val="nil"/>
              <w:bottom w:val="single" w:sz="4" w:space="0" w:color="auto"/>
              <w:right w:val="single" w:sz="4" w:space="0" w:color="auto"/>
            </w:tcBorders>
            <w:shd w:val="clear" w:color="auto" w:fill="auto"/>
            <w:noWrap/>
            <w:vAlign w:val="center"/>
            <w:hideMark/>
          </w:tcPr>
          <w:p w14:paraId="637E1BB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7F9959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3CEBB8F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A2394C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20E6C5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7E5FBA6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97E9EA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4" w:type="dxa"/>
            <w:tcBorders>
              <w:top w:val="nil"/>
              <w:left w:val="nil"/>
              <w:bottom w:val="single" w:sz="4" w:space="0" w:color="auto"/>
              <w:right w:val="single" w:sz="4" w:space="0" w:color="auto"/>
            </w:tcBorders>
            <w:shd w:val="clear" w:color="auto" w:fill="auto"/>
            <w:noWrap/>
            <w:vAlign w:val="center"/>
            <w:hideMark/>
          </w:tcPr>
          <w:p w14:paraId="4998E45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97D245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0E7062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9E4C28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807177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r>
      <w:tr w:rsidR="005B15EC" w:rsidRPr="005B15EC" w14:paraId="28EF00C6"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A6F409A"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290E32CF"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20BFF80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F9B13A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1.63</w:t>
            </w:r>
          </w:p>
        </w:tc>
        <w:tc>
          <w:tcPr>
            <w:tcW w:w="332" w:type="dxa"/>
            <w:tcBorders>
              <w:top w:val="nil"/>
              <w:left w:val="nil"/>
              <w:bottom w:val="single" w:sz="4" w:space="0" w:color="auto"/>
              <w:right w:val="single" w:sz="4" w:space="0" w:color="auto"/>
            </w:tcBorders>
            <w:shd w:val="clear" w:color="auto" w:fill="auto"/>
            <w:noWrap/>
            <w:vAlign w:val="center"/>
            <w:hideMark/>
          </w:tcPr>
          <w:p w14:paraId="7B4E228B"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7F901AEA"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6657CE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E760B3B"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199915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B69148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944CCF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F78F93A"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EFDEE7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EB19D7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2.63</w:t>
            </w:r>
          </w:p>
        </w:tc>
        <w:tc>
          <w:tcPr>
            <w:tcW w:w="354" w:type="dxa"/>
            <w:tcBorders>
              <w:top w:val="nil"/>
              <w:left w:val="nil"/>
              <w:bottom w:val="single" w:sz="4" w:space="0" w:color="auto"/>
              <w:right w:val="single" w:sz="4" w:space="0" w:color="auto"/>
            </w:tcBorders>
            <w:shd w:val="clear" w:color="auto" w:fill="auto"/>
            <w:noWrap/>
            <w:vAlign w:val="center"/>
            <w:hideMark/>
          </w:tcPr>
          <w:p w14:paraId="5EF21F4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9A743E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1.13</w:t>
            </w:r>
          </w:p>
        </w:tc>
        <w:tc>
          <w:tcPr>
            <w:tcW w:w="354" w:type="dxa"/>
            <w:tcBorders>
              <w:top w:val="nil"/>
              <w:left w:val="nil"/>
              <w:bottom w:val="single" w:sz="4" w:space="0" w:color="auto"/>
              <w:right w:val="single" w:sz="4" w:space="0" w:color="auto"/>
            </w:tcBorders>
            <w:shd w:val="clear" w:color="auto" w:fill="auto"/>
            <w:noWrap/>
            <w:vAlign w:val="center"/>
            <w:hideMark/>
          </w:tcPr>
          <w:p w14:paraId="70E4F5F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ABC168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1.56</w:t>
            </w:r>
          </w:p>
        </w:tc>
        <w:tc>
          <w:tcPr>
            <w:tcW w:w="354" w:type="dxa"/>
            <w:tcBorders>
              <w:top w:val="nil"/>
              <w:left w:val="nil"/>
              <w:bottom w:val="single" w:sz="4" w:space="0" w:color="auto"/>
              <w:right w:val="single" w:sz="4" w:space="0" w:color="auto"/>
            </w:tcBorders>
            <w:shd w:val="clear" w:color="auto" w:fill="auto"/>
            <w:noWrap/>
            <w:vAlign w:val="center"/>
            <w:hideMark/>
          </w:tcPr>
          <w:p w14:paraId="3CB8721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0AFD8F4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2.06</w:t>
            </w:r>
          </w:p>
        </w:tc>
        <w:tc>
          <w:tcPr>
            <w:tcW w:w="354" w:type="dxa"/>
            <w:tcBorders>
              <w:top w:val="nil"/>
              <w:left w:val="nil"/>
              <w:bottom w:val="single" w:sz="4" w:space="0" w:color="auto"/>
              <w:right w:val="single" w:sz="4" w:space="0" w:color="auto"/>
            </w:tcBorders>
            <w:shd w:val="clear" w:color="auto" w:fill="auto"/>
            <w:noWrap/>
            <w:vAlign w:val="center"/>
            <w:hideMark/>
          </w:tcPr>
          <w:p w14:paraId="3C6F90F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0.69</w:t>
            </w:r>
          </w:p>
        </w:tc>
        <w:tc>
          <w:tcPr>
            <w:tcW w:w="354" w:type="dxa"/>
            <w:tcBorders>
              <w:top w:val="nil"/>
              <w:left w:val="nil"/>
              <w:bottom w:val="single" w:sz="4" w:space="0" w:color="auto"/>
              <w:right w:val="single" w:sz="4" w:space="0" w:color="auto"/>
            </w:tcBorders>
            <w:shd w:val="clear" w:color="auto" w:fill="auto"/>
            <w:noWrap/>
            <w:vAlign w:val="center"/>
            <w:hideMark/>
          </w:tcPr>
          <w:p w14:paraId="1F18D6E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c>
          <w:tcPr>
            <w:tcW w:w="354" w:type="dxa"/>
            <w:tcBorders>
              <w:top w:val="nil"/>
              <w:left w:val="nil"/>
              <w:bottom w:val="single" w:sz="4" w:space="0" w:color="auto"/>
              <w:right w:val="single" w:sz="4" w:space="0" w:color="auto"/>
            </w:tcBorders>
            <w:shd w:val="clear" w:color="auto" w:fill="auto"/>
            <w:noWrap/>
            <w:vAlign w:val="center"/>
            <w:hideMark/>
          </w:tcPr>
          <w:p w14:paraId="16F8415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2.44</w:t>
            </w:r>
          </w:p>
        </w:tc>
        <w:tc>
          <w:tcPr>
            <w:tcW w:w="354" w:type="dxa"/>
            <w:tcBorders>
              <w:top w:val="nil"/>
              <w:left w:val="nil"/>
              <w:bottom w:val="single" w:sz="4" w:space="0" w:color="auto"/>
              <w:right w:val="single" w:sz="4" w:space="0" w:color="auto"/>
            </w:tcBorders>
            <w:shd w:val="clear" w:color="auto" w:fill="auto"/>
            <w:noWrap/>
            <w:vAlign w:val="center"/>
            <w:hideMark/>
          </w:tcPr>
          <w:p w14:paraId="4CEF8B0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CB4B4D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3.13</w:t>
            </w:r>
          </w:p>
        </w:tc>
        <w:tc>
          <w:tcPr>
            <w:tcW w:w="354" w:type="dxa"/>
            <w:tcBorders>
              <w:top w:val="nil"/>
              <w:left w:val="nil"/>
              <w:bottom w:val="single" w:sz="4" w:space="0" w:color="auto"/>
              <w:right w:val="single" w:sz="4" w:space="0" w:color="auto"/>
            </w:tcBorders>
            <w:shd w:val="clear" w:color="auto" w:fill="auto"/>
            <w:noWrap/>
            <w:vAlign w:val="center"/>
            <w:hideMark/>
          </w:tcPr>
          <w:p w14:paraId="5B8AE2F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A31FA6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A60A8C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938705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1.00</w:t>
            </w:r>
          </w:p>
        </w:tc>
        <w:tc>
          <w:tcPr>
            <w:tcW w:w="354" w:type="dxa"/>
            <w:tcBorders>
              <w:top w:val="nil"/>
              <w:left w:val="nil"/>
              <w:bottom w:val="single" w:sz="4" w:space="0" w:color="auto"/>
              <w:right w:val="single" w:sz="4" w:space="0" w:color="auto"/>
            </w:tcBorders>
            <w:shd w:val="clear" w:color="auto" w:fill="auto"/>
            <w:noWrap/>
            <w:vAlign w:val="center"/>
            <w:hideMark/>
          </w:tcPr>
          <w:p w14:paraId="253B092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64DB22E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5D74D9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FC95B5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AC3357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4DE6C3B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1.81</w:t>
            </w:r>
          </w:p>
        </w:tc>
      </w:tr>
      <w:tr w:rsidR="005B15EC" w:rsidRPr="005B15EC" w14:paraId="07941B4E"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73FD75BB"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D9A83EA"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Seaforth</w:t>
            </w:r>
          </w:p>
        </w:tc>
        <w:tc>
          <w:tcPr>
            <w:tcW w:w="313" w:type="dxa"/>
            <w:tcBorders>
              <w:top w:val="nil"/>
              <w:left w:val="nil"/>
              <w:bottom w:val="single" w:sz="4" w:space="0" w:color="auto"/>
              <w:right w:val="single" w:sz="4" w:space="0" w:color="auto"/>
            </w:tcBorders>
            <w:shd w:val="clear" w:color="auto" w:fill="auto"/>
            <w:noWrap/>
            <w:vAlign w:val="center"/>
            <w:hideMark/>
          </w:tcPr>
          <w:p w14:paraId="0BC380F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636B50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1.06</w:t>
            </w:r>
          </w:p>
        </w:tc>
        <w:tc>
          <w:tcPr>
            <w:tcW w:w="332" w:type="dxa"/>
            <w:tcBorders>
              <w:top w:val="nil"/>
              <w:left w:val="nil"/>
              <w:bottom w:val="single" w:sz="4" w:space="0" w:color="auto"/>
              <w:right w:val="single" w:sz="4" w:space="0" w:color="auto"/>
            </w:tcBorders>
            <w:shd w:val="clear" w:color="auto" w:fill="auto"/>
            <w:noWrap/>
            <w:vAlign w:val="center"/>
            <w:hideMark/>
          </w:tcPr>
          <w:p w14:paraId="5BCCBE9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2" w:type="dxa"/>
            <w:tcBorders>
              <w:top w:val="nil"/>
              <w:left w:val="nil"/>
              <w:bottom w:val="single" w:sz="4" w:space="0" w:color="auto"/>
              <w:right w:val="single" w:sz="4" w:space="0" w:color="auto"/>
            </w:tcBorders>
            <w:shd w:val="clear" w:color="auto" w:fill="auto"/>
            <w:noWrap/>
            <w:vAlign w:val="center"/>
            <w:hideMark/>
          </w:tcPr>
          <w:p w14:paraId="58B78A67"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445876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4A696406"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82F0495"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ECFB02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10A4C05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3" w:type="dxa"/>
            <w:tcBorders>
              <w:top w:val="nil"/>
              <w:left w:val="nil"/>
              <w:bottom w:val="single" w:sz="4" w:space="0" w:color="auto"/>
              <w:right w:val="single" w:sz="4" w:space="0" w:color="auto"/>
            </w:tcBorders>
            <w:shd w:val="clear" w:color="auto" w:fill="auto"/>
            <w:noWrap/>
            <w:vAlign w:val="center"/>
            <w:hideMark/>
          </w:tcPr>
          <w:p w14:paraId="1B72FDE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1.19</w:t>
            </w:r>
          </w:p>
        </w:tc>
        <w:tc>
          <w:tcPr>
            <w:tcW w:w="353" w:type="dxa"/>
            <w:tcBorders>
              <w:top w:val="nil"/>
              <w:left w:val="nil"/>
              <w:bottom w:val="single" w:sz="4" w:space="0" w:color="auto"/>
              <w:right w:val="single" w:sz="4" w:space="0" w:color="auto"/>
            </w:tcBorders>
            <w:shd w:val="clear" w:color="auto" w:fill="auto"/>
            <w:noWrap/>
            <w:vAlign w:val="center"/>
            <w:hideMark/>
          </w:tcPr>
          <w:p w14:paraId="25845BC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1C152E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50966CE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35DD36A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4" w:type="dxa"/>
            <w:tcBorders>
              <w:top w:val="nil"/>
              <w:left w:val="nil"/>
              <w:bottom w:val="single" w:sz="4" w:space="0" w:color="auto"/>
              <w:right w:val="single" w:sz="4" w:space="0" w:color="auto"/>
            </w:tcBorders>
            <w:shd w:val="clear" w:color="auto" w:fill="auto"/>
            <w:noWrap/>
            <w:vAlign w:val="center"/>
            <w:hideMark/>
          </w:tcPr>
          <w:p w14:paraId="0286A93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316893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1299A0A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AB3EEB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3D9B77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26047D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2AFF2D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305159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4.06</w:t>
            </w:r>
          </w:p>
        </w:tc>
        <w:tc>
          <w:tcPr>
            <w:tcW w:w="354" w:type="dxa"/>
            <w:tcBorders>
              <w:top w:val="nil"/>
              <w:left w:val="nil"/>
              <w:bottom w:val="single" w:sz="4" w:space="0" w:color="auto"/>
              <w:right w:val="single" w:sz="4" w:space="0" w:color="auto"/>
            </w:tcBorders>
            <w:shd w:val="clear" w:color="auto" w:fill="auto"/>
            <w:noWrap/>
            <w:vAlign w:val="center"/>
            <w:hideMark/>
          </w:tcPr>
          <w:p w14:paraId="051A7E7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471E2E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019E18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BEDC15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B1E595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656D53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3.25</w:t>
            </w:r>
          </w:p>
        </w:tc>
        <w:tc>
          <w:tcPr>
            <w:tcW w:w="354" w:type="dxa"/>
            <w:tcBorders>
              <w:top w:val="nil"/>
              <w:left w:val="nil"/>
              <w:bottom w:val="single" w:sz="4" w:space="0" w:color="auto"/>
              <w:right w:val="single" w:sz="4" w:space="0" w:color="auto"/>
            </w:tcBorders>
            <w:shd w:val="clear" w:color="auto" w:fill="auto"/>
            <w:noWrap/>
            <w:vAlign w:val="center"/>
            <w:hideMark/>
          </w:tcPr>
          <w:p w14:paraId="4C3DB09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5AD3B8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1D137E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25A89F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066C661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0.81</w:t>
            </w:r>
          </w:p>
        </w:tc>
      </w:tr>
      <w:tr w:rsidR="005B15EC" w:rsidRPr="005B15EC" w14:paraId="67759ED1"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7E8283F"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005CD979"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050FAF9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5D08D1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32" w:type="dxa"/>
            <w:tcBorders>
              <w:top w:val="nil"/>
              <w:left w:val="nil"/>
              <w:bottom w:val="single" w:sz="4" w:space="0" w:color="auto"/>
              <w:right w:val="single" w:sz="4" w:space="0" w:color="auto"/>
            </w:tcBorders>
            <w:shd w:val="clear" w:color="auto" w:fill="auto"/>
            <w:noWrap/>
            <w:vAlign w:val="center"/>
            <w:hideMark/>
          </w:tcPr>
          <w:p w14:paraId="6CC0E9DA"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3FD842F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668EA1E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8E4F08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3" w:type="dxa"/>
            <w:tcBorders>
              <w:top w:val="nil"/>
              <w:left w:val="nil"/>
              <w:bottom w:val="single" w:sz="4" w:space="0" w:color="auto"/>
              <w:right w:val="single" w:sz="4" w:space="0" w:color="auto"/>
            </w:tcBorders>
            <w:shd w:val="clear" w:color="auto" w:fill="auto"/>
            <w:noWrap/>
            <w:vAlign w:val="center"/>
            <w:hideMark/>
          </w:tcPr>
          <w:p w14:paraId="51EC694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59064EB"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F7C832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26C166A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648B366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4BB320A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31F87D9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4F6B1F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5.06</w:t>
            </w:r>
          </w:p>
        </w:tc>
        <w:tc>
          <w:tcPr>
            <w:tcW w:w="354" w:type="dxa"/>
            <w:tcBorders>
              <w:top w:val="nil"/>
              <w:left w:val="nil"/>
              <w:bottom w:val="single" w:sz="4" w:space="0" w:color="auto"/>
              <w:right w:val="single" w:sz="4" w:space="0" w:color="auto"/>
            </w:tcBorders>
            <w:shd w:val="clear" w:color="auto" w:fill="auto"/>
            <w:noWrap/>
            <w:vAlign w:val="center"/>
            <w:hideMark/>
          </w:tcPr>
          <w:p w14:paraId="27154B3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6F3163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4" w:type="dxa"/>
            <w:tcBorders>
              <w:top w:val="nil"/>
              <w:left w:val="nil"/>
              <w:bottom w:val="single" w:sz="4" w:space="0" w:color="auto"/>
              <w:right w:val="single" w:sz="4" w:space="0" w:color="auto"/>
            </w:tcBorders>
            <w:shd w:val="clear" w:color="auto" w:fill="auto"/>
            <w:noWrap/>
            <w:vAlign w:val="center"/>
            <w:hideMark/>
          </w:tcPr>
          <w:p w14:paraId="66A8B77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192340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10E1EEE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6977E3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CD203C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FE8F16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1.06</w:t>
            </w:r>
          </w:p>
        </w:tc>
        <w:tc>
          <w:tcPr>
            <w:tcW w:w="354" w:type="dxa"/>
            <w:tcBorders>
              <w:top w:val="nil"/>
              <w:left w:val="nil"/>
              <w:bottom w:val="single" w:sz="4" w:space="0" w:color="auto"/>
              <w:right w:val="single" w:sz="4" w:space="0" w:color="auto"/>
            </w:tcBorders>
            <w:shd w:val="clear" w:color="auto" w:fill="auto"/>
            <w:noWrap/>
            <w:vAlign w:val="center"/>
            <w:hideMark/>
          </w:tcPr>
          <w:p w14:paraId="0681775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FCB778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2BB46D3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3CF09F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78BEE00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DA6A5A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0.94</w:t>
            </w:r>
          </w:p>
        </w:tc>
        <w:tc>
          <w:tcPr>
            <w:tcW w:w="354" w:type="dxa"/>
            <w:tcBorders>
              <w:top w:val="nil"/>
              <w:left w:val="nil"/>
              <w:bottom w:val="single" w:sz="4" w:space="0" w:color="auto"/>
              <w:right w:val="single" w:sz="4" w:space="0" w:color="auto"/>
            </w:tcBorders>
            <w:shd w:val="clear" w:color="auto" w:fill="auto"/>
            <w:noWrap/>
            <w:vAlign w:val="center"/>
            <w:hideMark/>
          </w:tcPr>
          <w:p w14:paraId="0D2D911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823291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7ED4BF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58874C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2EF4267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0.56</w:t>
            </w:r>
          </w:p>
        </w:tc>
      </w:tr>
      <w:tr w:rsidR="005B15EC" w:rsidRPr="005B15EC" w14:paraId="555E4D4C" w14:textId="77777777" w:rsidTr="00DA2628">
        <w:trPr>
          <w:trHeight w:hRule="exact" w:val="397"/>
        </w:trPr>
        <w:tc>
          <w:tcPr>
            <w:tcW w:w="389"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65A991C"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Fitzroy</w:t>
            </w:r>
          </w:p>
        </w:tc>
        <w:tc>
          <w:tcPr>
            <w:tcW w:w="875" w:type="dxa"/>
            <w:vMerge w:val="restart"/>
            <w:tcBorders>
              <w:top w:val="nil"/>
              <w:left w:val="nil"/>
              <w:right w:val="single" w:sz="4" w:space="0" w:color="auto"/>
            </w:tcBorders>
            <w:shd w:val="clear" w:color="auto" w:fill="auto"/>
            <w:noWrap/>
            <w:hideMark/>
          </w:tcPr>
          <w:p w14:paraId="7CB09133" w14:textId="77777777" w:rsidR="005B15EC" w:rsidRPr="005B15EC" w:rsidRDefault="005B15EC" w:rsidP="005B15EC">
            <w:pPr>
              <w:spacing w:after="0"/>
              <w:jc w:val="center"/>
              <w:rPr>
                <w:rFonts w:ascii="Arial Narrow" w:hAnsi="Arial Narrow"/>
                <w:sz w:val="18"/>
                <w:szCs w:val="18"/>
                <w:lang w:val="en-AU" w:eastAsia="en-AU"/>
              </w:rPr>
            </w:pPr>
          </w:p>
          <w:p w14:paraId="1CBF3D0D"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Barren</w:t>
            </w:r>
          </w:p>
        </w:tc>
        <w:tc>
          <w:tcPr>
            <w:tcW w:w="313" w:type="dxa"/>
            <w:tcBorders>
              <w:top w:val="nil"/>
              <w:left w:val="nil"/>
              <w:bottom w:val="single" w:sz="4" w:space="0" w:color="auto"/>
              <w:right w:val="single" w:sz="4" w:space="0" w:color="auto"/>
            </w:tcBorders>
            <w:shd w:val="clear" w:color="auto" w:fill="auto"/>
            <w:noWrap/>
            <w:vAlign w:val="center"/>
            <w:hideMark/>
          </w:tcPr>
          <w:p w14:paraId="6F95E85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5007DB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9.00</w:t>
            </w:r>
          </w:p>
        </w:tc>
        <w:tc>
          <w:tcPr>
            <w:tcW w:w="332" w:type="dxa"/>
            <w:tcBorders>
              <w:top w:val="nil"/>
              <w:left w:val="nil"/>
              <w:bottom w:val="single" w:sz="4" w:space="0" w:color="auto"/>
              <w:right w:val="single" w:sz="4" w:space="0" w:color="auto"/>
            </w:tcBorders>
            <w:shd w:val="clear" w:color="auto" w:fill="auto"/>
            <w:noWrap/>
            <w:vAlign w:val="center"/>
            <w:hideMark/>
          </w:tcPr>
          <w:p w14:paraId="5EE4DE54"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D322378"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7877C1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3" w:type="dxa"/>
            <w:tcBorders>
              <w:top w:val="nil"/>
              <w:left w:val="nil"/>
              <w:bottom w:val="single" w:sz="4" w:space="0" w:color="auto"/>
              <w:right w:val="single" w:sz="4" w:space="0" w:color="auto"/>
            </w:tcBorders>
            <w:shd w:val="clear" w:color="auto" w:fill="auto"/>
            <w:noWrap/>
            <w:vAlign w:val="center"/>
            <w:hideMark/>
          </w:tcPr>
          <w:p w14:paraId="03B0AC31"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BCA96DD"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60A6591"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7E737E1"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C57822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74294D6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F8BB25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D45EE4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5ED1F91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84D0FF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3.06</w:t>
            </w:r>
          </w:p>
        </w:tc>
        <w:tc>
          <w:tcPr>
            <w:tcW w:w="354" w:type="dxa"/>
            <w:tcBorders>
              <w:top w:val="nil"/>
              <w:left w:val="nil"/>
              <w:bottom w:val="single" w:sz="4" w:space="0" w:color="auto"/>
              <w:right w:val="single" w:sz="4" w:space="0" w:color="auto"/>
            </w:tcBorders>
            <w:shd w:val="clear" w:color="auto" w:fill="auto"/>
            <w:noWrap/>
            <w:vAlign w:val="center"/>
            <w:hideMark/>
          </w:tcPr>
          <w:p w14:paraId="7F6B3EB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050E7B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AD6220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7.44</w:t>
            </w:r>
          </w:p>
        </w:tc>
        <w:tc>
          <w:tcPr>
            <w:tcW w:w="354" w:type="dxa"/>
            <w:tcBorders>
              <w:top w:val="nil"/>
              <w:left w:val="nil"/>
              <w:bottom w:val="single" w:sz="4" w:space="0" w:color="auto"/>
              <w:right w:val="single" w:sz="4" w:space="0" w:color="auto"/>
            </w:tcBorders>
            <w:shd w:val="clear" w:color="auto" w:fill="auto"/>
            <w:noWrap/>
            <w:vAlign w:val="center"/>
            <w:hideMark/>
          </w:tcPr>
          <w:p w14:paraId="13E482D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07C6E9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0AA58D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21EF15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4" w:type="dxa"/>
            <w:tcBorders>
              <w:top w:val="nil"/>
              <w:left w:val="nil"/>
              <w:bottom w:val="single" w:sz="4" w:space="0" w:color="auto"/>
              <w:right w:val="single" w:sz="4" w:space="0" w:color="auto"/>
            </w:tcBorders>
            <w:shd w:val="clear" w:color="auto" w:fill="auto"/>
            <w:noWrap/>
            <w:vAlign w:val="center"/>
            <w:hideMark/>
          </w:tcPr>
          <w:p w14:paraId="181E850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5E1653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12F5F6F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110586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6B1CCFE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B615C6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0.69</w:t>
            </w:r>
          </w:p>
        </w:tc>
        <w:tc>
          <w:tcPr>
            <w:tcW w:w="354" w:type="dxa"/>
            <w:tcBorders>
              <w:top w:val="nil"/>
              <w:left w:val="nil"/>
              <w:bottom w:val="single" w:sz="4" w:space="0" w:color="auto"/>
              <w:right w:val="single" w:sz="4" w:space="0" w:color="auto"/>
            </w:tcBorders>
            <w:shd w:val="clear" w:color="auto" w:fill="auto"/>
            <w:noWrap/>
            <w:vAlign w:val="center"/>
            <w:hideMark/>
          </w:tcPr>
          <w:p w14:paraId="71231F0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4" w:type="dxa"/>
            <w:tcBorders>
              <w:top w:val="nil"/>
              <w:left w:val="nil"/>
              <w:bottom w:val="single" w:sz="4" w:space="0" w:color="auto"/>
              <w:right w:val="single" w:sz="4" w:space="0" w:color="auto"/>
            </w:tcBorders>
            <w:shd w:val="clear" w:color="auto" w:fill="auto"/>
            <w:noWrap/>
            <w:vAlign w:val="center"/>
            <w:hideMark/>
          </w:tcPr>
          <w:p w14:paraId="6B6B400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C84A57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7CC740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98B704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1.44</w:t>
            </w:r>
          </w:p>
        </w:tc>
      </w:tr>
      <w:tr w:rsidR="005B15EC" w:rsidRPr="005B15EC" w14:paraId="0F63C660"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1DC834BA"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left w:val="single" w:sz="4" w:space="0" w:color="auto"/>
              <w:bottom w:val="single" w:sz="4" w:space="0" w:color="auto"/>
              <w:right w:val="single" w:sz="4" w:space="0" w:color="auto"/>
            </w:tcBorders>
            <w:shd w:val="clear" w:color="auto" w:fill="auto"/>
            <w:noWrap/>
            <w:vAlign w:val="center"/>
            <w:hideMark/>
          </w:tcPr>
          <w:p w14:paraId="249B8E6D" w14:textId="77777777" w:rsidR="005B15EC" w:rsidRPr="005B15EC" w:rsidRDefault="005B15EC" w:rsidP="005B15EC">
            <w:pPr>
              <w:spacing w:after="0"/>
              <w:jc w:val="center"/>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7EB3B0A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E8DEF2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40.69</w:t>
            </w:r>
          </w:p>
        </w:tc>
        <w:tc>
          <w:tcPr>
            <w:tcW w:w="332" w:type="dxa"/>
            <w:tcBorders>
              <w:top w:val="nil"/>
              <w:left w:val="nil"/>
              <w:bottom w:val="single" w:sz="4" w:space="0" w:color="auto"/>
              <w:right w:val="single" w:sz="4" w:space="0" w:color="auto"/>
            </w:tcBorders>
            <w:shd w:val="clear" w:color="auto" w:fill="auto"/>
            <w:noWrap/>
            <w:vAlign w:val="center"/>
            <w:hideMark/>
          </w:tcPr>
          <w:p w14:paraId="361DAE2C"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2BAFAE7E"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DC5EFD1"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D8DE8C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8293CC4"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10D16D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E3369E4"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572137D"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4627D1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165138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DA9E80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A35FAF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3E9356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4B2689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B62C1C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6B0E6E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3.69</w:t>
            </w:r>
          </w:p>
        </w:tc>
        <w:tc>
          <w:tcPr>
            <w:tcW w:w="354" w:type="dxa"/>
            <w:tcBorders>
              <w:top w:val="nil"/>
              <w:left w:val="nil"/>
              <w:bottom w:val="single" w:sz="4" w:space="0" w:color="auto"/>
              <w:right w:val="single" w:sz="4" w:space="0" w:color="auto"/>
            </w:tcBorders>
            <w:shd w:val="clear" w:color="auto" w:fill="auto"/>
            <w:noWrap/>
            <w:vAlign w:val="center"/>
            <w:hideMark/>
          </w:tcPr>
          <w:p w14:paraId="2B961BA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8B0C92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12219C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4432EF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06CE35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C5A49E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ED155A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FD0508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5AED30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EE2174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52A4862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CBBE50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F4D38D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08A9C5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09DC38E" w14:textId="77777777" w:rsidR="005B15EC" w:rsidRPr="005B15EC" w:rsidRDefault="005B15EC" w:rsidP="005B15EC">
            <w:pPr>
              <w:spacing w:after="0"/>
              <w:jc w:val="center"/>
              <w:rPr>
                <w:rFonts w:ascii="Arial Narrow" w:hAnsi="Arial Narrow"/>
                <w:sz w:val="14"/>
                <w:szCs w:val="14"/>
                <w:lang w:val="en-AU" w:eastAsia="en-AU"/>
              </w:rPr>
            </w:pPr>
          </w:p>
        </w:tc>
      </w:tr>
      <w:tr w:rsidR="005B15EC" w:rsidRPr="005B15EC" w14:paraId="6FAC8604"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01BE15AA"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right w:val="single" w:sz="4" w:space="0" w:color="auto"/>
            </w:tcBorders>
            <w:shd w:val="clear" w:color="auto" w:fill="auto"/>
            <w:vAlign w:val="center"/>
            <w:hideMark/>
          </w:tcPr>
          <w:p w14:paraId="7451C47D"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North Keppel</w:t>
            </w:r>
          </w:p>
        </w:tc>
        <w:tc>
          <w:tcPr>
            <w:tcW w:w="313" w:type="dxa"/>
            <w:tcBorders>
              <w:top w:val="nil"/>
              <w:left w:val="nil"/>
              <w:bottom w:val="single" w:sz="4" w:space="0" w:color="auto"/>
              <w:right w:val="single" w:sz="4" w:space="0" w:color="auto"/>
            </w:tcBorders>
            <w:shd w:val="clear" w:color="auto" w:fill="auto"/>
            <w:noWrap/>
            <w:vAlign w:val="center"/>
            <w:hideMark/>
          </w:tcPr>
          <w:p w14:paraId="7FEBF64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1A54174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33.38</w:t>
            </w:r>
          </w:p>
        </w:tc>
        <w:tc>
          <w:tcPr>
            <w:tcW w:w="332" w:type="dxa"/>
            <w:tcBorders>
              <w:top w:val="nil"/>
              <w:left w:val="nil"/>
              <w:bottom w:val="single" w:sz="4" w:space="0" w:color="auto"/>
              <w:right w:val="single" w:sz="4" w:space="0" w:color="auto"/>
            </w:tcBorders>
            <w:shd w:val="clear" w:color="auto" w:fill="auto"/>
            <w:noWrap/>
            <w:vAlign w:val="center"/>
            <w:hideMark/>
          </w:tcPr>
          <w:p w14:paraId="270DC0A8"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55A4B9E8"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B7CE10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0D2C5E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0FE22E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08CD90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66D7E84"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19B333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A07C33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4" w:type="dxa"/>
            <w:tcBorders>
              <w:top w:val="nil"/>
              <w:left w:val="nil"/>
              <w:bottom w:val="single" w:sz="4" w:space="0" w:color="auto"/>
              <w:right w:val="single" w:sz="4" w:space="0" w:color="auto"/>
            </w:tcBorders>
            <w:shd w:val="clear" w:color="auto" w:fill="auto"/>
            <w:noWrap/>
            <w:vAlign w:val="center"/>
            <w:hideMark/>
          </w:tcPr>
          <w:p w14:paraId="06D88B0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C59EC3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0C8236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902A79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5E52EA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43B261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C320CF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1.25</w:t>
            </w:r>
          </w:p>
        </w:tc>
        <w:tc>
          <w:tcPr>
            <w:tcW w:w="354" w:type="dxa"/>
            <w:tcBorders>
              <w:top w:val="nil"/>
              <w:left w:val="nil"/>
              <w:bottom w:val="single" w:sz="4" w:space="0" w:color="auto"/>
              <w:right w:val="single" w:sz="4" w:space="0" w:color="auto"/>
            </w:tcBorders>
            <w:shd w:val="clear" w:color="auto" w:fill="auto"/>
            <w:noWrap/>
            <w:vAlign w:val="center"/>
            <w:hideMark/>
          </w:tcPr>
          <w:p w14:paraId="47281EE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93615C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AED496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C26E34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AE98D8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CE76E7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586108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3347BC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F7C993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A0EC7B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410B7A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063863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521F84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33E8A0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141AD92" w14:textId="77777777" w:rsidR="005B15EC" w:rsidRPr="005B15EC" w:rsidRDefault="005B15EC" w:rsidP="005B15EC">
            <w:pPr>
              <w:spacing w:after="0"/>
              <w:jc w:val="center"/>
              <w:rPr>
                <w:rFonts w:ascii="Arial Narrow" w:hAnsi="Arial Narrow"/>
                <w:sz w:val="14"/>
                <w:szCs w:val="14"/>
                <w:lang w:val="en-AU" w:eastAsia="en-AU"/>
              </w:rPr>
            </w:pPr>
          </w:p>
        </w:tc>
      </w:tr>
      <w:tr w:rsidR="005B15EC" w:rsidRPr="005B15EC" w14:paraId="14199BA5"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489E2856"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left w:val="single" w:sz="4" w:space="0" w:color="auto"/>
              <w:bottom w:val="single" w:sz="4" w:space="0" w:color="auto"/>
              <w:right w:val="single" w:sz="4" w:space="0" w:color="auto"/>
            </w:tcBorders>
            <w:shd w:val="clear" w:color="auto" w:fill="auto"/>
            <w:noWrap/>
            <w:vAlign w:val="center"/>
            <w:hideMark/>
          </w:tcPr>
          <w:p w14:paraId="767E3FD5" w14:textId="77777777" w:rsidR="005B15EC" w:rsidRPr="005B15EC" w:rsidRDefault="005B15EC" w:rsidP="005B15EC">
            <w:pPr>
              <w:spacing w:after="0"/>
              <w:jc w:val="center"/>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6463D15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463570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12.75</w:t>
            </w:r>
          </w:p>
        </w:tc>
        <w:tc>
          <w:tcPr>
            <w:tcW w:w="332" w:type="dxa"/>
            <w:tcBorders>
              <w:top w:val="nil"/>
              <w:left w:val="nil"/>
              <w:bottom w:val="single" w:sz="4" w:space="0" w:color="auto"/>
              <w:right w:val="single" w:sz="4" w:space="0" w:color="auto"/>
            </w:tcBorders>
            <w:shd w:val="clear" w:color="auto" w:fill="auto"/>
            <w:noWrap/>
            <w:vAlign w:val="center"/>
            <w:hideMark/>
          </w:tcPr>
          <w:p w14:paraId="520E0ED1"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05B4404"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84D09F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E854C7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AD418E5"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5CBFFF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E2709BB"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AAD3FD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037642E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1.13</w:t>
            </w:r>
          </w:p>
        </w:tc>
        <w:tc>
          <w:tcPr>
            <w:tcW w:w="354" w:type="dxa"/>
            <w:tcBorders>
              <w:top w:val="nil"/>
              <w:left w:val="nil"/>
              <w:bottom w:val="single" w:sz="4" w:space="0" w:color="auto"/>
              <w:right w:val="single" w:sz="4" w:space="0" w:color="auto"/>
            </w:tcBorders>
            <w:shd w:val="clear" w:color="auto" w:fill="auto"/>
            <w:noWrap/>
            <w:vAlign w:val="center"/>
            <w:hideMark/>
          </w:tcPr>
          <w:p w14:paraId="6AF1ECD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E18BCA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60AB2A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373A16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603E13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DE4751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06CD95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2.25</w:t>
            </w:r>
          </w:p>
        </w:tc>
        <w:tc>
          <w:tcPr>
            <w:tcW w:w="354" w:type="dxa"/>
            <w:tcBorders>
              <w:top w:val="nil"/>
              <w:left w:val="nil"/>
              <w:bottom w:val="single" w:sz="4" w:space="0" w:color="auto"/>
              <w:right w:val="single" w:sz="4" w:space="0" w:color="auto"/>
            </w:tcBorders>
            <w:shd w:val="clear" w:color="auto" w:fill="auto"/>
            <w:noWrap/>
            <w:vAlign w:val="center"/>
            <w:hideMark/>
          </w:tcPr>
          <w:p w14:paraId="1ADA73F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499F755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566583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251F66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D6622B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24E656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0495E11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4E9D93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A3E2DD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E70EF9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DA52C7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4" w:type="dxa"/>
            <w:tcBorders>
              <w:top w:val="nil"/>
              <w:left w:val="nil"/>
              <w:bottom w:val="single" w:sz="4" w:space="0" w:color="auto"/>
              <w:right w:val="single" w:sz="4" w:space="0" w:color="auto"/>
            </w:tcBorders>
            <w:shd w:val="clear" w:color="auto" w:fill="auto"/>
            <w:noWrap/>
            <w:vAlign w:val="center"/>
            <w:hideMark/>
          </w:tcPr>
          <w:p w14:paraId="34A756D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2BBB49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60B3AE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7DF7F0B" w14:textId="77777777" w:rsidR="005B15EC" w:rsidRPr="005B15EC" w:rsidRDefault="005B15EC" w:rsidP="005B15EC">
            <w:pPr>
              <w:spacing w:after="0"/>
              <w:jc w:val="center"/>
              <w:rPr>
                <w:rFonts w:ascii="Arial Narrow" w:hAnsi="Arial Narrow"/>
                <w:sz w:val="14"/>
                <w:szCs w:val="14"/>
                <w:lang w:val="en-AU" w:eastAsia="en-AU"/>
              </w:rPr>
            </w:pPr>
          </w:p>
        </w:tc>
      </w:tr>
      <w:tr w:rsidR="005B15EC" w:rsidRPr="005B15EC" w14:paraId="23891618"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3574C9D5"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right w:val="single" w:sz="4" w:space="0" w:color="auto"/>
            </w:tcBorders>
            <w:shd w:val="clear" w:color="auto" w:fill="auto"/>
            <w:vAlign w:val="center"/>
            <w:hideMark/>
          </w:tcPr>
          <w:p w14:paraId="5C6FAF64"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Middle</w:t>
            </w:r>
          </w:p>
        </w:tc>
        <w:tc>
          <w:tcPr>
            <w:tcW w:w="313" w:type="dxa"/>
            <w:tcBorders>
              <w:top w:val="nil"/>
              <w:left w:val="nil"/>
              <w:bottom w:val="single" w:sz="4" w:space="0" w:color="auto"/>
              <w:right w:val="single" w:sz="4" w:space="0" w:color="auto"/>
            </w:tcBorders>
            <w:shd w:val="clear" w:color="auto" w:fill="auto"/>
            <w:noWrap/>
            <w:vAlign w:val="center"/>
            <w:hideMark/>
          </w:tcPr>
          <w:p w14:paraId="43A8865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333595F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24.02</w:t>
            </w:r>
          </w:p>
        </w:tc>
        <w:tc>
          <w:tcPr>
            <w:tcW w:w="332" w:type="dxa"/>
            <w:tcBorders>
              <w:top w:val="nil"/>
              <w:left w:val="nil"/>
              <w:bottom w:val="single" w:sz="4" w:space="0" w:color="auto"/>
              <w:right w:val="single" w:sz="4" w:space="0" w:color="auto"/>
            </w:tcBorders>
            <w:shd w:val="clear" w:color="auto" w:fill="auto"/>
            <w:noWrap/>
            <w:vAlign w:val="center"/>
            <w:hideMark/>
          </w:tcPr>
          <w:p w14:paraId="29C7C61B"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7007C05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469BA57"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71E906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A97399B"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689B5E4"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C13C9B6"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E2E3BD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EB9553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67079AE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9CDEA3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B9FA54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693CE4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F5DA34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64DD60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31982D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1.38</w:t>
            </w:r>
          </w:p>
        </w:tc>
        <w:tc>
          <w:tcPr>
            <w:tcW w:w="354" w:type="dxa"/>
            <w:tcBorders>
              <w:top w:val="nil"/>
              <w:left w:val="nil"/>
              <w:bottom w:val="single" w:sz="4" w:space="0" w:color="auto"/>
              <w:right w:val="single" w:sz="4" w:space="0" w:color="auto"/>
            </w:tcBorders>
            <w:shd w:val="clear" w:color="auto" w:fill="auto"/>
            <w:noWrap/>
            <w:vAlign w:val="center"/>
            <w:hideMark/>
          </w:tcPr>
          <w:p w14:paraId="34BD754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34A0D4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AEC0B6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C7E212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DCA612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7FE17C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19E2AB0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7C8B3F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59ACE4F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8D7E61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DA1DEF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5F3537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2D5DCD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184F6A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4F7050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r>
      <w:tr w:rsidR="005B15EC" w:rsidRPr="005B15EC" w14:paraId="551C233F"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D2158CE"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left w:val="single" w:sz="4" w:space="0" w:color="auto"/>
              <w:bottom w:val="single" w:sz="4" w:space="0" w:color="auto"/>
              <w:right w:val="single" w:sz="4" w:space="0" w:color="auto"/>
            </w:tcBorders>
            <w:shd w:val="clear" w:color="auto" w:fill="auto"/>
            <w:noWrap/>
            <w:vAlign w:val="center"/>
            <w:hideMark/>
          </w:tcPr>
          <w:p w14:paraId="6358B89E" w14:textId="77777777" w:rsidR="005B15EC" w:rsidRPr="005B15EC" w:rsidRDefault="005B15EC" w:rsidP="005B15EC">
            <w:pPr>
              <w:spacing w:after="0"/>
              <w:jc w:val="center"/>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5DAF60C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2C21D61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11.90</w:t>
            </w:r>
          </w:p>
        </w:tc>
        <w:tc>
          <w:tcPr>
            <w:tcW w:w="332" w:type="dxa"/>
            <w:tcBorders>
              <w:top w:val="nil"/>
              <w:left w:val="nil"/>
              <w:bottom w:val="single" w:sz="4" w:space="0" w:color="auto"/>
              <w:right w:val="single" w:sz="4" w:space="0" w:color="auto"/>
            </w:tcBorders>
            <w:shd w:val="clear" w:color="auto" w:fill="auto"/>
            <w:noWrap/>
            <w:vAlign w:val="center"/>
            <w:hideMark/>
          </w:tcPr>
          <w:p w14:paraId="29200C79"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4D8B540D"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524453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B816984"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EB9A885"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382DFAB"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ECB6595"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C04E364"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2943A2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0B871D2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975D26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815D8E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930085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2BDB2D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28216B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3AEC1B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1.13</w:t>
            </w:r>
          </w:p>
        </w:tc>
        <w:tc>
          <w:tcPr>
            <w:tcW w:w="354" w:type="dxa"/>
            <w:tcBorders>
              <w:top w:val="nil"/>
              <w:left w:val="nil"/>
              <w:bottom w:val="single" w:sz="4" w:space="0" w:color="auto"/>
              <w:right w:val="single" w:sz="4" w:space="0" w:color="auto"/>
            </w:tcBorders>
            <w:shd w:val="clear" w:color="auto" w:fill="auto"/>
            <w:noWrap/>
            <w:vAlign w:val="center"/>
            <w:hideMark/>
          </w:tcPr>
          <w:p w14:paraId="124BB6F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DB7283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68F14A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A17637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E50AE1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8348A7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2B0E1B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6CF948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0.88</w:t>
            </w:r>
          </w:p>
        </w:tc>
        <w:tc>
          <w:tcPr>
            <w:tcW w:w="354" w:type="dxa"/>
            <w:tcBorders>
              <w:top w:val="nil"/>
              <w:left w:val="nil"/>
              <w:bottom w:val="single" w:sz="4" w:space="0" w:color="auto"/>
              <w:right w:val="single" w:sz="4" w:space="0" w:color="auto"/>
            </w:tcBorders>
            <w:shd w:val="clear" w:color="auto" w:fill="auto"/>
            <w:noWrap/>
            <w:vAlign w:val="center"/>
            <w:hideMark/>
          </w:tcPr>
          <w:p w14:paraId="2480D1B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CFAEDF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4188004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980BFF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B51952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3D440B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00C3082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r>
      <w:tr w:rsidR="005B15EC" w:rsidRPr="005B15EC" w14:paraId="56620528"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3380FD62"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6856134"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Keppels South</w:t>
            </w:r>
          </w:p>
        </w:tc>
        <w:tc>
          <w:tcPr>
            <w:tcW w:w="313" w:type="dxa"/>
            <w:tcBorders>
              <w:top w:val="nil"/>
              <w:left w:val="nil"/>
              <w:bottom w:val="single" w:sz="4" w:space="0" w:color="auto"/>
              <w:right w:val="single" w:sz="4" w:space="0" w:color="auto"/>
            </w:tcBorders>
            <w:shd w:val="clear" w:color="auto" w:fill="auto"/>
            <w:noWrap/>
            <w:vAlign w:val="center"/>
            <w:hideMark/>
          </w:tcPr>
          <w:p w14:paraId="75EF087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6E24B1B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15.19</w:t>
            </w:r>
          </w:p>
        </w:tc>
        <w:tc>
          <w:tcPr>
            <w:tcW w:w="332" w:type="dxa"/>
            <w:tcBorders>
              <w:top w:val="nil"/>
              <w:left w:val="nil"/>
              <w:bottom w:val="single" w:sz="4" w:space="0" w:color="auto"/>
              <w:right w:val="single" w:sz="4" w:space="0" w:color="auto"/>
            </w:tcBorders>
            <w:shd w:val="clear" w:color="auto" w:fill="auto"/>
            <w:noWrap/>
            <w:vAlign w:val="center"/>
            <w:hideMark/>
          </w:tcPr>
          <w:p w14:paraId="10C3B140"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3E739507"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32910E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097A1BDA"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C8B3B0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4639A2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C1D0576"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7067442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4AD6BA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4C087CA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CA1E97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A86E7F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47E48F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BC33D0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C09CA1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E9B31F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3.13</w:t>
            </w:r>
          </w:p>
        </w:tc>
        <w:tc>
          <w:tcPr>
            <w:tcW w:w="354" w:type="dxa"/>
            <w:tcBorders>
              <w:top w:val="nil"/>
              <w:left w:val="nil"/>
              <w:bottom w:val="single" w:sz="4" w:space="0" w:color="auto"/>
              <w:right w:val="single" w:sz="4" w:space="0" w:color="auto"/>
            </w:tcBorders>
            <w:shd w:val="clear" w:color="auto" w:fill="auto"/>
            <w:noWrap/>
            <w:vAlign w:val="center"/>
            <w:hideMark/>
          </w:tcPr>
          <w:p w14:paraId="22D9C25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701D1E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BDDA71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160DF7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C69F9E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8A5D23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1C7D542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F12386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1.06</w:t>
            </w:r>
          </w:p>
        </w:tc>
        <w:tc>
          <w:tcPr>
            <w:tcW w:w="354" w:type="dxa"/>
            <w:tcBorders>
              <w:top w:val="nil"/>
              <w:left w:val="nil"/>
              <w:bottom w:val="single" w:sz="4" w:space="0" w:color="auto"/>
              <w:right w:val="single" w:sz="4" w:space="0" w:color="auto"/>
            </w:tcBorders>
            <w:shd w:val="clear" w:color="auto" w:fill="auto"/>
            <w:noWrap/>
            <w:vAlign w:val="center"/>
            <w:hideMark/>
          </w:tcPr>
          <w:p w14:paraId="490AB84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B4BAAF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60E9E02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748202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505C9D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A1DF36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A0ED72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r>
      <w:tr w:rsidR="005B15EC" w:rsidRPr="005B15EC" w14:paraId="5228BEEF"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096CBCA1"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2B8D31F3"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62C1F95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4688469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29.69</w:t>
            </w:r>
          </w:p>
        </w:tc>
        <w:tc>
          <w:tcPr>
            <w:tcW w:w="332" w:type="dxa"/>
            <w:tcBorders>
              <w:top w:val="nil"/>
              <w:left w:val="nil"/>
              <w:bottom w:val="single" w:sz="4" w:space="0" w:color="auto"/>
              <w:right w:val="single" w:sz="4" w:space="0" w:color="auto"/>
            </w:tcBorders>
            <w:shd w:val="clear" w:color="auto" w:fill="auto"/>
            <w:noWrap/>
            <w:vAlign w:val="center"/>
            <w:hideMark/>
          </w:tcPr>
          <w:p w14:paraId="75080416"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4F91B0E9"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33CAA4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695DDC4E"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0D98D1A"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5070672"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98F21C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30E908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3" w:type="dxa"/>
            <w:tcBorders>
              <w:top w:val="nil"/>
              <w:left w:val="nil"/>
              <w:bottom w:val="single" w:sz="4" w:space="0" w:color="auto"/>
              <w:right w:val="single" w:sz="4" w:space="0" w:color="auto"/>
            </w:tcBorders>
            <w:shd w:val="clear" w:color="auto" w:fill="auto"/>
            <w:noWrap/>
            <w:vAlign w:val="center"/>
            <w:hideMark/>
          </w:tcPr>
          <w:p w14:paraId="20CB535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3349620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142D1E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B7B749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A33BCD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DE12A1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219DE2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56D21F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1.63</w:t>
            </w:r>
          </w:p>
        </w:tc>
        <w:tc>
          <w:tcPr>
            <w:tcW w:w="354" w:type="dxa"/>
            <w:tcBorders>
              <w:top w:val="nil"/>
              <w:left w:val="nil"/>
              <w:bottom w:val="single" w:sz="4" w:space="0" w:color="auto"/>
              <w:right w:val="single" w:sz="4" w:space="0" w:color="auto"/>
            </w:tcBorders>
            <w:shd w:val="clear" w:color="auto" w:fill="auto"/>
            <w:noWrap/>
            <w:vAlign w:val="center"/>
            <w:hideMark/>
          </w:tcPr>
          <w:p w14:paraId="56BBD9D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FA1DFC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012D61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DAC39D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3341F97"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1AC986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55EA7B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B56011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c>
          <w:tcPr>
            <w:tcW w:w="354" w:type="dxa"/>
            <w:tcBorders>
              <w:top w:val="nil"/>
              <w:left w:val="nil"/>
              <w:bottom w:val="single" w:sz="4" w:space="0" w:color="auto"/>
              <w:right w:val="single" w:sz="4" w:space="0" w:color="auto"/>
            </w:tcBorders>
            <w:shd w:val="clear" w:color="auto" w:fill="auto"/>
            <w:noWrap/>
            <w:vAlign w:val="center"/>
            <w:hideMark/>
          </w:tcPr>
          <w:p w14:paraId="1D74456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096E11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074658C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0C84B7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F04F70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C8530E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4" w:type="dxa"/>
            <w:tcBorders>
              <w:top w:val="nil"/>
              <w:left w:val="nil"/>
              <w:bottom w:val="single" w:sz="4" w:space="0" w:color="auto"/>
              <w:right w:val="single" w:sz="4" w:space="0" w:color="auto"/>
            </w:tcBorders>
            <w:shd w:val="clear" w:color="auto" w:fill="auto"/>
            <w:noWrap/>
            <w:vAlign w:val="center"/>
            <w:hideMark/>
          </w:tcPr>
          <w:p w14:paraId="2CB2606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r>
      <w:tr w:rsidR="005B15EC" w:rsidRPr="005B15EC" w14:paraId="4F1471E4"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0031B22B"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D8CB8D9"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Pelican</w:t>
            </w:r>
          </w:p>
        </w:tc>
        <w:tc>
          <w:tcPr>
            <w:tcW w:w="313" w:type="dxa"/>
            <w:tcBorders>
              <w:top w:val="nil"/>
              <w:left w:val="nil"/>
              <w:bottom w:val="single" w:sz="4" w:space="0" w:color="auto"/>
              <w:right w:val="single" w:sz="4" w:space="0" w:color="auto"/>
            </w:tcBorders>
            <w:shd w:val="clear" w:color="auto" w:fill="auto"/>
            <w:noWrap/>
            <w:vAlign w:val="center"/>
            <w:hideMark/>
          </w:tcPr>
          <w:p w14:paraId="6A9C0A2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F3ED15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32" w:type="dxa"/>
            <w:tcBorders>
              <w:top w:val="nil"/>
              <w:left w:val="nil"/>
              <w:bottom w:val="single" w:sz="4" w:space="0" w:color="auto"/>
              <w:right w:val="single" w:sz="4" w:space="0" w:color="auto"/>
            </w:tcBorders>
            <w:shd w:val="clear" w:color="auto" w:fill="auto"/>
            <w:noWrap/>
            <w:vAlign w:val="center"/>
            <w:hideMark/>
          </w:tcPr>
          <w:p w14:paraId="27F1F217" w14:textId="77777777" w:rsidR="005B15EC" w:rsidRPr="005B15EC" w:rsidRDefault="005B15EC" w:rsidP="005B15EC">
            <w:pPr>
              <w:spacing w:after="0"/>
              <w:jc w:val="center"/>
              <w:rPr>
                <w:rFonts w:ascii="Arial Narrow" w:hAnsi="Arial Narrow"/>
                <w:sz w:val="14"/>
                <w:szCs w:val="14"/>
                <w:lang w:val="en-AU" w:eastAsia="en-AU"/>
              </w:rPr>
            </w:pPr>
          </w:p>
        </w:tc>
        <w:tc>
          <w:tcPr>
            <w:tcW w:w="352" w:type="dxa"/>
            <w:tcBorders>
              <w:top w:val="nil"/>
              <w:left w:val="nil"/>
              <w:bottom w:val="single" w:sz="4" w:space="0" w:color="auto"/>
              <w:right w:val="single" w:sz="4" w:space="0" w:color="auto"/>
            </w:tcBorders>
            <w:shd w:val="clear" w:color="auto" w:fill="auto"/>
            <w:noWrap/>
            <w:vAlign w:val="center"/>
            <w:hideMark/>
          </w:tcPr>
          <w:p w14:paraId="07E11D06"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223194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0.25</w:t>
            </w:r>
          </w:p>
        </w:tc>
        <w:tc>
          <w:tcPr>
            <w:tcW w:w="353" w:type="dxa"/>
            <w:tcBorders>
              <w:top w:val="nil"/>
              <w:left w:val="nil"/>
              <w:bottom w:val="single" w:sz="4" w:space="0" w:color="auto"/>
              <w:right w:val="single" w:sz="4" w:space="0" w:color="auto"/>
            </w:tcBorders>
            <w:shd w:val="clear" w:color="auto" w:fill="auto"/>
            <w:noWrap/>
            <w:vAlign w:val="center"/>
            <w:hideMark/>
          </w:tcPr>
          <w:p w14:paraId="778E08DE"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EF7167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824FF8A"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E6C08B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197BF3B"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1590175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3DC6DC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A6D1B5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6BF294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E9F83F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896D8F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E0EA97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38902D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A3FCC0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C83DAA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967060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05F864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BAF00B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3BAA1A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9D765B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5766219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4230D9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FCD707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17603C7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4" w:type="dxa"/>
            <w:tcBorders>
              <w:top w:val="nil"/>
              <w:left w:val="nil"/>
              <w:bottom w:val="single" w:sz="4" w:space="0" w:color="auto"/>
              <w:right w:val="single" w:sz="4" w:space="0" w:color="auto"/>
            </w:tcBorders>
            <w:shd w:val="clear" w:color="auto" w:fill="auto"/>
            <w:noWrap/>
            <w:vAlign w:val="center"/>
            <w:hideMark/>
          </w:tcPr>
          <w:p w14:paraId="61FC02F5"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C0A628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572694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13D7DEB" w14:textId="77777777" w:rsidR="005B15EC" w:rsidRPr="005B15EC" w:rsidRDefault="005B15EC" w:rsidP="005B15EC">
            <w:pPr>
              <w:spacing w:after="0"/>
              <w:jc w:val="center"/>
              <w:rPr>
                <w:rFonts w:ascii="Arial Narrow" w:hAnsi="Arial Narrow"/>
                <w:sz w:val="14"/>
                <w:szCs w:val="14"/>
                <w:lang w:val="en-AU" w:eastAsia="en-AU"/>
              </w:rPr>
            </w:pPr>
          </w:p>
        </w:tc>
      </w:tr>
      <w:tr w:rsidR="005B15EC" w:rsidRPr="005B15EC" w14:paraId="0F212328"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E6229A5"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76E47568" w14:textId="77777777" w:rsidR="005B15EC" w:rsidRPr="005B15EC" w:rsidRDefault="005B15EC" w:rsidP="005B15EC">
            <w:pPr>
              <w:spacing w:after="0"/>
              <w:jc w:val="left"/>
              <w:rPr>
                <w:rFonts w:ascii="Arial Narrow" w:hAnsi="Arial Narrow"/>
                <w:sz w:val="18"/>
                <w:szCs w:val="18"/>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3579082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7F3A6CE6" w14:textId="77777777" w:rsidR="005B15EC" w:rsidRPr="005B15EC" w:rsidRDefault="005B15EC" w:rsidP="005B15EC">
            <w:pPr>
              <w:spacing w:after="0"/>
              <w:jc w:val="center"/>
              <w:rPr>
                <w:rFonts w:ascii="Arial Narrow" w:hAnsi="Arial Narrow"/>
                <w:sz w:val="14"/>
                <w:szCs w:val="14"/>
                <w:lang w:val="en-AU" w:eastAsia="en-AU"/>
              </w:rPr>
            </w:pPr>
          </w:p>
        </w:tc>
        <w:tc>
          <w:tcPr>
            <w:tcW w:w="332" w:type="dxa"/>
            <w:tcBorders>
              <w:top w:val="nil"/>
              <w:left w:val="nil"/>
              <w:bottom w:val="single" w:sz="4" w:space="0" w:color="auto"/>
              <w:right w:val="single" w:sz="4" w:space="0" w:color="auto"/>
            </w:tcBorders>
            <w:shd w:val="clear" w:color="auto" w:fill="auto"/>
            <w:noWrap/>
            <w:vAlign w:val="center"/>
            <w:hideMark/>
          </w:tcPr>
          <w:p w14:paraId="7F709E4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3.75</w:t>
            </w:r>
          </w:p>
        </w:tc>
        <w:tc>
          <w:tcPr>
            <w:tcW w:w="352" w:type="dxa"/>
            <w:tcBorders>
              <w:top w:val="nil"/>
              <w:left w:val="nil"/>
              <w:bottom w:val="single" w:sz="4" w:space="0" w:color="auto"/>
              <w:right w:val="single" w:sz="4" w:space="0" w:color="auto"/>
            </w:tcBorders>
            <w:shd w:val="clear" w:color="auto" w:fill="auto"/>
            <w:noWrap/>
            <w:vAlign w:val="center"/>
            <w:hideMark/>
          </w:tcPr>
          <w:p w14:paraId="1E73F044"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0D533A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3" w:type="dxa"/>
            <w:tcBorders>
              <w:top w:val="nil"/>
              <w:left w:val="nil"/>
              <w:bottom w:val="single" w:sz="4" w:space="0" w:color="auto"/>
              <w:right w:val="single" w:sz="4" w:space="0" w:color="auto"/>
            </w:tcBorders>
            <w:shd w:val="clear" w:color="auto" w:fill="auto"/>
            <w:noWrap/>
            <w:vAlign w:val="center"/>
            <w:hideMark/>
          </w:tcPr>
          <w:p w14:paraId="6E2B4410"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CDF1513"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53825B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60C811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0.31</w:t>
            </w:r>
          </w:p>
        </w:tc>
        <w:tc>
          <w:tcPr>
            <w:tcW w:w="353" w:type="dxa"/>
            <w:tcBorders>
              <w:top w:val="nil"/>
              <w:left w:val="nil"/>
              <w:bottom w:val="single" w:sz="4" w:space="0" w:color="auto"/>
              <w:right w:val="single" w:sz="4" w:space="0" w:color="auto"/>
            </w:tcBorders>
            <w:shd w:val="clear" w:color="auto" w:fill="auto"/>
            <w:noWrap/>
            <w:vAlign w:val="center"/>
            <w:hideMark/>
          </w:tcPr>
          <w:p w14:paraId="18C19A30"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3.25</w:t>
            </w:r>
          </w:p>
        </w:tc>
        <w:tc>
          <w:tcPr>
            <w:tcW w:w="353" w:type="dxa"/>
            <w:tcBorders>
              <w:top w:val="nil"/>
              <w:left w:val="nil"/>
              <w:bottom w:val="single" w:sz="4" w:space="0" w:color="auto"/>
              <w:right w:val="single" w:sz="4" w:space="0" w:color="auto"/>
            </w:tcBorders>
            <w:shd w:val="clear" w:color="auto" w:fill="auto"/>
            <w:noWrap/>
            <w:vAlign w:val="center"/>
            <w:hideMark/>
          </w:tcPr>
          <w:p w14:paraId="5644F1D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DFD9241"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3E08B5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1.38</w:t>
            </w:r>
          </w:p>
        </w:tc>
        <w:tc>
          <w:tcPr>
            <w:tcW w:w="354" w:type="dxa"/>
            <w:tcBorders>
              <w:top w:val="nil"/>
              <w:left w:val="nil"/>
              <w:bottom w:val="single" w:sz="4" w:space="0" w:color="auto"/>
              <w:right w:val="single" w:sz="4" w:space="0" w:color="auto"/>
            </w:tcBorders>
            <w:shd w:val="clear" w:color="auto" w:fill="auto"/>
            <w:noWrap/>
            <w:vAlign w:val="center"/>
            <w:hideMark/>
          </w:tcPr>
          <w:p w14:paraId="084EB6F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1.19</w:t>
            </w:r>
          </w:p>
        </w:tc>
        <w:tc>
          <w:tcPr>
            <w:tcW w:w="354" w:type="dxa"/>
            <w:tcBorders>
              <w:top w:val="nil"/>
              <w:left w:val="nil"/>
              <w:bottom w:val="single" w:sz="4" w:space="0" w:color="auto"/>
              <w:right w:val="single" w:sz="4" w:space="0" w:color="auto"/>
            </w:tcBorders>
            <w:shd w:val="clear" w:color="auto" w:fill="auto"/>
            <w:noWrap/>
            <w:vAlign w:val="center"/>
            <w:hideMark/>
          </w:tcPr>
          <w:p w14:paraId="4ECDEF4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D6176E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4" w:type="dxa"/>
            <w:tcBorders>
              <w:top w:val="nil"/>
              <w:left w:val="nil"/>
              <w:bottom w:val="single" w:sz="4" w:space="0" w:color="auto"/>
              <w:right w:val="single" w:sz="4" w:space="0" w:color="auto"/>
            </w:tcBorders>
            <w:shd w:val="clear" w:color="auto" w:fill="auto"/>
            <w:noWrap/>
            <w:vAlign w:val="center"/>
            <w:hideMark/>
          </w:tcPr>
          <w:p w14:paraId="2F1C067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12FD43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2EC766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4863683"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BE6202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66D2DF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58A6CC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A7BB96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0.44</w:t>
            </w:r>
          </w:p>
        </w:tc>
        <w:tc>
          <w:tcPr>
            <w:tcW w:w="354" w:type="dxa"/>
            <w:tcBorders>
              <w:top w:val="nil"/>
              <w:left w:val="nil"/>
              <w:bottom w:val="single" w:sz="4" w:space="0" w:color="auto"/>
              <w:right w:val="single" w:sz="4" w:space="0" w:color="auto"/>
            </w:tcBorders>
            <w:shd w:val="clear" w:color="auto" w:fill="auto"/>
            <w:noWrap/>
            <w:vAlign w:val="center"/>
            <w:hideMark/>
          </w:tcPr>
          <w:p w14:paraId="378382B9"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0.75</w:t>
            </w:r>
          </w:p>
        </w:tc>
        <w:tc>
          <w:tcPr>
            <w:tcW w:w="354" w:type="dxa"/>
            <w:tcBorders>
              <w:top w:val="nil"/>
              <w:left w:val="nil"/>
              <w:bottom w:val="single" w:sz="4" w:space="0" w:color="auto"/>
              <w:right w:val="single" w:sz="4" w:space="0" w:color="auto"/>
            </w:tcBorders>
            <w:shd w:val="clear" w:color="auto" w:fill="auto"/>
            <w:noWrap/>
            <w:vAlign w:val="center"/>
            <w:hideMark/>
          </w:tcPr>
          <w:p w14:paraId="4B3ACDC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9F5D5B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7158A3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7063BEDC"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1.44</w:t>
            </w:r>
          </w:p>
        </w:tc>
        <w:tc>
          <w:tcPr>
            <w:tcW w:w="354" w:type="dxa"/>
            <w:tcBorders>
              <w:top w:val="nil"/>
              <w:left w:val="nil"/>
              <w:bottom w:val="single" w:sz="4" w:space="0" w:color="auto"/>
              <w:right w:val="single" w:sz="4" w:space="0" w:color="auto"/>
            </w:tcBorders>
            <w:shd w:val="clear" w:color="auto" w:fill="auto"/>
            <w:noWrap/>
            <w:vAlign w:val="center"/>
            <w:hideMark/>
          </w:tcPr>
          <w:p w14:paraId="3D9DF32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F87364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1392FD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1.19</w:t>
            </w:r>
          </w:p>
        </w:tc>
        <w:tc>
          <w:tcPr>
            <w:tcW w:w="354" w:type="dxa"/>
            <w:tcBorders>
              <w:top w:val="nil"/>
              <w:left w:val="nil"/>
              <w:bottom w:val="single" w:sz="4" w:space="0" w:color="auto"/>
              <w:right w:val="single" w:sz="4" w:space="0" w:color="auto"/>
            </w:tcBorders>
            <w:shd w:val="clear" w:color="auto" w:fill="auto"/>
            <w:noWrap/>
            <w:vAlign w:val="center"/>
            <w:hideMark/>
          </w:tcPr>
          <w:p w14:paraId="79ECDE8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0.81</w:t>
            </w:r>
          </w:p>
        </w:tc>
      </w:tr>
      <w:tr w:rsidR="005B15EC" w:rsidRPr="005B15EC" w14:paraId="61EE4FB7"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054E67D0"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F14578" w14:textId="77777777" w:rsidR="005B15EC" w:rsidRPr="005B15EC" w:rsidRDefault="005B15EC" w:rsidP="005B15EC">
            <w:pPr>
              <w:spacing w:after="0"/>
              <w:jc w:val="center"/>
              <w:rPr>
                <w:rFonts w:ascii="Arial Narrow" w:hAnsi="Arial Narrow"/>
                <w:sz w:val="18"/>
                <w:szCs w:val="18"/>
                <w:lang w:val="en-AU" w:eastAsia="en-AU"/>
              </w:rPr>
            </w:pPr>
            <w:r w:rsidRPr="005B15EC">
              <w:rPr>
                <w:rFonts w:ascii="Arial Narrow" w:hAnsi="Arial Narrow"/>
                <w:sz w:val="18"/>
                <w:szCs w:val="18"/>
                <w:lang w:val="en-AU" w:eastAsia="en-AU"/>
              </w:rPr>
              <w:t>Peak</w:t>
            </w:r>
          </w:p>
        </w:tc>
        <w:tc>
          <w:tcPr>
            <w:tcW w:w="313" w:type="dxa"/>
            <w:tcBorders>
              <w:top w:val="nil"/>
              <w:left w:val="nil"/>
              <w:bottom w:val="single" w:sz="4" w:space="0" w:color="auto"/>
              <w:right w:val="single" w:sz="4" w:space="0" w:color="auto"/>
            </w:tcBorders>
            <w:shd w:val="clear" w:color="auto" w:fill="auto"/>
            <w:noWrap/>
            <w:vAlign w:val="center"/>
            <w:hideMark/>
          </w:tcPr>
          <w:p w14:paraId="6202DB3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2</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229FD566" w14:textId="77777777" w:rsidR="005B15EC" w:rsidRPr="005B15EC" w:rsidRDefault="005B15EC" w:rsidP="005B15EC">
            <w:pPr>
              <w:spacing w:after="0"/>
              <w:jc w:val="center"/>
              <w:rPr>
                <w:rFonts w:ascii="Arial Narrow" w:hAnsi="Arial Narrow"/>
                <w:sz w:val="14"/>
                <w:szCs w:val="14"/>
                <w:lang w:val="en-AU" w:eastAsia="en-AU"/>
              </w:rPr>
            </w:pPr>
          </w:p>
        </w:tc>
        <w:tc>
          <w:tcPr>
            <w:tcW w:w="332" w:type="dxa"/>
            <w:tcBorders>
              <w:top w:val="nil"/>
              <w:left w:val="nil"/>
              <w:bottom w:val="single" w:sz="4" w:space="0" w:color="auto"/>
              <w:right w:val="single" w:sz="4" w:space="0" w:color="auto"/>
            </w:tcBorders>
            <w:shd w:val="clear" w:color="auto" w:fill="auto"/>
            <w:noWrap/>
            <w:vAlign w:val="center"/>
            <w:hideMark/>
          </w:tcPr>
          <w:p w14:paraId="68CA616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2" w:type="dxa"/>
            <w:tcBorders>
              <w:top w:val="nil"/>
              <w:left w:val="nil"/>
              <w:bottom w:val="single" w:sz="4" w:space="0" w:color="auto"/>
              <w:right w:val="single" w:sz="4" w:space="0" w:color="auto"/>
            </w:tcBorders>
            <w:shd w:val="clear" w:color="auto" w:fill="auto"/>
            <w:noWrap/>
            <w:vAlign w:val="center"/>
            <w:hideMark/>
          </w:tcPr>
          <w:p w14:paraId="3708755B"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5A8AE6F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0.75</w:t>
            </w:r>
          </w:p>
        </w:tc>
        <w:tc>
          <w:tcPr>
            <w:tcW w:w="353" w:type="dxa"/>
            <w:tcBorders>
              <w:top w:val="nil"/>
              <w:left w:val="nil"/>
              <w:bottom w:val="single" w:sz="4" w:space="0" w:color="auto"/>
              <w:right w:val="single" w:sz="4" w:space="0" w:color="auto"/>
            </w:tcBorders>
            <w:shd w:val="clear" w:color="auto" w:fill="auto"/>
            <w:noWrap/>
            <w:vAlign w:val="center"/>
            <w:hideMark/>
          </w:tcPr>
          <w:p w14:paraId="1DCB99CD"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26D821EB"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C9A030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B73B28F"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095F19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0.81</w:t>
            </w:r>
          </w:p>
        </w:tc>
        <w:tc>
          <w:tcPr>
            <w:tcW w:w="353" w:type="dxa"/>
            <w:tcBorders>
              <w:top w:val="nil"/>
              <w:left w:val="nil"/>
              <w:bottom w:val="single" w:sz="4" w:space="0" w:color="auto"/>
              <w:right w:val="single" w:sz="4" w:space="0" w:color="auto"/>
            </w:tcBorders>
            <w:shd w:val="clear" w:color="auto" w:fill="auto"/>
            <w:noWrap/>
            <w:vAlign w:val="center"/>
            <w:hideMark/>
          </w:tcPr>
          <w:p w14:paraId="0361047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BF448C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599D3F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964748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c>
          <w:tcPr>
            <w:tcW w:w="354" w:type="dxa"/>
            <w:tcBorders>
              <w:top w:val="nil"/>
              <w:left w:val="nil"/>
              <w:bottom w:val="single" w:sz="4" w:space="0" w:color="auto"/>
              <w:right w:val="single" w:sz="4" w:space="0" w:color="auto"/>
            </w:tcBorders>
            <w:shd w:val="clear" w:color="auto" w:fill="auto"/>
            <w:noWrap/>
            <w:vAlign w:val="center"/>
            <w:hideMark/>
          </w:tcPr>
          <w:p w14:paraId="3DD65C4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39F848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9AB523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C7D931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87FEEE2"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EFC29A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AD76F9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5E0F854"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2A38DBF"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781D36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A989374"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4.75</w:t>
            </w:r>
          </w:p>
        </w:tc>
        <w:tc>
          <w:tcPr>
            <w:tcW w:w="354" w:type="dxa"/>
            <w:tcBorders>
              <w:top w:val="nil"/>
              <w:left w:val="nil"/>
              <w:bottom w:val="single" w:sz="4" w:space="0" w:color="auto"/>
              <w:right w:val="single" w:sz="4" w:space="0" w:color="auto"/>
            </w:tcBorders>
            <w:shd w:val="clear" w:color="auto" w:fill="auto"/>
            <w:noWrap/>
            <w:vAlign w:val="center"/>
            <w:hideMark/>
          </w:tcPr>
          <w:p w14:paraId="1A5D8BF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1CFD090"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C80D683"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0.94</w:t>
            </w:r>
          </w:p>
        </w:tc>
        <w:tc>
          <w:tcPr>
            <w:tcW w:w="354" w:type="dxa"/>
            <w:tcBorders>
              <w:top w:val="nil"/>
              <w:left w:val="nil"/>
              <w:bottom w:val="single" w:sz="4" w:space="0" w:color="auto"/>
              <w:right w:val="single" w:sz="4" w:space="0" w:color="auto"/>
            </w:tcBorders>
            <w:shd w:val="clear" w:color="auto" w:fill="auto"/>
            <w:noWrap/>
            <w:vAlign w:val="center"/>
            <w:hideMark/>
          </w:tcPr>
          <w:p w14:paraId="25B2544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2.13</w:t>
            </w:r>
          </w:p>
        </w:tc>
        <w:tc>
          <w:tcPr>
            <w:tcW w:w="354" w:type="dxa"/>
            <w:tcBorders>
              <w:top w:val="nil"/>
              <w:left w:val="nil"/>
              <w:bottom w:val="single" w:sz="4" w:space="0" w:color="auto"/>
              <w:right w:val="single" w:sz="4" w:space="0" w:color="auto"/>
            </w:tcBorders>
            <w:shd w:val="clear" w:color="auto" w:fill="auto"/>
            <w:noWrap/>
            <w:vAlign w:val="center"/>
            <w:hideMark/>
          </w:tcPr>
          <w:p w14:paraId="4557146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8B6CEF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82EDD3A"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0.06</w:t>
            </w:r>
          </w:p>
        </w:tc>
        <w:tc>
          <w:tcPr>
            <w:tcW w:w="354" w:type="dxa"/>
            <w:tcBorders>
              <w:top w:val="nil"/>
              <w:left w:val="nil"/>
              <w:bottom w:val="single" w:sz="4" w:space="0" w:color="auto"/>
              <w:right w:val="single" w:sz="4" w:space="0" w:color="auto"/>
            </w:tcBorders>
            <w:shd w:val="clear" w:color="auto" w:fill="auto"/>
            <w:noWrap/>
            <w:vAlign w:val="center"/>
            <w:hideMark/>
          </w:tcPr>
          <w:p w14:paraId="18E9F1C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0.13</w:t>
            </w:r>
          </w:p>
        </w:tc>
      </w:tr>
      <w:tr w:rsidR="005B15EC" w:rsidRPr="005B15EC" w14:paraId="76EE80CD" w14:textId="77777777" w:rsidTr="00DA2628">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0E74FE31" w14:textId="77777777" w:rsidR="005B15EC" w:rsidRPr="005B15EC" w:rsidRDefault="005B15EC" w:rsidP="005B15EC">
            <w:pPr>
              <w:spacing w:after="0"/>
              <w:jc w:val="left"/>
              <w:rPr>
                <w:rFonts w:ascii="Arial Narrow" w:hAnsi="Arial Narrow"/>
                <w:sz w:val="18"/>
                <w:szCs w:val="18"/>
                <w:lang w:val="en-AU" w:eastAsia="en-AU"/>
              </w:rPr>
            </w:pPr>
          </w:p>
        </w:tc>
        <w:tc>
          <w:tcPr>
            <w:tcW w:w="875" w:type="dxa"/>
            <w:vMerge/>
            <w:tcBorders>
              <w:top w:val="nil"/>
              <w:left w:val="single" w:sz="4" w:space="0" w:color="auto"/>
              <w:bottom w:val="single" w:sz="4" w:space="0" w:color="auto"/>
              <w:right w:val="single" w:sz="4" w:space="0" w:color="auto"/>
            </w:tcBorders>
            <w:vAlign w:val="center"/>
            <w:hideMark/>
          </w:tcPr>
          <w:p w14:paraId="3948680E" w14:textId="77777777" w:rsidR="005B15EC" w:rsidRPr="005B15EC" w:rsidRDefault="005B15EC" w:rsidP="005B15EC">
            <w:pPr>
              <w:spacing w:after="0"/>
              <w:jc w:val="left"/>
              <w:rPr>
                <w:rFonts w:ascii="Arial Narrow" w:hAnsi="Arial Narrow"/>
                <w:sz w:val="16"/>
                <w:szCs w:val="16"/>
                <w:lang w:val="en-AU" w:eastAsia="en-AU"/>
              </w:rPr>
            </w:pPr>
          </w:p>
        </w:tc>
        <w:tc>
          <w:tcPr>
            <w:tcW w:w="313" w:type="dxa"/>
            <w:tcBorders>
              <w:top w:val="nil"/>
              <w:left w:val="nil"/>
              <w:bottom w:val="single" w:sz="4" w:space="0" w:color="auto"/>
              <w:right w:val="single" w:sz="4" w:space="0" w:color="auto"/>
            </w:tcBorders>
            <w:shd w:val="clear" w:color="auto" w:fill="auto"/>
            <w:noWrap/>
            <w:vAlign w:val="center"/>
            <w:hideMark/>
          </w:tcPr>
          <w:p w14:paraId="29CCBB2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lang w:val="en-AU" w:eastAsia="en-AU"/>
              </w:rPr>
              <w:t>5</w:t>
            </w:r>
          </w:p>
        </w:tc>
        <w:tc>
          <w:tcPr>
            <w:tcW w:w="335" w:type="dxa"/>
            <w:tcBorders>
              <w:top w:val="nil"/>
              <w:left w:val="single" w:sz="4" w:space="0" w:color="auto"/>
              <w:bottom w:val="single" w:sz="4" w:space="0" w:color="auto"/>
              <w:right w:val="single" w:sz="4" w:space="0" w:color="auto"/>
            </w:tcBorders>
            <w:shd w:val="clear" w:color="auto" w:fill="auto"/>
            <w:noWrap/>
            <w:vAlign w:val="center"/>
            <w:hideMark/>
          </w:tcPr>
          <w:p w14:paraId="2E348762" w14:textId="77777777" w:rsidR="005B15EC" w:rsidRPr="005B15EC" w:rsidRDefault="005B15EC" w:rsidP="005B15EC">
            <w:pPr>
              <w:spacing w:after="0"/>
              <w:jc w:val="center"/>
              <w:rPr>
                <w:rFonts w:ascii="Arial Narrow" w:hAnsi="Arial Narrow"/>
                <w:sz w:val="14"/>
                <w:szCs w:val="14"/>
                <w:lang w:val="en-AU" w:eastAsia="en-AU"/>
              </w:rPr>
            </w:pPr>
          </w:p>
        </w:tc>
        <w:tc>
          <w:tcPr>
            <w:tcW w:w="332" w:type="dxa"/>
            <w:tcBorders>
              <w:top w:val="nil"/>
              <w:left w:val="nil"/>
              <w:bottom w:val="single" w:sz="4" w:space="0" w:color="auto"/>
              <w:right w:val="single" w:sz="4" w:space="0" w:color="auto"/>
            </w:tcBorders>
            <w:shd w:val="clear" w:color="auto" w:fill="auto"/>
            <w:noWrap/>
            <w:vAlign w:val="center"/>
            <w:hideMark/>
          </w:tcPr>
          <w:p w14:paraId="303A87A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0.19</w:t>
            </w:r>
          </w:p>
        </w:tc>
        <w:tc>
          <w:tcPr>
            <w:tcW w:w="352" w:type="dxa"/>
            <w:tcBorders>
              <w:top w:val="nil"/>
              <w:left w:val="nil"/>
              <w:bottom w:val="single" w:sz="4" w:space="0" w:color="auto"/>
              <w:right w:val="single" w:sz="4" w:space="0" w:color="auto"/>
            </w:tcBorders>
            <w:shd w:val="clear" w:color="auto" w:fill="auto"/>
            <w:noWrap/>
            <w:vAlign w:val="center"/>
            <w:hideMark/>
          </w:tcPr>
          <w:p w14:paraId="5071FAD6"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3FB0CB4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1.13</w:t>
            </w:r>
          </w:p>
        </w:tc>
        <w:tc>
          <w:tcPr>
            <w:tcW w:w="353" w:type="dxa"/>
            <w:tcBorders>
              <w:top w:val="nil"/>
              <w:left w:val="nil"/>
              <w:bottom w:val="single" w:sz="4" w:space="0" w:color="auto"/>
              <w:right w:val="single" w:sz="4" w:space="0" w:color="auto"/>
            </w:tcBorders>
            <w:shd w:val="clear" w:color="auto" w:fill="auto"/>
            <w:noWrap/>
            <w:vAlign w:val="center"/>
            <w:hideMark/>
          </w:tcPr>
          <w:p w14:paraId="7C73D721"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031119DC"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4219AC9E" w14:textId="77777777" w:rsidR="005B15EC" w:rsidRPr="005B15EC" w:rsidRDefault="005B15EC" w:rsidP="005B15EC">
            <w:pPr>
              <w:spacing w:after="0"/>
              <w:jc w:val="center"/>
              <w:rPr>
                <w:rFonts w:ascii="Arial Narrow" w:hAnsi="Arial Narrow"/>
                <w:sz w:val="14"/>
                <w:szCs w:val="14"/>
                <w:lang w:val="en-AU" w:eastAsia="en-AU"/>
              </w:rPr>
            </w:pPr>
          </w:p>
        </w:tc>
        <w:tc>
          <w:tcPr>
            <w:tcW w:w="353" w:type="dxa"/>
            <w:tcBorders>
              <w:top w:val="nil"/>
              <w:left w:val="nil"/>
              <w:bottom w:val="single" w:sz="4" w:space="0" w:color="auto"/>
              <w:right w:val="single" w:sz="4" w:space="0" w:color="auto"/>
            </w:tcBorders>
            <w:shd w:val="clear" w:color="auto" w:fill="auto"/>
            <w:noWrap/>
            <w:vAlign w:val="center"/>
            <w:hideMark/>
          </w:tcPr>
          <w:p w14:paraId="6DFFFCDE"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3" w:type="dxa"/>
            <w:tcBorders>
              <w:top w:val="nil"/>
              <w:left w:val="nil"/>
              <w:bottom w:val="single" w:sz="4" w:space="0" w:color="auto"/>
              <w:right w:val="single" w:sz="4" w:space="0" w:color="auto"/>
            </w:tcBorders>
            <w:shd w:val="clear" w:color="auto" w:fill="auto"/>
            <w:noWrap/>
            <w:vAlign w:val="center"/>
            <w:hideMark/>
          </w:tcPr>
          <w:p w14:paraId="1094CED5"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2.06</w:t>
            </w:r>
          </w:p>
        </w:tc>
        <w:tc>
          <w:tcPr>
            <w:tcW w:w="353" w:type="dxa"/>
            <w:tcBorders>
              <w:top w:val="nil"/>
              <w:left w:val="nil"/>
              <w:bottom w:val="single" w:sz="4" w:space="0" w:color="auto"/>
              <w:right w:val="single" w:sz="4" w:space="0" w:color="auto"/>
            </w:tcBorders>
            <w:shd w:val="clear" w:color="auto" w:fill="auto"/>
            <w:noWrap/>
            <w:vAlign w:val="center"/>
            <w:hideMark/>
          </w:tcPr>
          <w:p w14:paraId="37CF705C"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C164EF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EE12A61"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1.44</w:t>
            </w:r>
          </w:p>
        </w:tc>
        <w:tc>
          <w:tcPr>
            <w:tcW w:w="354" w:type="dxa"/>
            <w:tcBorders>
              <w:top w:val="nil"/>
              <w:left w:val="nil"/>
              <w:bottom w:val="single" w:sz="4" w:space="0" w:color="auto"/>
              <w:right w:val="single" w:sz="4" w:space="0" w:color="auto"/>
            </w:tcBorders>
            <w:shd w:val="clear" w:color="auto" w:fill="auto"/>
            <w:noWrap/>
            <w:vAlign w:val="center"/>
            <w:hideMark/>
          </w:tcPr>
          <w:p w14:paraId="4F23CFB6"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0.69</w:t>
            </w:r>
          </w:p>
        </w:tc>
        <w:tc>
          <w:tcPr>
            <w:tcW w:w="354" w:type="dxa"/>
            <w:tcBorders>
              <w:top w:val="nil"/>
              <w:left w:val="nil"/>
              <w:bottom w:val="single" w:sz="4" w:space="0" w:color="auto"/>
              <w:right w:val="single" w:sz="4" w:space="0" w:color="auto"/>
            </w:tcBorders>
            <w:shd w:val="clear" w:color="auto" w:fill="auto"/>
            <w:noWrap/>
            <w:vAlign w:val="center"/>
            <w:hideMark/>
          </w:tcPr>
          <w:p w14:paraId="2BE4585A"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21E495D"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EF1585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BD7D10F"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0.38</w:t>
            </w:r>
          </w:p>
        </w:tc>
        <w:tc>
          <w:tcPr>
            <w:tcW w:w="354" w:type="dxa"/>
            <w:tcBorders>
              <w:top w:val="nil"/>
              <w:left w:val="nil"/>
              <w:bottom w:val="single" w:sz="4" w:space="0" w:color="auto"/>
              <w:right w:val="single" w:sz="4" w:space="0" w:color="auto"/>
            </w:tcBorders>
            <w:shd w:val="clear" w:color="auto" w:fill="auto"/>
            <w:noWrap/>
            <w:vAlign w:val="center"/>
            <w:hideMark/>
          </w:tcPr>
          <w:p w14:paraId="017C0E2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0F37E8FB"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6EF18D7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43CE1BD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550EC91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3465EB6"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2DAC4BA7"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1.50</w:t>
            </w:r>
          </w:p>
        </w:tc>
        <w:tc>
          <w:tcPr>
            <w:tcW w:w="354" w:type="dxa"/>
            <w:tcBorders>
              <w:top w:val="nil"/>
              <w:left w:val="nil"/>
              <w:bottom w:val="single" w:sz="4" w:space="0" w:color="auto"/>
              <w:right w:val="single" w:sz="4" w:space="0" w:color="auto"/>
            </w:tcBorders>
            <w:shd w:val="clear" w:color="auto" w:fill="auto"/>
            <w:noWrap/>
            <w:vAlign w:val="center"/>
            <w:hideMark/>
          </w:tcPr>
          <w:p w14:paraId="45DF0FD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196FCAEE"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70C8D0CB"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0.50</w:t>
            </w:r>
          </w:p>
        </w:tc>
        <w:tc>
          <w:tcPr>
            <w:tcW w:w="354" w:type="dxa"/>
            <w:tcBorders>
              <w:top w:val="nil"/>
              <w:left w:val="nil"/>
              <w:bottom w:val="single" w:sz="4" w:space="0" w:color="auto"/>
              <w:right w:val="single" w:sz="4" w:space="0" w:color="auto"/>
            </w:tcBorders>
            <w:shd w:val="clear" w:color="auto" w:fill="auto"/>
            <w:noWrap/>
            <w:vAlign w:val="center"/>
            <w:hideMark/>
          </w:tcPr>
          <w:p w14:paraId="62FEEEC2"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9.50</w:t>
            </w:r>
          </w:p>
        </w:tc>
        <w:tc>
          <w:tcPr>
            <w:tcW w:w="354" w:type="dxa"/>
            <w:tcBorders>
              <w:top w:val="nil"/>
              <w:left w:val="nil"/>
              <w:bottom w:val="single" w:sz="4" w:space="0" w:color="auto"/>
              <w:right w:val="single" w:sz="4" w:space="0" w:color="auto"/>
            </w:tcBorders>
            <w:shd w:val="clear" w:color="auto" w:fill="auto"/>
            <w:noWrap/>
            <w:vAlign w:val="center"/>
            <w:hideMark/>
          </w:tcPr>
          <w:p w14:paraId="691A81C9"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8F1D8C8" w14:textId="77777777" w:rsidR="005B15EC" w:rsidRPr="005B15EC" w:rsidRDefault="005B15EC" w:rsidP="005B15EC">
            <w:pPr>
              <w:spacing w:after="0"/>
              <w:jc w:val="center"/>
              <w:rPr>
                <w:rFonts w:ascii="Arial Narrow" w:hAnsi="Arial Narrow"/>
                <w:sz w:val="14"/>
                <w:szCs w:val="14"/>
                <w:lang w:val="en-AU" w:eastAsia="en-AU"/>
              </w:rPr>
            </w:pPr>
          </w:p>
        </w:tc>
        <w:tc>
          <w:tcPr>
            <w:tcW w:w="354" w:type="dxa"/>
            <w:tcBorders>
              <w:top w:val="nil"/>
              <w:left w:val="nil"/>
              <w:bottom w:val="single" w:sz="4" w:space="0" w:color="auto"/>
              <w:right w:val="single" w:sz="4" w:space="0" w:color="auto"/>
            </w:tcBorders>
            <w:shd w:val="clear" w:color="auto" w:fill="auto"/>
            <w:noWrap/>
            <w:vAlign w:val="center"/>
            <w:hideMark/>
          </w:tcPr>
          <w:p w14:paraId="3116458D"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2.25</w:t>
            </w:r>
          </w:p>
        </w:tc>
        <w:tc>
          <w:tcPr>
            <w:tcW w:w="354" w:type="dxa"/>
            <w:tcBorders>
              <w:top w:val="nil"/>
              <w:left w:val="nil"/>
              <w:bottom w:val="single" w:sz="4" w:space="0" w:color="auto"/>
              <w:right w:val="single" w:sz="4" w:space="0" w:color="auto"/>
            </w:tcBorders>
            <w:shd w:val="clear" w:color="auto" w:fill="auto"/>
            <w:noWrap/>
            <w:vAlign w:val="center"/>
            <w:hideMark/>
          </w:tcPr>
          <w:p w14:paraId="3E770458" w14:textId="77777777" w:rsidR="005B15EC" w:rsidRPr="005B15EC" w:rsidRDefault="005B15EC" w:rsidP="005B15EC">
            <w:pPr>
              <w:spacing w:after="0"/>
              <w:jc w:val="center"/>
              <w:rPr>
                <w:rFonts w:ascii="Arial Narrow" w:hAnsi="Arial Narrow"/>
                <w:sz w:val="14"/>
                <w:szCs w:val="14"/>
                <w:lang w:val="en-AU" w:eastAsia="en-AU"/>
              </w:rPr>
            </w:pPr>
            <w:r w:rsidRPr="005B15EC">
              <w:rPr>
                <w:rFonts w:ascii="Arial Narrow" w:hAnsi="Arial Narrow"/>
                <w:sz w:val="14"/>
                <w:szCs w:val="14"/>
              </w:rPr>
              <w:t>0.63</w:t>
            </w:r>
          </w:p>
        </w:tc>
      </w:tr>
    </w:tbl>
    <w:p w14:paraId="36D03AB3" w14:textId="77777777" w:rsidR="00B33EEE" w:rsidRPr="00F352E1" w:rsidRDefault="00B33EEE" w:rsidP="00B33EEE">
      <w:pPr>
        <w:rPr>
          <w:rFonts w:eastAsia="SimSun"/>
          <w:color w:val="4F81BD" w:themeColor="accent1"/>
        </w:rPr>
      </w:pPr>
    </w:p>
    <w:p w14:paraId="6D68B32D" w14:textId="77777777" w:rsidR="00B33EEE" w:rsidRPr="00F352E1" w:rsidRDefault="00B33EEE" w:rsidP="00B33EEE">
      <w:pPr>
        <w:rPr>
          <w:rFonts w:eastAsia="SimSun"/>
          <w:color w:val="4F81BD" w:themeColor="accent1"/>
        </w:rPr>
      </w:pPr>
    </w:p>
    <w:p w14:paraId="64AEB07E" w14:textId="77777777" w:rsidR="006428D8" w:rsidRPr="00F352E1" w:rsidRDefault="006428D8" w:rsidP="00B33EEE">
      <w:pPr>
        <w:rPr>
          <w:rFonts w:eastAsia="SimSun"/>
          <w:color w:val="4F81BD" w:themeColor="accent1"/>
        </w:rPr>
      </w:pPr>
    </w:p>
    <w:p w14:paraId="1CB5C863" w14:textId="77777777" w:rsidR="006428D8" w:rsidRPr="00F352E1" w:rsidRDefault="006428D8" w:rsidP="00B33EEE">
      <w:pPr>
        <w:rPr>
          <w:rFonts w:eastAsia="SimSun"/>
          <w:color w:val="4F81BD" w:themeColor="accent1"/>
        </w:rPr>
      </w:pPr>
    </w:p>
    <w:p w14:paraId="04D5460D" w14:textId="77777777" w:rsidR="006428D8" w:rsidRPr="00F352E1" w:rsidRDefault="006428D8" w:rsidP="00B33EEE">
      <w:pPr>
        <w:rPr>
          <w:rFonts w:eastAsia="SimSun"/>
          <w:color w:val="4F81BD" w:themeColor="accent1"/>
        </w:rPr>
      </w:pPr>
    </w:p>
    <w:p w14:paraId="04ED0A29" w14:textId="77777777" w:rsidR="006428D8" w:rsidRPr="00F352E1" w:rsidRDefault="006428D8" w:rsidP="00B33EEE">
      <w:pPr>
        <w:rPr>
          <w:rFonts w:eastAsia="SimSun"/>
          <w:color w:val="4F81BD" w:themeColor="accent1"/>
        </w:rPr>
      </w:pPr>
    </w:p>
    <w:p w14:paraId="14AB8B88" w14:textId="118A8CFB" w:rsidR="00493A7D" w:rsidRDefault="00493A7D">
      <w:pPr>
        <w:jc w:val="left"/>
        <w:rPr>
          <w:rFonts w:eastAsia="SimSun"/>
          <w:color w:val="4F81BD" w:themeColor="accent1"/>
        </w:rPr>
      </w:pPr>
      <w:r>
        <w:rPr>
          <w:rFonts w:eastAsia="SimSun"/>
          <w:color w:val="4F81BD" w:themeColor="accent1"/>
        </w:rPr>
        <w:br w:type="page"/>
      </w:r>
    </w:p>
    <w:p w14:paraId="1414A292" w14:textId="77777777" w:rsidR="00482EEE" w:rsidRPr="001B7CB3" w:rsidRDefault="00B14D94" w:rsidP="00606A50">
      <w:pPr>
        <w:pStyle w:val="Caption"/>
        <w:rPr>
          <w:vanish/>
        </w:rPr>
      </w:pPr>
      <w:bookmarkStart w:id="426" w:name="_Toc498591423"/>
      <w:r>
        <w:t xml:space="preserve">Table A1. </w:t>
      </w:r>
      <w:r>
        <w:fldChar w:fldCharType="begin"/>
      </w:r>
      <w:r>
        <w:instrText xml:space="preserve"> SEQ Table_A1. \* ARABIC </w:instrText>
      </w:r>
      <w:r>
        <w:fldChar w:fldCharType="separate"/>
      </w:r>
      <w:r w:rsidR="00A75175">
        <w:rPr>
          <w:noProof/>
        </w:rPr>
        <w:t>8</w:t>
      </w:r>
      <w:r>
        <w:fldChar w:fldCharType="end"/>
      </w:r>
      <w:r>
        <w:t xml:space="preserve"> </w:t>
      </w:r>
      <w:r w:rsidR="00482EEE" w:rsidRPr="00F352E1">
        <w:t>Percent c</w:t>
      </w:r>
      <w:r w:rsidR="00482EEE">
        <w:t>over of soft coral families 2017</w:t>
      </w:r>
      <w:r w:rsidR="00482EEE" w:rsidRPr="001B7CB3">
        <w:t>.</w:t>
      </w:r>
      <w:bookmarkEnd w:id="426"/>
      <w:r w:rsidR="00482EEE" w:rsidRPr="001B7CB3">
        <w:t xml:space="preserve"> </w:t>
      </w:r>
    </w:p>
    <w:p w14:paraId="76AD7D6C" w14:textId="77777777" w:rsidR="001E7922" w:rsidRPr="001B7CB3" w:rsidRDefault="00482EEE" w:rsidP="00606A50">
      <w:pPr>
        <w:pStyle w:val="Caption"/>
      </w:pPr>
      <w:r w:rsidRPr="001B7CB3">
        <w:rPr>
          <w:rStyle w:val="IntenseReference"/>
          <w:rFonts w:eastAsia="SimSun"/>
          <w:color w:val="auto"/>
        </w:rPr>
        <w:t>Families for which cover did not exceeded 0.25% on at least one reef or corals not identified to family level are grouped to ‘Other’.</w:t>
      </w:r>
    </w:p>
    <w:tbl>
      <w:tblPr>
        <w:tblW w:w="12847" w:type="dxa"/>
        <w:tblInd w:w="93" w:type="dxa"/>
        <w:tblLook w:val="04A0" w:firstRow="1" w:lastRow="0" w:firstColumn="1" w:lastColumn="0" w:noHBand="0" w:noVBand="1"/>
        <w:tblCaption w:val="Table A1. 8 Percent cover of soft coral families 2017"/>
        <w:tblDescription w:val="A table listing the cover of soft coral familes at each reef and depth"/>
      </w:tblPr>
      <w:tblGrid>
        <w:gridCol w:w="1046"/>
        <w:gridCol w:w="1656"/>
        <w:gridCol w:w="740"/>
        <w:gridCol w:w="1045"/>
        <w:gridCol w:w="1045"/>
        <w:gridCol w:w="1045"/>
        <w:gridCol w:w="1045"/>
        <w:gridCol w:w="1045"/>
        <w:gridCol w:w="1045"/>
        <w:gridCol w:w="1045"/>
        <w:gridCol w:w="1045"/>
        <w:gridCol w:w="1045"/>
      </w:tblGrid>
      <w:tr w:rsidR="001B7CB3" w:rsidRPr="001B7CB3" w14:paraId="07124E09" w14:textId="77777777" w:rsidTr="00493A7D">
        <w:trPr>
          <w:trHeight w:val="1035"/>
          <w:tblHeader/>
        </w:trPr>
        <w:tc>
          <w:tcPr>
            <w:tcW w:w="1046"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78B195E3" w14:textId="77777777" w:rsidR="001B7CB3" w:rsidRPr="001B7CB3" w:rsidRDefault="001B7CB3" w:rsidP="006428D8">
            <w:pPr>
              <w:spacing w:after="0"/>
              <w:jc w:val="center"/>
              <w:rPr>
                <w:rFonts w:ascii="Arial Narrow" w:hAnsi="Arial Narrow"/>
                <w:sz w:val="20"/>
                <w:lang w:val="en-AU" w:eastAsia="en-AU"/>
              </w:rPr>
            </w:pPr>
            <w:r w:rsidRPr="001B7CB3">
              <w:rPr>
                <w:rFonts w:ascii="Arial Narrow" w:hAnsi="Arial Narrow"/>
                <w:sz w:val="20"/>
                <w:lang w:val="en-AU" w:eastAsia="en-AU"/>
              </w:rPr>
              <w:t>subregion</w:t>
            </w:r>
          </w:p>
        </w:tc>
        <w:tc>
          <w:tcPr>
            <w:tcW w:w="1656"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vAlign w:val="center"/>
            <w:hideMark/>
          </w:tcPr>
          <w:p w14:paraId="4FD016D5" w14:textId="77777777" w:rsidR="001B7CB3" w:rsidRPr="001B7CB3" w:rsidRDefault="001B7CB3" w:rsidP="006428D8">
            <w:pPr>
              <w:spacing w:after="0"/>
              <w:jc w:val="center"/>
              <w:rPr>
                <w:rFonts w:ascii="Arial Narrow" w:hAnsi="Arial Narrow"/>
                <w:sz w:val="20"/>
                <w:lang w:val="en-AU" w:eastAsia="en-AU"/>
              </w:rPr>
            </w:pPr>
            <w:r w:rsidRPr="001B7CB3">
              <w:rPr>
                <w:rFonts w:ascii="Arial Narrow" w:hAnsi="Arial Narrow"/>
                <w:sz w:val="20"/>
                <w:lang w:val="en-AU" w:eastAsia="en-AU"/>
              </w:rPr>
              <w:t>Reef</w:t>
            </w:r>
          </w:p>
        </w:tc>
        <w:tc>
          <w:tcPr>
            <w:tcW w:w="740"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7D08BC79" w14:textId="77777777" w:rsidR="001B7CB3" w:rsidRPr="001B7CB3" w:rsidRDefault="001B7CB3" w:rsidP="006428D8">
            <w:pPr>
              <w:spacing w:after="0"/>
              <w:jc w:val="center"/>
              <w:rPr>
                <w:rFonts w:ascii="Arial Narrow" w:hAnsi="Arial Narrow"/>
                <w:sz w:val="20"/>
                <w:lang w:val="en-AU" w:eastAsia="en-AU"/>
              </w:rPr>
            </w:pPr>
            <w:r w:rsidRPr="001B7CB3">
              <w:rPr>
                <w:rFonts w:ascii="Arial Narrow" w:hAnsi="Arial Narrow"/>
                <w:sz w:val="20"/>
                <w:lang w:val="en-AU" w:eastAsia="en-AU"/>
              </w:rPr>
              <w:t>Depth</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533358A7" w14:textId="77777777" w:rsidR="001B7CB3" w:rsidRPr="001B7CB3" w:rsidRDefault="001B7CB3" w:rsidP="006428D8">
            <w:pPr>
              <w:spacing w:after="0"/>
              <w:jc w:val="center"/>
              <w:rPr>
                <w:rFonts w:ascii="Arial Narrow" w:hAnsi="Arial Narrow"/>
                <w:sz w:val="20"/>
                <w:lang w:val="en-AU" w:eastAsia="en-AU"/>
              </w:rPr>
            </w:pPr>
            <w:r w:rsidRPr="001B7CB3">
              <w:rPr>
                <w:rFonts w:ascii="Arial Narrow" w:hAnsi="Arial Narrow"/>
                <w:sz w:val="20"/>
                <w:lang w:val="en-AU" w:eastAsia="en-AU"/>
              </w:rPr>
              <w:t>Alcyoniidae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73DCF1AE" w14:textId="77777777" w:rsidR="001B7CB3" w:rsidRPr="001B7CB3" w:rsidRDefault="001B7CB3" w:rsidP="006428D8">
            <w:pPr>
              <w:spacing w:after="0"/>
              <w:jc w:val="center"/>
              <w:rPr>
                <w:rFonts w:ascii="Arial Narrow" w:hAnsi="Arial Narrow"/>
                <w:sz w:val="20"/>
                <w:lang w:val="en-AU" w:eastAsia="en-AU"/>
              </w:rPr>
            </w:pPr>
            <w:r w:rsidRPr="001B7CB3">
              <w:rPr>
                <w:rFonts w:ascii="Arial Narrow" w:hAnsi="Arial Narrow"/>
                <w:sz w:val="20"/>
                <w:lang w:val="en-AU" w:eastAsia="en-AU"/>
              </w:rPr>
              <w:t>Anthothelidae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7E309971" w14:textId="77777777" w:rsidR="001B7CB3" w:rsidRPr="001B7CB3" w:rsidRDefault="001B7CB3" w:rsidP="006428D8">
            <w:pPr>
              <w:spacing w:after="0"/>
              <w:jc w:val="center"/>
              <w:rPr>
                <w:rFonts w:ascii="Arial Narrow" w:hAnsi="Arial Narrow"/>
                <w:sz w:val="20"/>
                <w:lang w:val="en-AU" w:eastAsia="en-AU"/>
              </w:rPr>
            </w:pPr>
            <w:r w:rsidRPr="001B7CB3">
              <w:rPr>
                <w:rFonts w:ascii="Arial Narrow" w:hAnsi="Arial Narrow"/>
                <w:sz w:val="20"/>
                <w:lang w:val="en-AU" w:eastAsia="en-AU"/>
              </w:rPr>
              <w:t>Briareidae</w:t>
            </w:r>
          </w:p>
          <w:p w14:paraId="297B805C" w14:textId="77777777" w:rsidR="001B7CB3" w:rsidRPr="001B7CB3" w:rsidRDefault="001B7CB3" w:rsidP="006428D8">
            <w:pPr>
              <w:spacing w:after="0"/>
              <w:jc w:val="center"/>
              <w:rPr>
                <w:rFonts w:ascii="Arial Narrow" w:hAnsi="Arial Narrow"/>
                <w:sz w:val="20"/>
                <w:lang w:val="en-AU" w:eastAsia="en-AU"/>
              </w:rPr>
            </w:pP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01F80A17" w14:textId="77777777" w:rsidR="001B7CB3" w:rsidRPr="001B7CB3" w:rsidRDefault="001B7CB3" w:rsidP="006428D8">
            <w:pPr>
              <w:spacing w:after="0"/>
              <w:jc w:val="center"/>
              <w:rPr>
                <w:rFonts w:ascii="Arial Narrow" w:hAnsi="Arial Narrow"/>
                <w:sz w:val="20"/>
                <w:lang w:val="en-AU" w:eastAsia="en-AU"/>
              </w:rPr>
            </w:pPr>
            <w:r w:rsidRPr="001B7CB3">
              <w:rPr>
                <w:rFonts w:ascii="Arial Narrow" w:hAnsi="Arial Narrow"/>
                <w:sz w:val="20"/>
                <w:lang w:val="en-AU" w:eastAsia="en-AU"/>
              </w:rPr>
              <w:t>Clavulariinae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23A7BE78" w14:textId="77777777" w:rsidR="001B7CB3" w:rsidRPr="001B7CB3" w:rsidRDefault="001B7CB3" w:rsidP="006428D8">
            <w:pPr>
              <w:spacing w:after="0"/>
              <w:jc w:val="center"/>
              <w:rPr>
                <w:rFonts w:ascii="Arial Narrow" w:hAnsi="Arial Narrow"/>
                <w:sz w:val="20"/>
                <w:lang w:val="en-AU" w:eastAsia="en-AU"/>
              </w:rPr>
            </w:pPr>
            <w:r w:rsidRPr="001B7CB3">
              <w:rPr>
                <w:rFonts w:ascii="Arial Narrow" w:hAnsi="Arial Narrow"/>
                <w:sz w:val="20"/>
                <w:lang w:val="en-AU" w:eastAsia="en-AU"/>
              </w:rPr>
              <w:t>Heliporidae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7542B837" w14:textId="77777777" w:rsidR="001B7CB3" w:rsidRPr="001B7CB3" w:rsidRDefault="001B7CB3" w:rsidP="006428D8">
            <w:pPr>
              <w:spacing w:after="0"/>
              <w:jc w:val="center"/>
              <w:rPr>
                <w:rFonts w:ascii="Arial Narrow" w:hAnsi="Arial Narrow"/>
                <w:sz w:val="20"/>
                <w:lang w:val="en-AU" w:eastAsia="en-AU"/>
              </w:rPr>
            </w:pPr>
            <w:r w:rsidRPr="001B7CB3">
              <w:rPr>
                <w:rFonts w:ascii="Arial Narrow" w:hAnsi="Arial Narrow"/>
                <w:sz w:val="20"/>
                <w:lang w:val="en-AU" w:eastAsia="en-AU"/>
              </w:rPr>
              <w:t>Neptheidae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1BA216C9" w14:textId="77777777" w:rsidR="001B7CB3" w:rsidRPr="001B7CB3" w:rsidRDefault="001B7CB3" w:rsidP="006428D8">
            <w:pPr>
              <w:spacing w:after="0"/>
              <w:jc w:val="center"/>
              <w:rPr>
                <w:rFonts w:ascii="Arial Narrow" w:hAnsi="Arial Narrow"/>
                <w:sz w:val="20"/>
                <w:lang w:val="en-AU" w:eastAsia="en-AU"/>
              </w:rPr>
            </w:pPr>
            <w:r w:rsidRPr="001B7CB3">
              <w:rPr>
                <w:rFonts w:ascii="Arial Narrow" w:hAnsi="Arial Narrow"/>
                <w:sz w:val="20"/>
                <w:lang w:val="en-AU" w:eastAsia="en-AU"/>
              </w:rPr>
              <w:t>Xeniidae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3450D9CA" w14:textId="77777777" w:rsidR="001B7CB3" w:rsidRPr="00493A7D" w:rsidRDefault="001B7CB3" w:rsidP="006428D8">
            <w:pPr>
              <w:spacing w:after="0"/>
              <w:jc w:val="center"/>
              <w:rPr>
                <w:rFonts w:ascii="Arial Narrow" w:hAnsi="Arial Narrow"/>
                <w:sz w:val="20"/>
                <w:lang w:val="en-AU" w:eastAsia="en-AU"/>
              </w:rPr>
            </w:pPr>
            <w:r w:rsidRPr="00493A7D">
              <w:rPr>
                <w:rFonts w:ascii="Arial Narrow" w:hAnsi="Arial Narrow"/>
                <w:sz w:val="20"/>
                <w:lang w:val="en-AU" w:eastAsia="en-AU"/>
              </w:rPr>
              <w:t>Gorgoniidae like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1CBFD9C6" w14:textId="77777777" w:rsidR="001B7CB3" w:rsidRPr="001B7CB3" w:rsidRDefault="001B7CB3" w:rsidP="006428D8">
            <w:pPr>
              <w:spacing w:after="0"/>
              <w:jc w:val="center"/>
              <w:rPr>
                <w:rFonts w:ascii="Arial Narrow" w:hAnsi="Arial Narrow"/>
                <w:sz w:val="20"/>
                <w:lang w:val="en-AU" w:eastAsia="en-AU"/>
              </w:rPr>
            </w:pPr>
            <w:r w:rsidRPr="001B7CB3">
              <w:rPr>
                <w:rFonts w:ascii="Arial Narrow" w:hAnsi="Arial Narrow"/>
                <w:sz w:val="20"/>
                <w:lang w:val="en-AU" w:eastAsia="en-AU"/>
              </w:rPr>
              <w:t>Other</w:t>
            </w:r>
          </w:p>
        </w:tc>
      </w:tr>
      <w:tr w:rsidR="001B7CB3" w:rsidRPr="001B7CB3" w14:paraId="77F09731" w14:textId="77777777" w:rsidTr="006B2ADA">
        <w:trPr>
          <w:trHeight w:hRule="exact" w:val="284"/>
        </w:trPr>
        <w:tc>
          <w:tcPr>
            <w:tcW w:w="1046"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textDirection w:val="btLr"/>
            <w:vAlign w:val="center"/>
            <w:hideMark/>
          </w:tcPr>
          <w:p w14:paraId="64485F39"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Daintree</w:t>
            </w:r>
          </w:p>
        </w:tc>
        <w:tc>
          <w:tcPr>
            <w:tcW w:w="1656"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4779F123"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Snapper North</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C24A6FB"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1526A7CE"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0.01</w:t>
            </w: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center"/>
            <w:hideMark/>
          </w:tcPr>
          <w:p w14:paraId="07003B4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center"/>
            <w:hideMark/>
          </w:tcPr>
          <w:p w14:paraId="2EEF5B3A"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2.29</w:t>
            </w: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center"/>
            <w:hideMark/>
          </w:tcPr>
          <w:p w14:paraId="2F8B95A4"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0.92</w:t>
            </w: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center"/>
            <w:hideMark/>
          </w:tcPr>
          <w:p w14:paraId="18F878B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center"/>
            <w:hideMark/>
          </w:tcPr>
          <w:p w14:paraId="0F3AD60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center"/>
            <w:hideMark/>
          </w:tcPr>
          <w:p w14:paraId="5F326997"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center"/>
            <w:hideMark/>
          </w:tcPr>
          <w:p w14:paraId="2C09C0E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center"/>
            <w:hideMark/>
          </w:tcPr>
          <w:p w14:paraId="0D39A80C"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63D45981" w14:textId="77777777" w:rsidTr="006B2ADA">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63E533E6"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6B04FD8E"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9802C38"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052D2F1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17481E3"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DA7B6F5"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0.56</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0622B883"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D0D357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EC8A85C"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2EFD01F"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0.26</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5103B7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0AC5DDA2"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4A8557DC" w14:textId="77777777" w:rsidTr="006B2ADA">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647A98E8"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4E48DD76"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Snapper South</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C64E842"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262F1780"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0.40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7A55613"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CE4092C"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1.13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340909B"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0.02</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0EF89049"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2.17</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0C3EB4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726DE5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92B67E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13E9FCD"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65493C56" w14:textId="77777777" w:rsidTr="006B2ADA">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78886B56"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248AA8F9"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6810D21"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4FE19F6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DADFCE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6CCF241"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7.73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F767F8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006542D"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4.42</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DD813C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57C3D9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A53CAF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B9DF192"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0.19</w:t>
            </w:r>
          </w:p>
        </w:tc>
      </w:tr>
      <w:tr w:rsidR="001B7CB3" w:rsidRPr="001B7CB3" w14:paraId="347D0D5C" w14:textId="77777777" w:rsidTr="006B2ADA">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459CA854" w14:textId="77777777" w:rsidR="001B7CB3" w:rsidRPr="001B7CB3" w:rsidRDefault="001B7CB3" w:rsidP="001B7CB3">
            <w:pPr>
              <w:spacing w:after="0"/>
              <w:jc w:val="left"/>
              <w:rPr>
                <w:rFonts w:ascii="Arial Narrow" w:hAnsi="Arial Narrow"/>
                <w:sz w:val="20"/>
                <w:lang w:val="en-AU" w:eastAsia="en-AU"/>
              </w:rPr>
            </w:pPr>
          </w:p>
        </w:tc>
        <w:tc>
          <w:tcPr>
            <w:tcW w:w="1656"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5F26660"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Low Isles</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F4E2BC4"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4F1F590"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0.97</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1667CB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3CB456F"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8.70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8337BB5"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0A1D9411"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BC6045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6A0CE2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42126F03"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0.17</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83997B0"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0.20</w:t>
            </w:r>
          </w:p>
        </w:tc>
      </w:tr>
      <w:tr w:rsidR="001B7CB3" w:rsidRPr="001B7CB3" w14:paraId="6BCC8A32" w14:textId="77777777" w:rsidTr="006B2ADA">
        <w:trPr>
          <w:trHeight w:hRule="exact" w:val="284"/>
        </w:trPr>
        <w:tc>
          <w:tcPr>
            <w:tcW w:w="1046"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textDirection w:val="btLr"/>
            <w:vAlign w:val="center"/>
            <w:hideMark/>
          </w:tcPr>
          <w:p w14:paraId="3C7654C5"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Johnstone</w:t>
            </w:r>
          </w:p>
        </w:tc>
        <w:tc>
          <w:tcPr>
            <w:tcW w:w="1656"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29ED4F2"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Green</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425C176A"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61FB0CA1"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0.52</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720757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348706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D0C6B7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0849F5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AE162B5"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0.02</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394AA00"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494A793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49195487"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0.13</w:t>
            </w:r>
          </w:p>
        </w:tc>
      </w:tr>
      <w:tr w:rsidR="001B7CB3" w:rsidRPr="001B7CB3" w14:paraId="6E787A9D" w14:textId="77777777" w:rsidTr="006B2ADA">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20DE8120" w14:textId="77777777" w:rsidR="001B7CB3" w:rsidRPr="001B7CB3" w:rsidRDefault="001B7CB3" w:rsidP="001B7CB3">
            <w:pPr>
              <w:spacing w:after="0"/>
              <w:jc w:val="left"/>
              <w:rPr>
                <w:rFonts w:ascii="Arial Narrow" w:hAnsi="Arial Narrow"/>
                <w:sz w:val="20"/>
                <w:lang w:val="en-AU" w:eastAsia="en-AU"/>
              </w:rPr>
            </w:pPr>
          </w:p>
        </w:tc>
        <w:tc>
          <w:tcPr>
            <w:tcW w:w="1656"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30C5DE7"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Fitzroy West LTMP</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C7B2003"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7A87FCA9"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3.20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4DF4DCF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45CE26C8"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0.33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0B296D5"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0.05</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E512A7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AD7F7B1"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4A462BEC"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010FE8DC"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A64F784"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0.08</w:t>
            </w:r>
          </w:p>
        </w:tc>
      </w:tr>
      <w:tr w:rsidR="001B7CB3" w:rsidRPr="001B7CB3" w14:paraId="69AAE115" w14:textId="77777777" w:rsidTr="006B2ADA">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F04C16A"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147CB409"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Fitzroy East</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0F137D69"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79BEEB33"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0.35</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C51FD5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07199BF"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1.06</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012420BD"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0.09</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20898CC"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EDAB568"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0.06</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76E404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4BA4DA67"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0E5B8FDE"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30E1503D" w14:textId="77777777" w:rsidTr="006B2ADA">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5B89CDA0"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50A25BA6"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FA2D80D"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25476861"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0.48</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F7C1C3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754498C"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5.69</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7963D3A"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0.28</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9B7AAD7"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621F2F8"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F72C71F"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14DBE7C"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E918D29"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2368B224" w14:textId="77777777" w:rsidTr="006B2ADA">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4ECFEED4"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1A0A1D79"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Fitzroy West</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19785C"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192B2D41"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2.70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873C333"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C1431EC"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1.06</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DCC25F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0BDA537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1C1066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51F4EC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4D1EB67C"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E4B8CE3"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7D823128" w14:textId="77777777" w:rsidTr="006B2ADA">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0286C21C"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06D1540A"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791A907"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1A0E2E27"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2.57</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D0D56B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3C55435"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0.31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43C58A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4A219D03"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06916BA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3DBF7A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8B7AF0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9C2B40D"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29BDCC37" w14:textId="77777777" w:rsidTr="006B2ADA">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06A4D4F4"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7C8A4D35"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Franklands East</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0C0EFC6"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64BB7324"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0.08</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063D21B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2434A0F"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0.19</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A7D26D3"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0.06</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4E472C6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B7FCE7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1FF9DB"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2C1058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1FCC928"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0.03</w:t>
            </w:r>
          </w:p>
        </w:tc>
      </w:tr>
      <w:tr w:rsidR="001B7CB3" w:rsidRPr="001B7CB3" w14:paraId="08A1AD2F" w14:textId="77777777" w:rsidTr="006B2ADA">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715014CC"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283AC681"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1DE0805"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6DE69AC1"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0.21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42CBD087"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00BB2F9"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0.81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BDDAB75"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0.06</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02079FC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988EA3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48DE27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235359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E5687B9"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33567FAE" w14:textId="77777777" w:rsidTr="006B2ADA">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3D7DA9FC"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18EEEE15"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Franklands West</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13064B0"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8936B3C"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0.54</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A85B89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707198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66B0B04"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3.25</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3924A0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E2FDE5E"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0.02</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4D72897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E10D22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65C05C8"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31E42B9F" w14:textId="77777777" w:rsidTr="006B2ADA">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86D0EA1"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2AD6F6DA"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3C8E429"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1CE5C001"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0.12</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503A84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85C65D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BBAE695"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0.09</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0C2CABF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8CCC67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2E5B5F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1839C0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41068334"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0A9D6C7F" w14:textId="77777777" w:rsidTr="006B2ADA">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96A426A"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1C829335"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High East</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85622A8"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7B7C6F07"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0.41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FBC643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95E6C60"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5.56</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6706E3A"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4241684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24986D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9C7B2C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D22B57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7978385"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2AB1DFC6" w14:textId="77777777" w:rsidTr="006B2ADA">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5457FC42"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4E754BB0"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04E5855E"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743A263C"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0.02</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5D9C9C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F1DB1A0"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9.06</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1343019"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7A261B4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2F157B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FBF217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027369C3"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0AD12AB"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0ECB07CD" w14:textId="77777777" w:rsidTr="006B2ADA">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04E27B83"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7FA8F620"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High West</w:t>
            </w: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0FF729E8"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180F5B90"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0.46</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038523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BB6FCF2"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0.06</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2612982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263A12E"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1.94</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32B1E1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182EB4B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2D7D88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D9B6DAB"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5B0CDC6B" w14:textId="77777777" w:rsidTr="006B2ADA">
        <w:trPr>
          <w:trHeight w:hRule="exact" w:val="284"/>
        </w:trPr>
        <w:tc>
          <w:tcPr>
            <w:tcW w:w="104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1DF6EC50"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tcMar>
              <w:left w:w="57" w:type="dxa"/>
              <w:right w:w="57" w:type="dxa"/>
            </w:tcMar>
            <w:vAlign w:val="center"/>
            <w:hideMark/>
          </w:tcPr>
          <w:p w14:paraId="24D46C51"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044C1C32"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76E2698D"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6F839A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BC9EB54"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1.31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C55DFE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57BEB27"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0.75</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DF8F43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02BE7D1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60D08B94"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0.06</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3B879285"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4EAF8C5A" w14:textId="77777777" w:rsidTr="006B2ADA">
        <w:trPr>
          <w:trHeight w:hRule="exact" w:val="284"/>
        </w:trPr>
        <w:tc>
          <w:tcPr>
            <w:tcW w:w="1046"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770E87D"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Tully</w:t>
            </w: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193C14D"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Barnards</w:t>
            </w:r>
          </w:p>
        </w:tc>
        <w:tc>
          <w:tcPr>
            <w:tcW w:w="740" w:type="dxa"/>
            <w:tcBorders>
              <w:top w:val="nil"/>
              <w:left w:val="nil"/>
              <w:bottom w:val="single" w:sz="4" w:space="0" w:color="auto"/>
              <w:right w:val="single" w:sz="4" w:space="0" w:color="auto"/>
            </w:tcBorders>
            <w:shd w:val="clear" w:color="auto" w:fill="auto"/>
            <w:noWrap/>
            <w:vAlign w:val="center"/>
            <w:hideMark/>
          </w:tcPr>
          <w:p w14:paraId="7C6B8228"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436D3AE8"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0.18</w:t>
            </w:r>
          </w:p>
        </w:tc>
        <w:tc>
          <w:tcPr>
            <w:tcW w:w="1045" w:type="dxa"/>
            <w:tcBorders>
              <w:top w:val="nil"/>
              <w:left w:val="nil"/>
              <w:bottom w:val="single" w:sz="4" w:space="0" w:color="auto"/>
              <w:right w:val="single" w:sz="4" w:space="0" w:color="auto"/>
            </w:tcBorders>
            <w:shd w:val="clear" w:color="auto" w:fill="auto"/>
            <w:noWrap/>
            <w:vAlign w:val="center"/>
            <w:hideMark/>
          </w:tcPr>
          <w:p w14:paraId="5079B23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7B6E34F"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0.50</w:t>
            </w:r>
          </w:p>
        </w:tc>
        <w:tc>
          <w:tcPr>
            <w:tcW w:w="1045" w:type="dxa"/>
            <w:tcBorders>
              <w:top w:val="nil"/>
              <w:left w:val="nil"/>
              <w:bottom w:val="single" w:sz="4" w:space="0" w:color="auto"/>
              <w:right w:val="single" w:sz="4" w:space="0" w:color="auto"/>
            </w:tcBorders>
            <w:shd w:val="clear" w:color="auto" w:fill="auto"/>
            <w:noWrap/>
            <w:vAlign w:val="center"/>
            <w:hideMark/>
          </w:tcPr>
          <w:p w14:paraId="6E3B4D2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40BA9E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E811F5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A9C1729"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11314F8C"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BC5648F"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24291609"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3FA840B2"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34C6CB00"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49668CC6"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7E337698"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0.20</w:t>
            </w:r>
          </w:p>
        </w:tc>
        <w:tc>
          <w:tcPr>
            <w:tcW w:w="1045" w:type="dxa"/>
            <w:tcBorders>
              <w:top w:val="nil"/>
              <w:left w:val="nil"/>
              <w:bottom w:val="single" w:sz="4" w:space="0" w:color="auto"/>
              <w:right w:val="single" w:sz="4" w:space="0" w:color="auto"/>
            </w:tcBorders>
            <w:shd w:val="clear" w:color="auto" w:fill="auto"/>
            <w:noWrap/>
            <w:vAlign w:val="center"/>
            <w:hideMark/>
          </w:tcPr>
          <w:p w14:paraId="1759B04A"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66CCBF27"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2.94</w:t>
            </w:r>
          </w:p>
        </w:tc>
        <w:tc>
          <w:tcPr>
            <w:tcW w:w="1045" w:type="dxa"/>
            <w:tcBorders>
              <w:top w:val="nil"/>
              <w:left w:val="nil"/>
              <w:bottom w:val="single" w:sz="4" w:space="0" w:color="auto"/>
              <w:right w:val="single" w:sz="4" w:space="0" w:color="auto"/>
            </w:tcBorders>
            <w:shd w:val="clear" w:color="auto" w:fill="auto"/>
            <w:noWrap/>
            <w:vAlign w:val="center"/>
            <w:hideMark/>
          </w:tcPr>
          <w:p w14:paraId="57CE24D1"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0.03</w:t>
            </w:r>
          </w:p>
        </w:tc>
        <w:tc>
          <w:tcPr>
            <w:tcW w:w="1045" w:type="dxa"/>
            <w:tcBorders>
              <w:top w:val="nil"/>
              <w:left w:val="nil"/>
              <w:bottom w:val="single" w:sz="4" w:space="0" w:color="auto"/>
              <w:right w:val="single" w:sz="4" w:space="0" w:color="auto"/>
            </w:tcBorders>
            <w:shd w:val="clear" w:color="auto" w:fill="auto"/>
            <w:noWrap/>
            <w:vAlign w:val="center"/>
            <w:hideMark/>
          </w:tcPr>
          <w:p w14:paraId="1A67441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6ACCC6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E294F6D"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0.07</w:t>
            </w:r>
          </w:p>
        </w:tc>
        <w:tc>
          <w:tcPr>
            <w:tcW w:w="1045" w:type="dxa"/>
            <w:tcBorders>
              <w:top w:val="nil"/>
              <w:left w:val="nil"/>
              <w:bottom w:val="single" w:sz="4" w:space="0" w:color="auto"/>
              <w:right w:val="single" w:sz="4" w:space="0" w:color="auto"/>
            </w:tcBorders>
            <w:shd w:val="clear" w:color="auto" w:fill="auto"/>
            <w:noWrap/>
            <w:vAlign w:val="center"/>
            <w:hideMark/>
          </w:tcPr>
          <w:p w14:paraId="01D8C63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438051D"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70261F04"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573F226C"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C186A31"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Dunk North</w:t>
            </w:r>
          </w:p>
        </w:tc>
        <w:tc>
          <w:tcPr>
            <w:tcW w:w="740" w:type="dxa"/>
            <w:tcBorders>
              <w:top w:val="nil"/>
              <w:left w:val="nil"/>
              <w:bottom w:val="single" w:sz="4" w:space="0" w:color="auto"/>
              <w:right w:val="single" w:sz="4" w:space="0" w:color="auto"/>
            </w:tcBorders>
            <w:shd w:val="clear" w:color="auto" w:fill="auto"/>
            <w:noWrap/>
            <w:vAlign w:val="center"/>
            <w:hideMark/>
          </w:tcPr>
          <w:p w14:paraId="3FAEB54A"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2C6DA968"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0.38</w:t>
            </w:r>
          </w:p>
        </w:tc>
        <w:tc>
          <w:tcPr>
            <w:tcW w:w="1045" w:type="dxa"/>
            <w:tcBorders>
              <w:top w:val="nil"/>
              <w:left w:val="nil"/>
              <w:bottom w:val="single" w:sz="4" w:space="0" w:color="auto"/>
              <w:right w:val="single" w:sz="4" w:space="0" w:color="auto"/>
            </w:tcBorders>
            <w:shd w:val="clear" w:color="auto" w:fill="auto"/>
            <w:noWrap/>
            <w:vAlign w:val="center"/>
            <w:hideMark/>
          </w:tcPr>
          <w:p w14:paraId="0608C63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9A9C244"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208E75B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44673C7"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DD456A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60D622C"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0.05</w:t>
            </w:r>
          </w:p>
        </w:tc>
        <w:tc>
          <w:tcPr>
            <w:tcW w:w="1045" w:type="dxa"/>
            <w:tcBorders>
              <w:top w:val="nil"/>
              <w:left w:val="nil"/>
              <w:bottom w:val="single" w:sz="4" w:space="0" w:color="auto"/>
              <w:right w:val="single" w:sz="4" w:space="0" w:color="auto"/>
            </w:tcBorders>
            <w:shd w:val="clear" w:color="auto" w:fill="auto"/>
            <w:noWrap/>
            <w:vAlign w:val="center"/>
            <w:hideMark/>
          </w:tcPr>
          <w:p w14:paraId="4A7BDE4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D0ABDF5"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689EAA16"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0180D372"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463C5A9C"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146CF43C"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32E24D68"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0.19</w:t>
            </w:r>
          </w:p>
        </w:tc>
        <w:tc>
          <w:tcPr>
            <w:tcW w:w="1045" w:type="dxa"/>
            <w:tcBorders>
              <w:top w:val="nil"/>
              <w:left w:val="nil"/>
              <w:bottom w:val="single" w:sz="4" w:space="0" w:color="auto"/>
              <w:right w:val="single" w:sz="4" w:space="0" w:color="auto"/>
            </w:tcBorders>
            <w:shd w:val="clear" w:color="auto" w:fill="auto"/>
            <w:noWrap/>
            <w:vAlign w:val="center"/>
            <w:hideMark/>
          </w:tcPr>
          <w:p w14:paraId="2EC05DA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4D6C051"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0.19</w:t>
            </w:r>
          </w:p>
        </w:tc>
        <w:tc>
          <w:tcPr>
            <w:tcW w:w="1045" w:type="dxa"/>
            <w:tcBorders>
              <w:top w:val="nil"/>
              <w:left w:val="nil"/>
              <w:bottom w:val="single" w:sz="4" w:space="0" w:color="auto"/>
              <w:right w:val="single" w:sz="4" w:space="0" w:color="auto"/>
            </w:tcBorders>
            <w:shd w:val="clear" w:color="auto" w:fill="auto"/>
            <w:noWrap/>
            <w:vAlign w:val="center"/>
            <w:hideMark/>
          </w:tcPr>
          <w:p w14:paraId="5D9CB0A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F32C11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926DDA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3116BDE"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0.63</w:t>
            </w:r>
          </w:p>
        </w:tc>
        <w:tc>
          <w:tcPr>
            <w:tcW w:w="1045" w:type="dxa"/>
            <w:tcBorders>
              <w:top w:val="nil"/>
              <w:left w:val="nil"/>
              <w:bottom w:val="single" w:sz="4" w:space="0" w:color="auto"/>
              <w:right w:val="single" w:sz="4" w:space="0" w:color="auto"/>
            </w:tcBorders>
            <w:shd w:val="clear" w:color="auto" w:fill="auto"/>
            <w:noWrap/>
            <w:vAlign w:val="center"/>
            <w:hideMark/>
          </w:tcPr>
          <w:p w14:paraId="6E63D938"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1.06</w:t>
            </w:r>
          </w:p>
        </w:tc>
        <w:tc>
          <w:tcPr>
            <w:tcW w:w="1045" w:type="dxa"/>
            <w:tcBorders>
              <w:top w:val="nil"/>
              <w:left w:val="nil"/>
              <w:bottom w:val="single" w:sz="4" w:space="0" w:color="auto"/>
              <w:right w:val="single" w:sz="4" w:space="0" w:color="auto"/>
            </w:tcBorders>
            <w:shd w:val="clear" w:color="auto" w:fill="auto"/>
            <w:noWrap/>
            <w:vAlign w:val="center"/>
            <w:hideMark/>
          </w:tcPr>
          <w:p w14:paraId="079134AE"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4C1D94EA"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29EFF4A5"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58931EF"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Dunk South</w:t>
            </w:r>
          </w:p>
        </w:tc>
        <w:tc>
          <w:tcPr>
            <w:tcW w:w="740" w:type="dxa"/>
            <w:tcBorders>
              <w:top w:val="nil"/>
              <w:left w:val="nil"/>
              <w:bottom w:val="single" w:sz="4" w:space="0" w:color="auto"/>
              <w:right w:val="single" w:sz="4" w:space="0" w:color="auto"/>
            </w:tcBorders>
            <w:shd w:val="clear" w:color="auto" w:fill="auto"/>
            <w:noWrap/>
            <w:vAlign w:val="center"/>
            <w:hideMark/>
          </w:tcPr>
          <w:p w14:paraId="2B4D8F6B"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983BD6F"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0.04</w:t>
            </w:r>
          </w:p>
        </w:tc>
        <w:tc>
          <w:tcPr>
            <w:tcW w:w="1045" w:type="dxa"/>
            <w:tcBorders>
              <w:top w:val="nil"/>
              <w:left w:val="nil"/>
              <w:bottom w:val="single" w:sz="4" w:space="0" w:color="auto"/>
              <w:right w:val="single" w:sz="4" w:space="0" w:color="auto"/>
            </w:tcBorders>
            <w:shd w:val="clear" w:color="auto" w:fill="auto"/>
            <w:noWrap/>
            <w:vAlign w:val="center"/>
            <w:hideMark/>
          </w:tcPr>
          <w:p w14:paraId="2E0722B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2CAB232"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0.69</w:t>
            </w:r>
          </w:p>
        </w:tc>
        <w:tc>
          <w:tcPr>
            <w:tcW w:w="1045" w:type="dxa"/>
            <w:tcBorders>
              <w:top w:val="nil"/>
              <w:left w:val="nil"/>
              <w:bottom w:val="single" w:sz="4" w:space="0" w:color="auto"/>
              <w:right w:val="single" w:sz="4" w:space="0" w:color="auto"/>
            </w:tcBorders>
            <w:shd w:val="clear" w:color="auto" w:fill="auto"/>
            <w:noWrap/>
            <w:vAlign w:val="center"/>
            <w:hideMark/>
          </w:tcPr>
          <w:p w14:paraId="15231676"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0.25</w:t>
            </w:r>
          </w:p>
        </w:tc>
        <w:tc>
          <w:tcPr>
            <w:tcW w:w="1045" w:type="dxa"/>
            <w:tcBorders>
              <w:top w:val="nil"/>
              <w:left w:val="nil"/>
              <w:bottom w:val="single" w:sz="4" w:space="0" w:color="auto"/>
              <w:right w:val="single" w:sz="4" w:space="0" w:color="auto"/>
            </w:tcBorders>
            <w:shd w:val="clear" w:color="auto" w:fill="auto"/>
            <w:noWrap/>
            <w:vAlign w:val="center"/>
            <w:hideMark/>
          </w:tcPr>
          <w:p w14:paraId="7E216EB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3A1C8C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0A1952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1E2C3F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385B92B"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1961A055"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25E6BD3C"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1FF673AD"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4CC07542"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0E5F54C6"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0.05</w:t>
            </w:r>
          </w:p>
        </w:tc>
        <w:tc>
          <w:tcPr>
            <w:tcW w:w="1045" w:type="dxa"/>
            <w:tcBorders>
              <w:top w:val="nil"/>
              <w:left w:val="nil"/>
              <w:bottom w:val="single" w:sz="4" w:space="0" w:color="auto"/>
              <w:right w:val="single" w:sz="4" w:space="0" w:color="auto"/>
            </w:tcBorders>
            <w:shd w:val="clear" w:color="auto" w:fill="auto"/>
            <w:noWrap/>
            <w:vAlign w:val="center"/>
            <w:hideMark/>
          </w:tcPr>
          <w:p w14:paraId="7A43E3B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9835DF0"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1.81</w:t>
            </w:r>
          </w:p>
        </w:tc>
        <w:tc>
          <w:tcPr>
            <w:tcW w:w="1045" w:type="dxa"/>
            <w:tcBorders>
              <w:top w:val="nil"/>
              <w:left w:val="nil"/>
              <w:bottom w:val="single" w:sz="4" w:space="0" w:color="auto"/>
              <w:right w:val="single" w:sz="4" w:space="0" w:color="auto"/>
            </w:tcBorders>
            <w:shd w:val="clear" w:color="auto" w:fill="auto"/>
            <w:noWrap/>
            <w:vAlign w:val="center"/>
            <w:hideMark/>
          </w:tcPr>
          <w:p w14:paraId="5FB7893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F18ED3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A4FFFD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A17885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3D56CC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DBA2671"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0DB7169E"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5150AA47"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A157FC"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Bedarra</w:t>
            </w:r>
          </w:p>
        </w:tc>
        <w:tc>
          <w:tcPr>
            <w:tcW w:w="740" w:type="dxa"/>
            <w:tcBorders>
              <w:top w:val="nil"/>
              <w:left w:val="nil"/>
              <w:bottom w:val="single" w:sz="4" w:space="0" w:color="auto"/>
              <w:right w:val="single" w:sz="4" w:space="0" w:color="auto"/>
            </w:tcBorders>
            <w:shd w:val="clear" w:color="auto" w:fill="auto"/>
            <w:noWrap/>
            <w:vAlign w:val="center"/>
            <w:hideMark/>
          </w:tcPr>
          <w:p w14:paraId="2EB9317E"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11AC8B8A"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0.02</w:t>
            </w:r>
          </w:p>
        </w:tc>
        <w:tc>
          <w:tcPr>
            <w:tcW w:w="1045" w:type="dxa"/>
            <w:tcBorders>
              <w:top w:val="nil"/>
              <w:left w:val="nil"/>
              <w:bottom w:val="single" w:sz="4" w:space="0" w:color="auto"/>
              <w:right w:val="single" w:sz="4" w:space="0" w:color="auto"/>
            </w:tcBorders>
            <w:shd w:val="clear" w:color="auto" w:fill="auto"/>
            <w:noWrap/>
            <w:vAlign w:val="center"/>
            <w:hideMark/>
          </w:tcPr>
          <w:p w14:paraId="2371DBA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204DAE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F4DC69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5C7D14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DB3EBD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A6BF557"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4AB0011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D25C9AF"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52A50703"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43EB6F49"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3A190CBA"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6E0A00CD"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10CDB262"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0.13</w:t>
            </w:r>
          </w:p>
        </w:tc>
        <w:tc>
          <w:tcPr>
            <w:tcW w:w="1045" w:type="dxa"/>
            <w:tcBorders>
              <w:top w:val="nil"/>
              <w:left w:val="nil"/>
              <w:bottom w:val="single" w:sz="4" w:space="0" w:color="auto"/>
              <w:right w:val="single" w:sz="4" w:space="0" w:color="auto"/>
            </w:tcBorders>
            <w:shd w:val="clear" w:color="auto" w:fill="auto"/>
            <w:noWrap/>
            <w:vAlign w:val="center"/>
            <w:hideMark/>
          </w:tcPr>
          <w:p w14:paraId="3E412175"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0.13</w:t>
            </w:r>
          </w:p>
        </w:tc>
        <w:tc>
          <w:tcPr>
            <w:tcW w:w="1045" w:type="dxa"/>
            <w:tcBorders>
              <w:top w:val="nil"/>
              <w:left w:val="nil"/>
              <w:bottom w:val="single" w:sz="4" w:space="0" w:color="auto"/>
              <w:right w:val="single" w:sz="4" w:space="0" w:color="auto"/>
            </w:tcBorders>
            <w:shd w:val="clear" w:color="auto" w:fill="auto"/>
            <w:noWrap/>
            <w:vAlign w:val="center"/>
            <w:hideMark/>
          </w:tcPr>
          <w:p w14:paraId="63AD66C2"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2.25</w:t>
            </w:r>
          </w:p>
        </w:tc>
        <w:tc>
          <w:tcPr>
            <w:tcW w:w="1045" w:type="dxa"/>
            <w:tcBorders>
              <w:top w:val="nil"/>
              <w:left w:val="nil"/>
              <w:bottom w:val="single" w:sz="4" w:space="0" w:color="auto"/>
              <w:right w:val="single" w:sz="4" w:space="0" w:color="auto"/>
            </w:tcBorders>
            <w:shd w:val="clear" w:color="auto" w:fill="auto"/>
            <w:noWrap/>
            <w:vAlign w:val="center"/>
            <w:hideMark/>
          </w:tcPr>
          <w:p w14:paraId="0E4C17D7"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83B542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717DC6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96ED713"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0.04</w:t>
            </w:r>
          </w:p>
        </w:tc>
        <w:tc>
          <w:tcPr>
            <w:tcW w:w="1045" w:type="dxa"/>
            <w:tcBorders>
              <w:top w:val="nil"/>
              <w:left w:val="nil"/>
              <w:bottom w:val="single" w:sz="4" w:space="0" w:color="auto"/>
              <w:right w:val="single" w:sz="4" w:space="0" w:color="auto"/>
            </w:tcBorders>
            <w:shd w:val="clear" w:color="auto" w:fill="auto"/>
            <w:noWrap/>
            <w:vAlign w:val="center"/>
            <w:hideMark/>
          </w:tcPr>
          <w:p w14:paraId="1C3DB937"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6F72722"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28201884" w14:textId="77777777" w:rsidTr="006B2ADA">
        <w:trPr>
          <w:trHeight w:hRule="exact" w:val="284"/>
        </w:trPr>
        <w:tc>
          <w:tcPr>
            <w:tcW w:w="1046"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00AD8C1"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Burdekin</w:t>
            </w: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B2A35B5"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Palms East</w:t>
            </w:r>
          </w:p>
        </w:tc>
        <w:tc>
          <w:tcPr>
            <w:tcW w:w="740" w:type="dxa"/>
            <w:tcBorders>
              <w:top w:val="nil"/>
              <w:left w:val="nil"/>
              <w:bottom w:val="single" w:sz="4" w:space="0" w:color="auto"/>
              <w:right w:val="single" w:sz="4" w:space="0" w:color="auto"/>
            </w:tcBorders>
            <w:shd w:val="clear" w:color="auto" w:fill="auto"/>
            <w:noWrap/>
            <w:vAlign w:val="center"/>
            <w:hideMark/>
          </w:tcPr>
          <w:p w14:paraId="7D5B5989"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3486D57B"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0.28</w:t>
            </w:r>
          </w:p>
        </w:tc>
        <w:tc>
          <w:tcPr>
            <w:tcW w:w="1045" w:type="dxa"/>
            <w:tcBorders>
              <w:top w:val="nil"/>
              <w:left w:val="nil"/>
              <w:bottom w:val="single" w:sz="4" w:space="0" w:color="auto"/>
              <w:right w:val="single" w:sz="4" w:space="0" w:color="auto"/>
            </w:tcBorders>
            <w:shd w:val="clear" w:color="auto" w:fill="auto"/>
            <w:noWrap/>
            <w:vAlign w:val="center"/>
            <w:hideMark/>
          </w:tcPr>
          <w:p w14:paraId="33B89B23"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C24642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B242A1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56F144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16A184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E31200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DA658A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1A4BE2B"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64FC56A2"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72594FD3"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67584F1E"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41E02510"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4EFAB79F"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0.31</w:t>
            </w:r>
          </w:p>
        </w:tc>
        <w:tc>
          <w:tcPr>
            <w:tcW w:w="1045" w:type="dxa"/>
            <w:tcBorders>
              <w:top w:val="nil"/>
              <w:left w:val="nil"/>
              <w:bottom w:val="single" w:sz="4" w:space="0" w:color="auto"/>
              <w:right w:val="single" w:sz="4" w:space="0" w:color="auto"/>
            </w:tcBorders>
            <w:shd w:val="clear" w:color="auto" w:fill="auto"/>
            <w:noWrap/>
            <w:vAlign w:val="center"/>
            <w:hideMark/>
          </w:tcPr>
          <w:p w14:paraId="03631C5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C4202D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B7349B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0DFF55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AD471E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322C6F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838E5D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9D5AA8B"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7E7A60A9"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3F947146"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CCA5DE6"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Palms West</w:t>
            </w:r>
          </w:p>
        </w:tc>
        <w:tc>
          <w:tcPr>
            <w:tcW w:w="740" w:type="dxa"/>
            <w:tcBorders>
              <w:top w:val="nil"/>
              <w:left w:val="nil"/>
              <w:bottom w:val="single" w:sz="4" w:space="0" w:color="auto"/>
              <w:right w:val="single" w:sz="4" w:space="0" w:color="auto"/>
            </w:tcBorders>
            <w:shd w:val="clear" w:color="auto" w:fill="auto"/>
            <w:noWrap/>
            <w:vAlign w:val="center"/>
            <w:hideMark/>
          </w:tcPr>
          <w:p w14:paraId="3A8127BB"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07DE0F59"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1.27</w:t>
            </w:r>
          </w:p>
        </w:tc>
        <w:tc>
          <w:tcPr>
            <w:tcW w:w="1045" w:type="dxa"/>
            <w:tcBorders>
              <w:top w:val="nil"/>
              <w:left w:val="nil"/>
              <w:bottom w:val="single" w:sz="4" w:space="0" w:color="auto"/>
              <w:right w:val="single" w:sz="4" w:space="0" w:color="auto"/>
            </w:tcBorders>
            <w:shd w:val="clear" w:color="auto" w:fill="auto"/>
            <w:noWrap/>
            <w:vAlign w:val="center"/>
            <w:hideMark/>
          </w:tcPr>
          <w:p w14:paraId="6CFF77B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FA06BAB"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0.38</w:t>
            </w:r>
          </w:p>
        </w:tc>
        <w:tc>
          <w:tcPr>
            <w:tcW w:w="1045" w:type="dxa"/>
            <w:tcBorders>
              <w:top w:val="nil"/>
              <w:left w:val="nil"/>
              <w:bottom w:val="single" w:sz="4" w:space="0" w:color="auto"/>
              <w:right w:val="single" w:sz="4" w:space="0" w:color="auto"/>
            </w:tcBorders>
            <w:shd w:val="clear" w:color="auto" w:fill="auto"/>
            <w:noWrap/>
            <w:vAlign w:val="center"/>
            <w:hideMark/>
          </w:tcPr>
          <w:p w14:paraId="684F3DFC"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0.56</w:t>
            </w:r>
          </w:p>
        </w:tc>
        <w:tc>
          <w:tcPr>
            <w:tcW w:w="1045" w:type="dxa"/>
            <w:tcBorders>
              <w:top w:val="nil"/>
              <w:left w:val="nil"/>
              <w:bottom w:val="single" w:sz="4" w:space="0" w:color="auto"/>
              <w:right w:val="single" w:sz="4" w:space="0" w:color="auto"/>
            </w:tcBorders>
            <w:shd w:val="clear" w:color="auto" w:fill="auto"/>
            <w:noWrap/>
            <w:vAlign w:val="center"/>
            <w:hideMark/>
          </w:tcPr>
          <w:p w14:paraId="4309D59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B541B62"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0.50</w:t>
            </w:r>
          </w:p>
        </w:tc>
        <w:tc>
          <w:tcPr>
            <w:tcW w:w="1045" w:type="dxa"/>
            <w:tcBorders>
              <w:top w:val="nil"/>
              <w:left w:val="nil"/>
              <w:bottom w:val="single" w:sz="4" w:space="0" w:color="auto"/>
              <w:right w:val="single" w:sz="4" w:space="0" w:color="auto"/>
            </w:tcBorders>
            <w:shd w:val="clear" w:color="auto" w:fill="auto"/>
            <w:noWrap/>
            <w:vAlign w:val="center"/>
            <w:hideMark/>
          </w:tcPr>
          <w:p w14:paraId="14AB5F6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D780CB3"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18BE26D"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2668197D"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37DB3745"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6FE41FEA"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1DA949A6"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027B1FAE"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2.07</w:t>
            </w:r>
          </w:p>
        </w:tc>
        <w:tc>
          <w:tcPr>
            <w:tcW w:w="1045" w:type="dxa"/>
            <w:tcBorders>
              <w:top w:val="nil"/>
              <w:left w:val="nil"/>
              <w:bottom w:val="single" w:sz="4" w:space="0" w:color="auto"/>
              <w:right w:val="single" w:sz="4" w:space="0" w:color="auto"/>
            </w:tcBorders>
            <w:shd w:val="clear" w:color="auto" w:fill="auto"/>
            <w:noWrap/>
            <w:vAlign w:val="center"/>
            <w:hideMark/>
          </w:tcPr>
          <w:p w14:paraId="487AF66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04CB7DA"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3.88</w:t>
            </w:r>
          </w:p>
        </w:tc>
        <w:tc>
          <w:tcPr>
            <w:tcW w:w="1045" w:type="dxa"/>
            <w:tcBorders>
              <w:top w:val="nil"/>
              <w:left w:val="nil"/>
              <w:bottom w:val="single" w:sz="4" w:space="0" w:color="auto"/>
              <w:right w:val="single" w:sz="4" w:space="0" w:color="auto"/>
            </w:tcBorders>
            <w:shd w:val="clear" w:color="auto" w:fill="auto"/>
            <w:noWrap/>
            <w:vAlign w:val="center"/>
            <w:hideMark/>
          </w:tcPr>
          <w:p w14:paraId="0A35E12B"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0.28</w:t>
            </w:r>
          </w:p>
        </w:tc>
        <w:tc>
          <w:tcPr>
            <w:tcW w:w="1045" w:type="dxa"/>
            <w:tcBorders>
              <w:top w:val="nil"/>
              <w:left w:val="nil"/>
              <w:bottom w:val="single" w:sz="4" w:space="0" w:color="auto"/>
              <w:right w:val="single" w:sz="4" w:space="0" w:color="auto"/>
            </w:tcBorders>
            <w:shd w:val="clear" w:color="auto" w:fill="auto"/>
            <w:noWrap/>
            <w:vAlign w:val="center"/>
            <w:hideMark/>
          </w:tcPr>
          <w:p w14:paraId="500BE03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2A5CDFC"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0.31</w:t>
            </w:r>
          </w:p>
        </w:tc>
        <w:tc>
          <w:tcPr>
            <w:tcW w:w="1045" w:type="dxa"/>
            <w:tcBorders>
              <w:top w:val="nil"/>
              <w:left w:val="nil"/>
              <w:bottom w:val="single" w:sz="4" w:space="0" w:color="auto"/>
              <w:right w:val="single" w:sz="4" w:space="0" w:color="auto"/>
            </w:tcBorders>
            <w:shd w:val="clear" w:color="auto" w:fill="auto"/>
            <w:noWrap/>
            <w:vAlign w:val="center"/>
            <w:hideMark/>
          </w:tcPr>
          <w:p w14:paraId="5DDC303C"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3335904"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0.19</w:t>
            </w:r>
          </w:p>
        </w:tc>
        <w:tc>
          <w:tcPr>
            <w:tcW w:w="1045" w:type="dxa"/>
            <w:tcBorders>
              <w:top w:val="nil"/>
              <w:left w:val="nil"/>
              <w:bottom w:val="single" w:sz="4" w:space="0" w:color="auto"/>
              <w:right w:val="single" w:sz="4" w:space="0" w:color="auto"/>
            </w:tcBorders>
            <w:shd w:val="clear" w:color="auto" w:fill="auto"/>
            <w:noWrap/>
            <w:vAlign w:val="center"/>
            <w:hideMark/>
          </w:tcPr>
          <w:p w14:paraId="43EAEBE2"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4541B815"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02A6A8D4"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EA78D61"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Havannah</w:t>
            </w:r>
          </w:p>
        </w:tc>
        <w:tc>
          <w:tcPr>
            <w:tcW w:w="740" w:type="dxa"/>
            <w:tcBorders>
              <w:top w:val="nil"/>
              <w:left w:val="nil"/>
              <w:bottom w:val="single" w:sz="4" w:space="0" w:color="auto"/>
              <w:right w:val="single" w:sz="4" w:space="0" w:color="auto"/>
            </w:tcBorders>
            <w:shd w:val="clear" w:color="auto" w:fill="auto"/>
            <w:noWrap/>
            <w:vAlign w:val="center"/>
            <w:hideMark/>
          </w:tcPr>
          <w:p w14:paraId="0CE79D35"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2C86B201"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0.09</w:t>
            </w:r>
          </w:p>
        </w:tc>
        <w:tc>
          <w:tcPr>
            <w:tcW w:w="1045" w:type="dxa"/>
            <w:tcBorders>
              <w:top w:val="nil"/>
              <w:left w:val="nil"/>
              <w:bottom w:val="single" w:sz="4" w:space="0" w:color="auto"/>
              <w:right w:val="single" w:sz="4" w:space="0" w:color="auto"/>
            </w:tcBorders>
            <w:shd w:val="clear" w:color="auto" w:fill="auto"/>
            <w:noWrap/>
            <w:vAlign w:val="center"/>
            <w:hideMark/>
          </w:tcPr>
          <w:p w14:paraId="4667893C"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D089778"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1.88</w:t>
            </w:r>
          </w:p>
        </w:tc>
        <w:tc>
          <w:tcPr>
            <w:tcW w:w="1045" w:type="dxa"/>
            <w:tcBorders>
              <w:top w:val="nil"/>
              <w:left w:val="nil"/>
              <w:bottom w:val="single" w:sz="4" w:space="0" w:color="auto"/>
              <w:right w:val="single" w:sz="4" w:space="0" w:color="auto"/>
            </w:tcBorders>
            <w:shd w:val="clear" w:color="auto" w:fill="auto"/>
            <w:noWrap/>
            <w:vAlign w:val="center"/>
            <w:hideMark/>
          </w:tcPr>
          <w:p w14:paraId="1DA793D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0DE556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C7F04C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FE7B85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796A35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905F982"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7E82EBA1"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053FDEE4"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7E567B75"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56CB4544"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4F2D3504"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0.05</w:t>
            </w:r>
          </w:p>
        </w:tc>
        <w:tc>
          <w:tcPr>
            <w:tcW w:w="1045" w:type="dxa"/>
            <w:tcBorders>
              <w:top w:val="nil"/>
              <w:left w:val="nil"/>
              <w:bottom w:val="single" w:sz="4" w:space="0" w:color="auto"/>
              <w:right w:val="single" w:sz="4" w:space="0" w:color="auto"/>
            </w:tcBorders>
            <w:shd w:val="clear" w:color="auto" w:fill="auto"/>
            <w:noWrap/>
            <w:vAlign w:val="center"/>
            <w:hideMark/>
          </w:tcPr>
          <w:p w14:paraId="1457C933"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6CE6ED7"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6.75</w:t>
            </w:r>
          </w:p>
        </w:tc>
        <w:tc>
          <w:tcPr>
            <w:tcW w:w="1045" w:type="dxa"/>
            <w:tcBorders>
              <w:top w:val="nil"/>
              <w:left w:val="nil"/>
              <w:bottom w:val="single" w:sz="4" w:space="0" w:color="auto"/>
              <w:right w:val="single" w:sz="4" w:space="0" w:color="auto"/>
            </w:tcBorders>
            <w:shd w:val="clear" w:color="auto" w:fill="auto"/>
            <w:noWrap/>
            <w:vAlign w:val="center"/>
            <w:hideMark/>
          </w:tcPr>
          <w:p w14:paraId="387EE24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6BAC1A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5A364E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861DD7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D7ABE7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8EA45C1"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332E132A"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7F967C9D" w14:textId="77777777" w:rsidR="001B7CB3" w:rsidRPr="001B7CB3" w:rsidRDefault="001B7CB3" w:rsidP="001B7CB3">
            <w:pPr>
              <w:spacing w:after="0"/>
              <w:jc w:val="left"/>
              <w:rPr>
                <w:rFonts w:ascii="Arial Narrow" w:hAnsi="Arial Narrow"/>
                <w:sz w:val="20"/>
                <w:lang w:val="en-AU" w:eastAsia="en-AU"/>
              </w:rPr>
            </w:pPr>
          </w:p>
        </w:tc>
        <w:tc>
          <w:tcPr>
            <w:tcW w:w="1656" w:type="dxa"/>
            <w:tcBorders>
              <w:top w:val="nil"/>
              <w:left w:val="nil"/>
              <w:bottom w:val="single" w:sz="4" w:space="0" w:color="auto"/>
              <w:right w:val="single" w:sz="4" w:space="0" w:color="auto"/>
            </w:tcBorders>
            <w:shd w:val="clear" w:color="auto" w:fill="auto"/>
            <w:noWrap/>
            <w:vAlign w:val="center"/>
            <w:hideMark/>
          </w:tcPr>
          <w:p w14:paraId="4B37A06D"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Havannah North</w:t>
            </w:r>
          </w:p>
        </w:tc>
        <w:tc>
          <w:tcPr>
            <w:tcW w:w="740" w:type="dxa"/>
            <w:tcBorders>
              <w:top w:val="nil"/>
              <w:left w:val="nil"/>
              <w:bottom w:val="single" w:sz="4" w:space="0" w:color="auto"/>
              <w:right w:val="single" w:sz="4" w:space="0" w:color="auto"/>
            </w:tcBorders>
            <w:shd w:val="clear" w:color="auto" w:fill="auto"/>
            <w:noWrap/>
            <w:vAlign w:val="center"/>
            <w:hideMark/>
          </w:tcPr>
          <w:p w14:paraId="30124626"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4819DD65"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0.04</w:t>
            </w:r>
          </w:p>
        </w:tc>
        <w:tc>
          <w:tcPr>
            <w:tcW w:w="1045" w:type="dxa"/>
            <w:tcBorders>
              <w:top w:val="nil"/>
              <w:left w:val="nil"/>
              <w:bottom w:val="single" w:sz="4" w:space="0" w:color="auto"/>
              <w:right w:val="single" w:sz="4" w:space="0" w:color="auto"/>
            </w:tcBorders>
            <w:shd w:val="clear" w:color="auto" w:fill="auto"/>
            <w:noWrap/>
            <w:vAlign w:val="center"/>
            <w:hideMark/>
          </w:tcPr>
          <w:p w14:paraId="234F515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4F16FA5"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0.43</w:t>
            </w:r>
          </w:p>
        </w:tc>
        <w:tc>
          <w:tcPr>
            <w:tcW w:w="1045" w:type="dxa"/>
            <w:tcBorders>
              <w:top w:val="nil"/>
              <w:left w:val="nil"/>
              <w:bottom w:val="single" w:sz="4" w:space="0" w:color="auto"/>
              <w:right w:val="single" w:sz="4" w:space="0" w:color="auto"/>
            </w:tcBorders>
            <w:shd w:val="clear" w:color="auto" w:fill="auto"/>
            <w:noWrap/>
            <w:vAlign w:val="center"/>
            <w:hideMark/>
          </w:tcPr>
          <w:p w14:paraId="2D54E762"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0.08</w:t>
            </w:r>
          </w:p>
        </w:tc>
        <w:tc>
          <w:tcPr>
            <w:tcW w:w="1045" w:type="dxa"/>
            <w:tcBorders>
              <w:top w:val="nil"/>
              <w:left w:val="nil"/>
              <w:bottom w:val="single" w:sz="4" w:space="0" w:color="auto"/>
              <w:right w:val="single" w:sz="4" w:space="0" w:color="auto"/>
            </w:tcBorders>
            <w:shd w:val="clear" w:color="auto" w:fill="auto"/>
            <w:noWrap/>
            <w:vAlign w:val="center"/>
            <w:hideMark/>
          </w:tcPr>
          <w:p w14:paraId="2D3D574C"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54AB70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E5C7F2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D85EAE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592936A"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0.03</w:t>
            </w:r>
          </w:p>
        </w:tc>
      </w:tr>
      <w:tr w:rsidR="001B7CB3" w:rsidRPr="001B7CB3" w14:paraId="225F1975"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09A1FAF1" w14:textId="77777777" w:rsidR="001B7CB3" w:rsidRPr="001B7CB3" w:rsidRDefault="001B7CB3" w:rsidP="001B7CB3">
            <w:pPr>
              <w:spacing w:after="0"/>
              <w:jc w:val="left"/>
              <w:rPr>
                <w:rFonts w:ascii="Arial Narrow" w:hAnsi="Arial Narrow"/>
                <w:sz w:val="20"/>
                <w:lang w:val="en-AU" w:eastAsia="en-AU"/>
              </w:rPr>
            </w:pPr>
          </w:p>
        </w:tc>
        <w:tc>
          <w:tcPr>
            <w:tcW w:w="1656" w:type="dxa"/>
            <w:tcBorders>
              <w:top w:val="nil"/>
              <w:left w:val="nil"/>
              <w:bottom w:val="single" w:sz="4" w:space="0" w:color="auto"/>
              <w:right w:val="single" w:sz="4" w:space="0" w:color="auto"/>
            </w:tcBorders>
            <w:shd w:val="clear" w:color="auto" w:fill="auto"/>
            <w:noWrap/>
            <w:vAlign w:val="center"/>
            <w:hideMark/>
          </w:tcPr>
          <w:p w14:paraId="2624AA5F"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Pandora North</w:t>
            </w:r>
          </w:p>
        </w:tc>
        <w:tc>
          <w:tcPr>
            <w:tcW w:w="740" w:type="dxa"/>
            <w:tcBorders>
              <w:top w:val="nil"/>
              <w:left w:val="nil"/>
              <w:bottom w:val="single" w:sz="4" w:space="0" w:color="auto"/>
              <w:right w:val="single" w:sz="4" w:space="0" w:color="auto"/>
            </w:tcBorders>
            <w:shd w:val="clear" w:color="auto" w:fill="auto"/>
            <w:noWrap/>
            <w:vAlign w:val="center"/>
            <w:hideMark/>
          </w:tcPr>
          <w:p w14:paraId="67A8C88A"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12241A7"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0.33</w:t>
            </w:r>
          </w:p>
        </w:tc>
        <w:tc>
          <w:tcPr>
            <w:tcW w:w="1045" w:type="dxa"/>
            <w:tcBorders>
              <w:top w:val="nil"/>
              <w:left w:val="nil"/>
              <w:bottom w:val="single" w:sz="4" w:space="0" w:color="auto"/>
              <w:right w:val="single" w:sz="4" w:space="0" w:color="auto"/>
            </w:tcBorders>
            <w:shd w:val="clear" w:color="auto" w:fill="auto"/>
            <w:noWrap/>
            <w:vAlign w:val="center"/>
            <w:hideMark/>
          </w:tcPr>
          <w:p w14:paraId="2A3D969C"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7C7AA94"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7.10</w:t>
            </w:r>
          </w:p>
        </w:tc>
        <w:tc>
          <w:tcPr>
            <w:tcW w:w="1045" w:type="dxa"/>
            <w:tcBorders>
              <w:top w:val="nil"/>
              <w:left w:val="nil"/>
              <w:bottom w:val="single" w:sz="4" w:space="0" w:color="auto"/>
              <w:right w:val="single" w:sz="4" w:space="0" w:color="auto"/>
            </w:tcBorders>
            <w:shd w:val="clear" w:color="auto" w:fill="auto"/>
            <w:noWrap/>
            <w:vAlign w:val="center"/>
            <w:hideMark/>
          </w:tcPr>
          <w:p w14:paraId="61E7A351"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2.48</w:t>
            </w:r>
          </w:p>
        </w:tc>
        <w:tc>
          <w:tcPr>
            <w:tcW w:w="1045" w:type="dxa"/>
            <w:tcBorders>
              <w:top w:val="nil"/>
              <w:left w:val="nil"/>
              <w:bottom w:val="single" w:sz="4" w:space="0" w:color="auto"/>
              <w:right w:val="single" w:sz="4" w:space="0" w:color="auto"/>
            </w:tcBorders>
            <w:shd w:val="clear" w:color="auto" w:fill="auto"/>
            <w:noWrap/>
            <w:vAlign w:val="center"/>
            <w:hideMark/>
          </w:tcPr>
          <w:p w14:paraId="0E71331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7C0E87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EA22C0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E7F5DB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739E050"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0.68</w:t>
            </w:r>
          </w:p>
        </w:tc>
      </w:tr>
      <w:tr w:rsidR="001B7CB3" w:rsidRPr="001B7CB3" w14:paraId="0FE41188"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3560606A"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D5FA437"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Pandora</w:t>
            </w:r>
          </w:p>
        </w:tc>
        <w:tc>
          <w:tcPr>
            <w:tcW w:w="740" w:type="dxa"/>
            <w:tcBorders>
              <w:top w:val="nil"/>
              <w:left w:val="nil"/>
              <w:bottom w:val="single" w:sz="4" w:space="0" w:color="auto"/>
              <w:right w:val="single" w:sz="4" w:space="0" w:color="auto"/>
            </w:tcBorders>
            <w:shd w:val="clear" w:color="auto" w:fill="auto"/>
            <w:noWrap/>
            <w:vAlign w:val="center"/>
            <w:hideMark/>
          </w:tcPr>
          <w:p w14:paraId="692BA66C"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4A9C7246"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0.07</w:t>
            </w:r>
          </w:p>
        </w:tc>
        <w:tc>
          <w:tcPr>
            <w:tcW w:w="1045" w:type="dxa"/>
            <w:tcBorders>
              <w:top w:val="nil"/>
              <w:left w:val="nil"/>
              <w:bottom w:val="single" w:sz="4" w:space="0" w:color="auto"/>
              <w:right w:val="single" w:sz="4" w:space="0" w:color="auto"/>
            </w:tcBorders>
            <w:shd w:val="clear" w:color="auto" w:fill="auto"/>
            <w:noWrap/>
            <w:vAlign w:val="center"/>
            <w:hideMark/>
          </w:tcPr>
          <w:p w14:paraId="6ED8B6A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AE3181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5208093"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AF16D2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AF564A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322712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B5C620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22A67FC"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427F1372"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3B813FDC"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687BB043"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6C25F645"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07659F8B"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60A64F5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73DBCA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67A3D09"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0.09</w:t>
            </w:r>
          </w:p>
        </w:tc>
        <w:tc>
          <w:tcPr>
            <w:tcW w:w="1045" w:type="dxa"/>
            <w:tcBorders>
              <w:top w:val="nil"/>
              <w:left w:val="nil"/>
              <w:bottom w:val="single" w:sz="4" w:space="0" w:color="auto"/>
              <w:right w:val="single" w:sz="4" w:space="0" w:color="auto"/>
            </w:tcBorders>
            <w:shd w:val="clear" w:color="auto" w:fill="auto"/>
            <w:noWrap/>
            <w:vAlign w:val="center"/>
            <w:hideMark/>
          </w:tcPr>
          <w:p w14:paraId="5A84663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4527E63"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BC7621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B0B338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7C4585E"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0.06</w:t>
            </w:r>
          </w:p>
        </w:tc>
      </w:tr>
      <w:tr w:rsidR="001B7CB3" w:rsidRPr="001B7CB3" w14:paraId="1F1EA9CF"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2019DBA6"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0C43FA"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Lady Elliot</w:t>
            </w:r>
          </w:p>
        </w:tc>
        <w:tc>
          <w:tcPr>
            <w:tcW w:w="740" w:type="dxa"/>
            <w:tcBorders>
              <w:top w:val="nil"/>
              <w:left w:val="nil"/>
              <w:bottom w:val="single" w:sz="4" w:space="0" w:color="auto"/>
              <w:right w:val="single" w:sz="4" w:space="0" w:color="auto"/>
            </w:tcBorders>
            <w:shd w:val="clear" w:color="auto" w:fill="auto"/>
            <w:noWrap/>
            <w:vAlign w:val="center"/>
            <w:hideMark/>
          </w:tcPr>
          <w:p w14:paraId="40988B09"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371AC178"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0.02</w:t>
            </w:r>
          </w:p>
        </w:tc>
        <w:tc>
          <w:tcPr>
            <w:tcW w:w="1045" w:type="dxa"/>
            <w:tcBorders>
              <w:top w:val="nil"/>
              <w:left w:val="nil"/>
              <w:bottom w:val="single" w:sz="4" w:space="0" w:color="auto"/>
              <w:right w:val="single" w:sz="4" w:space="0" w:color="auto"/>
            </w:tcBorders>
            <w:shd w:val="clear" w:color="auto" w:fill="auto"/>
            <w:noWrap/>
            <w:vAlign w:val="center"/>
            <w:hideMark/>
          </w:tcPr>
          <w:p w14:paraId="187CF35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C8FDC73"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608CFB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B15723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0CAFCC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64F0CA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1A4E6F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E3C6C96"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1876C460"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766532A7"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2355234F"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1438643F"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26A707F"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0.12</w:t>
            </w:r>
          </w:p>
        </w:tc>
        <w:tc>
          <w:tcPr>
            <w:tcW w:w="1045" w:type="dxa"/>
            <w:tcBorders>
              <w:top w:val="nil"/>
              <w:left w:val="nil"/>
              <w:bottom w:val="single" w:sz="4" w:space="0" w:color="auto"/>
              <w:right w:val="single" w:sz="4" w:space="0" w:color="auto"/>
            </w:tcBorders>
            <w:shd w:val="clear" w:color="auto" w:fill="auto"/>
            <w:noWrap/>
            <w:vAlign w:val="center"/>
            <w:hideMark/>
          </w:tcPr>
          <w:p w14:paraId="586A870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9CB486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6A4582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9D5A7E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4963DEE"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62D2892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1E5B2F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4101809"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26937F4C"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1F5845B5"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876F863"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Magnetic</w:t>
            </w:r>
          </w:p>
        </w:tc>
        <w:tc>
          <w:tcPr>
            <w:tcW w:w="740" w:type="dxa"/>
            <w:tcBorders>
              <w:top w:val="nil"/>
              <w:left w:val="nil"/>
              <w:bottom w:val="single" w:sz="4" w:space="0" w:color="auto"/>
              <w:right w:val="single" w:sz="4" w:space="0" w:color="auto"/>
            </w:tcBorders>
            <w:shd w:val="clear" w:color="auto" w:fill="auto"/>
            <w:noWrap/>
            <w:vAlign w:val="center"/>
            <w:hideMark/>
          </w:tcPr>
          <w:p w14:paraId="2723BA52"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20AF92CA"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0A9F0F4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31AAE21"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0196E17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4542B8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C17CF8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88298A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526E58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0415CD7"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6ECBB9B0"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03873C43"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761F8BE9"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334764FA"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4F9A40F"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0.19</w:t>
            </w:r>
          </w:p>
        </w:tc>
        <w:tc>
          <w:tcPr>
            <w:tcW w:w="1045" w:type="dxa"/>
            <w:tcBorders>
              <w:top w:val="nil"/>
              <w:left w:val="nil"/>
              <w:bottom w:val="single" w:sz="4" w:space="0" w:color="auto"/>
              <w:right w:val="single" w:sz="4" w:space="0" w:color="auto"/>
            </w:tcBorders>
            <w:shd w:val="clear" w:color="auto" w:fill="auto"/>
            <w:noWrap/>
            <w:vAlign w:val="center"/>
            <w:hideMark/>
          </w:tcPr>
          <w:p w14:paraId="0817BA1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14B4B71"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0.13</w:t>
            </w:r>
          </w:p>
        </w:tc>
        <w:tc>
          <w:tcPr>
            <w:tcW w:w="1045" w:type="dxa"/>
            <w:tcBorders>
              <w:top w:val="nil"/>
              <w:left w:val="nil"/>
              <w:bottom w:val="single" w:sz="4" w:space="0" w:color="auto"/>
              <w:right w:val="single" w:sz="4" w:space="0" w:color="auto"/>
            </w:tcBorders>
            <w:shd w:val="clear" w:color="auto" w:fill="auto"/>
            <w:noWrap/>
            <w:vAlign w:val="center"/>
            <w:hideMark/>
          </w:tcPr>
          <w:p w14:paraId="1099F94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DFD00B7"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E116A35"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2D246BA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9432EB3"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1636FFA"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32C07D16"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189F760C" w14:textId="77777777" w:rsidR="001B7CB3" w:rsidRPr="001B7CB3" w:rsidRDefault="001B7CB3" w:rsidP="001B7CB3">
            <w:pPr>
              <w:spacing w:after="0"/>
              <w:jc w:val="left"/>
              <w:rPr>
                <w:rFonts w:ascii="Arial Narrow" w:hAnsi="Arial Narrow"/>
                <w:sz w:val="20"/>
                <w:lang w:val="en-AU" w:eastAsia="en-AU"/>
              </w:rPr>
            </w:pPr>
          </w:p>
        </w:tc>
        <w:tc>
          <w:tcPr>
            <w:tcW w:w="1656" w:type="dxa"/>
            <w:tcBorders>
              <w:top w:val="nil"/>
              <w:left w:val="nil"/>
              <w:bottom w:val="single" w:sz="4" w:space="0" w:color="auto"/>
              <w:right w:val="single" w:sz="4" w:space="0" w:color="auto"/>
            </w:tcBorders>
            <w:shd w:val="clear" w:color="auto" w:fill="auto"/>
            <w:noWrap/>
            <w:vAlign w:val="center"/>
            <w:hideMark/>
          </w:tcPr>
          <w:p w14:paraId="38806D6C"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Middle Reef LTMP</w:t>
            </w:r>
          </w:p>
        </w:tc>
        <w:tc>
          <w:tcPr>
            <w:tcW w:w="740" w:type="dxa"/>
            <w:tcBorders>
              <w:top w:val="nil"/>
              <w:left w:val="nil"/>
              <w:bottom w:val="single" w:sz="4" w:space="0" w:color="auto"/>
              <w:right w:val="single" w:sz="4" w:space="0" w:color="auto"/>
            </w:tcBorders>
            <w:shd w:val="clear" w:color="auto" w:fill="auto"/>
            <w:noWrap/>
            <w:vAlign w:val="center"/>
            <w:hideMark/>
          </w:tcPr>
          <w:p w14:paraId="31F29184"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41C54128"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0.48</w:t>
            </w:r>
          </w:p>
        </w:tc>
        <w:tc>
          <w:tcPr>
            <w:tcW w:w="1045" w:type="dxa"/>
            <w:tcBorders>
              <w:top w:val="nil"/>
              <w:left w:val="nil"/>
              <w:bottom w:val="single" w:sz="4" w:space="0" w:color="auto"/>
              <w:right w:val="single" w:sz="4" w:space="0" w:color="auto"/>
            </w:tcBorders>
            <w:shd w:val="clear" w:color="auto" w:fill="auto"/>
            <w:noWrap/>
            <w:vAlign w:val="center"/>
            <w:hideMark/>
          </w:tcPr>
          <w:p w14:paraId="47616AF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F51012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1A658A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5A4326C"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72F29B5"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775FE1B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463F976"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1.23</w:t>
            </w:r>
          </w:p>
        </w:tc>
        <w:tc>
          <w:tcPr>
            <w:tcW w:w="1045" w:type="dxa"/>
            <w:tcBorders>
              <w:top w:val="nil"/>
              <w:left w:val="nil"/>
              <w:bottom w:val="single" w:sz="4" w:space="0" w:color="auto"/>
              <w:right w:val="single" w:sz="4" w:space="0" w:color="auto"/>
            </w:tcBorders>
            <w:shd w:val="clear" w:color="auto" w:fill="auto"/>
            <w:noWrap/>
            <w:vAlign w:val="center"/>
            <w:hideMark/>
          </w:tcPr>
          <w:p w14:paraId="7A65E99F"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0.40</w:t>
            </w:r>
          </w:p>
        </w:tc>
      </w:tr>
      <w:tr w:rsidR="001B7CB3" w:rsidRPr="001B7CB3" w14:paraId="0965C6C2" w14:textId="77777777" w:rsidTr="006B2ADA">
        <w:trPr>
          <w:trHeight w:hRule="exact" w:val="284"/>
        </w:trPr>
        <w:tc>
          <w:tcPr>
            <w:tcW w:w="1046"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D8B8671"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Proserpine</w:t>
            </w:r>
          </w:p>
        </w:tc>
        <w:tc>
          <w:tcPr>
            <w:tcW w:w="1656" w:type="dxa"/>
            <w:tcBorders>
              <w:top w:val="nil"/>
              <w:left w:val="nil"/>
              <w:bottom w:val="single" w:sz="4" w:space="0" w:color="auto"/>
              <w:right w:val="single" w:sz="4" w:space="0" w:color="auto"/>
            </w:tcBorders>
            <w:shd w:val="clear" w:color="auto" w:fill="auto"/>
            <w:noWrap/>
            <w:vAlign w:val="center"/>
            <w:hideMark/>
          </w:tcPr>
          <w:p w14:paraId="0CB1618A"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Hayman</w:t>
            </w:r>
          </w:p>
        </w:tc>
        <w:tc>
          <w:tcPr>
            <w:tcW w:w="740" w:type="dxa"/>
            <w:tcBorders>
              <w:top w:val="nil"/>
              <w:left w:val="nil"/>
              <w:bottom w:val="single" w:sz="4" w:space="0" w:color="auto"/>
              <w:right w:val="single" w:sz="4" w:space="0" w:color="auto"/>
            </w:tcBorders>
            <w:shd w:val="clear" w:color="auto" w:fill="auto"/>
            <w:noWrap/>
            <w:vAlign w:val="center"/>
            <w:hideMark/>
          </w:tcPr>
          <w:p w14:paraId="0BF79F5D"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35A9570D"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1.48</w:t>
            </w:r>
          </w:p>
        </w:tc>
        <w:tc>
          <w:tcPr>
            <w:tcW w:w="1045" w:type="dxa"/>
            <w:tcBorders>
              <w:top w:val="nil"/>
              <w:left w:val="nil"/>
              <w:bottom w:val="single" w:sz="4" w:space="0" w:color="auto"/>
              <w:right w:val="single" w:sz="4" w:space="0" w:color="auto"/>
            </w:tcBorders>
            <w:shd w:val="clear" w:color="auto" w:fill="auto"/>
            <w:noWrap/>
            <w:vAlign w:val="center"/>
            <w:hideMark/>
          </w:tcPr>
          <w:p w14:paraId="3C7D644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17C56AD"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1.43</w:t>
            </w:r>
          </w:p>
        </w:tc>
        <w:tc>
          <w:tcPr>
            <w:tcW w:w="1045" w:type="dxa"/>
            <w:tcBorders>
              <w:top w:val="nil"/>
              <w:left w:val="nil"/>
              <w:bottom w:val="single" w:sz="4" w:space="0" w:color="auto"/>
              <w:right w:val="single" w:sz="4" w:space="0" w:color="auto"/>
            </w:tcBorders>
            <w:shd w:val="clear" w:color="auto" w:fill="auto"/>
            <w:noWrap/>
            <w:vAlign w:val="center"/>
            <w:hideMark/>
          </w:tcPr>
          <w:p w14:paraId="0A15F9C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81AF87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DBBC707"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0.04</w:t>
            </w:r>
          </w:p>
        </w:tc>
        <w:tc>
          <w:tcPr>
            <w:tcW w:w="1045" w:type="dxa"/>
            <w:tcBorders>
              <w:top w:val="nil"/>
              <w:left w:val="nil"/>
              <w:bottom w:val="single" w:sz="4" w:space="0" w:color="auto"/>
              <w:right w:val="single" w:sz="4" w:space="0" w:color="auto"/>
            </w:tcBorders>
            <w:shd w:val="clear" w:color="auto" w:fill="auto"/>
            <w:noWrap/>
            <w:vAlign w:val="center"/>
            <w:hideMark/>
          </w:tcPr>
          <w:p w14:paraId="77CF156E"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0.02</w:t>
            </w:r>
          </w:p>
        </w:tc>
        <w:tc>
          <w:tcPr>
            <w:tcW w:w="1045" w:type="dxa"/>
            <w:tcBorders>
              <w:top w:val="nil"/>
              <w:left w:val="nil"/>
              <w:bottom w:val="single" w:sz="4" w:space="0" w:color="auto"/>
              <w:right w:val="single" w:sz="4" w:space="0" w:color="auto"/>
            </w:tcBorders>
            <w:shd w:val="clear" w:color="auto" w:fill="auto"/>
            <w:noWrap/>
            <w:vAlign w:val="center"/>
            <w:hideMark/>
          </w:tcPr>
          <w:p w14:paraId="5E761E83"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0.03</w:t>
            </w:r>
          </w:p>
        </w:tc>
        <w:tc>
          <w:tcPr>
            <w:tcW w:w="1045" w:type="dxa"/>
            <w:tcBorders>
              <w:top w:val="nil"/>
              <w:left w:val="nil"/>
              <w:bottom w:val="single" w:sz="4" w:space="0" w:color="auto"/>
              <w:right w:val="single" w:sz="4" w:space="0" w:color="auto"/>
            </w:tcBorders>
            <w:shd w:val="clear" w:color="auto" w:fill="auto"/>
            <w:noWrap/>
            <w:vAlign w:val="center"/>
            <w:hideMark/>
          </w:tcPr>
          <w:p w14:paraId="747D63AD"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0.07</w:t>
            </w:r>
          </w:p>
        </w:tc>
      </w:tr>
      <w:tr w:rsidR="001B7CB3" w:rsidRPr="001B7CB3" w14:paraId="256ACD59"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2086AAF7" w14:textId="77777777" w:rsidR="001B7CB3" w:rsidRPr="001B7CB3" w:rsidRDefault="001B7CB3" w:rsidP="001B7CB3">
            <w:pPr>
              <w:spacing w:after="0"/>
              <w:jc w:val="left"/>
              <w:rPr>
                <w:rFonts w:ascii="Arial Narrow" w:hAnsi="Arial Narrow"/>
                <w:sz w:val="20"/>
                <w:lang w:val="en-AU" w:eastAsia="en-AU"/>
              </w:rPr>
            </w:pPr>
          </w:p>
        </w:tc>
        <w:tc>
          <w:tcPr>
            <w:tcW w:w="1656" w:type="dxa"/>
            <w:tcBorders>
              <w:top w:val="nil"/>
              <w:left w:val="nil"/>
              <w:bottom w:val="single" w:sz="4" w:space="0" w:color="auto"/>
              <w:right w:val="single" w:sz="4" w:space="0" w:color="auto"/>
            </w:tcBorders>
            <w:shd w:val="clear" w:color="auto" w:fill="auto"/>
            <w:noWrap/>
            <w:vAlign w:val="center"/>
            <w:hideMark/>
          </w:tcPr>
          <w:p w14:paraId="695978D4"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Langford</w:t>
            </w:r>
          </w:p>
        </w:tc>
        <w:tc>
          <w:tcPr>
            <w:tcW w:w="740" w:type="dxa"/>
            <w:tcBorders>
              <w:top w:val="nil"/>
              <w:left w:val="nil"/>
              <w:bottom w:val="single" w:sz="4" w:space="0" w:color="auto"/>
              <w:right w:val="single" w:sz="4" w:space="0" w:color="auto"/>
            </w:tcBorders>
            <w:shd w:val="clear" w:color="auto" w:fill="auto"/>
            <w:noWrap/>
            <w:vAlign w:val="center"/>
            <w:hideMark/>
          </w:tcPr>
          <w:p w14:paraId="287D5893"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6BBBC708"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2.68</w:t>
            </w:r>
          </w:p>
        </w:tc>
        <w:tc>
          <w:tcPr>
            <w:tcW w:w="1045" w:type="dxa"/>
            <w:tcBorders>
              <w:top w:val="nil"/>
              <w:left w:val="nil"/>
              <w:bottom w:val="single" w:sz="4" w:space="0" w:color="auto"/>
              <w:right w:val="single" w:sz="4" w:space="0" w:color="auto"/>
            </w:tcBorders>
            <w:shd w:val="clear" w:color="auto" w:fill="auto"/>
            <w:noWrap/>
            <w:vAlign w:val="center"/>
            <w:hideMark/>
          </w:tcPr>
          <w:p w14:paraId="1DCF70A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A206133"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0.23</w:t>
            </w:r>
          </w:p>
        </w:tc>
        <w:tc>
          <w:tcPr>
            <w:tcW w:w="1045" w:type="dxa"/>
            <w:tcBorders>
              <w:top w:val="nil"/>
              <w:left w:val="nil"/>
              <w:bottom w:val="single" w:sz="4" w:space="0" w:color="auto"/>
              <w:right w:val="single" w:sz="4" w:space="0" w:color="auto"/>
            </w:tcBorders>
            <w:shd w:val="clear" w:color="auto" w:fill="auto"/>
            <w:noWrap/>
            <w:vAlign w:val="center"/>
            <w:hideMark/>
          </w:tcPr>
          <w:p w14:paraId="073DA86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372978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E2C6957"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48D21123"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3DE84016"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0.07</w:t>
            </w:r>
          </w:p>
        </w:tc>
        <w:tc>
          <w:tcPr>
            <w:tcW w:w="1045" w:type="dxa"/>
            <w:tcBorders>
              <w:top w:val="nil"/>
              <w:left w:val="nil"/>
              <w:bottom w:val="single" w:sz="4" w:space="0" w:color="auto"/>
              <w:right w:val="single" w:sz="4" w:space="0" w:color="auto"/>
            </w:tcBorders>
            <w:shd w:val="clear" w:color="auto" w:fill="auto"/>
            <w:noWrap/>
            <w:vAlign w:val="center"/>
            <w:hideMark/>
          </w:tcPr>
          <w:p w14:paraId="11EF53B4"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0.08</w:t>
            </w:r>
          </w:p>
        </w:tc>
      </w:tr>
      <w:tr w:rsidR="001B7CB3" w:rsidRPr="001B7CB3" w14:paraId="36D0B220"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0D54A893" w14:textId="77777777" w:rsidR="001B7CB3" w:rsidRPr="001B7CB3" w:rsidRDefault="001B7CB3" w:rsidP="001B7CB3">
            <w:pPr>
              <w:spacing w:after="0"/>
              <w:jc w:val="left"/>
              <w:rPr>
                <w:rFonts w:ascii="Arial Narrow" w:hAnsi="Arial Narrow"/>
                <w:sz w:val="20"/>
                <w:lang w:val="en-AU" w:eastAsia="en-AU"/>
              </w:rPr>
            </w:pPr>
          </w:p>
        </w:tc>
        <w:tc>
          <w:tcPr>
            <w:tcW w:w="1656" w:type="dxa"/>
            <w:tcBorders>
              <w:top w:val="nil"/>
              <w:left w:val="nil"/>
              <w:bottom w:val="single" w:sz="4" w:space="0" w:color="auto"/>
              <w:right w:val="single" w:sz="4" w:space="0" w:color="auto"/>
            </w:tcBorders>
            <w:shd w:val="clear" w:color="auto" w:fill="auto"/>
            <w:noWrap/>
            <w:vAlign w:val="center"/>
            <w:hideMark/>
          </w:tcPr>
          <w:p w14:paraId="03D3CFB2"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Border</w:t>
            </w:r>
          </w:p>
        </w:tc>
        <w:tc>
          <w:tcPr>
            <w:tcW w:w="740" w:type="dxa"/>
            <w:tcBorders>
              <w:top w:val="nil"/>
              <w:left w:val="nil"/>
              <w:bottom w:val="single" w:sz="4" w:space="0" w:color="auto"/>
              <w:right w:val="single" w:sz="4" w:space="0" w:color="auto"/>
            </w:tcBorders>
            <w:shd w:val="clear" w:color="auto" w:fill="auto"/>
            <w:noWrap/>
            <w:vAlign w:val="center"/>
            <w:hideMark/>
          </w:tcPr>
          <w:p w14:paraId="6FD38D4B"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21E067D7"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3.52</w:t>
            </w:r>
          </w:p>
        </w:tc>
        <w:tc>
          <w:tcPr>
            <w:tcW w:w="1045" w:type="dxa"/>
            <w:tcBorders>
              <w:top w:val="nil"/>
              <w:left w:val="nil"/>
              <w:bottom w:val="single" w:sz="4" w:space="0" w:color="auto"/>
              <w:right w:val="single" w:sz="4" w:space="0" w:color="auto"/>
            </w:tcBorders>
            <w:shd w:val="clear" w:color="auto" w:fill="auto"/>
            <w:noWrap/>
            <w:vAlign w:val="center"/>
            <w:hideMark/>
          </w:tcPr>
          <w:p w14:paraId="38FC64A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5AECB7D"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0.20</w:t>
            </w:r>
          </w:p>
        </w:tc>
        <w:tc>
          <w:tcPr>
            <w:tcW w:w="1045" w:type="dxa"/>
            <w:tcBorders>
              <w:top w:val="nil"/>
              <w:left w:val="nil"/>
              <w:bottom w:val="single" w:sz="4" w:space="0" w:color="auto"/>
              <w:right w:val="single" w:sz="4" w:space="0" w:color="auto"/>
            </w:tcBorders>
            <w:shd w:val="clear" w:color="auto" w:fill="auto"/>
            <w:noWrap/>
            <w:vAlign w:val="center"/>
            <w:hideMark/>
          </w:tcPr>
          <w:p w14:paraId="5DC14C4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B993AA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06B1AB7"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0.02</w:t>
            </w:r>
          </w:p>
        </w:tc>
        <w:tc>
          <w:tcPr>
            <w:tcW w:w="1045" w:type="dxa"/>
            <w:tcBorders>
              <w:top w:val="nil"/>
              <w:left w:val="nil"/>
              <w:bottom w:val="single" w:sz="4" w:space="0" w:color="auto"/>
              <w:right w:val="single" w:sz="4" w:space="0" w:color="auto"/>
            </w:tcBorders>
            <w:shd w:val="clear" w:color="auto" w:fill="auto"/>
            <w:noWrap/>
            <w:vAlign w:val="center"/>
            <w:hideMark/>
          </w:tcPr>
          <w:p w14:paraId="47ECAB5B"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5D76A9D5"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0.03</w:t>
            </w:r>
          </w:p>
        </w:tc>
        <w:tc>
          <w:tcPr>
            <w:tcW w:w="1045" w:type="dxa"/>
            <w:tcBorders>
              <w:top w:val="nil"/>
              <w:left w:val="nil"/>
              <w:bottom w:val="single" w:sz="4" w:space="0" w:color="auto"/>
              <w:right w:val="single" w:sz="4" w:space="0" w:color="auto"/>
            </w:tcBorders>
            <w:shd w:val="clear" w:color="auto" w:fill="auto"/>
            <w:noWrap/>
            <w:vAlign w:val="center"/>
            <w:hideMark/>
          </w:tcPr>
          <w:p w14:paraId="2C5E402C"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0.10</w:t>
            </w:r>
          </w:p>
        </w:tc>
      </w:tr>
      <w:tr w:rsidR="001B7CB3" w:rsidRPr="001B7CB3" w14:paraId="5D1BAE47"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7F4E3CCE"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77F9A1A"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Hook</w:t>
            </w:r>
          </w:p>
        </w:tc>
        <w:tc>
          <w:tcPr>
            <w:tcW w:w="740" w:type="dxa"/>
            <w:tcBorders>
              <w:top w:val="nil"/>
              <w:left w:val="nil"/>
              <w:bottom w:val="single" w:sz="4" w:space="0" w:color="auto"/>
              <w:right w:val="single" w:sz="4" w:space="0" w:color="auto"/>
            </w:tcBorders>
            <w:shd w:val="clear" w:color="auto" w:fill="auto"/>
            <w:noWrap/>
            <w:vAlign w:val="center"/>
            <w:hideMark/>
          </w:tcPr>
          <w:p w14:paraId="7547CD9B"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EA79E61"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3.04</w:t>
            </w:r>
          </w:p>
        </w:tc>
        <w:tc>
          <w:tcPr>
            <w:tcW w:w="1045" w:type="dxa"/>
            <w:tcBorders>
              <w:top w:val="nil"/>
              <w:left w:val="nil"/>
              <w:bottom w:val="single" w:sz="4" w:space="0" w:color="auto"/>
              <w:right w:val="single" w:sz="4" w:space="0" w:color="auto"/>
            </w:tcBorders>
            <w:shd w:val="clear" w:color="auto" w:fill="auto"/>
            <w:noWrap/>
            <w:vAlign w:val="center"/>
            <w:hideMark/>
          </w:tcPr>
          <w:p w14:paraId="5F73DEC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B37706E"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1.44</w:t>
            </w:r>
          </w:p>
        </w:tc>
        <w:tc>
          <w:tcPr>
            <w:tcW w:w="1045" w:type="dxa"/>
            <w:tcBorders>
              <w:top w:val="nil"/>
              <w:left w:val="nil"/>
              <w:bottom w:val="single" w:sz="4" w:space="0" w:color="auto"/>
              <w:right w:val="single" w:sz="4" w:space="0" w:color="auto"/>
            </w:tcBorders>
            <w:shd w:val="clear" w:color="auto" w:fill="auto"/>
            <w:noWrap/>
            <w:vAlign w:val="center"/>
            <w:hideMark/>
          </w:tcPr>
          <w:p w14:paraId="18E125D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076A3D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2795CE8"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74EE0147"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9B3E83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5DF931E"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0411AE18"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09F9C578"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4E1940BE"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39D5A30C"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DCDE06"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2.12</w:t>
            </w:r>
          </w:p>
        </w:tc>
        <w:tc>
          <w:tcPr>
            <w:tcW w:w="1045" w:type="dxa"/>
            <w:tcBorders>
              <w:top w:val="nil"/>
              <w:left w:val="nil"/>
              <w:bottom w:val="single" w:sz="4" w:space="0" w:color="auto"/>
              <w:right w:val="single" w:sz="4" w:space="0" w:color="auto"/>
            </w:tcBorders>
            <w:shd w:val="clear" w:color="auto" w:fill="auto"/>
            <w:noWrap/>
            <w:vAlign w:val="center"/>
            <w:hideMark/>
          </w:tcPr>
          <w:p w14:paraId="5B3E5DC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2A06DB8"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0.31</w:t>
            </w:r>
          </w:p>
        </w:tc>
        <w:tc>
          <w:tcPr>
            <w:tcW w:w="1045" w:type="dxa"/>
            <w:tcBorders>
              <w:top w:val="nil"/>
              <w:left w:val="nil"/>
              <w:bottom w:val="single" w:sz="4" w:space="0" w:color="auto"/>
              <w:right w:val="single" w:sz="4" w:space="0" w:color="auto"/>
            </w:tcBorders>
            <w:shd w:val="clear" w:color="auto" w:fill="auto"/>
            <w:noWrap/>
            <w:vAlign w:val="center"/>
            <w:hideMark/>
          </w:tcPr>
          <w:p w14:paraId="5F9DD7D3"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56DAB6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B552832"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2CF3CC3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FEE7A2E"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0.13</w:t>
            </w:r>
          </w:p>
        </w:tc>
        <w:tc>
          <w:tcPr>
            <w:tcW w:w="1045" w:type="dxa"/>
            <w:tcBorders>
              <w:top w:val="nil"/>
              <w:left w:val="nil"/>
              <w:bottom w:val="single" w:sz="4" w:space="0" w:color="auto"/>
              <w:right w:val="single" w:sz="4" w:space="0" w:color="auto"/>
            </w:tcBorders>
            <w:shd w:val="clear" w:color="auto" w:fill="auto"/>
            <w:noWrap/>
            <w:vAlign w:val="center"/>
            <w:hideMark/>
          </w:tcPr>
          <w:p w14:paraId="1AD1F787"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299F267C"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35507D1A"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DC12A1"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Double Cone</w:t>
            </w:r>
          </w:p>
        </w:tc>
        <w:tc>
          <w:tcPr>
            <w:tcW w:w="740" w:type="dxa"/>
            <w:tcBorders>
              <w:top w:val="nil"/>
              <w:left w:val="nil"/>
              <w:bottom w:val="single" w:sz="4" w:space="0" w:color="auto"/>
              <w:right w:val="single" w:sz="4" w:space="0" w:color="auto"/>
            </w:tcBorders>
            <w:shd w:val="clear" w:color="auto" w:fill="auto"/>
            <w:noWrap/>
            <w:vAlign w:val="center"/>
            <w:hideMark/>
          </w:tcPr>
          <w:p w14:paraId="74C38F90"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0D6788DE"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0.03</w:t>
            </w:r>
          </w:p>
        </w:tc>
        <w:tc>
          <w:tcPr>
            <w:tcW w:w="1045" w:type="dxa"/>
            <w:tcBorders>
              <w:top w:val="nil"/>
              <w:left w:val="nil"/>
              <w:bottom w:val="single" w:sz="4" w:space="0" w:color="auto"/>
              <w:right w:val="single" w:sz="4" w:space="0" w:color="auto"/>
            </w:tcBorders>
            <w:shd w:val="clear" w:color="auto" w:fill="auto"/>
            <w:noWrap/>
            <w:vAlign w:val="center"/>
            <w:hideMark/>
          </w:tcPr>
          <w:p w14:paraId="57FA625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B9CB96B"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0.19</w:t>
            </w:r>
          </w:p>
        </w:tc>
        <w:tc>
          <w:tcPr>
            <w:tcW w:w="1045" w:type="dxa"/>
            <w:tcBorders>
              <w:top w:val="nil"/>
              <w:left w:val="nil"/>
              <w:bottom w:val="single" w:sz="4" w:space="0" w:color="auto"/>
              <w:right w:val="single" w:sz="4" w:space="0" w:color="auto"/>
            </w:tcBorders>
            <w:shd w:val="clear" w:color="auto" w:fill="auto"/>
            <w:noWrap/>
            <w:vAlign w:val="center"/>
            <w:hideMark/>
          </w:tcPr>
          <w:p w14:paraId="06820EB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67B824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B42E5E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07A49D3"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E6EF00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0FA33B9"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692259E9"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59943A90"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26978626"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1E021F7F"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27F0DBF"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0.13</w:t>
            </w:r>
          </w:p>
        </w:tc>
        <w:tc>
          <w:tcPr>
            <w:tcW w:w="1045" w:type="dxa"/>
            <w:tcBorders>
              <w:top w:val="nil"/>
              <w:left w:val="nil"/>
              <w:bottom w:val="single" w:sz="4" w:space="0" w:color="auto"/>
              <w:right w:val="single" w:sz="4" w:space="0" w:color="auto"/>
            </w:tcBorders>
            <w:shd w:val="clear" w:color="auto" w:fill="auto"/>
            <w:noWrap/>
            <w:vAlign w:val="center"/>
            <w:hideMark/>
          </w:tcPr>
          <w:p w14:paraId="6F3F449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936ED0E"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0.69</w:t>
            </w:r>
          </w:p>
        </w:tc>
        <w:tc>
          <w:tcPr>
            <w:tcW w:w="1045" w:type="dxa"/>
            <w:tcBorders>
              <w:top w:val="nil"/>
              <w:left w:val="nil"/>
              <w:bottom w:val="single" w:sz="4" w:space="0" w:color="auto"/>
              <w:right w:val="single" w:sz="4" w:space="0" w:color="auto"/>
            </w:tcBorders>
            <w:shd w:val="clear" w:color="auto" w:fill="auto"/>
            <w:noWrap/>
            <w:vAlign w:val="center"/>
            <w:hideMark/>
          </w:tcPr>
          <w:p w14:paraId="7B3125B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780284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A962D7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E5C24B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FF9A10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6A45375"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3E2F6E25"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65E03880"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E4862D"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Daydream</w:t>
            </w:r>
          </w:p>
        </w:tc>
        <w:tc>
          <w:tcPr>
            <w:tcW w:w="740" w:type="dxa"/>
            <w:tcBorders>
              <w:top w:val="nil"/>
              <w:left w:val="nil"/>
              <w:bottom w:val="single" w:sz="4" w:space="0" w:color="auto"/>
              <w:right w:val="single" w:sz="4" w:space="0" w:color="auto"/>
            </w:tcBorders>
            <w:shd w:val="clear" w:color="auto" w:fill="auto"/>
            <w:noWrap/>
            <w:vAlign w:val="center"/>
            <w:hideMark/>
          </w:tcPr>
          <w:p w14:paraId="0AFC59F9"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0E144EF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C264BB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432D01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C65054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A892EB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BD30BB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A75130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868633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7B3F7A0"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7C32D603"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3CA1640C"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1687FBB3"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79CFC59C"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32DCEBBB"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0.02</w:t>
            </w:r>
          </w:p>
        </w:tc>
        <w:tc>
          <w:tcPr>
            <w:tcW w:w="1045" w:type="dxa"/>
            <w:tcBorders>
              <w:top w:val="nil"/>
              <w:left w:val="nil"/>
              <w:bottom w:val="single" w:sz="4" w:space="0" w:color="auto"/>
              <w:right w:val="single" w:sz="4" w:space="0" w:color="auto"/>
            </w:tcBorders>
            <w:shd w:val="clear" w:color="auto" w:fill="auto"/>
            <w:noWrap/>
            <w:vAlign w:val="center"/>
            <w:hideMark/>
          </w:tcPr>
          <w:p w14:paraId="604C3AB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775CA9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CE9AE3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BCE3A8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1A7CA6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D0D5D5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4C3813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B41F3CE"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74BC59D9"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4549296D"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C709A6"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Dent</w:t>
            </w:r>
          </w:p>
        </w:tc>
        <w:tc>
          <w:tcPr>
            <w:tcW w:w="740" w:type="dxa"/>
            <w:tcBorders>
              <w:top w:val="nil"/>
              <w:left w:val="nil"/>
              <w:bottom w:val="single" w:sz="4" w:space="0" w:color="auto"/>
              <w:right w:val="single" w:sz="4" w:space="0" w:color="auto"/>
            </w:tcBorders>
            <w:shd w:val="clear" w:color="auto" w:fill="auto"/>
            <w:noWrap/>
            <w:vAlign w:val="center"/>
            <w:hideMark/>
          </w:tcPr>
          <w:p w14:paraId="48C9F0FB"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062EB88F"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0.12</w:t>
            </w:r>
          </w:p>
        </w:tc>
        <w:tc>
          <w:tcPr>
            <w:tcW w:w="1045" w:type="dxa"/>
            <w:tcBorders>
              <w:top w:val="nil"/>
              <w:left w:val="nil"/>
              <w:bottom w:val="single" w:sz="4" w:space="0" w:color="auto"/>
              <w:right w:val="single" w:sz="4" w:space="0" w:color="auto"/>
            </w:tcBorders>
            <w:shd w:val="clear" w:color="auto" w:fill="auto"/>
            <w:noWrap/>
            <w:vAlign w:val="center"/>
            <w:hideMark/>
          </w:tcPr>
          <w:p w14:paraId="496B0497"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99BE900"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2.81</w:t>
            </w:r>
          </w:p>
        </w:tc>
        <w:tc>
          <w:tcPr>
            <w:tcW w:w="1045" w:type="dxa"/>
            <w:tcBorders>
              <w:top w:val="nil"/>
              <w:left w:val="nil"/>
              <w:bottom w:val="single" w:sz="4" w:space="0" w:color="auto"/>
              <w:right w:val="single" w:sz="4" w:space="0" w:color="auto"/>
            </w:tcBorders>
            <w:shd w:val="clear" w:color="auto" w:fill="auto"/>
            <w:noWrap/>
            <w:vAlign w:val="center"/>
            <w:hideMark/>
          </w:tcPr>
          <w:p w14:paraId="5D467E2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462F0F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2C225A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D2BDBF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6A2CAE7"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E4EEBE4"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1113BBC6"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78CFD9BB"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58E0DD88"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459F9B53"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17168EBB"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0.07</w:t>
            </w:r>
          </w:p>
        </w:tc>
        <w:tc>
          <w:tcPr>
            <w:tcW w:w="1045" w:type="dxa"/>
            <w:tcBorders>
              <w:top w:val="nil"/>
              <w:left w:val="nil"/>
              <w:bottom w:val="single" w:sz="4" w:space="0" w:color="auto"/>
              <w:right w:val="single" w:sz="4" w:space="0" w:color="auto"/>
            </w:tcBorders>
            <w:shd w:val="clear" w:color="auto" w:fill="auto"/>
            <w:noWrap/>
            <w:vAlign w:val="center"/>
            <w:hideMark/>
          </w:tcPr>
          <w:p w14:paraId="576E4BA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D598748"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0.56</w:t>
            </w:r>
          </w:p>
        </w:tc>
        <w:tc>
          <w:tcPr>
            <w:tcW w:w="1045" w:type="dxa"/>
            <w:tcBorders>
              <w:top w:val="nil"/>
              <w:left w:val="nil"/>
              <w:bottom w:val="single" w:sz="4" w:space="0" w:color="auto"/>
              <w:right w:val="single" w:sz="4" w:space="0" w:color="auto"/>
            </w:tcBorders>
            <w:shd w:val="clear" w:color="auto" w:fill="auto"/>
            <w:noWrap/>
            <w:vAlign w:val="center"/>
            <w:hideMark/>
          </w:tcPr>
          <w:p w14:paraId="2EA7BCC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402268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18C51F9"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4F3183F7"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9A071A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B34BBC1"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08C9A15E"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3D175A8B"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F96881"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Shute Harbour</w:t>
            </w:r>
          </w:p>
        </w:tc>
        <w:tc>
          <w:tcPr>
            <w:tcW w:w="740" w:type="dxa"/>
            <w:tcBorders>
              <w:top w:val="nil"/>
              <w:left w:val="nil"/>
              <w:bottom w:val="single" w:sz="4" w:space="0" w:color="auto"/>
              <w:right w:val="single" w:sz="4" w:space="0" w:color="auto"/>
            </w:tcBorders>
            <w:shd w:val="clear" w:color="auto" w:fill="auto"/>
            <w:noWrap/>
            <w:vAlign w:val="center"/>
            <w:hideMark/>
          </w:tcPr>
          <w:p w14:paraId="522AE6D1"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2E5C47B"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0.63</w:t>
            </w:r>
          </w:p>
        </w:tc>
        <w:tc>
          <w:tcPr>
            <w:tcW w:w="1045" w:type="dxa"/>
            <w:tcBorders>
              <w:top w:val="nil"/>
              <w:left w:val="nil"/>
              <w:bottom w:val="single" w:sz="4" w:space="0" w:color="auto"/>
              <w:right w:val="single" w:sz="4" w:space="0" w:color="auto"/>
            </w:tcBorders>
            <w:shd w:val="clear" w:color="auto" w:fill="auto"/>
            <w:noWrap/>
            <w:vAlign w:val="center"/>
            <w:hideMark/>
          </w:tcPr>
          <w:p w14:paraId="53AF736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CEA422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1F7C96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9F7217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8CC3F1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E9CC27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EDD7E7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24A55C7"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6D4F1AB2"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3A40401B"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4DE8250C"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5DE22402"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478C5B16"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0.39</w:t>
            </w:r>
          </w:p>
        </w:tc>
        <w:tc>
          <w:tcPr>
            <w:tcW w:w="1045" w:type="dxa"/>
            <w:tcBorders>
              <w:top w:val="nil"/>
              <w:left w:val="nil"/>
              <w:bottom w:val="single" w:sz="4" w:space="0" w:color="auto"/>
              <w:right w:val="single" w:sz="4" w:space="0" w:color="auto"/>
            </w:tcBorders>
            <w:shd w:val="clear" w:color="auto" w:fill="auto"/>
            <w:noWrap/>
            <w:vAlign w:val="center"/>
            <w:hideMark/>
          </w:tcPr>
          <w:p w14:paraId="6E8F263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4BA1A4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28EA08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4B07417"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06280AD"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3DEF636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3C48E1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68B692F"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550EA807"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0EC00AB7"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67BF41"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Pine</w:t>
            </w:r>
          </w:p>
        </w:tc>
        <w:tc>
          <w:tcPr>
            <w:tcW w:w="740" w:type="dxa"/>
            <w:tcBorders>
              <w:top w:val="nil"/>
              <w:left w:val="nil"/>
              <w:bottom w:val="single" w:sz="4" w:space="0" w:color="auto"/>
              <w:right w:val="single" w:sz="4" w:space="0" w:color="auto"/>
            </w:tcBorders>
            <w:shd w:val="clear" w:color="auto" w:fill="auto"/>
            <w:noWrap/>
            <w:vAlign w:val="center"/>
            <w:hideMark/>
          </w:tcPr>
          <w:p w14:paraId="3F212A55"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7661D352"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21F4E5D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B21C55D"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0.31</w:t>
            </w:r>
          </w:p>
        </w:tc>
        <w:tc>
          <w:tcPr>
            <w:tcW w:w="1045" w:type="dxa"/>
            <w:tcBorders>
              <w:top w:val="nil"/>
              <w:left w:val="nil"/>
              <w:bottom w:val="single" w:sz="4" w:space="0" w:color="auto"/>
              <w:right w:val="single" w:sz="4" w:space="0" w:color="auto"/>
            </w:tcBorders>
            <w:shd w:val="clear" w:color="auto" w:fill="auto"/>
            <w:noWrap/>
            <w:vAlign w:val="center"/>
            <w:hideMark/>
          </w:tcPr>
          <w:p w14:paraId="699D685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6B8862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FFE867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27A55D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A3B9FE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C730EE1"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71736ACF"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2E50E9AA"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7120DF6B"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152802B6"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3AFCB6E4"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0.07</w:t>
            </w:r>
          </w:p>
        </w:tc>
        <w:tc>
          <w:tcPr>
            <w:tcW w:w="1045" w:type="dxa"/>
            <w:tcBorders>
              <w:top w:val="nil"/>
              <w:left w:val="nil"/>
              <w:bottom w:val="single" w:sz="4" w:space="0" w:color="auto"/>
              <w:right w:val="single" w:sz="4" w:space="0" w:color="auto"/>
            </w:tcBorders>
            <w:shd w:val="clear" w:color="auto" w:fill="auto"/>
            <w:noWrap/>
            <w:vAlign w:val="center"/>
            <w:hideMark/>
          </w:tcPr>
          <w:p w14:paraId="0C011A3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156FA69"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0.38</w:t>
            </w:r>
          </w:p>
        </w:tc>
        <w:tc>
          <w:tcPr>
            <w:tcW w:w="1045" w:type="dxa"/>
            <w:tcBorders>
              <w:top w:val="nil"/>
              <w:left w:val="nil"/>
              <w:bottom w:val="single" w:sz="4" w:space="0" w:color="auto"/>
              <w:right w:val="single" w:sz="4" w:space="0" w:color="auto"/>
            </w:tcBorders>
            <w:shd w:val="clear" w:color="auto" w:fill="auto"/>
            <w:noWrap/>
            <w:vAlign w:val="center"/>
            <w:hideMark/>
          </w:tcPr>
          <w:p w14:paraId="20D1467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78A1A0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815589C"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55F518E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6C8897E"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464F761F"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3648326C"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73D58873"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1E08A5A"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Seaforth</w:t>
            </w:r>
          </w:p>
        </w:tc>
        <w:tc>
          <w:tcPr>
            <w:tcW w:w="740" w:type="dxa"/>
            <w:tcBorders>
              <w:top w:val="nil"/>
              <w:left w:val="nil"/>
              <w:bottom w:val="single" w:sz="4" w:space="0" w:color="auto"/>
              <w:right w:val="single" w:sz="4" w:space="0" w:color="auto"/>
            </w:tcBorders>
            <w:shd w:val="clear" w:color="auto" w:fill="auto"/>
            <w:noWrap/>
            <w:vAlign w:val="center"/>
            <w:hideMark/>
          </w:tcPr>
          <w:p w14:paraId="7E289228"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757C0536"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0.62</w:t>
            </w:r>
          </w:p>
        </w:tc>
        <w:tc>
          <w:tcPr>
            <w:tcW w:w="1045" w:type="dxa"/>
            <w:tcBorders>
              <w:top w:val="nil"/>
              <w:left w:val="nil"/>
              <w:bottom w:val="single" w:sz="4" w:space="0" w:color="auto"/>
              <w:right w:val="single" w:sz="4" w:space="0" w:color="auto"/>
            </w:tcBorders>
            <w:shd w:val="clear" w:color="auto" w:fill="auto"/>
            <w:noWrap/>
            <w:vAlign w:val="center"/>
            <w:hideMark/>
          </w:tcPr>
          <w:p w14:paraId="31E0CC0C"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1800C3B3"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0.31</w:t>
            </w:r>
          </w:p>
        </w:tc>
        <w:tc>
          <w:tcPr>
            <w:tcW w:w="1045" w:type="dxa"/>
            <w:tcBorders>
              <w:top w:val="nil"/>
              <w:left w:val="nil"/>
              <w:bottom w:val="single" w:sz="4" w:space="0" w:color="auto"/>
              <w:right w:val="single" w:sz="4" w:space="0" w:color="auto"/>
            </w:tcBorders>
            <w:shd w:val="clear" w:color="auto" w:fill="auto"/>
            <w:noWrap/>
            <w:vAlign w:val="center"/>
            <w:hideMark/>
          </w:tcPr>
          <w:p w14:paraId="70606D9C"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E59F3B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BE822B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3891296"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2C9AD63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B19C285"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7908B439"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0AC3255D"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7B7D293D"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0BA3FBCE"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2CFFBE04"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0.15</w:t>
            </w:r>
          </w:p>
        </w:tc>
        <w:tc>
          <w:tcPr>
            <w:tcW w:w="1045" w:type="dxa"/>
            <w:tcBorders>
              <w:top w:val="nil"/>
              <w:left w:val="nil"/>
              <w:bottom w:val="single" w:sz="4" w:space="0" w:color="auto"/>
              <w:right w:val="single" w:sz="4" w:space="0" w:color="auto"/>
            </w:tcBorders>
            <w:shd w:val="clear" w:color="auto" w:fill="auto"/>
            <w:noWrap/>
            <w:vAlign w:val="center"/>
            <w:hideMark/>
          </w:tcPr>
          <w:p w14:paraId="6A29716C"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0.44</w:t>
            </w:r>
          </w:p>
        </w:tc>
        <w:tc>
          <w:tcPr>
            <w:tcW w:w="1045" w:type="dxa"/>
            <w:tcBorders>
              <w:top w:val="nil"/>
              <w:left w:val="nil"/>
              <w:bottom w:val="single" w:sz="4" w:space="0" w:color="auto"/>
              <w:right w:val="single" w:sz="4" w:space="0" w:color="auto"/>
            </w:tcBorders>
            <w:shd w:val="clear" w:color="auto" w:fill="auto"/>
            <w:noWrap/>
            <w:vAlign w:val="center"/>
            <w:hideMark/>
          </w:tcPr>
          <w:p w14:paraId="52F1317F"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2.25</w:t>
            </w:r>
          </w:p>
        </w:tc>
        <w:tc>
          <w:tcPr>
            <w:tcW w:w="1045" w:type="dxa"/>
            <w:tcBorders>
              <w:top w:val="nil"/>
              <w:left w:val="nil"/>
              <w:bottom w:val="single" w:sz="4" w:space="0" w:color="auto"/>
              <w:right w:val="single" w:sz="4" w:space="0" w:color="auto"/>
            </w:tcBorders>
            <w:shd w:val="clear" w:color="auto" w:fill="auto"/>
            <w:noWrap/>
            <w:vAlign w:val="center"/>
            <w:hideMark/>
          </w:tcPr>
          <w:p w14:paraId="0A04B93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2434CC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AE52C3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4DCE26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8E6C01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7642C6B"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0.06</w:t>
            </w:r>
          </w:p>
        </w:tc>
      </w:tr>
      <w:tr w:rsidR="001B7CB3" w:rsidRPr="001B7CB3" w14:paraId="4D37E4B4" w14:textId="77777777" w:rsidTr="006B2ADA">
        <w:trPr>
          <w:trHeight w:hRule="exact" w:val="284"/>
        </w:trPr>
        <w:tc>
          <w:tcPr>
            <w:tcW w:w="1046"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DF6E71E"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Fitzroy</w:t>
            </w: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40D3FD7"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Barren</w:t>
            </w:r>
          </w:p>
        </w:tc>
        <w:tc>
          <w:tcPr>
            <w:tcW w:w="740" w:type="dxa"/>
            <w:tcBorders>
              <w:top w:val="nil"/>
              <w:left w:val="nil"/>
              <w:bottom w:val="single" w:sz="4" w:space="0" w:color="auto"/>
              <w:right w:val="single" w:sz="4" w:space="0" w:color="auto"/>
            </w:tcBorders>
            <w:shd w:val="clear" w:color="auto" w:fill="auto"/>
            <w:noWrap/>
            <w:vAlign w:val="center"/>
            <w:hideMark/>
          </w:tcPr>
          <w:p w14:paraId="6B57020E"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03F6C2F5"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0.02</w:t>
            </w:r>
          </w:p>
        </w:tc>
        <w:tc>
          <w:tcPr>
            <w:tcW w:w="1045" w:type="dxa"/>
            <w:tcBorders>
              <w:top w:val="nil"/>
              <w:left w:val="nil"/>
              <w:bottom w:val="single" w:sz="4" w:space="0" w:color="auto"/>
              <w:right w:val="single" w:sz="4" w:space="0" w:color="auto"/>
            </w:tcBorders>
            <w:shd w:val="clear" w:color="auto" w:fill="auto"/>
            <w:noWrap/>
            <w:vAlign w:val="center"/>
            <w:hideMark/>
          </w:tcPr>
          <w:p w14:paraId="2CA1EBD3"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AE0C7A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C5949B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86E7DE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1DFC66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0CC2B73"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0.07</w:t>
            </w:r>
          </w:p>
        </w:tc>
        <w:tc>
          <w:tcPr>
            <w:tcW w:w="1045" w:type="dxa"/>
            <w:tcBorders>
              <w:top w:val="nil"/>
              <w:left w:val="nil"/>
              <w:bottom w:val="single" w:sz="4" w:space="0" w:color="auto"/>
              <w:right w:val="single" w:sz="4" w:space="0" w:color="auto"/>
            </w:tcBorders>
            <w:shd w:val="clear" w:color="auto" w:fill="auto"/>
            <w:noWrap/>
            <w:vAlign w:val="center"/>
            <w:hideMark/>
          </w:tcPr>
          <w:p w14:paraId="43ABAB2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BD2B35E"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58600E0E"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744DB922"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64C45532"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5B054524"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743A581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D520DF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FEDE18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3F2693C"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5BC178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BDFBC9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1537E59"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0.63</w:t>
            </w:r>
          </w:p>
        </w:tc>
        <w:tc>
          <w:tcPr>
            <w:tcW w:w="1045" w:type="dxa"/>
            <w:tcBorders>
              <w:top w:val="nil"/>
              <w:left w:val="nil"/>
              <w:bottom w:val="single" w:sz="4" w:space="0" w:color="auto"/>
              <w:right w:val="single" w:sz="4" w:space="0" w:color="auto"/>
            </w:tcBorders>
            <w:shd w:val="clear" w:color="auto" w:fill="auto"/>
            <w:noWrap/>
            <w:vAlign w:val="center"/>
            <w:hideMark/>
          </w:tcPr>
          <w:p w14:paraId="1B22CF5C"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179CAA6"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4509D096"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7808216C"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F7337A"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North Keppel</w:t>
            </w:r>
          </w:p>
        </w:tc>
        <w:tc>
          <w:tcPr>
            <w:tcW w:w="740" w:type="dxa"/>
            <w:tcBorders>
              <w:top w:val="nil"/>
              <w:left w:val="nil"/>
              <w:bottom w:val="single" w:sz="4" w:space="0" w:color="auto"/>
              <w:right w:val="single" w:sz="4" w:space="0" w:color="auto"/>
            </w:tcBorders>
            <w:shd w:val="clear" w:color="auto" w:fill="auto"/>
            <w:noWrap/>
            <w:vAlign w:val="center"/>
            <w:hideMark/>
          </w:tcPr>
          <w:p w14:paraId="287ECA48"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2322E27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C57569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DA274E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C6C117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8E707F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229E46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C2D04E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6232EC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EC635C6"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3EFAEB1D"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2493D473"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5649FDF7"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6FA0E3CA"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0A4FAE47"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2DDD90D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80B5B8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6C343C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C0CEFA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753C8B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448F56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DFAEB6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E257B60"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54630AB3"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3B1A9E30"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7336B70"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Middle</w:t>
            </w:r>
          </w:p>
        </w:tc>
        <w:tc>
          <w:tcPr>
            <w:tcW w:w="740" w:type="dxa"/>
            <w:tcBorders>
              <w:top w:val="nil"/>
              <w:left w:val="nil"/>
              <w:bottom w:val="single" w:sz="4" w:space="0" w:color="auto"/>
              <w:right w:val="single" w:sz="4" w:space="0" w:color="auto"/>
            </w:tcBorders>
            <w:shd w:val="clear" w:color="auto" w:fill="auto"/>
            <w:noWrap/>
            <w:vAlign w:val="center"/>
            <w:hideMark/>
          </w:tcPr>
          <w:p w14:paraId="5AAD4C8D"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455EA52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AF27A2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345BBE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545950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9733C2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4D6B13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B59E5D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2D37F5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6C8E76D"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0094BBC6"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769E6784"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35F621C6"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3E7A7548"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7AF22883"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0.03</w:t>
            </w:r>
          </w:p>
        </w:tc>
        <w:tc>
          <w:tcPr>
            <w:tcW w:w="1045" w:type="dxa"/>
            <w:tcBorders>
              <w:top w:val="nil"/>
              <w:left w:val="nil"/>
              <w:bottom w:val="single" w:sz="4" w:space="0" w:color="auto"/>
              <w:right w:val="single" w:sz="4" w:space="0" w:color="auto"/>
            </w:tcBorders>
            <w:shd w:val="clear" w:color="auto" w:fill="auto"/>
            <w:noWrap/>
            <w:vAlign w:val="center"/>
            <w:hideMark/>
          </w:tcPr>
          <w:p w14:paraId="3709363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7724D0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701C5F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A15101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51811F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775D3A5"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E45538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4A171BA"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3ED00803"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64F44E2E"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681DD9"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Keppels South</w:t>
            </w:r>
          </w:p>
        </w:tc>
        <w:tc>
          <w:tcPr>
            <w:tcW w:w="740" w:type="dxa"/>
            <w:tcBorders>
              <w:top w:val="nil"/>
              <w:left w:val="nil"/>
              <w:bottom w:val="single" w:sz="4" w:space="0" w:color="auto"/>
              <w:right w:val="single" w:sz="4" w:space="0" w:color="auto"/>
            </w:tcBorders>
            <w:shd w:val="clear" w:color="auto" w:fill="auto"/>
            <w:noWrap/>
            <w:vAlign w:val="center"/>
            <w:hideMark/>
          </w:tcPr>
          <w:p w14:paraId="344DB253"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23BEDF3D"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6C86ECC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F36119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84DA76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61BA9D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E4FFA1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D39514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AEF778B"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FC9E12B"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3BE6B7D1"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4DD02951"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45CDD42E"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0451B4B1"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4D8DA4D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DF8E0CF"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FD53AD7"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23F3B8D"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EDC43DA"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323BB72"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CDAAF34"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0.04</w:t>
            </w:r>
          </w:p>
        </w:tc>
        <w:tc>
          <w:tcPr>
            <w:tcW w:w="1045" w:type="dxa"/>
            <w:tcBorders>
              <w:top w:val="nil"/>
              <w:left w:val="nil"/>
              <w:bottom w:val="single" w:sz="4" w:space="0" w:color="auto"/>
              <w:right w:val="single" w:sz="4" w:space="0" w:color="auto"/>
            </w:tcBorders>
            <w:shd w:val="clear" w:color="auto" w:fill="auto"/>
            <w:noWrap/>
            <w:vAlign w:val="center"/>
            <w:hideMark/>
          </w:tcPr>
          <w:p w14:paraId="3C80068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6865E92"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338732BB"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1D26B048"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0458E73"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Pelican</w:t>
            </w:r>
          </w:p>
        </w:tc>
        <w:tc>
          <w:tcPr>
            <w:tcW w:w="740" w:type="dxa"/>
            <w:tcBorders>
              <w:top w:val="nil"/>
              <w:left w:val="nil"/>
              <w:bottom w:val="single" w:sz="4" w:space="0" w:color="auto"/>
              <w:right w:val="single" w:sz="4" w:space="0" w:color="auto"/>
            </w:tcBorders>
            <w:shd w:val="clear" w:color="auto" w:fill="auto"/>
            <w:noWrap/>
            <w:vAlign w:val="center"/>
            <w:hideMark/>
          </w:tcPr>
          <w:p w14:paraId="3776B8E1"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609F672E"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E462893"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48F7993"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F37E50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E5920B8"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C49060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87892C3"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14A2E503"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83850F9"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5F6841EF"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64B1F457"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19F7A797"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4CE51A9B"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0C3A827B"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0.34</w:t>
            </w:r>
          </w:p>
        </w:tc>
        <w:tc>
          <w:tcPr>
            <w:tcW w:w="1045" w:type="dxa"/>
            <w:tcBorders>
              <w:top w:val="nil"/>
              <w:left w:val="nil"/>
              <w:bottom w:val="single" w:sz="4" w:space="0" w:color="auto"/>
              <w:right w:val="single" w:sz="4" w:space="0" w:color="auto"/>
            </w:tcBorders>
            <w:shd w:val="clear" w:color="auto" w:fill="auto"/>
            <w:noWrap/>
            <w:vAlign w:val="center"/>
            <w:hideMark/>
          </w:tcPr>
          <w:p w14:paraId="3BAC57D0"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0.44</w:t>
            </w:r>
          </w:p>
        </w:tc>
        <w:tc>
          <w:tcPr>
            <w:tcW w:w="1045" w:type="dxa"/>
            <w:tcBorders>
              <w:top w:val="nil"/>
              <w:left w:val="nil"/>
              <w:bottom w:val="single" w:sz="4" w:space="0" w:color="auto"/>
              <w:right w:val="single" w:sz="4" w:space="0" w:color="auto"/>
            </w:tcBorders>
            <w:shd w:val="clear" w:color="auto" w:fill="auto"/>
            <w:noWrap/>
            <w:vAlign w:val="center"/>
            <w:hideMark/>
          </w:tcPr>
          <w:p w14:paraId="5DB1AA11"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3D63069"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4B0BE4A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224F3FC5"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554E3A63"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0.07</w:t>
            </w:r>
          </w:p>
        </w:tc>
        <w:tc>
          <w:tcPr>
            <w:tcW w:w="1045" w:type="dxa"/>
            <w:tcBorders>
              <w:top w:val="nil"/>
              <w:left w:val="nil"/>
              <w:bottom w:val="single" w:sz="4" w:space="0" w:color="auto"/>
              <w:right w:val="single" w:sz="4" w:space="0" w:color="auto"/>
            </w:tcBorders>
            <w:shd w:val="clear" w:color="auto" w:fill="auto"/>
            <w:noWrap/>
            <w:vAlign w:val="center"/>
            <w:hideMark/>
          </w:tcPr>
          <w:p w14:paraId="3522CF4B"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0.75</w:t>
            </w:r>
          </w:p>
        </w:tc>
        <w:tc>
          <w:tcPr>
            <w:tcW w:w="1045" w:type="dxa"/>
            <w:tcBorders>
              <w:top w:val="nil"/>
              <w:left w:val="nil"/>
              <w:bottom w:val="single" w:sz="4" w:space="0" w:color="auto"/>
              <w:right w:val="single" w:sz="4" w:space="0" w:color="auto"/>
            </w:tcBorders>
            <w:shd w:val="clear" w:color="auto" w:fill="auto"/>
            <w:noWrap/>
            <w:vAlign w:val="center"/>
            <w:hideMark/>
          </w:tcPr>
          <w:p w14:paraId="1377363B"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0.06</w:t>
            </w:r>
          </w:p>
        </w:tc>
      </w:tr>
      <w:tr w:rsidR="001B7CB3" w:rsidRPr="001B7CB3" w14:paraId="1DDA92F4"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3DB6591F" w14:textId="77777777" w:rsidR="001B7CB3" w:rsidRPr="001B7CB3" w:rsidRDefault="001B7CB3" w:rsidP="001B7CB3">
            <w:pPr>
              <w:spacing w:after="0"/>
              <w:jc w:val="left"/>
              <w:rPr>
                <w:rFonts w:ascii="Arial Narrow" w:hAnsi="Arial Narrow"/>
                <w:sz w:val="20"/>
                <w:lang w:val="en-AU" w:eastAsia="en-AU"/>
              </w:rPr>
            </w:pPr>
          </w:p>
        </w:tc>
        <w:tc>
          <w:tcPr>
            <w:tcW w:w="16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85D84D"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Peak</w:t>
            </w:r>
          </w:p>
        </w:tc>
        <w:tc>
          <w:tcPr>
            <w:tcW w:w="740" w:type="dxa"/>
            <w:tcBorders>
              <w:top w:val="nil"/>
              <w:left w:val="nil"/>
              <w:bottom w:val="single" w:sz="4" w:space="0" w:color="auto"/>
              <w:right w:val="single" w:sz="4" w:space="0" w:color="auto"/>
            </w:tcBorders>
            <w:shd w:val="clear" w:color="auto" w:fill="auto"/>
            <w:noWrap/>
            <w:vAlign w:val="center"/>
            <w:hideMark/>
          </w:tcPr>
          <w:p w14:paraId="04C7B3E1"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7C4C7129"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0.07</w:t>
            </w:r>
          </w:p>
        </w:tc>
        <w:tc>
          <w:tcPr>
            <w:tcW w:w="1045" w:type="dxa"/>
            <w:tcBorders>
              <w:top w:val="nil"/>
              <w:left w:val="nil"/>
              <w:bottom w:val="single" w:sz="4" w:space="0" w:color="auto"/>
              <w:right w:val="single" w:sz="4" w:space="0" w:color="auto"/>
            </w:tcBorders>
            <w:shd w:val="clear" w:color="auto" w:fill="auto"/>
            <w:noWrap/>
            <w:vAlign w:val="center"/>
            <w:hideMark/>
          </w:tcPr>
          <w:p w14:paraId="1B9E3B77"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0.56</w:t>
            </w:r>
          </w:p>
        </w:tc>
        <w:tc>
          <w:tcPr>
            <w:tcW w:w="1045" w:type="dxa"/>
            <w:tcBorders>
              <w:top w:val="nil"/>
              <w:left w:val="nil"/>
              <w:bottom w:val="single" w:sz="4" w:space="0" w:color="auto"/>
              <w:right w:val="single" w:sz="4" w:space="0" w:color="auto"/>
            </w:tcBorders>
            <w:shd w:val="clear" w:color="auto" w:fill="auto"/>
            <w:noWrap/>
            <w:vAlign w:val="center"/>
            <w:hideMark/>
          </w:tcPr>
          <w:p w14:paraId="205C0A97"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060F0BD7"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0.03</w:t>
            </w:r>
          </w:p>
        </w:tc>
        <w:tc>
          <w:tcPr>
            <w:tcW w:w="1045" w:type="dxa"/>
            <w:tcBorders>
              <w:top w:val="nil"/>
              <w:left w:val="nil"/>
              <w:bottom w:val="single" w:sz="4" w:space="0" w:color="auto"/>
              <w:right w:val="single" w:sz="4" w:space="0" w:color="auto"/>
            </w:tcBorders>
            <w:shd w:val="clear" w:color="auto" w:fill="auto"/>
            <w:noWrap/>
            <w:vAlign w:val="center"/>
            <w:hideMark/>
          </w:tcPr>
          <w:p w14:paraId="0A45E77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6CC6D3C"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5B875D74"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73190FFE"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23876FD9" w14:textId="77777777" w:rsidR="001B7CB3" w:rsidRPr="001B7CB3" w:rsidRDefault="001B7CB3" w:rsidP="001B7CB3">
            <w:pPr>
              <w:spacing w:after="0"/>
              <w:jc w:val="center"/>
              <w:rPr>
                <w:rFonts w:ascii="Arial Narrow" w:hAnsi="Arial Narrow"/>
                <w:sz w:val="18"/>
                <w:szCs w:val="18"/>
                <w:lang w:val="en-AU" w:eastAsia="en-AU"/>
              </w:rPr>
            </w:pPr>
          </w:p>
        </w:tc>
      </w:tr>
      <w:tr w:rsidR="001B7CB3" w:rsidRPr="001B7CB3" w14:paraId="1EF0B99B" w14:textId="77777777" w:rsidTr="006B2ADA">
        <w:trPr>
          <w:trHeight w:hRule="exact" w:val="284"/>
        </w:trPr>
        <w:tc>
          <w:tcPr>
            <w:tcW w:w="1046" w:type="dxa"/>
            <w:vMerge/>
            <w:tcBorders>
              <w:top w:val="nil"/>
              <w:left w:val="single" w:sz="4" w:space="0" w:color="auto"/>
              <w:bottom w:val="single" w:sz="4" w:space="0" w:color="auto"/>
              <w:right w:val="single" w:sz="4" w:space="0" w:color="auto"/>
            </w:tcBorders>
            <w:vAlign w:val="center"/>
            <w:hideMark/>
          </w:tcPr>
          <w:p w14:paraId="65445A2E" w14:textId="77777777" w:rsidR="001B7CB3" w:rsidRPr="001B7CB3" w:rsidRDefault="001B7CB3" w:rsidP="001B7CB3">
            <w:pPr>
              <w:spacing w:after="0"/>
              <w:jc w:val="left"/>
              <w:rPr>
                <w:rFonts w:ascii="Arial Narrow" w:hAnsi="Arial Narrow"/>
                <w:sz w:val="20"/>
                <w:lang w:val="en-AU" w:eastAsia="en-AU"/>
              </w:rPr>
            </w:pPr>
          </w:p>
        </w:tc>
        <w:tc>
          <w:tcPr>
            <w:tcW w:w="1656" w:type="dxa"/>
            <w:vMerge/>
            <w:tcBorders>
              <w:top w:val="nil"/>
              <w:left w:val="single" w:sz="4" w:space="0" w:color="auto"/>
              <w:bottom w:val="single" w:sz="4" w:space="0" w:color="auto"/>
              <w:right w:val="single" w:sz="4" w:space="0" w:color="auto"/>
            </w:tcBorders>
            <w:vAlign w:val="center"/>
            <w:hideMark/>
          </w:tcPr>
          <w:p w14:paraId="0A4471C1" w14:textId="77777777" w:rsidR="001B7CB3" w:rsidRPr="001B7CB3" w:rsidRDefault="001B7CB3" w:rsidP="001B7CB3">
            <w:pPr>
              <w:spacing w:after="0"/>
              <w:jc w:val="left"/>
              <w:rPr>
                <w:rFonts w:ascii="Arial Narrow" w:hAnsi="Arial Narrow"/>
                <w:sz w:val="20"/>
                <w:lang w:val="en-AU" w:eastAsia="en-AU"/>
              </w:rPr>
            </w:pPr>
          </w:p>
        </w:tc>
        <w:tc>
          <w:tcPr>
            <w:tcW w:w="740" w:type="dxa"/>
            <w:tcBorders>
              <w:top w:val="nil"/>
              <w:left w:val="nil"/>
              <w:bottom w:val="single" w:sz="4" w:space="0" w:color="auto"/>
              <w:right w:val="single" w:sz="4" w:space="0" w:color="auto"/>
            </w:tcBorders>
            <w:shd w:val="clear" w:color="auto" w:fill="auto"/>
            <w:noWrap/>
            <w:vAlign w:val="center"/>
            <w:hideMark/>
          </w:tcPr>
          <w:p w14:paraId="7ECCA0D2" w14:textId="77777777" w:rsidR="001B7CB3" w:rsidRPr="001B7CB3" w:rsidRDefault="001B7CB3" w:rsidP="001B7CB3">
            <w:pPr>
              <w:spacing w:after="0"/>
              <w:jc w:val="center"/>
              <w:rPr>
                <w:rFonts w:ascii="Arial Narrow" w:hAnsi="Arial Narrow"/>
                <w:sz w:val="20"/>
                <w:lang w:val="en-AU" w:eastAsia="en-AU"/>
              </w:rPr>
            </w:pPr>
            <w:r w:rsidRPr="001B7CB3">
              <w:rPr>
                <w:rFonts w:ascii="Arial Narrow" w:hAnsi="Arial Narrow"/>
                <w:sz w:val="20"/>
                <w:lang w:val="en-AU" w:eastAsia="en-AU"/>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0B42A2D6"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0.11</w:t>
            </w:r>
          </w:p>
        </w:tc>
        <w:tc>
          <w:tcPr>
            <w:tcW w:w="1045" w:type="dxa"/>
            <w:tcBorders>
              <w:top w:val="nil"/>
              <w:left w:val="nil"/>
              <w:bottom w:val="single" w:sz="4" w:space="0" w:color="auto"/>
              <w:right w:val="single" w:sz="4" w:space="0" w:color="auto"/>
            </w:tcBorders>
            <w:shd w:val="clear" w:color="auto" w:fill="auto"/>
            <w:noWrap/>
            <w:vAlign w:val="center"/>
            <w:hideMark/>
          </w:tcPr>
          <w:p w14:paraId="166D99AD"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0.31</w:t>
            </w:r>
          </w:p>
        </w:tc>
        <w:tc>
          <w:tcPr>
            <w:tcW w:w="1045" w:type="dxa"/>
            <w:tcBorders>
              <w:top w:val="nil"/>
              <w:left w:val="nil"/>
              <w:bottom w:val="single" w:sz="4" w:space="0" w:color="auto"/>
              <w:right w:val="single" w:sz="4" w:space="0" w:color="auto"/>
            </w:tcBorders>
            <w:shd w:val="clear" w:color="auto" w:fill="auto"/>
            <w:noWrap/>
            <w:vAlign w:val="center"/>
            <w:hideMark/>
          </w:tcPr>
          <w:p w14:paraId="05AD4297"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2E04BEF"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51CDE8B0"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6364921C"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0.03</w:t>
            </w:r>
          </w:p>
        </w:tc>
        <w:tc>
          <w:tcPr>
            <w:tcW w:w="1045" w:type="dxa"/>
            <w:tcBorders>
              <w:top w:val="nil"/>
              <w:left w:val="nil"/>
              <w:bottom w:val="single" w:sz="4" w:space="0" w:color="auto"/>
              <w:right w:val="single" w:sz="4" w:space="0" w:color="auto"/>
            </w:tcBorders>
            <w:shd w:val="clear" w:color="auto" w:fill="auto"/>
            <w:noWrap/>
            <w:vAlign w:val="center"/>
            <w:hideMark/>
          </w:tcPr>
          <w:p w14:paraId="244624C6" w14:textId="77777777" w:rsidR="001B7CB3" w:rsidRPr="001B7CB3" w:rsidRDefault="001B7CB3" w:rsidP="001B7CB3">
            <w:pPr>
              <w:spacing w:after="0"/>
              <w:jc w:val="center"/>
              <w:rPr>
                <w:rFonts w:ascii="Arial Narrow" w:hAnsi="Arial Narrow"/>
                <w:sz w:val="18"/>
                <w:szCs w:val="18"/>
                <w:lang w:val="en-AU" w:eastAsia="en-AU"/>
              </w:rPr>
            </w:pPr>
          </w:p>
        </w:tc>
        <w:tc>
          <w:tcPr>
            <w:tcW w:w="1045" w:type="dxa"/>
            <w:tcBorders>
              <w:top w:val="nil"/>
              <w:left w:val="nil"/>
              <w:bottom w:val="single" w:sz="4" w:space="0" w:color="auto"/>
              <w:right w:val="single" w:sz="4" w:space="0" w:color="auto"/>
            </w:tcBorders>
            <w:shd w:val="clear" w:color="auto" w:fill="auto"/>
            <w:noWrap/>
            <w:vAlign w:val="center"/>
            <w:hideMark/>
          </w:tcPr>
          <w:p w14:paraId="31FD8949"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1.31</w:t>
            </w:r>
          </w:p>
        </w:tc>
        <w:tc>
          <w:tcPr>
            <w:tcW w:w="1045" w:type="dxa"/>
            <w:tcBorders>
              <w:top w:val="nil"/>
              <w:left w:val="nil"/>
              <w:bottom w:val="single" w:sz="4" w:space="0" w:color="auto"/>
              <w:right w:val="single" w:sz="4" w:space="0" w:color="auto"/>
            </w:tcBorders>
            <w:shd w:val="clear" w:color="auto" w:fill="auto"/>
            <w:noWrap/>
            <w:vAlign w:val="center"/>
            <w:hideMark/>
          </w:tcPr>
          <w:p w14:paraId="668888B0" w14:textId="77777777" w:rsidR="001B7CB3" w:rsidRPr="001B7CB3" w:rsidRDefault="001B7CB3" w:rsidP="001B7CB3">
            <w:pPr>
              <w:spacing w:after="0"/>
              <w:jc w:val="center"/>
              <w:rPr>
                <w:rFonts w:ascii="Arial Narrow" w:hAnsi="Arial Narrow"/>
                <w:sz w:val="18"/>
                <w:szCs w:val="18"/>
                <w:lang w:val="en-AU" w:eastAsia="en-AU"/>
              </w:rPr>
            </w:pPr>
            <w:r w:rsidRPr="001B7CB3">
              <w:rPr>
                <w:rFonts w:ascii="Arial Narrow" w:hAnsi="Arial Narrow"/>
                <w:sz w:val="18"/>
                <w:szCs w:val="18"/>
              </w:rPr>
              <w:t>0.25</w:t>
            </w:r>
          </w:p>
        </w:tc>
      </w:tr>
    </w:tbl>
    <w:p w14:paraId="140D37D8" w14:textId="77777777" w:rsidR="000A241F" w:rsidRPr="00F352E1" w:rsidRDefault="000A241F" w:rsidP="002168E2">
      <w:pPr>
        <w:rPr>
          <w:color w:val="4F81BD" w:themeColor="accent1"/>
        </w:rPr>
        <w:sectPr w:rsidR="000A241F" w:rsidRPr="00F352E1" w:rsidSect="00BF3FC5">
          <w:pgSz w:w="16840" w:h="11907" w:orient="landscape" w:code="9"/>
          <w:pgMar w:top="1134" w:right="1440" w:bottom="1134" w:left="1418" w:header="862" w:footer="720" w:gutter="0"/>
          <w:cols w:space="720"/>
          <w:docGrid w:linePitch="299"/>
        </w:sectPr>
      </w:pPr>
    </w:p>
    <w:p w14:paraId="5A240659" w14:textId="77777777" w:rsidR="00482EEE" w:rsidRPr="00F352E1" w:rsidRDefault="00B14D94" w:rsidP="00606A50">
      <w:pPr>
        <w:pStyle w:val="Caption"/>
        <w:rPr>
          <w:vanish/>
        </w:rPr>
      </w:pPr>
      <w:bookmarkStart w:id="427" w:name="_Ref501105037"/>
      <w:bookmarkStart w:id="428" w:name="_Toc498591424"/>
      <w:r>
        <w:t xml:space="preserve">Table A1. </w:t>
      </w:r>
      <w:r>
        <w:fldChar w:fldCharType="begin"/>
      </w:r>
      <w:r>
        <w:instrText xml:space="preserve"> SEQ Table_A1. \* ARABIC </w:instrText>
      </w:r>
      <w:r>
        <w:fldChar w:fldCharType="separate"/>
      </w:r>
      <w:r w:rsidR="00A75175">
        <w:rPr>
          <w:noProof/>
        </w:rPr>
        <w:t>9</w:t>
      </w:r>
      <w:r>
        <w:fldChar w:fldCharType="end"/>
      </w:r>
      <w:bookmarkEnd w:id="427"/>
      <w:r>
        <w:t xml:space="preserve"> </w:t>
      </w:r>
      <w:r w:rsidR="00482EEE" w:rsidRPr="0091564F">
        <w:t>Percent cover of Macroalgae groups 2017.</w:t>
      </w:r>
      <w:bookmarkEnd w:id="428"/>
    </w:p>
    <w:p w14:paraId="33147CF8" w14:textId="77777777" w:rsidR="006428D8" w:rsidRPr="004C26C1" w:rsidRDefault="00482EEE" w:rsidP="00606A50">
      <w:pPr>
        <w:pStyle w:val="Caption"/>
        <w:rPr>
          <w:rStyle w:val="IntenseReference"/>
          <w:rFonts w:eastAsia="SimSun"/>
        </w:rPr>
      </w:pPr>
      <w:r w:rsidRPr="00F352E1">
        <w:t xml:space="preserve"> </w:t>
      </w:r>
      <w:r w:rsidRPr="004C26C1">
        <w:rPr>
          <w:rStyle w:val="IntenseReference"/>
          <w:rFonts w:eastAsia="SimSun"/>
        </w:rPr>
        <w:t>Genera for which cover exceeded 0.5% on at least one reef are included, rare or unidentified genera are grouped to ‘Other within major classes of Macroalgae’.</w:t>
      </w:r>
    </w:p>
    <w:tbl>
      <w:tblPr>
        <w:tblW w:w="13365" w:type="dxa"/>
        <w:tblInd w:w="93" w:type="dxa"/>
        <w:tblLook w:val="04A0" w:firstRow="1" w:lastRow="0" w:firstColumn="1" w:lastColumn="0" w:noHBand="0" w:noVBand="1"/>
        <w:tblCaption w:val="Table A1. 9 Percent cover of Macroalgae groups 2017"/>
        <w:tblDescription w:val="A table listing cover of major macroalgal groups at each reef and depth"/>
      </w:tblPr>
      <w:tblGrid>
        <w:gridCol w:w="692"/>
        <w:gridCol w:w="1731"/>
        <w:gridCol w:w="493"/>
        <w:gridCol w:w="744"/>
        <w:gridCol w:w="591"/>
        <w:gridCol w:w="591"/>
        <w:gridCol w:w="591"/>
        <w:gridCol w:w="744"/>
        <w:gridCol w:w="754"/>
        <w:gridCol w:w="601"/>
        <w:gridCol w:w="844"/>
        <w:gridCol w:w="504"/>
        <w:gridCol w:w="663"/>
        <w:gridCol w:w="832"/>
        <w:gridCol w:w="663"/>
        <w:gridCol w:w="832"/>
        <w:gridCol w:w="832"/>
        <w:gridCol w:w="663"/>
      </w:tblGrid>
      <w:tr w:rsidR="00F352E1" w:rsidRPr="00F352E1" w14:paraId="77D61A68" w14:textId="77777777" w:rsidTr="001B5635">
        <w:trPr>
          <w:trHeight w:val="288"/>
          <w:tblHeader/>
        </w:trPr>
        <w:tc>
          <w:tcPr>
            <w:tcW w:w="6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340AFA81" w14:textId="77777777" w:rsidR="006428D8" w:rsidRPr="001B5635" w:rsidRDefault="006428D8" w:rsidP="006428D8">
            <w:pPr>
              <w:spacing w:after="0"/>
              <w:jc w:val="center"/>
              <w:rPr>
                <w:rFonts w:ascii="Arial Narrow" w:hAnsi="Arial Narrow"/>
                <w:sz w:val="20"/>
                <w:lang w:val="en-AU" w:eastAsia="en-AU"/>
              </w:rPr>
            </w:pPr>
            <w:r w:rsidRPr="001B5635">
              <w:rPr>
                <w:rFonts w:ascii="Arial Narrow" w:hAnsi="Arial Narrow"/>
                <w:sz w:val="20"/>
                <w:lang w:val="en-AU" w:eastAsia="en-AU"/>
              </w:rPr>
              <w:t>subregion</w:t>
            </w:r>
          </w:p>
        </w:tc>
        <w:tc>
          <w:tcPr>
            <w:tcW w:w="173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2438FA7C" w14:textId="77777777" w:rsidR="006428D8" w:rsidRPr="001B5635" w:rsidRDefault="006428D8" w:rsidP="006428D8">
            <w:pPr>
              <w:spacing w:after="0"/>
              <w:jc w:val="center"/>
              <w:rPr>
                <w:rFonts w:ascii="Arial Narrow" w:hAnsi="Arial Narrow"/>
                <w:sz w:val="20"/>
                <w:lang w:val="en-AU" w:eastAsia="en-AU"/>
              </w:rPr>
            </w:pPr>
            <w:r w:rsidRPr="001B5635">
              <w:rPr>
                <w:rFonts w:ascii="Arial Narrow" w:hAnsi="Arial Narrow"/>
                <w:sz w:val="20"/>
                <w:lang w:val="en-AU" w:eastAsia="en-AU"/>
              </w:rPr>
              <w:t>Reef</w:t>
            </w:r>
          </w:p>
        </w:tc>
        <w:tc>
          <w:tcPr>
            <w:tcW w:w="49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38EE35CC" w14:textId="77777777" w:rsidR="006428D8" w:rsidRPr="001B5635" w:rsidRDefault="006428D8" w:rsidP="006428D8">
            <w:pPr>
              <w:spacing w:after="0"/>
              <w:jc w:val="center"/>
              <w:rPr>
                <w:rFonts w:ascii="Calibri" w:hAnsi="Calibri"/>
                <w:szCs w:val="22"/>
                <w:lang w:val="en-AU" w:eastAsia="en-AU"/>
              </w:rPr>
            </w:pPr>
            <w:r w:rsidRPr="001B5635">
              <w:rPr>
                <w:rFonts w:ascii="Calibri" w:hAnsi="Calibri"/>
                <w:szCs w:val="22"/>
                <w:lang w:val="en-AU" w:eastAsia="en-AU"/>
              </w:rPr>
              <w:t>Depth</w:t>
            </w:r>
          </w:p>
        </w:tc>
        <w:tc>
          <w:tcPr>
            <w:tcW w:w="3261" w:type="dxa"/>
            <w:gridSpan w:val="5"/>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2592A947" w14:textId="77777777" w:rsidR="006428D8" w:rsidRPr="001B5635" w:rsidRDefault="006428D8" w:rsidP="006428D8">
            <w:pPr>
              <w:spacing w:after="0"/>
              <w:jc w:val="center"/>
              <w:rPr>
                <w:rFonts w:ascii="Arial Narrow" w:hAnsi="Arial Narrow"/>
                <w:sz w:val="20"/>
                <w:lang w:val="en-AU" w:eastAsia="en-AU"/>
              </w:rPr>
            </w:pPr>
            <w:r w:rsidRPr="001B5635">
              <w:rPr>
                <w:rFonts w:ascii="Arial Narrow" w:hAnsi="Arial Narrow"/>
                <w:sz w:val="20"/>
                <w:lang w:val="en-AU" w:eastAsia="en-AU"/>
              </w:rPr>
              <w:t>Rhodophyta (red algae)</w:t>
            </w:r>
          </w:p>
        </w:tc>
        <w:tc>
          <w:tcPr>
            <w:tcW w:w="2199" w:type="dxa"/>
            <w:gridSpan w:val="3"/>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0674DE4A" w14:textId="77777777" w:rsidR="006428D8" w:rsidRPr="001B5635" w:rsidRDefault="006428D8" w:rsidP="006428D8">
            <w:pPr>
              <w:spacing w:after="0"/>
              <w:jc w:val="center"/>
              <w:rPr>
                <w:rFonts w:ascii="Arial Narrow" w:hAnsi="Arial Narrow"/>
                <w:sz w:val="20"/>
                <w:lang w:val="en-AU" w:eastAsia="en-AU"/>
              </w:rPr>
            </w:pPr>
            <w:r w:rsidRPr="001B5635">
              <w:rPr>
                <w:rFonts w:ascii="Arial Narrow" w:hAnsi="Arial Narrow"/>
                <w:sz w:val="20"/>
                <w:lang w:val="en-AU" w:eastAsia="en-AU"/>
              </w:rPr>
              <w:t>Chlorophyta</w:t>
            </w:r>
            <w:r w:rsidR="00E75F5C" w:rsidRPr="001B5635">
              <w:rPr>
                <w:rFonts w:ascii="Arial Narrow" w:hAnsi="Arial Narrow"/>
                <w:sz w:val="20"/>
                <w:lang w:val="en-AU" w:eastAsia="en-AU"/>
              </w:rPr>
              <w:t xml:space="preserve"> </w:t>
            </w:r>
            <w:r w:rsidRPr="001B5635">
              <w:rPr>
                <w:rFonts w:ascii="Arial Narrow" w:hAnsi="Arial Narrow"/>
                <w:sz w:val="20"/>
                <w:lang w:val="en-AU" w:eastAsia="en-AU"/>
              </w:rPr>
              <w:t>(green algae)</w:t>
            </w:r>
          </w:p>
        </w:tc>
        <w:tc>
          <w:tcPr>
            <w:tcW w:w="4989" w:type="dxa"/>
            <w:gridSpan w:val="7"/>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4C807A06" w14:textId="77777777" w:rsidR="006428D8" w:rsidRPr="001B5635" w:rsidRDefault="006428D8" w:rsidP="006428D8">
            <w:pPr>
              <w:spacing w:after="0"/>
              <w:jc w:val="center"/>
              <w:rPr>
                <w:rFonts w:ascii="Arial Narrow" w:hAnsi="Arial Narrow"/>
                <w:sz w:val="20"/>
                <w:lang w:val="en-AU" w:eastAsia="en-AU"/>
              </w:rPr>
            </w:pPr>
            <w:r w:rsidRPr="001B5635">
              <w:rPr>
                <w:rFonts w:ascii="Arial Narrow" w:hAnsi="Arial Narrow"/>
                <w:sz w:val="20"/>
                <w:lang w:val="en-AU" w:eastAsia="en-AU"/>
              </w:rPr>
              <w:t>Phaeophyta (brown algae)</w:t>
            </w:r>
          </w:p>
        </w:tc>
      </w:tr>
      <w:tr w:rsidR="001B5635" w:rsidRPr="00F352E1" w14:paraId="60F7D618" w14:textId="77777777" w:rsidTr="001B5635">
        <w:trPr>
          <w:trHeight w:val="1513"/>
          <w:tblHeader/>
        </w:trPr>
        <w:tc>
          <w:tcPr>
            <w:tcW w:w="692"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BC00D00" w14:textId="77777777" w:rsidR="001B5635" w:rsidRPr="001B5635" w:rsidRDefault="001B5635" w:rsidP="006428D8">
            <w:pPr>
              <w:spacing w:after="0"/>
              <w:jc w:val="left"/>
              <w:rPr>
                <w:rFonts w:ascii="Arial Narrow" w:hAnsi="Arial Narrow"/>
                <w:sz w:val="20"/>
                <w:lang w:val="en-AU" w:eastAsia="en-AU"/>
              </w:rPr>
            </w:pPr>
          </w:p>
        </w:tc>
        <w:tc>
          <w:tcPr>
            <w:tcW w:w="1731"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1BFB7B4" w14:textId="77777777" w:rsidR="001B5635" w:rsidRPr="001B5635" w:rsidRDefault="001B5635" w:rsidP="006428D8">
            <w:pPr>
              <w:spacing w:after="0"/>
              <w:jc w:val="left"/>
              <w:rPr>
                <w:rFonts w:ascii="Arial Narrow" w:hAnsi="Arial Narrow"/>
                <w:sz w:val="20"/>
                <w:lang w:val="en-AU" w:eastAsia="en-AU"/>
              </w:rPr>
            </w:pPr>
          </w:p>
        </w:tc>
        <w:tc>
          <w:tcPr>
            <w:tcW w:w="493"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2F75439" w14:textId="77777777" w:rsidR="001B5635" w:rsidRPr="001B5635" w:rsidRDefault="001B5635" w:rsidP="006428D8">
            <w:pPr>
              <w:spacing w:after="0"/>
              <w:jc w:val="left"/>
              <w:rPr>
                <w:rFonts w:ascii="Calibri" w:hAnsi="Calibri"/>
                <w:szCs w:val="22"/>
                <w:lang w:val="en-AU" w:eastAsia="en-AU"/>
              </w:rPr>
            </w:pPr>
          </w:p>
        </w:tc>
        <w:tc>
          <w:tcPr>
            <w:tcW w:w="744"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566F4C3" w14:textId="77777777" w:rsidR="001B5635" w:rsidRPr="001B5635" w:rsidRDefault="001B5635" w:rsidP="006428D8">
            <w:pPr>
              <w:spacing w:after="0"/>
              <w:jc w:val="center"/>
              <w:rPr>
                <w:rFonts w:ascii="Arial Narrow" w:hAnsi="Arial Narrow"/>
                <w:sz w:val="20"/>
                <w:lang w:val="en-AU" w:eastAsia="en-AU"/>
              </w:rPr>
            </w:pPr>
            <w:r w:rsidRPr="001B5635">
              <w:rPr>
                <w:rFonts w:ascii="Arial Narrow" w:hAnsi="Arial Narrow"/>
                <w:sz w:val="20"/>
                <w:lang w:val="en-AU" w:eastAsia="en-AU"/>
              </w:rPr>
              <w:t>Hypnea</w:t>
            </w:r>
          </w:p>
        </w:tc>
        <w:tc>
          <w:tcPr>
            <w:tcW w:w="591"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29C89F9A" w14:textId="77777777" w:rsidR="001B5635" w:rsidRPr="001B5635" w:rsidRDefault="001B5635" w:rsidP="006428D8">
            <w:pPr>
              <w:spacing w:after="0"/>
              <w:jc w:val="center"/>
              <w:rPr>
                <w:rFonts w:ascii="Arial Narrow" w:hAnsi="Arial Narrow"/>
                <w:sz w:val="20"/>
                <w:lang w:val="en-AU" w:eastAsia="en-AU"/>
              </w:rPr>
            </w:pPr>
            <w:r w:rsidRPr="001B5635">
              <w:rPr>
                <w:rFonts w:ascii="Arial Narrow" w:hAnsi="Arial Narrow"/>
                <w:sz w:val="20"/>
                <w:lang w:val="en-AU" w:eastAsia="en-AU"/>
              </w:rPr>
              <w:t>Peyssonnelia</w:t>
            </w:r>
          </w:p>
        </w:tc>
        <w:tc>
          <w:tcPr>
            <w:tcW w:w="591"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09FAAB8" w14:textId="77777777" w:rsidR="001B5635" w:rsidRPr="001B5635" w:rsidRDefault="001B5635" w:rsidP="006428D8">
            <w:pPr>
              <w:spacing w:after="0"/>
              <w:jc w:val="center"/>
              <w:rPr>
                <w:rFonts w:ascii="Arial Narrow" w:hAnsi="Arial Narrow"/>
                <w:sz w:val="20"/>
                <w:lang w:val="en-AU" w:eastAsia="en-AU"/>
              </w:rPr>
            </w:pPr>
            <w:r w:rsidRPr="001B5635">
              <w:rPr>
                <w:rFonts w:ascii="Arial Narrow" w:hAnsi="Arial Narrow"/>
                <w:sz w:val="20"/>
                <w:lang w:val="en-AU" w:eastAsia="en-AU"/>
              </w:rPr>
              <w:t xml:space="preserve">Calcareous </w:t>
            </w:r>
          </w:p>
        </w:tc>
        <w:tc>
          <w:tcPr>
            <w:tcW w:w="591"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58650B2A" w14:textId="77777777" w:rsidR="001B5635" w:rsidRPr="001B5635" w:rsidRDefault="001B5635" w:rsidP="006428D8">
            <w:pPr>
              <w:spacing w:after="0"/>
              <w:jc w:val="center"/>
              <w:rPr>
                <w:rFonts w:ascii="Arial Narrow" w:hAnsi="Arial Narrow"/>
                <w:sz w:val="20"/>
                <w:lang w:val="en-AU" w:eastAsia="en-AU"/>
              </w:rPr>
            </w:pPr>
            <w:r w:rsidRPr="001B5635">
              <w:rPr>
                <w:rFonts w:ascii="Arial Narrow" w:hAnsi="Arial Narrow"/>
                <w:sz w:val="20"/>
                <w:lang w:val="en-AU" w:eastAsia="en-AU"/>
              </w:rPr>
              <w:t>Asparagopsis</w:t>
            </w:r>
          </w:p>
        </w:tc>
        <w:tc>
          <w:tcPr>
            <w:tcW w:w="744"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376A3E8C" w14:textId="77777777" w:rsidR="001B5635" w:rsidRPr="001B5635" w:rsidRDefault="001B5635" w:rsidP="006428D8">
            <w:pPr>
              <w:spacing w:after="0"/>
              <w:jc w:val="center"/>
              <w:rPr>
                <w:rFonts w:ascii="Arial Narrow" w:hAnsi="Arial Narrow"/>
                <w:sz w:val="20"/>
                <w:lang w:val="en-AU" w:eastAsia="en-AU"/>
              </w:rPr>
            </w:pPr>
            <w:r w:rsidRPr="001B5635">
              <w:rPr>
                <w:rFonts w:ascii="Arial Narrow" w:hAnsi="Arial Narrow"/>
                <w:sz w:val="20"/>
                <w:lang w:val="en-AU" w:eastAsia="en-AU"/>
              </w:rPr>
              <w:t>Other</w:t>
            </w:r>
          </w:p>
        </w:tc>
        <w:tc>
          <w:tcPr>
            <w:tcW w:w="754"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01EE571B" w14:textId="77777777" w:rsidR="001B5635" w:rsidRPr="001B5635" w:rsidRDefault="001B5635" w:rsidP="006428D8">
            <w:pPr>
              <w:spacing w:after="0"/>
              <w:jc w:val="center"/>
              <w:rPr>
                <w:rFonts w:ascii="Arial Narrow" w:hAnsi="Arial Narrow"/>
                <w:sz w:val="20"/>
                <w:lang w:val="en-AU" w:eastAsia="en-AU"/>
              </w:rPr>
            </w:pPr>
            <w:r w:rsidRPr="001B5635">
              <w:rPr>
                <w:rFonts w:ascii="Arial Narrow" w:hAnsi="Arial Narrow"/>
                <w:sz w:val="20"/>
                <w:lang w:val="en-AU" w:eastAsia="en-AU"/>
              </w:rPr>
              <w:t>Caulerpa</w:t>
            </w:r>
          </w:p>
        </w:tc>
        <w:tc>
          <w:tcPr>
            <w:tcW w:w="601"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2F905CE8" w14:textId="77777777" w:rsidR="001B5635" w:rsidRPr="001B5635" w:rsidRDefault="001B5635" w:rsidP="006428D8">
            <w:pPr>
              <w:spacing w:after="0"/>
              <w:jc w:val="center"/>
              <w:rPr>
                <w:rFonts w:ascii="Arial Narrow" w:hAnsi="Arial Narrow"/>
                <w:sz w:val="20"/>
                <w:lang w:val="en-AU" w:eastAsia="en-AU"/>
              </w:rPr>
            </w:pPr>
            <w:r w:rsidRPr="001B5635">
              <w:rPr>
                <w:rFonts w:ascii="Arial Narrow" w:hAnsi="Arial Narrow"/>
                <w:sz w:val="20"/>
                <w:lang w:val="en-AU" w:eastAsia="en-AU"/>
              </w:rPr>
              <w:t>Halimeda</w:t>
            </w:r>
          </w:p>
        </w:tc>
        <w:tc>
          <w:tcPr>
            <w:tcW w:w="844"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50490FAB" w14:textId="77777777" w:rsidR="001B5635" w:rsidRPr="001B5635" w:rsidRDefault="001B5635" w:rsidP="006428D8">
            <w:pPr>
              <w:spacing w:after="0"/>
              <w:jc w:val="center"/>
              <w:rPr>
                <w:rFonts w:ascii="Arial Narrow" w:hAnsi="Arial Narrow"/>
                <w:sz w:val="20"/>
                <w:lang w:val="en-AU" w:eastAsia="en-AU"/>
              </w:rPr>
            </w:pPr>
            <w:r w:rsidRPr="001B5635">
              <w:rPr>
                <w:rFonts w:ascii="Arial Narrow" w:hAnsi="Arial Narrow"/>
                <w:sz w:val="20"/>
                <w:lang w:val="en-AU" w:eastAsia="en-AU"/>
              </w:rPr>
              <w:t>Other</w:t>
            </w:r>
          </w:p>
        </w:tc>
        <w:tc>
          <w:tcPr>
            <w:tcW w:w="504"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DEAE65E" w14:textId="77777777" w:rsidR="001B5635" w:rsidRPr="001B5635" w:rsidRDefault="001B5635" w:rsidP="006428D8">
            <w:pPr>
              <w:spacing w:after="0"/>
              <w:jc w:val="center"/>
              <w:rPr>
                <w:rFonts w:ascii="Arial Narrow" w:hAnsi="Arial Narrow"/>
                <w:sz w:val="20"/>
                <w:lang w:val="en-AU" w:eastAsia="en-AU"/>
              </w:rPr>
            </w:pPr>
            <w:r w:rsidRPr="001B5635">
              <w:rPr>
                <w:rFonts w:ascii="Arial Narrow" w:hAnsi="Arial Narrow"/>
                <w:sz w:val="20"/>
                <w:lang w:val="en-AU" w:eastAsia="en-AU"/>
              </w:rPr>
              <w:t>Stypopodium</w:t>
            </w:r>
          </w:p>
        </w:tc>
        <w:tc>
          <w:tcPr>
            <w:tcW w:w="663"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5794766B" w14:textId="77777777" w:rsidR="001B5635" w:rsidRPr="001B5635" w:rsidRDefault="001B5635" w:rsidP="006428D8">
            <w:pPr>
              <w:spacing w:after="0"/>
              <w:jc w:val="center"/>
              <w:rPr>
                <w:rFonts w:ascii="Arial Narrow" w:hAnsi="Arial Narrow"/>
                <w:sz w:val="20"/>
                <w:lang w:val="en-AU" w:eastAsia="en-AU"/>
              </w:rPr>
            </w:pPr>
            <w:r w:rsidRPr="001B5635">
              <w:rPr>
                <w:rFonts w:ascii="Arial Narrow" w:hAnsi="Arial Narrow"/>
                <w:sz w:val="20"/>
                <w:lang w:val="en-AU" w:eastAsia="en-AU"/>
              </w:rPr>
              <w:t>Padina</w:t>
            </w:r>
          </w:p>
        </w:tc>
        <w:tc>
          <w:tcPr>
            <w:tcW w:w="832"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758FD1A4" w14:textId="77777777" w:rsidR="001B5635" w:rsidRPr="001B5635" w:rsidRDefault="001B5635" w:rsidP="006428D8">
            <w:pPr>
              <w:spacing w:after="0"/>
              <w:jc w:val="center"/>
              <w:rPr>
                <w:rFonts w:ascii="Arial Narrow" w:hAnsi="Arial Narrow"/>
                <w:sz w:val="20"/>
                <w:lang w:val="en-AU" w:eastAsia="en-AU"/>
              </w:rPr>
            </w:pPr>
            <w:r w:rsidRPr="001B5635">
              <w:rPr>
                <w:rFonts w:ascii="Arial Narrow" w:hAnsi="Arial Narrow"/>
                <w:sz w:val="20"/>
                <w:lang w:val="en-AU" w:eastAsia="en-AU"/>
              </w:rPr>
              <w:t>Dictyota</w:t>
            </w:r>
          </w:p>
        </w:tc>
        <w:tc>
          <w:tcPr>
            <w:tcW w:w="663"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296A7A90" w14:textId="77777777" w:rsidR="001B5635" w:rsidRPr="001B5635" w:rsidRDefault="001B5635" w:rsidP="006428D8">
            <w:pPr>
              <w:spacing w:after="0"/>
              <w:jc w:val="center"/>
              <w:rPr>
                <w:rFonts w:ascii="Arial Narrow" w:hAnsi="Arial Narrow"/>
                <w:sz w:val="20"/>
                <w:lang w:val="en-AU" w:eastAsia="en-AU"/>
              </w:rPr>
            </w:pPr>
            <w:r w:rsidRPr="001B5635">
              <w:rPr>
                <w:rFonts w:ascii="Arial Narrow" w:hAnsi="Arial Narrow"/>
                <w:sz w:val="20"/>
                <w:lang w:val="en-AU" w:eastAsia="en-AU"/>
              </w:rPr>
              <w:t>Dictyopteris</w:t>
            </w:r>
          </w:p>
        </w:tc>
        <w:tc>
          <w:tcPr>
            <w:tcW w:w="832"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74ECB50F" w14:textId="77777777" w:rsidR="001B5635" w:rsidRPr="001B5635" w:rsidRDefault="001B5635" w:rsidP="006428D8">
            <w:pPr>
              <w:spacing w:after="0"/>
              <w:jc w:val="center"/>
              <w:rPr>
                <w:rFonts w:ascii="Arial Narrow" w:hAnsi="Arial Narrow"/>
                <w:sz w:val="20"/>
                <w:lang w:val="en-AU" w:eastAsia="en-AU"/>
              </w:rPr>
            </w:pPr>
            <w:r w:rsidRPr="001B5635">
              <w:rPr>
                <w:rFonts w:ascii="Arial Narrow" w:hAnsi="Arial Narrow"/>
                <w:sz w:val="20"/>
                <w:lang w:val="en-AU" w:eastAsia="en-AU"/>
              </w:rPr>
              <w:t>Lobophora</w:t>
            </w:r>
          </w:p>
        </w:tc>
        <w:tc>
          <w:tcPr>
            <w:tcW w:w="832"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37EAFCFB" w14:textId="77777777" w:rsidR="001B5635" w:rsidRPr="001B5635" w:rsidRDefault="001B5635" w:rsidP="006428D8">
            <w:pPr>
              <w:spacing w:after="0"/>
              <w:jc w:val="center"/>
              <w:rPr>
                <w:rFonts w:ascii="Arial Narrow" w:hAnsi="Arial Narrow"/>
                <w:sz w:val="20"/>
                <w:lang w:val="en-AU" w:eastAsia="en-AU"/>
              </w:rPr>
            </w:pPr>
            <w:r w:rsidRPr="001B5635">
              <w:rPr>
                <w:rFonts w:ascii="Arial Narrow" w:hAnsi="Arial Narrow"/>
                <w:sz w:val="20"/>
                <w:lang w:val="en-AU" w:eastAsia="en-AU"/>
              </w:rPr>
              <w:t>Sargassum</w:t>
            </w:r>
          </w:p>
        </w:tc>
        <w:tc>
          <w:tcPr>
            <w:tcW w:w="663"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4CF7FED3" w14:textId="77777777" w:rsidR="001B5635" w:rsidRPr="001B5635" w:rsidRDefault="001B5635" w:rsidP="006428D8">
            <w:pPr>
              <w:spacing w:after="0"/>
              <w:jc w:val="center"/>
              <w:rPr>
                <w:rFonts w:ascii="Arial Narrow" w:hAnsi="Arial Narrow"/>
                <w:sz w:val="20"/>
                <w:lang w:val="en-AU" w:eastAsia="en-AU"/>
              </w:rPr>
            </w:pPr>
            <w:r w:rsidRPr="001B5635">
              <w:rPr>
                <w:rFonts w:ascii="Arial Narrow" w:hAnsi="Arial Narrow"/>
                <w:sz w:val="20"/>
                <w:lang w:val="en-AU" w:eastAsia="en-AU"/>
              </w:rPr>
              <w:t>Other</w:t>
            </w:r>
          </w:p>
        </w:tc>
      </w:tr>
      <w:tr w:rsidR="001B5635" w:rsidRPr="00F352E1" w14:paraId="366C15BB" w14:textId="77777777" w:rsidTr="006B2ADA">
        <w:trPr>
          <w:trHeight w:val="340"/>
        </w:trPr>
        <w:tc>
          <w:tcPr>
            <w:tcW w:w="69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EDD30B6"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Daintree</w:t>
            </w: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6A26F5D"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Snapper North</w:t>
            </w:r>
          </w:p>
        </w:tc>
        <w:tc>
          <w:tcPr>
            <w:tcW w:w="493" w:type="dxa"/>
            <w:tcBorders>
              <w:top w:val="nil"/>
              <w:left w:val="nil"/>
              <w:bottom w:val="single" w:sz="4" w:space="0" w:color="auto"/>
              <w:right w:val="single" w:sz="4" w:space="0" w:color="auto"/>
            </w:tcBorders>
            <w:shd w:val="clear" w:color="auto" w:fill="auto"/>
            <w:noWrap/>
            <w:vAlign w:val="center"/>
            <w:hideMark/>
          </w:tcPr>
          <w:p w14:paraId="409713EF"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E486CC"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2.08</w:t>
            </w:r>
          </w:p>
        </w:tc>
        <w:tc>
          <w:tcPr>
            <w:tcW w:w="591" w:type="dxa"/>
            <w:tcBorders>
              <w:top w:val="single" w:sz="4" w:space="0" w:color="auto"/>
              <w:left w:val="nil"/>
              <w:bottom w:val="single" w:sz="4" w:space="0" w:color="auto"/>
              <w:right w:val="single" w:sz="4" w:space="0" w:color="auto"/>
            </w:tcBorders>
            <w:shd w:val="clear" w:color="auto" w:fill="auto"/>
            <w:noWrap/>
            <w:vAlign w:val="center"/>
            <w:hideMark/>
          </w:tcPr>
          <w:p w14:paraId="20142B2F"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single" w:sz="4" w:space="0" w:color="auto"/>
              <w:left w:val="nil"/>
              <w:bottom w:val="single" w:sz="4" w:space="0" w:color="auto"/>
              <w:right w:val="single" w:sz="4" w:space="0" w:color="auto"/>
            </w:tcBorders>
            <w:shd w:val="clear" w:color="auto" w:fill="auto"/>
            <w:noWrap/>
            <w:vAlign w:val="center"/>
            <w:hideMark/>
          </w:tcPr>
          <w:p w14:paraId="40C9734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3.00</w:t>
            </w:r>
          </w:p>
        </w:tc>
        <w:tc>
          <w:tcPr>
            <w:tcW w:w="591" w:type="dxa"/>
            <w:tcBorders>
              <w:top w:val="single" w:sz="4" w:space="0" w:color="auto"/>
              <w:left w:val="nil"/>
              <w:bottom w:val="single" w:sz="4" w:space="0" w:color="auto"/>
              <w:right w:val="single" w:sz="4" w:space="0" w:color="auto"/>
            </w:tcBorders>
            <w:shd w:val="clear" w:color="auto" w:fill="auto"/>
            <w:noWrap/>
            <w:vAlign w:val="center"/>
            <w:hideMark/>
          </w:tcPr>
          <w:p w14:paraId="0B585665"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9.54</w:t>
            </w:r>
          </w:p>
        </w:tc>
        <w:tc>
          <w:tcPr>
            <w:tcW w:w="744" w:type="dxa"/>
            <w:tcBorders>
              <w:top w:val="single" w:sz="4" w:space="0" w:color="auto"/>
              <w:left w:val="nil"/>
              <w:bottom w:val="single" w:sz="4" w:space="0" w:color="auto"/>
              <w:right w:val="single" w:sz="4" w:space="0" w:color="auto"/>
            </w:tcBorders>
            <w:shd w:val="clear" w:color="auto" w:fill="auto"/>
            <w:noWrap/>
            <w:vAlign w:val="center"/>
            <w:hideMark/>
          </w:tcPr>
          <w:p w14:paraId="56F70DDF"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19.75</w:t>
            </w:r>
          </w:p>
        </w:tc>
        <w:tc>
          <w:tcPr>
            <w:tcW w:w="754" w:type="dxa"/>
            <w:tcBorders>
              <w:top w:val="single" w:sz="4" w:space="0" w:color="auto"/>
              <w:left w:val="nil"/>
              <w:bottom w:val="single" w:sz="4" w:space="0" w:color="auto"/>
              <w:right w:val="single" w:sz="4" w:space="0" w:color="auto"/>
            </w:tcBorders>
            <w:shd w:val="clear" w:color="auto" w:fill="auto"/>
            <w:noWrap/>
            <w:vAlign w:val="center"/>
            <w:hideMark/>
          </w:tcPr>
          <w:p w14:paraId="5EDC122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0.38</w:t>
            </w:r>
          </w:p>
        </w:tc>
        <w:tc>
          <w:tcPr>
            <w:tcW w:w="601" w:type="dxa"/>
            <w:tcBorders>
              <w:top w:val="single" w:sz="4" w:space="0" w:color="auto"/>
              <w:left w:val="nil"/>
              <w:bottom w:val="single" w:sz="4" w:space="0" w:color="auto"/>
              <w:right w:val="single" w:sz="4" w:space="0" w:color="auto"/>
            </w:tcBorders>
            <w:shd w:val="clear" w:color="auto" w:fill="auto"/>
            <w:noWrap/>
            <w:vAlign w:val="center"/>
            <w:hideMark/>
          </w:tcPr>
          <w:p w14:paraId="3BB162D2"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3.13</w:t>
            </w:r>
          </w:p>
        </w:tc>
        <w:tc>
          <w:tcPr>
            <w:tcW w:w="844" w:type="dxa"/>
            <w:tcBorders>
              <w:top w:val="single" w:sz="4" w:space="0" w:color="auto"/>
              <w:left w:val="nil"/>
              <w:bottom w:val="single" w:sz="4" w:space="0" w:color="auto"/>
              <w:right w:val="single" w:sz="4" w:space="0" w:color="auto"/>
            </w:tcBorders>
            <w:shd w:val="clear" w:color="auto" w:fill="auto"/>
            <w:noWrap/>
            <w:vAlign w:val="center"/>
            <w:hideMark/>
          </w:tcPr>
          <w:p w14:paraId="1F28E76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504" w:type="dxa"/>
            <w:tcBorders>
              <w:top w:val="single" w:sz="4" w:space="0" w:color="auto"/>
              <w:left w:val="nil"/>
              <w:bottom w:val="single" w:sz="4" w:space="0" w:color="auto"/>
              <w:right w:val="single" w:sz="4" w:space="0" w:color="auto"/>
            </w:tcBorders>
            <w:shd w:val="clear" w:color="auto" w:fill="auto"/>
            <w:noWrap/>
            <w:vAlign w:val="center"/>
            <w:hideMark/>
          </w:tcPr>
          <w:p w14:paraId="7F4267CE"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single" w:sz="4" w:space="0" w:color="auto"/>
              <w:left w:val="nil"/>
              <w:bottom w:val="single" w:sz="4" w:space="0" w:color="auto"/>
              <w:right w:val="single" w:sz="4" w:space="0" w:color="auto"/>
            </w:tcBorders>
            <w:shd w:val="clear" w:color="auto" w:fill="auto"/>
            <w:noWrap/>
            <w:vAlign w:val="center"/>
            <w:hideMark/>
          </w:tcPr>
          <w:p w14:paraId="319540AC"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0.04</w:t>
            </w:r>
          </w:p>
        </w:tc>
        <w:tc>
          <w:tcPr>
            <w:tcW w:w="832" w:type="dxa"/>
            <w:tcBorders>
              <w:top w:val="single" w:sz="4" w:space="0" w:color="auto"/>
              <w:left w:val="nil"/>
              <w:bottom w:val="single" w:sz="4" w:space="0" w:color="auto"/>
              <w:right w:val="single" w:sz="4" w:space="0" w:color="auto"/>
            </w:tcBorders>
            <w:shd w:val="clear" w:color="auto" w:fill="auto"/>
            <w:noWrap/>
            <w:vAlign w:val="center"/>
            <w:hideMark/>
          </w:tcPr>
          <w:p w14:paraId="45DEE39F"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20.67</w:t>
            </w:r>
          </w:p>
        </w:tc>
        <w:tc>
          <w:tcPr>
            <w:tcW w:w="663" w:type="dxa"/>
            <w:tcBorders>
              <w:top w:val="single" w:sz="4" w:space="0" w:color="auto"/>
              <w:left w:val="nil"/>
              <w:bottom w:val="single" w:sz="4" w:space="0" w:color="auto"/>
              <w:right w:val="single" w:sz="4" w:space="0" w:color="auto"/>
            </w:tcBorders>
            <w:shd w:val="clear" w:color="auto" w:fill="auto"/>
            <w:noWrap/>
            <w:vAlign w:val="center"/>
            <w:hideMark/>
          </w:tcPr>
          <w:p w14:paraId="12CF1C23"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single" w:sz="4" w:space="0" w:color="auto"/>
              <w:left w:val="nil"/>
              <w:bottom w:val="single" w:sz="4" w:space="0" w:color="auto"/>
              <w:right w:val="single" w:sz="4" w:space="0" w:color="auto"/>
            </w:tcBorders>
            <w:shd w:val="clear" w:color="auto" w:fill="auto"/>
            <w:noWrap/>
            <w:vAlign w:val="center"/>
            <w:hideMark/>
          </w:tcPr>
          <w:p w14:paraId="2E77283B"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single" w:sz="4" w:space="0" w:color="auto"/>
              <w:left w:val="nil"/>
              <w:bottom w:val="single" w:sz="4" w:space="0" w:color="auto"/>
              <w:right w:val="single" w:sz="4" w:space="0" w:color="auto"/>
            </w:tcBorders>
            <w:shd w:val="clear" w:color="auto" w:fill="auto"/>
            <w:noWrap/>
            <w:vAlign w:val="center"/>
            <w:hideMark/>
          </w:tcPr>
          <w:p w14:paraId="2C4F3E25"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single" w:sz="4" w:space="0" w:color="auto"/>
              <w:left w:val="nil"/>
              <w:bottom w:val="single" w:sz="4" w:space="0" w:color="auto"/>
              <w:right w:val="single" w:sz="4" w:space="0" w:color="auto"/>
            </w:tcBorders>
            <w:shd w:val="clear" w:color="auto" w:fill="auto"/>
            <w:noWrap/>
            <w:vAlign w:val="center"/>
            <w:hideMark/>
          </w:tcPr>
          <w:p w14:paraId="770FDBB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1.13</w:t>
            </w:r>
          </w:p>
        </w:tc>
      </w:tr>
      <w:tr w:rsidR="001B5635" w:rsidRPr="00F352E1" w14:paraId="1BFD7EB4"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6B8A674B"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37A9A993"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02DB33AA"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2E59AA45"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40E5E4AC"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4E826F8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91" w:type="dxa"/>
            <w:tcBorders>
              <w:top w:val="nil"/>
              <w:left w:val="nil"/>
              <w:bottom w:val="single" w:sz="4" w:space="0" w:color="auto"/>
              <w:right w:val="single" w:sz="4" w:space="0" w:color="auto"/>
            </w:tcBorders>
            <w:shd w:val="clear" w:color="auto" w:fill="auto"/>
            <w:noWrap/>
            <w:vAlign w:val="center"/>
            <w:hideMark/>
          </w:tcPr>
          <w:p w14:paraId="7CFD6E1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0.50</w:t>
            </w:r>
          </w:p>
        </w:tc>
        <w:tc>
          <w:tcPr>
            <w:tcW w:w="744" w:type="dxa"/>
            <w:tcBorders>
              <w:top w:val="nil"/>
              <w:left w:val="nil"/>
              <w:bottom w:val="single" w:sz="4" w:space="0" w:color="auto"/>
              <w:right w:val="single" w:sz="4" w:space="0" w:color="auto"/>
            </w:tcBorders>
            <w:shd w:val="clear" w:color="auto" w:fill="auto"/>
            <w:noWrap/>
            <w:vAlign w:val="center"/>
            <w:hideMark/>
          </w:tcPr>
          <w:p w14:paraId="2175B00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754" w:type="dxa"/>
            <w:tcBorders>
              <w:top w:val="nil"/>
              <w:left w:val="nil"/>
              <w:bottom w:val="single" w:sz="4" w:space="0" w:color="auto"/>
              <w:right w:val="single" w:sz="4" w:space="0" w:color="auto"/>
            </w:tcBorders>
            <w:shd w:val="clear" w:color="auto" w:fill="auto"/>
            <w:noWrap/>
            <w:vAlign w:val="center"/>
            <w:hideMark/>
          </w:tcPr>
          <w:p w14:paraId="3AEF4C52"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094FB3B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844" w:type="dxa"/>
            <w:tcBorders>
              <w:top w:val="nil"/>
              <w:left w:val="nil"/>
              <w:bottom w:val="single" w:sz="4" w:space="0" w:color="auto"/>
              <w:right w:val="single" w:sz="4" w:space="0" w:color="auto"/>
            </w:tcBorders>
            <w:shd w:val="clear" w:color="auto" w:fill="auto"/>
            <w:noWrap/>
            <w:vAlign w:val="center"/>
            <w:hideMark/>
          </w:tcPr>
          <w:p w14:paraId="51AE49B9"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264F1AAC"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3BEF18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832" w:type="dxa"/>
            <w:tcBorders>
              <w:top w:val="nil"/>
              <w:left w:val="nil"/>
              <w:bottom w:val="single" w:sz="4" w:space="0" w:color="auto"/>
              <w:right w:val="single" w:sz="4" w:space="0" w:color="auto"/>
            </w:tcBorders>
            <w:shd w:val="clear" w:color="auto" w:fill="auto"/>
            <w:noWrap/>
            <w:vAlign w:val="center"/>
            <w:hideMark/>
          </w:tcPr>
          <w:p w14:paraId="0F43C47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10.81</w:t>
            </w:r>
          </w:p>
        </w:tc>
        <w:tc>
          <w:tcPr>
            <w:tcW w:w="663" w:type="dxa"/>
            <w:tcBorders>
              <w:top w:val="nil"/>
              <w:left w:val="nil"/>
              <w:bottom w:val="single" w:sz="4" w:space="0" w:color="auto"/>
              <w:right w:val="single" w:sz="4" w:space="0" w:color="auto"/>
            </w:tcBorders>
            <w:shd w:val="clear" w:color="auto" w:fill="auto"/>
            <w:noWrap/>
            <w:vAlign w:val="center"/>
            <w:hideMark/>
          </w:tcPr>
          <w:p w14:paraId="35D50AEF"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9113669"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34612DD7"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0F2866D4"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4FD62B9B"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66F26EE5"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D95272C"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Snapper South</w:t>
            </w:r>
          </w:p>
        </w:tc>
        <w:tc>
          <w:tcPr>
            <w:tcW w:w="493" w:type="dxa"/>
            <w:tcBorders>
              <w:top w:val="nil"/>
              <w:left w:val="nil"/>
              <w:bottom w:val="single" w:sz="4" w:space="0" w:color="auto"/>
              <w:right w:val="single" w:sz="4" w:space="0" w:color="auto"/>
            </w:tcBorders>
            <w:shd w:val="clear" w:color="auto" w:fill="auto"/>
            <w:noWrap/>
            <w:vAlign w:val="center"/>
            <w:hideMark/>
          </w:tcPr>
          <w:p w14:paraId="5E0CB6F9"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28D44F3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1.04</w:t>
            </w:r>
          </w:p>
        </w:tc>
        <w:tc>
          <w:tcPr>
            <w:tcW w:w="591" w:type="dxa"/>
            <w:tcBorders>
              <w:top w:val="nil"/>
              <w:left w:val="nil"/>
              <w:bottom w:val="single" w:sz="4" w:space="0" w:color="auto"/>
              <w:right w:val="single" w:sz="4" w:space="0" w:color="auto"/>
            </w:tcBorders>
            <w:shd w:val="clear" w:color="auto" w:fill="auto"/>
            <w:noWrap/>
            <w:vAlign w:val="center"/>
            <w:hideMark/>
          </w:tcPr>
          <w:p w14:paraId="73EED161"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2BE37A7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0.79</w:t>
            </w:r>
          </w:p>
        </w:tc>
        <w:tc>
          <w:tcPr>
            <w:tcW w:w="591" w:type="dxa"/>
            <w:tcBorders>
              <w:top w:val="nil"/>
              <w:left w:val="nil"/>
              <w:bottom w:val="single" w:sz="4" w:space="0" w:color="auto"/>
              <w:right w:val="single" w:sz="4" w:space="0" w:color="auto"/>
            </w:tcBorders>
            <w:shd w:val="clear" w:color="auto" w:fill="auto"/>
            <w:noWrap/>
            <w:vAlign w:val="center"/>
            <w:hideMark/>
          </w:tcPr>
          <w:p w14:paraId="50DED7D0"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100A2E9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1.25</w:t>
            </w:r>
          </w:p>
        </w:tc>
        <w:tc>
          <w:tcPr>
            <w:tcW w:w="754" w:type="dxa"/>
            <w:tcBorders>
              <w:top w:val="nil"/>
              <w:left w:val="nil"/>
              <w:bottom w:val="single" w:sz="4" w:space="0" w:color="auto"/>
              <w:right w:val="single" w:sz="4" w:space="0" w:color="auto"/>
            </w:tcBorders>
            <w:shd w:val="clear" w:color="auto" w:fill="auto"/>
            <w:noWrap/>
            <w:vAlign w:val="center"/>
            <w:hideMark/>
          </w:tcPr>
          <w:p w14:paraId="71A928A5"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01893616"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07EC8C1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0.25</w:t>
            </w:r>
          </w:p>
        </w:tc>
        <w:tc>
          <w:tcPr>
            <w:tcW w:w="504" w:type="dxa"/>
            <w:tcBorders>
              <w:top w:val="nil"/>
              <w:left w:val="nil"/>
              <w:bottom w:val="single" w:sz="4" w:space="0" w:color="auto"/>
              <w:right w:val="single" w:sz="4" w:space="0" w:color="auto"/>
            </w:tcBorders>
            <w:shd w:val="clear" w:color="auto" w:fill="auto"/>
            <w:noWrap/>
            <w:vAlign w:val="center"/>
            <w:hideMark/>
          </w:tcPr>
          <w:p w14:paraId="18C6F446"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2395DCF6"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74A9C0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663" w:type="dxa"/>
            <w:tcBorders>
              <w:top w:val="nil"/>
              <w:left w:val="nil"/>
              <w:bottom w:val="single" w:sz="4" w:space="0" w:color="auto"/>
              <w:right w:val="single" w:sz="4" w:space="0" w:color="auto"/>
            </w:tcBorders>
            <w:shd w:val="clear" w:color="auto" w:fill="auto"/>
            <w:noWrap/>
            <w:vAlign w:val="center"/>
            <w:hideMark/>
          </w:tcPr>
          <w:p w14:paraId="14517648"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143351F8"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0FDC5836"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330BD2D"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4F92C842"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6653C55A"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36C70B0D"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0CFFC725"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4B878C9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0.81</w:t>
            </w:r>
          </w:p>
        </w:tc>
        <w:tc>
          <w:tcPr>
            <w:tcW w:w="591" w:type="dxa"/>
            <w:tcBorders>
              <w:top w:val="nil"/>
              <w:left w:val="nil"/>
              <w:bottom w:val="single" w:sz="4" w:space="0" w:color="auto"/>
              <w:right w:val="single" w:sz="4" w:space="0" w:color="auto"/>
            </w:tcBorders>
            <w:shd w:val="clear" w:color="auto" w:fill="auto"/>
            <w:noWrap/>
            <w:vAlign w:val="center"/>
            <w:hideMark/>
          </w:tcPr>
          <w:p w14:paraId="2A2A4964"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91" w:type="dxa"/>
            <w:tcBorders>
              <w:top w:val="nil"/>
              <w:left w:val="nil"/>
              <w:bottom w:val="single" w:sz="4" w:space="0" w:color="auto"/>
              <w:right w:val="single" w:sz="4" w:space="0" w:color="auto"/>
            </w:tcBorders>
            <w:shd w:val="clear" w:color="auto" w:fill="auto"/>
            <w:noWrap/>
            <w:vAlign w:val="center"/>
            <w:hideMark/>
          </w:tcPr>
          <w:p w14:paraId="334E3973"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2.37</w:t>
            </w:r>
          </w:p>
        </w:tc>
        <w:tc>
          <w:tcPr>
            <w:tcW w:w="591" w:type="dxa"/>
            <w:tcBorders>
              <w:top w:val="nil"/>
              <w:left w:val="nil"/>
              <w:bottom w:val="single" w:sz="4" w:space="0" w:color="auto"/>
              <w:right w:val="single" w:sz="4" w:space="0" w:color="auto"/>
            </w:tcBorders>
            <w:shd w:val="clear" w:color="auto" w:fill="auto"/>
            <w:noWrap/>
            <w:vAlign w:val="center"/>
            <w:hideMark/>
          </w:tcPr>
          <w:p w14:paraId="5AFECC7D"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7BF7BDD5"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3.68</w:t>
            </w:r>
          </w:p>
        </w:tc>
        <w:tc>
          <w:tcPr>
            <w:tcW w:w="754" w:type="dxa"/>
            <w:tcBorders>
              <w:top w:val="nil"/>
              <w:left w:val="nil"/>
              <w:bottom w:val="single" w:sz="4" w:space="0" w:color="auto"/>
              <w:right w:val="single" w:sz="4" w:space="0" w:color="auto"/>
            </w:tcBorders>
            <w:shd w:val="clear" w:color="auto" w:fill="auto"/>
            <w:noWrap/>
            <w:vAlign w:val="center"/>
            <w:hideMark/>
          </w:tcPr>
          <w:p w14:paraId="6A3AA031"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662075E7"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065813A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504" w:type="dxa"/>
            <w:tcBorders>
              <w:top w:val="nil"/>
              <w:left w:val="nil"/>
              <w:bottom w:val="single" w:sz="4" w:space="0" w:color="auto"/>
              <w:right w:val="single" w:sz="4" w:space="0" w:color="auto"/>
            </w:tcBorders>
            <w:shd w:val="clear" w:color="auto" w:fill="auto"/>
            <w:noWrap/>
            <w:vAlign w:val="center"/>
            <w:hideMark/>
          </w:tcPr>
          <w:p w14:paraId="7BF6EDB8"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B0A95F1"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027202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4.76</w:t>
            </w:r>
          </w:p>
        </w:tc>
        <w:tc>
          <w:tcPr>
            <w:tcW w:w="663" w:type="dxa"/>
            <w:tcBorders>
              <w:top w:val="nil"/>
              <w:left w:val="nil"/>
              <w:bottom w:val="single" w:sz="4" w:space="0" w:color="auto"/>
              <w:right w:val="single" w:sz="4" w:space="0" w:color="auto"/>
            </w:tcBorders>
            <w:shd w:val="clear" w:color="auto" w:fill="auto"/>
            <w:noWrap/>
            <w:vAlign w:val="center"/>
            <w:hideMark/>
          </w:tcPr>
          <w:p w14:paraId="280A788D"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34BF8C2B"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33712A62"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773C68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r>
      <w:tr w:rsidR="001B5635" w:rsidRPr="00F352E1" w14:paraId="33A90540"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4D1968D0" w14:textId="77777777" w:rsidR="001B5635" w:rsidRPr="001B5635" w:rsidRDefault="001B5635" w:rsidP="001B5635">
            <w:pPr>
              <w:spacing w:after="0"/>
              <w:jc w:val="left"/>
              <w:rPr>
                <w:rFonts w:ascii="Arial Narrow" w:hAnsi="Arial Narrow"/>
                <w:sz w:val="20"/>
                <w:lang w:val="en-AU" w:eastAsia="en-AU"/>
              </w:rPr>
            </w:pPr>
          </w:p>
        </w:tc>
        <w:tc>
          <w:tcPr>
            <w:tcW w:w="1731" w:type="dxa"/>
            <w:tcBorders>
              <w:top w:val="nil"/>
              <w:left w:val="nil"/>
              <w:bottom w:val="single" w:sz="4" w:space="0" w:color="auto"/>
              <w:right w:val="single" w:sz="4" w:space="0" w:color="auto"/>
            </w:tcBorders>
            <w:shd w:val="clear" w:color="auto" w:fill="auto"/>
            <w:noWrap/>
            <w:vAlign w:val="center"/>
            <w:hideMark/>
          </w:tcPr>
          <w:p w14:paraId="62D6CF6C"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Low Isles</w:t>
            </w:r>
          </w:p>
        </w:tc>
        <w:tc>
          <w:tcPr>
            <w:tcW w:w="493" w:type="dxa"/>
            <w:tcBorders>
              <w:top w:val="nil"/>
              <w:left w:val="nil"/>
              <w:bottom w:val="single" w:sz="4" w:space="0" w:color="auto"/>
              <w:right w:val="single" w:sz="4" w:space="0" w:color="auto"/>
            </w:tcBorders>
            <w:shd w:val="clear" w:color="auto" w:fill="auto"/>
            <w:noWrap/>
            <w:vAlign w:val="center"/>
            <w:hideMark/>
          </w:tcPr>
          <w:p w14:paraId="65E05699"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6A6708CA"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0DC92C1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0.07</w:t>
            </w:r>
          </w:p>
        </w:tc>
        <w:tc>
          <w:tcPr>
            <w:tcW w:w="591" w:type="dxa"/>
            <w:tcBorders>
              <w:top w:val="nil"/>
              <w:left w:val="nil"/>
              <w:bottom w:val="single" w:sz="4" w:space="0" w:color="auto"/>
              <w:right w:val="single" w:sz="4" w:space="0" w:color="auto"/>
            </w:tcBorders>
            <w:shd w:val="clear" w:color="auto" w:fill="auto"/>
            <w:noWrap/>
            <w:vAlign w:val="center"/>
            <w:hideMark/>
          </w:tcPr>
          <w:p w14:paraId="79AD27BF"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02DACFD7"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1F640B8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0.17</w:t>
            </w:r>
          </w:p>
        </w:tc>
        <w:tc>
          <w:tcPr>
            <w:tcW w:w="754" w:type="dxa"/>
            <w:tcBorders>
              <w:top w:val="nil"/>
              <w:left w:val="nil"/>
              <w:bottom w:val="single" w:sz="4" w:space="0" w:color="auto"/>
              <w:right w:val="single" w:sz="4" w:space="0" w:color="auto"/>
            </w:tcBorders>
            <w:shd w:val="clear" w:color="auto" w:fill="auto"/>
            <w:noWrap/>
            <w:vAlign w:val="center"/>
            <w:hideMark/>
          </w:tcPr>
          <w:p w14:paraId="5C1BECA7"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365297A3"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0.03</w:t>
            </w:r>
          </w:p>
        </w:tc>
        <w:tc>
          <w:tcPr>
            <w:tcW w:w="844" w:type="dxa"/>
            <w:tcBorders>
              <w:top w:val="nil"/>
              <w:left w:val="nil"/>
              <w:bottom w:val="single" w:sz="4" w:space="0" w:color="auto"/>
              <w:right w:val="single" w:sz="4" w:space="0" w:color="auto"/>
            </w:tcBorders>
            <w:shd w:val="clear" w:color="auto" w:fill="auto"/>
            <w:noWrap/>
            <w:vAlign w:val="center"/>
            <w:hideMark/>
          </w:tcPr>
          <w:p w14:paraId="1990214F"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0.07</w:t>
            </w:r>
          </w:p>
        </w:tc>
        <w:tc>
          <w:tcPr>
            <w:tcW w:w="504" w:type="dxa"/>
            <w:tcBorders>
              <w:top w:val="nil"/>
              <w:left w:val="nil"/>
              <w:bottom w:val="single" w:sz="4" w:space="0" w:color="auto"/>
              <w:right w:val="single" w:sz="4" w:space="0" w:color="auto"/>
            </w:tcBorders>
            <w:shd w:val="clear" w:color="auto" w:fill="auto"/>
            <w:noWrap/>
            <w:vAlign w:val="center"/>
            <w:hideMark/>
          </w:tcPr>
          <w:p w14:paraId="495A860D"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30D57CF6"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0927B3D9"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532B5470"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05326E7"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1083A11"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3A88953"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0.07</w:t>
            </w:r>
          </w:p>
        </w:tc>
      </w:tr>
      <w:tr w:rsidR="001B5635" w:rsidRPr="00F352E1" w14:paraId="60A34284" w14:textId="77777777" w:rsidTr="006B2ADA">
        <w:trPr>
          <w:trHeight w:val="340"/>
        </w:trPr>
        <w:tc>
          <w:tcPr>
            <w:tcW w:w="69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763B48C1"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Johnstone</w:t>
            </w:r>
          </w:p>
        </w:tc>
        <w:tc>
          <w:tcPr>
            <w:tcW w:w="1731" w:type="dxa"/>
            <w:tcBorders>
              <w:top w:val="nil"/>
              <w:left w:val="nil"/>
              <w:bottom w:val="single" w:sz="4" w:space="0" w:color="auto"/>
              <w:right w:val="single" w:sz="4" w:space="0" w:color="auto"/>
            </w:tcBorders>
            <w:shd w:val="clear" w:color="auto" w:fill="auto"/>
            <w:noWrap/>
            <w:vAlign w:val="center"/>
            <w:hideMark/>
          </w:tcPr>
          <w:p w14:paraId="5B631284"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Green</w:t>
            </w:r>
          </w:p>
        </w:tc>
        <w:tc>
          <w:tcPr>
            <w:tcW w:w="493" w:type="dxa"/>
            <w:tcBorders>
              <w:top w:val="nil"/>
              <w:left w:val="nil"/>
              <w:bottom w:val="single" w:sz="4" w:space="0" w:color="auto"/>
              <w:right w:val="single" w:sz="4" w:space="0" w:color="auto"/>
            </w:tcBorders>
            <w:shd w:val="clear" w:color="auto" w:fill="auto"/>
            <w:noWrap/>
            <w:vAlign w:val="center"/>
            <w:hideMark/>
          </w:tcPr>
          <w:p w14:paraId="02CA3C48"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23773FF8"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30DDCE36"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483CB22D"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5B8C49E7"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2FFC0FC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4.70</w:t>
            </w:r>
          </w:p>
        </w:tc>
        <w:tc>
          <w:tcPr>
            <w:tcW w:w="754" w:type="dxa"/>
            <w:tcBorders>
              <w:top w:val="nil"/>
              <w:left w:val="nil"/>
              <w:bottom w:val="single" w:sz="4" w:space="0" w:color="auto"/>
              <w:right w:val="single" w:sz="4" w:space="0" w:color="auto"/>
            </w:tcBorders>
            <w:shd w:val="clear" w:color="auto" w:fill="auto"/>
            <w:noWrap/>
            <w:vAlign w:val="center"/>
            <w:hideMark/>
          </w:tcPr>
          <w:p w14:paraId="73F68F4C"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54E44B6C"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2.70</w:t>
            </w:r>
          </w:p>
        </w:tc>
        <w:tc>
          <w:tcPr>
            <w:tcW w:w="844" w:type="dxa"/>
            <w:tcBorders>
              <w:top w:val="nil"/>
              <w:left w:val="nil"/>
              <w:bottom w:val="single" w:sz="4" w:space="0" w:color="auto"/>
              <w:right w:val="single" w:sz="4" w:space="0" w:color="auto"/>
            </w:tcBorders>
            <w:shd w:val="clear" w:color="auto" w:fill="auto"/>
            <w:noWrap/>
            <w:vAlign w:val="center"/>
            <w:hideMark/>
          </w:tcPr>
          <w:p w14:paraId="552E4EF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0.05</w:t>
            </w:r>
          </w:p>
        </w:tc>
        <w:tc>
          <w:tcPr>
            <w:tcW w:w="504" w:type="dxa"/>
            <w:tcBorders>
              <w:top w:val="nil"/>
              <w:left w:val="nil"/>
              <w:bottom w:val="single" w:sz="4" w:space="0" w:color="auto"/>
              <w:right w:val="single" w:sz="4" w:space="0" w:color="auto"/>
            </w:tcBorders>
            <w:shd w:val="clear" w:color="auto" w:fill="auto"/>
            <w:noWrap/>
            <w:vAlign w:val="center"/>
            <w:hideMark/>
          </w:tcPr>
          <w:p w14:paraId="6C9846AC"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28DC38BC"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1.00</w:t>
            </w:r>
          </w:p>
        </w:tc>
        <w:tc>
          <w:tcPr>
            <w:tcW w:w="832" w:type="dxa"/>
            <w:tcBorders>
              <w:top w:val="nil"/>
              <w:left w:val="nil"/>
              <w:bottom w:val="single" w:sz="4" w:space="0" w:color="auto"/>
              <w:right w:val="single" w:sz="4" w:space="0" w:color="auto"/>
            </w:tcBorders>
            <w:shd w:val="clear" w:color="auto" w:fill="auto"/>
            <w:noWrap/>
            <w:vAlign w:val="center"/>
            <w:hideMark/>
          </w:tcPr>
          <w:p w14:paraId="23794EB4"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7FCD1106"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91317E0"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6C87E096"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33BFD035"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0.20</w:t>
            </w:r>
          </w:p>
        </w:tc>
      </w:tr>
      <w:tr w:rsidR="001B5635" w:rsidRPr="00F352E1" w14:paraId="77391F96"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723BA3CF" w14:textId="77777777" w:rsidR="001B5635" w:rsidRPr="001B5635" w:rsidRDefault="001B5635" w:rsidP="001B5635">
            <w:pPr>
              <w:spacing w:after="0"/>
              <w:jc w:val="left"/>
              <w:rPr>
                <w:rFonts w:ascii="Arial Narrow" w:hAnsi="Arial Narrow"/>
                <w:sz w:val="20"/>
                <w:lang w:val="en-AU" w:eastAsia="en-AU"/>
              </w:rPr>
            </w:pPr>
          </w:p>
        </w:tc>
        <w:tc>
          <w:tcPr>
            <w:tcW w:w="1731" w:type="dxa"/>
            <w:tcBorders>
              <w:top w:val="nil"/>
              <w:left w:val="nil"/>
              <w:bottom w:val="single" w:sz="4" w:space="0" w:color="auto"/>
              <w:right w:val="single" w:sz="4" w:space="0" w:color="auto"/>
            </w:tcBorders>
            <w:shd w:val="clear" w:color="auto" w:fill="auto"/>
            <w:noWrap/>
            <w:vAlign w:val="center"/>
            <w:hideMark/>
          </w:tcPr>
          <w:p w14:paraId="75081E94"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Fitzroy West LTMP</w:t>
            </w:r>
          </w:p>
        </w:tc>
        <w:tc>
          <w:tcPr>
            <w:tcW w:w="493" w:type="dxa"/>
            <w:tcBorders>
              <w:top w:val="nil"/>
              <w:left w:val="nil"/>
              <w:bottom w:val="single" w:sz="4" w:space="0" w:color="auto"/>
              <w:right w:val="single" w:sz="4" w:space="0" w:color="auto"/>
            </w:tcBorders>
            <w:shd w:val="clear" w:color="auto" w:fill="auto"/>
            <w:noWrap/>
            <w:vAlign w:val="center"/>
            <w:hideMark/>
          </w:tcPr>
          <w:p w14:paraId="538A00A3"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70474434"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9107AAB"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083EF506"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24AA73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0.30</w:t>
            </w:r>
          </w:p>
        </w:tc>
        <w:tc>
          <w:tcPr>
            <w:tcW w:w="744" w:type="dxa"/>
            <w:tcBorders>
              <w:top w:val="nil"/>
              <w:left w:val="nil"/>
              <w:bottom w:val="single" w:sz="4" w:space="0" w:color="auto"/>
              <w:right w:val="single" w:sz="4" w:space="0" w:color="auto"/>
            </w:tcBorders>
            <w:shd w:val="clear" w:color="auto" w:fill="auto"/>
            <w:noWrap/>
            <w:vAlign w:val="center"/>
            <w:hideMark/>
          </w:tcPr>
          <w:p w14:paraId="34FEDAF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0.20</w:t>
            </w:r>
          </w:p>
        </w:tc>
        <w:tc>
          <w:tcPr>
            <w:tcW w:w="754" w:type="dxa"/>
            <w:tcBorders>
              <w:top w:val="nil"/>
              <w:left w:val="nil"/>
              <w:bottom w:val="single" w:sz="4" w:space="0" w:color="auto"/>
              <w:right w:val="single" w:sz="4" w:space="0" w:color="auto"/>
            </w:tcBorders>
            <w:shd w:val="clear" w:color="auto" w:fill="auto"/>
            <w:noWrap/>
            <w:vAlign w:val="center"/>
            <w:hideMark/>
          </w:tcPr>
          <w:p w14:paraId="30238090"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5D07E2B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0.30</w:t>
            </w:r>
          </w:p>
        </w:tc>
        <w:tc>
          <w:tcPr>
            <w:tcW w:w="844" w:type="dxa"/>
            <w:tcBorders>
              <w:top w:val="nil"/>
              <w:left w:val="nil"/>
              <w:bottom w:val="single" w:sz="4" w:space="0" w:color="auto"/>
              <w:right w:val="single" w:sz="4" w:space="0" w:color="auto"/>
            </w:tcBorders>
            <w:shd w:val="clear" w:color="auto" w:fill="auto"/>
            <w:noWrap/>
            <w:vAlign w:val="center"/>
            <w:hideMark/>
          </w:tcPr>
          <w:p w14:paraId="129053A1"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45E50B39"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7EEC6B56"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EDEB615"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50FC1693"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1FAE229"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0C33A27"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C9ABC5E"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04D6D010"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657DBB98"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92AB09"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Fitzroy East</w:t>
            </w:r>
          </w:p>
        </w:tc>
        <w:tc>
          <w:tcPr>
            <w:tcW w:w="493" w:type="dxa"/>
            <w:tcBorders>
              <w:top w:val="nil"/>
              <w:left w:val="nil"/>
              <w:bottom w:val="single" w:sz="4" w:space="0" w:color="auto"/>
              <w:right w:val="single" w:sz="4" w:space="0" w:color="auto"/>
            </w:tcBorders>
            <w:shd w:val="clear" w:color="auto" w:fill="auto"/>
            <w:noWrap/>
            <w:vAlign w:val="center"/>
            <w:hideMark/>
          </w:tcPr>
          <w:p w14:paraId="4CB83290"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5178A44A"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1C438CE4"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591" w:type="dxa"/>
            <w:tcBorders>
              <w:top w:val="nil"/>
              <w:left w:val="nil"/>
              <w:bottom w:val="single" w:sz="4" w:space="0" w:color="auto"/>
              <w:right w:val="single" w:sz="4" w:space="0" w:color="auto"/>
            </w:tcBorders>
            <w:shd w:val="clear" w:color="auto" w:fill="auto"/>
            <w:noWrap/>
            <w:vAlign w:val="center"/>
            <w:hideMark/>
          </w:tcPr>
          <w:p w14:paraId="6680D0C8"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6D66D35"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1B28815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0.63</w:t>
            </w:r>
          </w:p>
        </w:tc>
        <w:tc>
          <w:tcPr>
            <w:tcW w:w="754" w:type="dxa"/>
            <w:tcBorders>
              <w:top w:val="nil"/>
              <w:left w:val="nil"/>
              <w:bottom w:val="single" w:sz="4" w:space="0" w:color="auto"/>
              <w:right w:val="single" w:sz="4" w:space="0" w:color="auto"/>
            </w:tcBorders>
            <w:shd w:val="clear" w:color="auto" w:fill="auto"/>
            <w:noWrap/>
            <w:vAlign w:val="center"/>
            <w:hideMark/>
          </w:tcPr>
          <w:p w14:paraId="7BF5CC06"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1FA10CF3"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007A890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504" w:type="dxa"/>
            <w:tcBorders>
              <w:top w:val="nil"/>
              <w:left w:val="nil"/>
              <w:bottom w:val="single" w:sz="4" w:space="0" w:color="auto"/>
              <w:right w:val="single" w:sz="4" w:space="0" w:color="auto"/>
            </w:tcBorders>
            <w:shd w:val="clear" w:color="auto" w:fill="auto"/>
            <w:noWrap/>
            <w:vAlign w:val="center"/>
            <w:hideMark/>
          </w:tcPr>
          <w:p w14:paraId="77E81866"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DFD041C"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0E93595A"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5D7877E"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875D6A5"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BB86B08"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CEEEBBF"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4D7F94AE"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3FF8A8D7"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41720E55"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4F9C9EA1"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467E78D4"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CEE3DE5"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0.44</w:t>
            </w:r>
          </w:p>
        </w:tc>
        <w:tc>
          <w:tcPr>
            <w:tcW w:w="591" w:type="dxa"/>
            <w:tcBorders>
              <w:top w:val="nil"/>
              <w:left w:val="nil"/>
              <w:bottom w:val="single" w:sz="4" w:space="0" w:color="auto"/>
              <w:right w:val="single" w:sz="4" w:space="0" w:color="auto"/>
            </w:tcBorders>
            <w:shd w:val="clear" w:color="auto" w:fill="auto"/>
            <w:noWrap/>
            <w:vAlign w:val="center"/>
            <w:hideMark/>
          </w:tcPr>
          <w:p w14:paraId="5AC97513"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D9D2F8B"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1235D8F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0.56</w:t>
            </w:r>
          </w:p>
        </w:tc>
        <w:tc>
          <w:tcPr>
            <w:tcW w:w="754" w:type="dxa"/>
            <w:tcBorders>
              <w:top w:val="nil"/>
              <w:left w:val="nil"/>
              <w:bottom w:val="single" w:sz="4" w:space="0" w:color="auto"/>
              <w:right w:val="single" w:sz="4" w:space="0" w:color="auto"/>
            </w:tcBorders>
            <w:shd w:val="clear" w:color="auto" w:fill="auto"/>
            <w:noWrap/>
            <w:vAlign w:val="center"/>
            <w:hideMark/>
          </w:tcPr>
          <w:p w14:paraId="36D04954"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6F99E2B2"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7D9AB5EE"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334261A0"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4A7FBD6"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0B7509E0"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240894A4"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83B2F3E"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11904B4C"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67A55A21"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3C506030"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3277B83F"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E404FB"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Fitzroy West</w:t>
            </w:r>
          </w:p>
        </w:tc>
        <w:tc>
          <w:tcPr>
            <w:tcW w:w="493" w:type="dxa"/>
            <w:tcBorders>
              <w:top w:val="nil"/>
              <w:left w:val="nil"/>
              <w:bottom w:val="single" w:sz="4" w:space="0" w:color="auto"/>
              <w:right w:val="single" w:sz="4" w:space="0" w:color="auto"/>
            </w:tcBorders>
            <w:shd w:val="clear" w:color="auto" w:fill="auto"/>
            <w:noWrap/>
            <w:vAlign w:val="center"/>
            <w:hideMark/>
          </w:tcPr>
          <w:p w14:paraId="079FDE97"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1B2AEC52"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0.38</w:t>
            </w:r>
          </w:p>
        </w:tc>
        <w:tc>
          <w:tcPr>
            <w:tcW w:w="591" w:type="dxa"/>
            <w:tcBorders>
              <w:top w:val="nil"/>
              <w:left w:val="nil"/>
              <w:bottom w:val="single" w:sz="4" w:space="0" w:color="auto"/>
              <w:right w:val="single" w:sz="4" w:space="0" w:color="auto"/>
            </w:tcBorders>
            <w:shd w:val="clear" w:color="auto" w:fill="auto"/>
            <w:noWrap/>
            <w:vAlign w:val="center"/>
            <w:hideMark/>
          </w:tcPr>
          <w:p w14:paraId="58B8D8BC"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91" w:type="dxa"/>
            <w:tcBorders>
              <w:top w:val="nil"/>
              <w:left w:val="nil"/>
              <w:bottom w:val="single" w:sz="4" w:space="0" w:color="auto"/>
              <w:right w:val="single" w:sz="4" w:space="0" w:color="auto"/>
            </w:tcBorders>
            <w:shd w:val="clear" w:color="auto" w:fill="auto"/>
            <w:noWrap/>
            <w:vAlign w:val="center"/>
            <w:hideMark/>
          </w:tcPr>
          <w:p w14:paraId="465F810F"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591" w:type="dxa"/>
            <w:tcBorders>
              <w:top w:val="nil"/>
              <w:left w:val="nil"/>
              <w:bottom w:val="single" w:sz="4" w:space="0" w:color="auto"/>
              <w:right w:val="single" w:sz="4" w:space="0" w:color="auto"/>
            </w:tcBorders>
            <w:shd w:val="clear" w:color="auto" w:fill="auto"/>
            <w:noWrap/>
            <w:vAlign w:val="center"/>
            <w:hideMark/>
          </w:tcPr>
          <w:p w14:paraId="58E6F157"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2EC58F1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0.38</w:t>
            </w:r>
          </w:p>
        </w:tc>
        <w:tc>
          <w:tcPr>
            <w:tcW w:w="754" w:type="dxa"/>
            <w:tcBorders>
              <w:top w:val="nil"/>
              <w:left w:val="nil"/>
              <w:bottom w:val="single" w:sz="4" w:space="0" w:color="auto"/>
              <w:right w:val="single" w:sz="4" w:space="0" w:color="auto"/>
            </w:tcBorders>
            <w:shd w:val="clear" w:color="auto" w:fill="auto"/>
            <w:noWrap/>
            <w:vAlign w:val="center"/>
            <w:hideMark/>
          </w:tcPr>
          <w:p w14:paraId="6C0F4230"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206B2DAA"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4AC3A0E8"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4E00CF6E"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0227F10"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167142F6"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222890C"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1F0553E"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0C031B18"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6E332CF3"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r>
      <w:tr w:rsidR="001B5635" w:rsidRPr="00F352E1" w14:paraId="16834FB2"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7286D94A"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3A4AF381"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686C6D02"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229EDB1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0.31</w:t>
            </w:r>
          </w:p>
        </w:tc>
        <w:tc>
          <w:tcPr>
            <w:tcW w:w="591" w:type="dxa"/>
            <w:tcBorders>
              <w:top w:val="nil"/>
              <w:left w:val="nil"/>
              <w:bottom w:val="single" w:sz="4" w:space="0" w:color="auto"/>
              <w:right w:val="single" w:sz="4" w:space="0" w:color="auto"/>
            </w:tcBorders>
            <w:shd w:val="clear" w:color="auto" w:fill="auto"/>
            <w:noWrap/>
            <w:vAlign w:val="center"/>
            <w:hideMark/>
          </w:tcPr>
          <w:p w14:paraId="4346DFE3"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0.25</w:t>
            </w:r>
          </w:p>
        </w:tc>
        <w:tc>
          <w:tcPr>
            <w:tcW w:w="591" w:type="dxa"/>
            <w:tcBorders>
              <w:top w:val="nil"/>
              <w:left w:val="nil"/>
              <w:bottom w:val="single" w:sz="4" w:space="0" w:color="auto"/>
              <w:right w:val="single" w:sz="4" w:space="0" w:color="auto"/>
            </w:tcBorders>
            <w:shd w:val="clear" w:color="auto" w:fill="auto"/>
            <w:noWrap/>
            <w:vAlign w:val="center"/>
            <w:hideMark/>
          </w:tcPr>
          <w:p w14:paraId="1107D099"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3DA3BD8"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1636CB8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0.38</w:t>
            </w:r>
          </w:p>
        </w:tc>
        <w:tc>
          <w:tcPr>
            <w:tcW w:w="754" w:type="dxa"/>
            <w:tcBorders>
              <w:top w:val="nil"/>
              <w:left w:val="nil"/>
              <w:bottom w:val="single" w:sz="4" w:space="0" w:color="auto"/>
              <w:right w:val="single" w:sz="4" w:space="0" w:color="auto"/>
            </w:tcBorders>
            <w:shd w:val="clear" w:color="auto" w:fill="auto"/>
            <w:noWrap/>
            <w:vAlign w:val="center"/>
            <w:hideMark/>
          </w:tcPr>
          <w:p w14:paraId="4F29B50E"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0E13C5D6"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27995DD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04" w:type="dxa"/>
            <w:tcBorders>
              <w:top w:val="nil"/>
              <w:left w:val="nil"/>
              <w:bottom w:val="single" w:sz="4" w:space="0" w:color="auto"/>
              <w:right w:val="single" w:sz="4" w:space="0" w:color="auto"/>
            </w:tcBorders>
            <w:shd w:val="clear" w:color="auto" w:fill="auto"/>
            <w:noWrap/>
            <w:vAlign w:val="center"/>
            <w:hideMark/>
          </w:tcPr>
          <w:p w14:paraId="41B2A6D3"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7DB6C7B0"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68179F60"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6D4A0A34"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C764F0C"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1C35766"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6DFCCE4D"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484E5D42"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46950C8C"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0F2921"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Franklands East</w:t>
            </w:r>
          </w:p>
        </w:tc>
        <w:tc>
          <w:tcPr>
            <w:tcW w:w="493" w:type="dxa"/>
            <w:tcBorders>
              <w:top w:val="nil"/>
              <w:left w:val="nil"/>
              <w:bottom w:val="single" w:sz="4" w:space="0" w:color="auto"/>
              <w:right w:val="single" w:sz="4" w:space="0" w:color="auto"/>
            </w:tcBorders>
            <w:shd w:val="clear" w:color="auto" w:fill="auto"/>
            <w:noWrap/>
            <w:vAlign w:val="center"/>
            <w:hideMark/>
          </w:tcPr>
          <w:p w14:paraId="63A9C1C2"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027B297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0.50</w:t>
            </w:r>
          </w:p>
        </w:tc>
        <w:tc>
          <w:tcPr>
            <w:tcW w:w="591" w:type="dxa"/>
            <w:tcBorders>
              <w:top w:val="nil"/>
              <w:left w:val="nil"/>
              <w:bottom w:val="single" w:sz="4" w:space="0" w:color="auto"/>
              <w:right w:val="single" w:sz="4" w:space="0" w:color="auto"/>
            </w:tcBorders>
            <w:shd w:val="clear" w:color="auto" w:fill="auto"/>
            <w:noWrap/>
            <w:vAlign w:val="center"/>
            <w:hideMark/>
          </w:tcPr>
          <w:p w14:paraId="49F2629E"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2BE1D9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91" w:type="dxa"/>
            <w:tcBorders>
              <w:top w:val="nil"/>
              <w:left w:val="nil"/>
              <w:bottom w:val="single" w:sz="4" w:space="0" w:color="auto"/>
              <w:right w:val="single" w:sz="4" w:space="0" w:color="auto"/>
            </w:tcBorders>
            <w:shd w:val="clear" w:color="auto" w:fill="auto"/>
            <w:noWrap/>
            <w:vAlign w:val="center"/>
            <w:hideMark/>
          </w:tcPr>
          <w:p w14:paraId="0281302D"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3121E26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0.63</w:t>
            </w:r>
          </w:p>
        </w:tc>
        <w:tc>
          <w:tcPr>
            <w:tcW w:w="754" w:type="dxa"/>
            <w:tcBorders>
              <w:top w:val="nil"/>
              <w:left w:val="nil"/>
              <w:bottom w:val="single" w:sz="4" w:space="0" w:color="auto"/>
              <w:right w:val="single" w:sz="4" w:space="0" w:color="auto"/>
            </w:tcBorders>
            <w:shd w:val="clear" w:color="auto" w:fill="auto"/>
            <w:noWrap/>
            <w:vAlign w:val="center"/>
            <w:hideMark/>
          </w:tcPr>
          <w:p w14:paraId="7BF82C4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601" w:type="dxa"/>
            <w:tcBorders>
              <w:top w:val="nil"/>
              <w:left w:val="nil"/>
              <w:bottom w:val="single" w:sz="4" w:space="0" w:color="auto"/>
              <w:right w:val="single" w:sz="4" w:space="0" w:color="auto"/>
            </w:tcBorders>
            <w:shd w:val="clear" w:color="auto" w:fill="auto"/>
            <w:noWrap/>
            <w:vAlign w:val="center"/>
            <w:hideMark/>
          </w:tcPr>
          <w:p w14:paraId="7AC808AB"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670176A3"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04" w:type="dxa"/>
            <w:tcBorders>
              <w:top w:val="nil"/>
              <w:left w:val="nil"/>
              <w:bottom w:val="single" w:sz="4" w:space="0" w:color="auto"/>
              <w:right w:val="single" w:sz="4" w:space="0" w:color="auto"/>
            </w:tcBorders>
            <w:shd w:val="clear" w:color="auto" w:fill="auto"/>
            <w:noWrap/>
            <w:vAlign w:val="center"/>
            <w:hideMark/>
          </w:tcPr>
          <w:p w14:paraId="3E31486C"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03B41EB8"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300B3743"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1.00</w:t>
            </w:r>
          </w:p>
        </w:tc>
        <w:tc>
          <w:tcPr>
            <w:tcW w:w="663" w:type="dxa"/>
            <w:tcBorders>
              <w:top w:val="nil"/>
              <w:left w:val="nil"/>
              <w:bottom w:val="single" w:sz="4" w:space="0" w:color="auto"/>
              <w:right w:val="single" w:sz="4" w:space="0" w:color="auto"/>
            </w:tcBorders>
            <w:shd w:val="clear" w:color="auto" w:fill="auto"/>
            <w:noWrap/>
            <w:vAlign w:val="center"/>
            <w:hideMark/>
          </w:tcPr>
          <w:p w14:paraId="3953C494"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DA9474B"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220E6CE"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03434F85"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16206965"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015C92D0"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5778D3E8"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51665AC6"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5EB54E05"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6C7F0BD3"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60F5A113"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1.25</w:t>
            </w:r>
          </w:p>
        </w:tc>
        <w:tc>
          <w:tcPr>
            <w:tcW w:w="591" w:type="dxa"/>
            <w:tcBorders>
              <w:top w:val="nil"/>
              <w:left w:val="nil"/>
              <w:bottom w:val="single" w:sz="4" w:space="0" w:color="auto"/>
              <w:right w:val="single" w:sz="4" w:space="0" w:color="auto"/>
            </w:tcBorders>
            <w:shd w:val="clear" w:color="auto" w:fill="auto"/>
            <w:noWrap/>
            <w:vAlign w:val="center"/>
            <w:hideMark/>
          </w:tcPr>
          <w:p w14:paraId="4A3146D2"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5F76B5DC"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1.50</w:t>
            </w:r>
          </w:p>
        </w:tc>
        <w:tc>
          <w:tcPr>
            <w:tcW w:w="754" w:type="dxa"/>
            <w:tcBorders>
              <w:top w:val="nil"/>
              <w:left w:val="nil"/>
              <w:bottom w:val="single" w:sz="4" w:space="0" w:color="auto"/>
              <w:right w:val="single" w:sz="4" w:space="0" w:color="auto"/>
            </w:tcBorders>
            <w:shd w:val="clear" w:color="auto" w:fill="auto"/>
            <w:noWrap/>
            <w:vAlign w:val="center"/>
            <w:hideMark/>
          </w:tcPr>
          <w:p w14:paraId="682BB560"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6FDA18C3"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1CF4D87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504" w:type="dxa"/>
            <w:tcBorders>
              <w:top w:val="nil"/>
              <w:left w:val="nil"/>
              <w:bottom w:val="single" w:sz="4" w:space="0" w:color="auto"/>
              <w:right w:val="single" w:sz="4" w:space="0" w:color="auto"/>
            </w:tcBorders>
            <w:shd w:val="clear" w:color="auto" w:fill="auto"/>
            <w:noWrap/>
            <w:vAlign w:val="center"/>
            <w:hideMark/>
          </w:tcPr>
          <w:p w14:paraId="78212F29"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2C1B213F"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27D7305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0.75</w:t>
            </w:r>
          </w:p>
        </w:tc>
        <w:tc>
          <w:tcPr>
            <w:tcW w:w="663" w:type="dxa"/>
            <w:tcBorders>
              <w:top w:val="nil"/>
              <w:left w:val="nil"/>
              <w:bottom w:val="single" w:sz="4" w:space="0" w:color="auto"/>
              <w:right w:val="single" w:sz="4" w:space="0" w:color="auto"/>
            </w:tcBorders>
            <w:shd w:val="clear" w:color="auto" w:fill="auto"/>
            <w:noWrap/>
            <w:vAlign w:val="center"/>
            <w:hideMark/>
          </w:tcPr>
          <w:p w14:paraId="0566A499"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DC52207"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1EB732F9"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752B386B"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4004FF73"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7477F95E"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9A67566"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Franklands West</w:t>
            </w:r>
          </w:p>
        </w:tc>
        <w:tc>
          <w:tcPr>
            <w:tcW w:w="493" w:type="dxa"/>
            <w:tcBorders>
              <w:top w:val="nil"/>
              <w:left w:val="nil"/>
              <w:bottom w:val="single" w:sz="4" w:space="0" w:color="auto"/>
              <w:right w:val="single" w:sz="4" w:space="0" w:color="auto"/>
            </w:tcBorders>
            <w:shd w:val="clear" w:color="auto" w:fill="auto"/>
            <w:noWrap/>
            <w:vAlign w:val="center"/>
            <w:hideMark/>
          </w:tcPr>
          <w:p w14:paraId="41F29369"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120DF65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1.00</w:t>
            </w:r>
          </w:p>
        </w:tc>
        <w:tc>
          <w:tcPr>
            <w:tcW w:w="591" w:type="dxa"/>
            <w:tcBorders>
              <w:top w:val="nil"/>
              <w:left w:val="nil"/>
              <w:bottom w:val="single" w:sz="4" w:space="0" w:color="auto"/>
              <w:right w:val="single" w:sz="4" w:space="0" w:color="auto"/>
            </w:tcBorders>
            <w:shd w:val="clear" w:color="auto" w:fill="auto"/>
            <w:noWrap/>
            <w:vAlign w:val="center"/>
            <w:hideMark/>
          </w:tcPr>
          <w:p w14:paraId="3CAF4CB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591" w:type="dxa"/>
            <w:tcBorders>
              <w:top w:val="nil"/>
              <w:left w:val="nil"/>
              <w:bottom w:val="single" w:sz="4" w:space="0" w:color="auto"/>
              <w:right w:val="single" w:sz="4" w:space="0" w:color="auto"/>
            </w:tcBorders>
            <w:shd w:val="clear" w:color="auto" w:fill="auto"/>
            <w:noWrap/>
            <w:vAlign w:val="center"/>
            <w:hideMark/>
          </w:tcPr>
          <w:p w14:paraId="2C1F6A7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5.63</w:t>
            </w:r>
          </w:p>
        </w:tc>
        <w:tc>
          <w:tcPr>
            <w:tcW w:w="591" w:type="dxa"/>
            <w:tcBorders>
              <w:top w:val="nil"/>
              <w:left w:val="nil"/>
              <w:bottom w:val="single" w:sz="4" w:space="0" w:color="auto"/>
              <w:right w:val="single" w:sz="4" w:space="0" w:color="auto"/>
            </w:tcBorders>
            <w:shd w:val="clear" w:color="auto" w:fill="auto"/>
            <w:noWrap/>
            <w:vAlign w:val="center"/>
            <w:hideMark/>
          </w:tcPr>
          <w:p w14:paraId="4C442A7A"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6E1E5C9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5.56</w:t>
            </w:r>
          </w:p>
        </w:tc>
        <w:tc>
          <w:tcPr>
            <w:tcW w:w="754" w:type="dxa"/>
            <w:tcBorders>
              <w:top w:val="nil"/>
              <w:left w:val="nil"/>
              <w:bottom w:val="single" w:sz="4" w:space="0" w:color="auto"/>
              <w:right w:val="single" w:sz="4" w:space="0" w:color="auto"/>
            </w:tcBorders>
            <w:shd w:val="clear" w:color="auto" w:fill="auto"/>
            <w:noWrap/>
            <w:vAlign w:val="center"/>
            <w:hideMark/>
          </w:tcPr>
          <w:p w14:paraId="1DD2F7A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601" w:type="dxa"/>
            <w:tcBorders>
              <w:top w:val="nil"/>
              <w:left w:val="nil"/>
              <w:bottom w:val="single" w:sz="4" w:space="0" w:color="auto"/>
              <w:right w:val="single" w:sz="4" w:space="0" w:color="auto"/>
            </w:tcBorders>
            <w:shd w:val="clear" w:color="auto" w:fill="auto"/>
            <w:noWrap/>
            <w:vAlign w:val="center"/>
            <w:hideMark/>
          </w:tcPr>
          <w:p w14:paraId="4172AF2F"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0.25</w:t>
            </w:r>
          </w:p>
        </w:tc>
        <w:tc>
          <w:tcPr>
            <w:tcW w:w="844" w:type="dxa"/>
            <w:tcBorders>
              <w:top w:val="nil"/>
              <w:left w:val="nil"/>
              <w:bottom w:val="single" w:sz="4" w:space="0" w:color="auto"/>
              <w:right w:val="single" w:sz="4" w:space="0" w:color="auto"/>
            </w:tcBorders>
            <w:shd w:val="clear" w:color="auto" w:fill="auto"/>
            <w:noWrap/>
            <w:vAlign w:val="center"/>
            <w:hideMark/>
          </w:tcPr>
          <w:p w14:paraId="67B773C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504" w:type="dxa"/>
            <w:tcBorders>
              <w:top w:val="nil"/>
              <w:left w:val="nil"/>
              <w:bottom w:val="single" w:sz="4" w:space="0" w:color="auto"/>
              <w:right w:val="single" w:sz="4" w:space="0" w:color="auto"/>
            </w:tcBorders>
            <w:shd w:val="clear" w:color="auto" w:fill="auto"/>
            <w:noWrap/>
            <w:vAlign w:val="center"/>
            <w:hideMark/>
          </w:tcPr>
          <w:p w14:paraId="03E204CC"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0DEB59E"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AEA2805"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3.81</w:t>
            </w:r>
          </w:p>
        </w:tc>
        <w:tc>
          <w:tcPr>
            <w:tcW w:w="663" w:type="dxa"/>
            <w:tcBorders>
              <w:top w:val="nil"/>
              <w:left w:val="nil"/>
              <w:bottom w:val="single" w:sz="4" w:space="0" w:color="auto"/>
              <w:right w:val="single" w:sz="4" w:space="0" w:color="auto"/>
            </w:tcBorders>
            <w:shd w:val="clear" w:color="auto" w:fill="auto"/>
            <w:noWrap/>
            <w:vAlign w:val="center"/>
            <w:hideMark/>
          </w:tcPr>
          <w:p w14:paraId="140E1572"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B5970C8"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3148959A"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8A012F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r>
      <w:tr w:rsidR="001B5635" w:rsidRPr="00F352E1" w14:paraId="495A8173"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1AC8B792"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213718E2"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59C25C75"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1061E3DA"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166ED287"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348F3E9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10.69</w:t>
            </w:r>
          </w:p>
        </w:tc>
        <w:tc>
          <w:tcPr>
            <w:tcW w:w="591" w:type="dxa"/>
            <w:tcBorders>
              <w:top w:val="nil"/>
              <w:left w:val="nil"/>
              <w:bottom w:val="single" w:sz="4" w:space="0" w:color="auto"/>
              <w:right w:val="single" w:sz="4" w:space="0" w:color="auto"/>
            </w:tcBorders>
            <w:shd w:val="clear" w:color="auto" w:fill="auto"/>
            <w:noWrap/>
            <w:vAlign w:val="center"/>
            <w:hideMark/>
          </w:tcPr>
          <w:p w14:paraId="7660ED83"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7F849F7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19.50</w:t>
            </w:r>
          </w:p>
        </w:tc>
        <w:tc>
          <w:tcPr>
            <w:tcW w:w="754" w:type="dxa"/>
            <w:tcBorders>
              <w:top w:val="nil"/>
              <w:left w:val="nil"/>
              <w:bottom w:val="single" w:sz="4" w:space="0" w:color="auto"/>
              <w:right w:val="single" w:sz="4" w:space="0" w:color="auto"/>
            </w:tcBorders>
            <w:shd w:val="clear" w:color="auto" w:fill="auto"/>
            <w:noWrap/>
            <w:vAlign w:val="center"/>
            <w:hideMark/>
          </w:tcPr>
          <w:p w14:paraId="1DE59EC6"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0.56</w:t>
            </w:r>
          </w:p>
        </w:tc>
        <w:tc>
          <w:tcPr>
            <w:tcW w:w="601" w:type="dxa"/>
            <w:tcBorders>
              <w:top w:val="nil"/>
              <w:left w:val="nil"/>
              <w:bottom w:val="single" w:sz="4" w:space="0" w:color="auto"/>
              <w:right w:val="single" w:sz="4" w:space="0" w:color="auto"/>
            </w:tcBorders>
            <w:shd w:val="clear" w:color="auto" w:fill="auto"/>
            <w:noWrap/>
            <w:vAlign w:val="center"/>
            <w:hideMark/>
          </w:tcPr>
          <w:p w14:paraId="0D08DAF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1.06</w:t>
            </w:r>
          </w:p>
        </w:tc>
        <w:tc>
          <w:tcPr>
            <w:tcW w:w="844" w:type="dxa"/>
            <w:tcBorders>
              <w:top w:val="nil"/>
              <w:left w:val="nil"/>
              <w:bottom w:val="single" w:sz="4" w:space="0" w:color="auto"/>
              <w:right w:val="single" w:sz="4" w:space="0" w:color="auto"/>
            </w:tcBorders>
            <w:shd w:val="clear" w:color="auto" w:fill="auto"/>
            <w:noWrap/>
            <w:vAlign w:val="center"/>
            <w:hideMark/>
          </w:tcPr>
          <w:p w14:paraId="27C5D336"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504" w:type="dxa"/>
            <w:tcBorders>
              <w:top w:val="nil"/>
              <w:left w:val="nil"/>
              <w:bottom w:val="single" w:sz="4" w:space="0" w:color="auto"/>
              <w:right w:val="single" w:sz="4" w:space="0" w:color="auto"/>
            </w:tcBorders>
            <w:shd w:val="clear" w:color="auto" w:fill="auto"/>
            <w:noWrap/>
            <w:vAlign w:val="center"/>
            <w:hideMark/>
          </w:tcPr>
          <w:p w14:paraId="6B44740A"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3C24910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832" w:type="dxa"/>
            <w:tcBorders>
              <w:top w:val="nil"/>
              <w:left w:val="nil"/>
              <w:bottom w:val="single" w:sz="4" w:space="0" w:color="auto"/>
              <w:right w:val="single" w:sz="4" w:space="0" w:color="auto"/>
            </w:tcBorders>
            <w:shd w:val="clear" w:color="auto" w:fill="auto"/>
            <w:noWrap/>
            <w:vAlign w:val="center"/>
            <w:hideMark/>
          </w:tcPr>
          <w:p w14:paraId="61DC9AE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1.44</w:t>
            </w:r>
          </w:p>
        </w:tc>
        <w:tc>
          <w:tcPr>
            <w:tcW w:w="663" w:type="dxa"/>
            <w:tcBorders>
              <w:top w:val="nil"/>
              <w:left w:val="nil"/>
              <w:bottom w:val="single" w:sz="4" w:space="0" w:color="auto"/>
              <w:right w:val="single" w:sz="4" w:space="0" w:color="auto"/>
            </w:tcBorders>
            <w:shd w:val="clear" w:color="auto" w:fill="auto"/>
            <w:noWrap/>
            <w:vAlign w:val="center"/>
            <w:hideMark/>
          </w:tcPr>
          <w:p w14:paraId="672E5B57"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872FBE2"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6E3600CA"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28C9309B"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02DC108B"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3024FC22"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E978A6"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High East</w:t>
            </w:r>
          </w:p>
        </w:tc>
        <w:tc>
          <w:tcPr>
            <w:tcW w:w="493" w:type="dxa"/>
            <w:tcBorders>
              <w:top w:val="nil"/>
              <w:left w:val="nil"/>
              <w:bottom w:val="single" w:sz="4" w:space="0" w:color="auto"/>
              <w:right w:val="single" w:sz="4" w:space="0" w:color="auto"/>
            </w:tcBorders>
            <w:shd w:val="clear" w:color="auto" w:fill="auto"/>
            <w:noWrap/>
            <w:vAlign w:val="center"/>
            <w:hideMark/>
          </w:tcPr>
          <w:p w14:paraId="38C6390B"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2787327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1.44</w:t>
            </w:r>
          </w:p>
        </w:tc>
        <w:tc>
          <w:tcPr>
            <w:tcW w:w="591" w:type="dxa"/>
            <w:tcBorders>
              <w:top w:val="nil"/>
              <w:left w:val="nil"/>
              <w:bottom w:val="single" w:sz="4" w:space="0" w:color="auto"/>
              <w:right w:val="single" w:sz="4" w:space="0" w:color="auto"/>
            </w:tcBorders>
            <w:shd w:val="clear" w:color="auto" w:fill="auto"/>
            <w:noWrap/>
            <w:vAlign w:val="center"/>
            <w:hideMark/>
          </w:tcPr>
          <w:p w14:paraId="08A6CB8E"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01DBCA66"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67F06D4A"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0D9D9F9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0.50</w:t>
            </w:r>
          </w:p>
        </w:tc>
        <w:tc>
          <w:tcPr>
            <w:tcW w:w="754" w:type="dxa"/>
            <w:tcBorders>
              <w:top w:val="nil"/>
              <w:left w:val="nil"/>
              <w:bottom w:val="single" w:sz="4" w:space="0" w:color="auto"/>
              <w:right w:val="single" w:sz="4" w:space="0" w:color="auto"/>
            </w:tcBorders>
            <w:shd w:val="clear" w:color="auto" w:fill="auto"/>
            <w:noWrap/>
            <w:vAlign w:val="center"/>
            <w:hideMark/>
          </w:tcPr>
          <w:p w14:paraId="7300C11E"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7EFD847F"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5ED0EBD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04" w:type="dxa"/>
            <w:tcBorders>
              <w:top w:val="nil"/>
              <w:left w:val="nil"/>
              <w:bottom w:val="single" w:sz="4" w:space="0" w:color="auto"/>
              <w:right w:val="single" w:sz="4" w:space="0" w:color="auto"/>
            </w:tcBorders>
            <w:shd w:val="clear" w:color="auto" w:fill="auto"/>
            <w:noWrap/>
            <w:vAlign w:val="center"/>
            <w:hideMark/>
          </w:tcPr>
          <w:p w14:paraId="0FF503CF"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59FC81B"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1DCC9E95"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DEC8DC0"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0706CD81"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2B067DAB"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330FDE9E"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0AED17A5"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4F73605D"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1844AEA6"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1DECDF23"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23390A7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0.25</w:t>
            </w:r>
          </w:p>
        </w:tc>
        <w:tc>
          <w:tcPr>
            <w:tcW w:w="591" w:type="dxa"/>
            <w:tcBorders>
              <w:top w:val="nil"/>
              <w:left w:val="nil"/>
              <w:bottom w:val="single" w:sz="4" w:space="0" w:color="auto"/>
              <w:right w:val="single" w:sz="4" w:space="0" w:color="auto"/>
            </w:tcBorders>
            <w:shd w:val="clear" w:color="auto" w:fill="auto"/>
            <w:noWrap/>
            <w:vAlign w:val="center"/>
            <w:hideMark/>
          </w:tcPr>
          <w:p w14:paraId="5E5385B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91" w:type="dxa"/>
            <w:tcBorders>
              <w:top w:val="nil"/>
              <w:left w:val="nil"/>
              <w:bottom w:val="single" w:sz="4" w:space="0" w:color="auto"/>
              <w:right w:val="single" w:sz="4" w:space="0" w:color="auto"/>
            </w:tcBorders>
            <w:shd w:val="clear" w:color="auto" w:fill="auto"/>
            <w:noWrap/>
            <w:vAlign w:val="center"/>
            <w:hideMark/>
          </w:tcPr>
          <w:p w14:paraId="453EB64B"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11E44725"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7D8A1F7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754" w:type="dxa"/>
            <w:tcBorders>
              <w:top w:val="nil"/>
              <w:left w:val="nil"/>
              <w:bottom w:val="single" w:sz="4" w:space="0" w:color="auto"/>
              <w:right w:val="single" w:sz="4" w:space="0" w:color="auto"/>
            </w:tcBorders>
            <w:shd w:val="clear" w:color="auto" w:fill="auto"/>
            <w:noWrap/>
            <w:vAlign w:val="center"/>
            <w:hideMark/>
          </w:tcPr>
          <w:p w14:paraId="36E728CC"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5D14F60C"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082FFF55"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3463129B"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57CD9D06"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060DCB6C"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5A419259"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20984F4E"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0E271731"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0CB15A97"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29C85F04"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44B0BEAD"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B8FD35B"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High West</w:t>
            </w:r>
          </w:p>
        </w:tc>
        <w:tc>
          <w:tcPr>
            <w:tcW w:w="493" w:type="dxa"/>
            <w:tcBorders>
              <w:top w:val="nil"/>
              <w:left w:val="nil"/>
              <w:bottom w:val="single" w:sz="4" w:space="0" w:color="auto"/>
              <w:right w:val="single" w:sz="4" w:space="0" w:color="auto"/>
            </w:tcBorders>
            <w:shd w:val="clear" w:color="auto" w:fill="auto"/>
            <w:noWrap/>
            <w:vAlign w:val="center"/>
            <w:hideMark/>
          </w:tcPr>
          <w:p w14:paraId="67AC2219"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51A50354"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2.44</w:t>
            </w:r>
          </w:p>
        </w:tc>
        <w:tc>
          <w:tcPr>
            <w:tcW w:w="591" w:type="dxa"/>
            <w:tcBorders>
              <w:top w:val="nil"/>
              <w:left w:val="nil"/>
              <w:bottom w:val="single" w:sz="4" w:space="0" w:color="auto"/>
              <w:right w:val="single" w:sz="4" w:space="0" w:color="auto"/>
            </w:tcBorders>
            <w:shd w:val="clear" w:color="auto" w:fill="auto"/>
            <w:noWrap/>
            <w:vAlign w:val="center"/>
            <w:hideMark/>
          </w:tcPr>
          <w:p w14:paraId="427D9D16"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68001A3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91" w:type="dxa"/>
            <w:tcBorders>
              <w:top w:val="nil"/>
              <w:left w:val="nil"/>
              <w:bottom w:val="single" w:sz="4" w:space="0" w:color="auto"/>
              <w:right w:val="single" w:sz="4" w:space="0" w:color="auto"/>
            </w:tcBorders>
            <w:shd w:val="clear" w:color="auto" w:fill="auto"/>
            <w:noWrap/>
            <w:vAlign w:val="center"/>
            <w:hideMark/>
          </w:tcPr>
          <w:p w14:paraId="66FAF69D"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44D3D32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1.50</w:t>
            </w:r>
          </w:p>
        </w:tc>
        <w:tc>
          <w:tcPr>
            <w:tcW w:w="754" w:type="dxa"/>
            <w:tcBorders>
              <w:top w:val="nil"/>
              <w:left w:val="nil"/>
              <w:bottom w:val="single" w:sz="4" w:space="0" w:color="auto"/>
              <w:right w:val="single" w:sz="4" w:space="0" w:color="auto"/>
            </w:tcBorders>
            <w:shd w:val="clear" w:color="auto" w:fill="auto"/>
            <w:noWrap/>
            <w:vAlign w:val="center"/>
            <w:hideMark/>
          </w:tcPr>
          <w:p w14:paraId="0D596601"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39AAE31F"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6BD7DCEC"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504" w:type="dxa"/>
            <w:tcBorders>
              <w:top w:val="nil"/>
              <w:left w:val="nil"/>
              <w:bottom w:val="single" w:sz="4" w:space="0" w:color="auto"/>
              <w:right w:val="single" w:sz="4" w:space="0" w:color="auto"/>
            </w:tcBorders>
            <w:shd w:val="clear" w:color="auto" w:fill="auto"/>
            <w:noWrap/>
            <w:vAlign w:val="center"/>
            <w:hideMark/>
          </w:tcPr>
          <w:p w14:paraId="53434092"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5610FE2D"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64F3D5B8"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795AD7B8"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2D12B2EB"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166ABA0"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AD2F331"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0EBE2737"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06F1E97C"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0996E309"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7C909174"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51291064"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2F66B2E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91" w:type="dxa"/>
            <w:tcBorders>
              <w:top w:val="nil"/>
              <w:left w:val="nil"/>
              <w:bottom w:val="single" w:sz="4" w:space="0" w:color="auto"/>
              <w:right w:val="single" w:sz="4" w:space="0" w:color="auto"/>
            </w:tcBorders>
            <w:shd w:val="clear" w:color="auto" w:fill="auto"/>
            <w:noWrap/>
            <w:vAlign w:val="center"/>
            <w:hideMark/>
          </w:tcPr>
          <w:p w14:paraId="11EA3B5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91" w:type="dxa"/>
            <w:tcBorders>
              <w:top w:val="nil"/>
              <w:left w:val="nil"/>
              <w:bottom w:val="single" w:sz="4" w:space="0" w:color="auto"/>
              <w:right w:val="single" w:sz="4" w:space="0" w:color="auto"/>
            </w:tcBorders>
            <w:shd w:val="clear" w:color="auto" w:fill="auto"/>
            <w:noWrap/>
            <w:vAlign w:val="center"/>
            <w:hideMark/>
          </w:tcPr>
          <w:p w14:paraId="61F2150C"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1F1E54E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754" w:type="dxa"/>
            <w:tcBorders>
              <w:top w:val="nil"/>
              <w:left w:val="nil"/>
              <w:bottom w:val="single" w:sz="4" w:space="0" w:color="auto"/>
              <w:right w:val="single" w:sz="4" w:space="0" w:color="auto"/>
            </w:tcBorders>
            <w:shd w:val="clear" w:color="auto" w:fill="auto"/>
            <w:noWrap/>
            <w:vAlign w:val="center"/>
            <w:hideMark/>
          </w:tcPr>
          <w:p w14:paraId="69AC4988"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118DCCE9"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07FACCB5"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3B8BE8DD"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0171271A"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6CF5C87D"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2C195E85"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644BE41D"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E7B1788"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6342A4EE"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23991E7C" w14:textId="77777777" w:rsidTr="006B2ADA">
        <w:trPr>
          <w:trHeight w:val="340"/>
        </w:trPr>
        <w:tc>
          <w:tcPr>
            <w:tcW w:w="69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FF319E9"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Tully</w:t>
            </w: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35CA93"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Barnards</w:t>
            </w:r>
          </w:p>
        </w:tc>
        <w:tc>
          <w:tcPr>
            <w:tcW w:w="493" w:type="dxa"/>
            <w:tcBorders>
              <w:top w:val="nil"/>
              <w:left w:val="nil"/>
              <w:bottom w:val="single" w:sz="4" w:space="0" w:color="auto"/>
              <w:right w:val="single" w:sz="4" w:space="0" w:color="auto"/>
            </w:tcBorders>
            <w:shd w:val="clear" w:color="auto" w:fill="auto"/>
            <w:noWrap/>
            <w:vAlign w:val="center"/>
            <w:hideMark/>
          </w:tcPr>
          <w:p w14:paraId="56A93574"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34748AFE"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60502A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591" w:type="dxa"/>
            <w:tcBorders>
              <w:top w:val="nil"/>
              <w:left w:val="nil"/>
              <w:bottom w:val="single" w:sz="4" w:space="0" w:color="auto"/>
              <w:right w:val="single" w:sz="4" w:space="0" w:color="auto"/>
            </w:tcBorders>
            <w:shd w:val="clear" w:color="auto" w:fill="auto"/>
            <w:noWrap/>
            <w:vAlign w:val="center"/>
            <w:hideMark/>
          </w:tcPr>
          <w:p w14:paraId="39445681"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0DB75A6C"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4E14A69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0.38</w:t>
            </w:r>
          </w:p>
        </w:tc>
        <w:tc>
          <w:tcPr>
            <w:tcW w:w="754" w:type="dxa"/>
            <w:tcBorders>
              <w:top w:val="nil"/>
              <w:left w:val="nil"/>
              <w:bottom w:val="single" w:sz="4" w:space="0" w:color="auto"/>
              <w:right w:val="single" w:sz="4" w:space="0" w:color="auto"/>
            </w:tcBorders>
            <w:shd w:val="clear" w:color="auto" w:fill="auto"/>
            <w:noWrap/>
            <w:vAlign w:val="center"/>
            <w:hideMark/>
          </w:tcPr>
          <w:p w14:paraId="0948DCE2"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4B4E89A4"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1F03339E"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58E00279"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24CBC023"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3796D2EF"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663" w:type="dxa"/>
            <w:tcBorders>
              <w:top w:val="nil"/>
              <w:left w:val="nil"/>
              <w:bottom w:val="single" w:sz="4" w:space="0" w:color="auto"/>
              <w:right w:val="single" w:sz="4" w:space="0" w:color="auto"/>
            </w:tcBorders>
            <w:shd w:val="clear" w:color="auto" w:fill="auto"/>
            <w:noWrap/>
            <w:vAlign w:val="center"/>
            <w:hideMark/>
          </w:tcPr>
          <w:p w14:paraId="3026FAF5"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62766491"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2FCE72A"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6B3D23F3"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36B97C27"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4433429A"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7D8EF9B0"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710DDCC8"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3BDBCAA2"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9F98AE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591" w:type="dxa"/>
            <w:tcBorders>
              <w:top w:val="nil"/>
              <w:left w:val="nil"/>
              <w:bottom w:val="single" w:sz="4" w:space="0" w:color="auto"/>
              <w:right w:val="single" w:sz="4" w:space="0" w:color="auto"/>
            </w:tcBorders>
            <w:shd w:val="clear" w:color="auto" w:fill="auto"/>
            <w:noWrap/>
            <w:vAlign w:val="center"/>
            <w:hideMark/>
          </w:tcPr>
          <w:p w14:paraId="7553C3B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0.31</w:t>
            </w:r>
          </w:p>
        </w:tc>
        <w:tc>
          <w:tcPr>
            <w:tcW w:w="591" w:type="dxa"/>
            <w:tcBorders>
              <w:top w:val="nil"/>
              <w:left w:val="nil"/>
              <w:bottom w:val="single" w:sz="4" w:space="0" w:color="auto"/>
              <w:right w:val="single" w:sz="4" w:space="0" w:color="auto"/>
            </w:tcBorders>
            <w:shd w:val="clear" w:color="auto" w:fill="auto"/>
            <w:noWrap/>
            <w:vAlign w:val="center"/>
            <w:hideMark/>
          </w:tcPr>
          <w:p w14:paraId="298956D2"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744" w:type="dxa"/>
            <w:tcBorders>
              <w:top w:val="nil"/>
              <w:left w:val="nil"/>
              <w:bottom w:val="single" w:sz="4" w:space="0" w:color="auto"/>
              <w:right w:val="single" w:sz="4" w:space="0" w:color="auto"/>
            </w:tcBorders>
            <w:shd w:val="clear" w:color="auto" w:fill="auto"/>
            <w:noWrap/>
            <w:vAlign w:val="center"/>
            <w:hideMark/>
          </w:tcPr>
          <w:p w14:paraId="14D4877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0.44</w:t>
            </w:r>
          </w:p>
        </w:tc>
        <w:tc>
          <w:tcPr>
            <w:tcW w:w="754" w:type="dxa"/>
            <w:tcBorders>
              <w:top w:val="nil"/>
              <w:left w:val="nil"/>
              <w:bottom w:val="single" w:sz="4" w:space="0" w:color="auto"/>
              <w:right w:val="single" w:sz="4" w:space="0" w:color="auto"/>
            </w:tcBorders>
            <w:shd w:val="clear" w:color="auto" w:fill="auto"/>
            <w:noWrap/>
            <w:vAlign w:val="center"/>
            <w:hideMark/>
          </w:tcPr>
          <w:p w14:paraId="385CA2AA"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54D91877"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278C7CB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504" w:type="dxa"/>
            <w:tcBorders>
              <w:top w:val="nil"/>
              <w:left w:val="nil"/>
              <w:bottom w:val="single" w:sz="4" w:space="0" w:color="auto"/>
              <w:right w:val="single" w:sz="4" w:space="0" w:color="auto"/>
            </w:tcBorders>
            <w:shd w:val="clear" w:color="auto" w:fill="auto"/>
            <w:noWrap/>
            <w:vAlign w:val="center"/>
            <w:hideMark/>
          </w:tcPr>
          <w:p w14:paraId="5399A9D6"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9154E68"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16DD98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663" w:type="dxa"/>
            <w:tcBorders>
              <w:top w:val="nil"/>
              <w:left w:val="nil"/>
              <w:bottom w:val="single" w:sz="4" w:space="0" w:color="auto"/>
              <w:right w:val="single" w:sz="4" w:space="0" w:color="auto"/>
            </w:tcBorders>
            <w:shd w:val="clear" w:color="auto" w:fill="auto"/>
            <w:noWrap/>
            <w:vAlign w:val="center"/>
            <w:hideMark/>
          </w:tcPr>
          <w:p w14:paraId="7E3FD408"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1B620A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832" w:type="dxa"/>
            <w:tcBorders>
              <w:top w:val="nil"/>
              <w:left w:val="nil"/>
              <w:bottom w:val="single" w:sz="4" w:space="0" w:color="auto"/>
              <w:right w:val="single" w:sz="4" w:space="0" w:color="auto"/>
            </w:tcBorders>
            <w:shd w:val="clear" w:color="auto" w:fill="auto"/>
            <w:noWrap/>
            <w:vAlign w:val="center"/>
            <w:hideMark/>
          </w:tcPr>
          <w:p w14:paraId="730EA5B7"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3F8469C"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29935FE2"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04DCC7D4"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EAB375"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Dunk North</w:t>
            </w:r>
          </w:p>
        </w:tc>
        <w:tc>
          <w:tcPr>
            <w:tcW w:w="493" w:type="dxa"/>
            <w:tcBorders>
              <w:top w:val="nil"/>
              <w:left w:val="nil"/>
              <w:bottom w:val="single" w:sz="4" w:space="0" w:color="auto"/>
              <w:right w:val="single" w:sz="4" w:space="0" w:color="auto"/>
            </w:tcBorders>
            <w:shd w:val="clear" w:color="auto" w:fill="auto"/>
            <w:noWrap/>
            <w:vAlign w:val="center"/>
            <w:hideMark/>
          </w:tcPr>
          <w:p w14:paraId="5AF3661F"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46A18C34"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3E8C71A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591" w:type="dxa"/>
            <w:tcBorders>
              <w:top w:val="nil"/>
              <w:left w:val="nil"/>
              <w:bottom w:val="single" w:sz="4" w:space="0" w:color="auto"/>
              <w:right w:val="single" w:sz="4" w:space="0" w:color="auto"/>
            </w:tcBorders>
            <w:shd w:val="clear" w:color="auto" w:fill="auto"/>
            <w:noWrap/>
            <w:vAlign w:val="center"/>
            <w:hideMark/>
          </w:tcPr>
          <w:p w14:paraId="2CF1919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0.31</w:t>
            </w:r>
          </w:p>
        </w:tc>
        <w:tc>
          <w:tcPr>
            <w:tcW w:w="591" w:type="dxa"/>
            <w:tcBorders>
              <w:top w:val="nil"/>
              <w:left w:val="nil"/>
              <w:bottom w:val="single" w:sz="4" w:space="0" w:color="auto"/>
              <w:right w:val="single" w:sz="4" w:space="0" w:color="auto"/>
            </w:tcBorders>
            <w:shd w:val="clear" w:color="auto" w:fill="auto"/>
            <w:noWrap/>
            <w:vAlign w:val="center"/>
            <w:hideMark/>
          </w:tcPr>
          <w:p w14:paraId="4A6B8AAD"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1AB3DE8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1.19</w:t>
            </w:r>
          </w:p>
        </w:tc>
        <w:tc>
          <w:tcPr>
            <w:tcW w:w="754" w:type="dxa"/>
            <w:tcBorders>
              <w:top w:val="nil"/>
              <w:left w:val="nil"/>
              <w:bottom w:val="single" w:sz="4" w:space="0" w:color="auto"/>
              <w:right w:val="single" w:sz="4" w:space="0" w:color="auto"/>
            </w:tcBorders>
            <w:shd w:val="clear" w:color="auto" w:fill="auto"/>
            <w:noWrap/>
            <w:vAlign w:val="center"/>
            <w:hideMark/>
          </w:tcPr>
          <w:p w14:paraId="016B8B34"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601" w:type="dxa"/>
            <w:tcBorders>
              <w:top w:val="nil"/>
              <w:left w:val="nil"/>
              <w:bottom w:val="single" w:sz="4" w:space="0" w:color="auto"/>
              <w:right w:val="single" w:sz="4" w:space="0" w:color="auto"/>
            </w:tcBorders>
            <w:shd w:val="clear" w:color="auto" w:fill="auto"/>
            <w:noWrap/>
            <w:vAlign w:val="center"/>
            <w:hideMark/>
          </w:tcPr>
          <w:p w14:paraId="15C7EDEF"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31FFAB7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0.38</w:t>
            </w:r>
          </w:p>
        </w:tc>
        <w:tc>
          <w:tcPr>
            <w:tcW w:w="504" w:type="dxa"/>
            <w:tcBorders>
              <w:top w:val="nil"/>
              <w:left w:val="nil"/>
              <w:bottom w:val="single" w:sz="4" w:space="0" w:color="auto"/>
              <w:right w:val="single" w:sz="4" w:space="0" w:color="auto"/>
            </w:tcBorders>
            <w:shd w:val="clear" w:color="auto" w:fill="auto"/>
            <w:noWrap/>
            <w:vAlign w:val="center"/>
            <w:hideMark/>
          </w:tcPr>
          <w:p w14:paraId="3861B7B4"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7D150D1"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4162A9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1.63</w:t>
            </w:r>
          </w:p>
        </w:tc>
        <w:tc>
          <w:tcPr>
            <w:tcW w:w="663" w:type="dxa"/>
            <w:tcBorders>
              <w:top w:val="nil"/>
              <w:left w:val="nil"/>
              <w:bottom w:val="single" w:sz="4" w:space="0" w:color="auto"/>
              <w:right w:val="single" w:sz="4" w:space="0" w:color="auto"/>
            </w:tcBorders>
            <w:shd w:val="clear" w:color="auto" w:fill="auto"/>
            <w:noWrap/>
            <w:vAlign w:val="center"/>
            <w:hideMark/>
          </w:tcPr>
          <w:p w14:paraId="716D5D7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832" w:type="dxa"/>
            <w:tcBorders>
              <w:top w:val="nil"/>
              <w:left w:val="nil"/>
              <w:bottom w:val="single" w:sz="4" w:space="0" w:color="auto"/>
              <w:right w:val="single" w:sz="4" w:space="0" w:color="auto"/>
            </w:tcBorders>
            <w:shd w:val="clear" w:color="auto" w:fill="auto"/>
            <w:noWrap/>
            <w:vAlign w:val="center"/>
            <w:hideMark/>
          </w:tcPr>
          <w:p w14:paraId="0BA874C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0.56</w:t>
            </w:r>
          </w:p>
        </w:tc>
        <w:tc>
          <w:tcPr>
            <w:tcW w:w="832" w:type="dxa"/>
            <w:tcBorders>
              <w:top w:val="nil"/>
              <w:left w:val="nil"/>
              <w:bottom w:val="single" w:sz="4" w:space="0" w:color="auto"/>
              <w:right w:val="single" w:sz="4" w:space="0" w:color="auto"/>
            </w:tcBorders>
            <w:shd w:val="clear" w:color="auto" w:fill="auto"/>
            <w:noWrap/>
            <w:vAlign w:val="center"/>
            <w:hideMark/>
          </w:tcPr>
          <w:p w14:paraId="5895C7F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4.00</w:t>
            </w:r>
          </w:p>
        </w:tc>
        <w:tc>
          <w:tcPr>
            <w:tcW w:w="663" w:type="dxa"/>
            <w:tcBorders>
              <w:top w:val="nil"/>
              <w:left w:val="nil"/>
              <w:bottom w:val="single" w:sz="4" w:space="0" w:color="auto"/>
              <w:right w:val="single" w:sz="4" w:space="0" w:color="auto"/>
            </w:tcBorders>
            <w:shd w:val="clear" w:color="auto" w:fill="auto"/>
            <w:noWrap/>
            <w:vAlign w:val="center"/>
            <w:hideMark/>
          </w:tcPr>
          <w:p w14:paraId="05264E3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1.38</w:t>
            </w:r>
          </w:p>
        </w:tc>
      </w:tr>
      <w:tr w:rsidR="001B5635" w:rsidRPr="00F352E1" w14:paraId="06711E7E"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15D23B05"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3D2EE118"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4A7E2AFD"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6543FA82"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BEE3BD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591" w:type="dxa"/>
            <w:tcBorders>
              <w:top w:val="nil"/>
              <w:left w:val="nil"/>
              <w:bottom w:val="single" w:sz="4" w:space="0" w:color="auto"/>
              <w:right w:val="single" w:sz="4" w:space="0" w:color="auto"/>
            </w:tcBorders>
            <w:shd w:val="clear" w:color="auto" w:fill="auto"/>
            <w:noWrap/>
            <w:vAlign w:val="center"/>
            <w:hideMark/>
          </w:tcPr>
          <w:p w14:paraId="7D79C505"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591" w:type="dxa"/>
            <w:tcBorders>
              <w:top w:val="nil"/>
              <w:left w:val="nil"/>
              <w:bottom w:val="single" w:sz="4" w:space="0" w:color="auto"/>
              <w:right w:val="single" w:sz="4" w:space="0" w:color="auto"/>
            </w:tcBorders>
            <w:shd w:val="clear" w:color="auto" w:fill="auto"/>
            <w:noWrap/>
            <w:vAlign w:val="center"/>
            <w:hideMark/>
          </w:tcPr>
          <w:p w14:paraId="43885A03"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60F1EF0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754" w:type="dxa"/>
            <w:tcBorders>
              <w:top w:val="nil"/>
              <w:left w:val="nil"/>
              <w:bottom w:val="single" w:sz="4" w:space="0" w:color="auto"/>
              <w:right w:val="single" w:sz="4" w:space="0" w:color="auto"/>
            </w:tcBorders>
            <w:shd w:val="clear" w:color="auto" w:fill="auto"/>
            <w:noWrap/>
            <w:vAlign w:val="center"/>
            <w:hideMark/>
          </w:tcPr>
          <w:p w14:paraId="3C6C5D8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601" w:type="dxa"/>
            <w:tcBorders>
              <w:top w:val="nil"/>
              <w:left w:val="nil"/>
              <w:bottom w:val="single" w:sz="4" w:space="0" w:color="auto"/>
              <w:right w:val="single" w:sz="4" w:space="0" w:color="auto"/>
            </w:tcBorders>
            <w:shd w:val="clear" w:color="auto" w:fill="auto"/>
            <w:noWrap/>
            <w:vAlign w:val="center"/>
            <w:hideMark/>
          </w:tcPr>
          <w:p w14:paraId="244DBAEC"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5508BB43"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504" w:type="dxa"/>
            <w:tcBorders>
              <w:top w:val="nil"/>
              <w:left w:val="nil"/>
              <w:bottom w:val="single" w:sz="4" w:space="0" w:color="auto"/>
              <w:right w:val="single" w:sz="4" w:space="0" w:color="auto"/>
            </w:tcBorders>
            <w:shd w:val="clear" w:color="auto" w:fill="auto"/>
            <w:noWrap/>
            <w:vAlign w:val="center"/>
            <w:hideMark/>
          </w:tcPr>
          <w:p w14:paraId="4B04D6C6"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3B0572E"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6F0D2CB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6.56</w:t>
            </w:r>
          </w:p>
        </w:tc>
        <w:tc>
          <w:tcPr>
            <w:tcW w:w="663" w:type="dxa"/>
            <w:tcBorders>
              <w:top w:val="nil"/>
              <w:left w:val="nil"/>
              <w:bottom w:val="single" w:sz="4" w:space="0" w:color="auto"/>
              <w:right w:val="single" w:sz="4" w:space="0" w:color="auto"/>
            </w:tcBorders>
            <w:shd w:val="clear" w:color="auto" w:fill="auto"/>
            <w:noWrap/>
            <w:vAlign w:val="center"/>
            <w:hideMark/>
          </w:tcPr>
          <w:p w14:paraId="677A553B"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B249AF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0.44</w:t>
            </w:r>
          </w:p>
        </w:tc>
        <w:tc>
          <w:tcPr>
            <w:tcW w:w="832" w:type="dxa"/>
            <w:tcBorders>
              <w:top w:val="nil"/>
              <w:left w:val="nil"/>
              <w:bottom w:val="single" w:sz="4" w:space="0" w:color="auto"/>
              <w:right w:val="single" w:sz="4" w:space="0" w:color="auto"/>
            </w:tcBorders>
            <w:shd w:val="clear" w:color="auto" w:fill="auto"/>
            <w:noWrap/>
            <w:vAlign w:val="center"/>
            <w:hideMark/>
          </w:tcPr>
          <w:p w14:paraId="2659CA1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663" w:type="dxa"/>
            <w:tcBorders>
              <w:top w:val="nil"/>
              <w:left w:val="nil"/>
              <w:bottom w:val="single" w:sz="4" w:space="0" w:color="auto"/>
              <w:right w:val="single" w:sz="4" w:space="0" w:color="auto"/>
            </w:tcBorders>
            <w:shd w:val="clear" w:color="auto" w:fill="auto"/>
            <w:noWrap/>
            <w:vAlign w:val="center"/>
            <w:hideMark/>
          </w:tcPr>
          <w:p w14:paraId="5DAB0F26"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r>
      <w:tr w:rsidR="001B5635" w:rsidRPr="00F352E1" w14:paraId="61124D0C"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3CAB7AA6"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98D18F6"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Dunk South</w:t>
            </w:r>
          </w:p>
        </w:tc>
        <w:tc>
          <w:tcPr>
            <w:tcW w:w="493" w:type="dxa"/>
            <w:tcBorders>
              <w:top w:val="nil"/>
              <w:left w:val="nil"/>
              <w:bottom w:val="single" w:sz="4" w:space="0" w:color="auto"/>
              <w:right w:val="single" w:sz="4" w:space="0" w:color="auto"/>
            </w:tcBorders>
            <w:shd w:val="clear" w:color="auto" w:fill="auto"/>
            <w:noWrap/>
            <w:vAlign w:val="center"/>
            <w:hideMark/>
          </w:tcPr>
          <w:p w14:paraId="550342FF"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792E223A"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9E3F2F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0.44</w:t>
            </w:r>
          </w:p>
        </w:tc>
        <w:tc>
          <w:tcPr>
            <w:tcW w:w="591" w:type="dxa"/>
            <w:tcBorders>
              <w:top w:val="nil"/>
              <w:left w:val="nil"/>
              <w:bottom w:val="single" w:sz="4" w:space="0" w:color="auto"/>
              <w:right w:val="single" w:sz="4" w:space="0" w:color="auto"/>
            </w:tcBorders>
            <w:shd w:val="clear" w:color="auto" w:fill="auto"/>
            <w:noWrap/>
            <w:vAlign w:val="center"/>
            <w:hideMark/>
          </w:tcPr>
          <w:p w14:paraId="38EDF814"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0.50</w:t>
            </w:r>
          </w:p>
        </w:tc>
        <w:tc>
          <w:tcPr>
            <w:tcW w:w="591" w:type="dxa"/>
            <w:tcBorders>
              <w:top w:val="nil"/>
              <w:left w:val="nil"/>
              <w:bottom w:val="single" w:sz="4" w:space="0" w:color="auto"/>
              <w:right w:val="single" w:sz="4" w:space="0" w:color="auto"/>
            </w:tcBorders>
            <w:shd w:val="clear" w:color="auto" w:fill="auto"/>
            <w:noWrap/>
            <w:vAlign w:val="center"/>
            <w:hideMark/>
          </w:tcPr>
          <w:p w14:paraId="1C52F035"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34D5EC0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0.25</w:t>
            </w:r>
          </w:p>
        </w:tc>
        <w:tc>
          <w:tcPr>
            <w:tcW w:w="754" w:type="dxa"/>
            <w:tcBorders>
              <w:top w:val="nil"/>
              <w:left w:val="nil"/>
              <w:bottom w:val="single" w:sz="4" w:space="0" w:color="auto"/>
              <w:right w:val="single" w:sz="4" w:space="0" w:color="auto"/>
            </w:tcBorders>
            <w:shd w:val="clear" w:color="auto" w:fill="auto"/>
            <w:noWrap/>
            <w:vAlign w:val="center"/>
            <w:hideMark/>
          </w:tcPr>
          <w:p w14:paraId="0DCCD363"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05D646B3"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0862EA51"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55C3DC1F"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55E0820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832" w:type="dxa"/>
            <w:tcBorders>
              <w:top w:val="nil"/>
              <w:left w:val="nil"/>
              <w:bottom w:val="single" w:sz="4" w:space="0" w:color="auto"/>
              <w:right w:val="single" w:sz="4" w:space="0" w:color="auto"/>
            </w:tcBorders>
            <w:shd w:val="clear" w:color="auto" w:fill="auto"/>
            <w:noWrap/>
            <w:vAlign w:val="center"/>
            <w:hideMark/>
          </w:tcPr>
          <w:p w14:paraId="20E92E8C"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0.81</w:t>
            </w:r>
          </w:p>
        </w:tc>
        <w:tc>
          <w:tcPr>
            <w:tcW w:w="663" w:type="dxa"/>
            <w:tcBorders>
              <w:top w:val="nil"/>
              <w:left w:val="nil"/>
              <w:bottom w:val="single" w:sz="4" w:space="0" w:color="auto"/>
              <w:right w:val="single" w:sz="4" w:space="0" w:color="auto"/>
            </w:tcBorders>
            <w:shd w:val="clear" w:color="auto" w:fill="auto"/>
            <w:noWrap/>
            <w:vAlign w:val="center"/>
            <w:hideMark/>
          </w:tcPr>
          <w:p w14:paraId="2CAB68D5"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6E1812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2.63</w:t>
            </w:r>
          </w:p>
        </w:tc>
        <w:tc>
          <w:tcPr>
            <w:tcW w:w="832" w:type="dxa"/>
            <w:tcBorders>
              <w:top w:val="nil"/>
              <w:left w:val="nil"/>
              <w:bottom w:val="single" w:sz="4" w:space="0" w:color="auto"/>
              <w:right w:val="single" w:sz="4" w:space="0" w:color="auto"/>
            </w:tcBorders>
            <w:shd w:val="clear" w:color="auto" w:fill="auto"/>
            <w:noWrap/>
            <w:vAlign w:val="center"/>
            <w:hideMark/>
          </w:tcPr>
          <w:p w14:paraId="5424A3D6"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31.38</w:t>
            </w:r>
          </w:p>
        </w:tc>
        <w:tc>
          <w:tcPr>
            <w:tcW w:w="663" w:type="dxa"/>
            <w:tcBorders>
              <w:top w:val="nil"/>
              <w:left w:val="nil"/>
              <w:bottom w:val="single" w:sz="4" w:space="0" w:color="auto"/>
              <w:right w:val="single" w:sz="4" w:space="0" w:color="auto"/>
            </w:tcBorders>
            <w:shd w:val="clear" w:color="auto" w:fill="auto"/>
            <w:noWrap/>
            <w:vAlign w:val="center"/>
            <w:hideMark/>
          </w:tcPr>
          <w:p w14:paraId="1CAE2D73"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1.13</w:t>
            </w:r>
          </w:p>
        </w:tc>
      </w:tr>
      <w:tr w:rsidR="001B5635" w:rsidRPr="00F352E1" w14:paraId="29EE23C4"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1622AF03"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4BA0BDE9"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70A279D8"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24294A62"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5F174F44"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0.25</w:t>
            </w:r>
          </w:p>
        </w:tc>
        <w:tc>
          <w:tcPr>
            <w:tcW w:w="591" w:type="dxa"/>
            <w:tcBorders>
              <w:top w:val="nil"/>
              <w:left w:val="nil"/>
              <w:bottom w:val="single" w:sz="4" w:space="0" w:color="auto"/>
              <w:right w:val="single" w:sz="4" w:space="0" w:color="auto"/>
            </w:tcBorders>
            <w:shd w:val="clear" w:color="auto" w:fill="auto"/>
            <w:noWrap/>
            <w:vAlign w:val="center"/>
            <w:hideMark/>
          </w:tcPr>
          <w:p w14:paraId="1C48D05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91" w:type="dxa"/>
            <w:tcBorders>
              <w:top w:val="nil"/>
              <w:left w:val="nil"/>
              <w:bottom w:val="single" w:sz="4" w:space="0" w:color="auto"/>
              <w:right w:val="single" w:sz="4" w:space="0" w:color="auto"/>
            </w:tcBorders>
            <w:shd w:val="clear" w:color="auto" w:fill="auto"/>
            <w:noWrap/>
            <w:vAlign w:val="center"/>
            <w:hideMark/>
          </w:tcPr>
          <w:p w14:paraId="306DCEB5"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7F9FD09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0.50</w:t>
            </w:r>
          </w:p>
        </w:tc>
        <w:tc>
          <w:tcPr>
            <w:tcW w:w="754" w:type="dxa"/>
            <w:tcBorders>
              <w:top w:val="nil"/>
              <w:left w:val="nil"/>
              <w:bottom w:val="single" w:sz="4" w:space="0" w:color="auto"/>
              <w:right w:val="single" w:sz="4" w:space="0" w:color="auto"/>
            </w:tcBorders>
            <w:shd w:val="clear" w:color="auto" w:fill="auto"/>
            <w:noWrap/>
            <w:vAlign w:val="center"/>
            <w:hideMark/>
          </w:tcPr>
          <w:p w14:paraId="31112A36"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7A8D23DE"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13A5FC14"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61C44BA1"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2963A74"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184D3B40"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65E6C82F"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619AAD4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4.25</w:t>
            </w:r>
          </w:p>
        </w:tc>
        <w:tc>
          <w:tcPr>
            <w:tcW w:w="832" w:type="dxa"/>
            <w:tcBorders>
              <w:top w:val="nil"/>
              <w:left w:val="nil"/>
              <w:bottom w:val="single" w:sz="4" w:space="0" w:color="auto"/>
              <w:right w:val="single" w:sz="4" w:space="0" w:color="auto"/>
            </w:tcBorders>
            <w:shd w:val="clear" w:color="auto" w:fill="auto"/>
            <w:noWrap/>
            <w:vAlign w:val="center"/>
            <w:hideMark/>
          </w:tcPr>
          <w:p w14:paraId="05F686D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0.38</w:t>
            </w:r>
          </w:p>
        </w:tc>
        <w:tc>
          <w:tcPr>
            <w:tcW w:w="663" w:type="dxa"/>
            <w:tcBorders>
              <w:top w:val="nil"/>
              <w:left w:val="nil"/>
              <w:bottom w:val="single" w:sz="4" w:space="0" w:color="auto"/>
              <w:right w:val="single" w:sz="4" w:space="0" w:color="auto"/>
            </w:tcBorders>
            <w:shd w:val="clear" w:color="auto" w:fill="auto"/>
            <w:noWrap/>
            <w:vAlign w:val="center"/>
            <w:hideMark/>
          </w:tcPr>
          <w:p w14:paraId="5D9EA35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r>
      <w:tr w:rsidR="001B5635" w:rsidRPr="00F352E1" w14:paraId="1669F1C9"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2FDEEF25"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6892939"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Bedarra</w:t>
            </w:r>
          </w:p>
        </w:tc>
        <w:tc>
          <w:tcPr>
            <w:tcW w:w="493" w:type="dxa"/>
            <w:tcBorders>
              <w:top w:val="nil"/>
              <w:left w:val="nil"/>
              <w:bottom w:val="single" w:sz="4" w:space="0" w:color="auto"/>
              <w:right w:val="single" w:sz="4" w:space="0" w:color="auto"/>
            </w:tcBorders>
            <w:shd w:val="clear" w:color="auto" w:fill="auto"/>
            <w:noWrap/>
            <w:vAlign w:val="center"/>
            <w:hideMark/>
          </w:tcPr>
          <w:p w14:paraId="26FF2DD3"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268DC162"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0.31</w:t>
            </w:r>
          </w:p>
        </w:tc>
        <w:tc>
          <w:tcPr>
            <w:tcW w:w="591" w:type="dxa"/>
            <w:tcBorders>
              <w:top w:val="nil"/>
              <w:left w:val="nil"/>
              <w:bottom w:val="single" w:sz="4" w:space="0" w:color="auto"/>
              <w:right w:val="single" w:sz="4" w:space="0" w:color="auto"/>
            </w:tcBorders>
            <w:shd w:val="clear" w:color="auto" w:fill="auto"/>
            <w:noWrap/>
            <w:vAlign w:val="center"/>
            <w:hideMark/>
          </w:tcPr>
          <w:p w14:paraId="27409C4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0.44</w:t>
            </w:r>
          </w:p>
        </w:tc>
        <w:tc>
          <w:tcPr>
            <w:tcW w:w="591" w:type="dxa"/>
            <w:tcBorders>
              <w:top w:val="nil"/>
              <w:left w:val="nil"/>
              <w:bottom w:val="single" w:sz="4" w:space="0" w:color="auto"/>
              <w:right w:val="single" w:sz="4" w:space="0" w:color="auto"/>
            </w:tcBorders>
            <w:shd w:val="clear" w:color="auto" w:fill="auto"/>
            <w:noWrap/>
            <w:vAlign w:val="center"/>
            <w:hideMark/>
          </w:tcPr>
          <w:p w14:paraId="74B7204F"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1.00</w:t>
            </w:r>
          </w:p>
        </w:tc>
        <w:tc>
          <w:tcPr>
            <w:tcW w:w="591" w:type="dxa"/>
            <w:tcBorders>
              <w:top w:val="nil"/>
              <w:left w:val="nil"/>
              <w:bottom w:val="single" w:sz="4" w:space="0" w:color="auto"/>
              <w:right w:val="single" w:sz="4" w:space="0" w:color="auto"/>
            </w:tcBorders>
            <w:shd w:val="clear" w:color="auto" w:fill="auto"/>
            <w:noWrap/>
            <w:vAlign w:val="center"/>
            <w:hideMark/>
          </w:tcPr>
          <w:p w14:paraId="305F6778"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5711284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754" w:type="dxa"/>
            <w:tcBorders>
              <w:top w:val="nil"/>
              <w:left w:val="nil"/>
              <w:bottom w:val="single" w:sz="4" w:space="0" w:color="auto"/>
              <w:right w:val="single" w:sz="4" w:space="0" w:color="auto"/>
            </w:tcBorders>
            <w:shd w:val="clear" w:color="auto" w:fill="auto"/>
            <w:noWrap/>
            <w:vAlign w:val="center"/>
            <w:hideMark/>
          </w:tcPr>
          <w:p w14:paraId="48441DA4"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7831E63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844" w:type="dxa"/>
            <w:tcBorders>
              <w:top w:val="nil"/>
              <w:left w:val="nil"/>
              <w:bottom w:val="single" w:sz="4" w:space="0" w:color="auto"/>
              <w:right w:val="single" w:sz="4" w:space="0" w:color="auto"/>
            </w:tcBorders>
            <w:shd w:val="clear" w:color="auto" w:fill="auto"/>
            <w:noWrap/>
            <w:vAlign w:val="center"/>
            <w:hideMark/>
          </w:tcPr>
          <w:p w14:paraId="2D5A547B"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7D67ADA6"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0D7DB7A3"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832" w:type="dxa"/>
            <w:tcBorders>
              <w:top w:val="nil"/>
              <w:left w:val="nil"/>
              <w:bottom w:val="single" w:sz="4" w:space="0" w:color="auto"/>
              <w:right w:val="single" w:sz="4" w:space="0" w:color="auto"/>
            </w:tcBorders>
            <w:shd w:val="clear" w:color="auto" w:fill="auto"/>
            <w:noWrap/>
            <w:vAlign w:val="center"/>
            <w:hideMark/>
          </w:tcPr>
          <w:p w14:paraId="2AFAA54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2.00</w:t>
            </w:r>
          </w:p>
        </w:tc>
        <w:tc>
          <w:tcPr>
            <w:tcW w:w="663" w:type="dxa"/>
            <w:tcBorders>
              <w:top w:val="nil"/>
              <w:left w:val="nil"/>
              <w:bottom w:val="single" w:sz="4" w:space="0" w:color="auto"/>
              <w:right w:val="single" w:sz="4" w:space="0" w:color="auto"/>
            </w:tcBorders>
            <w:shd w:val="clear" w:color="auto" w:fill="auto"/>
            <w:noWrap/>
            <w:vAlign w:val="center"/>
            <w:hideMark/>
          </w:tcPr>
          <w:p w14:paraId="6CA3966B"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ACE69D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0.50</w:t>
            </w:r>
          </w:p>
        </w:tc>
        <w:tc>
          <w:tcPr>
            <w:tcW w:w="832" w:type="dxa"/>
            <w:tcBorders>
              <w:top w:val="nil"/>
              <w:left w:val="nil"/>
              <w:bottom w:val="single" w:sz="4" w:space="0" w:color="auto"/>
              <w:right w:val="single" w:sz="4" w:space="0" w:color="auto"/>
            </w:tcBorders>
            <w:shd w:val="clear" w:color="auto" w:fill="auto"/>
            <w:noWrap/>
            <w:vAlign w:val="center"/>
            <w:hideMark/>
          </w:tcPr>
          <w:p w14:paraId="3BBFA816"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26.94</w:t>
            </w:r>
          </w:p>
        </w:tc>
        <w:tc>
          <w:tcPr>
            <w:tcW w:w="663" w:type="dxa"/>
            <w:tcBorders>
              <w:top w:val="nil"/>
              <w:left w:val="nil"/>
              <w:bottom w:val="single" w:sz="4" w:space="0" w:color="auto"/>
              <w:right w:val="single" w:sz="4" w:space="0" w:color="auto"/>
            </w:tcBorders>
            <w:shd w:val="clear" w:color="auto" w:fill="auto"/>
            <w:noWrap/>
            <w:vAlign w:val="center"/>
            <w:hideMark/>
          </w:tcPr>
          <w:p w14:paraId="42A0304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0.38</w:t>
            </w:r>
          </w:p>
        </w:tc>
      </w:tr>
      <w:tr w:rsidR="001B5635" w:rsidRPr="00F352E1" w14:paraId="5AD94710"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796D7080"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7681DF73"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6F662FD7"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3E464F0E"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2A53A0F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591" w:type="dxa"/>
            <w:tcBorders>
              <w:top w:val="nil"/>
              <w:left w:val="nil"/>
              <w:bottom w:val="single" w:sz="4" w:space="0" w:color="auto"/>
              <w:right w:val="single" w:sz="4" w:space="0" w:color="auto"/>
            </w:tcBorders>
            <w:shd w:val="clear" w:color="auto" w:fill="auto"/>
            <w:noWrap/>
            <w:vAlign w:val="center"/>
            <w:hideMark/>
          </w:tcPr>
          <w:p w14:paraId="65538F4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91" w:type="dxa"/>
            <w:tcBorders>
              <w:top w:val="nil"/>
              <w:left w:val="nil"/>
              <w:bottom w:val="single" w:sz="4" w:space="0" w:color="auto"/>
              <w:right w:val="single" w:sz="4" w:space="0" w:color="auto"/>
            </w:tcBorders>
            <w:shd w:val="clear" w:color="auto" w:fill="auto"/>
            <w:noWrap/>
            <w:vAlign w:val="center"/>
            <w:hideMark/>
          </w:tcPr>
          <w:p w14:paraId="51AD802C"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081AF3D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754" w:type="dxa"/>
            <w:tcBorders>
              <w:top w:val="nil"/>
              <w:left w:val="nil"/>
              <w:bottom w:val="single" w:sz="4" w:space="0" w:color="auto"/>
              <w:right w:val="single" w:sz="4" w:space="0" w:color="auto"/>
            </w:tcBorders>
            <w:shd w:val="clear" w:color="auto" w:fill="auto"/>
            <w:noWrap/>
            <w:vAlign w:val="center"/>
            <w:hideMark/>
          </w:tcPr>
          <w:p w14:paraId="0D0999D6"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445F5D97"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19964233"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347657EC"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3B17D7D2"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1CBF5A06"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73ED5DA3"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42E1EA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0.56</w:t>
            </w:r>
          </w:p>
        </w:tc>
        <w:tc>
          <w:tcPr>
            <w:tcW w:w="832" w:type="dxa"/>
            <w:tcBorders>
              <w:top w:val="nil"/>
              <w:left w:val="nil"/>
              <w:bottom w:val="single" w:sz="4" w:space="0" w:color="auto"/>
              <w:right w:val="single" w:sz="4" w:space="0" w:color="auto"/>
            </w:tcBorders>
            <w:shd w:val="clear" w:color="auto" w:fill="auto"/>
            <w:noWrap/>
            <w:vAlign w:val="center"/>
            <w:hideMark/>
          </w:tcPr>
          <w:p w14:paraId="285B41B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663" w:type="dxa"/>
            <w:tcBorders>
              <w:top w:val="nil"/>
              <w:left w:val="nil"/>
              <w:bottom w:val="single" w:sz="4" w:space="0" w:color="auto"/>
              <w:right w:val="single" w:sz="4" w:space="0" w:color="auto"/>
            </w:tcBorders>
            <w:shd w:val="clear" w:color="auto" w:fill="auto"/>
            <w:noWrap/>
            <w:vAlign w:val="center"/>
            <w:hideMark/>
          </w:tcPr>
          <w:p w14:paraId="4FF3E65C"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r>
      <w:tr w:rsidR="001B5635" w:rsidRPr="00F352E1" w14:paraId="385CABC9" w14:textId="77777777" w:rsidTr="006B2ADA">
        <w:trPr>
          <w:trHeight w:val="340"/>
        </w:trPr>
        <w:tc>
          <w:tcPr>
            <w:tcW w:w="69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C882360"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Burdekin</w:t>
            </w: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C20FA9"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Palms East</w:t>
            </w:r>
          </w:p>
        </w:tc>
        <w:tc>
          <w:tcPr>
            <w:tcW w:w="493" w:type="dxa"/>
            <w:tcBorders>
              <w:top w:val="nil"/>
              <w:left w:val="nil"/>
              <w:bottom w:val="single" w:sz="4" w:space="0" w:color="auto"/>
              <w:right w:val="single" w:sz="4" w:space="0" w:color="auto"/>
            </w:tcBorders>
            <w:shd w:val="clear" w:color="auto" w:fill="auto"/>
            <w:noWrap/>
            <w:vAlign w:val="center"/>
            <w:hideMark/>
          </w:tcPr>
          <w:p w14:paraId="48DFB4EA"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492C4BD9"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4366B1AD"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55BB1EA0"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0692C5BB"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47B8561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754" w:type="dxa"/>
            <w:tcBorders>
              <w:top w:val="nil"/>
              <w:left w:val="nil"/>
              <w:bottom w:val="single" w:sz="4" w:space="0" w:color="auto"/>
              <w:right w:val="single" w:sz="4" w:space="0" w:color="auto"/>
            </w:tcBorders>
            <w:shd w:val="clear" w:color="auto" w:fill="auto"/>
            <w:noWrap/>
            <w:vAlign w:val="center"/>
            <w:hideMark/>
          </w:tcPr>
          <w:p w14:paraId="05CBDBA5"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7.25</w:t>
            </w:r>
          </w:p>
        </w:tc>
        <w:tc>
          <w:tcPr>
            <w:tcW w:w="601" w:type="dxa"/>
            <w:tcBorders>
              <w:top w:val="nil"/>
              <w:left w:val="nil"/>
              <w:bottom w:val="single" w:sz="4" w:space="0" w:color="auto"/>
              <w:right w:val="single" w:sz="4" w:space="0" w:color="auto"/>
            </w:tcBorders>
            <w:shd w:val="clear" w:color="auto" w:fill="auto"/>
            <w:noWrap/>
            <w:vAlign w:val="center"/>
            <w:hideMark/>
          </w:tcPr>
          <w:p w14:paraId="78B60541"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79F4974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04" w:type="dxa"/>
            <w:tcBorders>
              <w:top w:val="nil"/>
              <w:left w:val="nil"/>
              <w:bottom w:val="single" w:sz="4" w:space="0" w:color="auto"/>
              <w:right w:val="single" w:sz="4" w:space="0" w:color="auto"/>
            </w:tcBorders>
            <w:shd w:val="clear" w:color="auto" w:fill="auto"/>
            <w:noWrap/>
            <w:vAlign w:val="center"/>
            <w:hideMark/>
          </w:tcPr>
          <w:p w14:paraId="375C8AFC"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744CB9B0"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3E7C947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0.25</w:t>
            </w:r>
          </w:p>
        </w:tc>
        <w:tc>
          <w:tcPr>
            <w:tcW w:w="663" w:type="dxa"/>
            <w:tcBorders>
              <w:top w:val="nil"/>
              <w:left w:val="nil"/>
              <w:bottom w:val="single" w:sz="4" w:space="0" w:color="auto"/>
              <w:right w:val="single" w:sz="4" w:space="0" w:color="auto"/>
            </w:tcBorders>
            <w:shd w:val="clear" w:color="auto" w:fill="auto"/>
            <w:noWrap/>
            <w:vAlign w:val="center"/>
            <w:hideMark/>
          </w:tcPr>
          <w:p w14:paraId="4C587910"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92940DD"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3EAA4743"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257C9B4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r>
      <w:tr w:rsidR="001B5635" w:rsidRPr="00F352E1" w14:paraId="5C2DF599"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56370713"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18174191"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4F3B0D19"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2772657B"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6AABDAA6"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5DF010A2"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5DBAFA21"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691AB7A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0.31</w:t>
            </w:r>
          </w:p>
        </w:tc>
        <w:tc>
          <w:tcPr>
            <w:tcW w:w="754" w:type="dxa"/>
            <w:tcBorders>
              <w:top w:val="nil"/>
              <w:left w:val="nil"/>
              <w:bottom w:val="single" w:sz="4" w:space="0" w:color="auto"/>
              <w:right w:val="single" w:sz="4" w:space="0" w:color="auto"/>
            </w:tcBorders>
            <w:shd w:val="clear" w:color="auto" w:fill="auto"/>
            <w:noWrap/>
            <w:vAlign w:val="center"/>
            <w:hideMark/>
          </w:tcPr>
          <w:p w14:paraId="41055312"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11.50</w:t>
            </w:r>
          </w:p>
        </w:tc>
        <w:tc>
          <w:tcPr>
            <w:tcW w:w="601" w:type="dxa"/>
            <w:tcBorders>
              <w:top w:val="nil"/>
              <w:left w:val="nil"/>
              <w:bottom w:val="single" w:sz="4" w:space="0" w:color="auto"/>
              <w:right w:val="single" w:sz="4" w:space="0" w:color="auto"/>
            </w:tcBorders>
            <w:shd w:val="clear" w:color="auto" w:fill="auto"/>
            <w:noWrap/>
            <w:vAlign w:val="center"/>
            <w:hideMark/>
          </w:tcPr>
          <w:p w14:paraId="0450B09C"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269406B2"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17D1B315"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62CFECFE"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DC3A73C"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663" w:type="dxa"/>
            <w:tcBorders>
              <w:top w:val="nil"/>
              <w:left w:val="nil"/>
              <w:bottom w:val="single" w:sz="4" w:space="0" w:color="auto"/>
              <w:right w:val="single" w:sz="4" w:space="0" w:color="auto"/>
            </w:tcBorders>
            <w:shd w:val="clear" w:color="auto" w:fill="auto"/>
            <w:noWrap/>
            <w:vAlign w:val="center"/>
            <w:hideMark/>
          </w:tcPr>
          <w:p w14:paraId="35F39645"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CD89700"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C25D534"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527135E8"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4A1230EB"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6A33D322"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137B669"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Palms West</w:t>
            </w:r>
          </w:p>
        </w:tc>
        <w:tc>
          <w:tcPr>
            <w:tcW w:w="493" w:type="dxa"/>
            <w:tcBorders>
              <w:top w:val="nil"/>
              <w:left w:val="nil"/>
              <w:bottom w:val="single" w:sz="4" w:space="0" w:color="auto"/>
              <w:right w:val="single" w:sz="4" w:space="0" w:color="auto"/>
            </w:tcBorders>
            <w:shd w:val="clear" w:color="auto" w:fill="auto"/>
            <w:noWrap/>
            <w:vAlign w:val="center"/>
            <w:hideMark/>
          </w:tcPr>
          <w:p w14:paraId="315DCC09"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766952B4"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4196B0A3"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4D0330C2"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0E7270A0"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57575E0D" w14:textId="77777777" w:rsidR="001B5635" w:rsidRPr="001B5635" w:rsidRDefault="001B5635" w:rsidP="001B5635">
            <w:pPr>
              <w:spacing w:after="0"/>
              <w:jc w:val="center"/>
              <w:rPr>
                <w:rFonts w:ascii="Arial Narrow" w:hAnsi="Arial Narrow"/>
                <w:sz w:val="18"/>
                <w:szCs w:val="18"/>
                <w:lang w:val="en-AU" w:eastAsia="en-AU"/>
              </w:rPr>
            </w:pPr>
          </w:p>
        </w:tc>
        <w:tc>
          <w:tcPr>
            <w:tcW w:w="754" w:type="dxa"/>
            <w:tcBorders>
              <w:top w:val="nil"/>
              <w:left w:val="nil"/>
              <w:bottom w:val="single" w:sz="4" w:space="0" w:color="auto"/>
              <w:right w:val="single" w:sz="4" w:space="0" w:color="auto"/>
            </w:tcBorders>
            <w:shd w:val="clear" w:color="auto" w:fill="auto"/>
            <w:noWrap/>
            <w:vAlign w:val="center"/>
            <w:hideMark/>
          </w:tcPr>
          <w:p w14:paraId="4DBFEDD7"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57143821"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3DBA40D3"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04" w:type="dxa"/>
            <w:tcBorders>
              <w:top w:val="nil"/>
              <w:left w:val="nil"/>
              <w:bottom w:val="single" w:sz="4" w:space="0" w:color="auto"/>
              <w:right w:val="single" w:sz="4" w:space="0" w:color="auto"/>
            </w:tcBorders>
            <w:shd w:val="clear" w:color="auto" w:fill="auto"/>
            <w:noWrap/>
            <w:vAlign w:val="center"/>
            <w:hideMark/>
          </w:tcPr>
          <w:p w14:paraId="2D55BBA4"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D0C4603"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6AE6CD36"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335B6E94"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5ADF536"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0DA50378"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0E82C6D2"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38B796B5"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36EB7DEA"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034A4BFC"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5451AB15"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5C1D28BC"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65B0988D"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42D9346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91" w:type="dxa"/>
            <w:tcBorders>
              <w:top w:val="nil"/>
              <w:left w:val="nil"/>
              <w:bottom w:val="single" w:sz="4" w:space="0" w:color="auto"/>
              <w:right w:val="single" w:sz="4" w:space="0" w:color="auto"/>
            </w:tcBorders>
            <w:shd w:val="clear" w:color="auto" w:fill="auto"/>
            <w:noWrap/>
            <w:vAlign w:val="center"/>
            <w:hideMark/>
          </w:tcPr>
          <w:p w14:paraId="21BC7C29"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56F3E678" w14:textId="77777777" w:rsidR="001B5635" w:rsidRPr="001B5635" w:rsidRDefault="001B5635" w:rsidP="001B5635">
            <w:pPr>
              <w:spacing w:after="0"/>
              <w:jc w:val="center"/>
              <w:rPr>
                <w:rFonts w:ascii="Arial Narrow" w:hAnsi="Arial Narrow"/>
                <w:sz w:val="18"/>
                <w:szCs w:val="18"/>
                <w:lang w:val="en-AU" w:eastAsia="en-AU"/>
              </w:rPr>
            </w:pPr>
          </w:p>
        </w:tc>
        <w:tc>
          <w:tcPr>
            <w:tcW w:w="754" w:type="dxa"/>
            <w:tcBorders>
              <w:top w:val="nil"/>
              <w:left w:val="nil"/>
              <w:bottom w:val="single" w:sz="4" w:space="0" w:color="auto"/>
              <w:right w:val="single" w:sz="4" w:space="0" w:color="auto"/>
            </w:tcBorders>
            <w:shd w:val="clear" w:color="auto" w:fill="auto"/>
            <w:noWrap/>
            <w:vAlign w:val="center"/>
            <w:hideMark/>
          </w:tcPr>
          <w:p w14:paraId="65DD5E8F"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78819366"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1E00AF23"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1B4B8797"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3B9D7656"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22D189DA"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5BA2240B"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64DAE82"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1D2C9C60"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5377DF1F"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44CE6846"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761D6D8D"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200A538"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Havannah</w:t>
            </w:r>
          </w:p>
        </w:tc>
        <w:tc>
          <w:tcPr>
            <w:tcW w:w="493" w:type="dxa"/>
            <w:tcBorders>
              <w:top w:val="nil"/>
              <w:left w:val="nil"/>
              <w:bottom w:val="single" w:sz="4" w:space="0" w:color="auto"/>
              <w:right w:val="single" w:sz="4" w:space="0" w:color="auto"/>
            </w:tcBorders>
            <w:shd w:val="clear" w:color="auto" w:fill="auto"/>
            <w:noWrap/>
            <w:vAlign w:val="center"/>
            <w:hideMark/>
          </w:tcPr>
          <w:p w14:paraId="4DCF3DDE"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22855666"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0505E5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91" w:type="dxa"/>
            <w:tcBorders>
              <w:top w:val="nil"/>
              <w:left w:val="nil"/>
              <w:bottom w:val="single" w:sz="4" w:space="0" w:color="auto"/>
              <w:right w:val="single" w:sz="4" w:space="0" w:color="auto"/>
            </w:tcBorders>
            <w:shd w:val="clear" w:color="auto" w:fill="auto"/>
            <w:noWrap/>
            <w:vAlign w:val="center"/>
            <w:hideMark/>
          </w:tcPr>
          <w:p w14:paraId="56404742"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AFAA164"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7C0E612D" w14:textId="77777777" w:rsidR="001B5635" w:rsidRPr="001B5635" w:rsidRDefault="001B5635" w:rsidP="001B5635">
            <w:pPr>
              <w:spacing w:after="0"/>
              <w:jc w:val="center"/>
              <w:rPr>
                <w:rFonts w:ascii="Arial Narrow" w:hAnsi="Arial Narrow"/>
                <w:sz w:val="18"/>
                <w:szCs w:val="18"/>
                <w:lang w:val="en-AU" w:eastAsia="en-AU"/>
              </w:rPr>
            </w:pPr>
          </w:p>
        </w:tc>
        <w:tc>
          <w:tcPr>
            <w:tcW w:w="754" w:type="dxa"/>
            <w:tcBorders>
              <w:top w:val="nil"/>
              <w:left w:val="nil"/>
              <w:bottom w:val="single" w:sz="4" w:space="0" w:color="auto"/>
              <w:right w:val="single" w:sz="4" w:space="0" w:color="auto"/>
            </w:tcBorders>
            <w:shd w:val="clear" w:color="auto" w:fill="auto"/>
            <w:noWrap/>
            <w:vAlign w:val="center"/>
            <w:hideMark/>
          </w:tcPr>
          <w:p w14:paraId="4EB2F242"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601" w:type="dxa"/>
            <w:tcBorders>
              <w:top w:val="nil"/>
              <w:left w:val="nil"/>
              <w:bottom w:val="single" w:sz="4" w:space="0" w:color="auto"/>
              <w:right w:val="single" w:sz="4" w:space="0" w:color="auto"/>
            </w:tcBorders>
            <w:shd w:val="clear" w:color="auto" w:fill="auto"/>
            <w:noWrap/>
            <w:vAlign w:val="center"/>
            <w:hideMark/>
          </w:tcPr>
          <w:p w14:paraId="4204B202"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492DBD02"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04" w:type="dxa"/>
            <w:tcBorders>
              <w:top w:val="nil"/>
              <w:left w:val="nil"/>
              <w:bottom w:val="single" w:sz="4" w:space="0" w:color="auto"/>
              <w:right w:val="single" w:sz="4" w:space="0" w:color="auto"/>
            </w:tcBorders>
            <w:shd w:val="clear" w:color="auto" w:fill="auto"/>
            <w:noWrap/>
            <w:vAlign w:val="center"/>
            <w:hideMark/>
          </w:tcPr>
          <w:p w14:paraId="7AB8DE19"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212D6643"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65B8D182"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7E4A58C4"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053C50AA"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5EF4E2A"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78969B3D"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34F41D83"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3D831BAC"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69C971F2"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7025304C"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5DBAB637"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5EED3751"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4D70086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591" w:type="dxa"/>
            <w:tcBorders>
              <w:top w:val="nil"/>
              <w:left w:val="nil"/>
              <w:bottom w:val="single" w:sz="4" w:space="0" w:color="auto"/>
              <w:right w:val="single" w:sz="4" w:space="0" w:color="auto"/>
            </w:tcBorders>
            <w:shd w:val="clear" w:color="auto" w:fill="auto"/>
            <w:noWrap/>
            <w:vAlign w:val="center"/>
            <w:hideMark/>
          </w:tcPr>
          <w:p w14:paraId="5DFE1E92"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78E79CC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754" w:type="dxa"/>
            <w:tcBorders>
              <w:top w:val="nil"/>
              <w:left w:val="nil"/>
              <w:bottom w:val="single" w:sz="4" w:space="0" w:color="auto"/>
              <w:right w:val="single" w:sz="4" w:space="0" w:color="auto"/>
            </w:tcBorders>
            <w:shd w:val="clear" w:color="auto" w:fill="auto"/>
            <w:noWrap/>
            <w:vAlign w:val="center"/>
            <w:hideMark/>
          </w:tcPr>
          <w:p w14:paraId="68759085"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01363AA0"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1873CCB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04" w:type="dxa"/>
            <w:tcBorders>
              <w:top w:val="nil"/>
              <w:left w:val="nil"/>
              <w:bottom w:val="single" w:sz="4" w:space="0" w:color="auto"/>
              <w:right w:val="single" w:sz="4" w:space="0" w:color="auto"/>
            </w:tcBorders>
            <w:shd w:val="clear" w:color="auto" w:fill="auto"/>
            <w:noWrap/>
            <w:vAlign w:val="center"/>
            <w:hideMark/>
          </w:tcPr>
          <w:p w14:paraId="2D8151FD"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55331D28"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24F2593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2.13</w:t>
            </w:r>
          </w:p>
        </w:tc>
        <w:tc>
          <w:tcPr>
            <w:tcW w:w="663" w:type="dxa"/>
            <w:tcBorders>
              <w:top w:val="nil"/>
              <w:left w:val="nil"/>
              <w:bottom w:val="single" w:sz="4" w:space="0" w:color="auto"/>
              <w:right w:val="single" w:sz="4" w:space="0" w:color="auto"/>
            </w:tcBorders>
            <w:shd w:val="clear" w:color="auto" w:fill="auto"/>
            <w:noWrap/>
            <w:vAlign w:val="center"/>
            <w:hideMark/>
          </w:tcPr>
          <w:p w14:paraId="00566942"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0E10B244"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10.94</w:t>
            </w:r>
          </w:p>
        </w:tc>
        <w:tc>
          <w:tcPr>
            <w:tcW w:w="832" w:type="dxa"/>
            <w:tcBorders>
              <w:top w:val="nil"/>
              <w:left w:val="nil"/>
              <w:bottom w:val="single" w:sz="4" w:space="0" w:color="auto"/>
              <w:right w:val="single" w:sz="4" w:space="0" w:color="auto"/>
            </w:tcBorders>
            <w:shd w:val="clear" w:color="auto" w:fill="auto"/>
            <w:noWrap/>
            <w:vAlign w:val="center"/>
            <w:hideMark/>
          </w:tcPr>
          <w:p w14:paraId="3193916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1.50</w:t>
            </w:r>
          </w:p>
        </w:tc>
        <w:tc>
          <w:tcPr>
            <w:tcW w:w="663" w:type="dxa"/>
            <w:tcBorders>
              <w:top w:val="nil"/>
              <w:left w:val="nil"/>
              <w:bottom w:val="single" w:sz="4" w:space="0" w:color="auto"/>
              <w:right w:val="single" w:sz="4" w:space="0" w:color="auto"/>
            </w:tcBorders>
            <w:shd w:val="clear" w:color="auto" w:fill="auto"/>
            <w:noWrap/>
            <w:vAlign w:val="center"/>
            <w:hideMark/>
          </w:tcPr>
          <w:p w14:paraId="053DF53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0.56</w:t>
            </w:r>
          </w:p>
        </w:tc>
      </w:tr>
      <w:tr w:rsidR="001B5635" w:rsidRPr="00F352E1" w14:paraId="1212D91D"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141CF3B9" w14:textId="77777777" w:rsidR="001B5635" w:rsidRPr="001B5635" w:rsidRDefault="001B5635" w:rsidP="001B5635">
            <w:pPr>
              <w:spacing w:after="0"/>
              <w:jc w:val="left"/>
              <w:rPr>
                <w:rFonts w:ascii="Arial Narrow" w:hAnsi="Arial Narrow"/>
                <w:sz w:val="20"/>
                <w:lang w:val="en-AU" w:eastAsia="en-AU"/>
              </w:rPr>
            </w:pPr>
          </w:p>
        </w:tc>
        <w:tc>
          <w:tcPr>
            <w:tcW w:w="1731" w:type="dxa"/>
            <w:tcBorders>
              <w:top w:val="nil"/>
              <w:left w:val="nil"/>
              <w:bottom w:val="single" w:sz="4" w:space="0" w:color="auto"/>
              <w:right w:val="single" w:sz="4" w:space="0" w:color="auto"/>
            </w:tcBorders>
            <w:shd w:val="clear" w:color="auto" w:fill="auto"/>
            <w:noWrap/>
            <w:vAlign w:val="center"/>
            <w:hideMark/>
          </w:tcPr>
          <w:p w14:paraId="35BEBE79"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Havannah North</w:t>
            </w:r>
          </w:p>
        </w:tc>
        <w:tc>
          <w:tcPr>
            <w:tcW w:w="493" w:type="dxa"/>
            <w:tcBorders>
              <w:top w:val="nil"/>
              <w:left w:val="nil"/>
              <w:bottom w:val="single" w:sz="4" w:space="0" w:color="auto"/>
              <w:right w:val="single" w:sz="4" w:space="0" w:color="auto"/>
            </w:tcBorders>
            <w:shd w:val="clear" w:color="auto" w:fill="auto"/>
            <w:noWrap/>
            <w:vAlign w:val="center"/>
            <w:hideMark/>
          </w:tcPr>
          <w:p w14:paraId="719DFF9F"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55646488"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0771934C"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2B2C6E94"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0.15</w:t>
            </w:r>
          </w:p>
        </w:tc>
        <w:tc>
          <w:tcPr>
            <w:tcW w:w="591" w:type="dxa"/>
            <w:tcBorders>
              <w:top w:val="nil"/>
              <w:left w:val="nil"/>
              <w:bottom w:val="single" w:sz="4" w:space="0" w:color="auto"/>
              <w:right w:val="single" w:sz="4" w:space="0" w:color="auto"/>
            </w:tcBorders>
            <w:shd w:val="clear" w:color="auto" w:fill="auto"/>
            <w:noWrap/>
            <w:vAlign w:val="center"/>
            <w:hideMark/>
          </w:tcPr>
          <w:p w14:paraId="629ADE6F"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6A542AC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3.40</w:t>
            </w:r>
          </w:p>
        </w:tc>
        <w:tc>
          <w:tcPr>
            <w:tcW w:w="754" w:type="dxa"/>
            <w:tcBorders>
              <w:top w:val="nil"/>
              <w:left w:val="nil"/>
              <w:bottom w:val="single" w:sz="4" w:space="0" w:color="auto"/>
              <w:right w:val="single" w:sz="4" w:space="0" w:color="auto"/>
            </w:tcBorders>
            <w:shd w:val="clear" w:color="auto" w:fill="auto"/>
            <w:noWrap/>
            <w:vAlign w:val="center"/>
            <w:hideMark/>
          </w:tcPr>
          <w:p w14:paraId="39FA080F"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0.60</w:t>
            </w:r>
          </w:p>
        </w:tc>
        <w:tc>
          <w:tcPr>
            <w:tcW w:w="601" w:type="dxa"/>
            <w:tcBorders>
              <w:top w:val="nil"/>
              <w:left w:val="nil"/>
              <w:bottom w:val="single" w:sz="4" w:space="0" w:color="auto"/>
              <w:right w:val="single" w:sz="4" w:space="0" w:color="auto"/>
            </w:tcBorders>
            <w:shd w:val="clear" w:color="auto" w:fill="auto"/>
            <w:noWrap/>
            <w:vAlign w:val="center"/>
            <w:hideMark/>
          </w:tcPr>
          <w:p w14:paraId="4813F34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0.30</w:t>
            </w:r>
          </w:p>
        </w:tc>
        <w:tc>
          <w:tcPr>
            <w:tcW w:w="844" w:type="dxa"/>
            <w:tcBorders>
              <w:top w:val="nil"/>
              <w:left w:val="nil"/>
              <w:bottom w:val="single" w:sz="4" w:space="0" w:color="auto"/>
              <w:right w:val="single" w:sz="4" w:space="0" w:color="auto"/>
            </w:tcBorders>
            <w:shd w:val="clear" w:color="auto" w:fill="auto"/>
            <w:noWrap/>
            <w:vAlign w:val="center"/>
            <w:hideMark/>
          </w:tcPr>
          <w:p w14:paraId="4068BDB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2.85</w:t>
            </w:r>
          </w:p>
        </w:tc>
        <w:tc>
          <w:tcPr>
            <w:tcW w:w="504" w:type="dxa"/>
            <w:tcBorders>
              <w:top w:val="nil"/>
              <w:left w:val="nil"/>
              <w:bottom w:val="single" w:sz="4" w:space="0" w:color="auto"/>
              <w:right w:val="single" w:sz="4" w:space="0" w:color="auto"/>
            </w:tcBorders>
            <w:shd w:val="clear" w:color="auto" w:fill="auto"/>
            <w:noWrap/>
            <w:vAlign w:val="center"/>
            <w:hideMark/>
          </w:tcPr>
          <w:p w14:paraId="0D43D86D"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7ED27C2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0.20</w:t>
            </w:r>
          </w:p>
        </w:tc>
        <w:tc>
          <w:tcPr>
            <w:tcW w:w="832" w:type="dxa"/>
            <w:tcBorders>
              <w:top w:val="nil"/>
              <w:left w:val="nil"/>
              <w:bottom w:val="single" w:sz="4" w:space="0" w:color="auto"/>
              <w:right w:val="single" w:sz="4" w:space="0" w:color="auto"/>
            </w:tcBorders>
            <w:shd w:val="clear" w:color="auto" w:fill="auto"/>
            <w:noWrap/>
            <w:vAlign w:val="center"/>
            <w:hideMark/>
          </w:tcPr>
          <w:p w14:paraId="6BF0D01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0.55</w:t>
            </w:r>
          </w:p>
        </w:tc>
        <w:tc>
          <w:tcPr>
            <w:tcW w:w="663" w:type="dxa"/>
            <w:tcBorders>
              <w:top w:val="nil"/>
              <w:left w:val="nil"/>
              <w:bottom w:val="single" w:sz="4" w:space="0" w:color="auto"/>
              <w:right w:val="single" w:sz="4" w:space="0" w:color="auto"/>
            </w:tcBorders>
            <w:shd w:val="clear" w:color="auto" w:fill="auto"/>
            <w:noWrap/>
            <w:vAlign w:val="center"/>
            <w:hideMark/>
          </w:tcPr>
          <w:p w14:paraId="106C9F03"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321CEBA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17.90</w:t>
            </w:r>
          </w:p>
        </w:tc>
        <w:tc>
          <w:tcPr>
            <w:tcW w:w="832" w:type="dxa"/>
            <w:tcBorders>
              <w:top w:val="nil"/>
              <w:left w:val="nil"/>
              <w:bottom w:val="single" w:sz="4" w:space="0" w:color="auto"/>
              <w:right w:val="single" w:sz="4" w:space="0" w:color="auto"/>
            </w:tcBorders>
            <w:shd w:val="clear" w:color="auto" w:fill="auto"/>
            <w:noWrap/>
            <w:vAlign w:val="center"/>
            <w:hideMark/>
          </w:tcPr>
          <w:p w14:paraId="1A89ADB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9.05</w:t>
            </w:r>
          </w:p>
        </w:tc>
        <w:tc>
          <w:tcPr>
            <w:tcW w:w="663" w:type="dxa"/>
            <w:tcBorders>
              <w:top w:val="nil"/>
              <w:left w:val="nil"/>
              <w:bottom w:val="single" w:sz="4" w:space="0" w:color="auto"/>
              <w:right w:val="single" w:sz="4" w:space="0" w:color="auto"/>
            </w:tcBorders>
            <w:shd w:val="clear" w:color="auto" w:fill="auto"/>
            <w:noWrap/>
            <w:vAlign w:val="center"/>
            <w:hideMark/>
          </w:tcPr>
          <w:p w14:paraId="2EDA91A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1.35</w:t>
            </w:r>
          </w:p>
        </w:tc>
      </w:tr>
      <w:tr w:rsidR="001B5635" w:rsidRPr="00F352E1" w14:paraId="49515787"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781FE368" w14:textId="77777777" w:rsidR="001B5635" w:rsidRPr="001B5635" w:rsidRDefault="001B5635" w:rsidP="001B5635">
            <w:pPr>
              <w:spacing w:after="0"/>
              <w:jc w:val="left"/>
              <w:rPr>
                <w:rFonts w:ascii="Arial Narrow" w:hAnsi="Arial Narrow"/>
                <w:sz w:val="20"/>
                <w:lang w:val="en-AU" w:eastAsia="en-AU"/>
              </w:rPr>
            </w:pPr>
          </w:p>
        </w:tc>
        <w:tc>
          <w:tcPr>
            <w:tcW w:w="1731" w:type="dxa"/>
            <w:tcBorders>
              <w:top w:val="nil"/>
              <w:left w:val="nil"/>
              <w:bottom w:val="single" w:sz="4" w:space="0" w:color="auto"/>
              <w:right w:val="single" w:sz="4" w:space="0" w:color="auto"/>
            </w:tcBorders>
            <w:shd w:val="clear" w:color="auto" w:fill="auto"/>
            <w:noWrap/>
            <w:vAlign w:val="center"/>
            <w:hideMark/>
          </w:tcPr>
          <w:p w14:paraId="7A63FD9F"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Pandora North</w:t>
            </w:r>
          </w:p>
        </w:tc>
        <w:tc>
          <w:tcPr>
            <w:tcW w:w="493" w:type="dxa"/>
            <w:tcBorders>
              <w:top w:val="nil"/>
              <w:left w:val="nil"/>
              <w:bottom w:val="single" w:sz="4" w:space="0" w:color="auto"/>
              <w:right w:val="single" w:sz="4" w:space="0" w:color="auto"/>
            </w:tcBorders>
            <w:shd w:val="clear" w:color="auto" w:fill="auto"/>
            <w:noWrap/>
            <w:vAlign w:val="center"/>
            <w:hideMark/>
          </w:tcPr>
          <w:p w14:paraId="6905ABE1"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199FBEF7"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206DD69C"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30CEE016"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0.20</w:t>
            </w:r>
          </w:p>
        </w:tc>
        <w:tc>
          <w:tcPr>
            <w:tcW w:w="591" w:type="dxa"/>
            <w:tcBorders>
              <w:top w:val="nil"/>
              <w:left w:val="nil"/>
              <w:bottom w:val="single" w:sz="4" w:space="0" w:color="auto"/>
              <w:right w:val="single" w:sz="4" w:space="0" w:color="auto"/>
            </w:tcBorders>
            <w:shd w:val="clear" w:color="auto" w:fill="auto"/>
            <w:noWrap/>
            <w:vAlign w:val="center"/>
            <w:hideMark/>
          </w:tcPr>
          <w:p w14:paraId="0B77756D"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00E08A6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3.20</w:t>
            </w:r>
          </w:p>
        </w:tc>
        <w:tc>
          <w:tcPr>
            <w:tcW w:w="754" w:type="dxa"/>
            <w:tcBorders>
              <w:top w:val="nil"/>
              <w:left w:val="nil"/>
              <w:bottom w:val="single" w:sz="4" w:space="0" w:color="auto"/>
              <w:right w:val="single" w:sz="4" w:space="0" w:color="auto"/>
            </w:tcBorders>
            <w:shd w:val="clear" w:color="auto" w:fill="auto"/>
            <w:noWrap/>
            <w:vAlign w:val="center"/>
            <w:hideMark/>
          </w:tcPr>
          <w:p w14:paraId="41294C0F"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6857A45A"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05491240"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5F4DD6E6"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83A117E"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6BDE3B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1.50</w:t>
            </w:r>
          </w:p>
        </w:tc>
        <w:tc>
          <w:tcPr>
            <w:tcW w:w="663" w:type="dxa"/>
            <w:tcBorders>
              <w:top w:val="nil"/>
              <w:left w:val="nil"/>
              <w:bottom w:val="single" w:sz="4" w:space="0" w:color="auto"/>
              <w:right w:val="single" w:sz="4" w:space="0" w:color="auto"/>
            </w:tcBorders>
            <w:shd w:val="clear" w:color="auto" w:fill="auto"/>
            <w:noWrap/>
            <w:vAlign w:val="center"/>
            <w:hideMark/>
          </w:tcPr>
          <w:p w14:paraId="6DD6C91C"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63EE3653"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18.30</w:t>
            </w:r>
          </w:p>
        </w:tc>
        <w:tc>
          <w:tcPr>
            <w:tcW w:w="832" w:type="dxa"/>
            <w:tcBorders>
              <w:top w:val="nil"/>
              <w:left w:val="nil"/>
              <w:bottom w:val="single" w:sz="4" w:space="0" w:color="auto"/>
              <w:right w:val="single" w:sz="4" w:space="0" w:color="auto"/>
            </w:tcBorders>
            <w:shd w:val="clear" w:color="auto" w:fill="auto"/>
            <w:noWrap/>
            <w:vAlign w:val="center"/>
            <w:hideMark/>
          </w:tcPr>
          <w:p w14:paraId="44A6F16F"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2.90</w:t>
            </w:r>
          </w:p>
        </w:tc>
        <w:tc>
          <w:tcPr>
            <w:tcW w:w="663" w:type="dxa"/>
            <w:tcBorders>
              <w:top w:val="nil"/>
              <w:left w:val="nil"/>
              <w:bottom w:val="single" w:sz="4" w:space="0" w:color="auto"/>
              <w:right w:val="single" w:sz="4" w:space="0" w:color="auto"/>
            </w:tcBorders>
            <w:shd w:val="clear" w:color="auto" w:fill="auto"/>
            <w:noWrap/>
            <w:vAlign w:val="center"/>
            <w:hideMark/>
          </w:tcPr>
          <w:p w14:paraId="5388FCA6"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0.30</w:t>
            </w:r>
          </w:p>
        </w:tc>
      </w:tr>
      <w:tr w:rsidR="001B5635" w:rsidRPr="00F352E1" w14:paraId="0D9A5579"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5097AD1C"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D8E78E"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Pandora</w:t>
            </w:r>
          </w:p>
        </w:tc>
        <w:tc>
          <w:tcPr>
            <w:tcW w:w="493" w:type="dxa"/>
            <w:tcBorders>
              <w:top w:val="nil"/>
              <w:left w:val="nil"/>
              <w:bottom w:val="single" w:sz="4" w:space="0" w:color="auto"/>
              <w:right w:val="single" w:sz="4" w:space="0" w:color="auto"/>
            </w:tcBorders>
            <w:shd w:val="clear" w:color="auto" w:fill="auto"/>
            <w:noWrap/>
            <w:vAlign w:val="center"/>
            <w:hideMark/>
          </w:tcPr>
          <w:p w14:paraId="4D38315D"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7FCAA382"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1BEFB38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591" w:type="dxa"/>
            <w:tcBorders>
              <w:top w:val="nil"/>
              <w:left w:val="nil"/>
              <w:bottom w:val="single" w:sz="4" w:space="0" w:color="auto"/>
              <w:right w:val="single" w:sz="4" w:space="0" w:color="auto"/>
            </w:tcBorders>
            <w:shd w:val="clear" w:color="auto" w:fill="auto"/>
            <w:noWrap/>
            <w:vAlign w:val="center"/>
            <w:hideMark/>
          </w:tcPr>
          <w:p w14:paraId="55C815D7"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7FACF57"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6BF12E92"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754" w:type="dxa"/>
            <w:tcBorders>
              <w:top w:val="nil"/>
              <w:left w:val="nil"/>
              <w:bottom w:val="single" w:sz="4" w:space="0" w:color="auto"/>
              <w:right w:val="single" w:sz="4" w:space="0" w:color="auto"/>
            </w:tcBorders>
            <w:shd w:val="clear" w:color="auto" w:fill="auto"/>
            <w:noWrap/>
            <w:vAlign w:val="center"/>
            <w:hideMark/>
          </w:tcPr>
          <w:p w14:paraId="1E947B85"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601" w:type="dxa"/>
            <w:tcBorders>
              <w:top w:val="nil"/>
              <w:left w:val="nil"/>
              <w:bottom w:val="single" w:sz="4" w:space="0" w:color="auto"/>
              <w:right w:val="single" w:sz="4" w:space="0" w:color="auto"/>
            </w:tcBorders>
            <w:shd w:val="clear" w:color="auto" w:fill="auto"/>
            <w:noWrap/>
            <w:vAlign w:val="center"/>
            <w:hideMark/>
          </w:tcPr>
          <w:p w14:paraId="4153671F"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37A7E6E1"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3F511EAE"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2612C3F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832" w:type="dxa"/>
            <w:tcBorders>
              <w:top w:val="nil"/>
              <w:left w:val="nil"/>
              <w:bottom w:val="single" w:sz="4" w:space="0" w:color="auto"/>
              <w:right w:val="single" w:sz="4" w:space="0" w:color="auto"/>
            </w:tcBorders>
            <w:shd w:val="clear" w:color="auto" w:fill="auto"/>
            <w:noWrap/>
            <w:vAlign w:val="center"/>
            <w:hideMark/>
          </w:tcPr>
          <w:p w14:paraId="38F5A564"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1.31</w:t>
            </w:r>
          </w:p>
        </w:tc>
        <w:tc>
          <w:tcPr>
            <w:tcW w:w="663" w:type="dxa"/>
            <w:tcBorders>
              <w:top w:val="nil"/>
              <w:left w:val="nil"/>
              <w:bottom w:val="single" w:sz="4" w:space="0" w:color="auto"/>
              <w:right w:val="single" w:sz="4" w:space="0" w:color="auto"/>
            </w:tcBorders>
            <w:shd w:val="clear" w:color="auto" w:fill="auto"/>
            <w:noWrap/>
            <w:vAlign w:val="center"/>
            <w:hideMark/>
          </w:tcPr>
          <w:p w14:paraId="42D6B70F"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2.25</w:t>
            </w:r>
          </w:p>
        </w:tc>
        <w:tc>
          <w:tcPr>
            <w:tcW w:w="832" w:type="dxa"/>
            <w:tcBorders>
              <w:top w:val="nil"/>
              <w:left w:val="nil"/>
              <w:bottom w:val="single" w:sz="4" w:space="0" w:color="auto"/>
              <w:right w:val="single" w:sz="4" w:space="0" w:color="auto"/>
            </w:tcBorders>
            <w:shd w:val="clear" w:color="auto" w:fill="auto"/>
            <w:noWrap/>
            <w:vAlign w:val="center"/>
            <w:hideMark/>
          </w:tcPr>
          <w:p w14:paraId="42398A1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1.81</w:t>
            </w:r>
          </w:p>
        </w:tc>
        <w:tc>
          <w:tcPr>
            <w:tcW w:w="832" w:type="dxa"/>
            <w:tcBorders>
              <w:top w:val="nil"/>
              <w:left w:val="nil"/>
              <w:bottom w:val="single" w:sz="4" w:space="0" w:color="auto"/>
              <w:right w:val="single" w:sz="4" w:space="0" w:color="auto"/>
            </w:tcBorders>
            <w:shd w:val="clear" w:color="auto" w:fill="auto"/>
            <w:noWrap/>
            <w:vAlign w:val="center"/>
            <w:hideMark/>
          </w:tcPr>
          <w:p w14:paraId="3473BE25"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18.44</w:t>
            </w:r>
          </w:p>
        </w:tc>
        <w:tc>
          <w:tcPr>
            <w:tcW w:w="663" w:type="dxa"/>
            <w:tcBorders>
              <w:top w:val="nil"/>
              <w:left w:val="nil"/>
              <w:bottom w:val="single" w:sz="4" w:space="0" w:color="auto"/>
              <w:right w:val="single" w:sz="4" w:space="0" w:color="auto"/>
            </w:tcBorders>
            <w:shd w:val="clear" w:color="auto" w:fill="auto"/>
            <w:noWrap/>
            <w:vAlign w:val="center"/>
            <w:hideMark/>
          </w:tcPr>
          <w:p w14:paraId="57525BD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4.63</w:t>
            </w:r>
          </w:p>
        </w:tc>
      </w:tr>
      <w:tr w:rsidR="001B5635" w:rsidRPr="00F352E1" w14:paraId="5A8094BD"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74CDBAED"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13890A3D"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0B5A8E9F"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2C1E0FAD"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184C363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0.25</w:t>
            </w:r>
          </w:p>
        </w:tc>
        <w:tc>
          <w:tcPr>
            <w:tcW w:w="591" w:type="dxa"/>
            <w:tcBorders>
              <w:top w:val="nil"/>
              <w:left w:val="nil"/>
              <w:bottom w:val="single" w:sz="4" w:space="0" w:color="auto"/>
              <w:right w:val="single" w:sz="4" w:space="0" w:color="auto"/>
            </w:tcBorders>
            <w:shd w:val="clear" w:color="auto" w:fill="auto"/>
            <w:noWrap/>
            <w:vAlign w:val="center"/>
            <w:hideMark/>
          </w:tcPr>
          <w:p w14:paraId="3EC9AC8F"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59EDC11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744" w:type="dxa"/>
            <w:tcBorders>
              <w:top w:val="nil"/>
              <w:left w:val="nil"/>
              <w:bottom w:val="single" w:sz="4" w:space="0" w:color="auto"/>
              <w:right w:val="single" w:sz="4" w:space="0" w:color="auto"/>
            </w:tcBorders>
            <w:shd w:val="clear" w:color="auto" w:fill="auto"/>
            <w:noWrap/>
            <w:vAlign w:val="center"/>
            <w:hideMark/>
          </w:tcPr>
          <w:p w14:paraId="111572B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754" w:type="dxa"/>
            <w:tcBorders>
              <w:top w:val="nil"/>
              <w:left w:val="nil"/>
              <w:bottom w:val="single" w:sz="4" w:space="0" w:color="auto"/>
              <w:right w:val="single" w:sz="4" w:space="0" w:color="auto"/>
            </w:tcBorders>
            <w:shd w:val="clear" w:color="auto" w:fill="auto"/>
            <w:noWrap/>
            <w:vAlign w:val="center"/>
            <w:hideMark/>
          </w:tcPr>
          <w:p w14:paraId="7EDE8468"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398A973F"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14D92355"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692D2661"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0426416A"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AA841B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3.88</w:t>
            </w:r>
          </w:p>
        </w:tc>
        <w:tc>
          <w:tcPr>
            <w:tcW w:w="663" w:type="dxa"/>
            <w:tcBorders>
              <w:top w:val="nil"/>
              <w:left w:val="nil"/>
              <w:bottom w:val="single" w:sz="4" w:space="0" w:color="auto"/>
              <w:right w:val="single" w:sz="4" w:space="0" w:color="auto"/>
            </w:tcBorders>
            <w:shd w:val="clear" w:color="auto" w:fill="auto"/>
            <w:noWrap/>
            <w:vAlign w:val="center"/>
            <w:hideMark/>
          </w:tcPr>
          <w:p w14:paraId="33EF05B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832" w:type="dxa"/>
            <w:tcBorders>
              <w:top w:val="nil"/>
              <w:left w:val="nil"/>
              <w:bottom w:val="single" w:sz="4" w:space="0" w:color="auto"/>
              <w:right w:val="single" w:sz="4" w:space="0" w:color="auto"/>
            </w:tcBorders>
            <w:shd w:val="clear" w:color="auto" w:fill="auto"/>
            <w:noWrap/>
            <w:vAlign w:val="center"/>
            <w:hideMark/>
          </w:tcPr>
          <w:p w14:paraId="73BC1D3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3.81</w:t>
            </w:r>
          </w:p>
        </w:tc>
        <w:tc>
          <w:tcPr>
            <w:tcW w:w="832" w:type="dxa"/>
            <w:tcBorders>
              <w:top w:val="nil"/>
              <w:left w:val="nil"/>
              <w:bottom w:val="single" w:sz="4" w:space="0" w:color="auto"/>
              <w:right w:val="single" w:sz="4" w:space="0" w:color="auto"/>
            </w:tcBorders>
            <w:shd w:val="clear" w:color="auto" w:fill="auto"/>
            <w:noWrap/>
            <w:vAlign w:val="center"/>
            <w:hideMark/>
          </w:tcPr>
          <w:p w14:paraId="12B8D27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3.94</w:t>
            </w:r>
          </w:p>
        </w:tc>
        <w:tc>
          <w:tcPr>
            <w:tcW w:w="663" w:type="dxa"/>
            <w:tcBorders>
              <w:top w:val="nil"/>
              <w:left w:val="nil"/>
              <w:bottom w:val="single" w:sz="4" w:space="0" w:color="auto"/>
              <w:right w:val="single" w:sz="4" w:space="0" w:color="auto"/>
            </w:tcBorders>
            <w:shd w:val="clear" w:color="auto" w:fill="auto"/>
            <w:noWrap/>
            <w:vAlign w:val="center"/>
            <w:hideMark/>
          </w:tcPr>
          <w:p w14:paraId="576F0E33"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0.25</w:t>
            </w:r>
          </w:p>
        </w:tc>
      </w:tr>
      <w:tr w:rsidR="001B5635" w:rsidRPr="00F352E1" w14:paraId="59F83057"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11D70B2D"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1D48223"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Lady Elliot</w:t>
            </w:r>
          </w:p>
        </w:tc>
        <w:tc>
          <w:tcPr>
            <w:tcW w:w="493" w:type="dxa"/>
            <w:tcBorders>
              <w:top w:val="nil"/>
              <w:left w:val="nil"/>
              <w:bottom w:val="single" w:sz="4" w:space="0" w:color="auto"/>
              <w:right w:val="single" w:sz="4" w:space="0" w:color="auto"/>
            </w:tcBorders>
            <w:shd w:val="clear" w:color="auto" w:fill="auto"/>
            <w:noWrap/>
            <w:vAlign w:val="center"/>
            <w:hideMark/>
          </w:tcPr>
          <w:p w14:paraId="50912273"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6AE3764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3.94</w:t>
            </w:r>
          </w:p>
        </w:tc>
        <w:tc>
          <w:tcPr>
            <w:tcW w:w="591" w:type="dxa"/>
            <w:tcBorders>
              <w:top w:val="nil"/>
              <w:left w:val="nil"/>
              <w:bottom w:val="single" w:sz="4" w:space="0" w:color="auto"/>
              <w:right w:val="single" w:sz="4" w:space="0" w:color="auto"/>
            </w:tcBorders>
            <w:shd w:val="clear" w:color="auto" w:fill="auto"/>
            <w:noWrap/>
            <w:vAlign w:val="center"/>
            <w:hideMark/>
          </w:tcPr>
          <w:p w14:paraId="333DBD9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2.31</w:t>
            </w:r>
          </w:p>
        </w:tc>
        <w:tc>
          <w:tcPr>
            <w:tcW w:w="591" w:type="dxa"/>
            <w:tcBorders>
              <w:top w:val="nil"/>
              <w:left w:val="nil"/>
              <w:bottom w:val="single" w:sz="4" w:space="0" w:color="auto"/>
              <w:right w:val="single" w:sz="4" w:space="0" w:color="auto"/>
            </w:tcBorders>
            <w:shd w:val="clear" w:color="auto" w:fill="auto"/>
            <w:noWrap/>
            <w:vAlign w:val="center"/>
            <w:hideMark/>
          </w:tcPr>
          <w:p w14:paraId="629E1EA4"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0.25</w:t>
            </w:r>
          </w:p>
        </w:tc>
        <w:tc>
          <w:tcPr>
            <w:tcW w:w="591" w:type="dxa"/>
            <w:tcBorders>
              <w:top w:val="nil"/>
              <w:left w:val="nil"/>
              <w:bottom w:val="single" w:sz="4" w:space="0" w:color="auto"/>
              <w:right w:val="single" w:sz="4" w:space="0" w:color="auto"/>
            </w:tcBorders>
            <w:shd w:val="clear" w:color="auto" w:fill="auto"/>
            <w:noWrap/>
            <w:vAlign w:val="center"/>
            <w:hideMark/>
          </w:tcPr>
          <w:p w14:paraId="670A77E8"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17A6E29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2.94</w:t>
            </w:r>
          </w:p>
        </w:tc>
        <w:tc>
          <w:tcPr>
            <w:tcW w:w="754" w:type="dxa"/>
            <w:tcBorders>
              <w:top w:val="nil"/>
              <w:left w:val="nil"/>
              <w:bottom w:val="single" w:sz="4" w:space="0" w:color="auto"/>
              <w:right w:val="single" w:sz="4" w:space="0" w:color="auto"/>
            </w:tcBorders>
            <w:shd w:val="clear" w:color="auto" w:fill="auto"/>
            <w:noWrap/>
            <w:vAlign w:val="center"/>
            <w:hideMark/>
          </w:tcPr>
          <w:p w14:paraId="784E7BA3"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601" w:type="dxa"/>
            <w:tcBorders>
              <w:top w:val="nil"/>
              <w:left w:val="nil"/>
              <w:bottom w:val="single" w:sz="4" w:space="0" w:color="auto"/>
              <w:right w:val="single" w:sz="4" w:space="0" w:color="auto"/>
            </w:tcBorders>
            <w:shd w:val="clear" w:color="auto" w:fill="auto"/>
            <w:noWrap/>
            <w:vAlign w:val="center"/>
            <w:hideMark/>
          </w:tcPr>
          <w:p w14:paraId="75EA076F"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2E2C2AD5"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04" w:type="dxa"/>
            <w:tcBorders>
              <w:top w:val="nil"/>
              <w:left w:val="nil"/>
              <w:bottom w:val="single" w:sz="4" w:space="0" w:color="auto"/>
              <w:right w:val="single" w:sz="4" w:space="0" w:color="auto"/>
            </w:tcBorders>
            <w:shd w:val="clear" w:color="auto" w:fill="auto"/>
            <w:noWrap/>
            <w:vAlign w:val="center"/>
            <w:hideMark/>
          </w:tcPr>
          <w:p w14:paraId="6F73EA71"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CF5F2A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0.25</w:t>
            </w:r>
          </w:p>
        </w:tc>
        <w:tc>
          <w:tcPr>
            <w:tcW w:w="832" w:type="dxa"/>
            <w:tcBorders>
              <w:top w:val="nil"/>
              <w:left w:val="nil"/>
              <w:bottom w:val="single" w:sz="4" w:space="0" w:color="auto"/>
              <w:right w:val="single" w:sz="4" w:space="0" w:color="auto"/>
            </w:tcBorders>
            <w:shd w:val="clear" w:color="auto" w:fill="auto"/>
            <w:noWrap/>
            <w:vAlign w:val="center"/>
            <w:hideMark/>
          </w:tcPr>
          <w:p w14:paraId="126BB9F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4.56</w:t>
            </w:r>
          </w:p>
        </w:tc>
        <w:tc>
          <w:tcPr>
            <w:tcW w:w="663" w:type="dxa"/>
            <w:tcBorders>
              <w:top w:val="nil"/>
              <w:left w:val="nil"/>
              <w:bottom w:val="single" w:sz="4" w:space="0" w:color="auto"/>
              <w:right w:val="single" w:sz="4" w:space="0" w:color="auto"/>
            </w:tcBorders>
            <w:shd w:val="clear" w:color="auto" w:fill="auto"/>
            <w:noWrap/>
            <w:vAlign w:val="center"/>
            <w:hideMark/>
          </w:tcPr>
          <w:p w14:paraId="49CA9193"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B3F8180"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E58082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0.31</w:t>
            </w:r>
          </w:p>
        </w:tc>
        <w:tc>
          <w:tcPr>
            <w:tcW w:w="663" w:type="dxa"/>
            <w:tcBorders>
              <w:top w:val="nil"/>
              <w:left w:val="nil"/>
              <w:bottom w:val="single" w:sz="4" w:space="0" w:color="auto"/>
              <w:right w:val="single" w:sz="4" w:space="0" w:color="auto"/>
            </w:tcBorders>
            <w:shd w:val="clear" w:color="auto" w:fill="auto"/>
            <w:noWrap/>
            <w:vAlign w:val="center"/>
            <w:hideMark/>
          </w:tcPr>
          <w:p w14:paraId="223EB025"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0.25</w:t>
            </w:r>
          </w:p>
        </w:tc>
      </w:tr>
      <w:tr w:rsidR="001B5635" w:rsidRPr="00F352E1" w14:paraId="72E666DA"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21635C97"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7BE3BE4E"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6B08B20A"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47A325A4"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58E7CFB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1.00</w:t>
            </w:r>
          </w:p>
        </w:tc>
        <w:tc>
          <w:tcPr>
            <w:tcW w:w="591" w:type="dxa"/>
            <w:tcBorders>
              <w:top w:val="nil"/>
              <w:left w:val="nil"/>
              <w:bottom w:val="single" w:sz="4" w:space="0" w:color="auto"/>
              <w:right w:val="single" w:sz="4" w:space="0" w:color="auto"/>
            </w:tcBorders>
            <w:shd w:val="clear" w:color="auto" w:fill="auto"/>
            <w:noWrap/>
            <w:vAlign w:val="center"/>
            <w:hideMark/>
          </w:tcPr>
          <w:p w14:paraId="501919E4"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0.44</w:t>
            </w:r>
          </w:p>
        </w:tc>
        <w:tc>
          <w:tcPr>
            <w:tcW w:w="591" w:type="dxa"/>
            <w:tcBorders>
              <w:top w:val="nil"/>
              <w:left w:val="nil"/>
              <w:bottom w:val="single" w:sz="4" w:space="0" w:color="auto"/>
              <w:right w:val="single" w:sz="4" w:space="0" w:color="auto"/>
            </w:tcBorders>
            <w:shd w:val="clear" w:color="auto" w:fill="auto"/>
            <w:noWrap/>
            <w:vAlign w:val="center"/>
            <w:hideMark/>
          </w:tcPr>
          <w:p w14:paraId="6E031B50"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083BC3F4"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0.63</w:t>
            </w:r>
          </w:p>
        </w:tc>
        <w:tc>
          <w:tcPr>
            <w:tcW w:w="754" w:type="dxa"/>
            <w:tcBorders>
              <w:top w:val="nil"/>
              <w:left w:val="nil"/>
              <w:bottom w:val="single" w:sz="4" w:space="0" w:color="auto"/>
              <w:right w:val="single" w:sz="4" w:space="0" w:color="auto"/>
            </w:tcBorders>
            <w:shd w:val="clear" w:color="auto" w:fill="auto"/>
            <w:noWrap/>
            <w:vAlign w:val="center"/>
            <w:hideMark/>
          </w:tcPr>
          <w:p w14:paraId="77D90CBA"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5CCA3866"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54E29292"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131DCC00"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7927D11F"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078E8A2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0.31</w:t>
            </w:r>
          </w:p>
        </w:tc>
        <w:tc>
          <w:tcPr>
            <w:tcW w:w="663" w:type="dxa"/>
            <w:tcBorders>
              <w:top w:val="nil"/>
              <w:left w:val="nil"/>
              <w:bottom w:val="single" w:sz="4" w:space="0" w:color="auto"/>
              <w:right w:val="single" w:sz="4" w:space="0" w:color="auto"/>
            </w:tcBorders>
            <w:shd w:val="clear" w:color="auto" w:fill="auto"/>
            <w:noWrap/>
            <w:vAlign w:val="center"/>
            <w:hideMark/>
          </w:tcPr>
          <w:p w14:paraId="02569F43"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0287D71"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3C61496C"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7B4A77E4"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42FD82EC"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0C04B14F"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12DDC5"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Magnetic</w:t>
            </w:r>
          </w:p>
        </w:tc>
        <w:tc>
          <w:tcPr>
            <w:tcW w:w="493" w:type="dxa"/>
            <w:tcBorders>
              <w:top w:val="nil"/>
              <w:left w:val="nil"/>
              <w:bottom w:val="single" w:sz="4" w:space="0" w:color="auto"/>
              <w:right w:val="single" w:sz="4" w:space="0" w:color="auto"/>
            </w:tcBorders>
            <w:shd w:val="clear" w:color="auto" w:fill="auto"/>
            <w:noWrap/>
            <w:vAlign w:val="center"/>
            <w:hideMark/>
          </w:tcPr>
          <w:p w14:paraId="0DD29FA4"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64431E95"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DF92952"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591" w:type="dxa"/>
            <w:tcBorders>
              <w:top w:val="nil"/>
              <w:left w:val="nil"/>
              <w:bottom w:val="single" w:sz="4" w:space="0" w:color="auto"/>
              <w:right w:val="single" w:sz="4" w:space="0" w:color="auto"/>
            </w:tcBorders>
            <w:shd w:val="clear" w:color="auto" w:fill="auto"/>
            <w:noWrap/>
            <w:vAlign w:val="center"/>
            <w:hideMark/>
          </w:tcPr>
          <w:p w14:paraId="5AB31DE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591" w:type="dxa"/>
            <w:tcBorders>
              <w:top w:val="nil"/>
              <w:left w:val="nil"/>
              <w:bottom w:val="single" w:sz="4" w:space="0" w:color="auto"/>
              <w:right w:val="single" w:sz="4" w:space="0" w:color="auto"/>
            </w:tcBorders>
            <w:shd w:val="clear" w:color="auto" w:fill="auto"/>
            <w:noWrap/>
            <w:vAlign w:val="center"/>
            <w:hideMark/>
          </w:tcPr>
          <w:p w14:paraId="248F3582"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2504891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0.44</w:t>
            </w:r>
          </w:p>
        </w:tc>
        <w:tc>
          <w:tcPr>
            <w:tcW w:w="754" w:type="dxa"/>
            <w:tcBorders>
              <w:top w:val="nil"/>
              <w:left w:val="nil"/>
              <w:bottom w:val="single" w:sz="4" w:space="0" w:color="auto"/>
              <w:right w:val="single" w:sz="4" w:space="0" w:color="auto"/>
            </w:tcBorders>
            <w:shd w:val="clear" w:color="auto" w:fill="auto"/>
            <w:noWrap/>
            <w:vAlign w:val="center"/>
            <w:hideMark/>
          </w:tcPr>
          <w:p w14:paraId="3A0C9239"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0F525E24"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65F23EDA"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19621EBE"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644227ED"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902A52F"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1.75</w:t>
            </w:r>
          </w:p>
        </w:tc>
        <w:tc>
          <w:tcPr>
            <w:tcW w:w="663" w:type="dxa"/>
            <w:tcBorders>
              <w:top w:val="nil"/>
              <w:left w:val="nil"/>
              <w:bottom w:val="single" w:sz="4" w:space="0" w:color="auto"/>
              <w:right w:val="single" w:sz="4" w:space="0" w:color="auto"/>
            </w:tcBorders>
            <w:shd w:val="clear" w:color="auto" w:fill="auto"/>
            <w:noWrap/>
            <w:vAlign w:val="center"/>
            <w:hideMark/>
          </w:tcPr>
          <w:p w14:paraId="5587E01A"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8AD321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6.69</w:t>
            </w:r>
          </w:p>
        </w:tc>
        <w:tc>
          <w:tcPr>
            <w:tcW w:w="832" w:type="dxa"/>
            <w:tcBorders>
              <w:top w:val="nil"/>
              <w:left w:val="nil"/>
              <w:bottom w:val="single" w:sz="4" w:space="0" w:color="auto"/>
              <w:right w:val="single" w:sz="4" w:space="0" w:color="auto"/>
            </w:tcBorders>
            <w:shd w:val="clear" w:color="auto" w:fill="auto"/>
            <w:noWrap/>
            <w:vAlign w:val="center"/>
            <w:hideMark/>
          </w:tcPr>
          <w:p w14:paraId="076784BC"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28.81</w:t>
            </w:r>
          </w:p>
        </w:tc>
        <w:tc>
          <w:tcPr>
            <w:tcW w:w="663" w:type="dxa"/>
            <w:tcBorders>
              <w:top w:val="nil"/>
              <w:left w:val="nil"/>
              <w:bottom w:val="single" w:sz="4" w:space="0" w:color="auto"/>
              <w:right w:val="single" w:sz="4" w:space="0" w:color="auto"/>
            </w:tcBorders>
            <w:shd w:val="clear" w:color="auto" w:fill="auto"/>
            <w:noWrap/>
            <w:vAlign w:val="center"/>
            <w:hideMark/>
          </w:tcPr>
          <w:p w14:paraId="295BD4C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1.06</w:t>
            </w:r>
          </w:p>
        </w:tc>
      </w:tr>
      <w:tr w:rsidR="001B5635" w:rsidRPr="00F352E1" w14:paraId="68DA1E1C"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129461EB"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617D211A"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186BCD25"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7AA9D117"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5FC75896"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0.56</w:t>
            </w:r>
          </w:p>
        </w:tc>
        <w:tc>
          <w:tcPr>
            <w:tcW w:w="591" w:type="dxa"/>
            <w:tcBorders>
              <w:top w:val="nil"/>
              <w:left w:val="nil"/>
              <w:bottom w:val="single" w:sz="4" w:space="0" w:color="auto"/>
              <w:right w:val="single" w:sz="4" w:space="0" w:color="auto"/>
            </w:tcBorders>
            <w:shd w:val="clear" w:color="auto" w:fill="auto"/>
            <w:noWrap/>
            <w:vAlign w:val="center"/>
            <w:hideMark/>
          </w:tcPr>
          <w:p w14:paraId="7D9E6EC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1.06</w:t>
            </w:r>
          </w:p>
        </w:tc>
        <w:tc>
          <w:tcPr>
            <w:tcW w:w="591" w:type="dxa"/>
            <w:tcBorders>
              <w:top w:val="nil"/>
              <w:left w:val="nil"/>
              <w:bottom w:val="single" w:sz="4" w:space="0" w:color="auto"/>
              <w:right w:val="single" w:sz="4" w:space="0" w:color="auto"/>
            </w:tcBorders>
            <w:shd w:val="clear" w:color="auto" w:fill="auto"/>
            <w:noWrap/>
            <w:vAlign w:val="center"/>
            <w:hideMark/>
          </w:tcPr>
          <w:p w14:paraId="420D6F10"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186A827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1.00</w:t>
            </w:r>
          </w:p>
        </w:tc>
        <w:tc>
          <w:tcPr>
            <w:tcW w:w="754" w:type="dxa"/>
            <w:tcBorders>
              <w:top w:val="nil"/>
              <w:left w:val="nil"/>
              <w:bottom w:val="single" w:sz="4" w:space="0" w:color="auto"/>
              <w:right w:val="single" w:sz="4" w:space="0" w:color="auto"/>
            </w:tcBorders>
            <w:shd w:val="clear" w:color="auto" w:fill="auto"/>
            <w:noWrap/>
            <w:vAlign w:val="center"/>
            <w:hideMark/>
          </w:tcPr>
          <w:p w14:paraId="491BFE46"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51F6A49C"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7E15E510"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29018256"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39F1E9E5"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10A6C91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1.75</w:t>
            </w:r>
          </w:p>
        </w:tc>
        <w:tc>
          <w:tcPr>
            <w:tcW w:w="663" w:type="dxa"/>
            <w:tcBorders>
              <w:top w:val="nil"/>
              <w:left w:val="nil"/>
              <w:bottom w:val="single" w:sz="4" w:space="0" w:color="auto"/>
              <w:right w:val="single" w:sz="4" w:space="0" w:color="auto"/>
            </w:tcBorders>
            <w:shd w:val="clear" w:color="auto" w:fill="auto"/>
            <w:noWrap/>
            <w:vAlign w:val="center"/>
            <w:hideMark/>
          </w:tcPr>
          <w:p w14:paraId="697C409A"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EC75352"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1.31</w:t>
            </w:r>
          </w:p>
        </w:tc>
        <w:tc>
          <w:tcPr>
            <w:tcW w:w="832" w:type="dxa"/>
            <w:tcBorders>
              <w:top w:val="nil"/>
              <w:left w:val="nil"/>
              <w:bottom w:val="single" w:sz="4" w:space="0" w:color="auto"/>
              <w:right w:val="single" w:sz="4" w:space="0" w:color="auto"/>
            </w:tcBorders>
            <w:shd w:val="clear" w:color="auto" w:fill="auto"/>
            <w:noWrap/>
            <w:vAlign w:val="center"/>
            <w:hideMark/>
          </w:tcPr>
          <w:p w14:paraId="1FD468E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13.81</w:t>
            </w:r>
          </w:p>
        </w:tc>
        <w:tc>
          <w:tcPr>
            <w:tcW w:w="663" w:type="dxa"/>
            <w:tcBorders>
              <w:top w:val="nil"/>
              <w:left w:val="nil"/>
              <w:bottom w:val="single" w:sz="4" w:space="0" w:color="auto"/>
              <w:right w:val="single" w:sz="4" w:space="0" w:color="auto"/>
            </w:tcBorders>
            <w:shd w:val="clear" w:color="auto" w:fill="auto"/>
            <w:noWrap/>
            <w:vAlign w:val="center"/>
            <w:hideMark/>
          </w:tcPr>
          <w:p w14:paraId="32C91FE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0.63</w:t>
            </w:r>
          </w:p>
        </w:tc>
      </w:tr>
      <w:tr w:rsidR="001B5635" w:rsidRPr="00F352E1" w14:paraId="25B2E90C"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12C20AAA" w14:textId="77777777" w:rsidR="001B5635" w:rsidRPr="001B5635" w:rsidRDefault="001B5635" w:rsidP="001B5635">
            <w:pPr>
              <w:spacing w:after="0"/>
              <w:jc w:val="left"/>
              <w:rPr>
                <w:rFonts w:ascii="Arial Narrow" w:hAnsi="Arial Narrow"/>
                <w:sz w:val="20"/>
                <w:lang w:val="en-AU" w:eastAsia="en-AU"/>
              </w:rPr>
            </w:pPr>
          </w:p>
        </w:tc>
        <w:tc>
          <w:tcPr>
            <w:tcW w:w="1731" w:type="dxa"/>
            <w:tcBorders>
              <w:top w:val="nil"/>
              <w:left w:val="nil"/>
              <w:bottom w:val="single" w:sz="4" w:space="0" w:color="auto"/>
              <w:right w:val="single" w:sz="4" w:space="0" w:color="auto"/>
            </w:tcBorders>
            <w:shd w:val="clear" w:color="auto" w:fill="auto"/>
            <w:noWrap/>
            <w:vAlign w:val="center"/>
            <w:hideMark/>
          </w:tcPr>
          <w:p w14:paraId="391FE437"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Middle Reef LTMP</w:t>
            </w:r>
          </w:p>
        </w:tc>
        <w:tc>
          <w:tcPr>
            <w:tcW w:w="493" w:type="dxa"/>
            <w:tcBorders>
              <w:top w:val="nil"/>
              <w:left w:val="nil"/>
              <w:bottom w:val="single" w:sz="4" w:space="0" w:color="auto"/>
              <w:right w:val="single" w:sz="4" w:space="0" w:color="auto"/>
            </w:tcBorders>
            <w:shd w:val="clear" w:color="auto" w:fill="auto"/>
            <w:noWrap/>
            <w:vAlign w:val="center"/>
            <w:hideMark/>
          </w:tcPr>
          <w:p w14:paraId="1782DE43"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1295605F"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 </w:t>
            </w:r>
          </w:p>
        </w:tc>
        <w:tc>
          <w:tcPr>
            <w:tcW w:w="591" w:type="dxa"/>
            <w:tcBorders>
              <w:top w:val="nil"/>
              <w:left w:val="nil"/>
              <w:bottom w:val="single" w:sz="4" w:space="0" w:color="auto"/>
              <w:right w:val="single" w:sz="4" w:space="0" w:color="auto"/>
            </w:tcBorders>
            <w:shd w:val="clear" w:color="auto" w:fill="auto"/>
            <w:noWrap/>
            <w:vAlign w:val="center"/>
            <w:hideMark/>
          </w:tcPr>
          <w:p w14:paraId="079EE08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0.55</w:t>
            </w:r>
          </w:p>
        </w:tc>
        <w:tc>
          <w:tcPr>
            <w:tcW w:w="591" w:type="dxa"/>
            <w:tcBorders>
              <w:top w:val="nil"/>
              <w:left w:val="nil"/>
              <w:bottom w:val="single" w:sz="4" w:space="0" w:color="auto"/>
              <w:right w:val="single" w:sz="4" w:space="0" w:color="auto"/>
            </w:tcBorders>
            <w:shd w:val="clear" w:color="auto" w:fill="auto"/>
            <w:noWrap/>
            <w:vAlign w:val="center"/>
            <w:hideMark/>
          </w:tcPr>
          <w:p w14:paraId="7519320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0.10</w:t>
            </w:r>
          </w:p>
        </w:tc>
        <w:tc>
          <w:tcPr>
            <w:tcW w:w="591" w:type="dxa"/>
            <w:tcBorders>
              <w:top w:val="nil"/>
              <w:left w:val="nil"/>
              <w:bottom w:val="single" w:sz="4" w:space="0" w:color="auto"/>
              <w:right w:val="single" w:sz="4" w:space="0" w:color="auto"/>
            </w:tcBorders>
            <w:shd w:val="clear" w:color="auto" w:fill="auto"/>
            <w:noWrap/>
            <w:vAlign w:val="center"/>
            <w:hideMark/>
          </w:tcPr>
          <w:p w14:paraId="62A00D5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1.25</w:t>
            </w:r>
          </w:p>
        </w:tc>
        <w:tc>
          <w:tcPr>
            <w:tcW w:w="744" w:type="dxa"/>
            <w:tcBorders>
              <w:top w:val="nil"/>
              <w:left w:val="nil"/>
              <w:bottom w:val="single" w:sz="4" w:space="0" w:color="auto"/>
              <w:right w:val="single" w:sz="4" w:space="0" w:color="auto"/>
            </w:tcBorders>
            <w:shd w:val="clear" w:color="auto" w:fill="auto"/>
            <w:noWrap/>
            <w:vAlign w:val="center"/>
            <w:hideMark/>
          </w:tcPr>
          <w:p w14:paraId="312D308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0.65</w:t>
            </w:r>
          </w:p>
        </w:tc>
        <w:tc>
          <w:tcPr>
            <w:tcW w:w="754" w:type="dxa"/>
            <w:tcBorders>
              <w:top w:val="nil"/>
              <w:left w:val="nil"/>
              <w:bottom w:val="single" w:sz="4" w:space="0" w:color="auto"/>
              <w:right w:val="single" w:sz="4" w:space="0" w:color="auto"/>
            </w:tcBorders>
            <w:shd w:val="clear" w:color="auto" w:fill="auto"/>
            <w:noWrap/>
            <w:vAlign w:val="center"/>
            <w:hideMark/>
          </w:tcPr>
          <w:p w14:paraId="2DAA938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 </w:t>
            </w:r>
          </w:p>
        </w:tc>
        <w:tc>
          <w:tcPr>
            <w:tcW w:w="601" w:type="dxa"/>
            <w:tcBorders>
              <w:top w:val="nil"/>
              <w:left w:val="nil"/>
              <w:bottom w:val="single" w:sz="4" w:space="0" w:color="auto"/>
              <w:right w:val="single" w:sz="4" w:space="0" w:color="auto"/>
            </w:tcBorders>
            <w:shd w:val="clear" w:color="auto" w:fill="auto"/>
            <w:noWrap/>
            <w:vAlign w:val="center"/>
            <w:hideMark/>
          </w:tcPr>
          <w:p w14:paraId="03EAE456"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 </w:t>
            </w:r>
          </w:p>
        </w:tc>
        <w:tc>
          <w:tcPr>
            <w:tcW w:w="844" w:type="dxa"/>
            <w:tcBorders>
              <w:top w:val="nil"/>
              <w:left w:val="nil"/>
              <w:bottom w:val="single" w:sz="4" w:space="0" w:color="auto"/>
              <w:right w:val="single" w:sz="4" w:space="0" w:color="auto"/>
            </w:tcBorders>
            <w:shd w:val="clear" w:color="auto" w:fill="auto"/>
            <w:noWrap/>
            <w:vAlign w:val="center"/>
            <w:hideMark/>
          </w:tcPr>
          <w:p w14:paraId="65466A7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 </w:t>
            </w:r>
          </w:p>
        </w:tc>
        <w:tc>
          <w:tcPr>
            <w:tcW w:w="504" w:type="dxa"/>
            <w:tcBorders>
              <w:top w:val="nil"/>
              <w:left w:val="nil"/>
              <w:bottom w:val="single" w:sz="4" w:space="0" w:color="auto"/>
              <w:right w:val="single" w:sz="4" w:space="0" w:color="auto"/>
            </w:tcBorders>
            <w:shd w:val="clear" w:color="auto" w:fill="auto"/>
            <w:noWrap/>
            <w:vAlign w:val="center"/>
            <w:hideMark/>
          </w:tcPr>
          <w:p w14:paraId="597046E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 </w:t>
            </w:r>
          </w:p>
        </w:tc>
        <w:tc>
          <w:tcPr>
            <w:tcW w:w="663" w:type="dxa"/>
            <w:tcBorders>
              <w:top w:val="nil"/>
              <w:left w:val="nil"/>
              <w:bottom w:val="single" w:sz="4" w:space="0" w:color="auto"/>
              <w:right w:val="single" w:sz="4" w:space="0" w:color="auto"/>
            </w:tcBorders>
            <w:shd w:val="clear" w:color="auto" w:fill="auto"/>
            <w:noWrap/>
            <w:vAlign w:val="center"/>
            <w:hideMark/>
          </w:tcPr>
          <w:p w14:paraId="435CF1AC"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0.35</w:t>
            </w:r>
          </w:p>
        </w:tc>
        <w:tc>
          <w:tcPr>
            <w:tcW w:w="832" w:type="dxa"/>
            <w:tcBorders>
              <w:top w:val="nil"/>
              <w:left w:val="nil"/>
              <w:bottom w:val="single" w:sz="4" w:space="0" w:color="auto"/>
              <w:right w:val="single" w:sz="4" w:space="0" w:color="auto"/>
            </w:tcBorders>
            <w:shd w:val="clear" w:color="auto" w:fill="auto"/>
            <w:noWrap/>
            <w:vAlign w:val="center"/>
            <w:hideMark/>
          </w:tcPr>
          <w:p w14:paraId="5FB02095"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2.51</w:t>
            </w:r>
          </w:p>
        </w:tc>
        <w:tc>
          <w:tcPr>
            <w:tcW w:w="663" w:type="dxa"/>
            <w:tcBorders>
              <w:top w:val="nil"/>
              <w:left w:val="nil"/>
              <w:bottom w:val="single" w:sz="4" w:space="0" w:color="auto"/>
              <w:right w:val="single" w:sz="4" w:space="0" w:color="auto"/>
            </w:tcBorders>
            <w:shd w:val="clear" w:color="auto" w:fill="auto"/>
            <w:noWrap/>
            <w:vAlign w:val="center"/>
            <w:hideMark/>
          </w:tcPr>
          <w:p w14:paraId="02DEF0D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 </w:t>
            </w:r>
          </w:p>
        </w:tc>
        <w:tc>
          <w:tcPr>
            <w:tcW w:w="832" w:type="dxa"/>
            <w:tcBorders>
              <w:top w:val="nil"/>
              <w:left w:val="nil"/>
              <w:bottom w:val="single" w:sz="4" w:space="0" w:color="auto"/>
              <w:right w:val="single" w:sz="4" w:space="0" w:color="auto"/>
            </w:tcBorders>
            <w:shd w:val="clear" w:color="auto" w:fill="auto"/>
            <w:noWrap/>
            <w:vAlign w:val="center"/>
            <w:hideMark/>
          </w:tcPr>
          <w:p w14:paraId="3DC918A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2.81</w:t>
            </w:r>
          </w:p>
        </w:tc>
        <w:tc>
          <w:tcPr>
            <w:tcW w:w="832" w:type="dxa"/>
            <w:tcBorders>
              <w:top w:val="nil"/>
              <w:left w:val="nil"/>
              <w:bottom w:val="single" w:sz="4" w:space="0" w:color="auto"/>
              <w:right w:val="single" w:sz="4" w:space="0" w:color="auto"/>
            </w:tcBorders>
            <w:shd w:val="clear" w:color="auto" w:fill="auto"/>
            <w:noWrap/>
            <w:vAlign w:val="center"/>
            <w:hideMark/>
          </w:tcPr>
          <w:p w14:paraId="66C2B3C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1.32</w:t>
            </w:r>
          </w:p>
        </w:tc>
        <w:tc>
          <w:tcPr>
            <w:tcW w:w="663" w:type="dxa"/>
            <w:tcBorders>
              <w:top w:val="nil"/>
              <w:left w:val="nil"/>
              <w:bottom w:val="single" w:sz="4" w:space="0" w:color="auto"/>
              <w:right w:val="single" w:sz="4" w:space="0" w:color="auto"/>
            </w:tcBorders>
            <w:shd w:val="clear" w:color="auto" w:fill="auto"/>
            <w:noWrap/>
            <w:vAlign w:val="center"/>
            <w:hideMark/>
          </w:tcPr>
          <w:p w14:paraId="5676C6B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0.51</w:t>
            </w:r>
          </w:p>
        </w:tc>
      </w:tr>
      <w:tr w:rsidR="001B5635" w:rsidRPr="00F352E1" w14:paraId="26569776" w14:textId="77777777" w:rsidTr="006B2ADA">
        <w:trPr>
          <w:trHeight w:val="340"/>
        </w:trPr>
        <w:tc>
          <w:tcPr>
            <w:tcW w:w="69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BA34787"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Proserpine</w:t>
            </w:r>
          </w:p>
        </w:tc>
        <w:tc>
          <w:tcPr>
            <w:tcW w:w="1731" w:type="dxa"/>
            <w:tcBorders>
              <w:top w:val="nil"/>
              <w:left w:val="nil"/>
              <w:bottom w:val="single" w:sz="4" w:space="0" w:color="auto"/>
              <w:right w:val="single" w:sz="4" w:space="0" w:color="auto"/>
            </w:tcBorders>
            <w:shd w:val="clear" w:color="auto" w:fill="auto"/>
            <w:noWrap/>
            <w:vAlign w:val="center"/>
            <w:hideMark/>
          </w:tcPr>
          <w:p w14:paraId="21FBDB8A"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Hayman</w:t>
            </w:r>
          </w:p>
        </w:tc>
        <w:tc>
          <w:tcPr>
            <w:tcW w:w="493" w:type="dxa"/>
            <w:tcBorders>
              <w:top w:val="nil"/>
              <w:left w:val="nil"/>
              <w:bottom w:val="single" w:sz="4" w:space="0" w:color="auto"/>
              <w:right w:val="single" w:sz="4" w:space="0" w:color="auto"/>
            </w:tcBorders>
            <w:shd w:val="clear" w:color="auto" w:fill="auto"/>
            <w:noWrap/>
            <w:vAlign w:val="center"/>
            <w:hideMark/>
          </w:tcPr>
          <w:p w14:paraId="5621FA46"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708B31A8"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26FCFF41"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52D938F4"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26AC865"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0596D025"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0.50</w:t>
            </w:r>
          </w:p>
        </w:tc>
        <w:tc>
          <w:tcPr>
            <w:tcW w:w="754" w:type="dxa"/>
            <w:tcBorders>
              <w:top w:val="nil"/>
              <w:left w:val="nil"/>
              <w:bottom w:val="single" w:sz="4" w:space="0" w:color="auto"/>
              <w:right w:val="single" w:sz="4" w:space="0" w:color="auto"/>
            </w:tcBorders>
            <w:shd w:val="clear" w:color="auto" w:fill="auto"/>
            <w:noWrap/>
            <w:vAlign w:val="center"/>
            <w:hideMark/>
          </w:tcPr>
          <w:p w14:paraId="05BBBBE4"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0E23BFE5"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0C857229"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76794AAF"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263319D5"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1172B668"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78CC65D5"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46B831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0.30</w:t>
            </w:r>
          </w:p>
        </w:tc>
        <w:tc>
          <w:tcPr>
            <w:tcW w:w="832" w:type="dxa"/>
            <w:tcBorders>
              <w:top w:val="nil"/>
              <w:left w:val="nil"/>
              <w:bottom w:val="single" w:sz="4" w:space="0" w:color="auto"/>
              <w:right w:val="single" w:sz="4" w:space="0" w:color="auto"/>
            </w:tcBorders>
            <w:shd w:val="clear" w:color="auto" w:fill="auto"/>
            <w:noWrap/>
            <w:vAlign w:val="center"/>
            <w:hideMark/>
          </w:tcPr>
          <w:p w14:paraId="3B917DD9"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5795BBE8"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2807EBCA"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62FD5E16" w14:textId="77777777" w:rsidR="001B5635" w:rsidRPr="001B5635" w:rsidRDefault="001B5635" w:rsidP="001B5635">
            <w:pPr>
              <w:spacing w:after="0"/>
              <w:jc w:val="left"/>
              <w:rPr>
                <w:rFonts w:ascii="Arial Narrow" w:hAnsi="Arial Narrow"/>
                <w:sz w:val="20"/>
                <w:lang w:val="en-AU" w:eastAsia="en-AU"/>
              </w:rPr>
            </w:pPr>
          </w:p>
        </w:tc>
        <w:tc>
          <w:tcPr>
            <w:tcW w:w="1731" w:type="dxa"/>
            <w:tcBorders>
              <w:top w:val="nil"/>
              <w:left w:val="nil"/>
              <w:bottom w:val="single" w:sz="4" w:space="0" w:color="auto"/>
              <w:right w:val="single" w:sz="4" w:space="0" w:color="auto"/>
            </w:tcBorders>
            <w:shd w:val="clear" w:color="auto" w:fill="auto"/>
            <w:noWrap/>
            <w:vAlign w:val="center"/>
            <w:hideMark/>
          </w:tcPr>
          <w:p w14:paraId="2D0F5220"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Langford</w:t>
            </w:r>
          </w:p>
        </w:tc>
        <w:tc>
          <w:tcPr>
            <w:tcW w:w="493" w:type="dxa"/>
            <w:tcBorders>
              <w:top w:val="nil"/>
              <w:left w:val="nil"/>
              <w:bottom w:val="single" w:sz="4" w:space="0" w:color="auto"/>
              <w:right w:val="single" w:sz="4" w:space="0" w:color="auto"/>
            </w:tcBorders>
            <w:shd w:val="clear" w:color="auto" w:fill="auto"/>
            <w:noWrap/>
            <w:vAlign w:val="center"/>
            <w:hideMark/>
          </w:tcPr>
          <w:p w14:paraId="3FCE7130"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6DD916ED"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3C516FCB"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1B3A9597"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31898957"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04668D06" w14:textId="77777777" w:rsidR="001B5635" w:rsidRPr="001B5635" w:rsidRDefault="001B5635" w:rsidP="001B5635">
            <w:pPr>
              <w:spacing w:after="0"/>
              <w:jc w:val="center"/>
              <w:rPr>
                <w:rFonts w:ascii="Arial Narrow" w:hAnsi="Arial Narrow"/>
                <w:sz w:val="18"/>
                <w:szCs w:val="18"/>
                <w:lang w:val="en-AU" w:eastAsia="en-AU"/>
              </w:rPr>
            </w:pPr>
          </w:p>
        </w:tc>
        <w:tc>
          <w:tcPr>
            <w:tcW w:w="754" w:type="dxa"/>
            <w:tcBorders>
              <w:top w:val="nil"/>
              <w:left w:val="nil"/>
              <w:bottom w:val="single" w:sz="4" w:space="0" w:color="auto"/>
              <w:right w:val="single" w:sz="4" w:space="0" w:color="auto"/>
            </w:tcBorders>
            <w:shd w:val="clear" w:color="auto" w:fill="auto"/>
            <w:noWrap/>
            <w:vAlign w:val="center"/>
            <w:hideMark/>
          </w:tcPr>
          <w:p w14:paraId="6D3CDE6B"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532D9466"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16A2EBB1"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0338A897"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2FA860AE"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6991B30D"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58EE147"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25651552"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31EFAAEE"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527D3285"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4CC851C2"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52ED6532" w14:textId="77777777" w:rsidR="001B5635" w:rsidRPr="001B5635" w:rsidRDefault="001B5635" w:rsidP="001B5635">
            <w:pPr>
              <w:spacing w:after="0"/>
              <w:jc w:val="left"/>
              <w:rPr>
                <w:rFonts w:ascii="Arial Narrow" w:hAnsi="Arial Narrow"/>
                <w:sz w:val="20"/>
                <w:lang w:val="en-AU" w:eastAsia="en-AU"/>
              </w:rPr>
            </w:pPr>
          </w:p>
        </w:tc>
        <w:tc>
          <w:tcPr>
            <w:tcW w:w="1731" w:type="dxa"/>
            <w:tcBorders>
              <w:top w:val="nil"/>
              <w:left w:val="nil"/>
              <w:bottom w:val="single" w:sz="4" w:space="0" w:color="auto"/>
              <w:right w:val="single" w:sz="4" w:space="0" w:color="auto"/>
            </w:tcBorders>
            <w:shd w:val="clear" w:color="auto" w:fill="auto"/>
            <w:noWrap/>
            <w:vAlign w:val="center"/>
            <w:hideMark/>
          </w:tcPr>
          <w:p w14:paraId="78500D92"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Border</w:t>
            </w:r>
          </w:p>
        </w:tc>
        <w:tc>
          <w:tcPr>
            <w:tcW w:w="493" w:type="dxa"/>
            <w:tcBorders>
              <w:top w:val="nil"/>
              <w:left w:val="nil"/>
              <w:bottom w:val="single" w:sz="4" w:space="0" w:color="auto"/>
              <w:right w:val="single" w:sz="4" w:space="0" w:color="auto"/>
            </w:tcBorders>
            <w:shd w:val="clear" w:color="auto" w:fill="auto"/>
            <w:noWrap/>
            <w:vAlign w:val="center"/>
            <w:hideMark/>
          </w:tcPr>
          <w:p w14:paraId="32259526"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66D79710"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7CB2CDB"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4884CAEA"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29694881"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470F3A0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0.10</w:t>
            </w:r>
          </w:p>
        </w:tc>
        <w:tc>
          <w:tcPr>
            <w:tcW w:w="754" w:type="dxa"/>
            <w:tcBorders>
              <w:top w:val="nil"/>
              <w:left w:val="nil"/>
              <w:bottom w:val="single" w:sz="4" w:space="0" w:color="auto"/>
              <w:right w:val="single" w:sz="4" w:space="0" w:color="auto"/>
            </w:tcBorders>
            <w:shd w:val="clear" w:color="auto" w:fill="auto"/>
            <w:noWrap/>
            <w:vAlign w:val="center"/>
            <w:hideMark/>
          </w:tcPr>
          <w:p w14:paraId="2E311A98"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2CD61814"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2C668F75"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759A4D53"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3B95507B"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6A3D44BD"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B83007E"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BB6C8F2"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2E47F0B0"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8E964AF"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72B02B9B"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3BF5648E"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1F76B3"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Hook</w:t>
            </w:r>
          </w:p>
        </w:tc>
        <w:tc>
          <w:tcPr>
            <w:tcW w:w="493" w:type="dxa"/>
            <w:tcBorders>
              <w:top w:val="nil"/>
              <w:left w:val="nil"/>
              <w:bottom w:val="single" w:sz="4" w:space="0" w:color="auto"/>
              <w:right w:val="single" w:sz="4" w:space="0" w:color="auto"/>
            </w:tcBorders>
            <w:shd w:val="clear" w:color="auto" w:fill="auto"/>
            <w:noWrap/>
            <w:vAlign w:val="center"/>
            <w:hideMark/>
          </w:tcPr>
          <w:p w14:paraId="62198612"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0839409A"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1770022E"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3F1054F6"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0982852"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184FD285"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754" w:type="dxa"/>
            <w:tcBorders>
              <w:top w:val="nil"/>
              <w:left w:val="nil"/>
              <w:bottom w:val="single" w:sz="4" w:space="0" w:color="auto"/>
              <w:right w:val="single" w:sz="4" w:space="0" w:color="auto"/>
            </w:tcBorders>
            <w:shd w:val="clear" w:color="auto" w:fill="auto"/>
            <w:noWrap/>
            <w:vAlign w:val="center"/>
            <w:hideMark/>
          </w:tcPr>
          <w:p w14:paraId="494BEE3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601" w:type="dxa"/>
            <w:tcBorders>
              <w:top w:val="nil"/>
              <w:left w:val="nil"/>
              <w:bottom w:val="single" w:sz="4" w:space="0" w:color="auto"/>
              <w:right w:val="single" w:sz="4" w:space="0" w:color="auto"/>
            </w:tcBorders>
            <w:shd w:val="clear" w:color="auto" w:fill="auto"/>
            <w:noWrap/>
            <w:vAlign w:val="center"/>
            <w:hideMark/>
          </w:tcPr>
          <w:p w14:paraId="00FD9849"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1BC7CAC4"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5ABA750E"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3E2973BD"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749ED21"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A1AF22A"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06C913AC"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6B045BDD"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214517D6"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35B965E6"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6B85C25B"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057E1061"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5046FB54"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4E24B828"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1B9ACEC"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B2BC421"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5910237E"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5B2E7C34" w14:textId="77777777" w:rsidR="001B5635" w:rsidRPr="001B5635" w:rsidRDefault="001B5635" w:rsidP="001B5635">
            <w:pPr>
              <w:spacing w:after="0"/>
              <w:jc w:val="center"/>
              <w:rPr>
                <w:rFonts w:ascii="Arial Narrow" w:hAnsi="Arial Narrow"/>
                <w:sz w:val="18"/>
                <w:szCs w:val="18"/>
                <w:lang w:val="en-AU" w:eastAsia="en-AU"/>
              </w:rPr>
            </w:pPr>
          </w:p>
        </w:tc>
        <w:tc>
          <w:tcPr>
            <w:tcW w:w="754" w:type="dxa"/>
            <w:tcBorders>
              <w:top w:val="nil"/>
              <w:left w:val="nil"/>
              <w:bottom w:val="single" w:sz="4" w:space="0" w:color="auto"/>
              <w:right w:val="single" w:sz="4" w:space="0" w:color="auto"/>
            </w:tcBorders>
            <w:shd w:val="clear" w:color="auto" w:fill="auto"/>
            <w:noWrap/>
            <w:vAlign w:val="center"/>
            <w:hideMark/>
          </w:tcPr>
          <w:p w14:paraId="215FB228"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6F426525"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612F3A9E"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6BE8BB1A"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5A5ED060"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026CDD81"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257A3D2F"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D8A0B11"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13D7779A"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C13FC0D"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3123DD39"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248706F7"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230679"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Double Cone</w:t>
            </w:r>
          </w:p>
        </w:tc>
        <w:tc>
          <w:tcPr>
            <w:tcW w:w="493" w:type="dxa"/>
            <w:tcBorders>
              <w:top w:val="nil"/>
              <w:left w:val="nil"/>
              <w:bottom w:val="single" w:sz="4" w:space="0" w:color="auto"/>
              <w:right w:val="single" w:sz="4" w:space="0" w:color="auto"/>
            </w:tcBorders>
            <w:shd w:val="clear" w:color="auto" w:fill="auto"/>
            <w:noWrap/>
            <w:vAlign w:val="center"/>
            <w:hideMark/>
          </w:tcPr>
          <w:p w14:paraId="39BC3A81"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051D4C18"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4FFCF767"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36AC1D95"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03F7BDF1"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523E6DBD" w14:textId="77777777" w:rsidR="001B5635" w:rsidRPr="001B5635" w:rsidRDefault="001B5635" w:rsidP="001B5635">
            <w:pPr>
              <w:spacing w:after="0"/>
              <w:jc w:val="center"/>
              <w:rPr>
                <w:rFonts w:ascii="Arial Narrow" w:hAnsi="Arial Narrow"/>
                <w:sz w:val="18"/>
                <w:szCs w:val="18"/>
                <w:lang w:val="en-AU" w:eastAsia="en-AU"/>
              </w:rPr>
            </w:pPr>
          </w:p>
        </w:tc>
        <w:tc>
          <w:tcPr>
            <w:tcW w:w="754" w:type="dxa"/>
            <w:tcBorders>
              <w:top w:val="nil"/>
              <w:left w:val="nil"/>
              <w:bottom w:val="single" w:sz="4" w:space="0" w:color="auto"/>
              <w:right w:val="single" w:sz="4" w:space="0" w:color="auto"/>
            </w:tcBorders>
            <w:shd w:val="clear" w:color="auto" w:fill="auto"/>
            <w:noWrap/>
            <w:vAlign w:val="center"/>
            <w:hideMark/>
          </w:tcPr>
          <w:p w14:paraId="4004C56D"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1216B14E"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0B9CB47D"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15C4C6E6"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390F34D4"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176A899A"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6D2D9197"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083733FD"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8D21434"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3E5DD792"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2C39C659"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47EA9DBC"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0EB220D3"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62A1E4DD"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77D5E48C"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63ADCF22"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591" w:type="dxa"/>
            <w:tcBorders>
              <w:top w:val="nil"/>
              <w:left w:val="nil"/>
              <w:bottom w:val="single" w:sz="4" w:space="0" w:color="auto"/>
              <w:right w:val="single" w:sz="4" w:space="0" w:color="auto"/>
            </w:tcBorders>
            <w:shd w:val="clear" w:color="auto" w:fill="auto"/>
            <w:noWrap/>
            <w:vAlign w:val="center"/>
            <w:hideMark/>
          </w:tcPr>
          <w:p w14:paraId="1DF04A5B"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26615A54"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7FD3171D" w14:textId="77777777" w:rsidR="001B5635" w:rsidRPr="001B5635" w:rsidRDefault="001B5635" w:rsidP="001B5635">
            <w:pPr>
              <w:spacing w:after="0"/>
              <w:jc w:val="center"/>
              <w:rPr>
                <w:rFonts w:ascii="Arial Narrow" w:hAnsi="Arial Narrow"/>
                <w:sz w:val="18"/>
                <w:szCs w:val="18"/>
                <w:lang w:val="en-AU" w:eastAsia="en-AU"/>
              </w:rPr>
            </w:pPr>
          </w:p>
        </w:tc>
        <w:tc>
          <w:tcPr>
            <w:tcW w:w="754" w:type="dxa"/>
            <w:tcBorders>
              <w:top w:val="nil"/>
              <w:left w:val="nil"/>
              <w:bottom w:val="single" w:sz="4" w:space="0" w:color="auto"/>
              <w:right w:val="single" w:sz="4" w:space="0" w:color="auto"/>
            </w:tcBorders>
            <w:shd w:val="clear" w:color="auto" w:fill="auto"/>
            <w:noWrap/>
            <w:vAlign w:val="center"/>
            <w:hideMark/>
          </w:tcPr>
          <w:p w14:paraId="602AA221"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5E9AA9B9"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6E6E00F6"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0D27C6A5"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9FC635C"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27C9BD5"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31732B4C"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2A50D243"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99F0B09"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6577490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r>
      <w:tr w:rsidR="001B5635" w:rsidRPr="00F352E1" w14:paraId="76E8B815"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3F7B0346"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D395E15"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Daydream</w:t>
            </w:r>
          </w:p>
        </w:tc>
        <w:tc>
          <w:tcPr>
            <w:tcW w:w="493" w:type="dxa"/>
            <w:tcBorders>
              <w:top w:val="nil"/>
              <w:left w:val="nil"/>
              <w:bottom w:val="single" w:sz="4" w:space="0" w:color="auto"/>
              <w:right w:val="single" w:sz="4" w:space="0" w:color="auto"/>
            </w:tcBorders>
            <w:shd w:val="clear" w:color="auto" w:fill="auto"/>
            <w:noWrap/>
            <w:vAlign w:val="center"/>
            <w:hideMark/>
          </w:tcPr>
          <w:p w14:paraId="4CDB3AAC"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1166B9D2"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2CF35EE5"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0F8C341D"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10B7E380"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799F6A5B" w14:textId="77777777" w:rsidR="001B5635" w:rsidRPr="001B5635" w:rsidRDefault="001B5635" w:rsidP="001B5635">
            <w:pPr>
              <w:spacing w:after="0"/>
              <w:jc w:val="center"/>
              <w:rPr>
                <w:rFonts w:ascii="Arial Narrow" w:hAnsi="Arial Narrow"/>
                <w:sz w:val="18"/>
                <w:szCs w:val="18"/>
                <w:lang w:val="en-AU" w:eastAsia="en-AU"/>
              </w:rPr>
            </w:pPr>
          </w:p>
        </w:tc>
        <w:tc>
          <w:tcPr>
            <w:tcW w:w="754" w:type="dxa"/>
            <w:tcBorders>
              <w:top w:val="nil"/>
              <w:left w:val="nil"/>
              <w:bottom w:val="single" w:sz="4" w:space="0" w:color="auto"/>
              <w:right w:val="single" w:sz="4" w:space="0" w:color="auto"/>
            </w:tcBorders>
            <w:shd w:val="clear" w:color="auto" w:fill="auto"/>
            <w:noWrap/>
            <w:vAlign w:val="center"/>
            <w:hideMark/>
          </w:tcPr>
          <w:p w14:paraId="73C0227C"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2CF7F1F3"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3F09B757"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72CB6A0E"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00B0990B"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11EBFB83"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251C9321"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445235B"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B6A2B64"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330F8ED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r>
      <w:tr w:rsidR="001B5635" w:rsidRPr="00F352E1" w14:paraId="5139EB66"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58EAEAE0"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474166EC"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33163384"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75C3293D"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5B1204A4"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5D48EE9A"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51F680C8"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78B755A4"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754" w:type="dxa"/>
            <w:tcBorders>
              <w:top w:val="nil"/>
              <w:left w:val="nil"/>
              <w:bottom w:val="single" w:sz="4" w:space="0" w:color="auto"/>
              <w:right w:val="single" w:sz="4" w:space="0" w:color="auto"/>
            </w:tcBorders>
            <w:shd w:val="clear" w:color="auto" w:fill="auto"/>
            <w:noWrap/>
            <w:vAlign w:val="center"/>
            <w:hideMark/>
          </w:tcPr>
          <w:p w14:paraId="2C5D5E61"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14FA7500"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67673898"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7DF316E0"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71C192A6"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2A23CD23"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3A8181AB"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155861AE"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AA7FA8B"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9439864"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19F88E58"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3608954D"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2547E5F"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Dent</w:t>
            </w:r>
          </w:p>
        </w:tc>
        <w:tc>
          <w:tcPr>
            <w:tcW w:w="493" w:type="dxa"/>
            <w:tcBorders>
              <w:top w:val="nil"/>
              <w:left w:val="nil"/>
              <w:bottom w:val="single" w:sz="4" w:space="0" w:color="auto"/>
              <w:right w:val="single" w:sz="4" w:space="0" w:color="auto"/>
            </w:tcBorders>
            <w:shd w:val="clear" w:color="auto" w:fill="auto"/>
            <w:noWrap/>
            <w:vAlign w:val="center"/>
            <w:hideMark/>
          </w:tcPr>
          <w:p w14:paraId="7E80BC5A"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2BC6D198"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0563793B"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542E8B13"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91" w:type="dxa"/>
            <w:tcBorders>
              <w:top w:val="nil"/>
              <w:left w:val="nil"/>
              <w:bottom w:val="single" w:sz="4" w:space="0" w:color="auto"/>
              <w:right w:val="single" w:sz="4" w:space="0" w:color="auto"/>
            </w:tcBorders>
            <w:shd w:val="clear" w:color="auto" w:fill="auto"/>
            <w:noWrap/>
            <w:vAlign w:val="center"/>
            <w:hideMark/>
          </w:tcPr>
          <w:p w14:paraId="189A2C0D"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6D98A186"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754" w:type="dxa"/>
            <w:tcBorders>
              <w:top w:val="nil"/>
              <w:left w:val="nil"/>
              <w:bottom w:val="single" w:sz="4" w:space="0" w:color="auto"/>
              <w:right w:val="single" w:sz="4" w:space="0" w:color="auto"/>
            </w:tcBorders>
            <w:shd w:val="clear" w:color="auto" w:fill="auto"/>
            <w:noWrap/>
            <w:vAlign w:val="center"/>
            <w:hideMark/>
          </w:tcPr>
          <w:p w14:paraId="1379715E"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34FED4FA"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2F3D4CA5"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5DB216E7"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4258844"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EE96534"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5ADC6730"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46F7A79"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3BA4C39"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2D0AFF8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r>
      <w:tr w:rsidR="001B5635" w:rsidRPr="00F352E1" w14:paraId="7C34E08A"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6F798C53"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25093B7F"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6E3C4DFA"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1A885DAB"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C7E27AF"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0.25</w:t>
            </w:r>
          </w:p>
        </w:tc>
        <w:tc>
          <w:tcPr>
            <w:tcW w:w="591" w:type="dxa"/>
            <w:tcBorders>
              <w:top w:val="nil"/>
              <w:left w:val="nil"/>
              <w:bottom w:val="single" w:sz="4" w:space="0" w:color="auto"/>
              <w:right w:val="single" w:sz="4" w:space="0" w:color="auto"/>
            </w:tcBorders>
            <w:shd w:val="clear" w:color="auto" w:fill="auto"/>
            <w:noWrap/>
            <w:vAlign w:val="center"/>
            <w:hideMark/>
          </w:tcPr>
          <w:p w14:paraId="0EC5581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591" w:type="dxa"/>
            <w:tcBorders>
              <w:top w:val="nil"/>
              <w:left w:val="nil"/>
              <w:bottom w:val="single" w:sz="4" w:space="0" w:color="auto"/>
              <w:right w:val="single" w:sz="4" w:space="0" w:color="auto"/>
            </w:tcBorders>
            <w:shd w:val="clear" w:color="auto" w:fill="auto"/>
            <w:noWrap/>
            <w:vAlign w:val="center"/>
            <w:hideMark/>
          </w:tcPr>
          <w:p w14:paraId="43D22DF9"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713A7056"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754" w:type="dxa"/>
            <w:tcBorders>
              <w:top w:val="nil"/>
              <w:left w:val="nil"/>
              <w:bottom w:val="single" w:sz="4" w:space="0" w:color="auto"/>
              <w:right w:val="single" w:sz="4" w:space="0" w:color="auto"/>
            </w:tcBorders>
            <w:shd w:val="clear" w:color="auto" w:fill="auto"/>
            <w:noWrap/>
            <w:vAlign w:val="center"/>
            <w:hideMark/>
          </w:tcPr>
          <w:p w14:paraId="69F48D00"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65D21948"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4820C8A8"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2CBEA548"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28D7833D"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6ED28AF5"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E29C401"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3511C86"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19C0296F"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663" w:type="dxa"/>
            <w:tcBorders>
              <w:top w:val="nil"/>
              <w:left w:val="nil"/>
              <w:bottom w:val="single" w:sz="4" w:space="0" w:color="auto"/>
              <w:right w:val="single" w:sz="4" w:space="0" w:color="auto"/>
            </w:tcBorders>
            <w:shd w:val="clear" w:color="auto" w:fill="auto"/>
            <w:noWrap/>
            <w:vAlign w:val="center"/>
            <w:hideMark/>
          </w:tcPr>
          <w:p w14:paraId="7C023840"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20A8D08B"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1397008D"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FCE2C9"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Shute Harbour</w:t>
            </w:r>
          </w:p>
        </w:tc>
        <w:tc>
          <w:tcPr>
            <w:tcW w:w="493" w:type="dxa"/>
            <w:tcBorders>
              <w:top w:val="nil"/>
              <w:left w:val="nil"/>
              <w:bottom w:val="single" w:sz="4" w:space="0" w:color="auto"/>
              <w:right w:val="single" w:sz="4" w:space="0" w:color="auto"/>
            </w:tcBorders>
            <w:shd w:val="clear" w:color="auto" w:fill="auto"/>
            <w:noWrap/>
            <w:vAlign w:val="center"/>
            <w:hideMark/>
          </w:tcPr>
          <w:p w14:paraId="5A951062"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23A277DD"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2ADD2138"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00502336"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91" w:type="dxa"/>
            <w:tcBorders>
              <w:top w:val="nil"/>
              <w:left w:val="nil"/>
              <w:bottom w:val="single" w:sz="4" w:space="0" w:color="auto"/>
              <w:right w:val="single" w:sz="4" w:space="0" w:color="auto"/>
            </w:tcBorders>
            <w:shd w:val="clear" w:color="auto" w:fill="auto"/>
            <w:noWrap/>
            <w:vAlign w:val="center"/>
            <w:hideMark/>
          </w:tcPr>
          <w:p w14:paraId="1D637522"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0B915AC5" w14:textId="77777777" w:rsidR="001B5635" w:rsidRPr="001B5635" w:rsidRDefault="001B5635" w:rsidP="001B5635">
            <w:pPr>
              <w:spacing w:after="0"/>
              <w:jc w:val="center"/>
              <w:rPr>
                <w:rFonts w:ascii="Arial Narrow" w:hAnsi="Arial Narrow"/>
                <w:sz w:val="18"/>
                <w:szCs w:val="18"/>
                <w:lang w:val="en-AU" w:eastAsia="en-AU"/>
              </w:rPr>
            </w:pPr>
          </w:p>
        </w:tc>
        <w:tc>
          <w:tcPr>
            <w:tcW w:w="754" w:type="dxa"/>
            <w:tcBorders>
              <w:top w:val="nil"/>
              <w:left w:val="nil"/>
              <w:bottom w:val="single" w:sz="4" w:space="0" w:color="auto"/>
              <w:right w:val="single" w:sz="4" w:space="0" w:color="auto"/>
            </w:tcBorders>
            <w:shd w:val="clear" w:color="auto" w:fill="auto"/>
            <w:noWrap/>
            <w:vAlign w:val="center"/>
            <w:hideMark/>
          </w:tcPr>
          <w:p w14:paraId="6253E904"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481F3A29"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71070C76"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3675F557"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6651E8CA"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6F5C7395"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8CB120A"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317FEDAA"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13CD590B"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7DDBD02"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36FB4562"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07551DAC"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675FF34C"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6705A411"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5E740ADF"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24D20007"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2757DF6A"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122BB4C"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5C7851FC"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754" w:type="dxa"/>
            <w:tcBorders>
              <w:top w:val="nil"/>
              <w:left w:val="nil"/>
              <w:bottom w:val="single" w:sz="4" w:space="0" w:color="auto"/>
              <w:right w:val="single" w:sz="4" w:space="0" w:color="auto"/>
            </w:tcBorders>
            <w:shd w:val="clear" w:color="auto" w:fill="auto"/>
            <w:noWrap/>
            <w:vAlign w:val="center"/>
            <w:hideMark/>
          </w:tcPr>
          <w:p w14:paraId="0EEE28A9"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619A9563"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0261E770"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00F85975"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528C7F99"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307F3DA"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322F925"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3FBCB92A"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61846FD"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2C6843BC"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r>
      <w:tr w:rsidR="001B5635" w:rsidRPr="00F352E1" w14:paraId="45E3662B"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60A1A262"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3DF6504"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Pine</w:t>
            </w:r>
          </w:p>
        </w:tc>
        <w:tc>
          <w:tcPr>
            <w:tcW w:w="493" w:type="dxa"/>
            <w:tcBorders>
              <w:top w:val="nil"/>
              <w:left w:val="nil"/>
              <w:bottom w:val="single" w:sz="4" w:space="0" w:color="auto"/>
              <w:right w:val="single" w:sz="4" w:space="0" w:color="auto"/>
            </w:tcBorders>
            <w:shd w:val="clear" w:color="auto" w:fill="auto"/>
            <w:noWrap/>
            <w:vAlign w:val="center"/>
            <w:hideMark/>
          </w:tcPr>
          <w:p w14:paraId="1C331502"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6EB9BD4C"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66A0091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91" w:type="dxa"/>
            <w:tcBorders>
              <w:top w:val="nil"/>
              <w:left w:val="nil"/>
              <w:bottom w:val="single" w:sz="4" w:space="0" w:color="auto"/>
              <w:right w:val="single" w:sz="4" w:space="0" w:color="auto"/>
            </w:tcBorders>
            <w:shd w:val="clear" w:color="auto" w:fill="auto"/>
            <w:noWrap/>
            <w:vAlign w:val="center"/>
            <w:hideMark/>
          </w:tcPr>
          <w:p w14:paraId="24889FC7"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28665D87"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7A1EBB6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0.25</w:t>
            </w:r>
          </w:p>
        </w:tc>
        <w:tc>
          <w:tcPr>
            <w:tcW w:w="754" w:type="dxa"/>
            <w:tcBorders>
              <w:top w:val="nil"/>
              <w:left w:val="nil"/>
              <w:bottom w:val="single" w:sz="4" w:space="0" w:color="auto"/>
              <w:right w:val="single" w:sz="4" w:space="0" w:color="auto"/>
            </w:tcBorders>
            <w:shd w:val="clear" w:color="auto" w:fill="auto"/>
            <w:noWrap/>
            <w:vAlign w:val="center"/>
            <w:hideMark/>
          </w:tcPr>
          <w:p w14:paraId="0808B444"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50F857C3"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624BC37B"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0F973841"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3755BEAD"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6F80BB00"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3892EC22"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7799503"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0E568AE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663" w:type="dxa"/>
            <w:tcBorders>
              <w:top w:val="nil"/>
              <w:left w:val="nil"/>
              <w:bottom w:val="single" w:sz="4" w:space="0" w:color="auto"/>
              <w:right w:val="single" w:sz="4" w:space="0" w:color="auto"/>
            </w:tcBorders>
            <w:shd w:val="clear" w:color="auto" w:fill="auto"/>
            <w:noWrap/>
            <w:vAlign w:val="center"/>
            <w:hideMark/>
          </w:tcPr>
          <w:p w14:paraId="291C833C"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4ACA6103"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3FD36380"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2B9D0436"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41B755DF"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31662614"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36CF8D7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91" w:type="dxa"/>
            <w:tcBorders>
              <w:top w:val="nil"/>
              <w:left w:val="nil"/>
              <w:bottom w:val="single" w:sz="4" w:space="0" w:color="auto"/>
              <w:right w:val="single" w:sz="4" w:space="0" w:color="auto"/>
            </w:tcBorders>
            <w:shd w:val="clear" w:color="auto" w:fill="auto"/>
            <w:noWrap/>
            <w:vAlign w:val="center"/>
            <w:hideMark/>
          </w:tcPr>
          <w:p w14:paraId="537374B6"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0F513978"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3A1671C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754" w:type="dxa"/>
            <w:tcBorders>
              <w:top w:val="nil"/>
              <w:left w:val="nil"/>
              <w:bottom w:val="single" w:sz="4" w:space="0" w:color="auto"/>
              <w:right w:val="single" w:sz="4" w:space="0" w:color="auto"/>
            </w:tcBorders>
            <w:shd w:val="clear" w:color="auto" w:fill="auto"/>
            <w:noWrap/>
            <w:vAlign w:val="center"/>
            <w:hideMark/>
          </w:tcPr>
          <w:p w14:paraId="0A17E08C"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510E1AFF"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252E950F"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071933EC"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6CE9A58C"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A80CA45"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9DC8DD0"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3D3928BF"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54DD0C77"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3F340C5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r>
      <w:tr w:rsidR="001B5635" w:rsidRPr="00F352E1" w14:paraId="0D07DDC8"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50F89026"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BED665"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Seaforth</w:t>
            </w:r>
          </w:p>
        </w:tc>
        <w:tc>
          <w:tcPr>
            <w:tcW w:w="493" w:type="dxa"/>
            <w:tcBorders>
              <w:top w:val="nil"/>
              <w:left w:val="nil"/>
              <w:bottom w:val="single" w:sz="4" w:space="0" w:color="auto"/>
              <w:right w:val="single" w:sz="4" w:space="0" w:color="auto"/>
            </w:tcBorders>
            <w:shd w:val="clear" w:color="auto" w:fill="auto"/>
            <w:noWrap/>
            <w:vAlign w:val="center"/>
            <w:hideMark/>
          </w:tcPr>
          <w:p w14:paraId="3633E3AB"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7FB1DE13"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591" w:type="dxa"/>
            <w:tcBorders>
              <w:top w:val="nil"/>
              <w:left w:val="nil"/>
              <w:bottom w:val="single" w:sz="4" w:space="0" w:color="auto"/>
              <w:right w:val="single" w:sz="4" w:space="0" w:color="auto"/>
            </w:tcBorders>
            <w:shd w:val="clear" w:color="auto" w:fill="auto"/>
            <w:noWrap/>
            <w:vAlign w:val="center"/>
            <w:hideMark/>
          </w:tcPr>
          <w:p w14:paraId="65A17FA1"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FAA1FB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591" w:type="dxa"/>
            <w:tcBorders>
              <w:top w:val="nil"/>
              <w:left w:val="nil"/>
              <w:bottom w:val="single" w:sz="4" w:space="0" w:color="auto"/>
              <w:right w:val="single" w:sz="4" w:space="0" w:color="auto"/>
            </w:tcBorders>
            <w:shd w:val="clear" w:color="auto" w:fill="auto"/>
            <w:noWrap/>
            <w:vAlign w:val="center"/>
            <w:hideMark/>
          </w:tcPr>
          <w:p w14:paraId="3C8FED0D"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7885D47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0.56</w:t>
            </w:r>
          </w:p>
        </w:tc>
        <w:tc>
          <w:tcPr>
            <w:tcW w:w="754" w:type="dxa"/>
            <w:tcBorders>
              <w:top w:val="nil"/>
              <w:left w:val="nil"/>
              <w:bottom w:val="single" w:sz="4" w:space="0" w:color="auto"/>
              <w:right w:val="single" w:sz="4" w:space="0" w:color="auto"/>
            </w:tcBorders>
            <w:shd w:val="clear" w:color="auto" w:fill="auto"/>
            <w:noWrap/>
            <w:vAlign w:val="center"/>
            <w:hideMark/>
          </w:tcPr>
          <w:p w14:paraId="41353479"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312ACC04"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51E188EC"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544EACE9"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694C450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0.25</w:t>
            </w:r>
          </w:p>
        </w:tc>
        <w:tc>
          <w:tcPr>
            <w:tcW w:w="832" w:type="dxa"/>
            <w:tcBorders>
              <w:top w:val="nil"/>
              <w:left w:val="nil"/>
              <w:bottom w:val="single" w:sz="4" w:space="0" w:color="auto"/>
              <w:right w:val="single" w:sz="4" w:space="0" w:color="auto"/>
            </w:tcBorders>
            <w:shd w:val="clear" w:color="auto" w:fill="auto"/>
            <w:noWrap/>
            <w:vAlign w:val="center"/>
            <w:hideMark/>
          </w:tcPr>
          <w:p w14:paraId="2E01FED5"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1.50</w:t>
            </w:r>
          </w:p>
        </w:tc>
        <w:tc>
          <w:tcPr>
            <w:tcW w:w="663" w:type="dxa"/>
            <w:tcBorders>
              <w:top w:val="nil"/>
              <w:left w:val="nil"/>
              <w:bottom w:val="single" w:sz="4" w:space="0" w:color="auto"/>
              <w:right w:val="single" w:sz="4" w:space="0" w:color="auto"/>
            </w:tcBorders>
            <w:shd w:val="clear" w:color="auto" w:fill="auto"/>
            <w:noWrap/>
            <w:vAlign w:val="center"/>
            <w:hideMark/>
          </w:tcPr>
          <w:p w14:paraId="1D99F591"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366E7A64"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0.38</w:t>
            </w:r>
          </w:p>
        </w:tc>
        <w:tc>
          <w:tcPr>
            <w:tcW w:w="832" w:type="dxa"/>
            <w:tcBorders>
              <w:top w:val="nil"/>
              <w:left w:val="nil"/>
              <w:bottom w:val="single" w:sz="4" w:space="0" w:color="auto"/>
              <w:right w:val="single" w:sz="4" w:space="0" w:color="auto"/>
            </w:tcBorders>
            <w:shd w:val="clear" w:color="auto" w:fill="auto"/>
            <w:noWrap/>
            <w:vAlign w:val="center"/>
            <w:hideMark/>
          </w:tcPr>
          <w:p w14:paraId="475A297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1.94</w:t>
            </w:r>
          </w:p>
        </w:tc>
        <w:tc>
          <w:tcPr>
            <w:tcW w:w="663" w:type="dxa"/>
            <w:tcBorders>
              <w:top w:val="nil"/>
              <w:left w:val="nil"/>
              <w:bottom w:val="single" w:sz="4" w:space="0" w:color="auto"/>
              <w:right w:val="single" w:sz="4" w:space="0" w:color="auto"/>
            </w:tcBorders>
            <w:shd w:val="clear" w:color="auto" w:fill="auto"/>
            <w:noWrap/>
            <w:vAlign w:val="center"/>
            <w:hideMark/>
          </w:tcPr>
          <w:p w14:paraId="68F4A91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2.19</w:t>
            </w:r>
          </w:p>
        </w:tc>
      </w:tr>
      <w:tr w:rsidR="001B5635" w:rsidRPr="00F352E1" w14:paraId="42CDFB41"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01D3EFE4"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3AA6B414"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28572A3A"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32FBBE13"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EB7B1EB"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68318E76"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591" w:type="dxa"/>
            <w:tcBorders>
              <w:top w:val="nil"/>
              <w:left w:val="nil"/>
              <w:bottom w:val="single" w:sz="4" w:space="0" w:color="auto"/>
              <w:right w:val="single" w:sz="4" w:space="0" w:color="auto"/>
            </w:tcBorders>
            <w:shd w:val="clear" w:color="auto" w:fill="auto"/>
            <w:noWrap/>
            <w:vAlign w:val="center"/>
            <w:hideMark/>
          </w:tcPr>
          <w:p w14:paraId="50333C14"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5894A4B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754" w:type="dxa"/>
            <w:tcBorders>
              <w:top w:val="nil"/>
              <w:left w:val="nil"/>
              <w:bottom w:val="single" w:sz="4" w:space="0" w:color="auto"/>
              <w:right w:val="single" w:sz="4" w:space="0" w:color="auto"/>
            </w:tcBorders>
            <w:shd w:val="clear" w:color="auto" w:fill="auto"/>
            <w:noWrap/>
            <w:vAlign w:val="center"/>
            <w:hideMark/>
          </w:tcPr>
          <w:p w14:paraId="59806F20"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2F340C9F"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7AD4FC1C"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57D8C1E5"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3193549F"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C2216D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663" w:type="dxa"/>
            <w:tcBorders>
              <w:top w:val="nil"/>
              <w:left w:val="nil"/>
              <w:bottom w:val="single" w:sz="4" w:space="0" w:color="auto"/>
              <w:right w:val="single" w:sz="4" w:space="0" w:color="auto"/>
            </w:tcBorders>
            <w:shd w:val="clear" w:color="auto" w:fill="auto"/>
            <w:noWrap/>
            <w:vAlign w:val="center"/>
            <w:hideMark/>
          </w:tcPr>
          <w:p w14:paraId="42D380C9"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70085E5"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0.25</w:t>
            </w:r>
          </w:p>
        </w:tc>
        <w:tc>
          <w:tcPr>
            <w:tcW w:w="832" w:type="dxa"/>
            <w:tcBorders>
              <w:top w:val="nil"/>
              <w:left w:val="nil"/>
              <w:bottom w:val="single" w:sz="4" w:space="0" w:color="auto"/>
              <w:right w:val="single" w:sz="4" w:space="0" w:color="auto"/>
            </w:tcBorders>
            <w:shd w:val="clear" w:color="auto" w:fill="auto"/>
            <w:noWrap/>
            <w:vAlign w:val="center"/>
            <w:hideMark/>
          </w:tcPr>
          <w:p w14:paraId="7A1D8B16"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663" w:type="dxa"/>
            <w:tcBorders>
              <w:top w:val="nil"/>
              <w:left w:val="nil"/>
              <w:bottom w:val="single" w:sz="4" w:space="0" w:color="auto"/>
              <w:right w:val="single" w:sz="4" w:space="0" w:color="auto"/>
            </w:tcBorders>
            <w:shd w:val="clear" w:color="auto" w:fill="auto"/>
            <w:noWrap/>
            <w:vAlign w:val="center"/>
            <w:hideMark/>
          </w:tcPr>
          <w:p w14:paraId="5A6DD695"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03A6A9CB" w14:textId="77777777" w:rsidTr="006B2ADA">
        <w:trPr>
          <w:trHeight w:val="340"/>
        </w:trPr>
        <w:tc>
          <w:tcPr>
            <w:tcW w:w="69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732CC061"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Fitzroy</w:t>
            </w: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6DD4C4A"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Barren</w:t>
            </w:r>
          </w:p>
        </w:tc>
        <w:tc>
          <w:tcPr>
            <w:tcW w:w="493" w:type="dxa"/>
            <w:tcBorders>
              <w:top w:val="nil"/>
              <w:left w:val="nil"/>
              <w:bottom w:val="single" w:sz="4" w:space="0" w:color="auto"/>
              <w:right w:val="single" w:sz="4" w:space="0" w:color="auto"/>
            </w:tcBorders>
            <w:shd w:val="clear" w:color="auto" w:fill="auto"/>
            <w:noWrap/>
            <w:vAlign w:val="center"/>
            <w:hideMark/>
          </w:tcPr>
          <w:p w14:paraId="42C480E2"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07913B51"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699D446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0.44</w:t>
            </w:r>
          </w:p>
        </w:tc>
        <w:tc>
          <w:tcPr>
            <w:tcW w:w="591" w:type="dxa"/>
            <w:tcBorders>
              <w:top w:val="nil"/>
              <w:left w:val="nil"/>
              <w:bottom w:val="single" w:sz="4" w:space="0" w:color="auto"/>
              <w:right w:val="single" w:sz="4" w:space="0" w:color="auto"/>
            </w:tcBorders>
            <w:shd w:val="clear" w:color="auto" w:fill="auto"/>
            <w:noWrap/>
            <w:vAlign w:val="center"/>
            <w:hideMark/>
          </w:tcPr>
          <w:p w14:paraId="5156032D"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6BC4B46E"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744ACD0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754" w:type="dxa"/>
            <w:tcBorders>
              <w:top w:val="nil"/>
              <w:left w:val="nil"/>
              <w:bottom w:val="single" w:sz="4" w:space="0" w:color="auto"/>
              <w:right w:val="single" w:sz="4" w:space="0" w:color="auto"/>
            </w:tcBorders>
            <w:shd w:val="clear" w:color="auto" w:fill="auto"/>
            <w:noWrap/>
            <w:vAlign w:val="center"/>
            <w:hideMark/>
          </w:tcPr>
          <w:p w14:paraId="74A97DE8"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255015CF"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0C6168AA"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0FF8F9A8"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5D8E68D6"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3B58CC88"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58AB61BC"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1D14B74"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15487909"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8580438"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4B3BDDB3"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2BCC953B"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6285D305"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42FD57CF"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0C1E76BF"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07BE290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0.50</w:t>
            </w:r>
          </w:p>
        </w:tc>
        <w:tc>
          <w:tcPr>
            <w:tcW w:w="591" w:type="dxa"/>
            <w:tcBorders>
              <w:top w:val="nil"/>
              <w:left w:val="nil"/>
              <w:bottom w:val="single" w:sz="4" w:space="0" w:color="auto"/>
              <w:right w:val="single" w:sz="4" w:space="0" w:color="auto"/>
            </w:tcBorders>
            <w:shd w:val="clear" w:color="auto" w:fill="auto"/>
            <w:noWrap/>
            <w:vAlign w:val="center"/>
            <w:hideMark/>
          </w:tcPr>
          <w:p w14:paraId="25378D8A"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5F3DA4DF"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5AEAF2A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4.94</w:t>
            </w:r>
          </w:p>
        </w:tc>
        <w:tc>
          <w:tcPr>
            <w:tcW w:w="754" w:type="dxa"/>
            <w:tcBorders>
              <w:top w:val="nil"/>
              <w:left w:val="nil"/>
              <w:bottom w:val="single" w:sz="4" w:space="0" w:color="auto"/>
              <w:right w:val="single" w:sz="4" w:space="0" w:color="auto"/>
            </w:tcBorders>
            <w:shd w:val="clear" w:color="auto" w:fill="auto"/>
            <w:noWrap/>
            <w:vAlign w:val="center"/>
            <w:hideMark/>
          </w:tcPr>
          <w:p w14:paraId="026AC862"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55960C6D"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78678D9C"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37B08C9D"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0B0F2F17"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608E46D7"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D409CDE"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2CEC6A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1.06</w:t>
            </w:r>
          </w:p>
        </w:tc>
        <w:tc>
          <w:tcPr>
            <w:tcW w:w="832" w:type="dxa"/>
            <w:tcBorders>
              <w:top w:val="nil"/>
              <w:left w:val="nil"/>
              <w:bottom w:val="single" w:sz="4" w:space="0" w:color="auto"/>
              <w:right w:val="single" w:sz="4" w:space="0" w:color="auto"/>
            </w:tcBorders>
            <w:shd w:val="clear" w:color="auto" w:fill="auto"/>
            <w:noWrap/>
            <w:vAlign w:val="center"/>
            <w:hideMark/>
          </w:tcPr>
          <w:p w14:paraId="11A855AE"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01EBB999"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47E9B213"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52B501EE"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17F981"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North Keppel</w:t>
            </w:r>
          </w:p>
        </w:tc>
        <w:tc>
          <w:tcPr>
            <w:tcW w:w="493" w:type="dxa"/>
            <w:tcBorders>
              <w:top w:val="nil"/>
              <w:left w:val="nil"/>
              <w:bottom w:val="single" w:sz="4" w:space="0" w:color="auto"/>
              <w:right w:val="single" w:sz="4" w:space="0" w:color="auto"/>
            </w:tcBorders>
            <w:shd w:val="clear" w:color="auto" w:fill="auto"/>
            <w:noWrap/>
            <w:vAlign w:val="center"/>
            <w:hideMark/>
          </w:tcPr>
          <w:p w14:paraId="03CB8EE0"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3334E604"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0F68FB9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1.44</w:t>
            </w:r>
          </w:p>
        </w:tc>
        <w:tc>
          <w:tcPr>
            <w:tcW w:w="591" w:type="dxa"/>
            <w:tcBorders>
              <w:top w:val="nil"/>
              <w:left w:val="nil"/>
              <w:bottom w:val="single" w:sz="4" w:space="0" w:color="auto"/>
              <w:right w:val="single" w:sz="4" w:space="0" w:color="auto"/>
            </w:tcBorders>
            <w:shd w:val="clear" w:color="auto" w:fill="auto"/>
            <w:noWrap/>
            <w:vAlign w:val="center"/>
            <w:hideMark/>
          </w:tcPr>
          <w:p w14:paraId="4988F5BF"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26488012"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46660AA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754" w:type="dxa"/>
            <w:tcBorders>
              <w:top w:val="nil"/>
              <w:left w:val="nil"/>
              <w:bottom w:val="single" w:sz="4" w:space="0" w:color="auto"/>
              <w:right w:val="single" w:sz="4" w:space="0" w:color="auto"/>
            </w:tcBorders>
            <w:shd w:val="clear" w:color="auto" w:fill="auto"/>
            <w:noWrap/>
            <w:vAlign w:val="center"/>
            <w:hideMark/>
          </w:tcPr>
          <w:p w14:paraId="53B399E2"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2C235E8D"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63EF0CD4"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64CC1767"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04AAA3F6"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2160CA2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663" w:type="dxa"/>
            <w:tcBorders>
              <w:top w:val="nil"/>
              <w:left w:val="nil"/>
              <w:bottom w:val="single" w:sz="4" w:space="0" w:color="auto"/>
              <w:right w:val="single" w:sz="4" w:space="0" w:color="auto"/>
            </w:tcBorders>
            <w:shd w:val="clear" w:color="auto" w:fill="auto"/>
            <w:noWrap/>
            <w:vAlign w:val="center"/>
            <w:hideMark/>
          </w:tcPr>
          <w:p w14:paraId="19389722"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2B0AC014"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29.00</w:t>
            </w:r>
          </w:p>
        </w:tc>
        <w:tc>
          <w:tcPr>
            <w:tcW w:w="832" w:type="dxa"/>
            <w:tcBorders>
              <w:top w:val="nil"/>
              <w:left w:val="nil"/>
              <w:bottom w:val="single" w:sz="4" w:space="0" w:color="auto"/>
              <w:right w:val="single" w:sz="4" w:space="0" w:color="auto"/>
            </w:tcBorders>
            <w:shd w:val="clear" w:color="auto" w:fill="auto"/>
            <w:noWrap/>
            <w:vAlign w:val="center"/>
            <w:hideMark/>
          </w:tcPr>
          <w:p w14:paraId="5677991B"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539727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r>
      <w:tr w:rsidR="001B5635" w:rsidRPr="00F352E1" w14:paraId="79077247"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6B615120"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0F722ABE"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29DE8714"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58F0CBC0"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28C57B83"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2.31</w:t>
            </w:r>
          </w:p>
        </w:tc>
        <w:tc>
          <w:tcPr>
            <w:tcW w:w="591" w:type="dxa"/>
            <w:tcBorders>
              <w:top w:val="nil"/>
              <w:left w:val="nil"/>
              <w:bottom w:val="single" w:sz="4" w:space="0" w:color="auto"/>
              <w:right w:val="single" w:sz="4" w:space="0" w:color="auto"/>
            </w:tcBorders>
            <w:shd w:val="clear" w:color="auto" w:fill="auto"/>
            <w:noWrap/>
            <w:vAlign w:val="center"/>
            <w:hideMark/>
          </w:tcPr>
          <w:p w14:paraId="3B20269C"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5B75F63A"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5773FAD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754" w:type="dxa"/>
            <w:tcBorders>
              <w:top w:val="nil"/>
              <w:left w:val="nil"/>
              <w:bottom w:val="single" w:sz="4" w:space="0" w:color="auto"/>
              <w:right w:val="single" w:sz="4" w:space="0" w:color="auto"/>
            </w:tcBorders>
            <w:shd w:val="clear" w:color="auto" w:fill="auto"/>
            <w:noWrap/>
            <w:vAlign w:val="center"/>
            <w:hideMark/>
          </w:tcPr>
          <w:p w14:paraId="176A0569"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595E4CAF"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11B0B09E"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4274451C"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018C275B"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8CE7BE9"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2474A025"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29306C42"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20.56</w:t>
            </w:r>
          </w:p>
        </w:tc>
        <w:tc>
          <w:tcPr>
            <w:tcW w:w="832" w:type="dxa"/>
            <w:tcBorders>
              <w:top w:val="nil"/>
              <w:left w:val="nil"/>
              <w:bottom w:val="single" w:sz="4" w:space="0" w:color="auto"/>
              <w:right w:val="single" w:sz="4" w:space="0" w:color="auto"/>
            </w:tcBorders>
            <w:shd w:val="clear" w:color="auto" w:fill="auto"/>
            <w:noWrap/>
            <w:vAlign w:val="center"/>
            <w:hideMark/>
          </w:tcPr>
          <w:p w14:paraId="41B5D806"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782D32EC"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r>
      <w:tr w:rsidR="001B5635" w:rsidRPr="00F352E1" w14:paraId="6CF8F7BB"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2DB81963"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AB2ADBB"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Middle</w:t>
            </w:r>
          </w:p>
        </w:tc>
        <w:tc>
          <w:tcPr>
            <w:tcW w:w="493" w:type="dxa"/>
            <w:tcBorders>
              <w:top w:val="nil"/>
              <w:left w:val="nil"/>
              <w:bottom w:val="single" w:sz="4" w:space="0" w:color="auto"/>
              <w:right w:val="single" w:sz="4" w:space="0" w:color="auto"/>
            </w:tcBorders>
            <w:shd w:val="clear" w:color="auto" w:fill="auto"/>
            <w:noWrap/>
            <w:vAlign w:val="center"/>
            <w:hideMark/>
          </w:tcPr>
          <w:p w14:paraId="03BF8C58"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6677C24A"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1B65852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2.75</w:t>
            </w:r>
          </w:p>
        </w:tc>
        <w:tc>
          <w:tcPr>
            <w:tcW w:w="591" w:type="dxa"/>
            <w:tcBorders>
              <w:top w:val="nil"/>
              <w:left w:val="nil"/>
              <w:bottom w:val="single" w:sz="4" w:space="0" w:color="auto"/>
              <w:right w:val="single" w:sz="4" w:space="0" w:color="auto"/>
            </w:tcBorders>
            <w:shd w:val="clear" w:color="auto" w:fill="auto"/>
            <w:noWrap/>
            <w:vAlign w:val="center"/>
            <w:hideMark/>
          </w:tcPr>
          <w:p w14:paraId="20B2BF3B"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045EF089"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493E70C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1.38</w:t>
            </w:r>
          </w:p>
        </w:tc>
        <w:tc>
          <w:tcPr>
            <w:tcW w:w="754" w:type="dxa"/>
            <w:tcBorders>
              <w:top w:val="nil"/>
              <w:left w:val="nil"/>
              <w:bottom w:val="single" w:sz="4" w:space="0" w:color="auto"/>
              <w:right w:val="single" w:sz="4" w:space="0" w:color="auto"/>
            </w:tcBorders>
            <w:shd w:val="clear" w:color="auto" w:fill="auto"/>
            <w:noWrap/>
            <w:vAlign w:val="center"/>
            <w:hideMark/>
          </w:tcPr>
          <w:p w14:paraId="7B79D7FC"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0C5FE040"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552ABAE9"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6351574E"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28F434C"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0D158D09"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0ED03E41"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65F10EF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28.27</w:t>
            </w:r>
          </w:p>
        </w:tc>
        <w:tc>
          <w:tcPr>
            <w:tcW w:w="832" w:type="dxa"/>
            <w:tcBorders>
              <w:top w:val="nil"/>
              <w:left w:val="nil"/>
              <w:bottom w:val="single" w:sz="4" w:space="0" w:color="auto"/>
              <w:right w:val="single" w:sz="4" w:space="0" w:color="auto"/>
            </w:tcBorders>
            <w:shd w:val="clear" w:color="auto" w:fill="auto"/>
            <w:noWrap/>
            <w:vAlign w:val="center"/>
            <w:hideMark/>
          </w:tcPr>
          <w:p w14:paraId="6BD8F5C5"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5.00</w:t>
            </w:r>
          </w:p>
        </w:tc>
        <w:tc>
          <w:tcPr>
            <w:tcW w:w="663" w:type="dxa"/>
            <w:tcBorders>
              <w:top w:val="nil"/>
              <w:left w:val="nil"/>
              <w:bottom w:val="single" w:sz="4" w:space="0" w:color="auto"/>
              <w:right w:val="single" w:sz="4" w:space="0" w:color="auto"/>
            </w:tcBorders>
            <w:shd w:val="clear" w:color="auto" w:fill="auto"/>
            <w:noWrap/>
            <w:vAlign w:val="center"/>
            <w:hideMark/>
          </w:tcPr>
          <w:p w14:paraId="7D597C0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0.38</w:t>
            </w:r>
          </w:p>
        </w:tc>
      </w:tr>
      <w:tr w:rsidR="001B5635" w:rsidRPr="00F352E1" w14:paraId="76C0CB71"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2644A843"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32F7D866"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69359486"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478FBFDB"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0C012F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4.00</w:t>
            </w:r>
          </w:p>
        </w:tc>
        <w:tc>
          <w:tcPr>
            <w:tcW w:w="591" w:type="dxa"/>
            <w:tcBorders>
              <w:top w:val="nil"/>
              <w:left w:val="nil"/>
              <w:bottom w:val="single" w:sz="4" w:space="0" w:color="auto"/>
              <w:right w:val="single" w:sz="4" w:space="0" w:color="auto"/>
            </w:tcBorders>
            <w:shd w:val="clear" w:color="auto" w:fill="auto"/>
            <w:noWrap/>
            <w:vAlign w:val="center"/>
            <w:hideMark/>
          </w:tcPr>
          <w:p w14:paraId="13A488D7"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2A22645E"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04712FD6"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4.26</w:t>
            </w:r>
          </w:p>
        </w:tc>
        <w:tc>
          <w:tcPr>
            <w:tcW w:w="754" w:type="dxa"/>
            <w:tcBorders>
              <w:top w:val="nil"/>
              <w:left w:val="nil"/>
              <w:bottom w:val="single" w:sz="4" w:space="0" w:color="auto"/>
              <w:right w:val="single" w:sz="4" w:space="0" w:color="auto"/>
            </w:tcBorders>
            <w:shd w:val="clear" w:color="auto" w:fill="auto"/>
            <w:noWrap/>
            <w:vAlign w:val="center"/>
            <w:hideMark/>
          </w:tcPr>
          <w:p w14:paraId="0544D560"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3CBA72EE"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57D7F0FF"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12454CFE"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07A76466"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832" w:type="dxa"/>
            <w:tcBorders>
              <w:top w:val="nil"/>
              <w:left w:val="nil"/>
              <w:bottom w:val="single" w:sz="4" w:space="0" w:color="auto"/>
              <w:right w:val="single" w:sz="4" w:space="0" w:color="auto"/>
            </w:tcBorders>
            <w:shd w:val="clear" w:color="auto" w:fill="auto"/>
            <w:noWrap/>
            <w:vAlign w:val="center"/>
            <w:hideMark/>
          </w:tcPr>
          <w:p w14:paraId="3BC3526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0.50</w:t>
            </w:r>
          </w:p>
        </w:tc>
        <w:tc>
          <w:tcPr>
            <w:tcW w:w="663" w:type="dxa"/>
            <w:tcBorders>
              <w:top w:val="nil"/>
              <w:left w:val="nil"/>
              <w:bottom w:val="single" w:sz="4" w:space="0" w:color="auto"/>
              <w:right w:val="single" w:sz="4" w:space="0" w:color="auto"/>
            </w:tcBorders>
            <w:shd w:val="clear" w:color="auto" w:fill="auto"/>
            <w:noWrap/>
            <w:vAlign w:val="center"/>
            <w:hideMark/>
          </w:tcPr>
          <w:p w14:paraId="4F3D1FD8"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76FB86E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22.02</w:t>
            </w:r>
          </w:p>
        </w:tc>
        <w:tc>
          <w:tcPr>
            <w:tcW w:w="832" w:type="dxa"/>
            <w:tcBorders>
              <w:top w:val="nil"/>
              <w:left w:val="nil"/>
              <w:bottom w:val="single" w:sz="4" w:space="0" w:color="auto"/>
              <w:right w:val="single" w:sz="4" w:space="0" w:color="auto"/>
            </w:tcBorders>
            <w:shd w:val="clear" w:color="auto" w:fill="auto"/>
            <w:noWrap/>
            <w:vAlign w:val="center"/>
            <w:hideMark/>
          </w:tcPr>
          <w:p w14:paraId="2A73E354"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3.25</w:t>
            </w:r>
          </w:p>
        </w:tc>
        <w:tc>
          <w:tcPr>
            <w:tcW w:w="663" w:type="dxa"/>
            <w:tcBorders>
              <w:top w:val="nil"/>
              <w:left w:val="nil"/>
              <w:bottom w:val="single" w:sz="4" w:space="0" w:color="auto"/>
              <w:right w:val="single" w:sz="4" w:space="0" w:color="auto"/>
            </w:tcBorders>
            <w:shd w:val="clear" w:color="auto" w:fill="auto"/>
            <w:noWrap/>
            <w:vAlign w:val="center"/>
            <w:hideMark/>
          </w:tcPr>
          <w:p w14:paraId="3AE4CE0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1.00</w:t>
            </w:r>
          </w:p>
        </w:tc>
      </w:tr>
      <w:tr w:rsidR="001B5635" w:rsidRPr="00F352E1" w14:paraId="098F15FE"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5D499347"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A3F3EA"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Keppels South</w:t>
            </w:r>
          </w:p>
        </w:tc>
        <w:tc>
          <w:tcPr>
            <w:tcW w:w="493" w:type="dxa"/>
            <w:tcBorders>
              <w:top w:val="nil"/>
              <w:left w:val="nil"/>
              <w:bottom w:val="single" w:sz="4" w:space="0" w:color="auto"/>
              <w:right w:val="single" w:sz="4" w:space="0" w:color="auto"/>
            </w:tcBorders>
            <w:shd w:val="clear" w:color="auto" w:fill="auto"/>
            <w:noWrap/>
            <w:vAlign w:val="center"/>
            <w:hideMark/>
          </w:tcPr>
          <w:p w14:paraId="2ED15224"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2F490BC4"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20552C2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5.19</w:t>
            </w:r>
          </w:p>
        </w:tc>
        <w:tc>
          <w:tcPr>
            <w:tcW w:w="591" w:type="dxa"/>
            <w:tcBorders>
              <w:top w:val="nil"/>
              <w:left w:val="nil"/>
              <w:bottom w:val="single" w:sz="4" w:space="0" w:color="auto"/>
              <w:right w:val="single" w:sz="4" w:space="0" w:color="auto"/>
            </w:tcBorders>
            <w:shd w:val="clear" w:color="auto" w:fill="auto"/>
            <w:noWrap/>
            <w:vAlign w:val="center"/>
            <w:hideMark/>
          </w:tcPr>
          <w:p w14:paraId="7E8AC43A"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2C96E7E6"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344B1BB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0.75</w:t>
            </w:r>
          </w:p>
        </w:tc>
        <w:tc>
          <w:tcPr>
            <w:tcW w:w="754" w:type="dxa"/>
            <w:tcBorders>
              <w:top w:val="nil"/>
              <w:left w:val="nil"/>
              <w:bottom w:val="single" w:sz="4" w:space="0" w:color="auto"/>
              <w:right w:val="single" w:sz="4" w:space="0" w:color="auto"/>
            </w:tcBorders>
            <w:shd w:val="clear" w:color="auto" w:fill="auto"/>
            <w:noWrap/>
            <w:vAlign w:val="center"/>
            <w:hideMark/>
          </w:tcPr>
          <w:p w14:paraId="407378C0"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28EC30D9"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081AB92C"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043E7347"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6AD9174C"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255FBAC4"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0.25</w:t>
            </w:r>
          </w:p>
        </w:tc>
        <w:tc>
          <w:tcPr>
            <w:tcW w:w="663" w:type="dxa"/>
            <w:tcBorders>
              <w:top w:val="nil"/>
              <w:left w:val="nil"/>
              <w:bottom w:val="single" w:sz="4" w:space="0" w:color="auto"/>
              <w:right w:val="single" w:sz="4" w:space="0" w:color="auto"/>
            </w:tcBorders>
            <w:shd w:val="clear" w:color="auto" w:fill="auto"/>
            <w:noWrap/>
            <w:vAlign w:val="center"/>
            <w:hideMark/>
          </w:tcPr>
          <w:p w14:paraId="648CCA4A"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083977F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14.63</w:t>
            </w:r>
          </w:p>
        </w:tc>
        <w:tc>
          <w:tcPr>
            <w:tcW w:w="832" w:type="dxa"/>
            <w:tcBorders>
              <w:top w:val="nil"/>
              <w:left w:val="nil"/>
              <w:bottom w:val="single" w:sz="4" w:space="0" w:color="auto"/>
              <w:right w:val="single" w:sz="4" w:space="0" w:color="auto"/>
            </w:tcBorders>
            <w:shd w:val="clear" w:color="auto" w:fill="auto"/>
            <w:noWrap/>
            <w:vAlign w:val="center"/>
            <w:hideMark/>
          </w:tcPr>
          <w:p w14:paraId="1FBBF49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663" w:type="dxa"/>
            <w:tcBorders>
              <w:top w:val="nil"/>
              <w:left w:val="nil"/>
              <w:bottom w:val="single" w:sz="4" w:space="0" w:color="auto"/>
              <w:right w:val="single" w:sz="4" w:space="0" w:color="auto"/>
            </w:tcBorders>
            <w:shd w:val="clear" w:color="auto" w:fill="auto"/>
            <w:noWrap/>
            <w:vAlign w:val="center"/>
            <w:hideMark/>
          </w:tcPr>
          <w:p w14:paraId="08A3A8C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r>
      <w:tr w:rsidR="001B5635" w:rsidRPr="00F352E1" w14:paraId="067D5992"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514B6520"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54734AC6"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66087913"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6E19C45D"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6D8F044A"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2.69</w:t>
            </w:r>
          </w:p>
        </w:tc>
        <w:tc>
          <w:tcPr>
            <w:tcW w:w="591" w:type="dxa"/>
            <w:tcBorders>
              <w:top w:val="nil"/>
              <w:left w:val="nil"/>
              <w:bottom w:val="single" w:sz="4" w:space="0" w:color="auto"/>
              <w:right w:val="single" w:sz="4" w:space="0" w:color="auto"/>
            </w:tcBorders>
            <w:shd w:val="clear" w:color="auto" w:fill="auto"/>
            <w:noWrap/>
            <w:vAlign w:val="center"/>
            <w:hideMark/>
          </w:tcPr>
          <w:p w14:paraId="22A4894A"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1D339FD8"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6087F1A4"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0.25</w:t>
            </w:r>
          </w:p>
        </w:tc>
        <w:tc>
          <w:tcPr>
            <w:tcW w:w="754" w:type="dxa"/>
            <w:tcBorders>
              <w:top w:val="nil"/>
              <w:left w:val="nil"/>
              <w:bottom w:val="single" w:sz="4" w:space="0" w:color="auto"/>
              <w:right w:val="single" w:sz="4" w:space="0" w:color="auto"/>
            </w:tcBorders>
            <w:shd w:val="clear" w:color="auto" w:fill="auto"/>
            <w:noWrap/>
            <w:vAlign w:val="center"/>
            <w:hideMark/>
          </w:tcPr>
          <w:p w14:paraId="5A4E080E"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7E97D501"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21D371FD"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47C8BCAB"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7AFACA14"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022758E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663" w:type="dxa"/>
            <w:tcBorders>
              <w:top w:val="nil"/>
              <w:left w:val="nil"/>
              <w:bottom w:val="single" w:sz="4" w:space="0" w:color="auto"/>
              <w:right w:val="single" w:sz="4" w:space="0" w:color="auto"/>
            </w:tcBorders>
            <w:shd w:val="clear" w:color="auto" w:fill="auto"/>
            <w:noWrap/>
            <w:vAlign w:val="center"/>
            <w:hideMark/>
          </w:tcPr>
          <w:p w14:paraId="3A8B5916"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0EE5646F"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13.38</w:t>
            </w:r>
          </w:p>
        </w:tc>
        <w:tc>
          <w:tcPr>
            <w:tcW w:w="832" w:type="dxa"/>
            <w:tcBorders>
              <w:top w:val="nil"/>
              <w:left w:val="nil"/>
              <w:bottom w:val="single" w:sz="4" w:space="0" w:color="auto"/>
              <w:right w:val="single" w:sz="4" w:space="0" w:color="auto"/>
            </w:tcBorders>
            <w:shd w:val="clear" w:color="auto" w:fill="auto"/>
            <w:noWrap/>
            <w:vAlign w:val="center"/>
            <w:hideMark/>
          </w:tcPr>
          <w:p w14:paraId="114AACBA"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78D10A19" w14:textId="77777777" w:rsidR="001B5635" w:rsidRPr="001B5635" w:rsidRDefault="001B5635" w:rsidP="001B5635">
            <w:pPr>
              <w:spacing w:after="0"/>
              <w:jc w:val="center"/>
              <w:rPr>
                <w:rFonts w:ascii="Arial Narrow" w:hAnsi="Arial Narrow"/>
                <w:sz w:val="18"/>
                <w:szCs w:val="18"/>
                <w:lang w:val="en-AU" w:eastAsia="en-AU"/>
              </w:rPr>
            </w:pPr>
          </w:p>
        </w:tc>
      </w:tr>
      <w:tr w:rsidR="001B5635" w:rsidRPr="00F352E1" w14:paraId="65F7880F"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11E1EC84"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3B3974"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Pelican</w:t>
            </w:r>
          </w:p>
        </w:tc>
        <w:tc>
          <w:tcPr>
            <w:tcW w:w="493" w:type="dxa"/>
            <w:tcBorders>
              <w:top w:val="nil"/>
              <w:left w:val="nil"/>
              <w:bottom w:val="single" w:sz="4" w:space="0" w:color="auto"/>
              <w:right w:val="single" w:sz="4" w:space="0" w:color="auto"/>
            </w:tcBorders>
            <w:shd w:val="clear" w:color="auto" w:fill="auto"/>
            <w:noWrap/>
            <w:vAlign w:val="center"/>
            <w:hideMark/>
          </w:tcPr>
          <w:p w14:paraId="3217E524"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59BE734A"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7A59B63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0.25</w:t>
            </w:r>
          </w:p>
        </w:tc>
        <w:tc>
          <w:tcPr>
            <w:tcW w:w="591" w:type="dxa"/>
            <w:tcBorders>
              <w:top w:val="nil"/>
              <w:left w:val="nil"/>
              <w:bottom w:val="single" w:sz="4" w:space="0" w:color="auto"/>
              <w:right w:val="single" w:sz="4" w:space="0" w:color="auto"/>
            </w:tcBorders>
            <w:shd w:val="clear" w:color="auto" w:fill="auto"/>
            <w:noWrap/>
            <w:vAlign w:val="center"/>
            <w:hideMark/>
          </w:tcPr>
          <w:p w14:paraId="5EB0887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3.13</w:t>
            </w:r>
          </w:p>
        </w:tc>
        <w:tc>
          <w:tcPr>
            <w:tcW w:w="591" w:type="dxa"/>
            <w:tcBorders>
              <w:top w:val="nil"/>
              <w:left w:val="nil"/>
              <w:bottom w:val="single" w:sz="4" w:space="0" w:color="auto"/>
              <w:right w:val="single" w:sz="4" w:space="0" w:color="auto"/>
            </w:tcBorders>
            <w:shd w:val="clear" w:color="auto" w:fill="auto"/>
            <w:noWrap/>
            <w:vAlign w:val="center"/>
            <w:hideMark/>
          </w:tcPr>
          <w:p w14:paraId="35701C77"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2900D5E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11.75</w:t>
            </w:r>
          </w:p>
        </w:tc>
        <w:tc>
          <w:tcPr>
            <w:tcW w:w="754" w:type="dxa"/>
            <w:tcBorders>
              <w:top w:val="nil"/>
              <w:left w:val="nil"/>
              <w:bottom w:val="single" w:sz="4" w:space="0" w:color="auto"/>
              <w:right w:val="single" w:sz="4" w:space="0" w:color="auto"/>
            </w:tcBorders>
            <w:shd w:val="clear" w:color="auto" w:fill="auto"/>
            <w:noWrap/>
            <w:vAlign w:val="center"/>
            <w:hideMark/>
          </w:tcPr>
          <w:p w14:paraId="201ABC23"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3CB04D8D"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529BF4F6"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504" w:type="dxa"/>
            <w:tcBorders>
              <w:top w:val="nil"/>
              <w:left w:val="nil"/>
              <w:bottom w:val="single" w:sz="4" w:space="0" w:color="auto"/>
              <w:right w:val="single" w:sz="4" w:space="0" w:color="auto"/>
            </w:tcBorders>
            <w:shd w:val="clear" w:color="auto" w:fill="auto"/>
            <w:noWrap/>
            <w:vAlign w:val="center"/>
            <w:hideMark/>
          </w:tcPr>
          <w:p w14:paraId="441159EF"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0.56</w:t>
            </w:r>
          </w:p>
        </w:tc>
        <w:tc>
          <w:tcPr>
            <w:tcW w:w="663" w:type="dxa"/>
            <w:tcBorders>
              <w:top w:val="nil"/>
              <w:left w:val="nil"/>
              <w:bottom w:val="single" w:sz="4" w:space="0" w:color="auto"/>
              <w:right w:val="single" w:sz="4" w:space="0" w:color="auto"/>
            </w:tcBorders>
            <w:shd w:val="clear" w:color="auto" w:fill="auto"/>
            <w:noWrap/>
            <w:vAlign w:val="center"/>
            <w:hideMark/>
          </w:tcPr>
          <w:p w14:paraId="68B3F41F"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832" w:type="dxa"/>
            <w:tcBorders>
              <w:top w:val="nil"/>
              <w:left w:val="nil"/>
              <w:bottom w:val="single" w:sz="4" w:space="0" w:color="auto"/>
              <w:right w:val="single" w:sz="4" w:space="0" w:color="auto"/>
            </w:tcBorders>
            <w:shd w:val="clear" w:color="auto" w:fill="auto"/>
            <w:noWrap/>
            <w:vAlign w:val="center"/>
            <w:hideMark/>
          </w:tcPr>
          <w:p w14:paraId="5AA9425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6.13</w:t>
            </w:r>
          </w:p>
        </w:tc>
        <w:tc>
          <w:tcPr>
            <w:tcW w:w="663" w:type="dxa"/>
            <w:tcBorders>
              <w:top w:val="nil"/>
              <w:left w:val="nil"/>
              <w:bottom w:val="single" w:sz="4" w:space="0" w:color="auto"/>
              <w:right w:val="single" w:sz="4" w:space="0" w:color="auto"/>
            </w:tcBorders>
            <w:shd w:val="clear" w:color="auto" w:fill="auto"/>
            <w:noWrap/>
            <w:vAlign w:val="center"/>
            <w:hideMark/>
          </w:tcPr>
          <w:p w14:paraId="2A63183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1.00</w:t>
            </w:r>
          </w:p>
        </w:tc>
        <w:tc>
          <w:tcPr>
            <w:tcW w:w="832" w:type="dxa"/>
            <w:tcBorders>
              <w:top w:val="nil"/>
              <w:left w:val="nil"/>
              <w:bottom w:val="single" w:sz="4" w:space="0" w:color="auto"/>
              <w:right w:val="single" w:sz="4" w:space="0" w:color="auto"/>
            </w:tcBorders>
            <w:shd w:val="clear" w:color="auto" w:fill="auto"/>
            <w:noWrap/>
            <w:vAlign w:val="center"/>
            <w:hideMark/>
          </w:tcPr>
          <w:p w14:paraId="36A3CAB2"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9.25</w:t>
            </w:r>
          </w:p>
        </w:tc>
        <w:tc>
          <w:tcPr>
            <w:tcW w:w="832" w:type="dxa"/>
            <w:tcBorders>
              <w:top w:val="nil"/>
              <w:left w:val="nil"/>
              <w:bottom w:val="single" w:sz="4" w:space="0" w:color="auto"/>
              <w:right w:val="single" w:sz="4" w:space="0" w:color="auto"/>
            </w:tcBorders>
            <w:shd w:val="clear" w:color="auto" w:fill="auto"/>
            <w:noWrap/>
            <w:vAlign w:val="center"/>
            <w:hideMark/>
          </w:tcPr>
          <w:p w14:paraId="44A3DFA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40.88</w:t>
            </w:r>
          </w:p>
        </w:tc>
        <w:tc>
          <w:tcPr>
            <w:tcW w:w="663" w:type="dxa"/>
            <w:tcBorders>
              <w:top w:val="nil"/>
              <w:left w:val="nil"/>
              <w:bottom w:val="single" w:sz="4" w:space="0" w:color="auto"/>
              <w:right w:val="single" w:sz="4" w:space="0" w:color="auto"/>
            </w:tcBorders>
            <w:shd w:val="clear" w:color="auto" w:fill="auto"/>
            <w:noWrap/>
            <w:vAlign w:val="center"/>
            <w:hideMark/>
          </w:tcPr>
          <w:p w14:paraId="5DC83DC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3.69</w:t>
            </w:r>
          </w:p>
        </w:tc>
      </w:tr>
      <w:tr w:rsidR="001B5635" w:rsidRPr="00F352E1" w14:paraId="10F6FD32"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642B9631"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772DC178"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31641979"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6831FA9D"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60685A0F"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0.31</w:t>
            </w:r>
          </w:p>
        </w:tc>
        <w:tc>
          <w:tcPr>
            <w:tcW w:w="591" w:type="dxa"/>
            <w:tcBorders>
              <w:top w:val="nil"/>
              <w:left w:val="nil"/>
              <w:bottom w:val="single" w:sz="4" w:space="0" w:color="auto"/>
              <w:right w:val="single" w:sz="4" w:space="0" w:color="auto"/>
            </w:tcBorders>
            <w:shd w:val="clear" w:color="auto" w:fill="auto"/>
            <w:noWrap/>
            <w:vAlign w:val="center"/>
            <w:hideMark/>
          </w:tcPr>
          <w:p w14:paraId="1E53E96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0.81</w:t>
            </w:r>
          </w:p>
        </w:tc>
        <w:tc>
          <w:tcPr>
            <w:tcW w:w="591" w:type="dxa"/>
            <w:tcBorders>
              <w:top w:val="nil"/>
              <w:left w:val="nil"/>
              <w:bottom w:val="single" w:sz="4" w:space="0" w:color="auto"/>
              <w:right w:val="single" w:sz="4" w:space="0" w:color="auto"/>
            </w:tcBorders>
            <w:shd w:val="clear" w:color="auto" w:fill="auto"/>
            <w:noWrap/>
            <w:vAlign w:val="center"/>
            <w:hideMark/>
          </w:tcPr>
          <w:p w14:paraId="142E3392"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4B7D1406"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5.38</w:t>
            </w:r>
          </w:p>
        </w:tc>
        <w:tc>
          <w:tcPr>
            <w:tcW w:w="754" w:type="dxa"/>
            <w:tcBorders>
              <w:top w:val="nil"/>
              <w:left w:val="nil"/>
              <w:bottom w:val="single" w:sz="4" w:space="0" w:color="auto"/>
              <w:right w:val="single" w:sz="4" w:space="0" w:color="auto"/>
            </w:tcBorders>
            <w:shd w:val="clear" w:color="auto" w:fill="auto"/>
            <w:noWrap/>
            <w:vAlign w:val="center"/>
            <w:hideMark/>
          </w:tcPr>
          <w:p w14:paraId="1875F58F"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005A3E74" w14:textId="77777777" w:rsidR="001B5635" w:rsidRPr="001B5635" w:rsidRDefault="001B5635" w:rsidP="001B5635">
            <w:pPr>
              <w:spacing w:after="0"/>
              <w:jc w:val="center"/>
              <w:rPr>
                <w:rFonts w:ascii="Arial Narrow" w:hAnsi="Arial Narrow"/>
                <w:sz w:val="18"/>
                <w:szCs w:val="18"/>
                <w:lang w:val="en-AU" w:eastAsia="en-AU"/>
              </w:rPr>
            </w:pPr>
          </w:p>
        </w:tc>
        <w:tc>
          <w:tcPr>
            <w:tcW w:w="844" w:type="dxa"/>
            <w:tcBorders>
              <w:top w:val="nil"/>
              <w:left w:val="nil"/>
              <w:bottom w:val="single" w:sz="4" w:space="0" w:color="auto"/>
              <w:right w:val="single" w:sz="4" w:space="0" w:color="auto"/>
            </w:tcBorders>
            <w:shd w:val="clear" w:color="auto" w:fill="auto"/>
            <w:noWrap/>
            <w:vAlign w:val="center"/>
            <w:hideMark/>
          </w:tcPr>
          <w:p w14:paraId="211A90E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504" w:type="dxa"/>
            <w:tcBorders>
              <w:top w:val="nil"/>
              <w:left w:val="nil"/>
              <w:bottom w:val="single" w:sz="4" w:space="0" w:color="auto"/>
              <w:right w:val="single" w:sz="4" w:space="0" w:color="auto"/>
            </w:tcBorders>
            <w:shd w:val="clear" w:color="auto" w:fill="auto"/>
            <w:noWrap/>
            <w:vAlign w:val="center"/>
            <w:hideMark/>
          </w:tcPr>
          <w:p w14:paraId="1335C092"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102949F4"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c>
          <w:tcPr>
            <w:tcW w:w="832" w:type="dxa"/>
            <w:tcBorders>
              <w:top w:val="nil"/>
              <w:left w:val="nil"/>
              <w:bottom w:val="single" w:sz="4" w:space="0" w:color="auto"/>
              <w:right w:val="single" w:sz="4" w:space="0" w:color="auto"/>
            </w:tcBorders>
            <w:shd w:val="clear" w:color="auto" w:fill="auto"/>
            <w:noWrap/>
            <w:vAlign w:val="center"/>
            <w:hideMark/>
          </w:tcPr>
          <w:p w14:paraId="1B06CFD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3.06</w:t>
            </w:r>
          </w:p>
        </w:tc>
        <w:tc>
          <w:tcPr>
            <w:tcW w:w="663" w:type="dxa"/>
            <w:tcBorders>
              <w:top w:val="nil"/>
              <w:left w:val="nil"/>
              <w:bottom w:val="single" w:sz="4" w:space="0" w:color="auto"/>
              <w:right w:val="single" w:sz="4" w:space="0" w:color="auto"/>
            </w:tcBorders>
            <w:shd w:val="clear" w:color="auto" w:fill="auto"/>
            <w:noWrap/>
            <w:vAlign w:val="center"/>
            <w:hideMark/>
          </w:tcPr>
          <w:p w14:paraId="6F6109E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832" w:type="dxa"/>
            <w:tcBorders>
              <w:top w:val="nil"/>
              <w:left w:val="nil"/>
              <w:bottom w:val="single" w:sz="4" w:space="0" w:color="auto"/>
              <w:right w:val="single" w:sz="4" w:space="0" w:color="auto"/>
            </w:tcBorders>
            <w:shd w:val="clear" w:color="auto" w:fill="auto"/>
            <w:noWrap/>
            <w:vAlign w:val="center"/>
            <w:hideMark/>
          </w:tcPr>
          <w:p w14:paraId="78C6D596"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11.63</w:t>
            </w:r>
          </w:p>
        </w:tc>
        <w:tc>
          <w:tcPr>
            <w:tcW w:w="832" w:type="dxa"/>
            <w:tcBorders>
              <w:top w:val="nil"/>
              <w:left w:val="nil"/>
              <w:bottom w:val="single" w:sz="4" w:space="0" w:color="auto"/>
              <w:right w:val="single" w:sz="4" w:space="0" w:color="auto"/>
            </w:tcBorders>
            <w:shd w:val="clear" w:color="auto" w:fill="auto"/>
            <w:noWrap/>
            <w:vAlign w:val="center"/>
            <w:hideMark/>
          </w:tcPr>
          <w:p w14:paraId="7EFCCB82"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3.31</w:t>
            </w:r>
          </w:p>
        </w:tc>
        <w:tc>
          <w:tcPr>
            <w:tcW w:w="663" w:type="dxa"/>
            <w:tcBorders>
              <w:top w:val="nil"/>
              <w:left w:val="nil"/>
              <w:bottom w:val="single" w:sz="4" w:space="0" w:color="auto"/>
              <w:right w:val="single" w:sz="4" w:space="0" w:color="auto"/>
            </w:tcBorders>
            <w:shd w:val="clear" w:color="auto" w:fill="auto"/>
            <w:noWrap/>
            <w:vAlign w:val="center"/>
            <w:hideMark/>
          </w:tcPr>
          <w:p w14:paraId="4318295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3.06</w:t>
            </w:r>
          </w:p>
        </w:tc>
      </w:tr>
      <w:tr w:rsidR="001B5635" w:rsidRPr="00F352E1" w14:paraId="3D1BD635"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6E5C340A" w14:textId="77777777" w:rsidR="001B5635" w:rsidRPr="001B5635" w:rsidRDefault="001B5635" w:rsidP="001B5635">
            <w:pPr>
              <w:spacing w:after="0"/>
              <w:jc w:val="left"/>
              <w:rPr>
                <w:rFonts w:ascii="Arial Narrow" w:hAnsi="Arial Narrow"/>
                <w:sz w:val="20"/>
                <w:lang w:val="en-AU" w:eastAsia="en-AU"/>
              </w:rPr>
            </w:pPr>
          </w:p>
        </w:tc>
        <w:tc>
          <w:tcPr>
            <w:tcW w:w="17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2454B68"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Peak</w:t>
            </w:r>
          </w:p>
        </w:tc>
        <w:tc>
          <w:tcPr>
            <w:tcW w:w="493" w:type="dxa"/>
            <w:tcBorders>
              <w:top w:val="nil"/>
              <w:left w:val="nil"/>
              <w:bottom w:val="single" w:sz="4" w:space="0" w:color="auto"/>
              <w:right w:val="single" w:sz="4" w:space="0" w:color="auto"/>
            </w:tcBorders>
            <w:shd w:val="clear" w:color="auto" w:fill="auto"/>
            <w:noWrap/>
            <w:vAlign w:val="center"/>
            <w:hideMark/>
          </w:tcPr>
          <w:p w14:paraId="176AC4A7"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2</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7606F569"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0401A693"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2.00</w:t>
            </w:r>
          </w:p>
        </w:tc>
        <w:tc>
          <w:tcPr>
            <w:tcW w:w="591" w:type="dxa"/>
            <w:tcBorders>
              <w:top w:val="nil"/>
              <w:left w:val="nil"/>
              <w:bottom w:val="single" w:sz="4" w:space="0" w:color="auto"/>
              <w:right w:val="single" w:sz="4" w:space="0" w:color="auto"/>
            </w:tcBorders>
            <w:shd w:val="clear" w:color="auto" w:fill="auto"/>
            <w:noWrap/>
            <w:vAlign w:val="center"/>
            <w:hideMark/>
          </w:tcPr>
          <w:p w14:paraId="4E5FF865"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1.00</w:t>
            </w:r>
          </w:p>
        </w:tc>
        <w:tc>
          <w:tcPr>
            <w:tcW w:w="591" w:type="dxa"/>
            <w:tcBorders>
              <w:top w:val="nil"/>
              <w:left w:val="nil"/>
              <w:bottom w:val="single" w:sz="4" w:space="0" w:color="auto"/>
              <w:right w:val="single" w:sz="4" w:space="0" w:color="auto"/>
            </w:tcBorders>
            <w:shd w:val="clear" w:color="auto" w:fill="auto"/>
            <w:noWrap/>
            <w:vAlign w:val="center"/>
            <w:hideMark/>
          </w:tcPr>
          <w:p w14:paraId="52C90DDC"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744" w:type="dxa"/>
            <w:tcBorders>
              <w:top w:val="nil"/>
              <w:left w:val="nil"/>
              <w:bottom w:val="single" w:sz="4" w:space="0" w:color="auto"/>
              <w:right w:val="single" w:sz="4" w:space="0" w:color="auto"/>
            </w:tcBorders>
            <w:shd w:val="clear" w:color="auto" w:fill="auto"/>
            <w:noWrap/>
            <w:vAlign w:val="center"/>
            <w:hideMark/>
          </w:tcPr>
          <w:p w14:paraId="0625A298"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16.38</w:t>
            </w:r>
          </w:p>
        </w:tc>
        <w:tc>
          <w:tcPr>
            <w:tcW w:w="754" w:type="dxa"/>
            <w:tcBorders>
              <w:top w:val="nil"/>
              <w:left w:val="nil"/>
              <w:bottom w:val="single" w:sz="4" w:space="0" w:color="auto"/>
              <w:right w:val="single" w:sz="4" w:space="0" w:color="auto"/>
            </w:tcBorders>
            <w:shd w:val="clear" w:color="auto" w:fill="auto"/>
            <w:noWrap/>
            <w:vAlign w:val="center"/>
            <w:hideMark/>
          </w:tcPr>
          <w:p w14:paraId="6CDB4362"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32B50036"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1.44</w:t>
            </w:r>
          </w:p>
        </w:tc>
        <w:tc>
          <w:tcPr>
            <w:tcW w:w="844" w:type="dxa"/>
            <w:tcBorders>
              <w:top w:val="nil"/>
              <w:left w:val="nil"/>
              <w:bottom w:val="single" w:sz="4" w:space="0" w:color="auto"/>
              <w:right w:val="single" w:sz="4" w:space="0" w:color="auto"/>
            </w:tcBorders>
            <w:shd w:val="clear" w:color="auto" w:fill="auto"/>
            <w:noWrap/>
            <w:vAlign w:val="center"/>
            <w:hideMark/>
          </w:tcPr>
          <w:p w14:paraId="64D5E9F6"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7D7D741B"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50DC25AC"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289E06AF"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663" w:type="dxa"/>
            <w:tcBorders>
              <w:top w:val="nil"/>
              <w:left w:val="nil"/>
              <w:bottom w:val="single" w:sz="4" w:space="0" w:color="auto"/>
              <w:right w:val="single" w:sz="4" w:space="0" w:color="auto"/>
            </w:tcBorders>
            <w:shd w:val="clear" w:color="auto" w:fill="auto"/>
            <w:noWrap/>
            <w:vAlign w:val="center"/>
            <w:hideMark/>
          </w:tcPr>
          <w:p w14:paraId="51734130"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4D98B191"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2.31</w:t>
            </w:r>
          </w:p>
        </w:tc>
        <w:tc>
          <w:tcPr>
            <w:tcW w:w="832" w:type="dxa"/>
            <w:tcBorders>
              <w:top w:val="nil"/>
              <w:left w:val="nil"/>
              <w:bottom w:val="single" w:sz="4" w:space="0" w:color="auto"/>
              <w:right w:val="single" w:sz="4" w:space="0" w:color="auto"/>
            </w:tcBorders>
            <w:shd w:val="clear" w:color="auto" w:fill="auto"/>
            <w:noWrap/>
            <w:vAlign w:val="center"/>
            <w:hideMark/>
          </w:tcPr>
          <w:p w14:paraId="75E0ED6D"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7.38</w:t>
            </w:r>
          </w:p>
        </w:tc>
        <w:tc>
          <w:tcPr>
            <w:tcW w:w="663" w:type="dxa"/>
            <w:tcBorders>
              <w:top w:val="nil"/>
              <w:left w:val="nil"/>
              <w:bottom w:val="single" w:sz="4" w:space="0" w:color="auto"/>
              <w:right w:val="single" w:sz="4" w:space="0" w:color="auto"/>
            </w:tcBorders>
            <w:shd w:val="clear" w:color="auto" w:fill="auto"/>
            <w:noWrap/>
            <w:vAlign w:val="center"/>
            <w:hideMark/>
          </w:tcPr>
          <w:p w14:paraId="51016210"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2.75</w:t>
            </w:r>
          </w:p>
        </w:tc>
      </w:tr>
      <w:tr w:rsidR="001B5635" w:rsidRPr="00F352E1" w14:paraId="6332D6F9" w14:textId="77777777" w:rsidTr="006B2ADA">
        <w:trPr>
          <w:trHeight w:val="340"/>
        </w:trPr>
        <w:tc>
          <w:tcPr>
            <w:tcW w:w="692" w:type="dxa"/>
            <w:vMerge/>
            <w:tcBorders>
              <w:top w:val="nil"/>
              <w:left w:val="single" w:sz="4" w:space="0" w:color="auto"/>
              <w:bottom w:val="single" w:sz="4" w:space="0" w:color="auto"/>
              <w:right w:val="single" w:sz="4" w:space="0" w:color="auto"/>
            </w:tcBorders>
            <w:vAlign w:val="center"/>
            <w:hideMark/>
          </w:tcPr>
          <w:p w14:paraId="6FF57349" w14:textId="77777777" w:rsidR="001B5635" w:rsidRPr="001B5635" w:rsidRDefault="001B5635" w:rsidP="001B5635">
            <w:pPr>
              <w:spacing w:after="0"/>
              <w:jc w:val="left"/>
              <w:rPr>
                <w:rFonts w:ascii="Arial Narrow" w:hAnsi="Arial Narrow"/>
                <w:sz w:val="20"/>
                <w:lang w:val="en-AU" w:eastAsia="en-AU"/>
              </w:rPr>
            </w:pPr>
          </w:p>
        </w:tc>
        <w:tc>
          <w:tcPr>
            <w:tcW w:w="1731" w:type="dxa"/>
            <w:vMerge/>
            <w:tcBorders>
              <w:top w:val="nil"/>
              <w:left w:val="single" w:sz="4" w:space="0" w:color="auto"/>
              <w:bottom w:val="single" w:sz="4" w:space="0" w:color="auto"/>
              <w:right w:val="single" w:sz="4" w:space="0" w:color="auto"/>
            </w:tcBorders>
            <w:vAlign w:val="center"/>
            <w:hideMark/>
          </w:tcPr>
          <w:p w14:paraId="3654B506" w14:textId="77777777" w:rsidR="001B5635" w:rsidRPr="001B5635" w:rsidRDefault="001B5635" w:rsidP="001B5635">
            <w:pPr>
              <w:spacing w:after="0"/>
              <w:jc w:val="left"/>
              <w:rPr>
                <w:rFonts w:ascii="Arial Narrow" w:hAnsi="Arial Narrow"/>
                <w:sz w:val="20"/>
                <w:lang w:val="en-AU" w:eastAsia="en-AU"/>
              </w:rPr>
            </w:pPr>
          </w:p>
        </w:tc>
        <w:tc>
          <w:tcPr>
            <w:tcW w:w="493" w:type="dxa"/>
            <w:tcBorders>
              <w:top w:val="nil"/>
              <w:left w:val="nil"/>
              <w:bottom w:val="single" w:sz="4" w:space="0" w:color="auto"/>
              <w:right w:val="single" w:sz="4" w:space="0" w:color="auto"/>
            </w:tcBorders>
            <w:shd w:val="clear" w:color="auto" w:fill="auto"/>
            <w:noWrap/>
            <w:vAlign w:val="center"/>
            <w:hideMark/>
          </w:tcPr>
          <w:p w14:paraId="6AB18A9B" w14:textId="77777777" w:rsidR="001B5635" w:rsidRPr="001B5635" w:rsidRDefault="001B5635" w:rsidP="001B5635">
            <w:pPr>
              <w:spacing w:after="0"/>
              <w:jc w:val="center"/>
              <w:rPr>
                <w:rFonts w:ascii="Arial Narrow" w:hAnsi="Arial Narrow"/>
                <w:sz w:val="20"/>
                <w:lang w:val="en-AU" w:eastAsia="en-AU"/>
              </w:rPr>
            </w:pPr>
            <w:r w:rsidRPr="001B5635">
              <w:rPr>
                <w:rFonts w:ascii="Arial Narrow" w:hAnsi="Arial Narrow"/>
                <w:sz w:val="20"/>
                <w:lang w:val="en-AU" w:eastAsia="en-AU"/>
              </w:rPr>
              <w:t>5</w:t>
            </w:r>
          </w:p>
        </w:tc>
        <w:tc>
          <w:tcPr>
            <w:tcW w:w="744" w:type="dxa"/>
            <w:tcBorders>
              <w:top w:val="nil"/>
              <w:left w:val="single" w:sz="4" w:space="0" w:color="auto"/>
              <w:bottom w:val="single" w:sz="4" w:space="0" w:color="auto"/>
              <w:right w:val="single" w:sz="4" w:space="0" w:color="auto"/>
            </w:tcBorders>
            <w:shd w:val="clear" w:color="auto" w:fill="auto"/>
            <w:noWrap/>
            <w:vAlign w:val="center"/>
            <w:hideMark/>
          </w:tcPr>
          <w:p w14:paraId="381F5DEF" w14:textId="77777777" w:rsidR="001B5635" w:rsidRPr="001B5635" w:rsidRDefault="001B5635" w:rsidP="001B5635">
            <w:pPr>
              <w:spacing w:after="0"/>
              <w:jc w:val="center"/>
              <w:rPr>
                <w:rFonts w:ascii="Arial Narrow" w:hAnsi="Arial Narrow"/>
                <w:sz w:val="18"/>
                <w:szCs w:val="18"/>
                <w:lang w:val="en-AU" w:eastAsia="en-AU"/>
              </w:rPr>
            </w:pPr>
          </w:p>
        </w:tc>
        <w:tc>
          <w:tcPr>
            <w:tcW w:w="591" w:type="dxa"/>
            <w:tcBorders>
              <w:top w:val="nil"/>
              <w:left w:val="nil"/>
              <w:bottom w:val="single" w:sz="4" w:space="0" w:color="auto"/>
              <w:right w:val="single" w:sz="4" w:space="0" w:color="auto"/>
            </w:tcBorders>
            <w:shd w:val="clear" w:color="auto" w:fill="auto"/>
            <w:noWrap/>
            <w:vAlign w:val="center"/>
            <w:hideMark/>
          </w:tcPr>
          <w:p w14:paraId="26637CCE"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1.50</w:t>
            </w:r>
          </w:p>
        </w:tc>
        <w:tc>
          <w:tcPr>
            <w:tcW w:w="591" w:type="dxa"/>
            <w:tcBorders>
              <w:top w:val="nil"/>
              <w:left w:val="nil"/>
              <w:bottom w:val="single" w:sz="4" w:space="0" w:color="auto"/>
              <w:right w:val="single" w:sz="4" w:space="0" w:color="auto"/>
            </w:tcBorders>
            <w:shd w:val="clear" w:color="auto" w:fill="auto"/>
            <w:noWrap/>
            <w:vAlign w:val="center"/>
            <w:hideMark/>
          </w:tcPr>
          <w:p w14:paraId="51B7C2A7"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0.06</w:t>
            </w:r>
          </w:p>
        </w:tc>
        <w:tc>
          <w:tcPr>
            <w:tcW w:w="591" w:type="dxa"/>
            <w:tcBorders>
              <w:top w:val="nil"/>
              <w:left w:val="nil"/>
              <w:bottom w:val="single" w:sz="4" w:space="0" w:color="auto"/>
              <w:right w:val="single" w:sz="4" w:space="0" w:color="auto"/>
            </w:tcBorders>
            <w:shd w:val="clear" w:color="auto" w:fill="auto"/>
            <w:noWrap/>
            <w:vAlign w:val="center"/>
            <w:hideMark/>
          </w:tcPr>
          <w:p w14:paraId="11B35604" w14:textId="77777777" w:rsidR="001B5635" w:rsidRPr="001B5635" w:rsidRDefault="001B5635" w:rsidP="001B5635">
            <w:pPr>
              <w:spacing w:after="0"/>
              <w:jc w:val="center"/>
              <w:rPr>
                <w:rFonts w:ascii="Arial Narrow" w:hAnsi="Arial Narrow"/>
                <w:sz w:val="18"/>
                <w:szCs w:val="18"/>
                <w:lang w:val="en-AU" w:eastAsia="en-AU"/>
              </w:rPr>
            </w:pPr>
          </w:p>
        </w:tc>
        <w:tc>
          <w:tcPr>
            <w:tcW w:w="744" w:type="dxa"/>
            <w:tcBorders>
              <w:top w:val="nil"/>
              <w:left w:val="nil"/>
              <w:bottom w:val="single" w:sz="4" w:space="0" w:color="auto"/>
              <w:right w:val="single" w:sz="4" w:space="0" w:color="auto"/>
            </w:tcBorders>
            <w:shd w:val="clear" w:color="auto" w:fill="auto"/>
            <w:noWrap/>
            <w:vAlign w:val="center"/>
            <w:hideMark/>
          </w:tcPr>
          <w:p w14:paraId="27F786A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8.00</w:t>
            </w:r>
          </w:p>
        </w:tc>
        <w:tc>
          <w:tcPr>
            <w:tcW w:w="754" w:type="dxa"/>
            <w:tcBorders>
              <w:top w:val="nil"/>
              <w:left w:val="nil"/>
              <w:bottom w:val="single" w:sz="4" w:space="0" w:color="auto"/>
              <w:right w:val="single" w:sz="4" w:space="0" w:color="auto"/>
            </w:tcBorders>
            <w:shd w:val="clear" w:color="auto" w:fill="auto"/>
            <w:noWrap/>
            <w:vAlign w:val="center"/>
            <w:hideMark/>
          </w:tcPr>
          <w:p w14:paraId="5DF5C581" w14:textId="77777777" w:rsidR="001B5635" w:rsidRPr="001B5635" w:rsidRDefault="001B5635" w:rsidP="001B5635">
            <w:pPr>
              <w:spacing w:after="0"/>
              <w:jc w:val="center"/>
              <w:rPr>
                <w:rFonts w:ascii="Arial Narrow" w:hAnsi="Arial Narrow"/>
                <w:sz w:val="18"/>
                <w:szCs w:val="18"/>
                <w:lang w:val="en-AU" w:eastAsia="en-AU"/>
              </w:rPr>
            </w:pPr>
          </w:p>
        </w:tc>
        <w:tc>
          <w:tcPr>
            <w:tcW w:w="601" w:type="dxa"/>
            <w:tcBorders>
              <w:top w:val="nil"/>
              <w:left w:val="nil"/>
              <w:bottom w:val="single" w:sz="4" w:space="0" w:color="auto"/>
              <w:right w:val="single" w:sz="4" w:space="0" w:color="auto"/>
            </w:tcBorders>
            <w:shd w:val="clear" w:color="auto" w:fill="auto"/>
            <w:noWrap/>
            <w:vAlign w:val="center"/>
            <w:hideMark/>
          </w:tcPr>
          <w:p w14:paraId="38A6C3F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0.31</w:t>
            </w:r>
          </w:p>
        </w:tc>
        <w:tc>
          <w:tcPr>
            <w:tcW w:w="844" w:type="dxa"/>
            <w:tcBorders>
              <w:top w:val="nil"/>
              <w:left w:val="nil"/>
              <w:bottom w:val="single" w:sz="4" w:space="0" w:color="auto"/>
              <w:right w:val="single" w:sz="4" w:space="0" w:color="auto"/>
            </w:tcBorders>
            <w:shd w:val="clear" w:color="auto" w:fill="auto"/>
            <w:noWrap/>
            <w:vAlign w:val="center"/>
            <w:hideMark/>
          </w:tcPr>
          <w:p w14:paraId="70B906B0" w14:textId="77777777" w:rsidR="001B5635" w:rsidRPr="001B5635" w:rsidRDefault="001B5635" w:rsidP="001B5635">
            <w:pPr>
              <w:spacing w:after="0"/>
              <w:jc w:val="center"/>
              <w:rPr>
                <w:rFonts w:ascii="Arial Narrow" w:hAnsi="Arial Narrow"/>
                <w:sz w:val="18"/>
                <w:szCs w:val="18"/>
                <w:lang w:val="en-AU" w:eastAsia="en-AU"/>
              </w:rPr>
            </w:pPr>
          </w:p>
        </w:tc>
        <w:tc>
          <w:tcPr>
            <w:tcW w:w="504" w:type="dxa"/>
            <w:tcBorders>
              <w:top w:val="nil"/>
              <w:left w:val="nil"/>
              <w:bottom w:val="single" w:sz="4" w:space="0" w:color="auto"/>
              <w:right w:val="single" w:sz="4" w:space="0" w:color="auto"/>
            </w:tcBorders>
            <w:shd w:val="clear" w:color="auto" w:fill="auto"/>
            <w:noWrap/>
            <w:vAlign w:val="center"/>
            <w:hideMark/>
          </w:tcPr>
          <w:p w14:paraId="054288F9"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648D75D2"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21EDF06D"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402D5818" w14:textId="77777777" w:rsidR="001B5635" w:rsidRPr="001B5635" w:rsidRDefault="001B5635" w:rsidP="001B5635">
            <w:pPr>
              <w:spacing w:after="0"/>
              <w:jc w:val="center"/>
              <w:rPr>
                <w:rFonts w:ascii="Arial Narrow" w:hAnsi="Arial Narrow"/>
                <w:sz w:val="18"/>
                <w:szCs w:val="18"/>
                <w:lang w:val="en-AU" w:eastAsia="en-AU"/>
              </w:rPr>
            </w:pPr>
          </w:p>
        </w:tc>
        <w:tc>
          <w:tcPr>
            <w:tcW w:w="832" w:type="dxa"/>
            <w:tcBorders>
              <w:top w:val="nil"/>
              <w:left w:val="nil"/>
              <w:bottom w:val="single" w:sz="4" w:space="0" w:color="auto"/>
              <w:right w:val="single" w:sz="4" w:space="0" w:color="auto"/>
            </w:tcBorders>
            <w:shd w:val="clear" w:color="auto" w:fill="auto"/>
            <w:noWrap/>
            <w:vAlign w:val="center"/>
            <w:hideMark/>
          </w:tcPr>
          <w:p w14:paraId="26996A09"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0.13</w:t>
            </w:r>
          </w:p>
        </w:tc>
        <w:tc>
          <w:tcPr>
            <w:tcW w:w="832" w:type="dxa"/>
            <w:tcBorders>
              <w:top w:val="nil"/>
              <w:left w:val="nil"/>
              <w:bottom w:val="single" w:sz="4" w:space="0" w:color="auto"/>
              <w:right w:val="single" w:sz="4" w:space="0" w:color="auto"/>
            </w:tcBorders>
            <w:shd w:val="clear" w:color="auto" w:fill="auto"/>
            <w:noWrap/>
            <w:vAlign w:val="center"/>
            <w:hideMark/>
          </w:tcPr>
          <w:p w14:paraId="6685A286" w14:textId="77777777" w:rsidR="001B5635" w:rsidRPr="001B5635" w:rsidRDefault="001B5635" w:rsidP="001B5635">
            <w:pPr>
              <w:spacing w:after="0"/>
              <w:jc w:val="center"/>
              <w:rPr>
                <w:rFonts w:ascii="Arial Narrow" w:hAnsi="Arial Narrow"/>
                <w:sz w:val="18"/>
                <w:szCs w:val="18"/>
                <w:lang w:val="en-AU" w:eastAsia="en-AU"/>
              </w:rPr>
            </w:pPr>
          </w:p>
        </w:tc>
        <w:tc>
          <w:tcPr>
            <w:tcW w:w="663" w:type="dxa"/>
            <w:tcBorders>
              <w:top w:val="nil"/>
              <w:left w:val="nil"/>
              <w:bottom w:val="single" w:sz="4" w:space="0" w:color="auto"/>
              <w:right w:val="single" w:sz="4" w:space="0" w:color="auto"/>
            </w:tcBorders>
            <w:shd w:val="clear" w:color="auto" w:fill="auto"/>
            <w:noWrap/>
            <w:vAlign w:val="center"/>
            <w:hideMark/>
          </w:tcPr>
          <w:p w14:paraId="2FB8E4EB" w14:textId="77777777" w:rsidR="001B5635" w:rsidRPr="001B5635" w:rsidRDefault="001B5635" w:rsidP="001B5635">
            <w:pPr>
              <w:spacing w:after="0"/>
              <w:jc w:val="center"/>
              <w:rPr>
                <w:rFonts w:ascii="Arial Narrow" w:hAnsi="Arial Narrow"/>
                <w:sz w:val="18"/>
                <w:szCs w:val="18"/>
                <w:lang w:val="en-AU" w:eastAsia="en-AU"/>
              </w:rPr>
            </w:pPr>
            <w:r w:rsidRPr="001B5635">
              <w:rPr>
                <w:rFonts w:ascii="Arial Narrow" w:hAnsi="Arial Narrow"/>
                <w:sz w:val="18"/>
                <w:szCs w:val="18"/>
              </w:rPr>
              <w:t>0.19</w:t>
            </w:r>
          </w:p>
        </w:tc>
      </w:tr>
    </w:tbl>
    <w:p w14:paraId="306DF2DD" w14:textId="77777777" w:rsidR="008A1A24" w:rsidRPr="00F352E1" w:rsidRDefault="008A1A24" w:rsidP="00833B1F">
      <w:pPr>
        <w:rPr>
          <w:color w:val="4F81BD" w:themeColor="accent1"/>
        </w:rPr>
      </w:pPr>
    </w:p>
    <w:p w14:paraId="050ACB0D" w14:textId="77777777" w:rsidR="0088288C" w:rsidRPr="00F352E1" w:rsidRDefault="0088288C">
      <w:pPr>
        <w:jc w:val="left"/>
        <w:rPr>
          <w:color w:val="4F81BD" w:themeColor="accent1"/>
        </w:rPr>
      </w:pPr>
    </w:p>
    <w:p w14:paraId="0A1C5F22" w14:textId="77777777" w:rsidR="00655477" w:rsidRPr="00F352E1" w:rsidRDefault="00655477">
      <w:pPr>
        <w:jc w:val="left"/>
        <w:rPr>
          <w:color w:val="4F81BD" w:themeColor="accent1"/>
        </w:rPr>
      </w:pPr>
      <w:r w:rsidRPr="00F352E1">
        <w:rPr>
          <w:color w:val="4F81BD" w:themeColor="accent1"/>
        </w:rPr>
        <w:br w:type="page"/>
      </w:r>
    </w:p>
    <w:p w14:paraId="7D7A51AC" w14:textId="77777777" w:rsidR="00655477" w:rsidRPr="00F352E1" w:rsidRDefault="00655477">
      <w:pPr>
        <w:rPr>
          <w:color w:val="4F81BD" w:themeColor="accent1"/>
        </w:rPr>
        <w:sectPr w:rsidR="00655477" w:rsidRPr="00F352E1" w:rsidSect="000A241F">
          <w:pgSz w:w="16840" w:h="11907" w:orient="landscape" w:code="9"/>
          <w:pgMar w:top="1134" w:right="1440" w:bottom="1134" w:left="1276" w:header="862" w:footer="720" w:gutter="0"/>
          <w:cols w:space="720"/>
          <w:docGrid w:linePitch="299"/>
        </w:sectPr>
      </w:pPr>
    </w:p>
    <w:p w14:paraId="589C27C6" w14:textId="77777777" w:rsidR="00064605" w:rsidRPr="00F352E1" w:rsidRDefault="00064605">
      <w:pPr>
        <w:rPr>
          <w:color w:val="4F81BD" w:themeColor="accent1"/>
        </w:rPr>
      </w:pPr>
    </w:p>
    <w:p w14:paraId="6745EDF2" w14:textId="0052A783" w:rsidR="007B0264" w:rsidRDefault="0020648E" w:rsidP="007B0264">
      <w:bookmarkStart w:id="429" w:name="_Toc437423865"/>
      <w:bookmarkStart w:id="430" w:name="_Toc437424044"/>
      <w:bookmarkStart w:id="431" w:name="_Toc437424330"/>
      <w:bookmarkStart w:id="432" w:name="_Toc437432383"/>
      <w:bookmarkStart w:id="433" w:name="_Ref491347733"/>
      <w:bookmarkStart w:id="434" w:name="_Ref469691803"/>
      <w:bookmarkStart w:id="435" w:name="_Toc453243775"/>
      <w:bookmarkStart w:id="436" w:name="_Toc471373208"/>
      <w:bookmarkStart w:id="437" w:name="_Toc500143389"/>
      <w:r>
        <w:rPr>
          <w:noProof/>
          <w:lang w:val="en-AU" w:eastAsia="en-AU"/>
        </w:rPr>
        <mc:AlternateContent>
          <mc:Choice Requires="wps">
            <w:drawing>
              <wp:anchor distT="0" distB="0" distL="114300" distR="114300" simplePos="0" relativeHeight="251683840" behindDoc="0" locked="0" layoutInCell="1" allowOverlap="1" wp14:anchorId="1FFD1299" wp14:editId="0E4CDD37">
                <wp:simplePos x="0" y="0"/>
                <wp:positionH relativeFrom="margin">
                  <wp:align>right</wp:align>
                </wp:positionH>
                <wp:positionV relativeFrom="paragraph">
                  <wp:posOffset>59055</wp:posOffset>
                </wp:positionV>
                <wp:extent cx="7620" cy="1943100"/>
                <wp:effectExtent l="0" t="0" r="30480" b="19050"/>
                <wp:wrapNone/>
                <wp:docPr id="13" name="Straight Connector 13" descr="line around figure boxes" title="design element"/>
                <wp:cNvGraphicFramePr/>
                <a:graphic xmlns:a="http://schemas.openxmlformats.org/drawingml/2006/main">
                  <a:graphicData uri="http://schemas.microsoft.com/office/word/2010/wordprocessingShape">
                    <wps:wsp>
                      <wps:cNvCnPr/>
                      <wps:spPr>
                        <a:xfrm>
                          <a:off x="0" y="0"/>
                          <a:ext cx="7620" cy="1943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D6967E1" id="Straight Connector 13" o:spid="_x0000_s1026" alt="Title: design element - Description: line around figure boxes" style="position:absolute;z-index:251683840;visibility:visible;mso-wrap-style:square;mso-wrap-distance-left:9pt;mso-wrap-distance-top:0;mso-wrap-distance-right:9pt;mso-wrap-distance-bottom:0;mso-position-horizontal:right;mso-position-horizontal-relative:margin;mso-position-vertical:absolute;mso-position-vertical-relative:text" from="-50.6pt,4.65pt" to="-50pt,15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" strokecolor="black [3040]">
                <w10:wrap anchorx="margin"/>
              </v:line>
            </w:pict>
          </mc:Fallback>
        </mc:AlternateContent>
      </w:r>
      <w:r w:rsidR="00CC610D">
        <w:rPr>
          <w:noProof/>
          <w:lang w:val="en-AU" w:eastAsia="en-AU"/>
        </w:rPr>
        <mc:AlternateContent>
          <mc:Choice Requires="wps">
            <w:drawing>
              <wp:anchor distT="0" distB="0" distL="114300" distR="114300" simplePos="0" relativeHeight="251684864" behindDoc="0" locked="0" layoutInCell="1" allowOverlap="1" wp14:anchorId="241A2228" wp14:editId="42638A80">
                <wp:simplePos x="0" y="0"/>
                <wp:positionH relativeFrom="column">
                  <wp:posOffset>6107430</wp:posOffset>
                </wp:positionH>
                <wp:positionV relativeFrom="paragraph">
                  <wp:posOffset>2055495</wp:posOffset>
                </wp:positionV>
                <wp:extent cx="0" cy="1950720"/>
                <wp:effectExtent l="0" t="0" r="19050" b="30480"/>
                <wp:wrapNone/>
                <wp:docPr id="14" name="Straight Connector 14" descr="line around figure" title="design element"/>
                <wp:cNvGraphicFramePr/>
                <a:graphic xmlns:a="http://schemas.openxmlformats.org/drawingml/2006/main">
                  <a:graphicData uri="http://schemas.microsoft.com/office/word/2010/wordprocessingShape">
                    <wps:wsp>
                      <wps:cNvCnPr/>
                      <wps:spPr>
                        <a:xfrm>
                          <a:off x="0" y="0"/>
                          <a:ext cx="0" cy="19507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0F3D5FB" id="Straight Connector 14" o:spid="_x0000_s1026" alt="Title: design element - Description: line around figure" style="position:absolute;z-index:251684864;visibility:visible;mso-wrap-style:square;mso-wrap-distance-left:9pt;mso-wrap-distance-top:0;mso-wrap-distance-right:9pt;mso-wrap-distance-bottom:0;mso-position-horizontal:absolute;mso-position-horizontal-relative:text;mso-position-vertical:absolute;mso-position-vertical-relative:text" from="480.9pt,161.85pt" to="480.9pt,3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" strokecolor="black [3040]"/>
            </w:pict>
          </mc:Fallback>
        </mc:AlternateContent>
      </w:r>
      <w:r w:rsidR="00493A7D">
        <w:object w:dxaOrig="11521" w:dyaOrig="6481" w14:anchorId="3B1BA0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Figure A1. 8 Tropical Cyclone Debbie track A panel of plots illustrating the track of Cyclone Debble and predicted extent and duration of damaging winds and waves" style="width:482.25pt;height:318pt;mso-position-vertical:absolute" o:ole="">
            <v:imagedata r:id="rId103" o:title="" cropbottom="1238f" cropleft="1084f" cropright="9418f"/>
          </v:shape>
          <o:OLEObject Type="Embed" ProgID="AcroExch.Document.2017" ShapeID="_x0000_i1025" DrawAspect="Content" ObjectID="_1596624460" r:id="rId104"/>
        </w:object>
      </w:r>
    </w:p>
    <w:p w14:paraId="00C64D76" w14:textId="77777777" w:rsidR="005A6F34" w:rsidRPr="005A6F34" w:rsidRDefault="007B0264" w:rsidP="00606A50">
      <w:pPr>
        <w:pStyle w:val="Caption"/>
        <w:rPr>
          <w:rStyle w:val="IntenseReference"/>
          <w:rFonts w:eastAsia="SimSun"/>
          <w:lang w:eastAsia="en-AU"/>
        </w:rPr>
      </w:pPr>
      <w:bookmarkStart w:id="438" w:name="_Ref504643531"/>
      <w:r>
        <w:t xml:space="preserve">Figure A1. </w:t>
      </w:r>
      <w:r>
        <w:fldChar w:fldCharType="begin"/>
      </w:r>
      <w:r>
        <w:instrText xml:space="preserve"> SEQ Figure_A1. \* ARABIC </w:instrText>
      </w:r>
      <w:r>
        <w:fldChar w:fldCharType="separate"/>
      </w:r>
      <w:r w:rsidR="00A75175">
        <w:rPr>
          <w:noProof/>
        </w:rPr>
        <w:t>8</w:t>
      </w:r>
      <w:r>
        <w:fldChar w:fldCharType="end"/>
      </w:r>
      <w:bookmarkEnd w:id="438"/>
      <w:r>
        <w:t xml:space="preserve"> </w:t>
      </w:r>
      <w:r w:rsidR="002B2FF2" w:rsidRPr="004252BF">
        <w:t>Tropical Cyclone Debbie track.</w:t>
      </w:r>
      <w:bookmarkEnd w:id="429"/>
      <w:bookmarkEnd w:id="430"/>
      <w:bookmarkEnd w:id="431"/>
      <w:bookmarkEnd w:id="432"/>
      <w:bookmarkEnd w:id="433"/>
      <w:bookmarkEnd w:id="434"/>
      <w:bookmarkEnd w:id="435"/>
      <w:bookmarkEnd w:id="436"/>
      <w:bookmarkEnd w:id="437"/>
      <w:r w:rsidR="00CC610D">
        <w:t xml:space="preserve"> </w:t>
      </w:r>
      <w:r w:rsidR="00CC610D" w:rsidRPr="00CC610D">
        <w:rPr>
          <w:rStyle w:val="IntenseReference"/>
          <w:rFonts w:eastAsia="SimSun"/>
        </w:rPr>
        <w:t xml:space="preserve">Modelled exposure of GBR reefs to: A- maximum wind speeds of various strengths, B- gale force </w:t>
      </w:r>
      <w:r w:rsidR="00CC610D">
        <w:rPr>
          <w:rStyle w:val="IntenseReference"/>
          <w:rFonts w:eastAsia="SimSun"/>
        </w:rPr>
        <w:t>or higher winds (17 m/s), and C</w:t>
      </w:r>
      <w:r w:rsidR="00CC610D" w:rsidRPr="00CC610D">
        <w:rPr>
          <w:rStyle w:val="IntenseReference"/>
          <w:rFonts w:eastAsia="SimSun"/>
        </w:rPr>
        <w:t>- the potential for very rough seas (characterised by 4m significant wave heights).  Vulnerable colonies on reefs located in the very rough sea state zone (D) are likely to have been catastrophically damaged</w:t>
      </w:r>
      <w:r w:rsidR="005A6F34">
        <w:rPr>
          <w:rStyle w:val="IntenseReference"/>
          <w:rFonts w:eastAsia="SimSun"/>
        </w:rPr>
        <w:t xml:space="preserve">. </w:t>
      </w:r>
      <w:r w:rsidR="005A6F34" w:rsidRPr="005A6F34">
        <w:rPr>
          <w:rStyle w:val="IntenseReference"/>
          <w:rFonts w:eastAsia="SimSun"/>
        </w:rPr>
        <w:t>Source: Marji Puotinen, AIMS-Perth.  See Puotinen et al 2016 (</w:t>
      </w:r>
      <w:hyperlink r:id="rId105" w:history="1">
        <w:r w:rsidR="005A6F34" w:rsidRPr="005A6F34">
          <w:rPr>
            <w:rStyle w:val="IntenseReference"/>
            <w:rFonts w:eastAsia="SimSun"/>
          </w:rPr>
          <w:t>https://www.ncbi.nlm.nih.gov/pmc/articles/PMC4868967/</w:t>
        </w:r>
      </w:hyperlink>
      <w:r w:rsidR="005A6F34" w:rsidRPr="005A6F34">
        <w:rPr>
          <w:rStyle w:val="IntenseReference"/>
          <w:rFonts w:eastAsia="SimSun"/>
        </w:rPr>
        <w:t>) for a detailed explanation of methods.</w:t>
      </w:r>
    </w:p>
    <w:p w14:paraId="52965499" w14:textId="77777777" w:rsidR="00064605" w:rsidRPr="00CC610D" w:rsidRDefault="00064605" w:rsidP="00606A50">
      <w:pPr>
        <w:pStyle w:val="Caption"/>
        <w:rPr>
          <w:rStyle w:val="IntenseReference"/>
          <w:rFonts w:eastAsia="SimSun"/>
        </w:rPr>
      </w:pPr>
    </w:p>
    <w:p w14:paraId="6C385C47" w14:textId="77777777" w:rsidR="00064605" w:rsidRPr="00F352E1" w:rsidRDefault="00064605" w:rsidP="00406BD7">
      <w:pPr>
        <w:rPr>
          <w:rStyle w:val="IntenseReference"/>
          <w:color w:val="4F81BD" w:themeColor="accent1"/>
        </w:rPr>
      </w:pPr>
    </w:p>
    <w:p w14:paraId="49390E46" w14:textId="77777777" w:rsidR="00064605" w:rsidRPr="00F352E1" w:rsidRDefault="00064605" w:rsidP="00406BD7">
      <w:pPr>
        <w:rPr>
          <w:color w:val="4F81BD" w:themeColor="accent1"/>
        </w:rPr>
      </w:pPr>
    </w:p>
    <w:p w14:paraId="2CE55E49" w14:textId="77777777" w:rsidR="00B764F0" w:rsidRPr="00F352E1" w:rsidRDefault="00B764F0" w:rsidP="00606A50">
      <w:pPr>
        <w:pStyle w:val="Caption"/>
        <w:sectPr w:rsidR="00B764F0" w:rsidRPr="00F352E1" w:rsidSect="006608FC">
          <w:footerReference w:type="even" r:id="rId106"/>
          <w:headerReference w:type="first" r:id="rId107"/>
          <w:type w:val="continuous"/>
          <w:pgSz w:w="11907" w:h="16840" w:code="9"/>
          <w:pgMar w:top="1440" w:right="1134" w:bottom="1440" w:left="1134" w:header="709" w:footer="709" w:gutter="0"/>
          <w:cols w:space="708"/>
          <w:docGrid w:linePitch="360"/>
        </w:sectPr>
      </w:pPr>
    </w:p>
    <w:p w14:paraId="765EDB9A" w14:textId="77777777" w:rsidR="001778B8" w:rsidRPr="00F352E1" w:rsidRDefault="005038AD" w:rsidP="001778B8">
      <w:pPr>
        <w:rPr>
          <w:color w:val="4F81BD" w:themeColor="accent1"/>
        </w:rPr>
      </w:pPr>
      <w:bookmarkStart w:id="439" w:name="_Toc437423867"/>
      <w:bookmarkStart w:id="440" w:name="_Toc437424046"/>
      <w:bookmarkStart w:id="441" w:name="_Toc437424334"/>
      <w:r w:rsidRPr="00F352E1">
        <w:rPr>
          <w:noProof/>
          <w:color w:val="4F81BD" w:themeColor="accent1"/>
          <w:lang w:val="en-AU" w:eastAsia="en-AU"/>
        </w:rPr>
        <w:drawing>
          <wp:inline distT="0" distB="0" distL="0" distR="0" wp14:anchorId="2DF45ACC" wp14:editId="7E86682D">
            <wp:extent cx="5578729" cy="7172653"/>
            <wp:effectExtent l="0" t="0" r="3175" b="9525"/>
            <wp:docPr id="11" name="Picture 11" descr="Time-series of water quality parameters sampled by the MMP water Quality Program. Plots are reproduced for Waterhouse et al. 2018" title="Figure A1. 9 Temporal trends in water quality: Baron Daintree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m_Barron_Daintree_summary.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5578729" cy="7172653"/>
                    </a:xfrm>
                    <a:prstGeom prst="rect">
                      <a:avLst/>
                    </a:prstGeom>
                  </pic:spPr>
                </pic:pic>
              </a:graphicData>
            </a:graphic>
          </wp:inline>
        </w:drawing>
      </w:r>
    </w:p>
    <w:p w14:paraId="301B8EEB" w14:textId="77777777" w:rsidR="00064605" w:rsidRPr="009808B7" w:rsidRDefault="003F670B" w:rsidP="00606A50">
      <w:pPr>
        <w:pStyle w:val="Caption"/>
        <w:rPr>
          <w:rStyle w:val="IntenseReference"/>
          <w:rFonts w:eastAsia="SimSun"/>
        </w:rPr>
      </w:pPr>
      <w:bookmarkStart w:id="442" w:name="_Ref501097019"/>
      <w:bookmarkStart w:id="443" w:name="_Ref469728282"/>
      <w:bookmarkStart w:id="444" w:name="_Toc453243777"/>
      <w:bookmarkStart w:id="445" w:name="_Toc471373209"/>
      <w:bookmarkStart w:id="446" w:name="_Toc500143390"/>
      <w:bookmarkStart w:id="447" w:name="_Ref501097011"/>
      <w:r>
        <w:t xml:space="preserve">Figure A1. </w:t>
      </w:r>
      <w:r>
        <w:fldChar w:fldCharType="begin"/>
      </w:r>
      <w:r>
        <w:instrText xml:space="preserve"> SEQ Figure_A1. \* ARABIC </w:instrText>
      </w:r>
      <w:r>
        <w:fldChar w:fldCharType="separate"/>
      </w:r>
      <w:r w:rsidR="00A75175">
        <w:rPr>
          <w:noProof/>
        </w:rPr>
        <w:t>9</w:t>
      </w:r>
      <w:r>
        <w:fldChar w:fldCharType="end"/>
      </w:r>
      <w:bookmarkEnd w:id="442"/>
      <w:r>
        <w:t xml:space="preserve"> </w:t>
      </w:r>
      <w:r w:rsidR="009D2F51" w:rsidRPr="004252BF">
        <w:t>Temporal trends in water quality: Baron Daintree sub-region.</w:t>
      </w:r>
      <w:bookmarkEnd w:id="439"/>
      <w:bookmarkEnd w:id="440"/>
      <w:bookmarkEnd w:id="441"/>
      <w:bookmarkEnd w:id="443"/>
      <w:bookmarkEnd w:id="444"/>
      <w:r w:rsidR="000A5211" w:rsidRPr="00F352E1">
        <w:t xml:space="preserve"> </w:t>
      </w:r>
      <w:r w:rsidR="000A5211" w:rsidRPr="00626D6B">
        <w:rPr>
          <w:rStyle w:val="IntenseReference"/>
          <w:rFonts w:eastAsia="SimSun"/>
        </w:rPr>
        <w:t xml:space="preserve">a) </w:t>
      </w:r>
      <w:bookmarkStart w:id="448" w:name="_Toc437424335"/>
      <w:bookmarkStart w:id="449" w:name="_Toc437432387"/>
      <w:r w:rsidR="00F75D6C" w:rsidRPr="009808B7">
        <w:rPr>
          <w:rStyle w:val="IntenseReference"/>
          <w:rFonts w:eastAsia="SimSun"/>
        </w:rPr>
        <w:t xml:space="preserve">water quality index, b) chlorophyll a, c) </w:t>
      </w:r>
      <w:r w:rsidR="0031282F" w:rsidRPr="009808B7">
        <w:rPr>
          <w:rStyle w:val="IntenseReference"/>
          <w:rFonts w:eastAsia="SimSun"/>
        </w:rPr>
        <w:t>nitrate/nitrite</w:t>
      </w:r>
      <w:r w:rsidR="00F75D6C" w:rsidRPr="009808B7">
        <w:rPr>
          <w:rStyle w:val="IntenseReference"/>
          <w:rFonts w:eastAsia="SimSun"/>
        </w:rPr>
        <w:t>, d)</w:t>
      </w:r>
      <w:r w:rsidR="0031282F" w:rsidRPr="009808B7">
        <w:rPr>
          <w:rStyle w:val="IntenseReference"/>
          <w:rFonts w:eastAsia="SimSun"/>
        </w:rPr>
        <w:t xml:space="preserve"> Phosphate</w:t>
      </w:r>
      <w:r w:rsidR="00F75D6C" w:rsidRPr="009808B7">
        <w:rPr>
          <w:rStyle w:val="IntenseReference"/>
          <w:rFonts w:eastAsia="SimSun"/>
        </w:rPr>
        <w:t xml:space="preserve">, e) </w:t>
      </w:r>
      <w:r w:rsidR="0031282F" w:rsidRPr="009808B7">
        <w:rPr>
          <w:rStyle w:val="IntenseReference"/>
          <w:rFonts w:eastAsia="SimSun"/>
        </w:rPr>
        <w:t xml:space="preserve">total suspended solids, </w:t>
      </w:r>
      <w:r w:rsidR="00F75D6C" w:rsidRPr="009808B7">
        <w:rPr>
          <w:rStyle w:val="IntenseReference"/>
          <w:rFonts w:eastAsia="SimSun"/>
        </w:rPr>
        <w:t xml:space="preserve">f) </w:t>
      </w:r>
      <w:r w:rsidR="0031282F" w:rsidRPr="009808B7">
        <w:rPr>
          <w:rStyle w:val="IntenseReference"/>
          <w:rFonts w:eastAsia="SimSun"/>
        </w:rPr>
        <w:t xml:space="preserve">secchi depth, </w:t>
      </w:r>
      <w:r w:rsidR="00F75D6C" w:rsidRPr="009808B7">
        <w:rPr>
          <w:rStyle w:val="IntenseReference"/>
          <w:rFonts w:eastAsia="SimSun"/>
        </w:rPr>
        <w:t xml:space="preserve">g) </w:t>
      </w:r>
      <w:r w:rsidR="0031282F" w:rsidRPr="009808B7">
        <w:rPr>
          <w:rStyle w:val="IntenseReference"/>
          <w:rFonts w:eastAsia="SimSun"/>
        </w:rPr>
        <w:t>particulate nitrogen,</w:t>
      </w:r>
      <w:r w:rsidR="00F75D6C" w:rsidRPr="009808B7">
        <w:rPr>
          <w:rStyle w:val="IntenseReference"/>
          <w:rFonts w:eastAsia="SimSun"/>
        </w:rPr>
        <w:t xml:space="preserve"> h) particulate phosphorus, i) particulate organic carbon and j) dissolved organic carbon. Water quality index colour coding: dark green- ‘very good’; light green-‘good’; yellow – ‘moderate; orange – ‘poor’; red – ‘very poor’. The water quality index is the aggregate of variables plotted in b</w:t>
      </w:r>
      <w:r w:rsidR="00C97948" w:rsidRPr="009808B7">
        <w:rPr>
          <w:rStyle w:val="IntenseReference"/>
          <w:rFonts w:eastAsia="SimSun"/>
        </w:rPr>
        <w:t>, c, e</w:t>
      </w:r>
      <w:r w:rsidR="00F75D6C" w:rsidRPr="009808B7">
        <w:rPr>
          <w:rStyle w:val="IntenseReference"/>
          <w:rFonts w:eastAsia="SimSun"/>
        </w:rPr>
        <w:t xml:space="preserve"> - h and calculate</w:t>
      </w:r>
      <w:r w:rsidR="00A4781F" w:rsidRPr="009808B7">
        <w:rPr>
          <w:rStyle w:val="IntenseReference"/>
          <w:rFonts w:eastAsia="SimSun"/>
        </w:rPr>
        <w:t xml:space="preserve">d as described in </w:t>
      </w:r>
      <w:r w:rsidR="001225BF" w:rsidRPr="009808B7">
        <w:rPr>
          <w:rStyle w:val="IntenseReference"/>
          <w:rFonts w:eastAsia="SimSun"/>
        </w:rPr>
        <w:t>Waterhouse</w:t>
      </w:r>
      <w:r w:rsidR="00EA1457" w:rsidRPr="009808B7">
        <w:rPr>
          <w:rStyle w:val="IntenseReference"/>
          <w:rFonts w:eastAsia="SimSun"/>
        </w:rPr>
        <w:t xml:space="preserve"> et al. (</w:t>
      </w:r>
      <w:r w:rsidR="00E26182" w:rsidRPr="009808B7">
        <w:rPr>
          <w:rStyle w:val="IntenseReference"/>
          <w:rFonts w:eastAsia="SimSun"/>
        </w:rPr>
        <w:t>201</w:t>
      </w:r>
      <w:r w:rsidR="00E26182">
        <w:rPr>
          <w:rStyle w:val="IntenseReference"/>
          <w:rFonts w:eastAsia="SimSun"/>
        </w:rPr>
        <w:t>8</w:t>
      </w:r>
      <w:r w:rsidR="00BC6B0B" w:rsidRPr="00626D6B">
        <w:rPr>
          <w:rStyle w:val="IntenseReference"/>
          <w:rFonts w:eastAsia="SimSun"/>
        </w:rPr>
        <w:t xml:space="preserve">). </w:t>
      </w:r>
      <w:r w:rsidR="00F75D6C" w:rsidRPr="009808B7">
        <w:rPr>
          <w:rStyle w:val="IntenseReference"/>
          <w:rFonts w:eastAsia="SimSun"/>
        </w:rPr>
        <w:t>Trends in</w:t>
      </w:r>
      <w:r w:rsidR="00C97948" w:rsidRPr="009808B7">
        <w:rPr>
          <w:rStyle w:val="IntenseReference"/>
          <w:rFonts w:eastAsia="SimSun"/>
        </w:rPr>
        <w:t xml:space="preserve"> PO</w:t>
      </w:r>
      <w:r w:rsidR="00C97948" w:rsidRPr="009A622B">
        <w:rPr>
          <w:rStyle w:val="IntenseReference"/>
          <w:rFonts w:eastAsia="SimSun"/>
        </w:rPr>
        <w:t>4</w:t>
      </w:r>
      <w:r w:rsidR="00C97948" w:rsidRPr="00626D6B">
        <w:rPr>
          <w:rStyle w:val="IntenseReference"/>
          <w:rFonts w:eastAsia="SimSun"/>
        </w:rPr>
        <w:t xml:space="preserve">, </w:t>
      </w:r>
      <w:r w:rsidR="00F75D6C" w:rsidRPr="009808B7">
        <w:rPr>
          <w:rStyle w:val="IntenseReference"/>
          <w:rFonts w:eastAsia="SimSun"/>
        </w:rPr>
        <w:t>POC and DOC values are plotted here (</w:t>
      </w:r>
      <w:r w:rsidR="00C97948" w:rsidRPr="009808B7">
        <w:rPr>
          <w:rStyle w:val="IntenseReference"/>
          <w:rFonts w:eastAsia="SimSun"/>
        </w:rPr>
        <w:t xml:space="preserve">d, </w:t>
      </w:r>
      <w:r w:rsidR="00F75D6C" w:rsidRPr="009808B7">
        <w:rPr>
          <w:rStyle w:val="IntenseReference"/>
          <w:rFonts w:eastAsia="SimSun"/>
        </w:rPr>
        <w:t>I, j); threshold levels have yet to be established. Trends in manually sampled water quality variables are represented by blue lines with blue shaded areas defining 95% confidence intervals of those trends, black dots represent observed data</w:t>
      </w:r>
      <w:r w:rsidR="0031282F" w:rsidRPr="009808B7">
        <w:rPr>
          <w:rStyle w:val="IntenseReference"/>
          <w:rFonts w:eastAsia="SimSun"/>
        </w:rPr>
        <w:t>.</w:t>
      </w:r>
      <w:r w:rsidR="00F75D6C" w:rsidRPr="009808B7">
        <w:rPr>
          <w:rStyle w:val="IntenseReference"/>
          <w:rFonts w:eastAsia="SimSun"/>
        </w:rPr>
        <w:t xml:space="preserve"> Dashed reference lines indicate guideline values</w:t>
      </w:r>
      <w:r w:rsidR="00396544" w:rsidRPr="009808B7">
        <w:rPr>
          <w:rStyle w:val="IntenseReference"/>
          <w:rFonts w:eastAsia="SimSun"/>
        </w:rPr>
        <w:t xml:space="preserve"> (GBRMPA 2010)</w:t>
      </w:r>
      <w:r w:rsidR="00F75D6C" w:rsidRPr="009808B7">
        <w:rPr>
          <w:rStyle w:val="IntenseReference"/>
          <w:rFonts w:eastAsia="SimSun"/>
        </w:rPr>
        <w:t xml:space="preserve">. Extract from </w:t>
      </w:r>
      <w:r w:rsidR="00D452AC" w:rsidRPr="009808B7">
        <w:rPr>
          <w:rStyle w:val="IntenseReference"/>
          <w:rFonts w:eastAsia="SimSun"/>
        </w:rPr>
        <w:t>Waterhouse</w:t>
      </w:r>
      <w:r w:rsidR="00855728" w:rsidRPr="009808B7">
        <w:rPr>
          <w:rStyle w:val="IntenseReference"/>
          <w:rFonts w:eastAsia="SimSun"/>
        </w:rPr>
        <w:t xml:space="preserve"> et al</w:t>
      </w:r>
      <w:r w:rsidR="00051C52" w:rsidRPr="009808B7">
        <w:rPr>
          <w:rStyle w:val="IntenseReference"/>
          <w:rFonts w:eastAsia="SimSun"/>
        </w:rPr>
        <w:t>.</w:t>
      </w:r>
      <w:r w:rsidR="00855728" w:rsidRPr="009808B7">
        <w:rPr>
          <w:rStyle w:val="IntenseReference"/>
          <w:rFonts w:eastAsia="SimSun"/>
        </w:rPr>
        <w:t xml:space="preserve"> (</w:t>
      </w:r>
      <w:r w:rsidR="00E26182" w:rsidRPr="009808B7">
        <w:rPr>
          <w:rStyle w:val="IntenseReference"/>
          <w:rFonts w:eastAsia="SimSun"/>
        </w:rPr>
        <w:t>201</w:t>
      </w:r>
      <w:r w:rsidR="00E26182">
        <w:rPr>
          <w:rStyle w:val="IntenseReference"/>
          <w:rFonts w:eastAsia="SimSun"/>
        </w:rPr>
        <w:t>8</w:t>
      </w:r>
      <w:r w:rsidR="00855728" w:rsidRPr="00626D6B">
        <w:rPr>
          <w:rStyle w:val="IntenseReference"/>
          <w:rFonts w:eastAsia="SimSun"/>
        </w:rPr>
        <w:t>)</w:t>
      </w:r>
      <w:bookmarkEnd w:id="448"/>
      <w:bookmarkEnd w:id="449"/>
      <w:r w:rsidR="00BC6B0B" w:rsidRPr="009808B7">
        <w:rPr>
          <w:rStyle w:val="IntenseReference"/>
          <w:rFonts w:eastAsia="SimSun"/>
        </w:rPr>
        <w:t>.</w:t>
      </w:r>
      <w:bookmarkEnd w:id="445"/>
      <w:bookmarkEnd w:id="446"/>
      <w:bookmarkEnd w:id="447"/>
    </w:p>
    <w:p w14:paraId="2C469D79" w14:textId="77777777" w:rsidR="00E56CF1" w:rsidRPr="00F352E1" w:rsidRDefault="00E56CF1" w:rsidP="001225BF">
      <w:pPr>
        <w:rPr>
          <w:rFonts w:eastAsia="SimSun"/>
          <w:color w:val="4F81BD" w:themeColor="accent1"/>
        </w:rPr>
      </w:pPr>
    </w:p>
    <w:p w14:paraId="2C13E51A" w14:textId="77777777" w:rsidR="001778B8" w:rsidRPr="00F352E1" w:rsidRDefault="005038AD" w:rsidP="001778B8">
      <w:pPr>
        <w:rPr>
          <w:color w:val="4F81BD" w:themeColor="accent1"/>
        </w:rPr>
      </w:pPr>
      <w:bookmarkStart w:id="450" w:name="_Toc437423868"/>
      <w:bookmarkStart w:id="451" w:name="_Toc437424047"/>
      <w:bookmarkStart w:id="452" w:name="_Toc437424336"/>
      <w:r w:rsidRPr="00F352E1">
        <w:rPr>
          <w:noProof/>
          <w:color w:val="4F81BD" w:themeColor="accent1"/>
          <w:lang w:val="en-AU" w:eastAsia="en-AU"/>
        </w:rPr>
        <w:drawing>
          <wp:inline distT="0" distB="0" distL="0" distR="0" wp14:anchorId="0B067D65" wp14:editId="73ECFEE1">
            <wp:extent cx="5610044" cy="7212914"/>
            <wp:effectExtent l="0" t="0" r="0" b="7620"/>
            <wp:docPr id="12" name="Picture 12" descr="Time-series of water quality parameters sampled by the MMP water Quality Program. Plots are reproduced for Waterhouse et al. 2018" title="Figure A1. 10 Temporal trends in water quality: Johnstone Russell-Mulgrave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m_Johnstone_Russell_Mulgrave_summary.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5610044" cy="7212914"/>
                    </a:xfrm>
                    <a:prstGeom prst="rect">
                      <a:avLst/>
                    </a:prstGeom>
                  </pic:spPr>
                </pic:pic>
              </a:graphicData>
            </a:graphic>
          </wp:inline>
        </w:drawing>
      </w:r>
    </w:p>
    <w:p w14:paraId="1248EE7D" w14:textId="77777777" w:rsidR="00F75D6C" w:rsidRPr="009808B7" w:rsidRDefault="003F670B" w:rsidP="00606A50">
      <w:pPr>
        <w:pStyle w:val="Caption"/>
        <w:rPr>
          <w:rStyle w:val="IntenseReference"/>
          <w:rFonts w:eastAsia="SimSun"/>
        </w:rPr>
      </w:pPr>
      <w:bookmarkStart w:id="453" w:name="_Ref504642979"/>
      <w:bookmarkStart w:id="454" w:name="_Ref469732715"/>
      <w:bookmarkStart w:id="455" w:name="_Toc453243778"/>
      <w:bookmarkStart w:id="456" w:name="_Toc471373210"/>
      <w:bookmarkStart w:id="457" w:name="_Toc500143391"/>
      <w:r>
        <w:t xml:space="preserve">Figure A1. </w:t>
      </w:r>
      <w:r>
        <w:fldChar w:fldCharType="begin"/>
      </w:r>
      <w:r>
        <w:instrText xml:space="preserve"> SEQ Figure_A1. \* ARABIC </w:instrText>
      </w:r>
      <w:r>
        <w:fldChar w:fldCharType="separate"/>
      </w:r>
      <w:r w:rsidR="00A75175">
        <w:rPr>
          <w:noProof/>
        </w:rPr>
        <w:t>10</w:t>
      </w:r>
      <w:r>
        <w:fldChar w:fldCharType="end"/>
      </w:r>
      <w:bookmarkEnd w:id="453"/>
      <w:r>
        <w:t xml:space="preserve"> </w:t>
      </w:r>
      <w:r w:rsidR="009D2F51" w:rsidRPr="004252BF">
        <w:t>Temporal trends in water quality: Johnstone Russell-Mulgrave sub-region.</w:t>
      </w:r>
      <w:bookmarkEnd w:id="450"/>
      <w:bookmarkEnd w:id="451"/>
      <w:bookmarkEnd w:id="452"/>
      <w:bookmarkEnd w:id="454"/>
      <w:bookmarkEnd w:id="455"/>
      <w:bookmarkEnd w:id="456"/>
      <w:r w:rsidR="00F75D6C" w:rsidRPr="004C26C1">
        <w:rPr>
          <w:rStyle w:val="IntenseReference"/>
          <w:rFonts w:eastAsia="SimSun"/>
          <w:color w:val="auto"/>
        </w:rPr>
        <w:t xml:space="preserve"> </w:t>
      </w:r>
      <w:bookmarkStart w:id="458" w:name="_Toc437424337"/>
      <w:r w:rsidR="00F75D6C" w:rsidRPr="00626D6B">
        <w:rPr>
          <w:rStyle w:val="IntenseReference"/>
          <w:rFonts w:eastAsia="SimSun"/>
        </w:rPr>
        <w:t xml:space="preserve">a) water quality index, b) chlorophyll </w:t>
      </w:r>
      <w:r w:rsidR="00F75D6C" w:rsidRPr="009A622B">
        <w:rPr>
          <w:rStyle w:val="IntenseReference"/>
          <w:rFonts w:eastAsia="SimSun"/>
        </w:rPr>
        <w:t>a</w:t>
      </w:r>
      <w:r w:rsidR="00F75D6C" w:rsidRPr="00626D6B">
        <w:rPr>
          <w:rStyle w:val="IntenseReference"/>
          <w:rFonts w:eastAsia="SimSun"/>
        </w:rPr>
        <w:t xml:space="preserve">, c) </w:t>
      </w:r>
      <w:r w:rsidR="00691C98" w:rsidRPr="009808B7">
        <w:rPr>
          <w:rStyle w:val="IntenseReference"/>
          <w:rFonts w:eastAsia="SimSun"/>
        </w:rPr>
        <w:t xml:space="preserve">nitrate/nitrite, </w:t>
      </w:r>
      <w:r w:rsidR="00F75D6C" w:rsidRPr="009808B7">
        <w:rPr>
          <w:rStyle w:val="IntenseReference"/>
          <w:rFonts w:eastAsia="SimSun"/>
        </w:rPr>
        <w:t>d)</w:t>
      </w:r>
      <w:r w:rsidR="00691C98" w:rsidRPr="009808B7">
        <w:rPr>
          <w:rStyle w:val="IntenseReference"/>
          <w:rFonts w:eastAsia="SimSun"/>
        </w:rPr>
        <w:t xml:space="preserve"> Phosphate</w:t>
      </w:r>
      <w:r w:rsidR="00F75D6C" w:rsidRPr="009808B7">
        <w:rPr>
          <w:rStyle w:val="IntenseReference"/>
          <w:rFonts w:eastAsia="SimSun"/>
        </w:rPr>
        <w:t xml:space="preserve"> e) </w:t>
      </w:r>
      <w:r w:rsidR="00691C98" w:rsidRPr="009808B7">
        <w:rPr>
          <w:rStyle w:val="IntenseReference"/>
          <w:rFonts w:eastAsia="SimSun"/>
        </w:rPr>
        <w:t xml:space="preserve">turbidity, </w:t>
      </w:r>
      <w:r w:rsidR="00F75D6C" w:rsidRPr="009808B7">
        <w:rPr>
          <w:rStyle w:val="IntenseReference"/>
          <w:rFonts w:eastAsia="SimSun"/>
        </w:rPr>
        <w:t xml:space="preserve">f) </w:t>
      </w:r>
      <w:r w:rsidR="00691C98" w:rsidRPr="009808B7">
        <w:rPr>
          <w:rStyle w:val="IntenseReference"/>
          <w:rFonts w:eastAsia="SimSun"/>
        </w:rPr>
        <w:t xml:space="preserve">total suspended solids, </w:t>
      </w:r>
      <w:r w:rsidR="00F75D6C" w:rsidRPr="009808B7">
        <w:rPr>
          <w:rStyle w:val="IntenseReference"/>
          <w:rFonts w:eastAsia="SimSun"/>
        </w:rPr>
        <w:t xml:space="preserve">g) </w:t>
      </w:r>
      <w:r w:rsidR="00691C98" w:rsidRPr="009808B7">
        <w:rPr>
          <w:rStyle w:val="IntenseReference"/>
          <w:rFonts w:eastAsia="SimSun"/>
        </w:rPr>
        <w:t xml:space="preserve">secchi depth, </w:t>
      </w:r>
      <w:r w:rsidR="00F75D6C" w:rsidRPr="009808B7">
        <w:rPr>
          <w:rStyle w:val="IntenseReference"/>
          <w:rFonts w:eastAsia="SimSun"/>
        </w:rPr>
        <w:t xml:space="preserve">h) </w:t>
      </w:r>
      <w:r w:rsidR="00691C98" w:rsidRPr="009808B7">
        <w:rPr>
          <w:rStyle w:val="IntenseReference"/>
          <w:rFonts w:eastAsia="SimSun"/>
        </w:rPr>
        <w:t xml:space="preserve">particulate nitrogen, </w:t>
      </w:r>
      <w:r w:rsidR="00F75D6C" w:rsidRPr="009808B7">
        <w:rPr>
          <w:rStyle w:val="IntenseReference"/>
          <w:rFonts w:eastAsia="SimSun"/>
        </w:rPr>
        <w:t xml:space="preserve">i) </w:t>
      </w:r>
      <w:r w:rsidR="00691C98" w:rsidRPr="009808B7">
        <w:rPr>
          <w:rStyle w:val="IntenseReference"/>
          <w:rFonts w:eastAsia="SimSun"/>
        </w:rPr>
        <w:t>particulate phosphorus</w:t>
      </w:r>
      <w:r w:rsidR="00F75D6C" w:rsidRPr="009808B7">
        <w:rPr>
          <w:rStyle w:val="IntenseReference"/>
          <w:rFonts w:eastAsia="SimSun"/>
        </w:rPr>
        <w:t xml:space="preserve"> j) </w:t>
      </w:r>
      <w:r w:rsidR="00691C98" w:rsidRPr="009808B7">
        <w:rPr>
          <w:rStyle w:val="IntenseReference"/>
          <w:rFonts w:eastAsia="SimSun"/>
        </w:rPr>
        <w:t xml:space="preserve">, particulate organic carbon and k) </w:t>
      </w:r>
      <w:r w:rsidR="00F75D6C" w:rsidRPr="009808B7">
        <w:rPr>
          <w:rStyle w:val="IntenseReference"/>
          <w:rFonts w:eastAsia="SimSun"/>
        </w:rPr>
        <w:t>dissolved organic carbon. Water quality index colour coding: dark green- ‘very good’; light green-‘good’; yellow – ‘moderate; orange – ‘poor’; red – ‘very poor’. The water quality index is the aggregate of variables plotted in b</w:t>
      </w:r>
      <w:r w:rsidR="00C97948" w:rsidRPr="009808B7">
        <w:rPr>
          <w:rStyle w:val="IntenseReference"/>
          <w:rFonts w:eastAsia="SimSun"/>
        </w:rPr>
        <w:t>, c, f</w:t>
      </w:r>
      <w:r w:rsidR="00F75D6C" w:rsidRPr="009808B7">
        <w:rPr>
          <w:rStyle w:val="IntenseReference"/>
          <w:rFonts w:eastAsia="SimSun"/>
        </w:rPr>
        <w:t xml:space="preserve"> - </w:t>
      </w:r>
      <w:r w:rsidR="00691C98" w:rsidRPr="009808B7">
        <w:rPr>
          <w:rStyle w:val="IntenseReference"/>
          <w:rFonts w:eastAsia="SimSun"/>
        </w:rPr>
        <w:t xml:space="preserve">i </w:t>
      </w:r>
      <w:r w:rsidR="00F75D6C" w:rsidRPr="009808B7">
        <w:rPr>
          <w:rStyle w:val="IntenseReference"/>
          <w:rFonts w:eastAsia="SimSun"/>
        </w:rPr>
        <w:t xml:space="preserve">and calculated as described in </w:t>
      </w:r>
      <w:r w:rsidR="001225BF" w:rsidRPr="009808B7">
        <w:rPr>
          <w:rStyle w:val="IntenseReference"/>
          <w:rFonts w:eastAsia="SimSun"/>
        </w:rPr>
        <w:t>Waterhouse</w:t>
      </w:r>
      <w:r w:rsidR="00BC6B0B" w:rsidRPr="009808B7">
        <w:rPr>
          <w:rStyle w:val="IntenseReference"/>
          <w:rFonts w:eastAsia="SimSun"/>
        </w:rPr>
        <w:t xml:space="preserve"> </w:t>
      </w:r>
      <w:r w:rsidR="00BC6B0B" w:rsidRPr="009A622B">
        <w:rPr>
          <w:rStyle w:val="IntenseReference"/>
          <w:rFonts w:eastAsia="SimSun"/>
        </w:rPr>
        <w:t>et al.</w:t>
      </w:r>
      <w:r w:rsidR="00EA1457" w:rsidRPr="00626D6B">
        <w:rPr>
          <w:rStyle w:val="IntenseReference"/>
          <w:rFonts w:eastAsia="SimSun"/>
        </w:rPr>
        <w:t xml:space="preserve"> </w:t>
      </w:r>
      <w:r w:rsidR="00EA1457" w:rsidRPr="009808B7">
        <w:rPr>
          <w:rStyle w:val="IntenseReference"/>
          <w:rFonts w:eastAsia="SimSun"/>
        </w:rPr>
        <w:t>(201</w:t>
      </w:r>
      <w:r w:rsidR="00E26182">
        <w:rPr>
          <w:rStyle w:val="IntenseReference"/>
          <w:rFonts w:eastAsia="SimSun"/>
        </w:rPr>
        <w:t>8</w:t>
      </w:r>
      <w:r w:rsidR="00BC6B0B" w:rsidRPr="009808B7">
        <w:rPr>
          <w:rStyle w:val="IntenseReference"/>
          <w:rFonts w:eastAsia="SimSun"/>
        </w:rPr>
        <w:t>).</w:t>
      </w:r>
      <w:r w:rsidR="00C518CB" w:rsidRPr="009808B7">
        <w:rPr>
          <w:rStyle w:val="IntenseReference"/>
          <w:rFonts w:eastAsia="SimSun"/>
        </w:rPr>
        <w:t xml:space="preserve"> Trends in PO</w:t>
      </w:r>
      <w:r w:rsidR="00C518CB" w:rsidRPr="009A622B">
        <w:rPr>
          <w:rStyle w:val="IntenseReference"/>
          <w:rFonts w:eastAsia="SimSun"/>
        </w:rPr>
        <w:t>4</w:t>
      </w:r>
      <w:r w:rsidR="00C518CB" w:rsidRPr="00626D6B">
        <w:rPr>
          <w:rStyle w:val="IntenseReference"/>
          <w:rFonts w:eastAsia="SimSun"/>
        </w:rPr>
        <w:t>, POC and DOC values are plotted here (d, j, k);</w:t>
      </w:r>
      <w:r w:rsidR="00F75D6C" w:rsidRPr="009808B7">
        <w:rPr>
          <w:rStyle w:val="IntenseReference"/>
          <w:rFonts w:eastAsia="SimSun"/>
        </w:rPr>
        <w:t xml:space="preserve">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w:t>
      </w:r>
      <w:r w:rsidR="00691C98" w:rsidRPr="009808B7">
        <w:rPr>
          <w:rStyle w:val="IntenseReference"/>
          <w:rFonts w:eastAsia="SimSun"/>
        </w:rPr>
        <w:t>e</w:t>
      </w:r>
      <w:r w:rsidR="00F75D6C" w:rsidRPr="009808B7">
        <w:rPr>
          <w:rStyle w:val="IntenseReference"/>
          <w:rFonts w:eastAsia="SimSun"/>
        </w:rPr>
        <w:t>) are represented in red, individual records are not displayed. Dashed reference lines indicate guideline values</w:t>
      </w:r>
      <w:r w:rsidR="00782894" w:rsidRPr="009808B7">
        <w:rPr>
          <w:rStyle w:val="IntenseReference"/>
          <w:rFonts w:eastAsia="SimSun"/>
        </w:rPr>
        <w:t xml:space="preserve"> (GBRMPA 2010)</w:t>
      </w:r>
      <w:r w:rsidR="00F75D6C" w:rsidRPr="009808B7">
        <w:rPr>
          <w:rStyle w:val="IntenseReference"/>
          <w:rFonts w:eastAsia="SimSun"/>
        </w:rPr>
        <w:t xml:space="preserve">. Extract from </w:t>
      </w:r>
      <w:r w:rsidR="001225BF" w:rsidRPr="009808B7">
        <w:rPr>
          <w:rStyle w:val="IntenseReference"/>
          <w:rFonts w:eastAsia="SimSun"/>
        </w:rPr>
        <w:t>Waterhouse</w:t>
      </w:r>
      <w:r w:rsidR="00855728" w:rsidRPr="009808B7">
        <w:rPr>
          <w:rStyle w:val="IntenseReference"/>
          <w:rFonts w:eastAsia="SimSun"/>
        </w:rPr>
        <w:t xml:space="preserve"> </w:t>
      </w:r>
      <w:r w:rsidR="00855728" w:rsidRPr="009A622B">
        <w:rPr>
          <w:rStyle w:val="IntenseReference"/>
          <w:rFonts w:eastAsia="SimSun"/>
        </w:rPr>
        <w:t>et al</w:t>
      </w:r>
      <w:r w:rsidR="00DB7D45" w:rsidRPr="009A622B">
        <w:rPr>
          <w:rStyle w:val="IntenseReference"/>
          <w:rFonts w:eastAsia="SimSun"/>
        </w:rPr>
        <w:t>.</w:t>
      </w:r>
      <w:r w:rsidR="00855728" w:rsidRPr="00626D6B">
        <w:rPr>
          <w:rStyle w:val="IntenseReference"/>
          <w:rFonts w:eastAsia="SimSun"/>
        </w:rPr>
        <w:t xml:space="preserve"> (</w:t>
      </w:r>
      <w:r w:rsidR="001225BF" w:rsidRPr="009808B7">
        <w:rPr>
          <w:rStyle w:val="IntenseReference"/>
          <w:rFonts w:eastAsia="SimSun"/>
        </w:rPr>
        <w:t>201</w:t>
      </w:r>
      <w:r w:rsidR="00E26182">
        <w:rPr>
          <w:rStyle w:val="IntenseReference"/>
          <w:rFonts w:eastAsia="SimSun"/>
        </w:rPr>
        <w:t>8</w:t>
      </w:r>
      <w:r w:rsidR="00855728" w:rsidRPr="009808B7">
        <w:rPr>
          <w:rStyle w:val="IntenseReference"/>
          <w:rFonts w:eastAsia="SimSun"/>
        </w:rPr>
        <w:t>)</w:t>
      </w:r>
      <w:bookmarkEnd w:id="458"/>
      <w:r w:rsidR="00BC6B0B" w:rsidRPr="009808B7">
        <w:rPr>
          <w:rStyle w:val="IntenseReference"/>
          <w:rFonts w:eastAsia="SimSun"/>
        </w:rPr>
        <w:t>.</w:t>
      </w:r>
      <w:bookmarkEnd w:id="457"/>
    </w:p>
    <w:p w14:paraId="12F1F54C" w14:textId="77777777" w:rsidR="00EB5372" w:rsidRPr="00F352E1" w:rsidRDefault="00EB5372">
      <w:pPr>
        <w:jc w:val="left"/>
        <w:rPr>
          <w:color w:val="4F81BD" w:themeColor="accent1"/>
        </w:rPr>
      </w:pPr>
      <w:r w:rsidRPr="00F352E1">
        <w:rPr>
          <w:color w:val="4F81BD" w:themeColor="accent1"/>
        </w:rPr>
        <w:br w:type="page"/>
      </w:r>
    </w:p>
    <w:p w14:paraId="675C2DD0" w14:textId="77777777" w:rsidR="002A0417" w:rsidRPr="00F352E1" w:rsidRDefault="00863184" w:rsidP="002A0417">
      <w:pPr>
        <w:keepNext/>
        <w:rPr>
          <w:color w:val="4F81BD" w:themeColor="accent1"/>
        </w:rPr>
      </w:pPr>
      <w:r w:rsidRPr="00F352E1">
        <w:rPr>
          <w:noProof/>
          <w:color w:val="4F81BD" w:themeColor="accent1"/>
          <w:lang w:val="en-AU" w:eastAsia="en-AU"/>
        </w:rPr>
        <w:drawing>
          <wp:inline distT="0" distB="0" distL="0" distR="0" wp14:anchorId="4D017306" wp14:editId="1DD2480F">
            <wp:extent cx="5735955" cy="7216140"/>
            <wp:effectExtent l="0" t="0" r="0" b="3810"/>
            <wp:docPr id="16" name="Picture 16" descr="Time-series of water quality parameters sampled by the MMP water Quality Program. Plots are reproduced for Waterhouse et al. 2018" title="Figure A1. 11 Temporal trends in water quality: Herbert Tully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m_Tully_Herbert_summary.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5736240" cy="7216499"/>
                    </a:xfrm>
                    <a:prstGeom prst="rect">
                      <a:avLst/>
                    </a:prstGeom>
                  </pic:spPr>
                </pic:pic>
              </a:graphicData>
            </a:graphic>
          </wp:inline>
        </w:drawing>
      </w:r>
    </w:p>
    <w:p w14:paraId="56567029" w14:textId="77777777" w:rsidR="006E3C16" w:rsidRPr="00F352E1" w:rsidRDefault="003F670B" w:rsidP="00606A50">
      <w:pPr>
        <w:pStyle w:val="Caption"/>
        <w:rPr>
          <w:vanish/>
        </w:rPr>
      </w:pPr>
      <w:bookmarkStart w:id="459" w:name="_Ref504643099"/>
      <w:bookmarkStart w:id="460" w:name="_Ref469736077"/>
      <w:bookmarkStart w:id="461" w:name="_Toc437423869"/>
      <w:bookmarkStart w:id="462" w:name="_Toc437424048"/>
      <w:bookmarkStart w:id="463" w:name="_Toc437424338"/>
      <w:bookmarkStart w:id="464" w:name="_Toc453243779"/>
      <w:bookmarkStart w:id="465" w:name="_Ref460485523"/>
      <w:bookmarkStart w:id="466" w:name="_Toc471373211"/>
      <w:bookmarkStart w:id="467" w:name="_Toc500143392"/>
      <w:r>
        <w:t xml:space="preserve">Figure A1. </w:t>
      </w:r>
      <w:r>
        <w:fldChar w:fldCharType="begin"/>
      </w:r>
      <w:r>
        <w:instrText xml:space="preserve"> SEQ Figure_A1. \* ARABIC </w:instrText>
      </w:r>
      <w:r>
        <w:fldChar w:fldCharType="separate"/>
      </w:r>
      <w:r w:rsidR="00A75175">
        <w:rPr>
          <w:noProof/>
        </w:rPr>
        <w:t>11</w:t>
      </w:r>
      <w:r>
        <w:fldChar w:fldCharType="end"/>
      </w:r>
      <w:bookmarkEnd w:id="459"/>
      <w:r>
        <w:t xml:space="preserve"> </w:t>
      </w:r>
      <w:r w:rsidR="009D2F51" w:rsidRPr="004252BF">
        <w:t>Temporal trends in water quality: Herbert Tully sub-region</w:t>
      </w:r>
      <w:bookmarkEnd w:id="460"/>
      <w:r w:rsidR="008E0B4F" w:rsidRPr="00F352E1">
        <w:t>.</w:t>
      </w:r>
      <w:bookmarkEnd w:id="461"/>
      <w:bookmarkEnd w:id="462"/>
      <w:bookmarkEnd w:id="463"/>
      <w:bookmarkEnd w:id="464"/>
      <w:bookmarkEnd w:id="465"/>
      <w:bookmarkEnd w:id="466"/>
      <w:bookmarkEnd w:id="467"/>
    </w:p>
    <w:p w14:paraId="4D19A870" w14:textId="77777777" w:rsidR="00691C98" w:rsidRPr="009808B7" w:rsidRDefault="00C22707" w:rsidP="00606A50">
      <w:pPr>
        <w:pStyle w:val="Caption"/>
        <w:rPr>
          <w:rStyle w:val="IntenseReference"/>
          <w:rFonts w:eastAsia="SimSun"/>
        </w:rPr>
      </w:pPr>
      <w:r w:rsidRPr="00F352E1">
        <w:t xml:space="preserve"> </w:t>
      </w:r>
      <w:r w:rsidR="00691C98" w:rsidRPr="00626D6B">
        <w:rPr>
          <w:rStyle w:val="IntenseReference"/>
          <w:rFonts w:eastAsia="SimSun"/>
        </w:rPr>
        <w:t xml:space="preserve">a) water quality index, b) chlorophyll </w:t>
      </w:r>
      <w:r w:rsidR="00691C98" w:rsidRPr="009A622B">
        <w:rPr>
          <w:rStyle w:val="IntenseReference"/>
          <w:rFonts w:eastAsia="SimSun"/>
        </w:rPr>
        <w:t>a</w:t>
      </w:r>
      <w:r w:rsidR="00691C98" w:rsidRPr="00626D6B">
        <w:rPr>
          <w:rStyle w:val="IntenseReference"/>
          <w:rFonts w:eastAsia="SimSun"/>
        </w:rPr>
        <w:t xml:space="preserve">, c) nitrate/nitrite, d) Phosphate e) turbidity, f) total suspended solids, g) secchi depth, h) particulate nitrogen, i) particulate phosphorus j) , particulate organic carbon and k) dissolved organic carbon. Water quality index colour coding: dark green- </w:t>
      </w:r>
      <w:r w:rsidR="00691C98" w:rsidRPr="009808B7">
        <w:rPr>
          <w:rStyle w:val="IntenseReference"/>
          <w:rFonts w:eastAsia="SimSun"/>
        </w:rPr>
        <w:t xml:space="preserve">‘very good’; light green-‘good’; yellow – ‘moderate; orange – ‘poor’; red – ‘very poor’. The water quality index is the aggregate of variables plotted in b - i and calculated as described in Waterhouse </w:t>
      </w:r>
      <w:r w:rsidR="00691C98" w:rsidRPr="009A622B">
        <w:rPr>
          <w:rStyle w:val="IntenseReference"/>
          <w:rFonts w:eastAsia="SimSun"/>
        </w:rPr>
        <w:t>et al.</w:t>
      </w:r>
      <w:r w:rsidR="00691C98" w:rsidRPr="00626D6B">
        <w:rPr>
          <w:rStyle w:val="IntenseReference"/>
          <w:rFonts w:eastAsia="SimSun"/>
        </w:rPr>
        <w:t xml:space="preserve"> (</w:t>
      </w:r>
      <w:r w:rsidR="00E26182" w:rsidRPr="009808B7">
        <w:rPr>
          <w:rStyle w:val="IntenseReference"/>
          <w:rFonts w:eastAsia="SimSun"/>
        </w:rPr>
        <w:t>201</w:t>
      </w:r>
      <w:r w:rsidR="00E26182">
        <w:rPr>
          <w:rStyle w:val="IntenseReference"/>
          <w:rFonts w:eastAsia="SimSun"/>
        </w:rPr>
        <w:t>8</w:t>
      </w:r>
      <w:r w:rsidR="00691C98" w:rsidRPr="00626D6B">
        <w:rPr>
          <w:rStyle w:val="IntenseReference"/>
          <w:rFonts w:eastAsia="SimSun"/>
        </w:rPr>
        <w:t>).Trends in PO</w:t>
      </w:r>
      <w:r w:rsidR="00691C98" w:rsidRPr="009A622B">
        <w:rPr>
          <w:rStyle w:val="IntenseReference"/>
          <w:rFonts w:eastAsia="SimSun"/>
        </w:rPr>
        <w:t>4</w:t>
      </w:r>
      <w:r w:rsidR="00691C98" w:rsidRPr="00626D6B">
        <w:rPr>
          <w:rStyle w:val="IntenseReference"/>
          <w:rFonts w:eastAsia="SimSun"/>
        </w:rPr>
        <w:t>, POC and DOC values ar</w:t>
      </w:r>
      <w:r w:rsidR="00691C98" w:rsidRPr="009808B7">
        <w:rPr>
          <w:rStyle w:val="IntenseReference"/>
          <w:rFonts w:eastAsia="SimSun"/>
        </w:rPr>
        <w:t>e plotted here (</w:t>
      </w:r>
      <w:r w:rsidR="00C518CB" w:rsidRPr="009808B7">
        <w:rPr>
          <w:rStyle w:val="IntenseReference"/>
          <w:rFonts w:eastAsia="SimSun"/>
        </w:rPr>
        <w:t xml:space="preserve">d, </w:t>
      </w:r>
      <w:r w:rsidR="00691C98" w:rsidRPr="009808B7">
        <w:rPr>
          <w:rStyle w:val="IntenseReference"/>
          <w:rFonts w:eastAsia="SimSun"/>
        </w:rPr>
        <w:t xml:space="preserve">j, k);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e) are represented in red, individual records are not displayed. Dashed reference lines indicate guideline values (GBRMPA 2010). Extract from Waterhouse </w:t>
      </w:r>
      <w:r w:rsidR="00691C98" w:rsidRPr="009A622B">
        <w:rPr>
          <w:rStyle w:val="IntenseReference"/>
          <w:rFonts w:eastAsia="SimSun"/>
        </w:rPr>
        <w:t>et al.</w:t>
      </w:r>
      <w:r w:rsidR="00691C98" w:rsidRPr="00626D6B">
        <w:rPr>
          <w:rStyle w:val="IntenseReference"/>
          <w:rFonts w:eastAsia="SimSun"/>
        </w:rPr>
        <w:t xml:space="preserve"> (</w:t>
      </w:r>
      <w:r w:rsidR="00E26182" w:rsidRPr="009808B7">
        <w:rPr>
          <w:rStyle w:val="IntenseReference"/>
          <w:rFonts w:eastAsia="SimSun"/>
        </w:rPr>
        <w:t>201</w:t>
      </w:r>
      <w:r w:rsidR="00E26182">
        <w:rPr>
          <w:rStyle w:val="IntenseReference"/>
          <w:rFonts w:eastAsia="SimSun"/>
        </w:rPr>
        <w:t>8</w:t>
      </w:r>
      <w:r w:rsidR="00691C98" w:rsidRPr="00626D6B">
        <w:rPr>
          <w:rStyle w:val="IntenseReference"/>
          <w:rFonts w:eastAsia="SimSun"/>
        </w:rPr>
        <w:t>).</w:t>
      </w:r>
    </w:p>
    <w:p w14:paraId="6C5FBED4" w14:textId="77777777" w:rsidR="00EB5372" w:rsidRPr="00F352E1" w:rsidRDefault="00EB5372" w:rsidP="00606A50">
      <w:pPr>
        <w:pStyle w:val="Caption"/>
        <w:rPr>
          <w:rStyle w:val="IntenseReference"/>
          <w:rFonts w:eastAsia="SimSun"/>
          <w:color w:val="4F81BD" w:themeColor="accent1"/>
        </w:rPr>
      </w:pPr>
      <w:r w:rsidRPr="00F352E1">
        <w:rPr>
          <w:rStyle w:val="IntenseReference"/>
          <w:rFonts w:eastAsia="SimSun"/>
          <w:color w:val="4F81BD" w:themeColor="accent1"/>
        </w:rPr>
        <w:br w:type="page"/>
      </w:r>
    </w:p>
    <w:p w14:paraId="3028CBAB" w14:textId="77777777" w:rsidR="001778B8" w:rsidRPr="00F352E1" w:rsidRDefault="00863184" w:rsidP="001778B8">
      <w:pPr>
        <w:rPr>
          <w:color w:val="4F81BD" w:themeColor="accent1"/>
        </w:rPr>
      </w:pPr>
      <w:bookmarkStart w:id="468" w:name="_Toc437423870"/>
      <w:bookmarkStart w:id="469" w:name="_Toc437424049"/>
      <w:bookmarkStart w:id="470" w:name="_Toc437424340"/>
      <w:r w:rsidRPr="00F352E1">
        <w:rPr>
          <w:noProof/>
          <w:color w:val="4F81BD" w:themeColor="accent1"/>
          <w:lang w:val="en-AU" w:eastAsia="en-AU"/>
        </w:rPr>
        <w:drawing>
          <wp:inline distT="0" distB="0" distL="0" distR="0" wp14:anchorId="4E7CBDA7" wp14:editId="653C988E">
            <wp:extent cx="5448301" cy="7004959"/>
            <wp:effectExtent l="0" t="0" r="0" b="5715"/>
            <wp:docPr id="17" name="Picture 17" descr="Time-series of water quality parameters sampled by the MMP water Quality Program. Plots are reproduced for Waterhouse et al. 2018" title="Figure A1. 12 Temporal trends in water quality: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m_Burdekin_summary.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5448301" cy="7004959"/>
                    </a:xfrm>
                    <a:prstGeom prst="rect">
                      <a:avLst/>
                    </a:prstGeom>
                  </pic:spPr>
                </pic:pic>
              </a:graphicData>
            </a:graphic>
          </wp:inline>
        </w:drawing>
      </w:r>
    </w:p>
    <w:p w14:paraId="281A3451" w14:textId="77777777" w:rsidR="006E3C16" w:rsidRPr="00F352E1" w:rsidRDefault="003F670B" w:rsidP="00606A50">
      <w:pPr>
        <w:pStyle w:val="Caption"/>
        <w:rPr>
          <w:vanish/>
        </w:rPr>
      </w:pPr>
      <w:bookmarkStart w:id="471" w:name="_Ref504643377"/>
      <w:bookmarkStart w:id="472" w:name="_Ref469946199"/>
      <w:bookmarkStart w:id="473" w:name="_Toc453243780"/>
      <w:bookmarkStart w:id="474" w:name="_Toc471373212"/>
      <w:bookmarkStart w:id="475" w:name="_Toc500143393"/>
      <w:r>
        <w:t xml:space="preserve">Figure A1. </w:t>
      </w:r>
      <w:r>
        <w:fldChar w:fldCharType="begin"/>
      </w:r>
      <w:r>
        <w:instrText xml:space="preserve"> SEQ Figure_A1. \* ARABIC </w:instrText>
      </w:r>
      <w:r>
        <w:fldChar w:fldCharType="separate"/>
      </w:r>
      <w:r w:rsidR="00A75175">
        <w:rPr>
          <w:noProof/>
        </w:rPr>
        <w:t>12</w:t>
      </w:r>
      <w:r>
        <w:fldChar w:fldCharType="end"/>
      </w:r>
      <w:bookmarkEnd w:id="471"/>
      <w:r>
        <w:t xml:space="preserve"> </w:t>
      </w:r>
      <w:r w:rsidR="009D2F51" w:rsidRPr="004252BF">
        <w:t>Temporal trends in water quality: Burdekin region</w:t>
      </w:r>
      <w:r w:rsidR="009D2F51" w:rsidRPr="00F352E1">
        <w:t>.</w:t>
      </w:r>
      <w:bookmarkEnd w:id="468"/>
      <w:bookmarkEnd w:id="469"/>
      <w:bookmarkEnd w:id="470"/>
      <w:bookmarkEnd w:id="472"/>
      <w:bookmarkEnd w:id="473"/>
      <w:bookmarkEnd w:id="474"/>
      <w:bookmarkEnd w:id="475"/>
      <w:r w:rsidR="009D2F51" w:rsidRPr="00F352E1">
        <w:rPr>
          <w:vanish/>
        </w:rPr>
        <w:t xml:space="preserve"> </w:t>
      </w:r>
    </w:p>
    <w:p w14:paraId="1055CF0F" w14:textId="77777777" w:rsidR="00C97948" w:rsidRPr="009808B7" w:rsidRDefault="008E0B4F" w:rsidP="00606A50">
      <w:pPr>
        <w:pStyle w:val="Caption"/>
        <w:rPr>
          <w:rStyle w:val="IntenseReference"/>
          <w:rFonts w:eastAsia="SimSun"/>
        </w:rPr>
      </w:pPr>
      <w:r w:rsidRPr="00F352E1">
        <w:rPr>
          <w:rStyle w:val="IntenseReference"/>
          <w:rFonts w:eastAsia="SimSun"/>
          <w:color w:val="4F81BD" w:themeColor="accent1"/>
        </w:rPr>
        <w:t xml:space="preserve"> </w:t>
      </w:r>
      <w:bookmarkStart w:id="476" w:name="_Toc437424341"/>
      <w:r w:rsidR="00C97948" w:rsidRPr="00626D6B">
        <w:rPr>
          <w:rStyle w:val="IntenseReference"/>
          <w:rFonts w:eastAsia="SimSun"/>
        </w:rPr>
        <w:t xml:space="preserve">a) water quality index, b) chlorophyll </w:t>
      </w:r>
      <w:r w:rsidR="00C97948" w:rsidRPr="009A622B">
        <w:rPr>
          <w:rStyle w:val="IntenseReference"/>
          <w:rFonts w:eastAsia="SimSun"/>
        </w:rPr>
        <w:t xml:space="preserve">a, c) nitrate/nitrite, d) Phosphate e) turbidity, f) total suspended solids, g) secchi depth, h) particulate nitrogen, </w:t>
      </w:r>
      <w:r w:rsidR="00C97948" w:rsidRPr="00626D6B">
        <w:rPr>
          <w:rStyle w:val="IntenseReference"/>
          <w:rFonts w:eastAsia="SimSun"/>
        </w:rPr>
        <w:t>i) particulate phosphorus j) , particulate organic carbon and k) dissolved organic carbon. Water quality index colour coding: dark green-</w:t>
      </w:r>
      <w:r w:rsidR="00C97948" w:rsidRPr="009808B7">
        <w:rPr>
          <w:rStyle w:val="IntenseReference"/>
          <w:rFonts w:eastAsia="SimSun"/>
        </w:rPr>
        <w:t xml:space="preserve"> ‘very good’; light green-‘good’; yellow – ‘moderate; orange – ‘poor’; red – ‘very poor’. The water quality index is the aggregate of variables plotted in b - i and calculated as described in Waterhouse </w:t>
      </w:r>
      <w:r w:rsidR="00C97948" w:rsidRPr="009A622B">
        <w:rPr>
          <w:rStyle w:val="IntenseReference"/>
          <w:rFonts w:eastAsia="SimSun"/>
        </w:rPr>
        <w:t>et al.</w:t>
      </w:r>
      <w:r w:rsidR="00C97948" w:rsidRPr="00626D6B">
        <w:rPr>
          <w:rStyle w:val="IntenseReference"/>
          <w:rFonts w:eastAsia="SimSun"/>
        </w:rPr>
        <w:t xml:space="preserve"> (</w:t>
      </w:r>
      <w:r w:rsidR="00E26182" w:rsidRPr="009808B7">
        <w:rPr>
          <w:rStyle w:val="IntenseReference"/>
          <w:rFonts w:eastAsia="SimSun"/>
        </w:rPr>
        <w:t>201</w:t>
      </w:r>
      <w:r w:rsidR="00E26182">
        <w:rPr>
          <w:rStyle w:val="IntenseReference"/>
          <w:rFonts w:eastAsia="SimSun"/>
        </w:rPr>
        <w:t>8</w:t>
      </w:r>
      <w:r w:rsidR="00C97948" w:rsidRPr="00626D6B">
        <w:rPr>
          <w:rStyle w:val="IntenseReference"/>
          <w:rFonts w:eastAsia="SimSun"/>
        </w:rPr>
        <w:t>).Trends in PO</w:t>
      </w:r>
      <w:r w:rsidR="00C97948" w:rsidRPr="009A622B">
        <w:rPr>
          <w:rStyle w:val="IntenseReference"/>
          <w:rFonts w:eastAsia="SimSun"/>
        </w:rPr>
        <w:t>4</w:t>
      </w:r>
      <w:r w:rsidR="00C97948" w:rsidRPr="00626D6B">
        <w:rPr>
          <w:rStyle w:val="IntenseReference"/>
          <w:rFonts w:eastAsia="SimSun"/>
        </w:rPr>
        <w:t>, POC and DOC values are plotted here (d, j, k); threshold levels have yet to be established. Trends in manually sampled water quality variables are represented by blue lines with blue shaded areas defining 95% confidence intervals of those trends, black d</w:t>
      </w:r>
      <w:r w:rsidR="00C97948" w:rsidRPr="009808B7">
        <w:rPr>
          <w:rStyle w:val="IntenseReference"/>
          <w:rFonts w:eastAsia="SimSun"/>
        </w:rPr>
        <w:t xml:space="preserve">ots represent observed data. Trends of records from ECO FLNTUSB instruments (b, e) are represented in red, individual records are not displayed. Dashed reference lines indicate guideline values (GBRMPA 2010). Extract from Waterhouse </w:t>
      </w:r>
      <w:r w:rsidR="00C97948" w:rsidRPr="009A622B">
        <w:rPr>
          <w:rStyle w:val="IntenseReference"/>
          <w:rFonts w:eastAsia="SimSun"/>
        </w:rPr>
        <w:t>et al.</w:t>
      </w:r>
      <w:r w:rsidR="00C97948" w:rsidRPr="00626D6B">
        <w:rPr>
          <w:rStyle w:val="IntenseReference"/>
          <w:rFonts w:eastAsia="SimSun"/>
        </w:rPr>
        <w:t xml:space="preserve"> (</w:t>
      </w:r>
      <w:r w:rsidR="00E26182" w:rsidRPr="009808B7">
        <w:rPr>
          <w:rStyle w:val="IntenseReference"/>
          <w:rFonts w:eastAsia="SimSun"/>
        </w:rPr>
        <w:t>201</w:t>
      </w:r>
      <w:r w:rsidR="00E26182">
        <w:rPr>
          <w:rStyle w:val="IntenseReference"/>
          <w:rFonts w:eastAsia="SimSun"/>
        </w:rPr>
        <w:t>8</w:t>
      </w:r>
      <w:r w:rsidR="00C97948" w:rsidRPr="00626D6B">
        <w:rPr>
          <w:rStyle w:val="IntenseReference"/>
          <w:rFonts w:eastAsia="SimSun"/>
        </w:rPr>
        <w:t>).</w:t>
      </w:r>
    </w:p>
    <w:bookmarkEnd w:id="476"/>
    <w:p w14:paraId="46F53ECD" w14:textId="77777777" w:rsidR="00EB5372" w:rsidRPr="00F352E1" w:rsidRDefault="00EB5372" w:rsidP="00606A50">
      <w:pPr>
        <w:pStyle w:val="Caption"/>
        <w:rPr>
          <w:rStyle w:val="IntenseReference"/>
          <w:rFonts w:eastAsia="SimSun"/>
          <w:color w:val="4F81BD" w:themeColor="accent1"/>
        </w:rPr>
      </w:pPr>
      <w:r w:rsidRPr="00F352E1">
        <w:rPr>
          <w:rStyle w:val="IntenseReference"/>
          <w:rFonts w:eastAsia="SimSun"/>
          <w:color w:val="4F81BD" w:themeColor="accent1"/>
        </w:rPr>
        <w:br w:type="page"/>
      </w:r>
    </w:p>
    <w:p w14:paraId="49771BD5" w14:textId="77777777" w:rsidR="002A0417" w:rsidRPr="00F352E1" w:rsidRDefault="00863184" w:rsidP="001778B8">
      <w:pPr>
        <w:rPr>
          <w:color w:val="4F81BD" w:themeColor="accent1"/>
        </w:rPr>
      </w:pPr>
      <w:r w:rsidRPr="00F352E1">
        <w:rPr>
          <w:noProof/>
          <w:color w:val="4F81BD" w:themeColor="accent1"/>
          <w:lang w:val="en-AU" w:eastAsia="en-AU"/>
        </w:rPr>
        <w:drawing>
          <wp:inline distT="0" distB="0" distL="0" distR="0" wp14:anchorId="5159F4DF" wp14:editId="648F198A">
            <wp:extent cx="5587974" cy="7184539"/>
            <wp:effectExtent l="0" t="0" r="0" b="0"/>
            <wp:docPr id="29" name="Picture 29" descr="Time-series of water quality parameters sampled by the MMP water Quality Program. Plots are reproduced for Waterhouse et al. 2018" title="Figure A1. 13 Temporal trends in water quality: Mackay Whitsunday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m_Mackay_Whitsunday_summary.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5587974" cy="7184539"/>
                    </a:xfrm>
                    <a:prstGeom prst="rect">
                      <a:avLst/>
                    </a:prstGeom>
                  </pic:spPr>
                </pic:pic>
              </a:graphicData>
            </a:graphic>
          </wp:inline>
        </w:drawing>
      </w:r>
    </w:p>
    <w:p w14:paraId="7973A0A7" w14:textId="77777777" w:rsidR="00C55615" w:rsidRPr="009808B7" w:rsidRDefault="003F670B" w:rsidP="00606A50">
      <w:pPr>
        <w:pStyle w:val="Caption"/>
        <w:rPr>
          <w:rStyle w:val="IntenseReference"/>
          <w:rFonts w:eastAsia="SimSun"/>
        </w:rPr>
      </w:pPr>
      <w:bookmarkStart w:id="477" w:name="_Ref501374386"/>
      <w:bookmarkStart w:id="478" w:name="_Ref469981130"/>
      <w:bookmarkStart w:id="479" w:name="_Toc437423871"/>
      <w:bookmarkStart w:id="480" w:name="_Toc437424050"/>
      <w:bookmarkStart w:id="481" w:name="_Toc437424342"/>
      <w:bookmarkStart w:id="482" w:name="_Toc453243781"/>
      <w:bookmarkStart w:id="483" w:name="_Toc471373213"/>
      <w:bookmarkStart w:id="484" w:name="_Toc500143394"/>
      <w:bookmarkStart w:id="485" w:name="_Ref501374379"/>
      <w:r>
        <w:t xml:space="preserve">Figure A1. </w:t>
      </w:r>
      <w:r>
        <w:fldChar w:fldCharType="begin"/>
      </w:r>
      <w:r>
        <w:instrText xml:space="preserve"> SEQ Figure_A1. \* ARABIC </w:instrText>
      </w:r>
      <w:r>
        <w:fldChar w:fldCharType="separate"/>
      </w:r>
      <w:r w:rsidR="00A75175">
        <w:rPr>
          <w:noProof/>
        </w:rPr>
        <w:t>13</w:t>
      </w:r>
      <w:r>
        <w:fldChar w:fldCharType="end"/>
      </w:r>
      <w:bookmarkEnd w:id="477"/>
      <w:r>
        <w:t xml:space="preserve"> </w:t>
      </w:r>
      <w:r w:rsidR="009D2F51" w:rsidRPr="004252BF">
        <w:t>Temporal trends in water quality: Mackay Whitsundays region.</w:t>
      </w:r>
      <w:bookmarkEnd w:id="478"/>
      <w:bookmarkEnd w:id="479"/>
      <w:bookmarkEnd w:id="480"/>
      <w:bookmarkEnd w:id="481"/>
      <w:bookmarkEnd w:id="482"/>
      <w:bookmarkEnd w:id="483"/>
      <w:r w:rsidR="008E0B4F" w:rsidRPr="00F352E1">
        <w:rPr>
          <w:rStyle w:val="IntenseReference"/>
          <w:rFonts w:eastAsia="SimSun"/>
          <w:color w:val="4F81BD" w:themeColor="accent1"/>
        </w:rPr>
        <w:t xml:space="preserve"> </w:t>
      </w:r>
      <w:bookmarkStart w:id="486" w:name="_Toc437424343"/>
      <w:bookmarkStart w:id="487" w:name="_Toc437432395"/>
      <w:r w:rsidR="00C55615" w:rsidRPr="00626D6B">
        <w:rPr>
          <w:rStyle w:val="IntenseReference"/>
          <w:rFonts w:eastAsia="SimSun"/>
        </w:rPr>
        <w:t xml:space="preserve">a) water quality index, b) chlorophyll </w:t>
      </w:r>
      <w:r w:rsidR="00C55615" w:rsidRPr="009A622B">
        <w:rPr>
          <w:rStyle w:val="IntenseReference"/>
          <w:rFonts w:eastAsia="SimSun"/>
        </w:rPr>
        <w:t xml:space="preserve">a, c) nitrate/nitrite, d) Phosphate e) turbidity, f) total suspended solids, g) secchi depth, h) particulate nitrogen, </w:t>
      </w:r>
      <w:r w:rsidR="00C55615" w:rsidRPr="00626D6B">
        <w:rPr>
          <w:rStyle w:val="IntenseReference"/>
          <w:rFonts w:eastAsia="SimSun"/>
        </w:rPr>
        <w:t>i) particulate phosphorus j) , particulate organic carbon and k) dissolved organic carbon. Water quality index colour coding: dark green-</w:t>
      </w:r>
      <w:r w:rsidR="00C55615" w:rsidRPr="009808B7">
        <w:rPr>
          <w:rStyle w:val="IntenseReference"/>
          <w:rFonts w:eastAsia="SimSun"/>
        </w:rPr>
        <w:t xml:space="preserve"> ‘very good’; light green-‘good’; yellow – ‘moderate; orange – ‘poor’; red – ‘very poor’. The water quality index is the aggregate of variables plotted in b - i and calculated as described in Waterhouse </w:t>
      </w:r>
      <w:r w:rsidR="00C55615" w:rsidRPr="009A622B">
        <w:rPr>
          <w:rStyle w:val="IntenseReference"/>
          <w:rFonts w:eastAsia="SimSun"/>
        </w:rPr>
        <w:t>et al.</w:t>
      </w:r>
      <w:r w:rsidR="00C55615" w:rsidRPr="00626D6B">
        <w:rPr>
          <w:rStyle w:val="IntenseReference"/>
          <w:rFonts w:eastAsia="SimSun"/>
        </w:rPr>
        <w:t xml:space="preserve"> (201</w:t>
      </w:r>
      <w:r w:rsidR="00841929">
        <w:rPr>
          <w:rStyle w:val="IntenseReference"/>
          <w:rFonts w:eastAsia="SimSun"/>
        </w:rPr>
        <w:t>8</w:t>
      </w:r>
      <w:r w:rsidR="00C55615" w:rsidRPr="009808B7">
        <w:rPr>
          <w:rStyle w:val="IntenseReference"/>
          <w:rFonts w:eastAsia="SimSun"/>
        </w:rPr>
        <w:t>).Trends in PO</w:t>
      </w:r>
      <w:r w:rsidR="00C55615" w:rsidRPr="009A622B">
        <w:rPr>
          <w:rStyle w:val="IntenseReference"/>
          <w:rFonts w:eastAsia="SimSun"/>
        </w:rPr>
        <w:t>4</w:t>
      </w:r>
      <w:r w:rsidR="00C55615" w:rsidRPr="00626D6B">
        <w:rPr>
          <w:rStyle w:val="IntenseReference"/>
          <w:rFonts w:eastAsia="SimSun"/>
        </w:rPr>
        <w:t>, POC and DOC values are plotted here (d, j, k); threshold levels have yet to be established. Trends in manually sampled water quality variables are represented by blue lines with blue shaded areas defining 95% confidence intervals of those trends, black d</w:t>
      </w:r>
      <w:r w:rsidR="00C55615" w:rsidRPr="009808B7">
        <w:rPr>
          <w:rStyle w:val="IntenseReference"/>
          <w:rFonts w:eastAsia="SimSun"/>
        </w:rPr>
        <w:t xml:space="preserve">ots represent observed data. Trends of records from ECO FLNTUSB instruments (b, e) are represented in red, individual records are not displayed. Dashed reference lines indicate guideline values (GBRMPA 2010). Extract from Waterhouse </w:t>
      </w:r>
      <w:r w:rsidR="00C55615" w:rsidRPr="009A622B">
        <w:rPr>
          <w:rStyle w:val="IntenseReference"/>
          <w:rFonts w:eastAsia="SimSun"/>
        </w:rPr>
        <w:t>et al.</w:t>
      </w:r>
      <w:r w:rsidR="00C55615" w:rsidRPr="00626D6B">
        <w:rPr>
          <w:rStyle w:val="IntenseReference"/>
          <w:rFonts w:eastAsia="SimSun"/>
        </w:rPr>
        <w:t xml:space="preserve"> (201</w:t>
      </w:r>
      <w:r w:rsidR="00841929">
        <w:rPr>
          <w:rStyle w:val="IntenseReference"/>
          <w:rFonts w:eastAsia="SimSun"/>
        </w:rPr>
        <w:t>8</w:t>
      </w:r>
      <w:r w:rsidR="00C55615" w:rsidRPr="009808B7">
        <w:rPr>
          <w:rStyle w:val="IntenseReference"/>
          <w:rFonts w:eastAsia="SimSun"/>
        </w:rPr>
        <w:t>).</w:t>
      </w:r>
      <w:bookmarkEnd w:id="484"/>
      <w:bookmarkEnd w:id="485"/>
    </w:p>
    <w:bookmarkEnd w:id="486"/>
    <w:bookmarkEnd w:id="487"/>
    <w:p w14:paraId="63E7248C" w14:textId="77777777" w:rsidR="00EB5372" w:rsidRPr="00F352E1" w:rsidRDefault="00EB5372" w:rsidP="00606A50">
      <w:pPr>
        <w:pStyle w:val="Caption"/>
        <w:rPr>
          <w:rStyle w:val="IntenseReference"/>
          <w:rFonts w:eastAsia="SimSun"/>
          <w:color w:val="4F81BD" w:themeColor="accent1"/>
        </w:rPr>
      </w:pPr>
      <w:r w:rsidRPr="00F352E1">
        <w:rPr>
          <w:rStyle w:val="IntenseReference"/>
          <w:rFonts w:eastAsia="SimSun"/>
          <w:color w:val="4F81BD" w:themeColor="accent1"/>
        </w:rPr>
        <w:br w:type="page"/>
      </w:r>
    </w:p>
    <w:p w14:paraId="3571EEB2" w14:textId="77777777" w:rsidR="00500B4F" w:rsidRPr="00F352E1" w:rsidRDefault="001225BF" w:rsidP="002A0417">
      <w:pPr>
        <w:rPr>
          <w:color w:val="4F81BD" w:themeColor="accent1"/>
        </w:rPr>
      </w:pPr>
      <w:bookmarkStart w:id="488" w:name="_Toc437424344"/>
      <w:r w:rsidRPr="00F352E1">
        <w:rPr>
          <w:noProof/>
          <w:color w:val="4F81BD" w:themeColor="accent1"/>
          <w:lang w:val="en-AU" w:eastAsia="en-AU"/>
        </w:rPr>
        <w:t xml:space="preserve"> </w:t>
      </w:r>
      <w:r w:rsidR="00782894" w:rsidRPr="00F352E1">
        <w:rPr>
          <w:noProof/>
          <w:color w:val="4F81BD" w:themeColor="accent1"/>
          <w:lang w:val="en-AU" w:eastAsia="en-AU"/>
        </w:rPr>
        <w:drawing>
          <wp:inline distT="0" distB="0" distL="0" distR="0" wp14:anchorId="307C467A" wp14:editId="189C3727">
            <wp:extent cx="6120765" cy="6120765"/>
            <wp:effectExtent l="0" t="0" r="0" b="0"/>
            <wp:docPr id="35" name="Picture 35" descr="Panel of plots showing temporal trends in in-situ measured water quality variables replicated from the 2015 MMP water quality annual report, Lønborg et al. 2015" title="Figure A1.14 Trends in marine water quality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systemHealth_WQ_niskin.all.reef.av_Fitzroy.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bookmarkEnd w:id="488"/>
    </w:p>
    <w:p w14:paraId="6EDEE25A" w14:textId="77777777" w:rsidR="006B5C58" w:rsidRPr="004C26C1" w:rsidRDefault="003F670B" w:rsidP="00606A50">
      <w:pPr>
        <w:pStyle w:val="Caption"/>
        <w:rPr>
          <w:vanish/>
        </w:rPr>
      </w:pPr>
      <w:bookmarkStart w:id="489" w:name="_Ref469728294"/>
      <w:bookmarkStart w:id="490" w:name="_Toc453243782"/>
      <w:bookmarkStart w:id="491" w:name="_Toc471373214"/>
      <w:bookmarkStart w:id="492" w:name="_Toc500143395"/>
      <w:bookmarkStart w:id="493" w:name="_Toc437423872"/>
      <w:bookmarkStart w:id="494" w:name="_Toc437424051"/>
      <w:bookmarkStart w:id="495" w:name="_Toc437424345"/>
      <w:r>
        <w:t xml:space="preserve">Figure A1. </w:t>
      </w:r>
      <w:r>
        <w:fldChar w:fldCharType="begin"/>
      </w:r>
      <w:r>
        <w:instrText xml:space="preserve"> SEQ Figure_A1. \* ARABIC </w:instrText>
      </w:r>
      <w:r>
        <w:fldChar w:fldCharType="separate"/>
      </w:r>
      <w:r w:rsidR="00A75175">
        <w:rPr>
          <w:noProof/>
        </w:rPr>
        <w:t>14</w:t>
      </w:r>
      <w:r>
        <w:fldChar w:fldCharType="end"/>
      </w:r>
      <w:r>
        <w:t xml:space="preserve"> </w:t>
      </w:r>
      <w:r w:rsidR="009D2F51" w:rsidRPr="00F352E1">
        <w:t>Temporal trends in water quality: Fitzroy region</w:t>
      </w:r>
      <w:r w:rsidR="009D2F51" w:rsidRPr="004C26C1">
        <w:t>.</w:t>
      </w:r>
      <w:bookmarkEnd w:id="489"/>
      <w:bookmarkEnd w:id="490"/>
      <w:bookmarkEnd w:id="491"/>
      <w:bookmarkEnd w:id="492"/>
      <w:r w:rsidR="009D2F51" w:rsidRPr="004C26C1">
        <w:rPr>
          <w:vanish/>
        </w:rPr>
        <w:t xml:space="preserve"> </w:t>
      </w:r>
    </w:p>
    <w:p w14:paraId="779E7FAB" w14:textId="77777777" w:rsidR="008E0B4F" w:rsidRPr="009808B7" w:rsidRDefault="008E0B4F" w:rsidP="00606A50">
      <w:pPr>
        <w:pStyle w:val="Caption"/>
        <w:rPr>
          <w:rStyle w:val="IntenseReference"/>
          <w:rFonts w:eastAsia="SimSun"/>
        </w:rPr>
      </w:pPr>
      <w:r w:rsidRPr="004C26C1">
        <w:t xml:space="preserve"> </w:t>
      </w:r>
      <w:r w:rsidRPr="00626D6B">
        <w:rPr>
          <w:rStyle w:val="IntenseReference"/>
          <w:rFonts w:eastAsia="SimSun"/>
        </w:rPr>
        <w:t xml:space="preserve">a) water quality index, b) chlorophyll </w:t>
      </w:r>
      <w:r w:rsidRPr="009A622B">
        <w:rPr>
          <w:rStyle w:val="IntenseReference"/>
          <w:rFonts w:eastAsia="SimSun"/>
        </w:rPr>
        <w:t>a</w:t>
      </w:r>
      <w:r w:rsidRPr="00626D6B">
        <w:rPr>
          <w:rStyle w:val="IntenseReference"/>
          <w:rFonts w:eastAsia="SimSun"/>
        </w:rPr>
        <w:t>, c) total suspended solids, d) nitrate/nitrite, e) secchi depth, f) particulate nitrogen, g) turbidity, h) particulate phosphorus, i) particulate organic carbon and j) dissolved organic carbon. Water quality index colour coding: dark green- ‘very good’; l</w:t>
      </w:r>
      <w:r w:rsidRPr="009808B7">
        <w:rPr>
          <w:rStyle w:val="IntenseReference"/>
          <w:rFonts w:eastAsia="SimSun"/>
        </w:rPr>
        <w:t xml:space="preserve">ight green-‘good’; yellow – ‘moderate; orange – ‘poor’; red – ‘very poor’. The water quality index is the aggregate of variables plotted in b - h and calculated as described in </w:t>
      </w:r>
      <w:r w:rsidR="001225BF" w:rsidRPr="009808B7">
        <w:rPr>
          <w:rStyle w:val="IntenseReference"/>
          <w:rFonts w:eastAsia="SimSun"/>
        </w:rPr>
        <w:t>Waterhouse</w:t>
      </w:r>
      <w:r w:rsidR="006E3264" w:rsidRPr="009808B7">
        <w:rPr>
          <w:rStyle w:val="IntenseReference"/>
          <w:rFonts w:eastAsia="SimSun"/>
        </w:rPr>
        <w:t xml:space="preserve"> </w:t>
      </w:r>
      <w:r w:rsidR="006E3264" w:rsidRPr="009A622B">
        <w:rPr>
          <w:rStyle w:val="IntenseReference"/>
          <w:rFonts w:eastAsia="SimSun"/>
        </w:rPr>
        <w:t>et al.</w:t>
      </w:r>
      <w:r w:rsidR="001225BF" w:rsidRPr="00626D6B">
        <w:rPr>
          <w:rStyle w:val="IntenseReference"/>
          <w:rFonts w:eastAsia="SimSun"/>
        </w:rPr>
        <w:t xml:space="preserve"> (201</w:t>
      </w:r>
      <w:r w:rsidR="00E26182">
        <w:rPr>
          <w:rStyle w:val="IntenseReference"/>
          <w:rFonts w:eastAsia="SimSun"/>
        </w:rPr>
        <w:t>8</w:t>
      </w:r>
      <w:r w:rsidR="006E3264" w:rsidRPr="00626D6B">
        <w:rPr>
          <w:rStyle w:val="IntenseReference"/>
          <w:rFonts w:eastAsia="SimSun"/>
        </w:rPr>
        <w:t xml:space="preserve">). </w:t>
      </w:r>
      <w:r w:rsidRPr="009808B7">
        <w:rPr>
          <w:rStyle w:val="IntenseReference"/>
          <w:rFonts w:eastAsia="SimSun"/>
        </w:rPr>
        <w:t xml:space="preserve">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 (GBRMPA 2010). Extract from </w:t>
      </w:r>
      <w:r w:rsidR="001225BF" w:rsidRPr="009808B7">
        <w:rPr>
          <w:rStyle w:val="IntenseReference"/>
          <w:rFonts w:eastAsia="SimSun"/>
        </w:rPr>
        <w:t>Waterhouse</w:t>
      </w:r>
      <w:r w:rsidRPr="009808B7">
        <w:rPr>
          <w:rStyle w:val="IntenseReference"/>
          <w:rFonts w:eastAsia="SimSun"/>
        </w:rPr>
        <w:t xml:space="preserve"> </w:t>
      </w:r>
      <w:r w:rsidRPr="009A622B">
        <w:rPr>
          <w:rStyle w:val="IntenseReference"/>
          <w:rFonts w:eastAsia="SimSun"/>
        </w:rPr>
        <w:t>et al.</w:t>
      </w:r>
      <w:r w:rsidRPr="00626D6B">
        <w:rPr>
          <w:rStyle w:val="IntenseReference"/>
          <w:rFonts w:eastAsia="SimSun"/>
        </w:rPr>
        <w:t xml:space="preserve"> (</w:t>
      </w:r>
      <w:r w:rsidR="008E6F11" w:rsidRPr="009808B7">
        <w:rPr>
          <w:rStyle w:val="IntenseReference"/>
          <w:rFonts w:eastAsia="SimSun"/>
        </w:rPr>
        <w:t>201</w:t>
      </w:r>
      <w:r w:rsidR="00E26182">
        <w:rPr>
          <w:rStyle w:val="IntenseReference"/>
          <w:rFonts w:eastAsia="SimSun"/>
        </w:rPr>
        <w:t>8</w:t>
      </w:r>
      <w:r w:rsidRPr="00626D6B">
        <w:rPr>
          <w:rStyle w:val="IntenseReference"/>
          <w:rFonts w:eastAsia="SimSun"/>
        </w:rPr>
        <w:t>)</w:t>
      </w:r>
      <w:bookmarkEnd w:id="493"/>
      <w:bookmarkEnd w:id="494"/>
      <w:bookmarkEnd w:id="495"/>
      <w:r w:rsidR="006E3264" w:rsidRPr="009808B7">
        <w:rPr>
          <w:rStyle w:val="IntenseReference"/>
          <w:rFonts w:eastAsia="SimSun"/>
        </w:rPr>
        <w:t>.</w:t>
      </w:r>
    </w:p>
    <w:p w14:paraId="1694AF65" w14:textId="77777777" w:rsidR="00781BD6" w:rsidRPr="00F352E1" w:rsidRDefault="00781BD6" w:rsidP="001225BF">
      <w:pPr>
        <w:rPr>
          <w:color w:val="4F81BD" w:themeColor="accent1"/>
        </w:rPr>
      </w:pPr>
    </w:p>
    <w:p w14:paraId="61197B4C" w14:textId="77777777" w:rsidR="00737850" w:rsidRPr="00F352E1" w:rsidRDefault="00737850">
      <w:pPr>
        <w:rPr>
          <w:color w:val="4F81BD" w:themeColor="accent1"/>
        </w:rPr>
        <w:sectPr w:rsidR="00737850" w:rsidRPr="00F352E1" w:rsidSect="006608FC">
          <w:pgSz w:w="11907" w:h="16840" w:code="9"/>
          <w:pgMar w:top="1440" w:right="1134" w:bottom="1440" w:left="1134" w:header="709" w:footer="709" w:gutter="0"/>
          <w:cols w:space="708"/>
          <w:docGrid w:linePitch="360"/>
        </w:sectPr>
      </w:pPr>
    </w:p>
    <w:p w14:paraId="299C08FF" w14:textId="77777777" w:rsidR="008A1A24" w:rsidRPr="00F352E1" w:rsidRDefault="008A1A24" w:rsidP="00121B7E">
      <w:pPr>
        <w:pStyle w:val="Heading1"/>
      </w:pPr>
      <w:bookmarkStart w:id="496" w:name="_Toc358712540"/>
      <w:bookmarkStart w:id="497" w:name="_Toc374701395"/>
      <w:bookmarkStart w:id="498" w:name="_Toc437424470"/>
      <w:bookmarkStart w:id="499" w:name="_Toc437424594"/>
      <w:bookmarkStart w:id="500" w:name="_Toc437432523"/>
      <w:bookmarkStart w:id="501" w:name="_Toc437432596"/>
      <w:bookmarkStart w:id="502" w:name="_Toc514408448"/>
      <w:bookmarkStart w:id="503" w:name="_Toc205604871"/>
      <w:bookmarkEnd w:id="419"/>
      <w:r w:rsidRPr="00F352E1">
        <w:t xml:space="preserve">Appendix </w:t>
      </w:r>
      <w:r w:rsidR="009D2F51" w:rsidRPr="00F352E1">
        <w:t>2</w:t>
      </w:r>
      <w:r w:rsidRPr="00F352E1">
        <w:t xml:space="preserve">: </w:t>
      </w:r>
      <w:r w:rsidR="00D624D1" w:rsidRPr="00F352E1">
        <w:t>P</w:t>
      </w:r>
      <w:r w:rsidRPr="00F352E1">
        <w:t>ublications and presentations associated with the Program 201</w:t>
      </w:r>
      <w:bookmarkEnd w:id="496"/>
      <w:r w:rsidR="00B14D94">
        <w:t>6</w:t>
      </w:r>
      <w:r w:rsidR="004922D2" w:rsidRPr="00F352E1">
        <w:t>-</w:t>
      </w:r>
      <w:r w:rsidRPr="00F352E1">
        <w:t>1</w:t>
      </w:r>
      <w:bookmarkEnd w:id="497"/>
      <w:bookmarkEnd w:id="498"/>
      <w:bookmarkEnd w:id="499"/>
      <w:bookmarkEnd w:id="500"/>
      <w:bookmarkEnd w:id="501"/>
      <w:r w:rsidR="00B14D94">
        <w:t>7</w:t>
      </w:r>
      <w:bookmarkEnd w:id="502"/>
    </w:p>
    <w:bookmarkEnd w:id="503"/>
    <w:p w14:paraId="6211F82D" w14:textId="77777777" w:rsidR="008C5017" w:rsidRPr="00F352E1" w:rsidRDefault="002956C7" w:rsidP="00DA3A00">
      <w:pPr>
        <w:ind w:left="284" w:hanging="284"/>
        <w:rPr>
          <w:color w:val="4F81BD" w:themeColor="accent1"/>
        </w:rPr>
      </w:pPr>
      <w:r>
        <w:rPr>
          <w:color w:val="222222"/>
        </w:rPr>
        <w:t xml:space="preserve">Ramsby BD, Hoogenboom MO, Whalan S, Webster NS, Thompson A. A </w:t>
      </w:r>
      <w:r w:rsidR="00DA3A00">
        <w:rPr>
          <w:color w:val="222222"/>
        </w:rPr>
        <w:t>(2017) D</w:t>
      </w:r>
      <w:r>
        <w:rPr>
          <w:color w:val="222222"/>
        </w:rPr>
        <w:t>ecadal analysis of bioeroding sponge cover on the inshore Great Ba</w:t>
      </w:r>
      <w:r w:rsidR="00DA3A00">
        <w:rPr>
          <w:color w:val="222222"/>
        </w:rPr>
        <w:t xml:space="preserve">rrier Reef. Scientific Reports </w:t>
      </w:r>
      <w:r>
        <w:rPr>
          <w:color w:val="222222"/>
        </w:rPr>
        <w:t>7.</w:t>
      </w:r>
      <w:r w:rsidR="00DA3A00">
        <w:rPr>
          <w:color w:val="222222"/>
        </w:rPr>
        <w:t xml:space="preserve"> </w:t>
      </w:r>
      <w:r w:rsidR="00DA3A00" w:rsidRPr="00DA3A00">
        <w:rPr>
          <w:color w:val="000000" w:themeColor="text1"/>
          <w:lang w:val="en"/>
        </w:rPr>
        <w:t xml:space="preserve">doi:  </w:t>
      </w:r>
      <w:r w:rsidR="00DA3A00" w:rsidRPr="00DA3A00">
        <w:rPr>
          <w:color w:val="000000" w:themeColor="text1"/>
          <w:u w:val="single"/>
          <w:lang w:val="en"/>
        </w:rPr>
        <w:t>10.1038/s41598-017-02196-z</w:t>
      </w:r>
    </w:p>
    <w:sectPr w:rsidR="008C5017" w:rsidRPr="00F352E1" w:rsidSect="006608FC">
      <w:pgSz w:w="11907" w:h="16840" w:code="9"/>
      <w:pgMar w:top="1440" w:right="1134" w:bottom="1440" w:left="1134" w:header="709" w:footer="709" w:gutter="0"/>
      <w:cols w:space="708"/>
      <w:docGrid w:linePitch="360"/>
    </w:sectPr>
  </w:body>
</w:document>
</file>

<file path=word/customizations.xml><?xml version="1.0" encoding="utf-8"?>
<wne:tcg xmlns:r="http://schemas.openxmlformats.org/officeDocument/2006/relationships" xmlns:wne="http://schemas.microsoft.com/office/word/2006/wordml">
  <wne:keymaps>
    <wne:keymap wne:kcmPrimary="0641">
      <wne:acd wne:acdName="acd0"/>
    </wne:keymap>
  </wne:keymaps>
  <wne:toolbars>
    <wne:acdManifest>
      <wne:acdEntry wne:acdName="acd0"/>
    </wne:acdManifest>
  </wne:toolbars>
  <wne:acds>
    <wne:acd wne:argValue="AgBBAHAAcABlAG4AZABpAHgAIABmAGkAZwB1AHIAZQBzAA==" wne:acdName="acd0"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5DB053" w14:textId="77777777" w:rsidR="00A570BE" w:rsidRDefault="00A570BE" w:rsidP="008A1A24">
      <w:r>
        <w:separator/>
      </w:r>
    </w:p>
  </w:endnote>
  <w:endnote w:type="continuationSeparator" w:id="0">
    <w:p w14:paraId="6B8CA465" w14:textId="77777777" w:rsidR="00A570BE" w:rsidRDefault="00A570BE" w:rsidP="008A1A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Gothic">
    <w:altName w:val="ＭＳ ゴシック"/>
    <w:panose1 w:val="020B0609070205080204"/>
    <w:charset w:val="80"/>
    <w:family w:val="modern"/>
    <w:pitch w:val="fixed"/>
    <w:sig w:usb0="E00002FF" w:usb1="6AC7FDFB" w:usb2="00000012" w:usb3="00000000" w:csb0="0002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Black">
    <w:panose1 w:val="020B0A04020102020204"/>
    <w:charset w:val="00"/>
    <w:family w:val="swiss"/>
    <w:pitch w:val="variable"/>
    <w:sig w:usb0="00000287" w:usb1="00000000" w:usb2="00000000" w:usb3="00000000" w:csb0="0000009F" w:csb1="00000000"/>
  </w:font>
  <w:font w:name="Optimum">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inion Pro">
    <w:panose1 w:val="00000000000000000000"/>
    <w:charset w:val="00"/>
    <w:family w:val="roman"/>
    <w:notTrueType/>
    <w:pitch w:val="variable"/>
    <w:sig w:usb0="60000287" w:usb1="00000001" w:usb2="00000000" w:usb3="00000000" w:csb0="0000019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Myriad Pro">
    <w:altName w:val="Arial"/>
    <w:panose1 w:val="00000000000000000000"/>
    <w:charset w:val="00"/>
    <w:family w:val="swiss"/>
    <w:notTrueType/>
    <w:pitch w:val="variable"/>
    <w:sig w:usb0="00000001" w:usb1="5000204B" w:usb2="00000000" w:usb3="00000000" w:csb0="0000019F" w:csb1="00000000"/>
  </w:font>
  <w:font w:name="ArialMT">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LMSansQuot8-Regular">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inionPro-Regular">
    <w:altName w:val="MS Mincho"/>
    <w:panose1 w:val="00000000000000000000"/>
    <w:charset w:val="80"/>
    <w:family w:val="roman"/>
    <w:notTrueType/>
    <w:pitch w:val="default"/>
    <w:sig w:usb0="00000001" w:usb1="08070000" w:usb2="00000010" w:usb3="00000000" w:csb0="00020000" w:csb1="00000000"/>
  </w:font>
  <w:font w:name="HelveticaNeue-Bold">
    <w:panose1 w:val="00000000000000000000"/>
    <w:charset w:val="00"/>
    <w:family w:val="swiss"/>
    <w:notTrueType/>
    <w:pitch w:val="default"/>
    <w:sig w:usb0="00000003" w:usb1="00000000" w:usb2="00000000" w:usb3="00000000" w:csb0="00000001" w:csb1="00000000"/>
  </w:font>
  <w:font w:name="Arial Narrow Bold">
    <w:panose1 w:val="020B0706020202030204"/>
    <w:charset w:val="00"/>
    <w:family w:val="auto"/>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48A384" w14:textId="77777777" w:rsidR="00AF0016" w:rsidRDefault="00AF0016" w:rsidP="008C5017">
    <w:pPr>
      <w:pStyle w:val="Footer"/>
      <w:framePr w:wrap="around" w:vAnchor="text" w:hAnchor="margin" w:xAlign="center" w:y="1"/>
    </w:pPr>
    <w:r>
      <w:fldChar w:fldCharType="begin"/>
    </w:r>
    <w:r>
      <w:instrText xml:space="preserve">PAGE  </w:instrText>
    </w:r>
    <w:r>
      <w:fldChar w:fldCharType="end"/>
    </w:r>
  </w:p>
  <w:p w14:paraId="34B5BC05" w14:textId="77777777" w:rsidR="00AF0016" w:rsidRDefault="00AF001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FCD3F" w14:textId="77777777" w:rsidR="00AF0016" w:rsidRDefault="00AF0016" w:rsidP="008C5017">
    <w:pPr>
      <w:pStyle w:val="Footer"/>
      <w:ind w:right="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10E8C2" w14:textId="77777777" w:rsidR="00AF0016" w:rsidRDefault="00AF0016" w:rsidP="008C5017">
    <w:pPr>
      <w:pStyle w:val="Footer"/>
      <w:pBdr>
        <w:top w:val="single" w:sz="12" w:space="1" w:color="000099"/>
      </w:pBdr>
      <w:jc w:val="center"/>
    </w:pPr>
    <w:r>
      <w:rPr>
        <w:rStyle w:val="PageNumber"/>
      </w:rPr>
      <w:fldChar w:fldCharType="begin"/>
    </w:r>
    <w:r>
      <w:rPr>
        <w:rStyle w:val="PageNumber"/>
      </w:rPr>
      <w:instrText xml:space="preserve"> PAGE </w:instrText>
    </w:r>
    <w:r>
      <w:rPr>
        <w:rStyle w:val="PageNumber"/>
      </w:rPr>
      <w:fldChar w:fldCharType="separate"/>
    </w:r>
    <w:r w:rsidR="001F0B30">
      <w:rPr>
        <w:rStyle w:val="PageNumber"/>
        <w:noProof/>
      </w:rPr>
      <w:t>i</w:t>
    </w:r>
    <w:r>
      <w:rPr>
        <w:rStyle w:val="PageNumber"/>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11983825"/>
      <w:docPartObj>
        <w:docPartGallery w:val="Page Numbers (Bottom of Page)"/>
        <w:docPartUnique/>
      </w:docPartObj>
    </w:sdtPr>
    <w:sdtEndPr>
      <w:rPr>
        <w:noProof/>
      </w:rPr>
    </w:sdtEndPr>
    <w:sdtContent>
      <w:p w14:paraId="164CA8C1" w14:textId="37BD2AE4" w:rsidR="00AF0016" w:rsidRPr="00917143" w:rsidRDefault="00AF0016" w:rsidP="003A239E">
        <w:pPr>
          <w:pStyle w:val="Footer"/>
          <w:pBdr>
            <w:top w:val="single" w:sz="18" w:space="1" w:color="0070C0"/>
          </w:pBdr>
          <w:jc w:val="center"/>
        </w:pPr>
        <w:r>
          <w:fldChar w:fldCharType="begin"/>
        </w:r>
        <w:r>
          <w:instrText xml:space="preserve"> PAGE   \* MERGEFORMAT </w:instrText>
        </w:r>
        <w:r>
          <w:fldChar w:fldCharType="separate"/>
        </w:r>
        <w:r w:rsidR="001F0B30">
          <w:rPr>
            <w:noProof/>
          </w:rPr>
          <w:t>iv</w:t>
        </w:r>
        <w:r>
          <w:rPr>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4377296"/>
      <w:docPartObj>
        <w:docPartGallery w:val="Page Numbers (Bottom of Page)"/>
        <w:docPartUnique/>
      </w:docPartObj>
    </w:sdtPr>
    <w:sdtEndPr>
      <w:rPr>
        <w:noProof/>
      </w:rPr>
    </w:sdtEndPr>
    <w:sdtContent>
      <w:p w14:paraId="325112D5" w14:textId="77777777" w:rsidR="00AF0016" w:rsidRDefault="00AF0016" w:rsidP="00034616">
        <w:pPr>
          <w:pStyle w:val="Footer"/>
          <w:pBdr>
            <w:top w:val="single" w:sz="18" w:space="1" w:color="0070C0"/>
          </w:pBdr>
          <w:jc w:val="center"/>
        </w:pPr>
        <w:r>
          <w:fldChar w:fldCharType="begin"/>
        </w:r>
        <w:r>
          <w:instrText xml:space="preserve"> PAGE   \* MERGEFORMAT </w:instrText>
        </w:r>
        <w:r>
          <w:fldChar w:fldCharType="separate"/>
        </w:r>
        <w:r w:rsidR="001F0B30">
          <w:rPr>
            <w:noProof/>
          </w:rPr>
          <w:t>11</w:t>
        </w:r>
        <w:r>
          <w:rPr>
            <w:noProof/>
          </w:rP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BA66B5" w14:textId="77777777" w:rsidR="00AF0016" w:rsidRDefault="00AF0016" w:rsidP="008C501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503051F" w14:textId="77777777" w:rsidR="00AF0016" w:rsidRDefault="00AF0016">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3855F9" w14:textId="77777777" w:rsidR="00A570BE" w:rsidRDefault="00A570BE" w:rsidP="008A1A24">
      <w:r>
        <w:separator/>
      </w:r>
    </w:p>
  </w:footnote>
  <w:footnote w:type="continuationSeparator" w:id="0">
    <w:p w14:paraId="1602F3EA" w14:textId="77777777" w:rsidR="00A570BE" w:rsidRDefault="00A570BE" w:rsidP="008A1A24">
      <w:r>
        <w:continuationSeparator/>
      </w:r>
    </w:p>
  </w:footnote>
  <w:footnote w:id="1">
    <w:p w14:paraId="239580FF" w14:textId="73100062" w:rsidR="00AF0016" w:rsidRPr="001974D4" w:rsidRDefault="00AF0016" w:rsidP="00C873D0">
      <w:pPr>
        <w:ind w:left="720"/>
        <w:rPr>
          <w:lang w:val="en-AU"/>
        </w:rPr>
      </w:pPr>
      <w:r>
        <w:rPr>
          <w:rStyle w:val="FootnoteReference"/>
        </w:rPr>
        <w:footnoteRef/>
      </w:r>
      <w:r>
        <w:rPr>
          <w:lang w:val="en-AU"/>
        </w:rPr>
        <w:t xml:space="preserve">Australian Government crown-of-thorns starfish management </w:t>
      </w:r>
      <w:r w:rsidRPr="008C2E07">
        <w:rPr>
          <w:lang w:val="en-AU"/>
        </w:rPr>
        <w:t>program</w:t>
      </w:r>
      <w:r>
        <w:rPr>
          <w:lang w:val="en-AU"/>
        </w:rPr>
        <w:t xml:space="preserve"> data supplied by Great Barrier Reef Marine Park Authority, Eye on the Reef. </w:t>
      </w:r>
    </w:p>
  </w:footnote>
  <w:footnote w:id="2">
    <w:p w14:paraId="39826A6A" w14:textId="77777777" w:rsidR="00AF0016" w:rsidRPr="004C0333" w:rsidRDefault="00AF0016" w:rsidP="008623AE">
      <w:pPr>
        <w:pStyle w:val="FootnoteText"/>
        <w:rPr>
          <w:lang w:val="en-AU"/>
        </w:rPr>
      </w:pPr>
      <w:r>
        <w:rPr>
          <w:rStyle w:val="FootnoteReference"/>
        </w:rPr>
        <w:footnoteRef/>
      </w:r>
      <w:r>
        <w:t xml:space="preserve"> </w:t>
      </w:r>
      <w:r>
        <w:rPr>
          <w:rStyle w:val="FootnoteReference"/>
        </w:rPr>
        <w:footnoteRef/>
      </w:r>
      <w:r>
        <w:t xml:space="preserve"> </w:t>
      </w:r>
      <w:r w:rsidRPr="004C20BB">
        <w:rPr>
          <w:i/>
        </w:rPr>
        <w:t>Marine water quality indices produced by the Australian Bureau of Meteorology as a contribution to eReefs - a collaboration between the Great Barrier Reef Foundation, Australian Government</w:t>
      </w:r>
      <w:r>
        <w:rPr>
          <w:i/>
        </w:rPr>
        <w:t>,</w:t>
      </w:r>
      <w:r w:rsidRPr="004C20BB">
        <w:rPr>
          <w:i/>
        </w:rPr>
        <w:t xml:space="preserve"> Bureau of Meteorology, Commonwealth Scientific and Industrial Research Organisation, Australian Institute of Marine Science</w:t>
      </w:r>
      <w:r>
        <w:rPr>
          <w:i/>
        </w:rPr>
        <w:t xml:space="preserve"> and the Queensland Government.</w:t>
      </w:r>
      <w:r w:rsidRPr="004C20BB">
        <w:rPr>
          <w:i/>
        </w:rPr>
        <w:t xml:space="preserve"> Data are acquired from NASA spacecraft</w:t>
      </w:r>
      <w:r>
        <w:rPr>
          <w:i/>
        </w:rPr>
        <w:t xml:space="preserve">. </w:t>
      </w:r>
      <w:hyperlink r:id="rId1" w:history="1">
        <w:r w:rsidRPr="00270738">
          <w:rPr>
            <w:rStyle w:val="Hyperlink"/>
            <w:i/>
          </w:rPr>
          <w:t>http://www.bom.gov.au/marinewaterquality/</w:t>
        </w:r>
      </w:hyperlink>
      <w:r>
        <w:rPr>
          <w:i/>
        </w:rPr>
        <w:t xml:space="preserve">. Although the confidence in individual estimates of Chl a in turbid inshore waters is low the time averaged conditions do describe gradient that correspond to differences in benthic communities. </w:t>
      </w:r>
    </w:p>
    <w:p w14:paraId="5B392BB0" w14:textId="77777777" w:rsidR="00AF0016" w:rsidRPr="00DA65CF" w:rsidRDefault="00AF0016" w:rsidP="008623AE">
      <w:pPr>
        <w:pStyle w:val="FootnoteText"/>
        <w:rPr>
          <w:lang w:val="en-AU"/>
        </w:rPr>
      </w:pPr>
    </w:p>
  </w:footnote>
  <w:footnote w:id="3">
    <w:p w14:paraId="3B4DEE35" w14:textId="77777777" w:rsidR="00AF0016" w:rsidRPr="005B52B1" w:rsidRDefault="00AF0016">
      <w:pPr>
        <w:pStyle w:val="FootnoteText"/>
        <w:rPr>
          <w:lang w:val="en-AU"/>
        </w:rPr>
      </w:pPr>
      <w:r>
        <w:rPr>
          <w:rStyle w:val="FootnoteReference"/>
        </w:rPr>
        <w:footnoteRef/>
      </w:r>
      <w:r>
        <w:t xml:space="preserve"> </w:t>
      </w:r>
      <w:r w:rsidRPr="000F6A99">
        <w:t xml:space="preserve">. ReefTemp Next Generation was developed through the Centre for Australian Weather and Climate Research (CAWCR) – a partnership between CSIRO and the Bureau of Meteorology (Garde </w:t>
      </w:r>
      <w:r w:rsidRPr="000F6A99">
        <w:rPr>
          <w:i/>
        </w:rPr>
        <w:t>et al.</w:t>
      </w:r>
      <w:r w:rsidRPr="000F6A99">
        <w:t xml:space="preserve"> 2014).</w:t>
      </w:r>
    </w:p>
  </w:footnote>
  <w:footnote w:id="4">
    <w:p w14:paraId="37B836FA" w14:textId="77777777" w:rsidR="00AF0016" w:rsidRPr="00F41217" w:rsidRDefault="00AF0016" w:rsidP="009426CD">
      <w:pPr>
        <w:pStyle w:val="FootnoteText"/>
        <w:rPr>
          <w:lang w:val="en-AU"/>
        </w:rPr>
      </w:pPr>
      <w:r>
        <w:rPr>
          <w:rStyle w:val="FootnoteReference"/>
        </w:rPr>
        <w:footnoteRef/>
      </w:r>
      <w:r>
        <w:t xml:space="preserve"> </w:t>
      </w:r>
      <w:r>
        <w:rPr>
          <w:lang w:val="en-AU"/>
        </w:rPr>
        <w:t>Australian Government crown-of-thorns starfish management programme data supplied by Great Barrier Reef Marine Park Authority, Eye on the Reef.</w:t>
      </w:r>
    </w:p>
  </w:footnote>
  <w:footnote w:id="5">
    <w:p w14:paraId="3121F8DA" w14:textId="77777777" w:rsidR="00AF0016" w:rsidRPr="00F96ACA" w:rsidRDefault="00AF0016" w:rsidP="00454F76">
      <w:pPr>
        <w:pStyle w:val="Reportrefs"/>
        <w:spacing w:after="120"/>
        <w:ind w:left="284" w:hanging="284"/>
        <w:rPr>
          <w:rFonts w:cs="Arial"/>
          <w:color w:val="0070C0"/>
          <w:sz w:val="22"/>
          <w:szCs w:val="22"/>
          <w:lang w:eastAsia="en-AU"/>
        </w:rPr>
      </w:pPr>
      <w:r>
        <w:rPr>
          <w:rStyle w:val="FootnoteReference"/>
        </w:rPr>
        <w:footnoteRef/>
      </w:r>
      <w:r>
        <w:t xml:space="preserve"> </w:t>
      </w:r>
      <w:r w:rsidRPr="004F3D40">
        <w:rPr>
          <w:rFonts w:cs="Arial"/>
          <w:sz w:val="20"/>
          <w:lang w:eastAsia="en-AU"/>
        </w:rPr>
        <w:t xml:space="preserve">Connie 2.0, CSIRO Connectivity Interface, </w:t>
      </w:r>
      <w:hyperlink r:id="rId2" w:history="1">
        <w:r>
          <w:rPr>
            <w:rStyle w:val="Hyperlink"/>
            <w:rFonts w:eastAsia="SimSun" w:cs="Arial"/>
            <w:color w:val="0070C0"/>
            <w:sz w:val="20"/>
            <w:lang w:eastAsia="en-AU"/>
          </w:rPr>
          <w:t>CSIRO connie2</w:t>
        </w:r>
      </w:hyperlink>
    </w:p>
  </w:footnote>
  <w:footnote w:id="6">
    <w:p w14:paraId="7F548979" w14:textId="77777777" w:rsidR="00AF0016" w:rsidRPr="004C0333" w:rsidRDefault="00AF0016" w:rsidP="00D06CC0">
      <w:pPr>
        <w:pStyle w:val="FootnoteText"/>
      </w:pPr>
      <w:r>
        <w:rPr>
          <w:rStyle w:val="FootnoteReference"/>
        </w:rPr>
        <w:footnoteRef/>
      </w:r>
      <w:r>
        <w:t xml:space="preserve"> </w:t>
      </w:r>
      <w:r w:rsidRPr="004C20BB">
        <w:rPr>
          <w:i/>
        </w:rPr>
        <w:t>Marine water quality indices produced by the Australian Bureau of Meteorology as a contribution to eReefs - a collaboration between the Great Barrier Reef Foundation, Australian Government</w:t>
      </w:r>
      <w:r>
        <w:rPr>
          <w:i/>
        </w:rPr>
        <w:t>,</w:t>
      </w:r>
      <w:r w:rsidRPr="004C20BB">
        <w:rPr>
          <w:i/>
        </w:rPr>
        <w:t xml:space="preserve"> Bureau of Meteorology, Commonwealth Scientific and Industrial Research Organisation, Australian Institute of Marine Science</w:t>
      </w:r>
      <w:r>
        <w:rPr>
          <w:i/>
        </w:rPr>
        <w:t xml:space="preserve"> and the Queensland Government.</w:t>
      </w:r>
      <w:r w:rsidRPr="004C20BB">
        <w:rPr>
          <w:i/>
        </w:rPr>
        <w:t xml:space="preserve"> Data are acquired from NASA spacecraft</w:t>
      </w:r>
      <w:r>
        <w:rPr>
          <w:i/>
        </w:rPr>
        <w:t xml:space="preserve">. </w:t>
      </w:r>
      <w:hyperlink r:id="rId3" w:history="1">
        <w:r w:rsidRPr="00270738">
          <w:rPr>
            <w:rStyle w:val="Hyperlink"/>
            <w:i/>
          </w:rPr>
          <w:t>http://www.bom.gov.au/marinewaterquality/</w:t>
        </w:r>
      </w:hyperlink>
      <w:r>
        <w:rPr>
          <w:i/>
        </w:rPr>
        <w:t xml:space="preserve">. Although the confidence in individual estimates of Chl a in turbid inshore waters is low the time averaged conditions do describe gradient that correspond to differences in benthic communities. </w:t>
      </w:r>
    </w:p>
    <w:p w14:paraId="692AF5B1" w14:textId="77777777" w:rsidR="00AF0016" w:rsidRDefault="00AF0016" w:rsidP="00D06CC0">
      <w:pPr>
        <w:pStyle w:val="FootnoteText"/>
      </w:pPr>
    </w:p>
  </w:footnote>
  <w:footnote w:id="7">
    <w:p w14:paraId="3020888E" w14:textId="77777777" w:rsidR="00AF0016" w:rsidRDefault="00AF0016"/>
    <w:p w14:paraId="6B236FB9" w14:textId="77777777" w:rsidR="00AF0016" w:rsidRPr="00DA65CF" w:rsidRDefault="00AF0016" w:rsidP="00D06CC0">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F4CB49" w14:textId="77777777" w:rsidR="00AF0016" w:rsidRDefault="00AF0016" w:rsidP="008C5017">
    <w:pPr>
      <w:tabs>
        <w:tab w:val="left" w:pos="975"/>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8DBD30" w14:textId="77777777" w:rsidR="00AF0016" w:rsidRDefault="00AF0016"/>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99AE17" w14:textId="3BA3DCB2" w:rsidR="00AF0016" w:rsidRPr="00C15C2E" w:rsidRDefault="00AF0016" w:rsidP="003A239E">
    <w:pPr>
      <w:pBdr>
        <w:bottom w:val="single" w:sz="18" w:space="1" w:color="0070C0"/>
      </w:pBdr>
      <w:rPr>
        <w:rFonts w:cs="Arial"/>
        <w:sz w:val="18"/>
        <w:lang w:val="en-AU"/>
      </w:rPr>
    </w:pPr>
    <w:r>
      <w:rPr>
        <w:rFonts w:cs="Arial"/>
        <w:sz w:val="18"/>
        <w:lang w:val="en-AU"/>
      </w:rPr>
      <w:t xml:space="preserve">Marine Monitoring Program: Annual Report for inshore </w:t>
    </w:r>
    <w:r w:rsidRPr="00C15C2E">
      <w:rPr>
        <w:rFonts w:cs="Arial"/>
        <w:sz w:val="18"/>
        <w:lang w:val="en-AU"/>
      </w:rPr>
      <w:t>coral reef monitoring</w:t>
    </w:r>
    <w:r>
      <w:rPr>
        <w:rFonts w:cs="Arial"/>
        <w:sz w:val="18"/>
        <w:lang w:val="en-AU"/>
      </w:rPr>
      <w:t xml:space="preserve"> 20</w:t>
    </w:r>
    <w:r w:rsidRPr="00C15C2E">
      <w:rPr>
        <w:rFonts w:cs="Arial"/>
        <w:sz w:val="18"/>
        <w:lang w:val="en-AU"/>
      </w:rPr>
      <w:t>1</w:t>
    </w:r>
    <w:r>
      <w:rPr>
        <w:rFonts w:cs="Arial"/>
        <w:sz w:val="18"/>
        <w:lang w:val="en-AU"/>
      </w:rPr>
      <w:t>6-17</w:t>
    </w:r>
  </w:p>
  <w:p w14:paraId="0AB85EC2" w14:textId="77777777" w:rsidR="00AF0016" w:rsidRPr="00F17C15" w:rsidRDefault="00AF0016" w:rsidP="008C5017">
    <w:pPr>
      <w:pStyle w:val="Header"/>
      <w:pBdr>
        <w:bottom w:val="none" w:sz="0" w:space="0" w:color="auto"/>
      </w:pBdr>
      <w:rPr>
        <w:lang w:val="en-AU"/>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0609D9" w14:textId="77777777" w:rsidR="00AF0016" w:rsidRDefault="00AF0016"/>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6AC9FB" w14:textId="77777777" w:rsidR="00AF0016" w:rsidRDefault="00AF0016"/>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1A6D" w14:textId="77777777" w:rsidR="00AF0016" w:rsidRDefault="00AF0016"/>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2514D4" w14:textId="77777777" w:rsidR="00AF0016" w:rsidRPr="00262F5E" w:rsidRDefault="00AF0016" w:rsidP="008C5017">
    <w:pPr>
      <w:pBdr>
        <w:bottom w:val="single" w:sz="12" w:space="1" w:color="0070C0"/>
      </w:pBdr>
      <w:rPr>
        <w:sz w:val="20"/>
        <w:lang w:val="en-AU"/>
      </w:rPr>
    </w:pPr>
    <w:r w:rsidRPr="00262F5E">
      <w:rPr>
        <w:sz w:val="20"/>
        <w:lang w:val="en-AU"/>
      </w:rPr>
      <w:t>Reef Rescue Marine Monitoring Program</w:t>
    </w:r>
    <w:r w:rsidRPr="00262F5E">
      <w:rPr>
        <w:sz w:val="20"/>
        <w:lang w:val="en-AU"/>
      </w:rPr>
      <w:tab/>
    </w:r>
    <w:r>
      <w:rPr>
        <w:sz w:val="20"/>
        <w:lang w:val="en-AU"/>
      </w:rPr>
      <w:tab/>
    </w:r>
    <w:r w:rsidRPr="00262F5E">
      <w:rPr>
        <w:sz w:val="20"/>
        <w:lang w:val="en-AU"/>
      </w:rPr>
      <w:t>Inshore reef monitoring - Final Report 201</w:t>
    </w:r>
    <w:r>
      <w:rPr>
        <w:sz w:val="20"/>
        <w:lang w:val="en-AU"/>
      </w:rPr>
      <w:t>1</w:t>
    </w:r>
  </w:p>
  <w:p w14:paraId="529CCAE0" w14:textId="77777777" w:rsidR="00AF0016" w:rsidRDefault="00AF001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654225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699CE45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5DD66196"/>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FBB27F0E"/>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F86AAFFA"/>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70669988"/>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47E62E2"/>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0546B15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88021F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37603A9"/>
    <w:multiLevelType w:val="multilevel"/>
    <w:tmpl w:val="F168B9E8"/>
    <w:lvl w:ilvl="0">
      <w:start w:val="1"/>
      <w:numFmt w:val="decimal"/>
      <w:pStyle w:val="Heading1"/>
      <w:lvlText w:val="%1"/>
      <w:lvlJc w:val="left"/>
      <w:pPr>
        <w:ind w:left="360" w:hanging="36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2"/>
      <w:numFmt w:val="decimal"/>
      <w:isLgl/>
      <w:lvlText w:val="%1.%2"/>
      <w:lvlJc w:val="left"/>
      <w:pPr>
        <w:ind w:left="885" w:hanging="52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22362380"/>
    <w:multiLevelType w:val="hybridMultilevel"/>
    <w:tmpl w:val="DB76E284"/>
    <w:lvl w:ilvl="0" w:tplc="C41AC8FA">
      <w:numFmt w:val="bullet"/>
      <w:lvlText w:val="-"/>
      <w:lvlJc w:val="left"/>
      <w:pPr>
        <w:ind w:left="720" w:hanging="360"/>
      </w:pPr>
      <w:rPr>
        <w:rFonts w:ascii="Gill Sans MT" w:eastAsiaTheme="minorHAnsi" w:hAnsi="Gill Sans MT"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C7E1267"/>
    <w:multiLevelType w:val="hybridMultilevel"/>
    <w:tmpl w:val="3BBE4DE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304E6F38"/>
    <w:multiLevelType w:val="hybridMultilevel"/>
    <w:tmpl w:val="471C77BE"/>
    <w:lvl w:ilvl="0" w:tplc="14FEB962">
      <w:start w:val="1"/>
      <w:numFmt w:val="bullet"/>
      <w:pStyle w:val="CommentText"/>
      <w:lvlText w:val=""/>
      <w:lvlJc w:val="left"/>
      <w:pPr>
        <w:tabs>
          <w:tab w:val="num" w:pos="432"/>
        </w:tabs>
        <w:ind w:left="432" w:hanging="432"/>
      </w:pPr>
      <w:rPr>
        <w:rFonts w:ascii="Wingdings 2" w:hAnsi="Wingdings 2" w:hint="default"/>
        <w:color w:val="808080"/>
        <w:sz w:val="20"/>
      </w:rPr>
    </w:lvl>
    <w:lvl w:ilvl="1" w:tplc="0C090003">
      <w:start w:val="1"/>
      <w:numFmt w:val="bullet"/>
      <w:lvlText w:val="o"/>
      <w:lvlJc w:val="left"/>
      <w:pPr>
        <w:tabs>
          <w:tab w:val="num" w:pos="1495"/>
        </w:tabs>
        <w:ind w:left="1495"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3C53C0B"/>
    <w:multiLevelType w:val="hybridMultilevel"/>
    <w:tmpl w:val="4782A1A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4" w15:restartNumberingAfterBreak="0">
    <w:nsid w:val="3FB301A3"/>
    <w:multiLevelType w:val="multilevel"/>
    <w:tmpl w:val="2434564A"/>
    <w:lvl w:ilvl="0">
      <w:start w:val="1"/>
      <w:numFmt w:val="decimal"/>
      <w:lvlText w:val="%1"/>
      <w:lvlJc w:val="left"/>
      <w:pPr>
        <w:ind w:left="360" w:hanging="360"/>
      </w:pPr>
      <w:rPr>
        <w:rFonts w:hint="default"/>
        <w:color w:val="auto"/>
      </w:rPr>
    </w:lvl>
    <w:lvl w:ilvl="1">
      <w:start w:val="2"/>
      <w:numFmt w:val="decimal"/>
      <w:isLgl/>
      <w:lvlText w:val="%1.%2"/>
      <w:lvlJc w:val="left"/>
      <w:pPr>
        <w:ind w:left="885" w:hanging="52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400001BF"/>
    <w:multiLevelType w:val="hybridMultilevel"/>
    <w:tmpl w:val="63588A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42711E00"/>
    <w:multiLevelType w:val="hybridMultilevel"/>
    <w:tmpl w:val="1A00CC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4EA66BCA"/>
    <w:multiLevelType w:val="hybridMultilevel"/>
    <w:tmpl w:val="9C62036E"/>
    <w:lvl w:ilvl="0" w:tplc="8004B148">
      <w:start w:val="1"/>
      <w:numFmt w:val="lowerRoman"/>
      <w:lvlText w:val="%1."/>
      <w:lvlJc w:val="left"/>
      <w:pPr>
        <w:ind w:left="1440" w:hanging="72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8" w15:restartNumberingAfterBreak="0">
    <w:nsid w:val="551B34D6"/>
    <w:multiLevelType w:val="hybridMultilevel"/>
    <w:tmpl w:val="13A4B944"/>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19" w15:restartNumberingAfterBreak="0">
    <w:nsid w:val="56EA04DD"/>
    <w:multiLevelType w:val="hybridMultilevel"/>
    <w:tmpl w:val="8026A0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5F131F83"/>
    <w:multiLevelType w:val="multilevel"/>
    <w:tmpl w:val="0409001F"/>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72AB50F0"/>
    <w:multiLevelType w:val="hybridMultilevel"/>
    <w:tmpl w:val="7CC65B00"/>
    <w:lvl w:ilvl="0" w:tplc="0C090001">
      <w:start w:val="1"/>
      <w:numFmt w:val="bullet"/>
      <w:lvlText w:val=""/>
      <w:lvlJc w:val="left"/>
      <w:pPr>
        <w:ind w:left="783" w:hanging="360"/>
      </w:pPr>
      <w:rPr>
        <w:rFonts w:ascii="Symbol" w:hAnsi="Symbol" w:hint="default"/>
      </w:rPr>
    </w:lvl>
    <w:lvl w:ilvl="1" w:tplc="0C090003" w:tentative="1">
      <w:start w:val="1"/>
      <w:numFmt w:val="bullet"/>
      <w:lvlText w:val="o"/>
      <w:lvlJc w:val="left"/>
      <w:pPr>
        <w:ind w:left="1503" w:hanging="360"/>
      </w:pPr>
      <w:rPr>
        <w:rFonts w:ascii="Courier New" w:hAnsi="Courier New" w:cs="Courier New" w:hint="default"/>
      </w:rPr>
    </w:lvl>
    <w:lvl w:ilvl="2" w:tplc="0C090005" w:tentative="1">
      <w:start w:val="1"/>
      <w:numFmt w:val="bullet"/>
      <w:lvlText w:val=""/>
      <w:lvlJc w:val="left"/>
      <w:pPr>
        <w:ind w:left="2223" w:hanging="360"/>
      </w:pPr>
      <w:rPr>
        <w:rFonts w:ascii="Wingdings" w:hAnsi="Wingdings" w:hint="default"/>
      </w:rPr>
    </w:lvl>
    <w:lvl w:ilvl="3" w:tplc="0C090001" w:tentative="1">
      <w:start w:val="1"/>
      <w:numFmt w:val="bullet"/>
      <w:lvlText w:val=""/>
      <w:lvlJc w:val="left"/>
      <w:pPr>
        <w:ind w:left="2943" w:hanging="360"/>
      </w:pPr>
      <w:rPr>
        <w:rFonts w:ascii="Symbol" w:hAnsi="Symbol" w:hint="default"/>
      </w:rPr>
    </w:lvl>
    <w:lvl w:ilvl="4" w:tplc="0C090003" w:tentative="1">
      <w:start w:val="1"/>
      <w:numFmt w:val="bullet"/>
      <w:lvlText w:val="o"/>
      <w:lvlJc w:val="left"/>
      <w:pPr>
        <w:ind w:left="3663" w:hanging="360"/>
      </w:pPr>
      <w:rPr>
        <w:rFonts w:ascii="Courier New" w:hAnsi="Courier New" w:cs="Courier New" w:hint="default"/>
      </w:rPr>
    </w:lvl>
    <w:lvl w:ilvl="5" w:tplc="0C090005" w:tentative="1">
      <w:start w:val="1"/>
      <w:numFmt w:val="bullet"/>
      <w:lvlText w:val=""/>
      <w:lvlJc w:val="left"/>
      <w:pPr>
        <w:ind w:left="4383" w:hanging="360"/>
      </w:pPr>
      <w:rPr>
        <w:rFonts w:ascii="Wingdings" w:hAnsi="Wingdings" w:hint="default"/>
      </w:rPr>
    </w:lvl>
    <w:lvl w:ilvl="6" w:tplc="0C090001" w:tentative="1">
      <w:start w:val="1"/>
      <w:numFmt w:val="bullet"/>
      <w:lvlText w:val=""/>
      <w:lvlJc w:val="left"/>
      <w:pPr>
        <w:ind w:left="5103" w:hanging="360"/>
      </w:pPr>
      <w:rPr>
        <w:rFonts w:ascii="Symbol" w:hAnsi="Symbol" w:hint="default"/>
      </w:rPr>
    </w:lvl>
    <w:lvl w:ilvl="7" w:tplc="0C090003" w:tentative="1">
      <w:start w:val="1"/>
      <w:numFmt w:val="bullet"/>
      <w:lvlText w:val="o"/>
      <w:lvlJc w:val="left"/>
      <w:pPr>
        <w:ind w:left="5823" w:hanging="360"/>
      </w:pPr>
      <w:rPr>
        <w:rFonts w:ascii="Courier New" w:hAnsi="Courier New" w:cs="Courier New" w:hint="default"/>
      </w:rPr>
    </w:lvl>
    <w:lvl w:ilvl="8" w:tplc="0C090005" w:tentative="1">
      <w:start w:val="1"/>
      <w:numFmt w:val="bullet"/>
      <w:lvlText w:val=""/>
      <w:lvlJc w:val="left"/>
      <w:pPr>
        <w:ind w:left="6543" w:hanging="360"/>
      </w:pPr>
      <w:rPr>
        <w:rFonts w:ascii="Wingdings" w:hAnsi="Wingdings" w:hint="default"/>
      </w:rPr>
    </w:lvl>
  </w:abstractNum>
  <w:num w:numId="1">
    <w:abstractNumId w:val="12"/>
  </w:num>
  <w:num w:numId="2">
    <w:abstractNumId w:val="11"/>
  </w:num>
  <w:num w:numId="3">
    <w:abstractNumId w:val="8"/>
  </w:num>
  <w:num w:numId="4">
    <w:abstractNumId w:val="6"/>
  </w:num>
  <w:num w:numId="5">
    <w:abstractNumId w:val="5"/>
  </w:num>
  <w:num w:numId="6">
    <w:abstractNumId w:val="4"/>
  </w:num>
  <w:num w:numId="7">
    <w:abstractNumId w:val="7"/>
  </w:num>
  <w:num w:numId="8">
    <w:abstractNumId w:val="3"/>
  </w:num>
  <w:num w:numId="9">
    <w:abstractNumId w:val="2"/>
  </w:num>
  <w:num w:numId="10">
    <w:abstractNumId w:val="1"/>
  </w:num>
  <w:num w:numId="11">
    <w:abstractNumId w:val="0"/>
  </w:num>
  <w:num w:numId="12">
    <w:abstractNumId w:val="15"/>
  </w:num>
  <w:num w:numId="13">
    <w:abstractNumId w:val="13"/>
  </w:num>
  <w:num w:numId="14">
    <w:abstractNumId w:val="18"/>
  </w:num>
  <w:num w:numId="15">
    <w:abstractNumId w:val="14"/>
  </w:num>
  <w:num w:numId="16">
    <w:abstractNumId w:val="17"/>
  </w:num>
  <w:num w:numId="17">
    <w:abstractNumId w:val="19"/>
  </w:num>
  <w:num w:numId="18">
    <w:abstractNumId w:val="16"/>
  </w:num>
  <w:num w:numId="19">
    <w:abstractNumId w:val="21"/>
  </w:num>
  <w:num w:numId="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num>
  <w:num w:numId="22">
    <w:abstractNumId w:val="9"/>
    <w:lvlOverride w:ilvl="0">
      <w:startOverride w:val="9"/>
    </w:lvlOverride>
  </w:num>
  <w:num w:numId="23">
    <w:abstractNumId w:val="9"/>
    <w:lvlOverride w:ilvl="0">
      <w:startOverride w:val="9"/>
    </w:lvlOverride>
    <w:lvlOverride w:ilvl="1">
      <w:startOverride w:val="2"/>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stylePaneFormatFilter w:val="1321" w:allStyles="1" w:customStyles="0" w:latentStyles="0" w:stylesInUse="0" w:headingStyles="1" w:numberingStyles="0" w:tableStyles="0" w:directFormattingOnRuns="1" w:directFormattingOnParagraphs="1" w:directFormattingOnNumbering="0" w:directFormattingOnTables="0" w:clearFormatting="1" w:top3HeadingStyles="0" w:visibleStyles="0" w:alternateStyleNames="0"/>
  <w:stylePaneSortMethod w:val="0004"/>
  <w:defaultTabStop w:val="720"/>
  <w:characterSpacingControl w:val="doNotCompress"/>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A24"/>
    <w:rsid w:val="00000F96"/>
    <w:rsid w:val="00001113"/>
    <w:rsid w:val="00001850"/>
    <w:rsid w:val="00001956"/>
    <w:rsid w:val="00001A7B"/>
    <w:rsid w:val="00001B54"/>
    <w:rsid w:val="00002DE9"/>
    <w:rsid w:val="000032B7"/>
    <w:rsid w:val="00003C57"/>
    <w:rsid w:val="00005D6C"/>
    <w:rsid w:val="00005EE4"/>
    <w:rsid w:val="000064C6"/>
    <w:rsid w:val="00006664"/>
    <w:rsid w:val="0000691A"/>
    <w:rsid w:val="0000788F"/>
    <w:rsid w:val="00010147"/>
    <w:rsid w:val="000114F1"/>
    <w:rsid w:val="00011813"/>
    <w:rsid w:val="0001199E"/>
    <w:rsid w:val="000119B3"/>
    <w:rsid w:val="00011DC3"/>
    <w:rsid w:val="00011FFD"/>
    <w:rsid w:val="00012CD2"/>
    <w:rsid w:val="0001401C"/>
    <w:rsid w:val="00014DCC"/>
    <w:rsid w:val="00015113"/>
    <w:rsid w:val="00015475"/>
    <w:rsid w:val="00015C5C"/>
    <w:rsid w:val="00015CB5"/>
    <w:rsid w:val="00015FEE"/>
    <w:rsid w:val="0001634C"/>
    <w:rsid w:val="00016545"/>
    <w:rsid w:val="0001659C"/>
    <w:rsid w:val="00016CD2"/>
    <w:rsid w:val="0001742D"/>
    <w:rsid w:val="000176B0"/>
    <w:rsid w:val="000205B0"/>
    <w:rsid w:val="00020D02"/>
    <w:rsid w:val="00021014"/>
    <w:rsid w:val="00021A8F"/>
    <w:rsid w:val="00023B99"/>
    <w:rsid w:val="00023CD1"/>
    <w:rsid w:val="0002559E"/>
    <w:rsid w:val="000260D6"/>
    <w:rsid w:val="000262C7"/>
    <w:rsid w:val="00026729"/>
    <w:rsid w:val="00026B0E"/>
    <w:rsid w:val="00026F17"/>
    <w:rsid w:val="00026F73"/>
    <w:rsid w:val="0003000F"/>
    <w:rsid w:val="000305DA"/>
    <w:rsid w:val="00030A46"/>
    <w:rsid w:val="00030B54"/>
    <w:rsid w:val="0003155D"/>
    <w:rsid w:val="00032785"/>
    <w:rsid w:val="000332E5"/>
    <w:rsid w:val="00033AFF"/>
    <w:rsid w:val="00033CE3"/>
    <w:rsid w:val="00034616"/>
    <w:rsid w:val="000350F4"/>
    <w:rsid w:val="000355B6"/>
    <w:rsid w:val="00035C95"/>
    <w:rsid w:val="00035EA5"/>
    <w:rsid w:val="000365CC"/>
    <w:rsid w:val="000366D3"/>
    <w:rsid w:val="00036C05"/>
    <w:rsid w:val="00040878"/>
    <w:rsid w:val="00042104"/>
    <w:rsid w:val="00042894"/>
    <w:rsid w:val="000449B0"/>
    <w:rsid w:val="00044E50"/>
    <w:rsid w:val="000450E7"/>
    <w:rsid w:val="000450F4"/>
    <w:rsid w:val="0004538B"/>
    <w:rsid w:val="00045814"/>
    <w:rsid w:val="00045B1B"/>
    <w:rsid w:val="000462E4"/>
    <w:rsid w:val="0004665D"/>
    <w:rsid w:val="0004755A"/>
    <w:rsid w:val="000503AA"/>
    <w:rsid w:val="000506DD"/>
    <w:rsid w:val="00050A54"/>
    <w:rsid w:val="00051C52"/>
    <w:rsid w:val="00052100"/>
    <w:rsid w:val="00052402"/>
    <w:rsid w:val="00052B5C"/>
    <w:rsid w:val="00053E9A"/>
    <w:rsid w:val="000543B8"/>
    <w:rsid w:val="00054AB3"/>
    <w:rsid w:val="000557BD"/>
    <w:rsid w:val="00055AD0"/>
    <w:rsid w:val="00056A57"/>
    <w:rsid w:val="00056F6C"/>
    <w:rsid w:val="000604E3"/>
    <w:rsid w:val="00060CD2"/>
    <w:rsid w:val="00060EDC"/>
    <w:rsid w:val="000610B6"/>
    <w:rsid w:val="0006251A"/>
    <w:rsid w:val="0006421A"/>
    <w:rsid w:val="00064605"/>
    <w:rsid w:val="00064B7C"/>
    <w:rsid w:val="00064D5B"/>
    <w:rsid w:val="0006571C"/>
    <w:rsid w:val="00065B97"/>
    <w:rsid w:val="00065C74"/>
    <w:rsid w:val="00066952"/>
    <w:rsid w:val="000673F1"/>
    <w:rsid w:val="00070F75"/>
    <w:rsid w:val="00072F4D"/>
    <w:rsid w:val="00073257"/>
    <w:rsid w:val="00073939"/>
    <w:rsid w:val="00074199"/>
    <w:rsid w:val="00074884"/>
    <w:rsid w:val="00074B4A"/>
    <w:rsid w:val="000757B6"/>
    <w:rsid w:val="00075887"/>
    <w:rsid w:val="000762D3"/>
    <w:rsid w:val="000763B7"/>
    <w:rsid w:val="0007644B"/>
    <w:rsid w:val="00076BF0"/>
    <w:rsid w:val="00077039"/>
    <w:rsid w:val="00077C66"/>
    <w:rsid w:val="00080723"/>
    <w:rsid w:val="00082358"/>
    <w:rsid w:val="000826D3"/>
    <w:rsid w:val="0008295B"/>
    <w:rsid w:val="00084053"/>
    <w:rsid w:val="00084218"/>
    <w:rsid w:val="00084404"/>
    <w:rsid w:val="00084CC6"/>
    <w:rsid w:val="00084D09"/>
    <w:rsid w:val="00084D7B"/>
    <w:rsid w:val="00084E4E"/>
    <w:rsid w:val="00085A53"/>
    <w:rsid w:val="00085F46"/>
    <w:rsid w:val="0008674E"/>
    <w:rsid w:val="00086ADB"/>
    <w:rsid w:val="0008768B"/>
    <w:rsid w:val="00090035"/>
    <w:rsid w:val="0009021C"/>
    <w:rsid w:val="0009044B"/>
    <w:rsid w:val="00090BCC"/>
    <w:rsid w:val="00090C49"/>
    <w:rsid w:val="00092506"/>
    <w:rsid w:val="00092855"/>
    <w:rsid w:val="00092B02"/>
    <w:rsid w:val="00094507"/>
    <w:rsid w:val="00094EF6"/>
    <w:rsid w:val="000954E2"/>
    <w:rsid w:val="0009616B"/>
    <w:rsid w:val="000963B0"/>
    <w:rsid w:val="00096694"/>
    <w:rsid w:val="00096767"/>
    <w:rsid w:val="00096B73"/>
    <w:rsid w:val="00096BF8"/>
    <w:rsid w:val="00096D9A"/>
    <w:rsid w:val="00097A61"/>
    <w:rsid w:val="00097F55"/>
    <w:rsid w:val="000A050C"/>
    <w:rsid w:val="000A07D2"/>
    <w:rsid w:val="000A0CE6"/>
    <w:rsid w:val="000A19C4"/>
    <w:rsid w:val="000A1FD5"/>
    <w:rsid w:val="000A1FF6"/>
    <w:rsid w:val="000A2218"/>
    <w:rsid w:val="000A241F"/>
    <w:rsid w:val="000A2C55"/>
    <w:rsid w:val="000A3DCB"/>
    <w:rsid w:val="000A42E7"/>
    <w:rsid w:val="000A4629"/>
    <w:rsid w:val="000A4988"/>
    <w:rsid w:val="000A5211"/>
    <w:rsid w:val="000A64D1"/>
    <w:rsid w:val="000A6E5C"/>
    <w:rsid w:val="000A6F9A"/>
    <w:rsid w:val="000A7571"/>
    <w:rsid w:val="000B052D"/>
    <w:rsid w:val="000B0FA3"/>
    <w:rsid w:val="000B0FAD"/>
    <w:rsid w:val="000B1196"/>
    <w:rsid w:val="000B196D"/>
    <w:rsid w:val="000B2FC5"/>
    <w:rsid w:val="000B32D5"/>
    <w:rsid w:val="000B3897"/>
    <w:rsid w:val="000B3BDF"/>
    <w:rsid w:val="000B42CD"/>
    <w:rsid w:val="000B5CDC"/>
    <w:rsid w:val="000B6E21"/>
    <w:rsid w:val="000B75FF"/>
    <w:rsid w:val="000B7C45"/>
    <w:rsid w:val="000C099F"/>
    <w:rsid w:val="000C1EF8"/>
    <w:rsid w:val="000C31DB"/>
    <w:rsid w:val="000C4057"/>
    <w:rsid w:val="000C6376"/>
    <w:rsid w:val="000C6FB1"/>
    <w:rsid w:val="000C6FCB"/>
    <w:rsid w:val="000C7063"/>
    <w:rsid w:val="000D07AE"/>
    <w:rsid w:val="000D1395"/>
    <w:rsid w:val="000D268E"/>
    <w:rsid w:val="000D2DB2"/>
    <w:rsid w:val="000D4D2B"/>
    <w:rsid w:val="000D5D89"/>
    <w:rsid w:val="000D7B04"/>
    <w:rsid w:val="000D7CC4"/>
    <w:rsid w:val="000E09B7"/>
    <w:rsid w:val="000E0B22"/>
    <w:rsid w:val="000E128F"/>
    <w:rsid w:val="000E16C9"/>
    <w:rsid w:val="000E2680"/>
    <w:rsid w:val="000E4124"/>
    <w:rsid w:val="000E470B"/>
    <w:rsid w:val="000E4B7F"/>
    <w:rsid w:val="000E5535"/>
    <w:rsid w:val="000E691C"/>
    <w:rsid w:val="000E6D75"/>
    <w:rsid w:val="000F017A"/>
    <w:rsid w:val="000F03DD"/>
    <w:rsid w:val="000F058F"/>
    <w:rsid w:val="000F1F2F"/>
    <w:rsid w:val="000F2244"/>
    <w:rsid w:val="000F241F"/>
    <w:rsid w:val="000F261B"/>
    <w:rsid w:val="000F26BF"/>
    <w:rsid w:val="000F2D5C"/>
    <w:rsid w:val="000F32D1"/>
    <w:rsid w:val="000F3337"/>
    <w:rsid w:val="000F37A2"/>
    <w:rsid w:val="000F4228"/>
    <w:rsid w:val="000F5326"/>
    <w:rsid w:val="000F672F"/>
    <w:rsid w:val="000F6937"/>
    <w:rsid w:val="000F6A99"/>
    <w:rsid w:val="000F7248"/>
    <w:rsid w:val="000F777A"/>
    <w:rsid w:val="000F7C44"/>
    <w:rsid w:val="001002B8"/>
    <w:rsid w:val="00100FA0"/>
    <w:rsid w:val="00101DEF"/>
    <w:rsid w:val="00102080"/>
    <w:rsid w:val="001023C1"/>
    <w:rsid w:val="001038D9"/>
    <w:rsid w:val="00103C68"/>
    <w:rsid w:val="00104348"/>
    <w:rsid w:val="001047B3"/>
    <w:rsid w:val="00104A65"/>
    <w:rsid w:val="00105809"/>
    <w:rsid w:val="00106022"/>
    <w:rsid w:val="0010715D"/>
    <w:rsid w:val="00107FE6"/>
    <w:rsid w:val="0011079D"/>
    <w:rsid w:val="001111CB"/>
    <w:rsid w:val="00112B73"/>
    <w:rsid w:val="00112F6D"/>
    <w:rsid w:val="00113263"/>
    <w:rsid w:val="001134DF"/>
    <w:rsid w:val="00113954"/>
    <w:rsid w:val="001144D1"/>
    <w:rsid w:val="00114623"/>
    <w:rsid w:val="00114B53"/>
    <w:rsid w:val="0011527C"/>
    <w:rsid w:val="001155D8"/>
    <w:rsid w:val="001155D9"/>
    <w:rsid w:val="001160CD"/>
    <w:rsid w:val="00116470"/>
    <w:rsid w:val="001164A6"/>
    <w:rsid w:val="00116F15"/>
    <w:rsid w:val="00117212"/>
    <w:rsid w:val="001179EE"/>
    <w:rsid w:val="00117D53"/>
    <w:rsid w:val="00120380"/>
    <w:rsid w:val="00120876"/>
    <w:rsid w:val="00121B7E"/>
    <w:rsid w:val="00121FC3"/>
    <w:rsid w:val="001225BF"/>
    <w:rsid w:val="00123054"/>
    <w:rsid w:val="0012336D"/>
    <w:rsid w:val="00123C5A"/>
    <w:rsid w:val="00124525"/>
    <w:rsid w:val="001249B7"/>
    <w:rsid w:val="00124D88"/>
    <w:rsid w:val="0012519A"/>
    <w:rsid w:val="001252BF"/>
    <w:rsid w:val="00126823"/>
    <w:rsid w:val="00126FFC"/>
    <w:rsid w:val="00127227"/>
    <w:rsid w:val="001272F2"/>
    <w:rsid w:val="001278DC"/>
    <w:rsid w:val="00130251"/>
    <w:rsid w:val="0013040A"/>
    <w:rsid w:val="001311FF"/>
    <w:rsid w:val="001313B7"/>
    <w:rsid w:val="00131A86"/>
    <w:rsid w:val="00131E09"/>
    <w:rsid w:val="001322DD"/>
    <w:rsid w:val="00132B90"/>
    <w:rsid w:val="00133617"/>
    <w:rsid w:val="00134C47"/>
    <w:rsid w:val="00134DDC"/>
    <w:rsid w:val="00135744"/>
    <w:rsid w:val="00136638"/>
    <w:rsid w:val="00140033"/>
    <w:rsid w:val="00142208"/>
    <w:rsid w:val="00142CDF"/>
    <w:rsid w:val="00143EC4"/>
    <w:rsid w:val="00144530"/>
    <w:rsid w:val="00144AA0"/>
    <w:rsid w:val="00144BBB"/>
    <w:rsid w:val="00146C63"/>
    <w:rsid w:val="00150AFF"/>
    <w:rsid w:val="00150C67"/>
    <w:rsid w:val="0015101E"/>
    <w:rsid w:val="00151C89"/>
    <w:rsid w:val="00153351"/>
    <w:rsid w:val="001539D6"/>
    <w:rsid w:val="00153B84"/>
    <w:rsid w:val="0015403F"/>
    <w:rsid w:val="001541DE"/>
    <w:rsid w:val="00154C05"/>
    <w:rsid w:val="001553E8"/>
    <w:rsid w:val="00155D71"/>
    <w:rsid w:val="001563B3"/>
    <w:rsid w:val="00156924"/>
    <w:rsid w:val="00156D38"/>
    <w:rsid w:val="00157067"/>
    <w:rsid w:val="00160410"/>
    <w:rsid w:val="001608D0"/>
    <w:rsid w:val="00160AD5"/>
    <w:rsid w:val="00162AE6"/>
    <w:rsid w:val="00162B7F"/>
    <w:rsid w:val="00162B92"/>
    <w:rsid w:val="00163417"/>
    <w:rsid w:val="00163853"/>
    <w:rsid w:val="00163EA9"/>
    <w:rsid w:val="00164822"/>
    <w:rsid w:val="001648C9"/>
    <w:rsid w:val="00164F3F"/>
    <w:rsid w:val="001661BB"/>
    <w:rsid w:val="00166387"/>
    <w:rsid w:val="00166E20"/>
    <w:rsid w:val="0016743B"/>
    <w:rsid w:val="001700D7"/>
    <w:rsid w:val="0017016E"/>
    <w:rsid w:val="001709A5"/>
    <w:rsid w:val="00170A3E"/>
    <w:rsid w:val="00171022"/>
    <w:rsid w:val="00171B57"/>
    <w:rsid w:val="00171E29"/>
    <w:rsid w:val="001729EF"/>
    <w:rsid w:val="00172C37"/>
    <w:rsid w:val="001739D3"/>
    <w:rsid w:val="00173C63"/>
    <w:rsid w:val="00173E5B"/>
    <w:rsid w:val="0017405A"/>
    <w:rsid w:val="00176472"/>
    <w:rsid w:val="001774E1"/>
    <w:rsid w:val="001777C3"/>
    <w:rsid w:val="001778B8"/>
    <w:rsid w:val="00180396"/>
    <w:rsid w:val="00180836"/>
    <w:rsid w:val="00180958"/>
    <w:rsid w:val="00180AE2"/>
    <w:rsid w:val="00180FB4"/>
    <w:rsid w:val="00181273"/>
    <w:rsid w:val="00181E84"/>
    <w:rsid w:val="001821BD"/>
    <w:rsid w:val="001827FA"/>
    <w:rsid w:val="00182A85"/>
    <w:rsid w:val="00182C47"/>
    <w:rsid w:val="001835F2"/>
    <w:rsid w:val="00183BB7"/>
    <w:rsid w:val="00183D90"/>
    <w:rsid w:val="00184278"/>
    <w:rsid w:val="0018476A"/>
    <w:rsid w:val="00184B8E"/>
    <w:rsid w:val="00184C63"/>
    <w:rsid w:val="00186731"/>
    <w:rsid w:val="0018708E"/>
    <w:rsid w:val="00187552"/>
    <w:rsid w:val="00190BCA"/>
    <w:rsid w:val="00190FCF"/>
    <w:rsid w:val="00190FE6"/>
    <w:rsid w:val="00190FFF"/>
    <w:rsid w:val="00192499"/>
    <w:rsid w:val="00192EB6"/>
    <w:rsid w:val="00193182"/>
    <w:rsid w:val="00193981"/>
    <w:rsid w:val="001942C4"/>
    <w:rsid w:val="0019561C"/>
    <w:rsid w:val="001959E3"/>
    <w:rsid w:val="00196948"/>
    <w:rsid w:val="001974D4"/>
    <w:rsid w:val="00197CBC"/>
    <w:rsid w:val="00197EF9"/>
    <w:rsid w:val="001A0493"/>
    <w:rsid w:val="001A07B5"/>
    <w:rsid w:val="001A3301"/>
    <w:rsid w:val="001A345D"/>
    <w:rsid w:val="001A3582"/>
    <w:rsid w:val="001A397E"/>
    <w:rsid w:val="001A39DC"/>
    <w:rsid w:val="001A3EB7"/>
    <w:rsid w:val="001A4258"/>
    <w:rsid w:val="001A4753"/>
    <w:rsid w:val="001A4830"/>
    <w:rsid w:val="001A4DA7"/>
    <w:rsid w:val="001A6665"/>
    <w:rsid w:val="001A6D4F"/>
    <w:rsid w:val="001A7002"/>
    <w:rsid w:val="001B1317"/>
    <w:rsid w:val="001B189A"/>
    <w:rsid w:val="001B2932"/>
    <w:rsid w:val="001B4129"/>
    <w:rsid w:val="001B4B28"/>
    <w:rsid w:val="001B4DEA"/>
    <w:rsid w:val="001B4F6D"/>
    <w:rsid w:val="001B54F0"/>
    <w:rsid w:val="001B5635"/>
    <w:rsid w:val="001B59A4"/>
    <w:rsid w:val="001B5AFA"/>
    <w:rsid w:val="001B5DFE"/>
    <w:rsid w:val="001B5FC9"/>
    <w:rsid w:val="001B7523"/>
    <w:rsid w:val="001B76D4"/>
    <w:rsid w:val="001B7CB3"/>
    <w:rsid w:val="001C07FC"/>
    <w:rsid w:val="001C088E"/>
    <w:rsid w:val="001C15C7"/>
    <w:rsid w:val="001C2000"/>
    <w:rsid w:val="001C2394"/>
    <w:rsid w:val="001C267C"/>
    <w:rsid w:val="001C28D6"/>
    <w:rsid w:val="001C36F4"/>
    <w:rsid w:val="001C3EFB"/>
    <w:rsid w:val="001C3FA7"/>
    <w:rsid w:val="001C40D0"/>
    <w:rsid w:val="001C433F"/>
    <w:rsid w:val="001C4FAC"/>
    <w:rsid w:val="001C5770"/>
    <w:rsid w:val="001C5B8A"/>
    <w:rsid w:val="001C6416"/>
    <w:rsid w:val="001C7792"/>
    <w:rsid w:val="001D047C"/>
    <w:rsid w:val="001D091A"/>
    <w:rsid w:val="001D0A6F"/>
    <w:rsid w:val="001D1541"/>
    <w:rsid w:val="001D1CD5"/>
    <w:rsid w:val="001D23F9"/>
    <w:rsid w:val="001D3B25"/>
    <w:rsid w:val="001D4ACE"/>
    <w:rsid w:val="001D4EC5"/>
    <w:rsid w:val="001D54B5"/>
    <w:rsid w:val="001D5F77"/>
    <w:rsid w:val="001D6723"/>
    <w:rsid w:val="001D6D7F"/>
    <w:rsid w:val="001D7938"/>
    <w:rsid w:val="001D7ACB"/>
    <w:rsid w:val="001D7DD8"/>
    <w:rsid w:val="001E031F"/>
    <w:rsid w:val="001E039D"/>
    <w:rsid w:val="001E0646"/>
    <w:rsid w:val="001E1E73"/>
    <w:rsid w:val="001E2D93"/>
    <w:rsid w:val="001E3350"/>
    <w:rsid w:val="001E3F20"/>
    <w:rsid w:val="001E472C"/>
    <w:rsid w:val="001E47C7"/>
    <w:rsid w:val="001E4EB1"/>
    <w:rsid w:val="001E533F"/>
    <w:rsid w:val="001E61D9"/>
    <w:rsid w:val="001E632F"/>
    <w:rsid w:val="001E684A"/>
    <w:rsid w:val="001E7922"/>
    <w:rsid w:val="001F058D"/>
    <w:rsid w:val="001F0B30"/>
    <w:rsid w:val="001F1617"/>
    <w:rsid w:val="001F23E2"/>
    <w:rsid w:val="001F2F84"/>
    <w:rsid w:val="001F3ADC"/>
    <w:rsid w:val="001F3D58"/>
    <w:rsid w:val="001F3DD4"/>
    <w:rsid w:val="001F4256"/>
    <w:rsid w:val="001F56E2"/>
    <w:rsid w:val="001F6F06"/>
    <w:rsid w:val="001F701F"/>
    <w:rsid w:val="001F75A1"/>
    <w:rsid w:val="001F7613"/>
    <w:rsid w:val="00201596"/>
    <w:rsid w:val="00201D55"/>
    <w:rsid w:val="0020249C"/>
    <w:rsid w:val="002030AF"/>
    <w:rsid w:val="002032CF"/>
    <w:rsid w:val="00203FC8"/>
    <w:rsid w:val="002040C2"/>
    <w:rsid w:val="00205119"/>
    <w:rsid w:val="00205CDC"/>
    <w:rsid w:val="0020648E"/>
    <w:rsid w:val="0021028C"/>
    <w:rsid w:val="00210496"/>
    <w:rsid w:val="0021071D"/>
    <w:rsid w:val="00210728"/>
    <w:rsid w:val="00210C17"/>
    <w:rsid w:val="002110EF"/>
    <w:rsid w:val="00212214"/>
    <w:rsid w:val="00212276"/>
    <w:rsid w:val="00212C0B"/>
    <w:rsid w:val="00212C1D"/>
    <w:rsid w:val="00214164"/>
    <w:rsid w:val="002152C8"/>
    <w:rsid w:val="002168E2"/>
    <w:rsid w:val="00216DB8"/>
    <w:rsid w:val="00216E77"/>
    <w:rsid w:val="00217133"/>
    <w:rsid w:val="00220143"/>
    <w:rsid w:val="00220401"/>
    <w:rsid w:val="0022105A"/>
    <w:rsid w:val="00222E24"/>
    <w:rsid w:val="002241BC"/>
    <w:rsid w:val="00225AA2"/>
    <w:rsid w:val="00226BCC"/>
    <w:rsid w:val="002275AD"/>
    <w:rsid w:val="00230FDD"/>
    <w:rsid w:val="002314F5"/>
    <w:rsid w:val="00231675"/>
    <w:rsid w:val="00231BB8"/>
    <w:rsid w:val="00231E22"/>
    <w:rsid w:val="00231F9C"/>
    <w:rsid w:val="00232635"/>
    <w:rsid w:val="0023296B"/>
    <w:rsid w:val="002334E5"/>
    <w:rsid w:val="00234C49"/>
    <w:rsid w:val="00234F71"/>
    <w:rsid w:val="002358BA"/>
    <w:rsid w:val="00235B93"/>
    <w:rsid w:val="00236880"/>
    <w:rsid w:val="00240263"/>
    <w:rsid w:val="00240759"/>
    <w:rsid w:val="0024084A"/>
    <w:rsid w:val="0024088C"/>
    <w:rsid w:val="00241E2E"/>
    <w:rsid w:val="002422A8"/>
    <w:rsid w:val="002422E9"/>
    <w:rsid w:val="00242707"/>
    <w:rsid w:val="00243FE1"/>
    <w:rsid w:val="00244FAE"/>
    <w:rsid w:val="002458FB"/>
    <w:rsid w:val="00245FB4"/>
    <w:rsid w:val="0024684D"/>
    <w:rsid w:val="00246DD9"/>
    <w:rsid w:val="002471EE"/>
    <w:rsid w:val="00247AFF"/>
    <w:rsid w:val="00247FC8"/>
    <w:rsid w:val="002504B2"/>
    <w:rsid w:val="00250ACA"/>
    <w:rsid w:val="00250FFF"/>
    <w:rsid w:val="0025100A"/>
    <w:rsid w:val="002510D8"/>
    <w:rsid w:val="00251E3C"/>
    <w:rsid w:val="0025258B"/>
    <w:rsid w:val="00252717"/>
    <w:rsid w:val="00252B08"/>
    <w:rsid w:val="00253045"/>
    <w:rsid w:val="002533C1"/>
    <w:rsid w:val="00253D7C"/>
    <w:rsid w:val="0025408E"/>
    <w:rsid w:val="00254101"/>
    <w:rsid w:val="0025415C"/>
    <w:rsid w:val="00254629"/>
    <w:rsid w:val="00255B7A"/>
    <w:rsid w:val="00256AC1"/>
    <w:rsid w:val="002571F0"/>
    <w:rsid w:val="0025720F"/>
    <w:rsid w:val="0025734D"/>
    <w:rsid w:val="0026052F"/>
    <w:rsid w:val="00260BBC"/>
    <w:rsid w:val="00260EFC"/>
    <w:rsid w:val="00261475"/>
    <w:rsid w:val="00263D48"/>
    <w:rsid w:val="0026439F"/>
    <w:rsid w:val="00264512"/>
    <w:rsid w:val="0026470B"/>
    <w:rsid w:val="00264D47"/>
    <w:rsid w:val="002652E9"/>
    <w:rsid w:val="00265EF9"/>
    <w:rsid w:val="00266A7F"/>
    <w:rsid w:val="00267FB5"/>
    <w:rsid w:val="00270738"/>
    <w:rsid w:val="00270B1A"/>
    <w:rsid w:val="002723C7"/>
    <w:rsid w:val="00273117"/>
    <w:rsid w:val="00274BB1"/>
    <w:rsid w:val="002763D3"/>
    <w:rsid w:val="00276D8B"/>
    <w:rsid w:val="00277C4C"/>
    <w:rsid w:val="00277CE5"/>
    <w:rsid w:val="00277E6C"/>
    <w:rsid w:val="0028011D"/>
    <w:rsid w:val="00280E72"/>
    <w:rsid w:val="002813AC"/>
    <w:rsid w:val="00281F0A"/>
    <w:rsid w:val="00282129"/>
    <w:rsid w:val="00282BB0"/>
    <w:rsid w:val="00282C21"/>
    <w:rsid w:val="002834D0"/>
    <w:rsid w:val="002841E6"/>
    <w:rsid w:val="00284495"/>
    <w:rsid w:val="00284F17"/>
    <w:rsid w:val="002877C4"/>
    <w:rsid w:val="00287967"/>
    <w:rsid w:val="00287ED9"/>
    <w:rsid w:val="00290338"/>
    <w:rsid w:val="00291606"/>
    <w:rsid w:val="002928A4"/>
    <w:rsid w:val="002929B5"/>
    <w:rsid w:val="00292FAD"/>
    <w:rsid w:val="00293087"/>
    <w:rsid w:val="002931B2"/>
    <w:rsid w:val="00293775"/>
    <w:rsid w:val="0029405E"/>
    <w:rsid w:val="00294283"/>
    <w:rsid w:val="0029545B"/>
    <w:rsid w:val="002956C7"/>
    <w:rsid w:val="0029591A"/>
    <w:rsid w:val="00295F29"/>
    <w:rsid w:val="00296011"/>
    <w:rsid w:val="00296B79"/>
    <w:rsid w:val="002A0417"/>
    <w:rsid w:val="002A109D"/>
    <w:rsid w:val="002A15AC"/>
    <w:rsid w:val="002A1781"/>
    <w:rsid w:val="002A2075"/>
    <w:rsid w:val="002A28EE"/>
    <w:rsid w:val="002A2B80"/>
    <w:rsid w:val="002A32AE"/>
    <w:rsid w:val="002A32B5"/>
    <w:rsid w:val="002A3B0E"/>
    <w:rsid w:val="002A3DAD"/>
    <w:rsid w:val="002A4001"/>
    <w:rsid w:val="002A4240"/>
    <w:rsid w:val="002A5159"/>
    <w:rsid w:val="002A5249"/>
    <w:rsid w:val="002A52CA"/>
    <w:rsid w:val="002A57AF"/>
    <w:rsid w:val="002A6792"/>
    <w:rsid w:val="002A68BA"/>
    <w:rsid w:val="002A6D6E"/>
    <w:rsid w:val="002A728C"/>
    <w:rsid w:val="002A7C72"/>
    <w:rsid w:val="002A7E4F"/>
    <w:rsid w:val="002B057C"/>
    <w:rsid w:val="002B0E00"/>
    <w:rsid w:val="002B15FA"/>
    <w:rsid w:val="002B194A"/>
    <w:rsid w:val="002B27C9"/>
    <w:rsid w:val="002B2FF2"/>
    <w:rsid w:val="002B3F84"/>
    <w:rsid w:val="002B4086"/>
    <w:rsid w:val="002B40C9"/>
    <w:rsid w:val="002B46AB"/>
    <w:rsid w:val="002B47A5"/>
    <w:rsid w:val="002B59EE"/>
    <w:rsid w:val="002B6C9D"/>
    <w:rsid w:val="002B6DF5"/>
    <w:rsid w:val="002B7FC6"/>
    <w:rsid w:val="002C0751"/>
    <w:rsid w:val="002C0B70"/>
    <w:rsid w:val="002C1224"/>
    <w:rsid w:val="002C13F4"/>
    <w:rsid w:val="002C1D9C"/>
    <w:rsid w:val="002C27E4"/>
    <w:rsid w:val="002C2F1B"/>
    <w:rsid w:val="002C318B"/>
    <w:rsid w:val="002C34C2"/>
    <w:rsid w:val="002C3510"/>
    <w:rsid w:val="002C4122"/>
    <w:rsid w:val="002C428F"/>
    <w:rsid w:val="002C4F59"/>
    <w:rsid w:val="002C53DC"/>
    <w:rsid w:val="002C5422"/>
    <w:rsid w:val="002C56B6"/>
    <w:rsid w:val="002C5D29"/>
    <w:rsid w:val="002C5D7E"/>
    <w:rsid w:val="002C5ECA"/>
    <w:rsid w:val="002C6C3C"/>
    <w:rsid w:val="002C7DAF"/>
    <w:rsid w:val="002D01F3"/>
    <w:rsid w:val="002D09A9"/>
    <w:rsid w:val="002D1203"/>
    <w:rsid w:val="002D1D34"/>
    <w:rsid w:val="002D33E6"/>
    <w:rsid w:val="002D4B05"/>
    <w:rsid w:val="002D5892"/>
    <w:rsid w:val="002D59B2"/>
    <w:rsid w:val="002D5B99"/>
    <w:rsid w:val="002D6E82"/>
    <w:rsid w:val="002D6EBC"/>
    <w:rsid w:val="002D755D"/>
    <w:rsid w:val="002D7E2A"/>
    <w:rsid w:val="002E06FF"/>
    <w:rsid w:val="002E20D5"/>
    <w:rsid w:val="002E214E"/>
    <w:rsid w:val="002E42E5"/>
    <w:rsid w:val="002E4509"/>
    <w:rsid w:val="002E5895"/>
    <w:rsid w:val="002E5E8F"/>
    <w:rsid w:val="002E6A21"/>
    <w:rsid w:val="002E72B3"/>
    <w:rsid w:val="002E7B96"/>
    <w:rsid w:val="002F04DE"/>
    <w:rsid w:val="002F0B79"/>
    <w:rsid w:val="002F0DEB"/>
    <w:rsid w:val="002F0EA3"/>
    <w:rsid w:val="002F110A"/>
    <w:rsid w:val="002F15D9"/>
    <w:rsid w:val="002F16A2"/>
    <w:rsid w:val="002F190D"/>
    <w:rsid w:val="002F1DAF"/>
    <w:rsid w:val="002F24B6"/>
    <w:rsid w:val="002F28C0"/>
    <w:rsid w:val="002F29E3"/>
    <w:rsid w:val="002F2DA5"/>
    <w:rsid w:val="002F33D9"/>
    <w:rsid w:val="002F4336"/>
    <w:rsid w:val="002F49B2"/>
    <w:rsid w:val="002F4BA7"/>
    <w:rsid w:val="002F5721"/>
    <w:rsid w:val="002F5B74"/>
    <w:rsid w:val="002F6E5A"/>
    <w:rsid w:val="002F70E6"/>
    <w:rsid w:val="002F7632"/>
    <w:rsid w:val="002F7656"/>
    <w:rsid w:val="00300D97"/>
    <w:rsid w:val="00301695"/>
    <w:rsid w:val="003023CE"/>
    <w:rsid w:val="00302966"/>
    <w:rsid w:val="00302C37"/>
    <w:rsid w:val="00303138"/>
    <w:rsid w:val="003032B3"/>
    <w:rsid w:val="00303C3B"/>
    <w:rsid w:val="00303CCA"/>
    <w:rsid w:val="0030441B"/>
    <w:rsid w:val="003045D3"/>
    <w:rsid w:val="0030466B"/>
    <w:rsid w:val="0030493B"/>
    <w:rsid w:val="00304BBF"/>
    <w:rsid w:val="0030520F"/>
    <w:rsid w:val="003053B5"/>
    <w:rsid w:val="003055B9"/>
    <w:rsid w:val="00305EC7"/>
    <w:rsid w:val="003066B1"/>
    <w:rsid w:val="00306AE1"/>
    <w:rsid w:val="00306FC4"/>
    <w:rsid w:val="00306FFA"/>
    <w:rsid w:val="00310753"/>
    <w:rsid w:val="0031139F"/>
    <w:rsid w:val="0031282F"/>
    <w:rsid w:val="00313248"/>
    <w:rsid w:val="003134F1"/>
    <w:rsid w:val="0031416F"/>
    <w:rsid w:val="00314B4E"/>
    <w:rsid w:val="00315285"/>
    <w:rsid w:val="0031596A"/>
    <w:rsid w:val="00315B22"/>
    <w:rsid w:val="0031680C"/>
    <w:rsid w:val="00317C06"/>
    <w:rsid w:val="0032060C"/>
    <w:rsid w:val="00321ED9"/>
    <w:rsid w:val="0032242F"/>
    <w:rsid w:val="00322E52"/>
    <w:rsid w:val="003230DA"/>
    <w:rsid w:val="00323A24"/>
    <w:rsid w:val="00323B32"/>
    <w:rsid w:val="003245EC"/>
    <w:rsid w:val="00324FB6"/>
    <w:rsid w:val="003261B6"/>
    <w:rsid w:val="003273C9"/>
    <w:rsid w:val="00327673"/>
    <w:rsid w:val="00327E0F"/>
    <w:rsid w:val="0033078B"/>
    <w:rsid w:val="00330C7D"/>
    <w:rsid w:val="00332360"/>
    <w:rsid w:val="0033239F"/>
    <w:rsid w:val="0033244F"/>
    <w:rsid w:val="00332956"/>
    <w:rsid w:val="00332B32"/>
    <w:rsid w:val="0033301C"/>
    <w:rsid w:val="00334128"/>
    <w:rsid w:val="00334C06"/>
    <w:rsid w:val="00335ADC"/>
    <w:rsid w:val="00335CBC"/>
    <w:rsid w:val="0033623A"/>
    <w:rsid w:val="00336583"/>
    <w:rsid w:val="00336857"/>
    <w:rsid w:val="00337176"/>
    <w:rsid w:val="003406B5"/>
    <w:rsid w:val="00340F78"/>
    <w:rsid w:val="00342701"/>
    <w:rsid w:val="0034291D"/>
    <w:rsid w:val="00342FF7"/>
    <w:rsid w:val="003448D5"/>
    <w:rsid w:val="00345164"/>
    <w:rsid w:val="00345189"/>
    <w:rsid w:val="00345FC7"/>
    <w:rsid w:val="00346B37"/>
    <w:rsid w:val="00346CBA"/>
    <w:rsid w:val="00346F8F"/>
    <w:rsid w:val="00350739"/>
    <w:rsid w:val="00352B5B"/>
    <w:rsid w:val="00353606"/>
    <w:rsid w:val="00353AA5"/>
    <w:rsid w:val="003544F2"/>
    <w:rsid w:val="00355016"/>
    <w:rsid w:val="00355DCE"/>
    <w:rsid w:val="00357BF2"/>
    <w:rsid w:val="00357FC4"/>
    <w:rsid w:val="00360026"/>
    <w:rsid w:val="00360438"/>
    <w:rsid w:val="00361331"/>
    <w:rsid w:val="003619B4"/>
    <w:rsid w:val="00362093"/>
    <w:rsid w:val="0036265A"/>
    <w:rsid w:val="00363022"/>
    <w:rsid w:val="00364F74"/>
    <w:rsid w:val="003651A0"/>
    <w:rsid w:val="003652F8"/>
    <w:rsid w:val="003668DB"/>
    <w:rsid w:val="00367AB9"/>
    <w:rsid w:val="003708B0"/>
    <w:rsid w:val="00370EEF"/>
    <w:rsid w:val="003712FA"/>
    <w:rsid w:val="003719CA"/>
    <w:rsid w:val="00372109"/>
    <w:rsid w:val="00372F57"/>
    <w:rsid w:val="00373445"/>
    <w:rsid w:val="0037390A"/>
    <w:rsid w:val="00374EFB"/>
    <w:rsid w:val="003751DE"/>
    <w:rsid w:val="00376132"/>
    <w:rsid w:val="00376522"/>
    <w:rsid w:val="00377210"/>
    <w:rsid w:val="00377445"/>
    <w:rsid w:val="003778F8"/>
    <w:rsid w:val="00377F51"/>
    <w:rsid w:val="00381647"/>
    <w:rsid w:val="00381F62"/>
    <w:rsid w:val="00382A2B"/>
    <w:rsid w:val="00383A97"/>
    <w:rsid w:val="00383ED2"/>
    <w:rsid w:val="003841EA"/>
    <w:rsid w:val="00384222"/>
    <w:rsid w:val="0038439B"/>
    <w:rsid w:val="0038659A"/>
    <w:rsid w:val="00386D94"/>
    <w:rsid w:val="003870C2"/>
    <w:rsid w:val="00387D14"/>
    <w:rsid w:val="0039114A"/>
    <w:rsid w:val="0039132A"/>
    <w:rsid w:val="0039205B"/>
    <w:rsid w:val="003920EC"/>
    <w:rsid w:val="00392304"/>
    <w:rsid w:val="0039303A"/>
    <w:rsid w:val="00393289"/>
    <w:rsid w:val="00393380"/>
    <w:rsid w:val="0039351B"/>
    <w:rsid w:val="00393669"/>
    <w:rsid w:val="00396206"/>
    <w:rsid w:val="00396293"/>
    <w:rsid w:val="0039651B"/>
    <w:rsid w:val="00396544"/>
    <w:rsid w:val="0039660C"/>
    <w:rsid w:val="0039782D"/>
    <w:rsid w:val="00397A02"/>
    <w:rsid w:val="003A064F"/>
    <w:rsid w:val="003A08D8"/>
    <w:rsid w:val="003A0941"/>
    <w:rsid w:val="003A1283"/>
    <w:rsid w:val="003A130E"/>
    <w:rsid w:val="003A1EFE"/>
    <w:rsid w:val="003A239E"/>
    <w:rsid w:val="003A28EB"/>
    <w:rsid w:val="003A2942"/>
    <w:rsid w:val="003A2C86"/>
    <w:rsid w:val="003A2E80"/>
    <w:rsid w:val="003A3C1D"/>
    <w:rsid w:val="003A4236"/>
    <w:rsid w:val="003A529E"/>
    <w:rsid w:val="003A5ADD"/>
    <w:rsid w:val="003A61C5"/>
    <w:rsid w:val="003A6A05"/>
    <w:rsid w:val="003A6A30"/>
    <w:rsid w:val="003A7017"/>
    <w:rsid w:val="003A7460"/>
    <w:rsid w:val="003A7B0F"/>
    <w:rsid w:val="003B2AE3"/>
    <w:rsid w:val="003B3206"/>
    <w:rsid w:val="003B3573"/>
    <w:rsid w:val="003B3B81"/>
    <w:rsid w:val="003B4903"/>
    <w:rsid w:val="003B59F1"/>
    <w:rsid w:val="003B5B93"/>
    <w:rsid w:val="003B5C55"/>
    <w:rsid w:val="003B6059"/>
    <w:rsid w:val="003B6F1A"/>
    <w:rsid w:val="003C0562"/>
    <w:rsid w:val="003C0AC1"/>
    <w:rsid w:val="003C0F6F"/>
    <w:rsid w:val="003C23AA"/>
    <w:rsid w:val="003C312E"/>
    <w:rsid w:val="003C3A1E"/>
    <w:rsid w:val="003C4F18"/>
    <w:rsid w:val="003C5153"/>
    <w:rsid w:val="003C59BF"/>
    <w:rsid w:val="003D073D"/>
    <w:rsid w:val="003D0F72"/>
    <w:rsid w:val="003D1A53"/>
    <w:rsid w:val="003D1B54"/>
    <w:rsid w:val="003D21EA"/>
    <w:rsid w:val="003D3103"/>
    <w:rsid w:val="003D32A2"/>
    <w:rsid w:val="003D356A"/>
    <w:rsid w:val="003D3CC8"/>
    <w:rsid w:val="003D55AA"/>
    <w:rsid w:val="003D5E44"/>
    <w:rsid w:val="003D6188"/>
    <w:rsid w:val="003D66C3"/>
    <w:rsid w:val="003D6C46"/>
    <w:rsid w:val="003D6D87"/>
    <w:rsid w:val="003D7291"/>
    <w:rsid w:val="003E0227"/>
    <w:rsid w:val="003E02BD"/>
    <w:rsid w:val="003E0B58"/>
    <w:rsid w:val="003E0EB0"/>
    <w:rsid w:val="003E122C"/>
    <w:rsid w:val="003E15B2"/>
    <w:rsid w:val="003E1AF7"/>
    <w:rsid w:val="003E216D"/>
    <w:rsid w:val="003E2ED1"/>
    <w:rsid w:val="003E306B"/>
    <w:rsid w:val="003E344F"/>
    <w:rsid w:val="003E43B0"/>
    <w:rsid w:val="003E4B14"/>
    <w:rsid w:val="003E5549"/>
    <w:rsid w:val="003E5B8F"/>
    <w:rsid w:val="003E6A57"/>
    <w:rsid w:val="003E6ABE"/>
    <w:rsid w:val="003E78FD"/>
    <w:rsid w:val="003E7AA9"/>
    <w:rsid w:val="003E7D7C"/>
    <w:rsid w:val="003F0873"/>
    <w:rsid w:val="003F0B6D"/>
    <w:rsid w:val="003F0E7B"/>
    <w:rsid w:val="003F1196"/>
    <w:rsid w:val="003F1C58"/>
    <w:rsid w:val="003F1E67"/>
    <w:rsid w:val="003F2219"/>
    <w:rsid w:val="003F2C40"/>
    <w:rsid w:val="003F3DBB"/>
    <w:rsid w:val="003F48B1"/>
    <w:rsid w:val="003F4924"/>
    <w:rsid w:val="003F4D6B"/>
    <w:rsid w:val="003F4FD5"/>
    <w:rsid w:val="003F5393"/>
    <w:rsid w:val="003F5F83"/>
    <w:rsid w:val="003F670B"/>
    <w:rsid w:val="003F7628"/>
    <w:rsid w:val="003F7EB1"/>
    <w:rsid w:val="00402A6B"/>
    <w:rsid w:val="00402E16"/>
    <w:rsid w:val="004034B1"/>
    <w:rsid w:val="004034B5"/>
    <w:rsid w:val="00403C04"/>
    <w:rsid w:val="004045FD"/>
    <w:rsid w:val="004049C6"/>
    <w:rsid w:val="004051E6"/>
    <w:rsid w:val="00406BD7"/>
    <w:rsid w:val="00407D7A"/>
    <w:rsid w:val="004108FC"/>
    <w:rsid w:val="00411484"/>
    <w:rsid w:val="004116E6"/>
    <w:rsid w:val="004118F6"/>
    <w:rsid w:val="0041191E"/>
    <w:rsid w:val="0041296E"/>
    <w:rsid w:val="00413104"/>
    <w:rsid w:val="00413CCB"/>
    <w:rsid w:val="0041415A"/>
    <w:rsid w:val="00415AA0"/>
    <w:rsid w:val="00416FA1"/>
    <w:rsid w:val="00417AEE"/>
    <w:rsid w:val="00417AF5"/>
    <w:rsid w:val="00420CAA"/>
    <w:rsid w:val="004211F5"/>
    <w:rsid w:val="004216B7"/>
    <w:rsid w:val="00422A03"/>
    <w:rsid w:val="00422EB7"/>
    <w:rsid w:val="00423595"/>
    <w:rsid w:val="00423CA8"/>
    <w:rsid w:val="00424239"/>
    <w:rsid w:val="004243B0"/>
    <w:rsid w:val="004248EA"/>
    <w:rsid w:val="004252BF"/>
    <w:rsid w:val="00425F25"/>
    <w:rsid w:val="00426065"/>
    <w:rsid w:val="00426597"/>
    <w:rsid w:val="00426920"/>
    <w:rsid w:val="00426BAC"/>
    <w:rsid w:val="00427ACC"/>
    <w:rsid w:val="004304DE"/>
    <w:rsid w:val="00430552"/>
    <w:rsid w:val="00430A39"/>
    <w:rsid w:val="004320ED"/>
    <w:rsid w:val="0043235C"/>
    <w:rsid w:val="00432E37"/>
    <w:rsid w:val="0043311B"/>
    <w:rsid w:val="00433563"/>
    <w:rsid w:val="004337F8"/>
    <w:rsid w:val="004339BA"/>
    <w:rsid w:val="004341FE"/>
    <w:rsid w:val="00434773"/>
    <w:rsid w:val="00434F44"/>
    <w:rsid w:val="00435AD6"/>
    <w:rsid w:val="00435BF5"/>
    <w:rsid w:val="0043643D"/>
    <w:rsid w:val="00436C9A"/>
    <w:rsid w:val="004370C0"/>
    <w:rsid w:val="00437B1B"/>
    <w:rsid w:val="00437C5A"/>
    <w:rsid w:val="00437D84"/>
    <w:rsid w:val="00440AB0"/>
    <w:rsid w:val="00441184"/>
    <w:rsid w:val="004414D9"/>
    <w:rsid w:val="00441C03"/>
    <w:rsid w:val="00441D3F"/>
    <w:rsid w:val="0044231E"/>
    <w:rsid w:val="00443895"/>
    <w:rsid w:val="00443944"/>
    <w:rsid w:val="00443A53"/>
    <w:rsid w:val="00444FCD"/>
    <w:rsid w:val="00444FDE"/>
    <w:rsid w:val="00445364"/>
    <w:rsid w:val="00445AF4"/>
    <w:rsid w:val="00446156"/>
    <w:rsid w:val="004462C7"/>
    <w:rsid w:val="00446320"/>
    <w:rsid w:val="004469BD"/>
    <w:rsid w:val="0045156C"/>
    <w:rsid w:val="00452BD9"/>
    <w:rsid w:val="0045315F"/>
    <w:rsid w:val="00454F76"/>
    <w:rsid w:val="00456F85"/>
    <w:rsid w:val="00457EB1"/>
    <w:rsid w:val="00457F7A"/>
    <w:rsid w:val="0046088E"/>
    <w:rsid w:val="00461A32"/>
    <w:rsid w:val="00462051"/>
    <w:rsid w:val="00462F39"/>
    <w:rsid w:val="004633BA"/>
    <w:rsid w:val="00463651"/>
    <w:rsid w:val="004638A4"/>
    <w:rsid w:val="00463FB2"/>
    <w:rsid w:val="00464DC3"/>
    <w:rsid w:val="004650EA"/>
    <w:rsid w:val="004652D2"/>
    <w:rsid w:val="004653D2"/>
    <w:rsid w:val="00465DEE"/>
    <w:rsid w:val="004670E1"/>
    <w:rsid w:val="00467821"/>
    <w:rsid w:val="0046792F"/>
    <w:rsid w:val="00471A12"/>
    <w:rsid w:val="00472E88"/>
    <w:rsid w:val="004731EC"/>
    <w:rsid w:val="0047388D"/>
    <w:rsid w:val="0047455F"/>
    <w:rsid w:val="00474677"/>
    <w:rsid w:val="004746EB"/>
    <w:rsid w:val="00474974"/>
    <w:rsid w:val="00475B7A"/>
    <w:rsid w:val="00475B93"/>
    <w:rsid w:val="00476240"/>
    <w:rsid w:val="004762CF"/>
    <w:rsid w:val="00476A98"/>
    <w:rsid w:val="0047710B"/>
    <w:rsid w:val="00477193"/>
    <w:rsid w:val="00477363"/>
    <w:rsid w:val="004774D3"/>
    <w:rsid w:val="004778D0"/>
    <w:rsid w:val="00477C9C"/>
    <w:rsid w:val="00477E7A"/>
    <w:rsid w:val="00480A09"/>
    <w:rsid w:val="00481EAA"/>
    <w:rsid w:val="004824E1"/>
    <w:rsid w:val="0048298F"/>
    <w:rsid w:val="00482EEE"/>
    <w:rsid w:val="0048320A"/>
    <w:rsid w:val="0048357B"/>
    <w:rsid w:val="004836C9"/>
    <w:rsid w:val="004838B3"/>
    <w:rsid w:val="00487CA0"/>
    <w:rsid w:val="00492116"/>
    <w:rsid w:val="0049220A"/>
    <w:rsid w:val="004922D2"/>
    <w:rsid w:val="004935BB"/>
    <w:rsid w:val="00493A7D"/>
    <w:rsid w:val="00493E76"/>
    <w:rsid w:val="004949CE"/>
    <w:rsid w:val="00494EBF"/>
    <w:rsid w:val="0049629B"/>
    <w:rsid w:val="00497E9D"/>
    <w:rsid w:val="004A091F"/>
    <w:rsid w:val="004A096B"/>
    <w:rsid w:val="004A0F8F"/>
    <w:rsid w:val="004A0FD4"/>
    <w:rsid w:val="004A1168"/>
    <w:rsid w:val="004A1601"/>
    <w:rsid w:val="004A1923"/>
    <w:rsid w:val="004A1E57"/>
    <w:rsid w:val="004A2B88"/>
    <w:rsid w:val="004A2C09"/>
    <w:rsid w:val="004A2C55"/>
    <w:rsid w:val="004A2E1E"/>
    <w:rsid w:val="004A326B"/>
    <w:rsid w:val="004A3815"/>
    <w:rsid w:val="004A4064"/>
    <w:rsid w:val="004A44E6"/>
    <w:rsid w:val="004A4AD2"/>
    <w:rsid w:val="004A65A6"/>
    <w:rsid w:val="004A6856"/>
    <w:rsid w:val="004A6ED3"/>
    <w:rsid w:val="004A75A3"/>
    <w:rsid w:val="004B0C77"/>
    <w:rsid w:val="004B2525"/>
    <w:rsid w:val="004B3CDA"/>
    <w:rsid w:val="004B40CF"/>
    <w:rsid w:val="004B4FDC"/>
    <w:rsid w:val="004B4FF9"/>
    <w:rsid w:val="004B5EED"/>
    <w:rsid w:val="004B62DE"/>
    <w:rsid w:val="004B6F73"/>
    <w:rsid w:val="004C0333"/>
    <w:rsid w:val="004C047D"/>
    <w:rsid w:val="004C20BB"/>
    <w:rsid w:val="004C2579"/>
    <w:rsid w:val="004C26C1"/>
    <w:rsid w:val="004C4B45"/>
    <w:rsid w:val="004C4D0E"/>
    <w:rsid w:val="004C5C0D"/>
    <w:rsid w:val="004C5D62"/>
    <w:rsid w:val="004C6289"/>
    <w:rsid w:val="004C7867"/>
    <w:rsid w:val="004C7D77"/>
    <w:rsid w:val="004D0692"/>
    <w:rsid w:val="004D2745"/>
    <w:rsid w:val="004D2B29"/>
    <w:rsid w:val="004D3625"/>
    <w:rsid w:val="004D55A1"/>
    <w:rsid w:val="004D5D7D"/>
    <w:rsid w:val="004D6C93"/>
    <w:rsid w:val="004D6D04"/>
    <w:rsid w:val="004D6E78"/>
    <w:rsid w:val="004D7197"/>
    <w:rsid w:val="004D76BE"/>
    <w:rsid w:val="004E0BEC"/>
    <w:rsid w:val="004E0C50"/>
    <w:rsid w:val="004E1553"/>
    <w:rsid w:val="004E2371"/>
    <w:rsid w:val="004E35D0"/>
    <w:rsid w:val="004E420E"/>
    <w:rsid w:val="004E49A0"/>
    <w:rsid w:val="004E4B71"/>
    <w:rsid w:val="004E54B6"/>
    <w:rsid w:val="004E56C5"/>
    <w:rsid w:val="004E5EB5"/>
    <w:rsid w:val="004F0242"/>
    <w:rsid w:val="004F0E49"/>
    <w:rsid w:val="004F191D"/>
    <w:rsid w:val="004F1AD0"/>
    <w:rsid w:val="004F2C1A"/>
    <w:rsid w:val="004F3736"/>
    <w:rsid w:val="004F3901"/>
    <w:rsid w:val="004F3D40"/>
    <w:rsid w:val="004F4CA3"/>
    <w:rsid w:val="004F531C"/>
    <w:rsid w:val="004F6379"/>
    <w:rsid w:val="004F70A5"/>
    <w:rsid w:val="004F73A6"/>
    <w:rsid w:val="004F7DDA"/>
    <w:rsid w:val="00500B4F"/>
    <w:rsid w:val="00501813"/>
    <w:rsid w:val="005019EA"/>
    <w:rsid w:val="00502A11"/>
    <w:rsid w:val="005034E0"/>
    <w:rsid w:val="00503677"/>
    <w:rsid w:val="005038AD"/>
    <w:rsid w:val="00503B63"/>
    <w:rsid w:val="005076D6"/>
    <w:rsid w:val="00510979"/>
    <w:rsid w:val="00510C35"/>
    <w:rsid w:val="00511129"/>
    <w:rsid w:val="00511B42"/>
    <w:rsid w:val="005129AE"/>
    <w:rsid w:val="00512A14"/>
    <w:rsid w:val="00512F5A"/>
    <w:rsid w:val="005136C6"/>
    <w:rsid w:val="00513C22"/>
    <w:rsid w:val="00513F91"/>
    <w:rsid w:val="00513FE7"/>
    <w:rsid w:val="0051440C"/>
    <w:rsid w:val="00514BBC"/>
    <w:rsid w:val="0051530E"/>
    <w:rsid w:val="005159A9"/>
    <w:rsid w:val="00515D38"/>
    <w:rsid w:val="005167C9"/>
    <w:rsid w:val="00516C63"/>
    <w:rsid w:val="00516F40"/>
    <w:rsid w:val="005178A5"/>
    <w:rsid w:val="00517DF7"/>
    <w:rsid w:val="00517FB1"/>
    <w:rsid w:val="00520759"/>
    <w:rsid w:val="00520C58"/>
    <w:rsid w:val="00521251"/>
    <w:rsid w:val="005212A1"/>
    <w:rsid w:val="00521E9E"/>
    <w:rsid w:val="0052217F"/>
    <w:rsid w:val="00522964"/>
    <w:rsid w:val="00522D23"/>
    <w:rsid w:val="005233EB"/>
    <w:rsid w:val="00523D87"/>
    <w:rsid w:val="005247C4"/>
    <w:rsid w:val="00525065"/>
    <w:rsid w:val="005254DD"/>
    <w:rsid w:val="0052787C"/>
    <w:rsid w:val="00527966"/>
    <w:rsid w:val="00527E48"/>
    <w:rsid w:val="00530874"/>
    <w:rsid w:val="00530890"/>
    <w:rsid w:val="005311BD"/>
    <w:rsid w:val="005312A6"/>
    <w:rsid w:val="0053182D"/>
    <w:rsid w:val="00532117"/>
    <w:rsid w:val="005322CD"/>
    <w:rsid w:val="005330A3"/>
    <w:rsid w:val="005338EE"/>
    <w:rsid w:val="005345E1"/>
    <w:rsid w:val="00534692"/>
    <w:rsid w:val="0053522D"/>
    <w:rsid w:val="00535DE6"/>
    <w:rsid w:val="00536454"/>
    <w:rsid w:val="00536E4D"/>
    <w:rsid w:val="00537AEA"/>
    <w:rsid w:val="00537B32"/>
    <w:rsid w:val="00537C1C"/>
    <w:rsid w:val="005405B2"/>
    <w:rsid w:val="005408D5"/>
    <w:rsid w:val="00540DE4"/>
    <w:rsid w:val="0054101D"/>
    <w:rsid w:val="00541958"/>
    <w:rsid w:val="00543F1C"/>
    <w:rsid w:val="005455E7"/>
    <w:rsid w:val="005455FF"/>
    <w:rsid w:val="00546EB8"/>
    <w:rsid w:val="00547392"/>
    <w:rsid w:val="00547CFE"/>
    <w:rsid w:val="0055016E"/>
    <w:rsid w:val="005502B1"/>
    <w:rsid w:val="005517BB"/>
    <w:rsid w:val="005521E5"/>
    <w:rsid w:val="00553772"/>
    <w:rsid w:val="00553D76"/>
    <w:rsid w:val="00554172"/>
    <w:rsid w:val="00555396"/>
    <w:rsid w:val="005553A2"/>
    <w:rsid w:val="00555801"/>
    <w:rsid w:val="00555A7C"/>
    <w:rsid w:val="00555B1C"/>
    <w:rsid w:val="00555BFC"/>
    <w:rsid w:val="00555EC1"/>
    <w:rsid w:val="00556619"/>
    <w:rsid w:val="00556F68"/>
    <w:rsid w:val="00557225"/>
    <w:rsid w:val="00562946"/>
    <w:rsid w:val="005634A3"/>
    <w:rsid w:val="00563E8C"/>
    <w:rsid w:val="00564694"/>
    <w:rsid w:val="00564741"/>
    <w:rsid w:val="0056599D"/>
    <w:rsid w:val="00566498"/>
    <w:rsid w:val="00567382"/>
    <w:rsid w:val="00570181"/>
    <w:rsid w:val="00570B67"/>
    <w:rsid w:val="0057143E"/>
    <w:rsid w:val="0057169A"/>
    <w:rsid w:val="005716C0"/>
    <w:rsid w:val="00571A81"/>
    <w:rsid w:val="00571D42"/>
    <w:rsid w:val="00572246"/>
    <w:rsid w:val="00572A2C"/>
    <w:rsid w:val="00573DBE"/>
    <w:rsid w:val="00573FD8"/>
    <w:rsid w:val="005742DD"/>
    <w:rsid w:val="00574569"/>
    <w:rsid w:val="00574863"/>
    <w:rsid w:val="005757BA"/>
    <w:rsid w:val="00575B10"/>
    <w:rsid w:val="00575CE4"/>
    <w:rsid w:val="005771F2"/>
    <w:rsid w:val="0057726F"/>
    <w:rsid w:val="00577377"/>
    <w:rsid w:val="005773D5"/>
    <w:rsid w:val="005773F1"/>
    <w:rsid w:val="00580089"/>
    <w:rsid w:val="00580B60"/>
    <w:rsid w:val="00581589"/>
    <w:rsid w:val="00581CB9"/>
    <w:rsid w:val="005825BB"/>
    <w:rsid w:val="005827DD"/>
    <w:rsid w:val="00582C78"/>
    <w:rsid w:val="00583793"/>
    <w:rsid w:val="005838BB"/>
    <w:rsid w:val="00583B90"/>
    <w:rsid w:val="00583F3E"/>
    <w:rsid w:val="005843DE"/>
    <w:rsid w:val="005853B6"/>
    <w:rsid w:val="005859DE"/>
    <w:rsid w:val="00586C3F"/>
    <w:rsid w:val="00586C44"/>
    <w:rsid w:val="005876AE"/>
    <w:rsid w:val="00587DDA"/>
    <w:rsid w:val="00590C38"/>
    <w:rsid w:val="0059137E"/>
    <w:rsid w:val="00592406"/>
    <w:rsid w:val="005927C6"/>
    <w:rsid w:val="0059387C"/>
    <w:rsid w:val="00595A3F"/>
    <w:rsid w:val="00595BB5"/>
    <w:rsid w:val="00595EBD"/>
    <w:rsid w:val="0059643F"/>
    <w:rsid w:val="00596571"/>
    <w:rsid w:val="005A0581"/>
    <w:rsid w:val="005A065B"/>
    <w:rsid w:val="005A0708"/>
    <w:rsid w:val="005A0A7D"/>
    <w:rsid w:val="005A0D19"/>
    <w:rsid w:val="005A0E43"/>
    <w:rsid w:val="005A0F84"/>
    <w:rsid w:val="005A2513"/>
    <w:rsid w:val="005A2F58"/>
    <w:rsid w:val="005A4144"/>
    <w:rsid w:val="005A4245"/>
    <w:rsid w:val="005A4282"/>
    <w:rsid w:val="005A50DC"/>
    <w:rsid w:val="005A54C7"/>
    <w:rsid w:val="005A5F72"/>
    <w:rsid w:val="005A6626"/>
    <w:rsid w:val="005A6F34"/>
    <w:rsid w:val="005A7419"/>
    <w:rsid w:val="005A7E9F"/>
    <w:rsid w:val="005B086B"/>
    <w:rsid w:val="005B0BFF"/>
    <w:rsid w:val="005B15BD"/>
    <w:rsid w:val="005B15EC"/>
    <w:rsid w:val="005B1744"/>
    <w:rsid w:val="005B1C2A"/>
    <w:rsid w:val="005B2E4D"/>
    <w:rsid w:val="005B3BB6"/>
    <w:rsid w:val="005B433B"/>
    <w:rsid w:val="005B52B1"/>
    <w:rsid w:val="005B58D9"/>
    <w:rsid w:val="005B6DEB"/>
    <w:rsid w:val="005B6EC7"/>
    <w:rsid w:val="005B70D5"/>
    <w:rsid w:val="005B7717"/>
    <w:rsid w:val="005C0552"/>
    <w:rsid w:val="005C0CA1"/>
    <w:rsid w:val="005C16C1"/>
    <w:rsid w:val="005C16D7"/>
    <w:rsid w:val="005C1709"/>
    <w:rsid w:val="005C1726"/>
    <w:rsid w:val="005C1C90"/>
    <w:rsid w:val="005C258D"/>
    <w:rsid w:val="005C28C3"/>
    <w:rsid w:val="005C2F7F"/>
    <w:rsid w:val="005C4E5F"/>
    <w:rsid w:val="005C5749"/>
    <w:rsid w:val="005C6813"/>
    <w:rsid w:val="005C7045"/>
    <w:rsid w:val="005C79A3"/>
    <w:rsid w:val="005D0211"/>
    <w:rsid w:val="005D0A45"/>
    <w:rsid w:val="005D0AF9"/>
    <w:rsid w:val="005D0DFD"/>
    <w:rsid w:val="005D16B1"/>
    <w:rsid w:val="005D1885"/>
    <w:rsid w:val="005D19F8"/>
    <w:rsid w:val="005D1AC9"/>
    <w:rsid w:val="005D1C9A"/>
    <w:rsid w:val="005D22D4"/>
    <w:rsid w:val="005D259E"/>
    <w:rsid w:val="005D2B3B"/>
    <w:rsid w:val="005D2BA4"/>
    <w:rsid w:val="005D2F0E"/>
    <w:rsid w:val="005D2F9F"/>
    <w:rsid w:val="005D3598"/>
    <w:rsid w:val="005D3940"/>
    <w:rsid w:val="005D4560"/>
    <w:rsid w:val="005D48AD"/>
    <w:rsid w:val="005D4F2F"/>
    <w:rsid w:val="005D5088"/>
    <w:rsid w:val="005D5A92"/>
    <w:rsid w:val="005D75C7"/>
    <w:rsid w:val="005D78F2"/>
    <w:rsid w:val="005E0113"/>
    <w:rsid w:val="005E056C"/>
    <w:rsid w:val="005E08C5"/>
    <w:rsid w:val="005E0BA2"/>
    <w:rsid w:val="005E2DFB"/>
    <w:rsid w:val="005E3632"/>
    <w:rsid w:val="005E4DC4"/>
    <w:rsid w:val="005E5E4B"/>
    <w:rsid w:val="005E608C"/>
    <w:rsid w:val="005E616B"/>
    <w:rsid w:val="005E705C"/>
    <w:rsid w:val="005E7FC8"/>
    <w:rsid w:val="005F1FA1"/>
    <w:rsid w:val="005F22DA"/>
    <w:rsid w:val="005F2FB5"/>
    <w:rsid w:val="005F31E5"/>
    <w:rsid w:val="005F4E9B"/>
    <w:rsid w:val="005F5139"/>
    <w:rsid w:val="005F51F9"/>
    <w:rsid w:val="005F565B"/>
    <w:rsid w:val="005F61D7"/>
    <w:rsid w:val="005F65D5"/>
    <w:rsid w:val="005F71E0"/>
    <w:rsid w:val="00600D2C"/>
    <w:rsid w:val="006017A7"/>
    <w:rsid w:val="00602742"/>
    <w:rsid w:val="00603972"/>
    <w:rsid w:val="00604802"/>
    <w:rsid w:val="00606628"/>
    <w:rsid w:val="00606803"/>
    <w:rsid w:val="00606A50"/>
    <w:rsid w:val="00606B90"/>
    <w:rsid w:val="00607BCA"/>
    <w:rsid w:val="00607DBF"/>
    <w:rsid w:val="006106DB"/>
    <w:rsid w:val="00610E50"/>
    <w:rsid w:val="006115F3"/>
    <w:rsid w:val="00611D00"/>
    <w:rsid w:val="00611DC1"/>
    <w:rsid w:val="006127E2"/>
    <w:rsid w:val="00613E30"/>
    <w:rsid w:val="00613E31"/>
    <w:rsid w:val="00613FCC"/>
    <w:rsid w:val="006146C6"/>
    <w:rsid w:val="00614876"/>
    <w:rsid w:val="00614B36"/>
    <w:rsid w:val="00615730"/>
    <w:rsid w:val="006157F5"/>
    <w:rsid w:val="00615FE4"/>
    <w:rsid w:val="00616F2D"/>
    <w:rsid w:val="006171C0"/>
    <w:rsid w:val="0062051A"/>
    <w:rsid w:val="00620B59"/>
    <w:rsid w:val="00621A64"/>
    <w:rsid w:val="00623292"/>
    <w:rsid w:val="00623D39"/>
    <w:rsid w:val="00624998"/>
    <w:rsid w:val="006252FD"/>
    <w:rsid w:val="00626244"/>
    <w:rsid w:val="00626B96"/>
    <w:rsid w:val="00626D6B"/>
    <w:rsid w:val="00627046"/>
    <w:rsid w:val="0063011A"/>
    <w:rsid w:val="006305E9"/>
    <w:rsid w:val="00630B68"/>
    <w:rsid w:val="00631EFD"/>
    <w:rsid w:val="0063201C"/>
    <w:rsid w:val="006327C5"/>
    <w:rsid w:val="0063312C"/>
    <w:rsid w:val="00633138"/>
    <w:rsid w:val="0063331E"/>
    <w:rsid w:val="0063376B"/>
    <w:rsid w:val="00633C48"/>
    <w:rsid w:val="00633C68"/>
    <w:rsid w:val="00633D7B"/>
    <w:rsid w:val="006357F4"/>
    <w:rsid w:val="00635877"/>
    <w:rsid w:val="0063597F"/>
    <w:rsid w:val="00636167"/>
    <w:rsid w:val="00636AE7"/>
    <w:rsid w:val="00637BBC"/>
    <w:rsid w:val="00640444"/>
    <w:rsid w:val="006428D8"/>
    <w:rsid w:val="00642D13"/>
    <w:rsid w:val="00642EBA"/>
    <w:rsid w:val="006430DC"/>
    <w:rsid w:val="00643E5A"/>
    <w:rsid w:val="00644179"/>
    <w:rsid w:val="006443C9"/>
    <w:rsid w:val="0064674D"/>
    <w:rsid w:val="00646A42"/>
    <w:rsid w:val="00646C53"/>
    <w:rsid w:val="00646DCA"/>
    <w:rsid w:val="006472D7"/>
    <w:rsid w:val="00651033"/>
    <w:rsid w:val="006510BA"/>
    <w:rsid w:val="00651AE0"/>
    <w:rsid w:val="006520FC"/>
    <w:rsid w:val="0065397E"/>
    <w:rsid w:val="00653B1B"/>
    <w:rsid w:val="00653FAC"/>
    <w:rsid w:val="0065409C"/>
    <w:rsid w:val="0065412C"/>
    <w:rsid w:val="006542BD"/>
    <w:rsid w:val="006543D7"/>
    <w:rsid w:val="006545C2"/>
    <w:rsid w:val="00654991"/>
    <w:rsid w:val="00655160"/>
    <w:rsid w:val="00655477"/>
    <w:rsid w:val="006554A0"/>
    <w:rsid w:val="00655500"/>
    <w:rsid w:val="006558D9"/>
    <w:rsid w:val="00655979"/>
    <w:rsid w:val="00655BE6"/>
    <w:rsid w:val="00655F1D"/>
    <w:rsid w:val="006561AA"/>
    <w:rsid w:val="006563F7"/>
    <w:rsid w:val="00656610"/>
    <w:rsid w:val="00656B0C"/>
    <w:rsid w:val="00657634"/>
    <w:rsid w:val="00657B6F"/>
    <w:rsid w:val="0066004A"/>
    <w:rsid w:val="006608FC"/>
    <w:rsid w:val="00660E06"/>
    <w:rsid w:val="00660EA3"/>
    <w:rsid w:val="006617A7"/>
    <w:rsid w:val="00661AF9"/>
    <w:rsid w:val="00662094"/>
    <w:rsid w:val="00662511"/>
    <w:rsid w:val="00662609"/>
    <w:rsid w:val="00663580"/>
    <w:rsid w:val="0066387A"/>
    <w:rsid w:val="00663F7B"/>
    <w:rsid w:val="006640AA"/>
    <w:rsid w:val="00666A47"/>
    <w:rsid w:val="00666E87"/>
    <w:rsid w:val="00666FE6"/>
    <w:rsid w:val="00667AB6"/>
    <w:rsid w:val="0067057A"/>
    <w:rsid w:val="00670B9C"/>
    <w:rsid w:val="00670BC8"/>
    <w:rsid w:val="006714A8"/>
    <w:rsid w:val="00671753"/>
    <w:rsid w:val="00671DC7"/>
    <w:rsid w:val="00671ECD"/>
    <w:rsid w:val="0067214C"/>
    <w:rsid w:val="00672856"/>
    <w:rsid w:val="00672CFA"/>
    <w:rsid w:val="00673D1A"/>
    <w:rsid w:val="00675619"/>
    <w:rsid w:val="006756ED"/>
    <w:rsid w:val="0067739C"/>
    <w:rsid w:val="0067777E"/>
    <w:rsid w:val="00677BF0"/>
    <w:rsid w:val="006802CE"/>
    <w:rsid w:val="00680FBC"/>
    <w:rsid w:val="006855DE"/>
    <w:rsid w:val="00685F2B"/>
    <w:rsid w:val="00686CEF"/>
    <w:rsid w:val="0069124E"/>
    <w:rsid w:val="006916AD"/>
    <w:rsid w:val="00691C98"/>
    <w:rsid w:val="00692281"/>
    <w:rsid w:val="006931A2"/>
    <w:rsid w:val="0069322E"/>
    <w:rsid w:val="00694C23"/>
    <w:rsid w:val="00695759"/>
    <w:rsid w:val="006959FD"/>
    <w:rsid w:val="00695B6C"/>
    <w:rsid w:val="00696C08"/>
    <w:rsid w:val="006A03F9"/>
    <w:rsid w:val="006A0D8D"/>
    <w:rsid w:val="006A123F"/>
    <w:rsid w:val="006A1355"/>
    <w:rsid w:val="006A1B4E"/>
    <w:rsid w:val="006A1C77"/>
    <w:rsid w:val="006A1DEF"/>
    <w:rsid w:val="006A2899"/>
    <w:rsid w:val="006A2FD5"/>
    <w:rsid w:val="006A31B8"/>
    <w:rsid w:val="006A4022"/>
    <w:rsid w:val="006A404A"/>
    <w:rsid w:val="006A4E98"/>
    <w:rsid w:val="006A55F4"/>
    <w:rsid w:val="006A68C4"/>
    <w:rsid w:val="006A6972"/>
    <w:rsid w:val="006A7515"/>
    <w:rsid w:val="006A79E8"/>
    <w:rsid w:val="006B0144"/>
    <w:rsid w:val="006B0864"/>
    <w:rsid w:val="006B08D7"/>
    <w:rsid w:val="006B1BD4"/>
    <w:rsid w:val="006B1EFC"/>
    <w:rsid w:val="006B28CE"/>
    <w:rsid w:val="006B2ADA"/>
    <w:rsid w:val="006B3B22"/>
    <w:rsid w:val="006B3F81"/>
    <w:rsid w:val="006B4B65"/>
    <w:rsid w:val="006B4E2B"/>
    <w:rsid w:val="006B52C3"/>
    <w:rsid w:val="006B5C58"/>
    <w:rsid w:val="006B5ED1"/>
    <w:rsid w:val="006B5F2F"/>
    <w:rsid w:val="006B6879"/>
    <w:rsid w:val="006B6D8C"/>
    <w:rsid w:val="006B6DA8"/>
    <w:rsid w:val="006B7563"/>
    <w:rsid w:val="006C02AF"/>
    <w:rsid w:val="006C03CB"/>
    <w:rsid w:val="006C03FC"/>
    <w:rsid w:val="006C048F"/>
    <w:rsid w:val="006C0B48"/>
    <w:rsid w:val="006C1688"/>
    <w:rsid w:val="006C16E2"/>
    <w:rsid w:val="006C18B9"/>
    <w:rsid w:val="006C20D6"/>
    <w:rsid w:val="006C2175"/>
    <w:rsid w:val="006C2633"/>
    <w:rsid w:val="006C2C33"/>
    <w:rsid w:val="006C302E"/>
    <w:rsid w:val="006C3067"/>
    <w:rsid w:val="006C31C8"/>
    <w:rsid w:val="006C3296"/>
    <w:rsid w:val="006C4059"/>
    <w:rsid w:val="006C4689"/>
    <w:rsid w:val="006C5434"/>
    <w:rsid w:val="006C5482"/>
    <w:rsid w:val="006C593C"/>
    <w:rsid w:val="006C6631"/>
    <w:rsid w:val="006C76A8"/>
    <w:rsid w:val="006C7EF0"/>
    <w:rsid w:val="006D070D"/>
    <w:rsid w:val="006D0755"/>
    <w:rsid w:val="006D0A76"/>
    <w:rsid w:val="006D1A71"/>
    <w:rsid w:val="006D21A5"/>
    <w:rsid w:val="006D2358"/>
    <w:rsid w:val="006D24E1"/>
    <w:rsid w:val="006D2B24"/>
    <w:rsid w:val="006D2DDF"/>
    <w:rsid w:val="006D3890"/>
    <w:rsid w:val="006D4BEA"/>
    <w:rsid w:val="006D4C86"/>
    <w:rsid w:val="006D561F"/>
    <w:rsid w:val="006D5AC5"/>
    <w:rsid w:val="006D5D0D"/>
    <w:rsid w:val="006D63EA"/>
    <w:rsid w:val="006D709F"/>
    <w:rsid w:val="006D777D"/>
    <w:rsid w:val="006D7C98"/>
    <w:rsid w:val="006E1195"/>
    <w:rsid w:val="006E15E7"/>
    <w:rsid w:val="006E1AA0"/>
    <w:rsid w:val="006E1EFB"/>
    <w:rsid w:val="006E23EE"/>
    <w:rsid w:val="006E2B8D"/>
    <w:rsid w:val="006E3264"/>
    <w:rsid w:val="006E3443"/>
    <w:rsid w:val="006E3C16"/>
    <w:rsid w:val="006E4DBB"/>
    <w:rsid w:val="006E5110"/>
    <w:rsid w:val="006E5B54"/>
    <w:rsid w:val="006E5C1E"/>
    <w:rsid w:val="006E5CD3"/>
    <w:rsid w:val="006E6550"/>
    <w:rsid w:val="006E6553"/>
    <w:rsid w:val="006E6BCE"/>
    <w:rsid w:val="006E6CD6"/>
    <w:rsid w:val="006E7EBE"/>
    <w:rsid w:val="006F0445"/>
    <w:rsid w:val="006F0F0B"/>
    <w:rsid w:val="006F1ACE"/>
    <w:rsid w:val="006F21FE"/>
    <w:rsid w:val="006F2BDB"/>
    <w:rsid w:val="006F46D2"/>
    <w:rsid w:val="006F4930"/>
    <w:rsid w:val="006F4FDE"/>
    <w:rsid w:val="006F504A"/>
    <w:rsid w:val="006F5BF8"/>
    <w:rsid w:val="006F600C"/>
    <w:rsid w:val="006F7BC3"/>
    <w:rsid w:val="006F7E7B"/>
    <w:rsid w:val="0070017D"/>
    <w:rsid w:val="00701342"/>
    <w:rsid w:val="007030FA"/>
    <w:rsid w:val="00703A33"/>
    <w:rsid w:val="00704217"/>
    <w:rsid w:val="00705CB6"/>
    <w:rsid w:val="00705D74"/>
    <w:rsid w:val="007062EE"/>
    <w:rsid w:val="007063F3"/>
    <w:rsid w:val="00707446"/>
    <w:rsid w:val="00707D1C"/>
    <w:rsid w:val="00707F12"/>
    <w:rsid w:val="007103DA"/>
    <w:rsid w:val="007115C9"/>
    <w:rsid w:val="0071229E"/>
    <w:rsid w:val="00712E5E"/>
    <w:rsid w:val="00713F82"/>
    <w:rsid w:val="00714423"/>
    <w:rsid w:val="007144DB"/>
    <w:rsid w:val="00714570"/>
    <w:rsid w:val="0071547C"/>
    <w:rsid w:val="00715958"/>
    <w:rsid w:val="00716442"/>
    <w:rsid w:val="00716DBB"/>
    <w:rsid w:val="00720430"/>
    <w:rsid w:val="00720C7E"/>
    <w:rsid w:val="00720FD8"/>
    <w:rsid w:val="00721080"/>
    <w:rsid w:val="007214CD"/>
    <w:rsid w:val="00721969"/>
    <w:rsid w:val="00721C1A"/>
    <w:rsid w:val="00722580"/>
    <w:rsid w:val="007226C5"/>
    <w:rsid w:val="007232CE"/>
    <w:rsid w:val="00723A49"/>
    <w:rsid w:val="00723AFA"/>
    <w:rsid w:val="00723B05"/>
    <w:rsid w:val="00723C2F"/>
    <w:rsid w:val="00724057"/>
    <w:rsid w:val="00724514"/>
    <w:rsid w:val="007245E8"/>
    <w:rsid w:val="007255C7"/>
    <w:rsid w:val="00725B20"/>
    <w:rsid w:val="00726218"/>
    <w:rsid w:val="007263B6"/>
    <w:rsid w:val="007304CF"/>
    <w:rsid w:val="00731767"/>
    <w:rsid w:val="00732AFA"/>
    <w:rsid w:val="00732CD8"/>
    <w:rsid w:val="007333C4"/>
    <w:rsid w:val="007334BD"/>
    <w:rsid w:val="00734586"/>
    <w:rsid w:val="00734E0A"/>
    <w:rsid w:val="0073525E"/>
    <w:rsid w:val="00735BF7"/>
    <w:rsid w:val="00736330"/>
    <w:rsid w:val="00736B37"/>
    <w:rsid w:val="00736E90"/>
    <w:rsid w:val="00736EDF"/>
    <w:rsid w:val="007372D2"/>
    <w:rsid w:val="00737850"/>
    <w:rsid w:val="007378E8"/>
    <w:rsid w:val="00737CF2"/>
    <w:rsid w:val="007406CE"/>
    <w:rsid w:val="00741EF2"/>
    <w:rsid w:val="00741F53"/>
    <w:rsid w:val="00741F83"/>
    <w:rsid w:val="00742056"/>
    <w:rsid w:val="0074369F"/>
    <w:rsid w:val="00743795"/>
    <w:rsid w:val="00743AF3"/>
    <w:rsid w:val="00743FEA"/>
    <w:rsid w:val="0074434A"/>
    <w:rsid w:val="0074462D"/>
    <w:rsid w:val="00744D22"/>
    <w:rsid w:val="007473C5"/>
    <w:rsid w:val="007473CE"/>
    <w:rsid w:val="0075117D"/>
    <w:rsid w:val="00751974"/>
    <w:rsid w:val="007522AA"/>
    <w:rsid w:val="007527BF"/>
    <w:rsid w:val="00752EB1"/>
    <w:rsid w:val="00753695"/>
    <w:rsid w:val="007540CE"/>
    <w:rsid w:val="00754F65"/>
    <w:rsid w:val="00755447"/>
    <w:rsid w:val="0075554F"/>
    <w:rsid w:val="007555A8"/>
    <w:rsid w:val="00755F97"/>
    <w:rsid w:val="00756EA9"/>
    <w:rsid w:val="00756FB4"/>
    <w:rsid w:val="0075701E"/>
    <w:rsid w:val="00757397"/>
    <w:rsid w:val="007601C0"/>
    <w:rsid w:val="00760885"/>
    <w:rsid w:val="007612E6"/>
    <w:rsid w:val="00761CBB"/>
    <w:rsid w:val="007620A6"/>
    <w:rsid w:val="00763655"/>
    <w:rsid w:val="007636B9"/>
    <w:rsid w:val="00763920"/>
    <w:rsid w:val="00764B44"/>
    <w:rsid w:val="0076629E"/>
    <w:rsid w:val="0076654A"/>
    <w:rsid w:val="007668BC"/>
    <w:rsid w:val="007668F4"/>
    <w:rsid w:val="0076699E"/>
    <w:rsid w:val="00766D9D"/>
    <w:rsid w:val="00767C10"/>
    <w:rsid w:val="007704A9"/>
    <w:rsid w:val="007706C0"/>
    <w:rsid w:val="00772202"/>
    <w:rsid w:val="007724D0"/>
    <w:rsid w:val="00772538"/>
    <w:rsid w:val="007729E1"/>
    <w:rsid w:val="00773EA2"/>
    <w:rsid w:val="00773FDE"/>
    <w:rsid w:val="00775E30"/>
    <w:rsid w:val="00776B3D"/>
    <w:rsid w:val="00776C13"/>
    <w:rsid w:val="00776E6E"/>
    <w:rsid w:val="007772EB"/>
    <w:rsid w:val="007774EF"/>
    <w:rsid w:val="00777800"/>
    <w:rsid w:val="00777E52"/>
    <w:rsid w:val="007804F2"/>
    <w:rsid w:val="0078113B"/>
    <w:rsid w:val="0078166E"/>
    <w:rsid w:val="0078195E"/>
    <w:rsid w:val="00781B97"/>
    <w:rsid w:val="00781BD6"/>
    <w:rsid w:val="007822EA"/>
    <w:rsid w:val="00782312"/>
    <w:rsid w:val="007823F7"/>
    <w:rsid w:val="00782894"/>
    <w:rsid w:val="0078298F"/>
    <w:rsid w:val="00782A01"/>
    <w:rsid w:val="00782E3F"/>
    <w:rsid w:val="00782ECB"/>
    <w:rsid w:val="00783654"/>
    <w:rsid w:val="00784CA8"/>
    <w:rsid w:val="0078561E"/>
    <w:rsid w:val="00785698"/>
    <w:rsid w:val="00786FA8"/>
    <w:rsid w:val="0079044F"/>
    <w:rsid w:val="007907E6"/>
    <w:rsid w:val="007918DA"/>
    <w:rsid w:val="007919AE"/>
    <w:rsid w:val="00792EDF"/>
    <w:rsid w:val="00793C48"/>
    <w:rsid w:val="00793D8A"/>
    <w:rsid w:val="00794E62"/>
    <w:rsid w:val="00795124"/>
    <w:rsid w:val="00795792"/>
    <w:rsid w:val="00795802"/>
    <w:rsid w:val="00795BCF"/>
    <w:rsid w:val="00795CC0"/>
    <w:rsid w:val="007962B5"/>
    <w:rsid w:val="007A0542"/>
    <w:rsid w:val="007A078D"/>
    <w:rsid w:val="007A07F5"/>
    <w:rsid w:val="007A0FBD"/>
    <w:rsid w:val="007A19C9"/>
    <w:rsid w:val="007A27BD"/>
    <w:rsid w:val="007A2D94"/>
    <w:rsid w:val="007A309F"/>
    <w:rsid w:val="007A3BA8"/>
    <w:rsid w:val="007A3D01"/>
    <w:rsid w:val="007A44D9"/>
    <w:rsid w:val="007A50AB"/>
    <w:rsid w:val="007A54D3"/>
    <w:rsid w:val="007A5DAF"/>
    <w:rsid w:val="007A6007"/>
    <w:rsid w:val="007A6761"/>
    <w:rsid w:val="007A688E"/>
    <w:rsid w:val="007A7535"/>
    <w:rsid w:val="007A7605"/>
    <w:rsid w:val="007B0264"/>
    <w:rsid w:val="007B0516"/>
    <w:rsid w:val="007B091C"/>
    <w:rsid w:val="007B0B6C"/>
    <w:rsid w:val="007B241E"/>
    <w:rsid w:val="007B3A5B"/>
    <w:rsid w:val="007B40AA"/>
    <w:rsid w:val="007B45AA"/>
    <w:rsid w:val="007B4A55"/>
    <w:rsid w:val="007B5844"/>
    <w:rsid w:val="007B74C5"/>
    <w:rsid w:val="007B79D8"/>
    <w:rsid w:val="007C0158"/>
    <w:rsid w:val="007C02E4"/>
    <w:rsid w:val="007C08AD"/>
    <w:rsid w:val="007C0932"/>
    <w:rsid w:val="007C11C0"/>
    <w:rsid w:val="007C1B9B"/>
    <w:rsid w:val="007C1E12"/>
    <w:rsid w:val="007C26BC"/>
    <w:rsid w:val="007C2979"/>
    <w:rsid w:val="007C2A1D"/>
    <w:rsid w:val="007C2AA0"/>
    <w:rsid w:val="007C2E42"/>
    <w:rsid w:val="007C392B"/>
    <w:rsid w:val="007C4F3B"/>
    <w:rsid w:val="007C55EA"/>
    <w:rsid w:val="007C6D92"/>
    <w:rsid w:val="007C7CCD"/>
    <w:rsid w:val="007D0ABB"/>
    <w:rsid w:val="007D12BE"/>
    <w:rsid w:val="007D16F5"/>
    <w:rsid w:val="007D3289"/>
    <w:rsid w:val="007D4097"/>
    <w:rsid w:val="007D4B16"/>
    <w:rsid w:val="007D6600"/>
    <w:rsid w:val="007D66A5"/>
    <w:rsid w:val="007D678B"/>
    <w:rsid w:val="007D6AD0"/>
    <w:rsid w:val="007D6C42"/>
    <w:rsid w:val="007D7457"/>
    <w:rsid w:val="007D754F"/>
    <w:rsid w:val="007D7C82"/>
    <w:rsid w:val="007D7CB5"/>
    <w:rsid w:val="007E0446"/>
    <w:rsid w:val="007E151E"/>
    <w:rsid w:val="007E1D32"/>
    <w:rsid w:val="007E3B28"/>
    <w:rsid w:val="007E581B"/>
    <w:rsid w:val="007E5B6D"/>
    <w:rsid w:val="007E64C7"/>
    <w:rsid w:val="007E666A"/>
    <w:rsid w:val="007E6BAF"/>
    <w:rsid w:val="007E7510"/>
    <w:rsid w:val="007E7B2B"/>
    <w:rsid w:val="007F028C"/>
    <w:rsid w:val="007F18E5"/>
    <w:rsid w:val="007F200F"/>
    <w:rsid w:val="007F269C"/>
    <w:rsid w:val="007F2887"/>
    <w:rsid w:val="007F377D"/>
    <w:rsid w:val="007F420E"/>
    <w:rsid w:val="007F449B"/>
    <w:rsid w:val="007F59AA"/>
    <w:rsid w:val="007F5D9D"/>
    <w:rsid w:val="007F5EA6"/>
    <w:rsid w:val="007F61EE"/>
    <w:rsid w:val="007F72C5"/>
    <w:rsid w:val="007F7841"/>
    <w:rsid w:val="00800D7C"/>
    <w:rsid w:val="00801326"/>
    <w:rsid w:val="00801421"/>
    <w:rsid w:val="008016B6"/>
    <w:rsid w:val="00801735"/>
    <w:rsid w:val="00801B46"/>
    <w:rsid w:val="00801D0C"/>
    <w:rsid w:val="008024AE"/>
    <w:rsid w:val="00802CBE"/>
    <w:rsid w:val="008031B5"/>
    <w:rsid w:val="00803332"/>
    <w:rsid w:val="008047C3"/>
    <w:rsid w:val="00804ECE"/>
    <w:rsid w:val="00804EEB"/>
    <w:rsid w:val="00805A6E"/>
    <w:rsid w:val="00805D86"/>
    <w:rsid w:val="00805DAB"/>
    <w:rsid w:val="00805E1C"/>
    <w:rsid w:val="00806618"/>
    <w:rsid w:val="008066D5"/>
    <w:rsid w:val="00807B54"/>
    <w:rsid w:val="00810131"/>
    <w:rsid w:val="008102C1"/>
    <w:rsid w:val="00811572"/>
    <w:rsid w:val="008139F2"/>
    <w:rsid w:val="0081440D"/>
    <w:rsid w:val="00815378"/>
    <w:rsid w:val="00815D1D"/>
    <w:rsid w:val="00815F84"/>
    <w:rsid w:val="00816B92"/>
    <w:rsid w:val="00816CC4"/>
    <w:rsid w:val="00817465"/>
    <w:rsid w:val="0081765A"/>
    <w:rsid w:val="00817833"/>
    <w:rsid w:val="00820027"/>
    <w:rsid w:val="008200AB"/>
    <w:rsid w:val="00820308"/>
    <w:rsid w:val="008214BF"/>
    <w:rsid w:val="00821872"/>
    <w:rsid w:val="008218B9"/>
    <w:rsid w:val="008219CD"/>
    <w:rsid w:val="00822426"/>
    <w:rsid w:val="008224E2"/>
    <w:rsid w:val="00822688"/>
    <w:rsid w:val="00823331"/>
    <w:rsid w:val="0082344A"/>
    <w:rsid w:val="00823BAC"/>
    <w:rsid w:val="0082470F"/>
    <w:rsid w:val="00824A42"/>
    <w:rsid w:val="0082509A"/>
    <w:rsid w:val="00825129"/>
    <w:rsid w:val="0082593E"/>
    <w:rsid w:val="00826E00"/>
    <w:rsid w:val="00826EE1"/>
    <w:rsid w:val="00827D79"/>
    <w:rsid w:val="00830B6D"/>
    <w:rsid w:val="0083201C"/>
    <w:rsid w:val="008324A6"/>
    <w:rsid w:val="00832A22"/>
    <w:rsid w:val="00832E94"/>
    <w:rsid w:val="0083330E"/>
    <w:rsid w:val="00833B1F"/>
    <w:rsid w:val="0083458F"/>
    <w:rsid w:val="00834AA8"/>
    <w:rsid w:val="00835454"/>
    <w:rsid w:val="008358AF"/>
    <w:rsid w:val="008365B5"/>
    <w:rsid w:val="00836D92"/>
    <w:rsid w:val="00837F3B"/>
    <w:rsid w:val="00840136"/>
    <w:rsid w:val="00840D3B"/>
    <w:rsid w:val="00840FAB"/>
    <w:rsid w:val="00841929"/>
    <w:rsid w:val="00841A85"/>
    <w:rsid w:val="00841C18"/>
    <w:rsid w:val="00842429"/>
    <w:rsid w:val="00842BCC"/>
    <w:rsid w:val="00843642"/>
    <w:rsid w:val="00843918"/>
    <w:rsid w:val="00843B97"/>
    <w:rsid w:val="00845084"/>
    <w:rsid w:val="008456E8"/>
    <w:rsid w:val="00845B85"/>
    <w:rsid w:val="00846C4F"/>
    <w:rsid w:val="00846F96"/>
    <w:rsid w:val="008470C6"/>
    <w:rsid w:val="00850212"/>
    <w:rsid w:val="00851754"/>
    <w:rsid w:val="00851C91"/>
    <w:rsid w:val="00851E4A"/>
    <w:rsid w:val="00852006"/>
    <w:rsid w:val="008526CA"/>
    <w:rsid w:val="00852CAF"/>
    <w:rsid w:val="008550DE"/>
    <w:rsid w:val="00855728"/>
    <w:rsid w:val="00856177"/>
    <w:rsid w:val="00856498"/>
    <w:rsid w:val="00856B3E"/>
    <w:rsid w:val="00857168"/>
    <w:rsid w:val="008574C8"/>
    <w:rsid w:val="0086066F"/>
    <w:rsid w:val="00860BB2"/>
    <w:rsid w:val="00860E07"/>
    <w:rsid w:val="008623AE"/>
    <w:rsid w:val="00863184"/>
    <w:rsid w:val="0086405D"/>
    <w:rsid w:val="0086527A"/>
    <w:rsid w:val="008659C5"/>
    <w:rsid w:val="0086604D"/>
    <w:rsid w:val="008661F8"/>
    <w:rsid w:val="008665AB"/>
    <w:rsid w:val="00866C2A"/>
    <w:rsid w:val="008670F5"/>
    <w:rsid w:val="00867710"/>
    <w:rsid w:val="00867E23"/>
    <w:rsid w:val="00870F3B"/>
    <w:rsid w:val="0087114A"/>
    <w:rsid w:val="00871311"/>
    <w:rsid w:val="00871347"/>
    <w:rsid w:val="00871444"/>
    <w:rsid w:val="008718A4"/>
    <w:rsid w:val="0087200B"/>
    <w:rsid w:val="00872986"/>
    <w:rsid w:val="00872CBA"/>
    <w:rsid w:val="0087329D"/>
    <w:rsid w:val="0087527D"/>
    <w:rsid w:val="008774A5"/>
    <w:rsid w:val="00881579"/>
    <w:rsid w:val="0088288C"/>
    <w:rsid w:val="00883BC5"/>
    <w:rsid w:val="008845AF"/>
    <w:rsid w:val="00884EFB"/>
    <w:rsid w:val="0088572E"/>
    <w:rsid w:val="00885A94"/>
    <w:rsid w:val="00885CBB"/>
    <w:rsid w:val="00886358"/>
    <w:rsid w:val="0088643D"/>
    <w:rsid w:val="008864D1"/>
    <w:rsid w:val="0088707A"/>
    <w:rsid w:val="00887501"/>
    <w:rsid w:val="008903CF"/>
    <w:rsid w:val="00890762"/>
    <w:rsid w:val="00891308"/>
    <w:rsid w:val="00892E75"/>
    <w:rsid w:val="00893B6E"/>
    <w:rsid w:val="00895051"/>
    <w:rsid w:val="008954A3"/>
    <w:rsid w:val="00896143"/>
    <w:rsid w:val="00896FED"/>
    <w:rsid w:val="008972BF"/>
    <w:rsid w:val="00897BEE"/>
    <w:rsid w:val="008A01BF"/>
    <w:rsid w:val="008A0809"/>
    <w:rsid w:val="008A0828"/>
    <w:rsid w:val="008A0C2A"/>
    <w:rsid w:val="008A0DD8"/>
    <w:rsid w:val="008A1502"/>
    <w:rsid w:val="008A1A24"/>
    <w:rsid w:val="008A1C10"/>
    <w:rsid w:val="008A37BF"/>
    <w:rsid w:val="008A7CF2"/>
    <w:rsid w:val="008A7F55"/>
    <w:rsid w:val="008B1269"/>
    <w:rsid w:val="008B17EC"/>
    <w:rsid w:val="008B1BBE"/>
    <w:rsid w:val="008B1F79"/>
    <w:rsid w:val="008B2C03"/>
    <w:rsid w:val="008B424F"/>
    <w:rsid w:val="008B485E"/>
    <w:rsid w:val="008B7170"/>
    <w:rsid w:val="008B7D50"/>
    <w:rsid w:val="008C005A"/>
    <w:rsid w:val="008C0235"/>
    <w:rsid w:val="008C0567"/>
    <w:rsid w:val="008C0BCA"/>
    <w:rsid w:val="008C24F2"/>
    <w:rsid w:val="008C2607"/>
    <w:rsid w:val="008C2B87"/>
    <w:rsid w:val="008C2E07"/>
    <w:rsid w:val="008C2ED4"/>
    <w:rsid w:val="008C5017"/>
    <w:rsid w:val="008C5054"/>
    <w:rsid w:val="008C51FF"/>
    <w:rsid w:val="008C71E7"/>
    <w:rsid w:val="008C76ED"/>
    <w:rsid w:val="008C7ACA"/>
    <w:rsid w:val="008D01EC"/>
    <w:rsid w:val="008D0DFE"/>
    <w:rsid w:val="008D19E0"/>
    <w:rsid w:val="008D1EA7"/>
    <w:rsid w:val="008D2A85"/>
    <w:rsid w:val="008D2CA5"/>
    <w:rsid w:val="008D2E4A"/>
    <w:rsid w:val="008D2F27"/>
    <w:rsid w:val="008D3054"/>
    <w:rsid w:val="008D3312"/>
    <w:rsid w:val="008D3606"/>
    <w:rsid w:val="008D3920"/>
    <w:rsid w:val="008D4365"/>
    <w:rsid w:val="008D4564"/>
    <w:rsid w:val="008D482D"/>
    <w:rsid w:val="008D49AB"/>
    <w:rsid w:val="008D4CD0"/>
    <w:rsid w:val="008D5830"/>
    <w:rsid w:val="008D5FE6"/>
    <w:rsid w:val="008D6C51"/>
    <w:rsid w:val="008D7429"/>
    <w:rsid w:val="008E0B4F"/>
    <w:rsid w:val="008E11A1"/>
    <w:rsid w:val="008E1A90"/>
    <w:rsid w:val="008E1C0E"/>
    <w:rsid w:val="008E2554"/>
    <w:rsid w:val="008E2CAB"/>
    <w:rsid w:val="008E3341"/>
    <w:rsid w:val="008E3371"/>
    <w:rsid w:val="008E3627"/>
    <w:rsid w:val="008E37D2"/>
    <w:rsid w:val="008E6308"/>
    <w:rsid w:val="008E6611"/>
    <w:rsid w:val="008E6619"/>
    <w:rsid w:val="008E6F11"/>
    <w:rsid w:val="008E78BD"/>
    <w:rsid w:val="008E7AEE"/>
    <w:rsid w:val="008E7F83"/>
    <w:rsid w:val="008F06A2"/>
    <w:rsid w:val="008F11CC"/>
    <w:rsid w:val="008F2C02"/>
    <w:rsid w:val="008F5352"/>
    <w:rsid w:val="008F5AE9"/>
    <w:rsid w:val="008F6652"/>
    <w:rsid w:val="008F6D65"/>
    <w:rsid w:val="008F6F1C"/>
    <w:rsid w:val="008F7679"/>
    <w:rsid w:val="009000E7"/>
    <w:rsid w:val="009006B7"/>
    <w:rsid w:val="00901361"/>
    <w:rsid w:val="0090167C"/>
    <w:rsid w:val="00901F32"/>
    <w:rsid w:val="009026DA"/>
    <w:rsid w:val="00903299"/>
    <w:rsid w:val="00903C26"/>
    <w:rsid w:val="00903C3F"/>
    <w:rsid w:val="009049ED"/>
    <w:rsid w:val="00904E37"/>
    <w:rsid w:val="00905194"/>
    <w:rsid w:val="0090577A"/>
    <w:rsid w:val="00906A94"/>
    <w:rsid w:val="00907B43"/>
    <w:rsid w:val="009102AB"/>
    <w:rsid w:val="009109BA"/>
    <w:rsid w:val="0091132F"/>
    <w:rsid w:val="009113D9"/>
    <w:rsid w:val="00911870"/>
    <w:rsid w:val="0091196B"/>
    <w:rsid w:val="0091249F"/>
    <w:rsid w:val="00912870"/>
    <w:rsid w:val="00912D07"/>
    <w:rsid w:val="009139A2"/>
    <w:rsid w:val="00913EDF"/>
    <w:rsid w:val="009142F0"/>
    <w:rsid w:val="009149BF"/>
    <w:rsid w:val="00914FF0"/>
    <w:rsid w:val="0091538C"/>
    <w:rsid w:val="009153EC"/>
    <w:rsid w:val="009155F8"/>
    <w:rsid w:val="0091564F"/>
    <w:rsid w:val="00916FA1"/>
    <w:rsid w:val="0091704C"/>
    <w:rsid w:val="00917143"/>
    <w:rsid w:val="009203B3"/>
    <w:rsid w:val="00920495"/>
    <w:rsid w:val="0092154B"/>
    <w:rsid w:val="009229B7"/>
    <w:rsid w:val="009238BD"/>
    <w:rsid w:val="009239D8"/>
    <w:rsid w:val="00925313"/>
    <w:rsid w:val="00926299"/>
    <w:rsid w:val="0092694F"/>
    <w:rsid w:val="00926A15"/>
    <w:rsid w:val="0092708E"/>
    <w:rsid w:val="009270A2"/>
    <w:rsid w:val="009273EC"/>
    <w:rsid w:val="009276CC"/>
    <w:rsid w:val="0092783D"/>
    <w:rsid w:val="009279D8"/>
    <w:rsid w:val="00927F83"/>
    <w:rsid w:val="00930FB3"/>
    <w:rsid w:val="00930FC6"/>
    <w:rsid w:val="009320ED"/>
    <w:rsid w:val="00934A33"/>
    <w:rsid w:val="00934B9A"/>
    <w:rsid w:val="00934C3A"/>
    <w:rsid w:val="0093507C"/>
    <w:rsid w:val="00935A55"/>
    <w:rsid w:val="009362FC"/>
    <w:rsid w:val="00936552"/>
    <w:rsid w:val="00936BFA"/>
    <w:rsid w:val="00936EDF"/>
    <w:rsid w:val="0093759C"/>
    <w:rsid w:val="00937BA6"/>
    <w:rsid w:val="00937C17"/>
    <w:rsid w:val="00937D15"/>
    <w:rsid w:val="0094096A"/>
    <w:rsid w:val="00940CC9"/>
    <w:rsid w:val="009426CD"/>
    <w:rsid w:val="00942F9A"/>
    <w:rsid w:val="00944204"/>
    <w:rsid w:val="009451ED"/>
    <w:rsid w:val="0094601C"/>
    <w:rsid w:val="0094679D"/>
    <w:rsid w:val="009472E2"/>
    <w:rsid w:val="0095110B"/>
    <w:rsid w:val="0095206A"/>
    <w:rsid w:val="00952494"/>
    <w:rsid w:val="00952C21"/>
    <w:rsid w:val="009533FE"/>
    <w:rsid w:val="00953FAA"/>
    <w:rsid w:val="009544CC"/>
    <w:rsid w:val="009548EA"/>
    <w:rsid w:val="009549AC"/>
    <w:rsid w:val="00954B71"/>
    <w:rsid w:val="00954EE6"/>
    <w:rsid w:val="00955667"/>
    <w:rsid w:val="009562BB"/>
    <w:rsid w:val="00956827"/>
    <w:rsid w:val="00957ED6"/>
    <w:rsid w:val="00960BE9"/>
    <w:rsid w:val="00963586"/>
    <w:rsid w:val="00963B73"/>
    <w:rsid w:val="00963F2D"/>
    <w:rsid w:val="009646AA"/>
    <w:rsid w:val="0096504D"/>
    <w:rsid w:val="00965806"/>
    <w:rsid w:val="009665C3"/>
    <w:rsid w:val="00966C86"/>
    <w:rsid w:val="009671C9"/>
    <w:rsid w:val="009704D5"/>
    <w:rsid w:val="00970FE1"/>
    <w:rsid w:val="00971DD6"/>
    <w:rsid w:val="009729EF"/>
    <w:rsid w:val="00972D85"/>
    <w:rsid w:val="00973364"/>
    <w:rsid w:val="00973735"/>
    <w:rsid w:val="00973E32"/>
    <w:rsid w:val="00974540"/>
    <w:rsid w:val="00974DEB"/>
    <w:rsid w:val="00975039"/>
    <w:rsid w:val="00976100"/>
    <w:rsid w:val="009764F6"/>
    <w:rsid w:val="009765E9"/>
    <w:rsid w:val="009774E5"/>
    <w:rsid w:val="0097761C"/>
    <w:rsid w:val="009808B7"/>
    <w:rsid w:val="00980D8E"/>
    <w:rsid w:val="00981381"/>
    <w:rsid w:val="00981713"/>
    <w:rsid w:val="009819D7"/>
    <w:rsid w:val="00981CA6"/>
    <w:rsid w:val="00982B60"/>
    <w:rsid w:val="00982D6F"/>
    <w:rsid w:val="00982EFB"/>
    <w:rsid w:val="009830AD"/>
    <w:rsid w:val="0098330C"/>
    <w:rsid w:val="00983D8D"/>
    <w:rsid w:val="00984691"/>
    <w:rsid w:val="00984888"/>
    <w:rsid w:val="00984A82"/>
    <w:rsid w:val="0098506C"/>
    <w:rsid w:val="0098520E"/>
    <w:rsid w:val="00985BBE"/>
    <w:rsid w:val="00985D7E"/>
    <w:rsid w:val="009864FB"/>
    <w:rsid w:val="00986E92"/>
    <w:rsid w:val="009870E0"/>
    <w:rsid w:val="009876DF"/>
    <w:rsid w:val="00987FA4"/>
    <w:rsid w:val="00990B2C"/>
    <w:rsid w:val="0099179C"/>
    <w:rsid w:val="00993257"/>
    <w:rsid w:val="0099329C"/>
    <w:rsid w:val="00995766"/>
    <w:rsid w:val="00995C4E"/>
    <w:rsid w:val="00996150"/>
    <w:rsid w:val="009961A2"/>
    <w:rsid w:val="00997278"/>
    <w:rsid w:val="009977EA"/>
    <w:rsid w:val="00997D17"/>
    <w:rsid w:val="009A02D9"/>
    <w:rsid w:val="009A11A0"/>
    <w:rsid w:val="009A16C8"/>
    <w:rsid w:val="009A195B"/>
    <w:rsid w:val="009A319C"/>
    <w:rsid w:val="009A343E"/>
    <w:rsid w:val="009A350B"/>
    <w:rsid w:val="009A3C7E"/>
    <w:rsid w:val="009A4603"/>
    <w:rsid w:val="009A484D"/>
    <w:rsid w:val="009A4B6F"/>
    <w:rsid w:val="009A51D8"/>
    <w:rsid w:val="009A5B29"/>
    <w:rsid w:val="009A5F51"/>
    <w:rsid w:val="009A6008"/>
    <w:rsid w:val="009A616F"/>
    <w:rsid w:val="009A622B"/>
    <w:rsid w:val="009A63A3"/>
    <w:rsid w:val="009A6A99"/>
    <w:rsid w:val="009A6EBC"/>
    <w:rsid w:val="009A7DD6"/>
    <w:rsid w:val="009B08E0"/>
    <w:rsid w:val="009B0C82"/>
    <w:rsid w:val="009B13C7"/>
    <w:rsid w:val="009B1522"/>
    <w:rsid w:val="009B19C2"/>
    <w:rsid w:val="009B2202"/>
    <w:rsid w:val="009B292B"/>
    <w:rsid w:val="009B342F"/>
    <w:rsid w:val="009B3C21"/>
    <w:rsid w:val="009B4EDA"/>
    <w:rsid w:val="009B6C07"/>
    <w:rsid w:val="009B7521"/>
    <w:rsid w:val="009B7670"/>
    <w:rsid w:val="009B773D"/>
    <w:rsid w:val="009B7BBF"/>
    <w:rsid w:val="009B7F88"/>
    <w:rsid w:val="009C0112"/>
    <w:rsid w:val="009C028F"/>
    <w:rsid w:val="009C05B0"/>
    <w:rsid w:val="009C1561"/>
    <w:rsid w:val="009C184B"/>
    <w:rsid w:val="009C1EA9"/>
    <w:rsid w:val="009C2F74"/>
    <w:rsid w:val="009C7B87"/>
    <w:rsid w:val="009D0231"/>
    <w:rsid w:val="009D02B0"/>
    <w:rsid w:val="009D0489"/>
    <w:rsid w:val="009D0D44"/>
    <w:rsid w:val="009D13C1"/>
    <w:rsid w:val="009D1B92"/>
    <w:rsid w:val="009D25F8"/>
    <w:rsid w:val="009D299C"/>
    <w:rsid w:val="009D29D2"/>
    <w:rsid w:val="009D2F51"/>
    <w:rsid w:val="009D3268"/>
    <w:rsid w:val="009D3707"/>
    <w:rsid w:val="009D3B8F"/>
    <w:rsid w:val="009D45B4"/>
    <w:rsid w:val="009D540B"/>
    <w:rsid w:val="009D55BC"/>
    <w:rsid w:val="009D5DBB"/>
    <w:rsid w:val="009D73E5"/>
    <w:rsid w:val="009D7882"/>
    <w:rsid w:val="009E0288"/>
    <w:rsid w:val="009E0735"/>
    <w:rsid w:val="009E226F"/>
    <w:rsid w:val="009E3170"/>
    <w:rsid w:val="009E37D4"/>
    <w:rsid w:val="009E3F08"/>
    <w:rsid w:val="009E59F0"/>
    <w:rsid w:val="009E5A55"/>
    <w:rsid w:val="009E643A"/>
    <w:rsid w:val="009E6E09"/>
    <w:rsid w:val="009E700A"/>
    <w:rsid w:val="009E7A78"/>
    <w:rsid w:val="009E7AD0"/>
    <w:rsid w:val="009F052E"/>
    <w:rsid w:val="009F0F0C"/>
    <w:rsid w:val="009F1057"/>
    <w:rsid w:val="009F11FD"/>
    <w:rsid w:val="009F33A7"/>
    <w:rsid w:val="009F3E46"/>
    <w:rsid w:val="009F400E"/>
    <w:rsid w:val="009F5517"/>
    <w:rsid w:val="009F56C2"/>
    <w:rsid w:val="009F61B3"/>
    <w:rsid w:val="009F6BAE"/>
    <w:rsid w:val="009F6D99"/>
    <w:rsid w:val="009F7450"/>
    <w:rsid w:val="009F7667"/>
    <w:rsid w:val="009F780B"/>
    <w:rsid w:val="009F780C"/>
    <w:rsid w:val="009F7C80"/>
    <w:rsid w:val="00A01797"/>
    <w:rsid w:val="00A02048"/>
    <w:rsid w:val="00A024A1"/>
    <w:rsid w:val="00A02B1B"/>
    <w:rsid w:val="00A03018"/>
    <w:rsid w:val="00A032ED"/>
    <w:rsid w:val="00A03850"/>
    <w:rsid w:val="00A0396E"/>
    <w:rsid w:val="00A04ACF"/>
    <w:rsid w:val="00A063F8"/>
    <w:rsid w:val="00A06A64"/>
    <w:rsid w:val="00A073D4"/>
    <w:rsid w:val="00A1245E"/>
    <w:rsid w:val="00A13BCE"/>
    <w:rsid w:val="00A141C0"/>
    <w:rsid w:val="00A162C6"/>
    <w:rsid w:val="00A1750F"/>
    <w:rsid w:val="00A175A4"/>
    <w:rsid w:val="00A20085"/>
    <w:rsid w:val="00A20D47"/>
    <w:rsid w:val="00A21333"/>
    <w:rsid w:val="00A21985"/>
    <w:rsid w:val="00A2222E"/>
    <w:rsid w:val="00A228FB"/>
    <w:rsid w:val="00A23397"/>
    <w:rsid w:val="00A24EFD"/>
    <w:rsid w:val="00A2572F"/>
    <w:rsid w:val="00A2684A"/>
    <w:rsid w:val="00A2717D"/>
    <w:rsid w:val="00A273EF"/>
    <w:rsid w:val="00A27BD4"/>
    <w:rsid w:val="00A27BF7"/>
    <w:rsid w:val="00A27F93"/>
    <w:rsid w:val="00A33471"/>
    <w:rsid w:val="00A33FAA"/>
    <w:rsid w:val="00A349DF"/>
    <w:rsid w:val="00A352B2"/>
    <w:rsid w:val="00A368E6"/>
    <w:rsid w:val="00A36EBC"/>
    <w:rsid w:val="00A371D3"/>
    <w:rsid w:val="00A375DD"/>
    <w:rsid w:val="00A37AE8"/>
    <w:rsid w:val="00A404CD"/>
    <w:rsid w:val="00A40CAA"/>
    <w:rsid w:val="00A41058"/>
    <w:rsid w:val="00A416E6"/>
    <w:rsid w:val="00A41FCD"/>
    <w:rsid w:val="00A421E1"/>
    <w:rsid w:val="00A4251F"/>
    <w:rsid w:val="00A42CD5"/>
    <w:rsid w:val="00A4319B"/>
    <w:rsid w:val="00A43A2C"/>
    <w:rsid w:val="00A43F29"/>
    <w:rsid w:val="00A448BD"/>
    <w:rsid w:val="00A454C3"/>
    <w:rsid w:val="00A462A9"/>
    <w:rsid w:val="00A4781F"/>
    <w:rsid w:val="00A4795C"/>
    <w:rsid w:val="00A50344"/>
    <w:rsid w:val="00A503BE"/>
    <w:rsid w:val="00A5040D"/>
    <w:rsid w:val="00A52028"/>
    <w:rsid w:val="00A52123"/>
    <w:rsid w:val="00A525C1"/>
    <w:rsid w:val="00A52687"/>
    <w:rsid w:val="00A527B5"/>
    <w:rsid w:val="00A540BB"/>
    <w:rsid w:val="00A541A4"/>
    <w:rsid w:val="00A54361"/>
    <w:rsid w:val="00A55112"/>
    <w:rsid w:val="00A55299"/>
    <w:rsid w:val="00A5578A"/>
    <w:rsid w:val="00A55CCD"/>
    <w:rsid w:val="00A564CC"/>
    <w:rsid w:val="00A564FB"/>
    <w:rsid w:val="00A56723"/>
    <w:rsid w:val="00A570BE"/>
    <w:rsid w:val="00A571B6"/>
    <w:rsid w:val="00A57ADA"/>
    <w:rsid w:val="00A617D9"/>
    <w:rsid w:val="00A61BEB"/>
    <w:rsid w:val="00A62CC0"/>
    <w:rsid w:val="00A6369A"/>
    <w:rsid w:val="00A63E90"/>
    <w:rsid w:val="00A64B81"/>
    <w:rsid w:val="00A65700"/>
    <w:rsid w:val="00A65AF2"/>
    <w:rsid w:val="00A65BE1"/>
    <w:rsid w:val="00A66250"/>
    <w:rsid w:val="00A66915"/>
    <w:rsid w:val="00A66AAB"/>
    <w:rsid w:val="00A678FB"/>
    <w:rsid w:val="00A714BE"/>
    <w:rsid w:val="00A723D2"/>
    <w:rsid w:val="00A7249D"/>
    <w:rsid w:val="00A72BA9"/>
    <w:rsid w:val="00A73A75"/>
    <w:rsid w:val="00A73FB8"/>
    <w:rsid w:val="00A74ACF"/>
    <w:rsid w:val="00A74DAF"/>
    <w:rsid w:val="00A75175"/>
    <w:rsid w:val="00A75209"/>
    <w:rsid w:val="00A75A57"/>
    <w:rsid w:val="00A76024"/>
    <w:rsid w:val="00A76245"/>
    <w:rsid w:val="00A76450"/>
    <w:rsid w:val="00A76AE9"/>
    <w:rsid w:val="00A777DA"/>
    <w:rsid w:val="00A77BB4"/>
    <w:rsid w:val="00A77C75"/>
    <w:rsid w:val="00A803D4"/>
    <w:rsid w:val="00A80FD0"/>
    <w:rsid w:val="00A812A7"/>
    <w:rsid w:val="00A82850"/>
    <w:rsid w:val="00A82A90"/>
    <w:rsid w:val="00A82BAF"/>
    <w:rsid w:val="00A82D8D"/>
    <w:rsid w:val="00A82F0B"/>
    <w:rsid w:val="00A8326A"/>
    <w:rsid w:val="00A8420D"/>
    <w:rsid w:val="00A84809"/>
    <w:rsid w:val="00A85060"/>
    <w:rsid w:val="00A85080"/>
    <w:rsid w:val="00A85204"/>
    <w:rsid w:val="00A8577F"/>
    <w:rsid w:val="00A87191"/>
    <w:rsid w:val="00A874E6"/>
    <w:rsid w:val="00A879F1"/>
    <w:rsid w:val="00A87E86"/>
    <w:rsid w:val="00A90214"/>
    <w:rsid w:val="00A90C9F"/>
    <w:rsid w:val="00A91757"/>
    <w:rsid w:val="00A9237C"/>
    <w:rsid w:val="00A928FD"/>
    <w:rsid w:val="00A93153"/>
    <w:rsid w:val="00A937E5"/>
    <w:rsid w:val="00A938B9"/>
    <w:rsid w:val="00A93AD6"/>
    <w:rsid w:val="00A94301"/>
    <w:rsid w:val="00A9477F"/>
    <w:rsid w:val="00A94E0C"/>
    <w:rsid w:val="00A9536E"/>
    <w:rsid w:val="00A96402"/>
    <w:rsid w:val="00A97E96"/>
    <w:rsid w:val="00AA1E50"/>
    <w:rsid w:val="00AA2EC1"/>
    <w:rsid w:val="00AA39F6"/>
    <w:rsid w:val="00AA3C04"/>
    <w:rsid w:val="00AA43B2"/>
    <w:rsid w:val="00AA5B2B"/>
    <w:rsid w:val="00AA6455"/>
    <w:rsid w:val="00AA6ACE"/>
    <w:rsid w:val="00AA6CF4"/>
    <w:rsid w:val="00AA72A3"/>
    <w:rsid w:val="00AB16D7"/>
    <w:rsid w:val="00AB2530"/>
    <w:rsid w:val="00AB36D3"/>
    <w:rsid w:val="00AB46C5"/>
    <w:rsid w:val="00AB59C5"/>
    <w:rsid w:val="00AB651D"/>
    <w:rsid w:val="00AB7110"/>
    <w:rsid w:val="00AB7822"/>
    <w:rsid w:val="00AB7A3C"/>
    <w:rsid w:val="00AC172E"/>
    <w:rsid w:val="00AC2275"/>
    <w:rsid w:val="00AC248D"/>
    <w:rsid w:val="00AC274C"/>
    <w:rsid w:val="00AC2DD3"/>
    <w:rsid w:val="00AC34C8"/>
    <w:rsid w:val="00AC39DF"/>
    <w:rsid w:val="00AC3DDD"/>
    <w:rsid w:val="00AC42FA"/>
    <w:rsid w:val="00AC4CC4"/>
    <w:rsid w:val="00AC6071"/>
    <w:rsid w:val="00AC6692"/>
    <w:rsid w:val="00AC6B85"/>
    <w:rsid w:val="00AC6C90"/>
    <w:rsid w:val="00AC78D5"/>
    <w:rsid w:val="00AD0FEE"/>
    <w:rsid w:val="00AD14ED"/>
    <w:rsid w:val="00AD1B2C"/>
    <w:rsid w:val="00AD2A0B"/>
    <w:rsid w:val="00AD2B12"/>
    <w:rsid w:val="00AD45CE"/>
    <w:rsid w:val="00AD4E98"/>
    <w:rsid w:val="00AD507D"/>
    <w:rsid w:val="00AD5099"/>
    <w:rsid w:val="00AD60DA"/>
    <w:rsid w:val="00AD61CD"/>
    <w:rsid w:val="00AD6384"/>
    <w:rsid w:val="00AD78A5"/>
    <w:rsid w:val="00AD7DBA"/>
    <w:rsid w:val="00AE0047"/>
    <w:rsid w:val="00AE0BFC"/>
    <w:rsid w:val="00AE26CF"/>
    <w:rsid w:val="00AE2855"/>
    <w:rsid w:val="00AE3B23"/>
    <w:rsid w:val="00AE3D46"/>
    <w:rsid w:val="00AE4401"/>
    <w:rsid w:val="00AE4877"/>
    <w:rsid w:val="00AE4E6D"/>
    <w:rsid w:val="00AE5201"/>
    <w:rsid w:val="00AE6750"/>
    <w:rsid w:val="00AE68D2"/>
    <w:rsid w:val="00AE71E4"/>
    <w:rsid w:val="00AF0016"/>
    <w:rsid w:val="00AF06B0"/>
    <w:rsid w:val="00AF0B82"/>
    <w:rsid w:val="00AF0E1F"/>
    <w:rsid w:val="00AF0E6C"/>
    <w:rsid w:val="00AF1EDF"/>
    <w:rsid w:val="00AF2237"/>
    <w:rsid w:val="00AF23D6"/>
    <w:rsid w:val="00AF2687"/>
    <w:rsid w:val="00AF3BB1"/>
    <w:rsid w:val="00AF4D04"/>
    <w:rsid w:val="00AF4E36"/>
    <w:rsid w:val="00AF51E0"/>
    <w:rsid w:val="00AF55F5"/>
    <w:rsid w:val="00AF6321"/>
    <w:rsid w:val="00AF6661"/>
    <w:rsid w:val="00AF696A"/>
    <w:rsid w:val="00AF762B"/>
    <w:rsid w:val="00AF7DFC"/>
    <w:rsid w:val="00B0200A"/>
    <w:rsid w:val="00B026FC"/>
    <w:rsid w:val="00B0287B"/>
    <w:rsid w:val="00B03061"/>
    <w:rsid w:val="00B03615"/>
    <w:rsid w:val="00B03EE6"/>
    <w:rsid w:val="00B051DB"/>
    <w:rsid w:val="00B0571A"/>
    <w:rsid w:val="00B05739"/>
    <w:rsid w:val="00B05F33"/>
    <w:rsid w:val="00B06C1B"/>
    <w:rsid w:val="00B07453"/>
    <w:rsid w:val="00B0764F"/>
    <w:rsid w:val="00B102BD"/>
    <w:rsid w:val="00B11FDB"/>
    <w:rsid w:val="00B121C9"/>
    <w:rsid w:val="00B1341C"/>
    <w:rsid w:val="00B13DEA"/>
    <w:rsid w:val="00B149AD"/>
    <w:rsid w:val="00B14D94"/>
    <w:rsid w:val="00B14EAC"/>
    <w:rsid w:val="00B16883"/>
    <w:rsid w:val="00B201CC"/>
    <w:rsid w:val="00B202AC"/>
    <w:rsid w:val="00B21EAD"/>
    <w:rsid w:val="00B22379"/>
    <w:rsid w:val="00B22996"/>
    <w:rsid w:val="00B22F84"/>
    <w:rsid w:val="00B2348B"/>
    <w:rsid w:val="00B24C68"/>
    <w:rsid w:val="00B24D7D"/>
    <w:rsid w:val="00B254E7"/>
    <w:rsid w:val="00B27760"/>
    <w:rsid w:val="00B279E4"/>
    <w:rsid w:val="00B30979"/>
    <w:rsid w:val="00B315F2"/>
    <w:rsid w:val="00B31F10"/>
    <w:rsid w:val="00B32166"/>
    <w:rsid w:val="00B32647"/>
    <w:rsid w:val="00B32B2E"/>
    <w:rsid w:val="00B32D09"/>
    <w:rsid w:val="00B33EEE"/>
    <w:rsid w:val="00B340E2"/>
    <w:rsid w:val="00B34751"/>
    <w:rsid w:val="00B34E79"/>
    <w:rsid w:val="00B361E4"/>
    <w:rsid w:val="00B36605"/>
    <w:rsid w:val="00B370C9"/>
    <w:rsid w:val="00B3738D"/>
    <w:rsid w:val="00B375E6"/>
    <w:rsid w:val="00B40396"/>
    <w:rsid w:val="00B4084C"/>
    <w:rsid w:val="00B40DA9"/>
    <w:rsid w:val="00B41857"/>
    <w:rsid w:val="00B41EFE"/>
    <w:rsid w:val="00B42989"/>
    <w:rsid w:val="00B43034"/>
    <w:rsid w:val="00B431B7"/>
    <w:rsid w:val="00B4351B"/>
    <w:rsid w:val="00B46783"/>
    <w:rsid w:val="00B47870"/>
    <w:rsid w:val="00B479F8"/>
    <w:rsid w:val="00B47FA3"/>
    <w:rsid w:val="00B50962"/>
    <w:rsid w:val="00B51292"/>
    <w:rsid w:val="00B514E9"/>
    <w:rsid w:val="00B51563"/>
    <w:rsid w:val="00B5157B"/>
    <w:rsid w:val="00B52ED5"/>
    <w:rsid w:val="00B53089"/>
    <w:rsid w:val="00B530F2"/>
    <w:rsid w:val="00B536F0"/>
    <w:rsid w:val="00B538BE"/>
    <w:rsid w:val="00B538F5"/>
    <w:rsid w:val="00B543FA"/>
    <w:rsid w:val="00B5440F"/>
    <w:rsid w:val="00B54B98"/>
    <w:rsid w:val="00B54CC2"/>
    <w:rsid w:val="00B55122"/>
    <w:rsid w:val="00B56418"/>
    <w:rsid w:val="00B56789"/>
    <w:rsid w:val="00B56E91"/>
    <w:rsid w:val="00B56EE3"/>
    <w:rsid w:val="00B56F92"/>
    <w:rsid w:val="00B56F9A"/>
    <w:rsid w:val="00B5754F"/>
    <w:rsid w:val="00B57B0C"/>
    <w:rsid w:val="00B62E9A"/>
    <w:rsid w:val="00B63E50"/>
    <w:rsid w:val="00B64AEB"/>
    <w:rsid w:val="00B66372"/>
    <w:rsid w:val="00B66B52"/>
    <w:rsid w:val="00B66D05"/>
    <w:rsid w:val="00B6702C"/>
    <w:rsid w:val="00B702DE"/>
    <w:rsid w:val="00B71279"/>
    <w:rsid w:val="00B714AE"/>
    <w:rsid w:val="00B71BD8"/>
    <w:rsid w:val="00B71E5C"/>
    <w:rsid w:val="00B72345"/>
    <w:rsid w:val="00B74875"/>
    <w:rsid w:val="00B74C76"/>
    <w:rsid w:val="00B76303"/>
    <w:rsid w:val="00B763AD"/>
    <w:rsid w:val="00B764F0"/>
    <w:rsid w:val="00B76A73"/>
    <w:rsid w:val="00B773C3"/>
    <w:rsid w:val="00B779B1"/>
    <w:rsid w:val="00B8145F"/>
    <w:rsid w:val="00B815F5"/>
    <w:rsid w:val="00B8520A"/>
    <w:rsid w:val="00B8593C"/>
    <w:rsid w:val="00B87057"/>
    <w:rsid w:val="00B87235"/>
    <w:rsid w:val="00B87AC2"/>
    <w:rsid w:val="00B911F7"/>
    <w:rsid w:val="00B921B1"/>
    <w:rsid w:val="00B92A6D"/>
    <w:rsid w:val="00B92D3B"/>
    <w:rsid w:val="00B93203"/>
    <w:rsid w:val="00B9478F"/>
    <w:rsid w:val="00B9528B"/>
    <w:rsid w:val="00B95356"/>
    <w:rsid w:val="00B959EA"/>
    <w:rsid w:val="00B96A42"/>
    <w:rsid w:val="00B96CE6"/>
    <w:rsid w:val="00B97B5D"/>
    <w:rsid w:val="00BA1A60"/>
    <w:rsid w:val="00BA365B"/>
    <w:rsid w:val="00BA397D"/>
    <w:rsid w:val="00BA3C71"/>
    <w:rsid w:val="00BA3C73"/>
    <w:rsid w:val="00BA3F0C"/>
    <w:rsid w:val="00BA4109"/>
    <w:rsid w:val="00BA4949"/>
    <w:rsid w:val="00BA4FA9"/>
    <w:rsid w:val="00BA58C1"/>
    <w:rsid w:val="00BA5AEB"/>
    <w:rsid w:val="00BA5D6A"/>
    <w:rsid w:val="00BA63BC"/>
    <w:rsid w:val="00BA6F12"/>
    <w:rsid w:val="00BA6FFE"/>
    <w:rsid w:val="00BA794F"/>
    <w:rsid w:val="00BA7D32"/>
    <w:rsid w:val="00BB05D4"/>
    <w:rsid w:val="00BB098E"/>
    <w:rsid w:val="00BB133D"/>
    <w:rsid w:val="00BB27D3"/>
    <w:rsid w:val="00BB3280"/>
    <w:rsid w:val="00BB36B2"/>
    <w:rsid w:val="00BB3908"/>
    <w:rsid w:val="00BB618B"/>
    <w:rsid w:val="00BB691D"/>
    <w:rsid w:val="00BB6D1F"/>
    <w:rsid w:val="00BB7890"/>
    <w:rsid w:val="00BC02CD"/>
    <w:rsid w:val="00BC12FE"/>
    <w:rsid w:val="00BC1C64"/>
    <w:rsid w:val="00BC2BC4"/>
    <w:rsid w:val="00BC371D"/>
    <w:rsid w:val="00BC39AE"/>
    <w:rsid w:val="00BC4C89"/>
    <w:rsid w:val="00BC521F"/>
    <w:rsid w:val="00BC54A4"/>
    <w:rsid w:val="00BC569F"/>
    <w:rsid w:val="00BC5B60"/>
    <w:rsid w:val="00BC5B7E"/>
    <w:rsid w:val="00BC6B0B"/>
    <w:rsid w:val="00BC6ED0"/>
    <w:rsid w:val="00BC73E8"/>
    <w:rsid w:val="00BD03D0"/>
    <w:rsid w:val="00BD0964"/>
    <w:rsid w:val="00BD0B17"/>
    <w:rsid w:val="00BD0CAB"/>
    <w:rsid w:val="00BD10F4"/>
    <w:rsid w:val="00BD1DFD"/>
    <w:rsid w:val="00BD25FD"/>
    <w:rsid w:val="00BD29B3"/>
    <w:rsid w:val="00BD4959"/>
    <w:rsid w:val="00BD496B"/>
    <w:rsid w:val="00BD49B5"/>
    <w:rsid w:val="00BD5271"/>
    <w:rsid w:val="00BD5570"/>
    <w:rsid w:val="00BD5711"/>
    <w:rsid w:val="00BD6038"/>
    <w:rsid w:val="00BD784F"/>
    <w:rsid w:val="00BD7D51"/>
    <w:rsid w:val="00BD7FBA"/>
    <w:rsid w:val="00BE06B6"/>
    <w:rsid w:val="00BE0DD7"/>
    <w:rsid w:val="00BE1113"/>
    <w:rsid w:val="00BE148D"/>
    <w:rsid w:val="00BE20D6"/>
    <w:rsid w:val="00BE26EE"/>
    <w:rsid w:val="00BE287B"/>
    <w:rsid w:val="00BE2D62"/>
    <w:rsid w:val="00BE4964"/>
    <w:rsid w:val="00BE4B1A"/>
    <w:rsid w:val="00BE4EF1"/>
    <w:rsid w:val="00BE6021"/>
    <w:rsid w:val="00BE68DE"/>
    <w:rsid w:val="00BE71AF"/>
    <w:rsid w:val="00BE785A"/>
    <w:rsid w:val="00BE7FAF"/>
    <w:rsid w:val="00BF074D"/>
    <w:rsid w:val="00BF21C9"/>
    <w:rsid w:val="00BF273D"/>
    <w:rsid w:val="00BF2884"/>
    <w:rsid w:val="00BF3327"/>
    <w:rsid w:val="00BF385B"/>
    <w:rsid w:val="00BF3F4D"/>
    <w:rsid w:val="00BF3FC5"/>
    <w:rsid w:val="00BF50F8"/>
    <w:rsid w:val="00BF5A09"/>
    <w:rsid w:val="00BF78FE"/>
    <w:rsid w:val="00C00421"/>
    <w:rsid w:val="00C0069A"/>
    <w:rsid w:val="00C01C84"/>
    <w:rsid w:val="00C01FC5"/>
    <w:rsid w:val="00C0218D"/>
    <w:rsid w:val="00C02559"/>
    <w:rsid w:val="00C02B12"/>
    <w:rsid w:val="00C02C94"/>
    <w:rsid w:val="00C04305"/>
    <w:rsid w:val="00C0452E"/>
    <w:rsid w:val="00C04B6E"/>
    <w:rsid w:val="00C053EF"/>
    <w:rsid w:val="00C0580F"/>
    <w:rsid w:val="00C05AE4"/>
    <w:rsid w:val="00C05CF7"/>
    <w:rsid w:val="00C06F0C"/>
    <w:rsid w:val="00C071F4"/>
    <w:rsid w:val="00C07591"/>
    <w:rsid w:val="00C07634"/>
    <w:rsid w:val="00C10387"/>
    <w:rsid w:val="00C10AB2"/>
    <w:rsid w:val="00C10D02"/>
    <w:rsid w:val="00C11839"/>
    <w:rsid w:val="00C1193F"/>
    <w:rsid w:val="00C121F4"/>
    <w:rsid w:val="00C1237F"/>
    <w:rsid w:val="00C12AAF"/>
    <w:rsid w:val="00C130F1"/>
    <w:rsid w:val="00C13AAF"/>
    <w:rsid w:val="00C13E4F"/>
    <w:rsid w:val="00C14A62"/>
    <w:rsid w:val="00C15070"/>
    <w:rsid w:val="00C15536"/>
    <w:rsid w:val="00C159EB"/>
    <w:rsid w:val="00C16094"/>
    <w:rsid w:val="00C165BA"/>
    <w:rsid w:val="00C1667D"/>
    <w:rsid w:val="00C173AA"/>
    <w:rsid w:val="00C17ABE"/>
    <w:rsid w:val="00C204B6"/>
    <w:rsid w:val="00C21A97"/>
    <w:rsid w:val="00C22343"/>
    <w:rsid w:val="00C22385"/>
    <w:rsid w:val="00C22707"/>
    <w:rsid w:val="00C239CA"/>
    <w:rsid w:val="00C23D49"/>
    <w:rsid w:val="00C24337"/>
    <w:rsid w:val="00C2526C"/>
    <w:rsid w:val="00C253AD"/>
    <w:rsid w:val="00C25670"/>
    <w:rsid w:val="00C25CC3"/>
    <w:rsid w:val="00C25FB8"/>
    <w:rsid w:val="00C26585"/>
    <w:rsid w:val="00C26DC3"/>
    <w:rsid w:val="00C27C67"/>
    <w:rsid w:val="00C27D9A"/>
    <w:rsid w:val="00C27DA5"/>
    <w:rsid w:val="00C31328"/>
    <w:rsid w:val="00C32638"/>
    <w:rsid w:val="00C328A0"/>
    <w:rsid w:val="00C3377E"/>
    <w:rsid w:val="00C3395A"/>
    <w:rsid w:val="00C33ABF"/>
    <w:rsid w:val="00C33F20"/>
    <w:rsid w:val="00C34F05"/>
    <w:rsid w:val="00C356AC"/>
    <w:rsid w:val="00C356BC"/>
    <w:rsid w:val="00C357A9"/>
    <w:rsid w:val="00C35A3C"/>
    <w:rsid w:val="00C363BC"/>
    <w:rsid w:val="00C37013"/>
    <w:rsid w:val="00C37794"/>
    <w:rsid w:val="00C37B7C"/>
    <w:rsid w:val="00C37DA8"/>
    <w:rsid w:val="00C37DCB"/>
    <w:rsid w:val="00C37F3C"/>
    <w:rsid w:val="00C4013E"/>
    <w:rsid w:val="00C40387"/>
    <w:rsid w:val="00C40C0E"/>
    <w:rsid w:val="00C4187F"/>
    <w:rsid w:val="00C422C5"/>
    <w:rsid w:val="00C44A65"/>
    <w:rsid w:val="00C44D73"/>
    <w:rsid w:val="00C45103"/>
    <w:rsid w:val="00C4689A"/>
    <w:rsid w:val="00C47738"/>
    <w:rsid w:val="00C50F19"/>
    <w:rsid w:val="00C518CB"/>
    <w:rsid w:val="00C51B10"/>
    <w:rsid w:val="00C51EEB"/>
    <w:rsid w:val="00C52448"/>
    <w:rsid w:val="00C53B7D"/>
    <w:rsid w:val="00C54419"/>
    <w:rsid w:val="00C55186"/>
    <w:rsid w:val="00C55615"/>
    <w:rsid w:val="00C56729"/>
    <w:rsid w:val="00C56919"/>
    <w:rsid w:val="00C62756"/>
    <w:rsid w:val="00C62849"/>
    <w:rsid w:val="00C62907"/>
    <w:rsid w:val="00C63155"/>
    <w:rsid w:val="00C63EA0"/>
    <w:rsid w:val="00C63F3B"/>
    <w:rsid w:val="00C648EB"/>
    <w:rsid w:val="00C64B11"/>
    <w:rsid w:val="00C64B23"/>
    <w:rsid w:val="00C652D0"/>
    <w:rsid w:val="00C65476"/>
    <w:rsid w:val="00C6581C"/>
    <w:rsid w:val="00C65A06"/>
    <w:rsid w:val="00C65E63"/>
    <w:rsid w:val="00C661B8"/>
    <w:rsid w:val="00C66811"/>
    <w:rsid w:val="00C668BE"/>
    <w:rsid w:val="00C70985"/>
    <w:rsid w:val="00C70CED"/>
    <w:rsid w:val="00C72A3B"/>
    <w:rsid w:val="00C7303A"/>
    <w:rsid w:val="00C7309A"/>
    <w:rsid w:val="00C74114"/>
    <w:rsid w:val="00C74A31"/>
    <w:rsid w:val="00C75227"/>
    <w:rsid w:val="00C75680"/>
    <w:rsid w:val="00C7665D"/>
    <w:rsid w:val="00C76BEF"/>
    <w:rsid w:val="00C76CFA"/>
    <w:rsid w:val="00C77A69"/>
    <w:rsid w:val="00C77CEA"/>
    <w:rsid w:val="00C8062B"/>
    <w:rsid w:val="00C814DD"/>
    <w:rsid w:val="00C816E3"/>
    <w:rsid w:val="00C82056"/>
    <w:rsid w:val="00C82369"/>
    <w:rsid w:val="00C824AF"/>
    <w:rsid w:val="00C82ABC"/>
    <w:rsid w:val="00C82FD8"/>
    <w:rsid w:val="00C83247"/>
    <w:rsid w:val="00C8364D"/>
    <w:rsid w:val="00C839F8"/>
    <w:rsid w:val="00C853A6"/>
    <w:rsid w:val="00C860B5"/>
    <w:rsid w:val="00C863A5"/>
    <w:rsid w:val="00C8674B"/>
    <w:rsid w:val="00C87197"/>
    <w:rsid w:val="00C873D0"/>
    <w:rsid w:val="00C875D9"/>
    <w:rsid w:val="00C87D69"/>
    <w:rsid w:val="00C90034"/>
    <w:rsid w:val="00C9030A"/>
    <w:rsid w:val="00C90B99"/>
    <w:rsid w:val="00C91874"/>
    <w:rsid w:val="00C9339C"/>
    <w:rsid w:val="00C93702"/>
    <w:rsid w:val="00C93992"/>
    <w:rsid w:val="00C93E38"/>
    <w:rsid w:val="00C9404A"/>
    <w:rsid w:val="00C976D1"/>
    <w:rsid w:val="00C97948"/>
    <w:rsid w:val="00C97CAA"/>
    <w:rsid w:val="00CA052E"/>
    <w:rsid w:val="00CA0CC3"/>
    <w:rsid w:val="00CA1397"/>
    <w:rsid w:val="00CA23FD"/>
    <w:rsid w:val="00CA2954"/>
    <w:rsid w:val="00CA29DC"/>
    <w:rsid w:val="00CA2A9D"/>
    <w:rsid w:val="00CA4856"/>
    <w:rsid w:val="00CA60B2"/>
    <w:rsid w:val="00CA6667"/>
    <w:rsid w:val="00CA680D"/>
    <w:rsid w:val="00CA6877"/>
    <w:rsid w:val="00CB05A9"/>
    <w:rsid w:val="00CB1942"/>
    <w:rsid w:val="00CB2C50"/>
    <w:rsid w:val="00CB3BE3"/>
    <w:rsid w:val="00CB3C74"/>
    <w:rsid w:val="00CB47F4"/>
    <w:rsid w:val="00CB4912"/>
    <w:rsid w:val="00CB4FB9"/>
    <w:rsid w:val="00CB5B8A"/>
    <w:rsid w:val="00CB65F3"/>
    <w:rsid w:val="00CB6D5E"/>
    <w:rsid w:val="00CB709D"/>
    <w:rsid w:val="00CB71F0"/>
    <w:rsid w:val="00CC1129"/>
    <w:rsid w:val="00CC1826"/>
    <w:rsid w:val="00CC610D"/>
    <w:rsid w:val="00CC700C"/>
    <w:rsid w:val="00CC785A"/>
    <w:rsid w:val="00CD0D47"/>
    <w:rsid w:val="00CD0DA9"/>
    <w:rsid w:val="00CD157E"/>
    <w:rsid w:val="00CD1776"/>
    <w:rsid w:val="00CD2D07"/>
    <w:rsid w:val="00CD2E2F"/>
    <w:rsid w:val="00CD33BD"/>
    <w:rsid w:val="00CD36C2"/>
    <w:rsid w:val="00CD4DB1"/>
    <w:rsid w:val="00CD5738"/>
    <w:rsid w:val="00CD58B7"/>
    <w:rsid w:val="00CD7630"/>
    <w:rsid w:val="00CD7A57"/>
    <w:rsid w:val="00CE02D3"/>
    <w:rsid w:val="00CE0BC6"/>
    <w:rsid w:val="00CE0CBE"/>
    <w:rsid w:val="00CE1568"/>
    <w:rsid w:val="00CE1836"/>
    <w:rsid w:val="00CE1973"/>
    <w:rsid w:val="00CE239F"/>
    <w:rsid w:val="00CE3159"/>
    <w:rsid w:val="00CE37C2"/>
    <w:rsid w:val="00CE3D81"/>
    <w:rsid w:val="00CE4DF4"/>
    <w:rsid w:val="00CE509A"/>
    <w:rsid w:val="00CE58A7"/>
    <w:rsid w:val="00CE6032"/>
    <w:rsid w:val="00CE71AF"/>
    <w:rsid w:val="00CE7678"/>
    <w:rsid w:val="00CE77BE"/>
    <w:rsid w:val="00CF08AD"/>
    <w:rsid w:val="00CF11E0"/>
    <w:rsid w:val="00CF11EE"/>
    <w:rsid w:val="00CF2BD8"/>
    <w:rsid w:val="00CF3439"/>
    <w:rsid w:val="00CF3475"/>
    <w:rsid w:val="00CF402D"/>
    <w:rsid w:val="00CF4F59"/>
    <w:rsid w:val="00CF59BF"/>
    <w:rsid w:val="00CF5B74"/>
    <w:rsid w:val="00CF5D4E"/>
    <w:rsid w:val="00CF627E"/>
    <w:rsid w:val="00CF6ADA"/>
    <w:rsid w:val="00CF70EF"/>
    <w:rsid w:val="00CF7CD3"/>
    <w:rsid w:val="00D00216"/>
    <w:rsid w:val="00D00B77"/>
    <w:rsid w:val="00D00D3F"/>
    <w:rsid w:val="00D01311"/>
    <w:rsid w:val="00D014BD"/>
    <w:rsid w:val="00D01A85"/>
    <w:rsid w:val="00D02411"/>
    <w:rsid w:val="00D0241E"/>
    <w:rsid w:val="00D031AE"/>
    <w:rsid w:val="00D032AE"/>
    <w:rsid w:val="00D03AEE"/>
    <w:rsid w:val="00D04488"/>
    <w:rsid w:val="00D0462B"/>
    <w:rsid w:val="00D05896"/>
    <w:rsid w:val="00D0649B"/>
    <w:rsid w:val="00D06555"/>
    <w:rsid w:val="00D06AA7"/>
    <w:rsid w:val="00D06CC0"/>
    <w:rsid w:val="00D07CD0"/>
    <w:rsid w:val="00D1176E"/>
    <w:rsid w:val="00D127D6"/>
    <w:rsid w:val="00D131CE"/>
    <w:rsid w:val="00D1324E"/>
    <w:rsid w:val="00D14080"/>
    <w:rsid w:val="00D15EF9"/>
    <w:rsid w:val="00D170D0"/>
    <w:rsid w:val="00D17316"/>
    <w:rsid w:val="00D1796A"/>
    <w:rsid w:val="00D2045F"/>
    <w:rsid w:val="00D204E0"/>
    <w:rsid w:val="00D20524"/>
    <w:rsid w:val="00D20CBD"/>
    <w:rsid w:val="00D21C3F"/>
    <w:rsid w:val="00D230AA"/>
    <w:rsid w:val="00D24063"/>
    <w:rsid w:val="00D24104"/>
    <w:rsid w:val="00D2433B"/>
    <w:rsid w:val="00D24D20"/>
    <w:rsid w:val="00D25473"/>
    <w:rsid w:val="00D254B2"/>
    <w:rsid w:val="00D254B7"/>
    <w:rsid w:val="00D264A4"/>
    <w:rsid w:val="00D26ED3"/>
    <w:rsid w:val="00D273A4"/>
    <w:rsid w:val="00D27EBF"/>
    <w:rsid w:val="00D304C6"/>
    <w:rsid w:val="00D30BC8"/>
    <w:rsid w:val="00D30C98"/>
    <w:rsid w:val="00D30FDD"/>
    <w:rsid w:val="00D310C2"/>
    <w:rsid w:val="00D312F9"/>
    <w:rsid w:val="00D318B6"/>
    <w:rsid w:val="00D31F4A"/>
    <w:rsid w:val="00D31FCB"/>
    <w:rsid w:val="00D3251E"/>
    <w:rsid w:val="00D340C9"/>
    <w:rsid w:val="00D35E48"/>
    <w:rsid w:val="00D36497"/>
    <w:rsid w:val="00D368F0"/>
    <w:rsid w:val="00D36D58"/>
    <w:rsid w:val="00D370DE"/>
    <w:rsid w:val="00D3741B"/>
    <w:rsid w:val="00D40A14"/>
    <w:rsid w:val="00D41CBD"/>
    <w:rsid w:val="00D41D10"/>
    <w:rsid w:val="00D422F0"/>
    <w:rsid w:val="00D42A65"/>
    <w:rsid w:val="00D4323D"/>
    <w:rsid w:val="00D4325F"/>
    <w:rsid w:val="00D442D8"/>
    <w:rsid w:val="00D444A4"/>
    <w:rsid w:val="00D44891"/>
    <w:rsid w:val="00D448A4"/>
    <w:rsid w:val="00D44AC9"/>
    <w:rsid w:val="00D452AC"/>
    <w:rsid w:val="00D45D65"/>
    <w:rsid w:val="00D45E5C"/>
    <w:rsid w:val="00D4780D"/>
    <w:rsid w:val="00D50998"/>
    <w:rsid w:val="00D5122C"/>
    <w:rsid w:val="00D5164E"/>
    <w:rsid w:val="00D51F93"/>
    <w:rsid w:val="00D52544"/>
    <w:rsid w:val="00D5270C"/>
    <w:rsid w:val="00D52A23"/>
    <w:rsid w:val="00D52BB7"/>
    <w:rsid w:val="00D52F2B"/>
    <w:rsid w:val="00D534C4"/>
    <w:rsid w:val="00D53FA1"/>
    <w:rsid w:val="00D5404E"/>
    <w:rsid w:val="00D549CB"/>
    <w:rsid w:val="00D54B78"/>
    <w:rsid w:val="00D559A8"/>
    <w:rsid w:val="00D55FAA"/>
    <w:rsid w:val="00D57752"/>
    <w:rsid w:val="00D57960"/>
    <w:rsid w:val="00D60864"/>
    <w:rsid w:val="00D60FB4"/>
    <w:rsid w:val="00D6105F"/>
    <w:rsid w:val="00D6176D"/>
    <w:rsid w:val="00D618D3"/>
    <w:rsid w:val="00D61C95"/>
    <w:rsid w:val="00D623F2"/>
    <w:rsid w:val="00D624D1"/>
    <w:rsid w:val="00D627D5"/>
    <w:rsid w:val="00D633CB"/>
    <w:rsid w:val="00D646D6"/>
    <w:rsid w:val="00D64814"/>
    <w:rsid w:val="00D6497E"/>
    <w:rsid w:val="00D64D94"/>
    <w:rsid w:val="00D64FB4"/>
    <w:rsid w:val="00D65A6C"/>
    <w:rsid w:val="00D65BEC"/>
    <w:rsid w:val="00D6687A"/>
    <w:rsid w:val="00D70430"/>
    <w:rsid w:val="00D70490"/>
    <w:rsid w:val="00D70994"/>
    <w:rsid w:val="00D70A23"/>
    <w:rsid w:val="00D71320"/>
    <w:rsid w:val="00D71F45"/>
    <w:rsid w:val="00D72663"/>
    <w:rsid w:val="00D729E6"/>
    <w:rsid w:val="00D72A37"/>
    <w:rsid w:val="00D72B67"/>
    <w:rsid w:val="00D73026"/>
    <w:rsid w:val="00D73D4E"/>
    <w:rsid w:val="00D746BE"/>
    <w:rsid w:val="00D74CBF"/>
    <w:rsid w:val="00D8005C"/>
    <w:rsid w:val="00D80241"/>
    <w:rsid w:val="00D80595"/>
    <w:rsid w:val="00D8109C"/>
    <w:rsid w:val="00D82441"/>
    <w:rsid w:val="00D84990"/>
    <w:rsid w:val="00D86B5E"/>
    <w:rsid w:val="00D86DDC"/>
    <w:rsid w:val="00D8707D"/>
    <w:rsid w:val="00D901A5"/>
    <w:rsid w:val="00D91085"/>
    <w:rsid w:val="00D9305A"/>
    <w:rsid w:val="00D934B1"/>
    <w:rsid w:val="00D93815"/>
    <w:rsid w:val="00D93C85"/>
    <w:rsid w:val="00D94503"/>
    <w:rsid w:val="00D947C0"/>
    <w:rsid w:val="00D95174"/>
    <w:rsid w:val="00DA1069"/>
    <w:rsid w:val="00DA1B4E"/>
    <w:rsid w:val="00DA1CB2"/>
    <w:rsid w:val="00DA2628"/>
    <w:rsid w:val="00DA2BEE"/>
    <w:rsid w:val="00DA2FBB"/>
    <w:rsid w:val="00DA3A00"/>
    <w:rsid w:val="00DA4936"/>
    <w:rsid w:val="00DA521F"/>
    <w:rsid w:val="00DA550A"/>
    <w:rsid w:val="00DA5B95"/>
    <w:rsid w:val="00DA65CF"/>
    <w:rsid w:val="00DA7655"/>
    <w:rsid w:val="00DA7B6E"/>
    <w:rsid w:val="00DA7BD4"/>
    <w:rsid w:val="00DA7BF4"/>
    <w:rsid w:val="00DA7F1D"/>
    <w:rsid w:val="00DB0445"/>
    <w:rsid w:val="00DB0747"/>
    <w:rsid w:val="00DB2001"/>
    <w:rsid w:val="00DB21D4"/>
    <w:rsid w:val="00DB269F"/>
    <w:rsid w:val="00DB26E4"/>
    <w:rsid w:val="00DB2912"/>
    <w:rsid w:val="00DB2A25"/>
    <w:rsid w:val="00DB3A70"/>
    <w:rsid w:val="00DB400B"/>
    <w:rsid w:val="00DB4162"/>
    <w:rsid w:val="00DB4462"/>
    <w:rsid w:val="00DB6841"/>
    <w:rsid w:val="00DB6962"/>
    <w:rsid w:val="00DB7D45"/>
    <w:rsid w:val="00DC044D"/>
    <w:rsid w:val="00DC04D0"/>
    <w:rsid w:val="00DC1160"/>
    <w:rsid w:val="00DC2FB4"/>
    <w:rsid w:val="00DC3023"/>
    <w:rsid w:val="00DC3A6A"/>
    <w:rsid w:val="00DC4665"/>
    <w:rsid w:val="00DC4B4A"/>
    <w:rsid w:val="00DC4C57"/>
    <w:rsid w:val="00DC60D8"/>
    <w:rsid w:val="00DC624C"/>
    <w:rsid w:val="00DC6700"/>
    <w:rsid w:val="00DC79A0"/>
    <w:rsid w:val="00DD01AD"/>
    <w:rsid w:val="00DD0773"/>
    <w:rsid w:val="00DD07F1"/>
    <w:rsid w:val="00DD0AB0"/>
    <w:rsid w:val="00DD1717"/>
    <w:rsid w:val="00DD27EB"/>
    <w:rsid w:val="00DD2C06"/>
    <w:rsid w:val="00DD3B20"/>
    <w:rsid w:val="00DD4164"/>
    <w:rsid w:val="00DD45CD"/>
    <w:rsid w:val="00DD4954"/>
    <w:rsid w:val="00DD4B3E"/>
    <w:rsid w:val="00DD4B52"/>
    <w:rsid w:val="00DD5DBC"/>
    <w:rsid w:val="00DD5F9A"/>
    <w:rsid w:val="00DD61D3"/>
    <w:rsid w:val="00DD67B7"/>
    <w:rsid w:val="00DD6C5A"/>
    <w:rsid w:val="00DD6D82"/>
    <w:rsid w:val="00DD6E15"/>
    <w:rsid w:val="00DD7645"/>
    <w:rsid w:val="00DE107E"/>
    <w:rsid w:val="00DE1347"/>
    <w:rsid w:val="00DE147A"/>
    <w:rsid w:val="00DE2118"/>
    <w:rsid w:val="00DE2996"/>
    <w:rsid w:val="00DE3392"/>
    <w:rsid w:val="00DE500F"/>
    <w:rsid w:val="00DE510B"/>
    <w:rsid w:val="00DE5DFF"/>
    <w:rsid w:val="00DE5EF6"/>
    <w:rsid w:val="00DE650C"/>
    <w:rsid w:val="00DE79AE"/>
    <w:rsid w:val="00DF04CF"/>
    <w:rsid w:val="00DF08E4"/>
    <w:rsid w:val="00DF0EBB"/>
    <w:rsid w:val="00DF10C1"/>
    <w:rsid w:val="00DF2D4E"/>
    <w:rsid w:val="00DF305A"/>
    <w:rsid w:val="00DF3841"/>
    <w:rsid w:val="00DF3C79"/>
    <w:rsid w:val="00DF4B70"/>
    <w:rsid w:val="00DF65CF"/>
    <w:rsid w:val="00DF6AB1"/>
    <w:rsid w:val="00DF74CA"/>
    <w:rsid w:val="00E0160D"/>
    <w:rsid w:val="00E01647"/>
    <w:rsid w:val="00E0182E"/>
    <w:rsid w:val="00E01B82"/>
    <w:rsid w:val="00E02BA6"/>
    <w:rsid w:val="00E0461C"/>
    <w:rsid w:val="00E06C8B"/>
    <w:rsid w:val="00E07661"/>
    <w:rsid w:val="00E078C6"/>
    <w:rsid w:val="00E07962"/>
    <w:rsid w:val="00E10907"/>
    <w:rsid w:val="00E10AD2"/>
    <w:rsid w:val="00E10C85"/>
    <w:rsid w:val="00E14D2D"/>
    <w:rsid w:val="00E15C32"/>
    <w:rsid w:val="00E15CCC"/>
    <w:rsid w:val="00E15CD6"/>
    <w:rsid w:val="00E16351"/>
    <w:rsid w:val="00E176AD"/>
    <w:rsid w:val="00E20F3D"/>
    <w:rsid w:val="00E21030"/>
    <w:rsid w:val="00E213A8"/>
    <w:rsid w:val="00E223A5"/>
    <w:rsid w:val="00E2296B"/>
    <w:rsid w:val="00E229DD"/>
    <w:rsid w:val="00E22D3F"/>
    <w:rsid w:val="00E22E14"/>
    <w:rsid w:val="00E24822"/>
    <w:rsid w:val="00E24DC2"/>
    <w:rsid w:val="00E24DE0"/>
    <w:rsid w:val="00E252CD"/>
    <w:rsid w:val="00E26182"/>
    <w:rsid w:val="00E26725"/>
    <w:rsid w:val="00E27ABA"/>
    <w:rsid w:val="00E3069F"/>
    <w:rsid w:val="00E31866"/>
    <w:rsid w:val="00E3199A"/>
    <w:rsid w:val="00E32DB9"/>
    <w:rsid w:val="00E339B6"/>
    <w:rsid w:val="00E33F0E"/>
    <w:rsid w:val="00E345B1"/>
    <w:rsid w:val="00E354F6"/>
    <w:rsid w:val="00E35DE1"/>
    <w:rsid w:val="00E35DE2"/>
    <w:rsid w:val="00E36441"/>
    <w:rsid w:val="00E40307"/>
    <w:rsid w:val="00E40E18"/>
    <w:rsid w:val="00E4136F"/>
    <w:rsid w:val="00E41DC1"/>
    <w:rsid w:val="00E42240"/>
    <w:rsid w:val="00E426B6"/>
    <w:rsid w:val="00E43C1B"/>
    <w:rsid w:val="00E450F7"/>
    <w:rsid w:val="00E456CE"/>
    <w:rsid w:val="00E45CE9"/>
    <w:rsid w:val="00E460FC"/>
    <w:rsid w:val="00E46159"/>
    <w:rsid w:val="00E46B16"/>
    <w:rsid w:val="00E47793"/>
    <w:rsid w:val="00E47BB3"/>
    <w:rsid w:val="00E47C5F"/>
    <w:rsid w:val="00E47C83"/>
    <w:rsid w:val="00E502C5"/>
    <w:rsid w:val="00E50E5E"/>
    <w:rsid w:val="00E51750"/>
    <w:rsid w:val="00E51766"/>
    <w:rsid w:val="00E51772"/>
    <w:rsid w:val="00E518F3"/>
    <w:rsid w:val="00E51EC1"/>
    <w:rsid w:val="00E52234"/>
    <w:rsid w:val="00E52CAC"/>
    <w:rsid w:val="00E5353D"/>
    <w:rsid w:val="00E53765"/>
    <w:rsid w:val="00E53832"/>
    <w:rsid w:val="00E54AF3"/>
    <w:rsid w:val="00E5548C"/>
    <w:rsid w:val="00E56520"/>
    <w:rsid w:val="00E56A7D"/>
    <w:rsid w:val="00E56CF1"/>
    <w:rsid w:val="00E57681"/>
    <w:rsid w:val="00E60B57"/>
    <w:rsid w:val="00E6123B"/>
    <w:rsid w:val="00E6154F"/>
    <w:rsid w:val="00E616D7"/>
    <w:rsid w:val="00E617EE"/>
    <w:rsid w:val="00E64F5B"/>
    <w:rsid w:val="00E650C5"/>
    <w:rsid w:val="00E6522F"/>
    <w:rsid w:val="00E65258"/>
    <w:rsid w:val="00E668C2"/>
    <w:rsid w:val="00E670D1"/>
    <w:rsid w:val="00E7028E"/>
    <w:rsid w:val="00E702F4"/>
    <w:rsid w:val="00E70413"/>
    <w:rsid w:val="00E70E1D"/>
    <w:rsid w:val="00E71DC8"/>
    <w:rsid w:val="00E72E13"/>
    <w:rsid w:val="00E73B0C"/>
    <w:rsid w:val="00E75BC5"/>
    <w:rsid w:val="00E75F5C"/>
    <w:rsid w:val="00E763D2"/>
    <w:rsid w:val="00E76EFA"/>
    <w:rsid w:val="00E80ED5"/>
    <w:rsid w:val="00E81A23"/>
    <w:rsid w:val="00E823D7"/>
    <w:rsid w:val="00E8277D"/>
    <w:rsid w:val="00E8312B"/>
    <w:rsid w:val="00E842FD"/>
    <w:rsid w:val="00E8607C"/>
    <w:rsid w:val="00E868B5"/>
    <w:rsid w:val="00E8761D"/>
    <w:rsid w:val="00E8797E"/>
    <w:rsid w:val="00E903AD"/>
    <w:rsid w:val="00E90702"/>
    <w:rsid w:val="00E91677"/>
    <w:rsid w:val="00E920FD"/>
    <w:rsid w:val="00E9296C"/>
    <w:rsid w:val="00E93312"/>
    <w:rsid w:val="00E936F5"/>
    <w:rsid w:val="00E93F30"/>
    <w:rsid w:val="00E93F75"/>
    <w:rsid w:val="00E94646"/>
    <w:rsid w:val="00E94A89"/>
    <w:rsid w:val="00E94FD9"/>
    <w:rsid w:val="00E9515A"/>
    <w:rsid w:val="00E95C71"/>
    <w:rsid w:val="00E96494"/>
    <w:rsid w:val="00E9697B"/>
    <w:rsid w:val="00E97372"/>
    <w:rsid w:val="00E979B9"/>
    <w:rsid w:val="00E97BB1"/>
    <w:rsid w:val="00E97D06"/>
    <w:rsid w:val="00E97DC3"/>
    <w:rsid w:val="00EA120C"/>
    <w:rsid w:val="00EA1457"/>
    <w:rsid w:val="00EA1DD4"/>
    <w:rsid w:val="00EA25EB"/>
    <w:rsid w:val="00EA307F"/>
    <w:rsid w:val="00EA390C"/>
    <w:rsid w:val="00EA4182"/>
    <w:rsid w:val="00EA4A26"/>
    <w:rsid w:val="00EA568E"/>
    <w:rsid w:val="00EA5E10"/>
    <w:rsid w:val="00EA6470"/>
    <w:rsid w:val="00EA753F"/>
    <w:rsid w:val="00EA7DB1"/>
    <w:rsid w:val="00EA7EC1"/>
    <w:rsid w:val="00EB002F"/>
    <w:rsid w:val="00EB1204"/>
    <w:rsid w:val="00EB2206"/>
    <w:rsid w:val="00EB2425"/>
    <w:rsid w:val="00EB3447"/>
    <w:rsid w:val="00EB384F"/>
    <w:rsid w:val="00EB40C1"/>
    <w:rsid w:val="00EB4818"/>
    <w:rsid w:val="00EB49BC"/>
    <w:rsid w:val="00EB4C0D"/>
    <w:rsid w:val="00EB5372"/>
    <w:rsid w:val="00EB646D"/>
    <w:rsid w:val="00EC0885"/>
    <w:rsid w:val="00EC0A30"/>
    <w:rsid w:val="00EC0B7A"/>
    <w:rsid w:val="00EC12A5"/>
    <w:rsid w:val="00EC290C"/>
    <w:rsid w:val="00EC30EA"/>
    <w:rsid w:val="00EC3281"/>
    <w:rsid w:val="00EC3B6E"/>
    <w:rsid w:val="00EC540D"/>
    <w:rsid w:val="00EC5715"/>
    <w:rsid w:val="00EC5764"/>
    <w:rsid w:val="00EC6150"/>
    <w:rsid w:val="00ED0A91"/>
    <w:rsid w:val="00ED0E2D"/>
    <w:rsid w:val="00ED2724"/>
    <w:rsid w:val="00ED2811"/>
    <w:rsid w:val="00ED2CA9"/>
    <w:rsid w:val="00ED2E4B"/>
    <w:rsid w:val="00ED3D07"/>
    <w:rsid w:val="00ED41B6"/>
    <w:rsid w:val="00ED46CF"/>
    <w:rsid w:val="00ED4734"/>
    <w:rsid w:val="00ED4C50"/>
    <w:rsid w:val="00ED501B"/>
    <w:rsid w:val="00ED5B08"/>
    <w:rsid w:val="00ED6D34"/>
    <w:rsid w:val="00ED72CA"/>
    <w:rsid w:val="00ED79F0"/>
    <w:rsid w:val="00ED7D7D"/>
    <w:rsid w:val="00EE0297"/>
    <w:rsid w:val="00EE0E92"/>
    <w:rsid w:val="00EE0FED"/>
    <w:rsid w:val="00EE2B65"/>
    <w:rsid w:val="00EE3374"/>
    <w:rsid w:val="00EE5DC8"/>
    <w:rsid w:val="00EE6401"/>
    <w:rsid w:val="00EE772D"/>
    <w:rsid w:val="00EF015D"/>
    <w:rsid w:val="00EF030C"/>
    <w:rsid w:val="00EF0D5C"/>
    <w:rsid w:val="00EF127C"/>
    <w:rsid w:val="00EF20EF"/>
    <w:rsid w:val="00EF20F3"/>
    <w:rsid w:val="00EF2D91"/>
    <w:rsid w:val="00EF333D"/>
    <w:rsid w:val="00EF50BD"/>
    <w:rsid w:val="00EF581C"/>
    <w:rsid w:val="00EF6364"/>
    <w:rsid w:val="00EF67D9"/>
    <w:rsid w:val="00EF6A72"/>
    <w:rsid w:val="00EF6E0E"/>
    <w:rsid w:val="00EF74BD"/>
    <w:rsid w:val="00EF7563"/>
    <w:rsid w:val="00EF7D66"/>
    <w:rsid w:val="00F00294"/>
    <w:rsid w:val="00F004AE"/>
    <w:rsid w:val="00F00BB1"/>
    <w:rsid w:val="00F01498"/>
    <w:rsid w:val="00F01E19"/>
    <w:rsid w:val="00F02477"/>
    <w:rsid w:val="00F0270D"/>
    <w:rsid w:val="00F03A12"/>
    <w:rsid w:val="00F03C80"/>
    <w:rsid w:val="00F03CAB"/>
    <w:rsid w:val="00F043A3"/>
    <w:rsid w:val="00F04A27"/>
    <w:rsid w:val="00F04E43"/>
    <w:rsid w:val="00F07602"/>
    <w:rsid w:val="00F07616"/>
    <w:rsid w:val="00F07815"/>
    <w:rsid w:val="00F101FC"/>
    <w:rsid w:val="00F107DE"/>
    <w:rsid w:val="00F10991"/>
    <w:rsid w:val="00F109C3"/>
    <w:rsid w:val="00F10F6C"/>
    <w:rsid w:val="00F112C2"/>
    <w:rsid w:val="00F1182B"/>
    <w:rsid w:val="00F11E20"/>
    <w:rsid w:val="00F1282F"/>
    <w:rsid w:val="00F1301E"/>
    <w:rsid w:val="00F13D51"/>
    <w:rsid w:val="00F145CF"/>
    <w:rsid w:val="00F149F5"/>
    <w:rsid w:val="00F14CBA"/>
    <w:rsid w:val="00F14F1F"/>
    <w:rsid w:val="00F15154"/>
    <w:rsid w:val="00F16242"/>
    <w:rsid w:val="00F175C6"/>
    <w:rsid w:val="00F17819"/>
    <w:rsid w:val="00F17C55"/>
    <w:rsid w:val="00F20E7A"/>
    <w:rsid w:val="00F212CB"/>
    <w:rsid w:val="00F2172D"/>
    <w:rsid w:val="00F23F74"/>
    <w:rsid w:val="00F24294"/>
    <w:rsid w:val="00F24C14"/>
    <w:rsid w:val="00F25002"/>
    <w:rsid w:val="00F25645"/>
    <w:rsid w:val="00F256B1"/>
    <w:rsid w:val="00F25963"/>
    <w:rsid w:val="00F2665A"/>
    <w:rsid w:val="00F269D5"/>
    <w:rsid w:val="00F26B51"/>
    <w:rsid w:val="00F26BA6"/>
    <w:rsid w:val="00F27621"/>
    <w:rsid w:val="00F27C54"/>
    <w:rsid w:val="00F301BD"/>
    <w:rsid w:val="00F305D1"/>
    <w:rsid w:val="00F325D9"/>
    <w:rsid w:val="00F327BA"/>
    <w:rsid w:val="00F32D92"/>
    <w:rsid w:val="00F32EDF"/>
    <w:rsid w:val="00F33418"/>
    <w:rsid w:val="00F33DC3"/>
    <w:rsid w:val="00F3438A"/>
    <w:rsid w:val="00F35219"/>
    <w:rsid w:val="00F352CD"/>
    <w:rsid w:val="00F352E1"/>
    <w:rsid w:val="00F3671C"/>
    <w:rsid w:val="00F37246"/>
    <w:rsid w:val="00F37DBD"/>
    <w:rsid w:val="00F40968"/>
    <w:rsid w:val="00F41217"/>
    <w:rsid w:val="00F41349"/>
    <w:rsid w:val="00F42AC5"/>
    <w:rsid w:val="00F42B6C"/>
    <w:rsid w:val="00F42DD3"/>
    <w:rsid w:val="00F42F2D"/>
    <w:rsid w:val="00F433C7"/>
    <w:rsid w:val="00F43562"/>
    <w:rsid w:val="00F43640"/>
    <w:rsid w:val="00F439FB"/>
    <w:rsid w:val="00F43E51"/>
    <w:rsid w:val="00F45AEE"/>
    <w:rsid w:val="00F46049"/>
    <w:rsid w:val="00F460AB"/>
    <w:rsid w:val="00F4791C"/>
    <w:rsid w:val="00F51942"/>
    <w:rsid w:val="00F51E55"/>
    <w:rsid w:val="00F522A9"/>
    <w:rsid w:val="00F523FF"/>
    <w:rsid w:val="00F54190"/>
    <w:rsid w:val="00F54AEB"/>
    <w:rsid w:val="00F56190"/>
    <w:rsid w:val="00F571B5"/>
    <w:rsid w:val="00F57DEF"/>
    <w:rsid w:val="00F60324"/>
    <w:rsid w:val="00F60823"/>
    <w:rsid w:val="00F609EC"/>
    <w:rsid w:val="00F60CBF"/>
    <w:rsid w:val="00F618DE"/>
    <w:rsid w:val="00F61CF7"/>
    <w:rsid w:val="00F62EEB"/>
    <w:rsid w:val="00F62FC5"/>
    <w:rsid w:val="00F639C7"/>
    <w:rsid w:val="00F63B2F"/>
    <w:rsid w:val="00F63CEA"/>
    <w:rsid w:val="00F63FB0"/>
    <w:rsid w:val="00F64714"/>
    <w:rsid w:val="00F64F57"/>
    <w:rsid w:val="00F650C0"/>
    <w:rsid w:val="00F65711"/>
    <w:rsid w:val="00F65DBA"/>
    <w:rsid w:val="00F70E9D"/>
    <w:rsid w:val="00F7142B"/>
    <w:rsid w:val="00F7180E"/>
    <w:rsid w:val="00F72491"/>
    <w:rsid w:val="00F72A5D"/>
    <w:rsid w:val="00F72ED4"/>
    <w:rsid w:val="00F73646"/>
    <w:rsid w:val="00F7381B"/>
    <w:rsid w:val="00F742C4"/>
    <w:rsid w:val="00F74624"/>
    <w:rsid w:val="00F74D3E"/>
    <w:rsid w:val="00F74DBD"/>
    <w:rsid w:val="00F750BB"/>
    <w:rsid w:val="00F75418"/>
    <w:rsid w:val="00F7583E"/>
    <w:rsid w:val="00F75D6C"/>
    <w:rsid w:val="00F76169"/>
    <w:rsid w:val="00F76D49"/>
    <w:rsid w:val="00F77053"/>
    <w:rsid w:val="00F77DC0"/>
    <w:rsid w:val="00F8024D"/>
    <w:rsid w:val="00F80547"/>
    <w:rsid w:val="00F8067C"/>
    <w:rsid w:val="00F80B64"/>
    <w:rsid w:val="00F81AB9"/>
    <w:rsid w:val="00F83B1A"/>
    <w:rsid w:val="00F84112"/>
    <w:rsid w:val="00F85165"/>
    <w:rsid w:val="00F85B87"/>
    <w:rsid w:val="00F85E70"/>
    <w:rsid w:val="00F872DF"/>
    <w:rsid w:val="00F90B2F"/>
    <w:rsid w:val="00F91616"/>
    <w:rsid w:val="00F92154"/>
    <w:rsid w:val="00F93E8D"/>
    <w:rsid w:val="00F9417C"/>
    <w:rsid w:val="00F94921"/>
    <w:rsid w:val="00F95F1C"/>
    <w:rsid w:val="00F96BDC"/>
    <w:rsid w:val="00FA02BE"/>
    <w:rsid w:val="00FA06C2"/>
    <w:rsid w:val="00FA0DDB"/>
    <w:rsid w:val="00FA0E69"/>
    <w:rsid w:val="00FA2021"/>
    <w:rsid w:val="00FA2F45"/>
    <w:rsid w:val="00FA3AF5"/>
    <w:rsid w:val="00FA3DC5"/>
    <w:rsid w:val="00FA47C2"/>
    <w:rsid w:val="00FA4C14"/>
    <w:rsid w:val="00FA4F6B"/>
    <w:rsid w:val="00FA6B56"/>
    <w:rsid w:val="00FA70E2"/>
    <w:rsid w:val="00FB2713"/>
    <w:rsid w:val="00FB35CD"/>
    <w:rsid w:val="00FB3723"/>
    <w:rsid w:val="00FB40C8"/>
    <w:rsid w:val="00FB484F"/>
    <w:rsid w:val="00FB4EAB"/>
    <w:rsid w:val="00FB4FD0"/>
    <w:rsid w:val="00FB7676"/>
    <w:rsid w:val="00FB7996"/>
    <w:rsid w:val="00FB7B84"/>
    <w:rsid w:val="00FB7FD7"/>
    <w:rsid w:val="00FC0700"/>
    <w:rsid w:val="00FC0E84"/>
    <w:rsid w:val="00FC1B34"/>
    <w:rsid w:val="00FC2C47"/>
    <w:rsid w:val="00FC301C"/>
    <w:rsid w:val="00FC3B8C"/>
    <w:rsid w:val="00FC48F0"/>
    <w:rsid w:val="00FC548F"/>
    <w:rsid w:val="00FC556A"/>
    <w:rsid w:val="00FC572F"/>
    <w:rsid w:val="00FC584A"/>
    <w:rsid w:val="00FC59EE"/>
    <w:rsid w:val="00FC7695"/>
    <w:rsid w:val="00FC7C5D"/>
    <w:rsid w:val="00FC7D2D"/>
    <w:rsid w:val="00FD0231"/>
    <w:rsid w:val="00FD06A7"/>
    <w:rsid w:val="00FD0D27"/>
    <w:rsid w:val="00FD1B04"/>
    <w:rsid w:val="00FD254E"/>
    <w:rsid w:val="00FD3744"/>
    <w:rsid w:val="00FD3F4C"/>
    <w:rsid w:val="00FD5CB7"/>
    <w:rsid w:val="00FD737A"/>
    <w:rsid w:val="00FD7483"/>
    <w:rsid w:val="00FD7914"/>
    <w:rsid w:val="00FE056E"/>
    <w:rsid w:val="00FE0757"/>
    <w:rsid w:val="00FE0D31"/>
    <w:rsid w:val="00FE0F20"/>
    <w:rsid w:val="00FE187D"/>
    <w:rsid w:val="00FE19A9"/>
    <w:rsid w:val="00FE1A50"/>
    <w:rsid w:val="00FE38B4"/>
    <w:rsid w:val="00FE3B62"/>
    <w:rsid w:val="00FE3E6A"/>
    <w:rsid w:val="00FE4667"/>
    <w:rsid w:val="00FE4691"/>
    <w:rsid w:val="00FE4FD7"/>
    <w:rsid w:val="00FE55D4"/>
    <w:rsid w:val="00FE58BB"/>
    <w:rsid w:val="00FE5C7A"/>
    <w:rsid w:val="00FE5FD1"/>
    <w:rsid w:val="00FE70C0"/>
    <w:rsid w:val="00FE7139"/>
    <w:rsid w:val="00FE722B"/>
    <w:rsid w:val="00FE78AB"/>
    <w:rsid w:val="00FF0B33"/>
    <w:rsid w:val="00FF13CE"/>
    <w:rsid w:val="00FF1AEA"/>
    <w:rsid w:val="00FF1B38"/>
    <w:rsid w:val="00FF1B5B"/>
    <w:rsid w:val="00FF1B98"/>
    <w:rsid w:val="00FF1C00"/>
    <w:rsid w:val="00FF1F90"/>
    <w:rsid w:val="00FF2D29"/>
    <w:rsid w:val="00FF323C"/>
    <w:rsid w:val="00FF3A65"/>
    <w:rsid w:val="00FF44FA"/>
    <w:rsid w:val="00FF4AC0"/>
    <w:rsid w:val="00FF5767"/>
    <w:rsid w:val="00FF6851"/>
    <w:rsid w:val="00FF6CF8"/>
    <w:rsid w:val="00FF6E56"/>
    <w:rsid w:val="00FF78CC"/>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F09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20"/>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nhideWhenUsed="1"/>
    <w:lsdException w:name="toc 6" w:semiHidden="1" w:uiPriority="39" w:unhideWhenUsed="1"/>
    <w:lsdException w:name="toc 7" w:semiHidden="1" w:uiPriority="39"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1CF7"/>
    <w:pPr>
      <w:jc w:val="both"/>
    </w:pPr>
    <w:rPr>
      <w:rFonts w:ascii="Arial" w:eastAsia="Times New Roman" w:hAnsi="Arial" w:cs="Times New Roman"/>
      <w:szCs w:val="20"/>
      <w:lang w:val="en-GB"/>
    </w:rPr>
  </w:style>
  <w:style w:type="paragraph" w:styleId="Heading1">
    <w:name w:val="heading 1"/>
    <w:basedOn w:val="Normal"/>
    <w:next w:val="Normal"/>
    <w:link w:val="Heading1Char"/>
    <w:autoRedefine/>
    <w:uiPriority w:val="99"/>
    <w:qFormat/>
    <w:rsid w:val="00121B7E"/>
    <w:pPr>
      <w:keepNext/>
      <w:numPr>
        <w:numId w:val="21"/>
      </w:numPr>
      <w:spacing w:before="240" w:after="240"/>
      <w:ind w:left="0" w:firstLine="0"/>
      <w:jc w:val="left"/>
      <w:outlineLvl w:val="0"/>
    </w:pPr>
    <w:rPr>
      <w:rFonts w:eastAsia="SimSun"/>
      <w:b/>
      <w:i/>
      <w:kern w:val="28"/>
      <w:sz w:val="32"/>
      <w:szCs w:val="28"/>
    </w:rPr>
  </w:style>
  <w:style w:type="paragraph" w:styleId="Heading2">
    <w:name w:val="heading 2"/>
    <w:aliases w:val="h2"/>
    <w:basedOn w:val="Normal"/>
    <w:next w:val="Normal"/>
    <w:link w:val="Heading2Char1"/>
    <w:uiPriority w:val="99"/>
    <w:qFormat/>
    <w:rsid w:val="00B05F33"/>
    <w:pPr>
      <w:keepNext/>
      <w:keepLines/>
      <w:spacing w:before="120"/>
      <w:outlineLvl w:val="1"/>
    </w:pPr>
    <w:rPr>
      <w:rFonts w:eastAsiaTheme="majorEastAsia" w:cstheme="majorBidi"/>
      <w:b/>
      <w:bCs/>
      <w:color w:val="000000" w:themeColor="text1"/>
      <w:sz w:val="26"/>
      <w:szCs w:val="26"/>
      <w:lang w:val="en-AU"/>
    </w:rPr>
  </w:style>
  <w:style w:type="paragraph" w:styleId="Heading3">
    <w:name w:val="heading 3"/>
    <w:basedOn w:val="Normal"/>
    <w:next w:val="Normal"/>
    <w:link w:val="Heading3Char"/>
    <w:autoRedefine/>
    <w:uiPriority w:val="99"/>
    <w:qFormat/>
    <w:rsid w:val="009C0112"/>
    <w:pPr>
      <w:keepNext/>
      <w:spacing w:before="240" w:after="240"/>
      <w:outlineLvl w:val="2"/>
    </w:pPr>
    <w:rPr>
      <w:rFonts w:eastAsia="SimSun"/>
      <w:b/>
      <w:i/>
      <w:sz w:val="24"/>
      <w:lang w:val="en-US"/>
    </w:rPr>
  </w:style>
  <w:style w:type="paragraph" w:styleId="Heading4">
    <w:name w:val="heading 4"/>
    <w:basedOn w:val="Caption"/>
    <w:next w:val="Normal"/>
    <w:link w:val="Heading4Char"/>
    <w:uiPriority w:val="99"/>
    <w:qFormat/>
    <w:rsid w:val="008A1A24"/>
    <w:pPr>
      <w:outlineLvl w:val="3"/>
    </w:pPr>
    <w:rPr>
      <w:rFonts w:ascii="Arial" w:hAnsi="Arial"/>
      <w:i/>
      <w:sz w:val="22"/>
    </w:rPr>
  </w:style>
  <w:style w:type="paragraph" w:styleId="Heading5">
    <w:name w:val="heading 5"/>
    <w:basedOn w:val="Normal"/>
    <w:next w:val="Normal"/>
    <w:link w:val="Heading5Char"/>
    <w:autoRedefine/>
    <w:uiPriority w:val="99"/>
    <w:qFormat/>
    <w:rsid w:val="008A1A24"/>
    <w:pPr>
      <w:keepNext/>
      <w:outlineLvl w:val="4"/>
    </w:pPr>
    <w:rPr>
      <w:rFonts w:ascii="Gill Sans MT" w:hAnsi="Gill Sans MT"/>
      <w:b/>
      <w:color w:val="000000"/>
    </w:rPr>
  </w:style>
  <w:style w:type="paragraph" w:styleId="Heading6">
    <w:name w:val="heading 6"/>
    <w:aliases w:val="Appendix Heading 1"/>
    <w:next w:val="Normal"/>
    <w:link w:val="Heading6Char"/>
    <w:uiPriority w:val="99"/>
    <w:qFormat/>
    <w:rsid w:val="00F80547"/>
    <w:pPr>
      <w:keepNext/>
      <w:jc w:val="center"/>
      <w:outlineLvl w:val="5"/>
    </w:pPr>
    <w:rPr>
      <w:rFonts w:ascii="Arial" w:eastAsia="SimSun" w:hAnsi="Arial" w:cs="Times New Roman"/>
      <w:color w:val="000000"/>
      <w:sz w:val="40"/>
      <w:szCs w:val="24"/>
      <w:lang w:val="en-GB"/>
    </w:rPr>
  </w:style>
  <w:style w:type="paragraph" w:styleId="Heading7">
    <w:name w:val="heading 7"/>
    <w:aliases w:val="Tables"/>
    <w:basedOn w:val="Normal"/>
    <w:next w:val="Normal"/>
    <w:link w:val="Heading7Char"/>
    <w:uiPriority w:val="99"/>
    <w:qFormat/>
    <w:rsid w:val="008A1A24"/>
    <w:pPr>
      <w:keepNext/>
      <w:outlineLvl w:val="6"/>
    </w:pPr>
    <w:rPr>
      <w:rFonts w:ascii="Arial Narrow" w:hAnsi="Arial Narrow"/>
      <w:sz w:val="20"/>
      <w:szCs w:val="24"/>
    </w:rPr>
  </w:style>
  <w:style w:type="paragraph" w:styleId="Heading8">
    <w:name w:val="heading 8"/>
    <w:basedOn w:val="Normal"/>
    <w:next w:val="Normal"/>
    <w:link w:val="Heading8Char"/>
    <w:uiPriority w:val="99"/>
    <w:qFormat/>
    <w:rsid w:val="008A1A24"/>
    <w:pPr>
      <w:spacing w:before="240" w:after="60"/>
      <w:outlineLvl w:val="7"/>
    </w:pPr>
    <w:rPr>
      <w:rFonts w:ascii="Calibri" w:hAnsi="Calibri"/>
      <w:i/>
      <w:iCs/>
      <w:sz w:val="24"/>
      <w:szCs w:val="24"/>
    </w:rPr>
  </w:style>
  <w:style w:type="paragraph" w:styleId="Heading9">
    <w:name w:val="heading 9"/>
    <w:basedOn w:val="Normal"/>
    <w:next w:val="Normal"/>
    <w:link w:val="Heading9Char"/>
    <w:uiPriority w:val="99"/>
    <w:qFormat/>
    <w:rsid w:val="008A1A24"/>
    <w:pPr>
      <w:keepNext/>
      <w:ind w:left="180"/>
      <w:outlineLvl w:val="8"/>
    </w:pPr>
    <w:rPr>
      <w:rFonts w:ascii="Cambria" w:hAnsi="Cambr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121B7E"/>
    <w:rPr>
      <w:rFonts w:ascii="Arial" w:eastAsia="SimSun" w:hAnsi="Arial" w:cs="Times New Roman"/>
      <w:b/>
      <w:i/>
      <w:kern w:val="28"/>
      <w:sz w:val="32"/>
      <w:szCs w:val="28"/>
      <w:lang w:val="en-GB"/>
    </w:rPr>
  </w:style>
  <w:style w:type="character" w:customStyle="1" w:styleId="Heading2Char">
    <w:name w:val="Heading 2 Char"/>
    <w:aliases w:val="h2 Char"/>
    <w:basedOn w:val="DefaultParagraphFont"/>
    <w:uiPriority w:val="9"/>
    <w:rsid w:val="008A1A24"/>
    <w:rPr>
      <w:rFonts w:asciiTheme="majorHAnsi" w:eastAsiaTheme="majorEastAsia" w:hAnsiTheme="majorHAnsi" w:cstheme="majorBidi"/>
      <w:b/>
      <w:bCs/>
      <w:color w:val="4F81BD" w:themeColor="accent1"/>
      <w:sz w:val="26"/>
      <w:szCs w:val="26"/>
      <w:lang w:val="en-GB"/>
    </w:rPr>
  </w:style>
  <w:style w:type="character" w:customStyle="1" w:styleId="Heading3Char">
    <w:name w:val="Heading 3 Char"/>
    <w:basedOn w:val="DefaultParagraphFont"/>
    <w:link w:val="Heading3"/>
    <w:uiPriority w:val="99"/>
    <w:rsid w:val="009C0112"/>
    <w:rPr>
      <w:rFonts w:ascii="Arial" w:eastAsia="SimSun" w:hAnsi="Arial" w:cs="Times New Roman"/>
      <w:b/>
      <w:i/>
      <w:sz w:val="24"/>
      <w:szCs w:val="20"/>
      <w:lang w:val="en-US"/>
    </w:rPr>
  </w:style>
  <w:style w:type="character" w:customStyle="1" w:styleId="Heading4Char">
    <w:name w:val="Heading 4 Char"/>
    <w:basedOn w:val="DefaultParagraphFont"/>
    <w:link w:val="Heading4"/>
    <w:uiPriority w:val="99"/>
    <w:rsid w:val="008A1A24"/>
    <w:rPr>
      <w:rFonts w:ascii="Arial" w:eastAsia="SimSun" w:hAnsi="Arial" w:cs="Times New Roman"/>
      <w:i/>
      <w:szCs w:val="24"/>
      <w:lang w:val="en-GB"/>
    </w:rPr>
  </w:style>
  <w:style w:type="character" w:customStyle="1" w:styleId="Heading5Char">
    <w:name w:val="Heading 5 Char"/>
    <w:basedOn w:val="DefaultParagraphFont"/>
    <w:link w:val="Heading5"/>
    <w:uiPriority w:val="99"/>
    <w:rsid w:val="008A1A24"/>
    <w:rPr>
      <w:rFonts w:ascii="Gill Sans MT" w:eastAsia="Times New Roman" w:hAnsi="Gill Sans MT" w:cs="Times New Roman"/>
      <w:b/>
      <w:color w:val="000000"/>
      <w:szCs w:val="20"/>
      <w:lang w:val="en-GB"/>
    </w:rPr>
  </w:style>
  <w:style w:type="character" w:customStyle="1" w:styleId="Heading6Char">
    <w:name w:val="Heading 6 Char"/>
    <w:aliases w:val="Appendix Heading 1 Char"/>
    <w:basedOn w:val="DefaultParagraphFont"/>
    <w:link w:val="Heading6"/>
    <w:uiPriority w:val="99"/>
    <w:rsid w:val="00F80547"/>
    <w:rPr>
      <w:rFonts w:ascii="Arial" w:eastAsia="SimSun" w:hAnsi="Arial" w:cs="Times New Roman"/>
      <w:color w:val="000000"/>
      <w:sz w:val="40"/>
      <w:szCs w:val="24"/>
      <w:lang w:val="en-GB"/>
    </w:rPr>
  </w:style>
  <w:style w:type="character" w:customStyle="1" w:styleId="Heading7Char">
    <w:name w:val="Heading 7 Char"/>
    <w:aliases w:val="Tables Char"/>
    <w:basedOn w:val="DefaultParagraphFont"/>
    <w:link w:val="Heading7"/>
    <w:uiPriority w:val="99"/>
    <w:rsid w:val="008A1A24"/>
    <w:rPr>
      <w:rFonts w:ascii="Arial Narrow" w:eastAsia="Times New Roman" w:hAnsi="Arial Narrow" w:cs="Times New Roman"/>
      <w:sz w:val="20"/>
      <w:szCs w:val="24"/>
      <w:lang w:val="en-GB"/>
    </w:rPr>
  </w:style>
  <w:style w:type="character" w:customStyle="1" w:styleId="Heading8Char">
    <w:name w:val="Heading 8 Char"/>
    <w:basedOn w:val="DefaultParagraphFont"/>
    <w:link w:val="Heading8"/>
    <w:uiPriority w:val="99"/>
    <w:rsid w:val="008A1A24"/>
    <w:rPr>
      <w:rFonts w:ascii="Calibri" w:eastAsia="Times New Roman" w:hAnsi="Calibri" w:cs="Times New Roman"/>
      <w:i/>
      <w:iCs/>
      <w:sz w:val="24"/>
      <w:szCs w:val="24"/>
      <w:lang w:val="en-GB"/>
    </w:rPr>
  </w:style>
  <w:style w:type="character" w:customStyle="1" w:styleId="Heading9Char">
    <w:name w:val="Heading 9 Char"/>
    <w:basedOn w:val="DefaultParagraphFont"/>
    <w:link w:val="Heading9"/>
    <w:uiPriority w:val="99"/>
    <w:rsid w:val="008A1A24"/>
    <w:rPr>
      <w:rFonts w:ascii="Cambria" w:eastAsia="Times New Roman" w:hAnsi="Cambria" w:cs="Times New Roman"/>
      <w:sz w:val="20"/>
      <w:szCs w:val="20"/>
      <w:lang w:val="en-GB"/>
    </w:rPr>
  </w:style>
  <w:style w:type="paragraph" w:customStyle="1" w:styleId="References">
    <w:name w:val="References"/>
    <w:basedOn w:val="Normal"/>
    <w:uiPriority w:val="99"/>
    <w:rsid w:val="008A1A24"/>
    <w:pPr>
      <w:ind w:left="288" w:hanging="288"/>
    </w:pPr>
    <w:rPr>
      <w:szCs w:val="22"/>
      <w:lang w:val="en-AU"/>
    </w:rPr>
  </w:style>
  <w:style w:type="character" w:styleId="CommentReference">
    <w:name w:val="annotation reference"/>
    <w:basedOn w:val="DefaultParagraphFont"/>
    <w:uiPriority w:val="99"/>
    <w:rsid w:val="008A1A24"/>
    <w:rPr>
      <w:rFonts w:cs="Times New Roman"/>
      <w:sz w:val="28"/>
    </w:rPr>
  </w:style>
  <w:style w:type="paragraph" w:styleId="CommentText">
    <w:name w:val="annotation text"/>
    <w:basedOn w:val="Normal"/>
    <w:link w:val="CommentTextChar"/>
    <w:uiPriority w:val="99"/>
    <w:rsid w:val="008A1A24"/>
    <w:pPr>
      <w:numPr>
        <w:numId w:val="1"/>
      </w:numPr>
    </w:pPr>
    <w:rPr>
      <w:rFonts w:ascii="Gill Sans MT" w:hAnsi="Gill Sans MT"/>
      <w:sz w:val="20"/>
      <w:lang w:val="en-AU" w:eastAsia="en-AU"/>
    </w:rPr>
  </w:style>
  <w:style w:type="character" w:customStyle="1" w:styleId="CommentTextChar">
    <w:name w:val="Comment Text Char"/>
    <w:basedOn w:val="DefaultParagraphFont"/>
    <w:link w:val="CommentText"/>
    <w:uiPriority w:val="99"/>
    <w:rsid w:val="008A1A24"/>
    <w:rPr>
      <w:rFonts w:ascii="Gill Sans MT" w:eastAsia="Times New Roman" w:hAnsi="Gill Sans MT" w:cs="Times New Roman"/>
      <w:sz w:val="20"/>
      <w:szCs w:val="20"/>
      <w:lang w:eastAsia="en-AU"/>
    </w:rPr>
  </w:style>
  <w:style w:type="paragraph" w:styleId="Footer">
    <w:name w:val="footer"/>
    <w:basedOn w:val="Normal"/>
    <w:link w:val="FooterChar"/>
    <w:uiPriority w:val="99"/>
    <w:rsid w:val="008A1A24"/>
    <w:pPr>
      <w:tabs>
        <w:tab w:val="center" w:pos="4153"/>
        <w:tab w:val="right" w:pos="8306"/>
      </w:tabs>
      <w:spacing w:line="320" w:lineRule="exact"/>
    </w:pPr>
    <w:rPr>
      <w:rFonts w:ascii="Gill Sans MT" w:hAnsi="Gill Sans MT"/>
      <w:sz w:val="20"/>
    </w:rPr>
  </w:style>
  <w:style w:type="character" w:customStyle="1" w:styleId="FooterChar">
    <w:name w:val="Footer Char"/>
    <w:basedOn w:val="DefaultParagraphFont"/>
    <w:link w:val="Footer"/>
    <w:uiPriority w:val="99"/>
    <w:rsid w:val="008A1A24"/>
    <w:rPr>
      <w:rFonts w:ascii="Gill Sans MT" w:eastAsia="Times New Roman" w:hAnsi="Gill Sans MT" w:cs="Times New Roman"/>
      <w:sz w:val="20"/>
      <w:szCs w:val="20"/>
      <w:lang w:val="en-GB"/>
    </w:rPr>
  </w:style>
  <w:style w:type="paragraph" w:customStyle="1" w:styleId="Reportsummary">
    <w:name w:val="Report summary"/>
    <w:basedOn w:val="Normal"/>
    <w:uiPriority w:val="99"/>
    <w:rsid w:val="008A1A24"/>
    <w:pPr>
      <w:tabs>
        <w:tab w:val="num" w:pos="432"/>
      </w:tabs>
      <w:spacing w:after="240"/>
      <w:ind w:left="432" w:hanging="432"/>
    </w:pPr>
    <w:rPr>
      <w:sz w:val="24"/>
    </w:rPr>
  </w:style>
  <w:style w:type="paragraph" w:customStyle="1" w:styleId="Reportrefs">
    <w:name w:val="Report refs"/>
    <w:basedOn w:val="Normal"/>
    <w:uiPriority w:val="99"/>
    <w:rsid w:val="008A1A24"/>
    <w:pPr>
      <w:spacing w:after="180"/>
      <w:ind w:left="432" w:hanging="432"/>
    </w:pPr>
    <w:rPr>
      <w:sz w:val="24"/>
    </w:rPr>
  </w:style>
  <w:style w:type="paragraph" w:styleId="TOC4">
    <w:name w:val="toc 4"/>
    <w:basedOn w:val="Normal"/>
    <w:next w:val="Normal"/>
    <w:autoRedefine/>
    <w:uiPriority w:val="39"/>
    <w:rsid w:val="004F3736"/>
    <w:pPr>
      <w:tabs>
        <w:tab w:val="left" w:pos="1440"/>
        <w:tab w:val="right" w:leader="dot" w:pos="9072"/>
      </w:tabs>
    </w:pPr>
    <w:rPr>
      <w:rFonts w:eastAsiaTheme="majorEastAsia"/>
      <w:noProof/>
      <w:sz w:val="20"/>
      <w:szCs w:val="24"/>
      <w:lang w:val="en-AU"/>
    </w:rPr>
  </w:style>
  <w:style w:type="paragraph" w:customStyle="1" w:styleId="Figure">
    <w:name w:val="Figure"/>
    <w:basedOn w:val="Normal"/>
    <w:link w:val="FigureChar"/>
    <w:rsid w:val="008A1A24"/>
    <w:pPr>
      <w:spacing w:before="120"/>
    </w:pPr>
    <w:rPr>
      <w:rFonts w:ascii="Arial Narrow" w:hAnsi="Arial Narrow"/>
    </w:rPr>
  </w:style>
  <w:style w:type="character" w:customStyle="1" w:styleId="FigureChar">
    <w:name w:val="Figure Char"/>
    <w:link w:val="Figure"/>
    <w:locked/>
    <w:rsid w:val="008A1A24"/>
    <w:rPr>
      <w:rFonts w:ascii="Arial Narrow" w:eastAsia="Times New Roman" w:hAnsi="Arial Narrow" w:cs="Times New Roman"/>
      <w:szCs w:val="20"/>
      <w:lang w:val="en-GB"/>
    </w:rPr>
  </w:style>
  <w:style w:type="paragraph" w:customStyle="1" w:styleId="Table">
    <w:name w:val="Table"/>
    <w:basedOn w:val="Normal"/>
    <w:link w:val="TableChar"/>
    <w:autoRedefine/>
    <w:rsid w:val="008A1A24"/>
    <w:pPr>
      <w:spacing w:before="120"/>
    </w:pPr>
    <w:rPr>
      <w:rFonts w:ascii="Arial Narrow" w:hAnsi="Arial Narrow"/>
    </w:rPr>
  </w:style>
  <w:style w:type="character" w:customStyle="1" w:styleId="TableChar">
    <w:name w:val="Table Char"/>
    <w:link w:val="Table"/>
    <w:locked/>
    <w:rsid w:val="008A1A24"/>
    <w:rPr>
      <w:rFonts w:ascii="Arial Narrow" w:eastAsia="Times New Roman" w:hAnsi="Arial Narrow" w:cs="Times New Roman"/>
      <w:szCs w:val="20"/>
      <w:lang w:val="en-GB"/>
    </w:rPr>
  </w:style>
  <w:style w:type="paragraph" w:customStyle="1" w:styleId="Infopage">
    <w:name w:val="Info page"/>
    <w:basedOn w:val="Normal"/>
    <w:uiPriority w:val="99"/>
    <w:rsid w:val="008A1A24"/>
    <w:rPr>
      <w:rFonts w:ascii="Arial Narrow" w:hAnsi="Arial Narrow"/>
      <w:szCs w:val="22"/>
    </w:rPr>
  </w:style>
  <w:style w:type="paragraph" w:styleId="TOC1">
    <w:name w:val="toc 1"/>
    <w:basedOn w:val="Normal"/>
    <w:next w:val="Normal"/>
    <w:autoRedefine/>
    <w:uiPriority w:val="39"/>
    <w:qFormat/>
    <w:rsid w:val="007C2E42"/>
    <w:pPr>
      <w:tabs>
        <w:tab w:val="left" w:pos="450"/>
        <w:tab w:val="left" w:pos="1100"/>
        <w:tab w:val="right" w:leader="dot" w:pos="9061"/>
      </w:tabs>
      <w:spacing w:after="0"/>
      <w:ind w:right="1134"/>
    </w:pPr>
    <w:rPr>
      <w:noProof/>
    </w:rPr>
  </w:style>
  <w:style w:type="paragraph" w:customStyle="1" w:styleId="TableContents">
    <w:name w:val="Table Contents"/>
    <w:basedOn w:val="Normal"/>
    <w:uiPriority w:val="99"/>
    <w:rsid w:val="008A1A24"/>
    <w:pPr>
      <w:suppressLineNumbers/>
      <w:suppressAutoHyphens/>
      <w:spacing w:after="142" w:line="276" w:lineRule="auto"/>
    </w:pPr>
    <w:rPr>
      <w:rFonts w:ascii="Trebuchet MS" w:hAnsi="Trebuchet MS"/>
      <w:sz w:val="21"/>
      <w:lang w:val="en-US"/>
    </w:rPr>
  </w:style>
  <w:style w:type="paragraph" w:styleId="NormalWeb">
    <w:name w:val="Normal (Web)"/>
    <w:basedOn w:val="Normal"/>
    <w:uiPriority w:val="99"/>
    <w:rsid w:val="008A1A24"/>
    <w:pPr>
      <w:spacing w:before="100" w:beforeAutospacing="1" w:after="100" w:afterAutospacing="1"/>
    </w:pPr>
    <w:rPr>
      <w:rFonts w:ascii="Times New Roman" w:hAnsi="Times New Roman"/>
      <w:sz w:val="24"/>
      <w:szCs w:val="24"/>
      <w:lang w:val="en-AU" w:eastAsia="en-AU"/>
    </w:rPr>
  </w:style>
  <w:style w:type="character" w:styleId="Hyperlink">
    <w:name w:val="Hyperlink"/>
    <w:basedOn w:val="DefaultParagraphFont"/>
    <w:uiPriority w:val="99"/>
    <w:rsid w:val="008A1A24"/>
    <w:rPr>
      <w:rFonts w:cs="Times New Roman"/>
      <w:color w:val="0000FF"/>
      <w:u w:val="single"/>
    </w:rPr>
  </w:style>
  <w:style w:type="paragraph" w:customStyle="1" w:styleId="name1">
    <w:name w:val="name1"/>
    <w:basedOn w:val="Normal"/>
    <w:uiPriority w:val="99"/>
    <w:rsid w:val="008A1A24"/>
    <w:pPr>
      <w:keepNext/>
      <w:tabs>
        <w:tab w:val="left" w:pos="284"/>
        <w:tab w:val="left" w:pos="567"/>
        <w:tab w:val="left" w:pos="851"/>
        <w:tab w:val="left" w:pos="1134"/>
      </w:tabs>
    </w:pPr>
    <w:rPr>
      <w:rFonts w:eastAsia="MS Mincho"/>
      <w:b/>
      <w:sz w:val="20"/>
      <w:lang w:val="en-AU"/>
    </w:rPr>
  </w:style>
  <w:style w:type="paragraph" w:styleId="DocumentMap">
    <w:name w:val="Document Map"/>
    <w:basedOn w:val="Normal"/>
    <w:link w:val="DocumentMapChar"/>
    <w:uiPriority w:val="99"/>
    <w:semiHidden/>
    <w:rsid w:val="008A1A24"/>
    <w:pPr>
      <w:shd w:val="clear" w:color="auto" w:fill="000080"/>
    </w:pPr>
    <w:rPr>
      <w:rFonts w:ascii="Times New Roman" w:hAnsi="Times New Roman"/>
      <w:sz w:val="2"/>
    </w:rPr>
  </w:style>
  <w:style w:type="character" w:customStyle="1" w:styleId="DocumentMapChar">
    <w:name w:val="Document Map Char"/>
    <w:basedOn w:val="DefaultParagraphFont"/>
    <w:link w:val="DocumentMap"/>
    <w:uiPriority w:val="99"/>
    <w:semiHidden/>
    <w:rsid w:val="008A1A24"/>
    <w:rPr>
      <w:rFonts w:ascii="Times New Roman" w:eastAsia="Times New Roman" w:hAnsi="Times New Roman" w:cs="Times New Roman"/>
      <w:sz w:val="2"/>
      <w:szCs w:val="20"/>
      <w:shd w:val="clear" w:color="auto" w:fill="000080"/>
      <w:lang w:val="en-GB"/>
    </w:rPr>
  </w:style>
  <w:style w:type="paragraph" w:styleId="BalloonText">
    <w:name w:val="Balloon Text"/>
    <w:basedOn w:val="Normal"/>
    <w:link w:val="BalloonTextChar"/>
    <w:uiPriority w:val="99"/>
    <w:rsid w:val="008A1A24"/>
    <w:rPr>
      <w:rFonts w:ascii="Times New Roman" w:hAnsi="Times New Roman"/>
      <w:sz w:val="16"/>
    </w:rPr>
  </w:style>
  <w:style w:type="character" w:customStyle="1" w:styleId="BalloonTextChar">
    <w:name w:val="Balloon Text Char"/>
    <w:basedOn w:val="DefaultParagraphFont"/>
    <w:link w:val="BalloonText"/>
    <w:uiPriority w:val="99"/>
    <w:rsid w:val="008A1A24"/>
    <w:rPr>
      <w:rFonts w:ascii="Times New Roman" w:eastAsia="Times New Roman" w:hAnsi="Times New Roman" w:cs="Times New Roman"/>
      <w:sz w:val="16"/>
      <w:szCs w:val="20"/>
      <w:lang w:val="en-GB"/>
    </w:rPr>
  </w:style>
  <w:style w:type="paragraph" w:styleId="Title">
    <w:name w:val="Title"/>
    <w:basedOn w:val="Normal"/>
    <w:link w:val="TitleChar"/>
    <w:uiPriority w:val="99"/>
    <w:qFormat/>
    <w:rsid w:val="008A1A24"/>
    <w:pPr>
      <w:jc w:val="center"/>
    </w:pPr>
    <w:rPr>
      <w:rFonts w:ascii="Cambria" w:hAnsi="Cambria"/>
      <w:b/>
      <w:bCs/>
      <w:kern w:val="28"/>
      <w:sz w:val="32"/>
      <w:szCs w:val="32"/>
    </w:rPr>
  </w:style>
  <w:style w:type="character" w:customStyle="1" w:styleId="TitleChar">
    <w:name w:val="Title Char"/>
    <w:basedOn w:val="DefaultParagraphFont"/>
    <w:link w:val="Title"/>
    <w:uiPriority w:val="99"/>
    <w:rsid w:val="008A1A24"/>
    <w:rPr>
      <w:rFonts w:ascii="Cambria" w:eastAsia="Times New Roman" w:hAnsi="Cambria" w:cs="Times New Roman"/>
      <w:b/>
      <w:bCs/>
      <w:kern w:val="28"/>
      <w:sz w:val="32"/>
      <w:szCs w:val="32"/>
      <w:lang w:val="en-GB"/>
    </w:rPr>
  </w:style>
  <w:style w:type="character" w:styleId="PageNumber">
    <w:name w:val="page number"/>
    <w:basedOn w:val="DefaultParagraphFont"/>
    <w:uiPriority w:val="99"/>
    <w:rsid w:val="008A1A24"/>
    <w:rPr>
      <w:rFonts w:cs="Times New Roman"/>
    </w:rPr>
  </w:style>
  <w:style w:type="paragraph" w:styleId="TOC2">
    <w:name w:val="toc 2"/>
    <w:basedOn w:val="Normal"/>
    <w:next w:val="Normal"/>
    <w:uiPriority w:val="39"/>
    <w:qFormat/>
    <w:rsid w:val="003E02BD"/>
    <w:pPr>
      <w:tabs>
        <w:tab w:val="left" w:pos="720"/>
        <w:tab w:val="right" w:leader="dot" w:pos="9072"/>
      </w:tabs>
      <w:ind w:left="216" w:right="432"/>
    </w:pPr>
  </w:style>
  <w:style w:type="paragraph" w:styleId="TOC3">
    <w:name w:val="toc 3"/>
    <w:basedOn w:val="Normal"/>
    <w:next w:val="Normal"/>
    <w:autoRedefine/>
    <w:uiPriority w:val="39"/>
    <w:qFormat/>
    <w:rsid w:val="00EF2D91"/>
    <w:pPr>
      <w:tabs>
        <w:tab w:val="left" w:pos="450"/>
        <w:tab w:val="left" w:pos="720"/>
        <w:tab w:val="right" w:leader="dot" w:pos="9061"/>
      </w:tabs>
      <w:spacing w:after="0"/>
      <w:ind w:left="1134" w:right="1134" w:hanging="567"/>
    </w:pPr>
    <w:rPr>
      <w:rFonts w:eastAsia="SimSun"/>
      <w:noProof/>
      <w:color w:val="000000" w:themeColor="text1"/>
    </w:rPr>
  </w:style>
  <w:style w:type="paragraph" w:styleId="TOC5">
    <w:name w:val="toc 5"/>
    <w:basedOn w:val="Normal"/>
    <w:next w:val="Normal"/>
    <w:autoRedefine/>
    <w:uiPriority w:val="99"/>
    <w:semiHidden/>
    <w:rsid w:val="008A1A24"/>
    <w:pPr>
      <w:ind w:left="880"/>
    </w:pPr>
  </w:style>
  <w:style w:type="paragraph" w:customStyle="1" w:styleId="StyleTitleOptimum">
    <w:name w:val="Style Title + Optimum"/>
    <w:basedOn w:val="Title"/>
    <w:uiPriority w:val="99"/>
    <w:rsid w:val="008A1A24"/>
    <w:rPr>
      <w:rFonts w:ascii="Arial Black" w:hAnsi="Arial Black"/>
      <w:b w:val="0"/>
    </w:rPr>
  </w:style>
  <w:style w:type="paragraph" w:customStyle="1" w:styleId="StyleHeading5Optimum">
    <w:name w:val="Style Heading 5 + Optimum"/>
    <w:basedOn w:val="Heading5"/>
    <w:uiPriority w:val="99"/>
    <w:rsid w:val="008A1A24"/>
    <w:pPr>
      <w:spacing w:after="60"/>
    </w:pPr>
    <w:rPr>
      <w:bCs/>
      <w:i/>
      <w:sz w:val="32"/>
    </w:rPr>
  </w:style>
  <w:style w:type="paragraph" w:customStyle="1" w:styleId="StyleHeading4After6pt">
    <w:name w:val="Style Heading 4 + After:  6 pt"/>
    <w:basedOn w:val="Heading4"/>
    <w:uiPriority w:val="99"/>
    <w:rsid w:val="008A1A24"/>
    <w:rPr>
      <w:b/>
      <w:bCs/>
      <w:i w:val="0"/>
      <w:iCs/>
    </w:rPr>
  </w:style>
  <w:style w:type="character" w:customStyle="1" w:styleId="pubref">
    <w:name w:val="pubref"/>
    <w:rsid w:val="008A1A24"/>
  </w:style>
  <w:style w:type="paragraph" w:styleId="FootnoteText">
    <w:name w:val="footnote text"/>
    <w:basedOn w:val="Normal"/>
    <w:link w:val="FootnoteTextChar"/>
    <w:uiPriority w:val="99"/>
    <w:rsid w:val="008A1A24"/>
    <w:rPr>
      <w:rFonts w:ascii="Gill Sans MT" w:hAnsi="Gill Sans MT"/>
      <w:sz w:val="20"/>
    </w:rPr>
  </w:style>
  <w:style w:type="character" w:customStyle="1" w:styleId="FootnoteTextChar">
    <w:name w:val="Footnote Text Char"/>
    <w:basedOn w:val="DefaultParagraphFont"/>
    <w:link w:val="FootnoteText"/>
    <w:uiPriority w:val="99"/>
    <w:rsid w:val="008A1A24"/>
    <w:rPr>
      <w:rFonts w:ascii="Gill Sans MT" w:eastAsia="Times New Roman" w:hAnsi="Gill Sans MT" w:cs="Times New Roman"/>
      <w:sz w:val="20"/>
      <w:szCs w:val="20"/>
      <w:lang w:val="en-GB"/>
    </w:rPr>
  </w:style>
  <w:style w:type="paragraph" w:styleId="ListBullet2">
    <w:name w:val="List Bullet 2"/>
    <w:basedOn w:val="Normal"/>
    <w:uiPriority w:val="99"/>
    <w:rsid w:val="008A1A24"/>
    <w:pPr>
      <w:tabs>
        <w:tab w:val="num" w:pos="432"/>
      </w:tabs>
      <w:spacing w:before="120"/>
      <w:ind w:left="432" w:hanging="432"/>
    </w:pPr>
    <w:rPr>
      <w:rFonts w:ascii="Optimum" w:hAnsi="Optimum"/>
      <w:szCs w:val="24"/>
      <w:lang w:val="en-AU"/>
    </w:rPr>
  </w:style>
  <w:style w:type="paragraph" w:styleId="PlainText">
    <w:name w:val="Plain Text"/>
    <w:basedOn w:val="Normal"/>
    <w:link w:val="PlainTextChar"/>
    <w:uiPriority w:val="99"/>
    <w:rsid w:val="008A1A24"/>
    <w:rPr>
      <w:rFonts w:ascii="Courier New" w:hAnsi="Courier New"/>
      <w:sz w:val="20"/>
    </w:rPr>
  </w:style>
  <w:style w:type="character" w:customStyle="1" w:styleId="PlainTextChar">
    <w:name w:val="Plain Text Char"/>
    <w:basedOn w:val="DefaultParagraphFont"/>
    <w:link w:val="PlainText"/>
    <w:uiPriority w:val="99"/>
    <w:rsid w:val="008A1A24"/>
    <w:rPr>
      <w:rFonts w:ascii="Courier New" w:eastAsia="Times New Roman" w:hAnsi="Courier New" w:cs="Times New Roman"/>
      <w:sz w:val="20"/>
      <w:szCs w:val="20"/>
      <w:lang w:val="en-GB"/>
    </w:rPr>
  </w:style>
  <w:style w:type="paragraph" w:customStyle="1" w:styleId="references0">
    <w:name w:val="references"/>
    <w:basedOn w:val="Normal"/>
    <w:uiPriority w:val="99"/>
    <w:rsid w:val="008A1A24"/>
    <w:pPr>
      <w:spacing w:before="100" w:beforeAutospacing="1" w:after="100" w:afterAutospacing="1"/>
    </w:pPr>
    <w:rPr>
      <w:rFonts w:ascii="Arial Unicode MS" w:eastAsia="Arial Unicode MS" w:hAnsi="Arial Unicode MS" w:cs="Arial Unicode MS"/>
      <w:sz w:val="24"/>
      <w:szCs w:val="24"/>
      <w:lang w:val="en-AU"/>
    </w:rPr>
  </w:style>
  <w:style w:type="paragraph" w:customStyle="1" w:styleId="Heading54">
    <w:name w:val="Heading 54"/>
    <w:basedOn w:val="Heading5"/>
    <w:uiPriority w:val="99"/>
    <w:rsid w:val="008A1A24"/>
    <w:pPr>
      <w:keepNext w:val="0"/>
      <w:spacing w:before="240" w:after="60"/>
    </w:pPr>
    <w:rPr>
      <w:rFonts w:ascii="Times New Roman" w:hAnsi="Times New Roman"/>
      <w:bCs/>
      <w:i/>
      <w:iCs/>
      <w:sz w:val="24"/>
      <w:szCs w:val="24"/>
      <w:u w:val="single"/>
      <w:lang w:val="en-AU"/>
    </w:rPr>
  </w:style>
  <w:style w:type="paragraph" w:customStyle="1" w:styleId="xl551">
    <w:name w:val="xl551"/>
    <w:basedOn w:val="Normal"/>
    <w:uiPriority w:val="99"/>
    <w:rsid w:val="008A1A24"/>
    <w:pPr>
      <w:pBdr>
        <w:top w:val="single" w:sz="8" w:space="0" w:color="auto"/>
        <w:left w:val="single" w:sz="8" w:space="0" w:color="auto"/>
        <w:right w:val="single" w:sz="4" w:space="0" w:color="C0C0C0"/>
      </w:pBdr>
      <w:spacing w:before="100" w:beforeAutospacing="1" w:after="100" w:afterAutospacing="1"/>
      <w:jc w:val="center"/>
      <w:textAlignment w:val="center"/>
    </w:pPr>
    <w:rPr>
      <w:rFonts w:eastAsia="Arial Unicode MS" w:cs="Arial"/>
      <w:color w:val="000000"/>
      <w:sz w:val="18"/>
      <w:szCs w:val="18"/>
      <w:lang w:val="en-AU"/>
    </w:rPr>
  </w:style>
  <w:style w:type="paragraph" w:customStyle="1" w:styleId="xl741">
    <w:name w:val="xl741"/>
    <w:basedOn w:val="Normal"/>
    <w:uiPriority w:val="99"/>
    <w:rsid w:val="008A1A24"/>
    <w:pPr>
      <w:pBdr>
        <w:bottom w:val="single" w:sz="8" w:space="0" w:color="auto"/>
      </w:pBdr>
      <w:spacing w:before="100" w:beforeAutospacing="1" w:after="100" w:afterAutospacing="1"/>
    </w:pPr>
    <w:rPr>
      <w:rFonts w:ascii="Arial Unicode MS" w:eastAsia="Arial Unicode MS" w:hAnsi="Arial Unicode MS" w:cs="Arial Unicode MS"/>
      <w:sz w:val="24"/>
      <w:szCs w:val="24"/>
      <w:lang w:val="en-AU"/>
    </w:rPr>
  </w:style>
  <w:style w:type="paragraph" w:customStyle="1" w:styleId="xl251">
    <w:name w:val="xl251"/>
    <w:basedOn w:val="Normal"/>
    <w:uiPriority w:val="99"/>
    <w:rsid w:val="008A1A24"/>
    <w:pPr>
      <w:spacing w:before="100" w:beforeAutospacing="1" w:after="100" w:afterAutospacing="1"/>
      <w:jc w:val="center"/>
      <w:textAlignment w:val="center"/>
    </w:pPr>
    <w:rPr>
      <w:rFonts w:eastAsia="Arial Unicode MS" w:cs="Arial"/>
      <w:sz w:val="16"/>
      <w:szCs w:val="16"/>
      <w:lang w:val="en-AU"/>
    </w:rPr>
  </w:style>
  <w:style w:type="character" w:styleId="Strong">
    <w:name w:val="Strong"/>
    <w:basedOn w:val="DefaultParagraphFont"/>
    <w:uiPriority w:val="22"/>
    <w:qFormat/>
    <w:rsid w:val="008A1A24"/>
    <w:rPr>
      <w:rFonts w:cs="Times New Roman"/>
      <w:b/>
    </w:rPr>
  </w:style>
  <w:style w:type="paragraph" w:customStyle="1" w:styleId="Style2">
    <w:name w:val="Style2"/>
    <w:basedOn w:val="Heading5"/>
    <w:uiPriority w:val="99"/>
    <w:rsid w:val="008A1A24"/>
    <w:pPr>
      <w:keepNext w:val="0"/>
      <w:spacing w:before="240" w:after="60"/>
    </w:pPr>
    <w:rPr>
      <w:rFonts w:ascii="Times New Roman" w:hAnsi="Times New Roman"/>
      <w:bCs/>
      <w:i/>
      <w:iCs/>
      <w:sz w:val="24"/>
      <w:szCs w:val="24"/>
      <w:u w:val="single"/>
      <w:lang w:val="en-AU"/>
    </w:rPr>
  </w:style>
  <w:style w:type="paragraph" w:customStyle="1" w:styleId="Style3">
    <w:name w:val="Style3"/>
    <w:basedOn w:val="Heading5"/>
    <w:uiPriority w:val="99"/>
    <w:rsid w:val="008A1A24"/>
    <w:pPr>
      <w:keepNext w:val="0"/>
      <w:spacing w:before="240" w:after="60"/>
    </w:pPr>
    <w:rPr>
      <w:rFonts w:ascii="Times New Roman" w:hAnsi="Times New Roman"/>
      <w:bCs/>
      <w:i/>
      <w:iCs/>
      <w:sz w:val="24"/>
      <w:szCs w:val="24"/>
      <w:u w:val="single"/>
      <w:lang w:val="en-AU"/>
    </w:rPr>
  </w:style>
  <w:style w:type="paragraph" w:customStyle="1" w:styleId="Style4">
    <w:name w:val="Style4"/>
    <w:basedOn w:val="Heading5"/>
    <w:autoRedefine/>
    <w:uiPriority w:val="99"/>
    <w:rsid w:val="008A1A24"/>
    <w:pPr>
      <w:keepNext w:val="0"/>
      <w:spacing w:before="240" w:after="60"/>
    </w:pPr>
    <w:rPr>
      <w:rFonts w:ascii="Times New Roman" w:hAnsi="Times New Roman"/>
      <w:bCs/>
      <w:i/>
      <w:iCs/>
      <w:sz w:val="24"/>
      <w:szCs w:val="24"/>
      <w:u w:val="single"/>
      <w:lang w:val="en-AU"/>
    </w:rPr>
  </w:style>
  <w:style w:type="paragraph" w:styleId="BodyTextIndent">
    <w:name w:val="Body Text Indent"/>
    <w:basedOn w:val="Normal"/>
    <w:link w:val="BodyTextIndentChar"/>
    <w:uiPriority w:val="99"/>
    <w:rsid w:val="008A1A24"/>
    <w:pPr>
      <w:ind w:left="283"/>
    </w:pPr>
    <w:rPr>
      <w:rFonts w:ascii="Gill Sans MT" w:hAnsi="Gill Sans MT"/>
      <w:sz w:val="20"/>
    </w:rPr>
  </w:style>
  <w:style w:type="character" w:customStyle="1" w:styleId="BodyTextIndentChar">
    <w:name w:val="Body Text Indent Char"/>
    <w:basedOn w:val="DefaultParagraphFont"/>
    <w:link w:val="BodyTextIndent"/>
    <w:uiPriority w:val="99"/>
    <w:rsid w:val="008A1A24"/>
    <w:rPr>
      <w:rFonts w:ascii="Gill Sans MT" w:eastAsia="Times New Roman" w:hAnsi="Gill Sans MT" w:cs="Times New Roman"/>
      <w:sz w:val="20"/>
      <w:szCs w:val="20"/>
      <w:lang w:val="en-GB"/>
    </w:rPr>
  </w:style>
  <w:style w:type="paragraph" w:customStyle="1" w:styleId="TOCfig-table">
    <w:name w:val="TOC fig-table"/>
    <w:basedOn w:val="Normal"/>
    <w:uiPriority w:val="99"/>
    <w:rsid w:val="008A1A24"/>
    <w:pPr>
      <w:tabs>
        <w:tab w:val="left" w:pos="1152"/>
        <w:tab w:val="right" w:leader="dot" w:pos="8640"/>
      </w:tabs>
      <w:spacing w:before="120"/>
      <w:ind w:left="1152" w:right="720" w:hanging="1152"/>
    </w:pPr>
    <w:rPr>
      <w:b/>
      <w:sz w:val="20"/>
    </w:rPr>
  </w:style>
  <w:style w:type="table" w:styleId="TableGrid">
    <w:name w:val="Table Grid"/>
    <w:basedOn w:val="TableNormal"/>
    <w:uiPriority w:val="59"/>
    <w:rsid w:val="008A1A24"/>
    <w:pPr>
      <w:spacing w:after="0"/>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TOC7"/>
    <w:next w:val="Normal"/>
    <w:link w:val="TableofFiguresChar"/>
    <w:uiPriority w:val="99"/>
    <w:rsid w:val="00E4136F"/>
    <w:pPr>
      <w:tabs>
        <w:tab w:val="clear" w:pos="709"/>
        <w:tab w:val="right" w:leader="dot" w:pos="9629"/>
      </w:tabs>
      <w:spacing w:after="0"/>
      <w:ind w:left="440" w:hanging="440"/>
    </w:pPr>
    <w:rPr>
      <w:rFonts w:eastAsiaTheme="majorEastAsia" w:cs="Arial"/>
      <w:bCs/>
      <w:noProof/>
      <w:sz w:val="22"/>
    </w:rPr>
  </w:style>
  <w:style w:type="paragraph" w:styleId="Header">
    <w:name w:val="header"/>
    <w:basedOn w:val="Normal"/>
    <w:link w:val="HeaderChar"/>
    <w:uiPriority w:val="99"/>
    <w:rsid w:val="008A1A24"/>
    <w:pPr>
      <w:pBdr>
        <w:bottom w:val="single" w:sz="4" w:space="1" w:color="auto"/>
      </w:pBdr>
      <w:tabs>
        <w:tab w:val="right" w:pos="8496"/>
      </w:tabs>
    </w:pPr>
    <w:rPr>
      <w:rFonts w:ascii="Gill Sans MT" w:hAnsi="Gill Sans MT"/>
      <w:sz w:val="20"/>
    </w:rPr>
  </w:style>
  <w:style w:type="character" w:customStyle="1" w:styleId="HeaderChar">
    <w:name w:val="Header Char"/>
    <w:basedOn w:val="DefaultParagraphFont"/>
    <w:link w:val="Header"/>
    <w:uiPriority w:val="99"/>
    <w:rsid w:val="008A1A24"/>
    <w:rPr>
      <w:rFonts w:ascii="Gill Sans MT" w:eastAsia="Times New Roman" w:hAnsi="Gill Sans MT" w:cs="Times New Roman"/>
      <w:sz w:val="20"/>
      <w:szCs w:val="20"/>
      <w:lang w:val="en-GB"/>
    </w:rPr>
  </w:style>
  <w:style w:type="paragraph" w:customStyle="1" w:styleId="Head4">
    <w:name w:val="Head 4"/>
    <w:basedOn w:val="Heading3"/>
    <w:uiPriority w:val="99"/>
    <w:rsid w:val="008A1A24"/>
    <w:pPr>
      <w:spacing w:before="120"/>
      <w:outlineLvl w:val="9"/>
    </w:pPr>
    <w:rPr>
      <w:b w:val="0"/>
      <w:smallCaps/>
      <w:sz w:val="22"/>
      <w:u w:val="single"/>
    </w:rPr>
  </w:style>
  <w:style w:type="paragraph" w:customStyle="1" w:styleId="Bodytxt">
    <w:name w:val="Body txt"/>
    <w:basedOn w:val="Normal"/>
    <w:uiPriority w:val="99"/>
    <w:rsid w:val="008A1A24"/>
    <w:pPr>
      <w:spacing w:line="320" w:lineRule="exact"/>
    </w:pPr>
  </w:style>
  <w:style w:type="paragraph" w:styleId="BodyText">
    <w:name w:val="Body Text"/>
    <w:basedOn w:val="Normal"/>
    <w:link w:val="BodyTextChar"/>
    <w:uiPriority w:val="99"/>
    <w:rsid w:val="008A1A24"/>
    <w:pPr>
      <w:autoSpaceDE w:val="0"/>
      <w:autoSpaceDN w:val="0"/>
      <w:adjustRightInd w:val="0"/>
      <w:spacing w:line="360" w:lineRule="auto"/>
    </w:pPr>
    <w:rPr>
      <w:rFonts w:ascii="Gill Sans MT" w:hAnsi="Gill Sans MT"/>
      <w:sz w:val="20"/>
    </w:rPr>
  </w:style>
  <w:style w:type="character" w:customStyle="1" w:styleId="BodyTextChar">
    <w:name w:val="Body Text Char"/>
    <w:basedOn w:val="DefaultParagraphFont"/>
    <w:link w:val="BodyText"/>
    <w:uiPriority w:val="99"/>
    <w:rsid w:val="008A1A24"/>
    <w:rPr>
      <w:rFonts w:ascii="Gill Sans MT" w:eastAsia="Times New Roman" w:hAnsi="Gill Sans MT" w:cs="Times New Roman"/>
      <w:sz w:val="20"/>
      <w:szCs w:val="20"/>
      <w:lang w:val="en-GB"/>
    </w:rPr>
  </w:style>
  <w:style w:type="character" w:customStyle="1" w:styleId="CharChar">
    <w:name w:val="Char Char"/>
    <w:uiPriority w:val="99"/>
    <w:rsid w:val="008A1A24"/>
    <w:rPr>
      <w:rFonts w:ascii="Arial" w:hAnsi="Arial"/>
      <w:b/>
      <w:kern w:val="32"/>
      <w:sz w:val="32"/>
      <w:lang w:val="en-AU" w:eastAsia="en-US"/>
    </w:rPr>
  </w:style>
  <w:style w:type="paragraph" w:styleId="BodyTextIndent2">
    <w:name w:val="Body Text Indent 2"/>
    <w:basedOn w:val="Normal"/>
    <w:link w:val="BodyTextIndent2Char"/>
    <w:uiPriority w:val="99"/>
    <w:rsid w:val="008A1A24"/>
    <w:pPr>
      <w:tabs>
        <w:tab w:val="left" w:pos="993"/>
      </w:tabs>
      <w:ind w:left="1704" w:hanging="1704"/>
    </w:pPr>
    <w:rPr>
      <w:rFonts w:ascii="Gill Sans MT" w:hAnsi="Gill Sans MT"/>
      <w:sz w:val="20"/>
    </w:rPr>
  </w:style>
  <w:style w:type="character" w:customStyle="1" w:styleId="BodyTextIndent2Char">
    <w:name w:val="Body Text Indent 2 Char"/>
    <w:basedOn w:val="DefaultParagraphFont"/>
    <w:link w:val="BodyTextIndent2"/>
    <w:uiPriority w:val="99"/>
    <w:rsid w:val="008A1A24"/>
    <w:rPr>
      <w:rFonts w:ascii="Gill Sans MT" w:eastAsia="Times New Roman" w:hAnsi="Gill Sans MT" w:cs="Times New Roman"/>
      <w:sz w:val="20"/>
      <w:szCs w:val="20"/>
      <w:lang w:val="en-GB"/>
    </w:rPr>
  </w:style>
  <w:style w:type="character" w:customStyle="1" w:styleId="CaptionChar">
    <w:name w:val="Caption Char"/>
    <w:uiPriority w:val="99"/>
    <w:rsid w:val="008A1A24"/>
    <w:rPr>
      <w:rFonts w:eastAsia="SimSun"/>
      <w:sz w:val="24"/>
      <w:lang w:val="en-GB" w:eastAsia="en-US"/>
    </w:rPr>
  </w:style>
  <w:style w:type="paragraph" w:styleId="BodyText2">
    <w:name w:val="Body Text 2"/>
    <w:basedOn w:val="Normal"/>
    <w:link w:val="BodyText2Char"/>
    <w:uiPriority w:val="99"/>
    <w:rsid w:val="008A1A24"/>
    <w:pPr>
      <w:spacing w:line="480" w:lineRule="auto"/>
    </w:pPr>
    <w:rPr>
      <w:rFonts w:ascii="Times New Roman" w:hAnsi="Times New Roman"/>
      <w:sz w:val="24"/>
      <w:szCs w:val="24"/>
      <w:lang w:val="en-AU"/>
    </w:rPr>
  </w:style>
  <w:style w:type="character" w:customStyle="1" w:styleId="BodyText2Char">
    <w:name w:val="Body Text 2 Char"/>
    <w:basedOn w:val="DefaultParagraphFont"/>
    <w:link w:val="BodyText2"/>
    <w:uiPriority w:val="99"/>
    <w:rsid w:val="008A1A24"/>
    <w:rPr>
      <w:rFonts w:ascii="Times New Roman" w:eastAsia="Times New Roman" w:hAnsi="Times New Roman" w:cs="Times New Roman"/>
      <w:sz w:val="24"/>
      <w:szCs w:val="24"/>
    </w:rPr>
  </w:style>
  <w:style w:type="character" w:styleId="Emphasis">
    <w:name w:val="Emphasis"/>
    <w:basedOn w:val="DefaultParagraphFont"/>
    <w:uiPriority w:val="20"/>
    <w:qFormat/>
    <w:rsid w:val="008A1A24"/>
    <w:rPr>
      <w:rFonts w:cs="Times New Roman"/>
      <w:i/>
    </w:rPr>
  </w:style>
  <w:style w:type="character" w:customStyle="1" w:styleId="CharChar1">
    <w:name w:val="Char Char1"/>
    <w:uiPriority w:val="99"/>
    <w:rsid w:val="008A1A24"/>
    <w:rPr>
      <w:rFonts w:ascii="Arial" w:eastAsia="MS Mincho" w:hAnsi="Arial"/>
      <w:b/>
      <w:kern w:val="32"/>
      <w:sz w:val="32"/>
      <w:lang w:val="en-AU" w:eastAsia="ja-JP"/>
    </w:rPr>
  </w:style>
  <w:style w:type="paragraph" w:styleId="BodyTextIndent3">
    <w:name w:val="Body Text Indent 3"/>
    <w:basedOn w:val="Normal"/>
    <w:link w:val="BodyTextIndent3Char"/>
    <w:uiPriority w:val="99"/>
    <w:rsid w:val="008A1A24"/>
    <w:pPr>
      <w:ind w:left="283"/>
    </w:pPr>
    <w:rPr>
      <w:rFonts w:ascii="Gill Sans MT" w:hAnsi="Gill Sans MT"/>
      <w:sz w:val="16"/>
      <w:szCs w:val="16"/>
    </w:rPr>
  </w:style>
  <w:style w:type="character" w:customStyle="1" w:styleId="BodyTextIndent3Char">
    <w:name w:val="Body Text Indent 3 Char"/>
    <w:basedOn w:val="DefaultParagraphFont"/>
    <w:link w:val="BodyTextIndent3"/>
    <w:uiPriority w:val="99"/>
    <w:rsid w:val="008A1A24"/>
    <w:rPr>
      <w:rFonts w:ascii="Gill Sans MT" w:eastAsia="Times New Roman" w:hAnsi="Gill Sans MT" w:cs="Times New Roman"/>
      <w:sz w:val="16"/>
      <w:szCs w:val="16"/>
      <w:lang w:val="en-GB"/>
    </w:rPr>
  </w:style>
  <w:style w:type="paragraph" w:styleId="CommentSubject">
    <w:name w:val="annotation subject"/>
    <w:basedOn w:val="CommentText"/>
    <w:next w:val="CommentText"/>
    <w:link w:val="CommentSubjectChar"/>
    <w:uiPriority w:val="99"/>
    <w:semiHidden/>
    <w:rsid w:val="008A1A24"/>
    <w:rPr>
      <w:b/>
      <w:bCs/>
    </w:rPr>
  </w:style>
  <w:style w:type="character" w:customStyle="1" w:styleId="CommentSubjectChar">
    <w:name w:val="Comment Subject Char"/>
    <w:basedOn w:val="CommentTextChar"/>
    <w:link w:val="CommentSubject"/>
    <w:uiPriority w:val="99"/>
    <w:semiHidden/>
    <w:rsid w:val="008A1A24"/>
    <w:rPr>
      <w:rFonts w:ascii="Gill Sans MT" w:eastAsia="Times New Roman" w:hAnsi="Gill Sans MT" w:cs="Times New Roman"/>
      <w:b/>
      <w:bCs/>
      <w:sz w:val="20"/>
      <w:szCs w:val="20"/>
      <w:lang w:eastAsia="en-AU"/>
    </w:rPr>
  </w:style>
  <w:style w:type="paragraph" w:styleId="Caption">
    <w:name w:val="caption"/>
    <w:aliases w:val="Fig title,Figures"/>
    <w:next w:val="Normal"/>
    <w:autoRedefine/>
    <w:uiPriority w:val="99"/>
    <w:qFormat/>
    <w:rsid w:val="00606A50"/>
    <w:pPr>
      <w:keepLines/>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pPr>
    <w:rPr>
      <w:rFonts w:ascii="Arial Narrow" w:eastAsia="SimSun" w:hAnsi="Arial Narrow" w:cs="Times New Roman"/>
      <w:sz w:val="20"/>
      <w:szCs w:val="24"/>
      <w:lang w:val="en-GB"/>
    </w:rPr>
  </w:style>
  <w:style w:type="paragraph" w:customStyle="1" w:styleId="Captions">
    <w:name w:val="Captions"/>
    <w:basedOn w:val="Normal"/>
    <w:uiPriority w:val="99"/>
    <w:semiHidden/>
    <w:rsid w:val="008A1A24"/>
    <w:rPr>
      <w:rFonts w:ascii="Times New Roman" w:hAnsi="Times New Roman"/>
      <w:i/>
      <w:sz w:val="24"/>
      <w:szCs w:val="24"/>
      <w:lang w:val="en-AU"/>
    </w:rPr>
  </w:style>
  <w:style w:type="paragraph" w:customStyle="1" w:styleId="Pa3">
    <w:name w:val="Pa3"/>
    <w:basedOn w:val="Normal"/>
    <w:next w:val="Normal"/>
    <w:uiPriority w:val="99"/>
    <w:rsid w:val="008A1A24"/>
    <w:pPr>
      <w:autoSpaceDE w:val="0"/>
      <w:autoSpaceDN w:val="0"/>
      <w:adjustRightInd w:val="0"/>
      <w:spacing w:line="161" w:lineRule="atLeast"/>
    </w:pPr>
    <w:rPr>
      <w:rFonts w:ascii="Minion Pro" w:eastAsia="MS Mincho" w:hAnsi="Minion Pro"/>
      <w:sz w:val="24"/>
      <w:szCs w:val="24"/>
      <w:lang w:val="en-AU" w:eastAsia="ja-JP"/>
    </w:rPr>
  </w:style>
  <w:style w:type="character" w:customStyle="1" w:styleId="A3">
    <w:name w:val="A3"/>
    <w:uiPriority w:val="99"/>
    <w:rsid w:val="008A1A24"/>
    <w:rPr>
      <w:color w:val="221E1F"/>
      <w:sz w:val="22"/>
    </w:rPr>
  </w:style>
  <w:style w:type="paragraph" w:customStyle="1" w:styleId="default">
    <w:name w:val="default"/>
    <w:basedOn w:val="Normal"/>
    <w:uiPriority w:val="99"/>
    <w:rsid w:val="008A1A24"/>
    <w:pPr>
      <w:autoSpaceDE w:val="0"/>
      <w:autoSpaceDN w:val="0"/>
    </w:pPr>
    <w:rPr>
      <w:rFonts w:ascii="Times New Roman" w:eastAsia="MS Mincho" w:hAnsi="Times New Roman"/>
      <w:color w:val="000000"/>
      <w:sz w:val="24"/>
      <w:szCs w:val="24"/>
      <w:lang w:val="en-AU" w:eastAsia="ja-JP"/>
    </w:rPr>
  </w:style>
  <w:style w:type="character" w:customStyle="1" w:styleId="ant1">
    <w:name w:val="ant1"/>
    <w:uiPriority w:val="99"/>
    <w:rsid w:val="008A1A24"/>
  </w:style>
  <w:style w:type="paragraph" w:customStyle="1" w:styleId="table0">
    <w:name w:val="table"/>
    <w:basedOn w:val="Normal"/>
    <w:uiPriority w:val="99"/>
    <w:rsid w:val="008A1A24"/>
    <w:rPr>
      <w:rFonts w:ascii="Arial Narrow" w:hAnsi="Arial Narrow"/>
      <w:szCs w:val="22"/>
      <w:lang w:val="en-AU" w:eastAsia="en-AU"/>
    </w:rPr>
  </w:style>
  <w:style w:type="character" w:styleId="FootnoteReference">
    <w:name w:val="footnote reference"/>
    <w:basedOn w:val="DefaultParagraphFont"/>
    <w:uiPriority w:val="99"/>
    <w:rsid w:val="008A1A24"/>
    <w:rPr>
      <w:rFonts w:cs="Times New Roman"/>
      <w:vertAlign w:val="superscript"/>
    </w:rPr>
  </w:style>
  <w:style w:type="character" w:customStyle="1" w:styleId="authors5">
    <w:name w:val="authors5"/>
    <w:uiPriority w:val="99"/>
    <w:rsid w:val="008A1A24"/>
  </w:style>
  <w:style w:type="character" w:styleId="FollowedHyperlink">
    <w:name w:val="FollowedHyperlink"/>
    <w:basedOn w:val="DefaultParagraphFont"/>
    <w:uiPriority w:val="99"/>
    <w:rsid w:val="008A1A24"/>
    <w:rPr>
      <w:rFonts w:cs="Times New Roman"/>
      <w:color w:val="800080"/>
      <w:u w:val="single"/>
    </w:rPr>
  </w:style>
  <w:style w:type="paragraph" w:styleId="ListParagraph">
    <w:name w:val="List Paragraph"/>
    <w:basedOn w:val="Normal"/>
    <w:link w:val="ListParagraphChar"/>
    <w:uiPriority w:val="34"/>
    <w:qFormat/>
    <w:rsid w:val="008A1A24"/>
    <w:pPr>
      <w:ind w:left="720"/>
      <w:contextualSpacing/>
    </w:pPr>
    <w:rPr>
      <w:szCs w:val="24"/>
      <w:lang w:eastAsia="en-GB"/>
    </w:rPr>
  </w:style>
  <w:style w:type="paragraph" w:customStyle="1" w:styleId="Default0">
    <w:name w:val="Default"/>
    <w:uiPriority w:val="99"/>
    <w:rsid w:val="008A1A24"/>
    <w:pPr>
      <w:autoSpaceDE w:val="0"/>
      <w:autoSpaceDN w:val="0"/>
      <w:adjustRightInd w:val="0"/>
      <w:spacing w:after="0"/>
    </w:pPr>
    <w:rPr>
      <w:rFonts w:ascii="Calibri" w:eastAsia="Times New Roman" w:hAnsi="Calibri" w:cs="Calibri"/>
      <w:color w:val="000000"/>
      <w:sz w:val="24"/>
      <w:szCs w:val="24"/>
      <w:lang w:val="en-GB" w:eastAsia="en-GB"/>
    </w:rPr>
  </w:style>
  <w:style w:type="paragraph" w:styleId="Revision">
    <w:name w:val="Revision"/>
    <w:hidden/>
    <w:uiPriority w:val="99"/>
    <w:semiHidden/>
    <w:rsid w:val="008A1A24"/>
    <w:pPr>
      <w:spacing w:after="0"/>
    </w:pPr>
    <w:rPr>
      <w:rFonts w:ascii="Gill Sans MT" w:eastAsia="Times New Roman" w:hAnsi="Gill Sans MT" w:cs="Times New Roman"/>
      <w:szCs w:val="20"/>
      <w:lang w:val="en-GB"/>
    </w:rPr>
  </w:style>
  <w:style w:type="paragraph" w:styleId="NoSpacing">
    <w:name w:val="No Spacing"/>
    <w:uiPriority w:val="99"/>
    <w:qFormat/>
    <w:rsid w:val="008A1A24"/>
    <w:pPr>
      <w:spacing w:after="0"/>
    </w:pPr>
    <w:rPr>
      <w:rFonts w:ascii="Gill Sans MT" w:eastAsia="Times New Roman" w:hAnsi="Gill Sans MT" w:cs="Times New Roman"/>
      <w:szCs w:val="20"/>
      <w:lang w:val="en-GB"/>
    </w:rPr>
  </w:style>
  <w:style w:type="character" w:customStyle="1" w:styleId="Heading2Char1">
    <w:name w:val="Heading 2 Char1"/>
    <w:aliases w:val="h2 Char1"/>
    <w:basedOn w:val="DefaultParagraphFont"/>
    <w:link w:val="Heading2"/>
    <w:uiPriority w:val="99"/>
    <w:rsid w:val="00B05F33"/>
    <w:rPr>
      <w:rFonts w:ascii="Arial" w:eastAsiaTheme="majorEastAsia" w:hAnsi="Arial" w:cstheme="majorBidi"/>
      <w:b/>
      <w:bCs/>
      <w:color w:val="000000" w:themeColor="text1"/>
      <w:sz w:val="26"/>
      <w:szCs w:val="26"/>
    </w:rPr>
  </w:style>
  <w:style w:type="character" w:styleId="SubtleReference">
    <w:name w:val="Subtle Reference"/>
    <w:basedOn w:val="DefaultParagraphFont"/>
    <w:uiPriority w:val="31"/>
    <w:qFormat/>
    <w:rsid w:val="008A1A24"/>
    <w:rPr>
      <w:rFonts w:ascii="Arial Narrow" w:hAnsi="Arial Narrow"/>
      <w:smallCaps/>
      <w:color w:val="000000" w:themeColor="text1"/>
      <w:sz w:val="20"/>
      <w:u w:val="none"/>
    </w:rPr>
  </w:style>
  <w:style w:type="character" w:styleId="IntenseReference">
    <w:name w:val="Intense Reference"/>
    <w:aliases w:val="fig tab body"/>
    <w:basedOn w:val="FigureChar"/>
    <w:uiPriority w:val="32"/>
    <w:qFormat/>
    <w:rsid w:val="008A1A24"/>
    <w:rPr>
      <w:rFonts w:ascii="Arial Narrow" w:eastAsia="Times New Roman" w:hAnsi="Arial Narrow" w:cs="Times New Roman"/>
      <w:b w:val="0"/>
      <w:bCs/>
      <w:caps w:val="0"/>
      <w:smallCaps w:val="0"/>
      <w:color w:val="000000" w:themeColor="text1"/>
      <w:spacing w:val="0"/>
      <w:w w:val="100"/>
      <w:sz w:val="20"/>
      <w:szCs w:val="20"/>
      <w:u w:val="none"/>
      <w:lang w:val="en-GB"/>
    </w:rPr>
  </w:style>
  <w:style w:type="character" w:customStyle="1" w:styleId="cit-issue1">
    <w:name w:val="cit-issue1"/>
    <w:basedOn w:val="DefaultParagraphFont"/>
    <w:rsid w:val="008A1A24"/>
    <w:rPr>
      <w:vanish/>
      <w:webHidden w:val="0"/>
      <w:specVanish w:val="0"/>
    </w:rPr>
  </w:style>
  <w:style w:type="character" w:customStyle="1" w:styleId="cit-vol2">
    <w:name w:val="cit-vol2"/>
    <w:basedOn w:val="DefaultParagraphFont"/>
    <w:rsid w:val="008A1A24"/>
  </w:style>
  <w:style w:type="character" w:customStyle="1" w:styleId="cit-elocation">
    <w:name w:val="cit-elocation"/>
    <w:basedOn w:val="DefaultParagraphFont"/>
    <w:rsid w:val="008A1A24"/>
  </w:style>
  <w:style w:type="character" w:customStyle="1" w:styleId="cit-sep2">
    <w:name w:val="cit-sep2"/>
    <w:basedOn w:val="DefaultParagraphFont"/>
    <w:rsid w:val="008A1A24"/>
  </w:style>
  <w:style w:type="character" w:customStyle="1" w:styleId="cit-doi3">
    <w:name w:val="cit-doi3"/>
    <w:basedOn w:val="DefaultParagraphFont"/>
    <w:rsid w:val="008A1A24"/>
  </w:style>
  <w:style w:type="character" w:customStyle="1" w:styleId="ListParagraphChar">
    <w:name w:val="List Paragraph Char"/>
    <w:basedOn w:val="DefaultParagraphFont"/>
    <w:link w:val="ListParagraph"/>
    <w:uiPriority w:val="34"/>
    <w:locked/>
    <w:rsid w:val="008A1A24"/>
    <w:rPr>
      <w:rFonts w:ascii="Arial" w:eastAsia="Times New Roman" w:hAnsi="Arial" w:cs="Times New Roman"/>
      <w:szCs w:val="24"/>
      <w:lang w:val="en-GB" w:eastAsia="en-GB"/>
    </w:rPr>
  </w:style>
  <w:style w:type="paragraph" w:styleId="Bibliography">
    <w:name w:val="Bibliography"/>
    <w:basedOn w:val="Normal"/>
    <w:next w:val="Normal"/>
    <w:uiPriority w:val="37"/>
    <w:semiHidden/>
    <w:unhideWhenUsed/>
    <w:rsid w:val="008A1A24"/>
  </w:style>
  <w:style w:type="paragraph" w:styleId="BlockText">
    <w:name w:val="Block Text"/>
    <w:basedOn w:val="Normal"/>
    <w:uiPriority w:val="99"/>
    <w:semiHidden/>
    <w:unhideWhenUsed/>
    <w:rsid w:val="008A1A24"/>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3">
    <w:name w:val="Body Text 3"/>
    <w:basedOn w:val="Normal"/>
    <w:link w:val="BodyText3Char"/>
    <w:uiPriority w:val="99"/>
    <w:semiHidden/>
    <w:unhideWhenUsed/>
    <w:rsid w:val="008A1A24"/>
    <w:rPr>
      <w:sz w:val="16"/>
      <w:szCs w:val="16"/>
    </w:rPr>
  </w:style>
  <w:style w:type="character" w:customStyle="1" w:styleId="BodyText3Char">
    <w:name w:val="Body Text 3 Char"/>
    <w:basedOn w:val="DefaultParagraphFont"/>
    <w:link w:val="BodyText3"/>
    <w:uiPriority w:val="99"/>
    <w:semiHidden/>
    <w:rsid w:val="008A1A24"/>
    <w:rPr>
      <w:rFonts w:ascii="Arial" w:eastAsia="Times New Roman" w:hAnsi="Arial" w:cs="Times New Roman"/>
      <w:sz w:val="16"/>
      <w:szCs w:val="16"/>
      <w:lang w:val="en-GB"/>
    </w:rPr>
  </w:style>
  <w:style w:type="paragraph" w:styleId="BodyTextFirstIndent">
    <w:name w:val="Body Text First Indent"/>
    <w:basedOn w:val="BodyText"/>
    <w:link w:val="BodyTextFirstIndentChar"/>
    <w:uiPriority w:val="99"/>
    <w:semiHidden/>
    <w:unhideWhenUsed/>
    <w:rsid w:val="008A1A24"/>
    <w:pPr>
      <w:autoSpaceDE/>
      <w:autoSpaceDN/>
      <w:adjustRightInd/>
      <w:spacing w:line="240" w:lineRule="auto"/>
      <w:ind w:firstLine="360"/>
    </w:pPr>
    <w:rPr>
      <w:rFonts w:ascii="Arial" w:hAnsi="Arial"/>
      <w:sz w:val="22"/>
    </w:rPr>
  </w:style>
  <w:style w:type="character" w:customStyle="1" w:styleId="BodyTextFirstIndentChar">
    <w:name w:val="Body Text First Indent Char"/>
    <w:basedOn w:val="BodyTextChar"/>
    <w:link w:val="BodyTextFirstIndent"/>
    <w:uiPriority w:val="99"/>
    <w:semiHidden/>
    <w:rsid w:val="008A1A24"/>
    <w:rPr>
      <w:rFonts w:ascii="Arial" w:eastAsia="Times New Roman" w:hAnsi="Arial" w:cs="Times New Roman"/>
      <w:sz w:val="20"/>
      <w:szCs w:val="20"/>
      <w:lang w:val="en-GB"/>
    </w:rPr>
  </w:style>
  <w:style w:type="paragraph" w:styleId="BodyTextFirstIndent2">
    <w:name w:val="Body Text First Indent 2"/>
    <w:basedOn w:val="BodyTextIndent"/>
    <w:link w:val="BodyTextFirstIndent2Char"/>
    <w:uiPriority w:val="99"/>
    <w:semiHidden/>
    <w:unhideWhenUsed/>
    <w:rsid w:val="008A1A24"/>
    <w:pPr>
      <w:spacing w:after="0"/>
      <w:ind w:left="360" w:firstLine="360"/>
    </w:pPr>
    <w:rPr>
      <w:rFonts w:ascii="Arial" w:hAnsi="Arial"/>
      <w:sz w:val="22"/>
    </w:rPr>
  </w:style>
  <w:style w:type="character" w:customStyle="1" w:styleId="BodyTextFirstIndent2Char">
    <w:name w:val="Body Text First Indent 2 Char"/>
    <w:basedOn w:val="BodyTextIndentChar"/>
    <w:link w:val="BodyTextFirstIndent2"/>
    <w:uiPriority w:val="99"/>
    <w:semiHidden/>
    <w:rsid w:val="008A1A24"/>
    <w:rPr>
      <w:rFonts w:ascii="Arial" w:eastAsia="Times New Roman" w:hAnsi="Arial" w:cs="Times New Roman"/>
      <w:sz w:val="20"/>
      <w:szCs w:val="20"/>
      <w:lang w:val="en-GB"/>
    </w:rPr>
  </w:style>
  <w:style w:type="paragraph" w:styleId="Closing">
    <w:name w:val="Closing"/>
    <w:basedOn w:val="Normal"/>
    <w:link w:val="ClosingChar"/>
    <w:uiPriority w:val="99"/>
    <w:semiHidden/>
    <w:unhideWhenUsed/>
    <w:rsid w:val="008A1A24"/>
    <w:pPr>
      <w:ind w:left="4252"/>
    </w:pPr>
  </w:style>
  <w:style w:type="character" w:customStyle="1" w:styleId="ClosingChar">
    <w:name w:val="Closing Char"/>
    <w:basedOn w:val="DefaultParagraphFont"/>
    <w:link w:val="Closing"/>
    <w:uiPriority w:val="99"/>
    <w:semiHidden/>
    <w:rsid w:val="008A1A24"/>
    <w:rPr>
      <w:rFonts w:ascii="Arial" w:eastAsia="Times New Roman" w:hAnsi="Arial" w:cs="Times New Roman"/>
      <w:szCs w:val="20"/>
      <w:lang w:val="en-GB"/>
    </w:rPr>
  </w:style>
  <w:style w:type="paragraph" w:styleId="Date">
    <w:name w:val="Date"/>
    <w:basedOn w:val="Normal"/>
    <w:next w:val="Normal"/>
    <w:link w:val="DateChar"/>
    <w:uiPriority w:val="99"/>
    <w:semiHidden/>
    <w:unhideWhenUsed/>
    <w:rsid w:val="008A1A24"/>
  </w:style>
  <w:style w:type="character" w:customStyle="1" w:styleId="DateChar">
    <w:name w:val="Date Char"/>
    <w:basedOn w:val="DefaultParagraphFont"/>
    <w:link w:val="Date"/>
    <w:uiPriority w:val="99"/>
    <w:semiHidden/>
    <w:rsid w:val="008A1A24"/>
    <w:rPr>
      <w:rFonts w:ascii="Arial" w:eastAsia="Times New Roman" w:hAnsi="Arial" w:cs="Times New Roman"/>
      <w:szCs w:val="20"/>
      <w:lang w:val="en-GB"/>
    </w:rPr>
  </w:style>
  <w:style w:type="paragraph" w:styleId="E-mailSignature">
    <w:name w:val="E-mail Signature"/>
    <w:basedOn w:val="Normal"/>
    <w:link w:val="E-mailSignatureChar"/>
    <w:uiPriority w:val="99"/>
    <w:semiHidden/>
    <w:unhideWhenUsed/>
    <w:rsid w:val="008A1A24"/>
  </w:style>
  <w:style w:type="character" w:customStyle="1" w:styleId="E-mailSignatureChar">
    <w:name w:val="E-mail Signature Char"/>
    <w:basedOn w:val="DefaultParagraphFont"/>
    <w:link w:val="E-mailSignature"/>
    <w:uiPriority w:val="99"/>
    <w:semiHidden/>
    <w:rsid w:val="008A1A24"/>
    <w:rPr>
      <w:rFonts w:ascii="Arial" w:eastAsia="Times New Roman" w:hAnsi="Arial" w:cs="Times New Roman"/>
      <w:szCs w:val="20"/>
      <w:lang w:val="en-GB"/>
    </w:rPr>
  </w:style>
  <w:style w:type="paragraph" w:styleId="EndnoteText">
    <w:name w:val="endnote text"/>
    <w:basedOn w:val="Normal"/>
    <w:link w:val="EndnoteTextChar"/>
    <w:uiPriority w:val="99"/>
    <w:semiHidden/>
    <w:unhideWhenUsed/>
    <w:rsid w:val="008A1A24"/>
    <w:rPr>
      <w:sz w:val="20"/>
    </w:rPr>
  </w:style>
  <w:style w:type="character" w:customStyle="1" w:styleId="EndnoteTextChar">
    <w:name w:val="Endnote Text Char"/>
    <w:basedOn w:val="DefaultParagraphFont"/>
    <w:link w:val="EndnoteText"/>
    <w:uiPriority w:val="99"/>
    <w:semiHidden/>
    <w:rsid w:val="008A1A24"/>
    <w:rPr>
      <w:rFonts w:ascii="Arial" w:eastAsia="Times New Roman" w:hAnsi="Arial" w:cs="Times New Roman"/>
      <w:sz w:val="20"/>
      <w:szCs w:val="20"/>
      <w:lang w:val="en-GB"/>
    </w:rPr>
  </w:style>
  <w:style w:type="paragraph" w:styleId="EnvelopeAddress">
    <w:name w:val="envelope address"/>
    <w:basedOn w:val="Normal"/>
    <w:uiPriority w:val="99"/>
    <w:semiHidden/>
    <w:unhideWhenUsed/>
    <w:rsid w:val="008A1A24"/>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8A1A24"/>
    <w:rPr>
      <w:rFonts w:asciiTheme="majorHAnsi" w:eastAsiaTheme="majorEastAsia" w:hAnsiTheme="majorHAnsi" w:cstheme="majorBidi"/>
      <w:sz w:val="20"/>
    </w:rPr>
  </w:style>
  <w:style w:type="paragraph" w:styleId="HTMLAddress">
    <w:name w:val="HTML Address"/>
    <w:basedOn w:val="Normal"/>
    <w:link w:val="HTMLAddressChar"/>
    <w:uiPriority w:val="99"/>
    <w:semiHidden/>
    <w:unhideWhenUsed/>
    <w:rsid w:val="008A1A24"/>
    <w:rPr>
      <w:i/>
      <w:iCs/>
    </w:rPr>
  </w:style>
  <w:style w:type="character" w:customStyle="1" w:styleId="HTMLAddressChar">
    <w:name w:val="HTML Address Char"/>
    <w:basedOn w:val="DefaultParagraphFont"/>
    <w:link w:val="HTMLAddress"/>
    <w:uiPriority w:val="99"/>
    <w:semiHidden/>
    <w:rsid w:val="008A1A24"/>
    <w:rPr>
      <w:rFonts w:ascii="Arial" w:eastAsia="Times New Roman" w:hAnsi="Arial" w:cs="Times New Roman"/>
      <w:i/>
      <w:iCs/>
      <w:szCs w:val="20"/>
      <w:lang w:val="en-GB"/>
    </w:rPr>
  </w:style>
  <w:style w:type="paragraph" w:styleId="HTMLPreformatted">
    <w:name w:val="HTML Preformatted"/>
    <w:basedOn w:val="Normal"/>
    <w:link w:val="HTMLPreformattedChar"/>
    <w:uiPriority w:val="99"/>
    <w:semiHidden/>
    <w:unhideWhenUsed/>
    <w:rsid w:val="008A1A24"/>
    <w:rPr>
      <w:rFonts w:ascii="Consolas" w:hAnsi="Consolas" w:cs="Consolas"/>
      <w:sz w:val="20"/>
    </w:rPr>
  </w:style>
  <w:style w:type="character" w:customStyle="1" w:styleId="HTMLPreformattedChar">
    <w:name w:val="HTML Preformatted Char"/>
    <w:basedOn w:val="DefaultParagraphFont"/>
    <w:link w:val="HTMLPreformatted"/>
    <w:uiPriority w:val="99"/>
    <w:semiHidden/>
    <w:rsid w:val="008A1A24"/>
    <w:rPr>
      <w:rFonts w:ascii="Consolas" w:eastAsia="Times New Roman" w:hAnsi="Consolas" w:cs="Consolas"/>
      <w:sz w:val="20"/>
      <w:szCs w:val="20"/>
      <w:lang w:val="en-GB"/>
    </w:rPr>
  </w:style>
  <w:style w:type="paragraph" w:styleId="Index1">
    <w:name w:val="index 1"/>
    <w:basedOn w:val="Normal"/>
    <w:next w:val="Normal"/>
    <w:autoRedefine/>
    <w:uiPriority w:val="99"/>
    <w:semiHidden/>
    <w:unhideWhenUsed/>
    <w:rsid w:val="008A1A24"/>
    <w:pPr>
      <w:ind w:left="220" w:hanging="220"/>
    </w:pPr>
  </w:style>
  <w:style w:type="paragraph" w:styleId="Index2">
    <w:name w:val="index 2"/>
    <w:basedOn w:val="Normal"/>
    <w:next w:val="Normal"/>
    <w:autoRedefine/>
    <w:uiPriority w:val="99"/>
    <w:semiHidden/>
    <w:unhideWhenUsed/>
    <w:rsid w:val="008A1A24"/>
    <w:pPr>
      <w:ind w:left="440" w:hanging="220"/>
    </w:pPr>
  </w:style>
  <w:style w:type="paragraph" w:styleId="Index3">
    <w:name w:val="index 3"/>
    <w:basedOn w:val="Normal"/>
    <w:next w:val="Normal"/>
    <w:autoRedefine/>
    <w:uiPriority w:val="99"/>
    <w:semiHidden/>
    <w:unhideWhenUsed/>
    <w:rsid w:val="008A1A24"/>
    <w:pPr>
      <w:ind w:left="660" w:hanging="220"/>
    </w:pPr>
  </w:style>
  <w:style w:type="paragraph" w:styleId="Index4">
    <w:name w:val="index 4"/>
    <w:basedOn w:val="Normal"/>
    <w:next w:val="Normal"/>
    <w:autoRedefine/>
    <w:uiPriority w:val="99"/>
    <w:semiHidden/>
    <w:unhideWhenUsed/>
    <w:rsid w:val="008A1A24"/>
    <w:pPr>
      <w:ind w:left="880" w:hanging="220"/>
    </w:pPr>
  </w:style>
  <w:style w:type="paragraph" w:styleId="Index5">
    <w:name w:val="index 5"/>
    <w:basedOn w:val="Normal"/>
    <w:next w:val="Normal"/>
    <w:autoRedefine/>
    <w:uiPriority w:val="99"/>
    <w:semiHidden/>
    <w:unhideWhenUsed/>
    <w:rsid w:val="008A1A24"/>
    <w:pPr>
      <w:ind w:left="1100" w:hanging="220"/>
    </w:pPr>
  </w:style>
  <w:style w:type="paragraph" w:styleId="Index6">
    <w:name w:val="index 6"/>
    <w:basedOn w:val="Normal"/>
    <w:next w:val="Normal"/>
    <w:autoRedefine/>
    <w:uiPriority w:val="99"/>
    <w:semiHidden/>
    <w:unhideWhenUsed/>
    <w:rsid w:val="008A1A24"/>
    <w:pPr>
      <w:ind w:left="1320" w:hanging="220"/>
    </w:pPr>
  </w:style>
  <w:style w:type="paragraph" w:styleId="Index7">
    <w:name w:val="index 7"/>
    <w:basedOn w:val="Normal"/>
    <w:next w:val="Normal"/>
    <w:autoRedefine/>
    <w:uiPriority w:val="99"/>
    <w:semiHidden/>
    <w:unhideWhenUsed/>
    <w:rsid w:val="008A1A24"/>
    <w:pPr>
      <w:ind w:left="1540" w:hanging="220"/>
    </w:pPr>
  </w:style>
  <w:style w:type="paragraph" w:styleId="Index8">
    <w:name w:val="index 8"/>
    <w:basedOn w:val="Normal"/>
    <w:next w:val="Normal"/>
    <w:autoRedefine/>
    <w:uiPriority w:val="99"/>
    <w:semiHidden/>
    <w:unhideWhenUsed/>
    <w:rsid w:val="008A1A24"/>
    <w:pPr>
      <w:ind w:left="1760" w:hanging="220"/>
    </w:pPr>
  </w:style>
  <w:style w:type="paragraph" w:styleId="Index9">
    <w:name w:val="index 9"/>
    <w:basedOn w:val="Normal"/>
    <w:next w:val="Normal"/>
    <w:autoRedefine/>
    <w:uiPriority w:val="99"/>
    <w:semiHidden/>
    <w:unhideWhenUsed/>
    <w:rsid w:val="008A1A24"/>
    <w:pPr>
      <w:ind w:left="1980" w:hanging="220"/>
    </w:pPr>
  </w:style>
  <w:style w:type="paragraph" w:styleId="IndexHeading">
    <w:name w:val="index heading"/>
    <w:basedOn w:val="Normal"/>
    <w:next w:val="Index1"/>
    <w:uiPriority w:val="99"/>
    <w:semiHidden/>
    <w:unhideWhenUsed/>
    <w:rsid w:val="008A1A24"/>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8A1A24"/>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8A1A24"/>
    <w:rPr>
      <w:rFonts w:ascii="Arial" w:eastAsia="Times New Roman" w:hAnsi="Arial" w:cs="Times New Roman"/>
      <w:b/>
      <w:bCs/>
      <w:i/>
      <w:iCs/>
      <w:color w:val="4F81BD" w:themeColor="accent1"/>
      <w:szCs w:val="20"/>
      <w:lang w:val="en-GB"/>
    </w:rPr>
  </w:style>
  <w:style w:type="paragraph" w:styleId="List">
    <w:name w:val="List"/>
    <w:basedOn w:val="Normal"/>
    <w:uiPriority w:val="99"/>
    <w:semiHidden/>
    <w:unhideWhenUsed/>
    <w:rsid w:val="008A1A24"/>
    <w:pPr>
      <w:ind w:left="283" w:hanging="283"/>
      <w:contextualSpacing/>
    </w:pPr>
  </w:style>
  <w:style w:type="paragraph" w:styleId="List2">
    <w:name w:val="List 2"/>
    <w:basedOn w:val="Normal"/>
    <w:uiPriority w:val="99"/>
    <w:semiHidden/>
    <w:unhideWhenUsed/>
    <w:rsid w:val="008A1A24"/>
    <w:pPr>
      <w:ind w:left="566" w:hanging="283"/>
      <w:contextualSpacing/>
    </w:pPr>
  </w:style>
  <w:style w:type="paragraph" w:styleId="List3">
    <w:name w:val="List 3"/>
    <w:basedOn w:val="Normal"/>
    <w:uiPriority w:val="99"/>
    <w:semiHidden/>
    <w:unhideWhenUsed/>
    <w:rsid w:val="008A1A24"/>
    <w:pPr>
      <w:ind w:left="849" w:hanging="283"/>
      <w:contextualSpacing/>
    </w:pPr>
  </w:style>
  <w:style w:type="paragraph" w:styleId="List4">
    <w:name w:val="List 4"/>
    <w:basedOn w:val="Normal"/>
    <w:uiPriority w:val="99"/>
    <w:semiHidden/>
    <w:unhideWhenUsed/>
    <w:rsid w:val="008A1A24"/>
    <w:pPr>
      <w:ind w:left="1132" w:hanging="283"/>
      <w:contextualSpacing/>
    </w:pPr>
  </w:style>
  <w:style w:type="paragraph" w:styleId="List5">
    <w:name w:val="List 5"/>
    <w:basedOn w:val="Normal"/>
    <w:uiPriority w:val="99"/>
    <w:semiHidden/>
    <w:unhideWhenUsed/>
    <w:rsid w:val="008A1A24"/>
    <w:pPr>
      <w:ind w:left="1415" w:hanging="283"/>
      <w:contextualSpacing/>
    </w:pPr>
  </w:style>
  <w:style w:type="paragraph" w:styleId="ListBullet">
    <w:name w:val="List Bullet"/>
    <w:basedOn w:val="Normal"/>
    <w:uiPriority w:val="99"/>
    <w:semiHidden/>
    <w:unhideWhenUsed/>
    <w:rsid w:val="008A1A24"/>
    <w:pPr>
      <w:numPr>
        <w:numId w:val="3"/>
      </w:numPr>
      <w:contextualSpacing/>
    </w:pPr>
  </w:style>
  <w:style w:type="paragraph" w:styleId="ListBullet3">
    <w:name w:val="List Bullet 3"/>
    <w:basedOn w:val="Normal"/>
    <w:uiPriority w:val="99"/>
    <w:semiHidden/>
    <w:unhideWhenUsed/>
    <w:rsid w:val="008A1A24"/>
    <w:pPr>
      <w:numPr>
        <w:numId w:val="4"/>
      </w:numPr>
      <w:contextualSpacing/>
    </w:pPr>
  </w:style>
  <w:style w:type="paragraph" w:styleId="ListBullet4">
    <w:name w:val="List Bullet 4"/>
    <w:basedOn w:val="Normal"/>
    <w:uiPriority w:val="99"/>
    <w:semiHidden/>
    <w:unhideWhenUsed/>
    <w:rsid w:val="008A1A24"/>
    <w:pPr>
      <w:numPr>
        <w:numId w:val="5"/>
      </w:numPr>
      <w:contextualSpacing/>
    </w:pPr>
  </w:style>
  <w:style w:type="paragraph" w:styleId="ListBullet5">
    <w:name w:val="List Bullet 5"/>
    <w:basedOn w:val="Normal"/>
    <w:uiPriority w:val="99"/>
    <w:semiHidden/>
    <w:unhideWhenUsed/>
    <w:rsid w:val="008A1A24"/>
    <w:pPr>
      <w:numPr>
        <w:numId w:val="6"/>
      </w:numPr>
      <w:contextualSpacing/>
    </w:pPr>
  </w:style>
  <w:style w:type="paragraph" w:styleId="ListContinue">
    <w:name w:val="List Continue"/>
    <w:basedOn w:val="Normal"/>
    <w:uiPriority w:val="99"/>
    <w:semiHidden/>
    <w:unhideWhenUsed/>
    <w:rsid w:val="008A1A24"/>
    <w:pPr>
      <w:ind w:left="283"/>
      <w:contextualSpacing/>
    </w:pPr>
  </w:style>
  <w:style w:type="paragraph" w:styleId="ListContinue2">
    <w:name w:val="List Continue 2"/>
    <w:basedOn w:val="Normal"/>
    <w:uiPriority w:val="99"/>
    <w:semiHidden/>
    <w:unhideWhenUsed/>
    <w:rsid w:val="008A1A24"/>
    <w:pPr>
      <w:ind w:left="566"/>
      <w:contextualSpacing/>
    </w:pPr>
  </w:style>
  <w:style w:type="paragraph" w:styleId="ListContinue3">
    <w:name w:val="List Continue 3"/>
    <w:basedOn w:val="Normal"/>
    <w:uiPriority w:val="99"/>
    <w:semiHidden/>
    <w:unhideWhenUsed/>
    <w:rsid w:val="008A1A24"/>
    <w:pPr>
      <w:ind w:left="849"/>
      <w:contextualSpacing/>
    </w:pPr>
  </w:style>
  <w:style w:type="paragraph" w:styleId="ListContinue4">
    <w:name w:val="List Continue 4"/>
    <w:basedOn w:val="Normal"/>
    <w:uiPriority w:val="99"/>
    <w:semiHidden/>
    <w:unhideWhenUsed/>
    <w:rsid w:val="008A1A24"/>
    <w:pPr>
      <w:ind w:left="1132"/>
      <w:contextualSpacing/>
    </w:pPr>
  </w:style>
  <w:style w:type="paragraph" w:styleId="ListContinue5">
    <w:name w:val="List Continue 5"/>
    <w:basedOn w:val="Normal"/>
    <w:uiPriority w:val="99"/>
    <w:semiHidden/>
    <w:unhideWhenUsed/>
    <w:rsid w:val="008A1A24"/>
    <w:pPr>
      <w:ind w:left="1415"/>
      <w:contextualSpacing/>
    </w:pPr>
  </w:style>
  <w:style w:type="paragraph" w:styleId="ListNumber">
    <w:name w:val="List Number"/>
    <w:basedOn w:val="Normal"/>
    <w:uiPriority w:val="99"/>
    <w:semiHidden/>
    <w:unhideWhenUsed/>
    <w:rsid w:val="008A1A24"/>
    <w:pPr>
      <w:numPr>
        <w:numId w:val="7"/>
      </w:numPr>
      <w:contextualSpacing/>
    </w:pPr>
  </w:style>
  <w:style w:type="paragraph" w:styleId="ListNumber2">
    <w:name w:val="List Number 2"/>
    <w:basedOn w:val="Normal"/>
    <w:uiPriority w:val="99"/>
    <w:semiHidden/>
    <w:unhideWhenUsed/>
    <w:rsid w:val="008A1A24"/>
    <w:pPr>
      <w:numPr>
        <w:numId w:val="8"/>
      </w:numPr>
      <w:contextualSpacing/>
    </w:pPr>
  </w:style>
  <w:style w:type="paragraph" w:styleId="ListNumber3">
    <w:name w:val="List Number 3"/>
    <w:basedOn w:val="Normal"/>
    <w:uiPriority w:val="99"/>
    <w:semiHidden/>
    <w:unhideWhenUsed/>
    <w:rsid w:val="008A1A24"/>
    <w:pPr>
      <w:numPr>
        <w:numId w:val="9"/>
      </w:numPr>
      <w:contextualSpacing/>
    </w:pPr>
  </w:style>
  <w:style w:type="paragraph" w:styleId="ListNumber4">
    <w:name w:val="List Number 4"/>
    <w:basedOn w:val="Normal"/>
    <w:uiPriority w:val="99"/>
    <w:semiHidden/>
    <w:unhideWhenUsed/>
    <w:rsid w:val="008A1A24"/>
    <w:pPr>
      <w:numPr>
        <w:numId w:val="10"/>
      </w:numPr>
      <w:contextualSpacing/>
    </w:pPr>
  </w:style>
  <w:style w:type="paragraph" w:styleId="ListNumber5">
    <w:name w:val="List Number 5"/>
    <w:basedOn w:val="Normal"/>
    <w:uiPriority w:val="99"/>
    <w:semiHidden/>
    <w:unhideWhenUsed/>
    <w:rsid w:val="008A1A24"/>
    <w:pPr>
      <w:numPr>
        <w:numId w:val="11"/>
      </w:numPr>
      <w:contextualSpacing/>
    </w:pPr>
  </w:style>
  <w:style w:type="paragraph" w:styleId="MacroText">
    <w:name w:val="macro"/>
    <w:link w:val="MacroTextChar"/>
    <w:uiPriority w:val="99"/>
    <w:semiHidden/>
    <w:unhideWhenUsed/>
    <w:rsid w:val="008A1A24"/>
    <w:pPr>
      <w:tabs>
        <w:tab w:val="left" w:pos="480"/>
        <w:tab w:val="left" w:pos="960"/>
        <w:tab w:val="left" w:pos="1440"/>
        <w:tab w:val="left" w:pos="1920"/>
        <w:tab w:val="left" w:pos="2400"/>
        <w:tab w:val="left" w:pos="2880"/>
        <w:tab w:val="left" w:pos="3360"/>
        <w:tab w:val="left" w:pos="3840"/>
        <w:tab w:val="left" w:pos="4320"/>
      </w:tabs>
      <w:spacing w:after="0"/>
    </w:pPr>
    <w:rPr>
      <w:rFonts w:ascii="Consolas" w:eastAsia="Times New Roman" w:hAnsi="Consolas" w:cs="Consolas"/>
      <w:sz w:val="20"/>
      <w:szCs w:val="20"/>
      <w:lang w:val="en-GB"/>
    </w:rPr>
  </w:style>
  <w:style w:type="character" w:customStyle="1" w:styleId="MacroTextChar">
    <w:name w:val="Macro Text Char"/>
    <w:basedOn w:val="DefaultParagraphFont"/>
    <w:link w:val="MacroText"/>
    <w:uiPriority w:val="99"/>
    <w:semiHidden/>
    <w:rsid w:val="008A1A24"/>
    <w:rPr>
      <w:rFonts w:ascii="Consolas" w:eastAsia="Times New Roman" w:hAnsi="Consolas" w:cs="Consolas"/>
      <w:sz w:val="20"/>
      <w:szCs w:val="20"/>
      <w:lang w:val="en-GB"/>
    </w:rPr>
  </w:style>
  <w:style w:type="paragraph" w:styleId="MessageHeader">
    <w:name w:val="Message Header"/>
    <w:basedOn w:val="Normal"/>
    <w:link w:val="MessageHeaderChar"/>
    <w:uiPriority w:val="99"/>
    <w:semiHidden/>
    <w:unhideWhenUsed/>
    <w:rsid w:val="008A1A24"/>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8A1A24"/>
    <w:rPr>
      <w:rFonts w:asciiTheme="majorHAnsi" w:eastAsiaTheme="majorEastAsia" w:hAnsiTheme="majorHAnsi" w:cstheme="majorBidi"/>
      <w:sz w:val="24"/>
      <w:szCs w:val="24"/>
      <w:shd w:val="pct20" w:color="auto" w:fill="auto"/>
      <w:lang w:val="en-GB"/>
    </w:rPr>
  </w:style>
  <w:style w:type="paragraph" w:styleId="NormalIndent">
    <w:name w:val="Normal Indent"/>
    <w:basedOn w:val="Normal"/>
    <w:uiPriority w:val="99"/>
    <w:semiHidden/>
    <w:unhideWhenUsed/>
    <w:rsid w:val="008A1A24"/>
    <w:pPr>
      <w:ind w:left="720"/>
    </w:pPr>
  </w:style>
  <w:style w:type="paragraph" w:styleId="NoteHeading">
    <w:name w:val="Note Heading"/>
    <w:basedOn w:val="Normal"/>
    <w:next w:val="Normal"/>
    <w:link w:val="NoteHeadingChar"/>
    <w:uiPriority w:val="99"/>
    <w:semiHidden/>
    <w:unhideWhenUsed/>
    <w:rsid w:val="008A1A24"/>
  </w:style>
  <w:style w:type="character" w:customStyle="1" w:styleId="NoteHeadingChar">
    <w:name w:val="Note Heading Char"/>
    <w:basedOn w:val="DefaultParagraphFont"/>
    <w:link w:val="NoteHeading"/>
    <w:uiPriority w:val="99"/>
    <w:semiHidden/>
    <w:rsid w:val="008A1A24"/>
    <w:rPr>
      <w:rFonts w:ascii="Arial" w:eastAsia="Times New Roman" w:hAnsi="Arial" w:cs="Times New Roman"/>
      <w:szCs w:val="20"/>
      <w:lang w:val="en-GB"/>
    </w:rPr>
  </w:style>
  <w:style w:type="paragraph" w:styleId="Quote">
    <w:name w:val="Quote"/>
    <w:basedOn w:val="Normal"/>
    <w:next w:val="Normal"/>
    <w:link w:val="QuoteChar"/>
    <w:uiPriority w:val="29"/>
    <w:qFormat/>
    <w:rsid w:val="008A1A24"/>
    <w:rPr>
      <w:i/>
      <w:iCs/>
      <w:color w:val="000000" w:themeColor="text1"/>
    </w:rPr>
  </w:style>
  <w:style w:type="character" w:customStyle="1" w:styleId="QuoteChar">
    <w:name w:val="Quote Char"/>
    <w:basedOn w:val="DefaultParagraphFont"/>
    <w:link w:val="Quote"/>
    <w:uiPriority w:val="29"/>
    <w:rsid w:val="008A1A24"/>
    <w:rPr>
      <w:rFonts w:ascii="Arial" w:eastAsia="Times New Roman" w:hAnsi="Arial" w:cs="Times New Roman"/>
      <w:i/>
      <w:iCs/>
      <w:color w:val="000000" w:themeColor="text1"/>
      <w:szCs w:val="20"/>
      <w:lang w:val="en-GB"/>
    </w:rPr>
  </w:style>
  <w:style w:type="paragraph" w:styleId="Salutation">
    <w:name w:val="Salutation"/>
    <w:basedOn w:val="Normal"/>
    <w:next w:val="Normal"/>
    <w:link w:val="SalutationChar"/>
    <w:uiPriority w:val="99"/>
    <w:semiHidden/>
    <w:unhideWhenUsed/>
    <w:rsid w:val="008A1A24"/>
  </w:style>
  <w:style w:type="character" w:customStyle="1" w:styleId="SalutationChar">
    <w:name w:val="Salutation Char"/>
    <w:basedOn w:val="DefaultParagraphFont"/>
    <w:link w:val="Salutation"/>
    <w:uiPriority w:val="99"/>
    <w:semiHidden/>
    <w:rsid w:val="008A1A24"/>
    <w:rPr>
      <w:rFonts w:ascii="Arial" w:eastAsia="Times New Roman" w:hAnsi="Arial" w:cs="Times New Roman"/>
      <w:szCs w:val="20"/>
      <w:lang w:val="en-GB"/>
    </w:rPr>
  </w:style>
  <w:style w:type="paragraph" w:styleId="Signature">
    <w:name w:val="Signature"/>
    <w:basedOn w:val="Normal"/>
    <w:link w:val="SignatureChar"/>
    <w:uiPriority w:val="99"/>
    <w:semiHidden/>
    <w:unhideWhenUsed/>
    <w:rsid w:val="008A1A24"/>
    <w:pPr>
      <w:ind w:left="4252"/>
    </w:pPr>
  </w:style>
  <w:style w:type="character" w:customStyle="1" w:styleId="SignatureChar">
    <w:name w:val="Signature Char"/>
    <w:basedOn w:val="DefaultParagraphFont"/>
    <w:link w:val="Signature"/>
    <w:uiPriority w:val="99"/>
    <w:semiHidden/>
    <w:rsid w:val="008A1A24"/>
    <w:rPr>
      <w:rFonts w:ascii="Arial" w:eastAsia="Times New Roman" w:hAnsi="Arial" w:cs="Times New Roman"/>
      <w:szCs w:val="20"/>
      <w:lang w:val="en-GB"/>
    </w:rPr>
  </w:style>
  <w:style w:type="paragraph" w:styleId="Subtitle">
    <w:name w:val="Subtitle"/>
    <w:basedOn w:val="Normal"/>
    <w:next w:val="Normal"/>
    <w:link w:val="SubtitleChar"/>
    <w:uiPriority w:val="99"/>
    <w:qFormat/>
    <w:rsid w:val="008A1A2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99"/>
    <w:rsid w:val="008A1A24"/>
    <w:rPr>
      <w:rFonts w:asciiTheme="majorHAnsi" w:eastAsiaTheme="majorEastAsia" w:hAnsiTheme="majorHAnsi" w:cstheme="majorBidi"/>
      <w:i/>
      <w:iCs/>
      <w:color w:val="4F81BD" w:themeColor="accent1"/>
      <w:spacing w:val="15"/>
      <w:sz w:val="24"/>
      <w:szCs w:val="24"/>
      <w:lang w:val="en-GB"/>
    </w:rPr>
  </w:style>
  <w:style w:type="paragraph" w:styleId="TableofAuthorities">
    <w:name w:val="table of authorities"/>
    <w:basedOn w:val="Normal"/>
    <w:next w:val="Normal"/>
    <w:uiPriority w:val="99"/>
    <w:semiHidden/>
    <w:unhideWhenUsed/>
    <w:rsid w:val="008A1A24"/>
    <w:pPr>
      <w:ind w:left="220" w:hanging="220"/>
    </w:pPr>
  </w:style>
  <w:style w:type="paragraph" w:styleId="TOAHeading">
    <w:name w:val="toa heading"/>
    <w:basedOn w:val="Normal"/>
    <w:next w:val="Normal"/>
    <w:uiPriority w:val="99"/>
    <w:semiHidden/>
    <w:unhideWhenUsed/>
    <w:rsid w:val="008A1A24"/>
    <w:pPr>
      <w:spacing w:before="120"/>
    </w:pPr>
    <w:rPr>
      <w:rFonts w:asciiTheme="majorHAnsi" w:eastAsiaTheme="majorEastAsia" w:hAnsiTheme="majorHAnsi" w:cstheme="majorBidi"/>
      <w:b/>
      <w:bCs/>
      <w:sz w:val="24"/>
      <w:szCs w:val="24"/>
    </w:rPr>
  </w:style>
  <w:style w:type="paragraph" w:styleId="TOC6">
    <w:name w:val="toc 6"/>
    <w:basedOn w:val="Normal"/>
    <w:next w:val="Normal"/>
    <w:autoRedefine/>
    <w:uiPriority w:val="39"/>
    <w:rsid w:val="008A1A24"/>
    <w:pPr>
      <w:spacing w:after="100"/>
      <w:ind w:left="1100"/>
    </w:pPr>
  </w:style>
  <w:style w:type="paragraph" w:styleId="TOC7">
    <w:name w:val="toc 7"/>
    <w:basedOn w:val="Normal"/>
    <w:next w:val="Normal"/>
    <w:link w:val="TOC7Char"/>
    <w:autoRedefine/>
    <w:uiPriority w:val="39"/>
    <w:rsid w:val="0038659A"/>
    <w:pPr>
      <w:tabs>
        <w:tab w:val="left" w:pos="709"/>
      </w:tabs>
    </w:pPr>
    <w:rPr>
      <w:sz w:val="20"/>
    </w:rPr>
  </w:style>
  <w:style w:type="paragraph" w:styleId="TOC8">
    <w:name w:val="toc 8"/>
    <w:basedOn w:val="Normal"/>
    <w:next w:val="Normal"/>
    <w:autoRedefine/>
    <w:uiPriority w:val="99"/>
    <w:rsid w:val="008A1A24"/>
    <w:pPr>
      <w:spacing w:after="100"/>
      <w:ind w:left="1540"/>
    </w:pPr>
  </w:style>
  <w:style w:type="paragraph" w:styleId="TOC9">
    <w:name w:val="toc 9"/>
    <w:basedOn w:val="Normal"/>
    <w:next w:val="Normal"/>
    <w:autoRedefine/>
    <w:uiPriority w:val="99"/>
    <w:rsid w:val="008A1A24"/>
    <w:pPr>
      <w:spacing w:after="100"/>
      <w:ind w:left="1760"/>
    </w:pPr>
  </w:style>
  <w:style w:type="paragraph" w:styleId="TOCHeading">
    <w:name w:val="TOC Heading"/>
    <w:basedOn w:val="Heading1"/>
    <w:next w:val="Normal"/>
    <w:uiPriority w:val="39"/>
    <w:unhideWhenUsed/>
    <w:qFormat/>
    <w:rsid w:val="008A1A24"/>
    <w:pPr>
      <w:keepLines/>
      <w:spacing w:before="480"/>
      <w:outlineLvl w:val="9"/>
    </w:pPr>
    <w:rPr>
      <w:rFonts w:asciiTheme="majorHAnsi" w:eastAsiaTheme="majorEastAsia" w:hAnsiTheme="majorHAnsi" w:cstheme="majorBidi"/>
      <w:bCs/>
      <w:color w:val="365F91" w:themeColor="accent1" w:themeShade="BF"/>
      <w:kern w:val="0"/>
      <w:sz w:val="28"/>
    </w:rPr>
  </w:style>
  <w:style w:type="paragraph" w:customStyle="1" w:styleId="List-bullet-Council">
    <w:name w:val="List-bullet-Council"/>
    <w:basedOn w:val="Normal"/>
    <w:uiPriority w:val="99"/>
    <w:qFormat/>
    <w:rsid w:val="008A1A24"/>
    <w:pPr>
      <w:spacing w:after="40"/>
      <w:ind w:left="360" w:hanging="360"/>
    </w:pPr>
    <w:rPr>
      <w:rFonts w:ascii="Gill Sans MT" w:hAnsi="Gill Sans MT"/>
      <w:sz w:val="20"/>
      <w:lang w:val="en-AU"/>
    </w:rPr>
  </w:style>
  <w:style w:type="character" w:customStyle="1" w:styleId="math">
    <w:name w:val="math"/>
    <w:basedOn w:val="DefaultParagraphFont"/>
    <w:rsid w:val="008A1A24"/>
  </w:style>
  <w:style w:type="character" w:customStyle="1" w:styleId="st">
    <w:name w:val="st"/>
    <w:basedOn w:val="DefaultParagraphFont"/>
    <w:rsid w:val="008A1A24"/>
  </w:style>
  <w:style w:type="paragraph" w:customStyle="1" w:styleId="Imprint">
    <w:name w:val="Imprint"/>
    <w:basedOn w:val="Normal"/>
    <w:uiPriority w:val="99"/>
    <w:rsid w:val="008A1A24"/>
    <w:rPr>
      <w:rFonts w:cs="Arial"/>
      <w:sz w:val="18"/>
      <w:szCs w:val="18"/>
      <w:lang w:val="en-US"/>
    </w:rPr>
  </w:style>
  <w:style w:type="numbering" w:customStyle="1" w:styleId="NoList1">
    <w:name w:val="No List1"/>
    <w:next w:val="NoList"/>
    <w:uiPriority w:val="99"/>
    <w:semiHidden/>
    <w:unhideWhenUsed/>
    <w:rsid w:val="008A1A24"/>
  </w:style>
  <w:style w:type="table" w:customStyle="1" w:styleId="TableGrid1">
    <w:name w:val="Table Grid1"/>
    <w:basedOn w:val="TableNormal"/>
    <w:next w:val="TableGrid"/>
    <w:uiPriority w:val="59"/>
    <w:rsid w:val="008A1A2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Normal"/>
    <w:rsid w:val="008A1A24"/>
    <w:pPr>
      <w:spacing w:before="100" w:beforeAutospacing="1" w:after="100" w:afterAutospacing="1"/>
    </w:pPr>
    <w:rPr>
      <w:rFonts w:ascii="Times New Roman" w:hAnsi="Times New Roman"/>
      <w:sz w:val="20"/>
      <w:lang w:val="en-AU" w:eastAsia="en-AU"/>
    </w:rPr>
  </w:style>
  <w:style w:type="paragraph" w:customStyle="1" w:styleId="xl66">
    <w:name w:val="xl66"/>
    <w:basedOn w:val="Normal"/>
    <w:rsid w:val="008A1A24"/>
    <w:pPr>
      <w:shd w:val="clear" w:color="000000" w:fill="A6A6A6"/>
      <w:spacing w:before="100" w:beforeAutospacing="1" w:after="100" w:afterAutospacing="1"/>
    </w:pPr>
    <w:rPr>
      <w:rFonts w:ascii="Times New Roman" w:hAnsi="Times New Roman"/>
      <w:b/>
      <w:bCs/>
      <w:sz w:val="20"/>
      <w:lang w:val="en-AU" w:eastAsia="en-AU"/>
    </w:rPr>
  </w:style>
  <w:style w:type="table" w:styleId="LightGrid">
    <w:name w:val="Light Grid"/>
    <w:basedOn w:val="TableNormal"/>
    <w:uiPriority w:val="62"/>
    <w:rsid w:val="008A1A24"/>
    <w:pPr>
      <w:spacing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8A1A24"/>
    <w:pPr>
      <w:spacing w:after="0"/>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NoList2">
    <w:name w:val="No List2"/>
    <w:next w:val="NoList"/>
    <w:uiPriority w:val="99"/>
    <w:semiHidden/>
    <w:unhideWhenUsed/>
    <w:rsid w:val="008A1A24"/>
  </w:style>
  <w:style w:type="paragraph" w:customStyle="1" w:styleId="DocDefaults">
    <w:name w:val="DocDefaults"/>
    <w:uiPriority w:val="99"/>
    <w:rsid w:val="008A1A24"/>
    <w:pPr>
      <w:spacing w:after="0"/>
    </w:pPr>
    <w:rPr>
      <w:rFonts w:ascii="Times New Roman" w:eastAsia="Times New Roman" w:hAnsi="Times New Roman" w:cs="Times New Roman"/>
      <w:sz w:val="20"/>
      <w:szCs w:val="20"/>
      <w:lang w:val="en-US"/>
    </w:rPr>
  </w:style>
  <w:style w:type="character" w:customStyle="1" w:styleId="apple-style-span">
    <w:name w:val="apple-style-span"/>
    <w:basedOn w:val="DefaultParagraphFont"/>
    <w:rsid w:val="008A1A24"/>
  </w:style>
  <w:style w:type="character" w:customStyle="1" w:styleId="apple-converted-space">
    <w:name w:val="apple-converted-space"/>
    <w:basedOn w:val="DefaultParagraphFont"/>
    <w:rsid w:val="008A1A24"/>
  </w:style>
  <w:style w:type="paragraph" w:customStyle="1" w:styleId="CM51">
    <w:name w:val="CM51"/>
    <w:basedOn w:val="Default0"/>
    <w:next w:val="Default0"/>
    <w:uiPriority w:val="99"/>
    <w:rsid w:val="008A1A24"/>
    <w:rPr>
      <w:rFonts w:ascii="Times New Roman" w:eastAsiaTheme="minorHAnsi" w:hAnsi="Times New Roman" w:cs="Times New Roman"/>
      <w:color w:val="auto"/>
      <w:lang w:val="en-AU" w:eastAsia="en-US"/>
    </w:rPr>
  </w:style>
  <w:style w:type="paragraph" w:customStyle="1" w:styleId="CM6">
    <w:name w:val="CM6"/>
    <w:basedOn w:val="Default0"/>
    <w:next w:val="Default0"/>
    <w:uiPriority w:val="99"/>
    <w:rsid w:val="008A1A24"/>
    <w:pPr>
      <w:spacing w:line="288" w:lineRule="atLeast"/>
    </w:pPr>
    <w:rPr>
      <w:rFonts w:ascii="Arial" w:eastAsiaTheme="minorHAnsi" w:hAnsi="Arial" w:cs="Arial"/>
      <w:color w:val="auto"/>
      <w:lang w:val="en-AU" w:eastAsia="en-US"/>
    </w:rPr>
  </w:style>
  <w:style w:type="paragraph" w:customStyle="1" w:styleId="CM114">
    <w:name w:val="CM114"/>
    <w:basedOn w:val="Default0"/>
    <w:next w:val="Default0"/>
    <w:uiPriority w:val="99"/>
    <w:rsid w:val="008A1A24"/>
    <w:rPr>
      <w:rFonts w:ascii="Arial" w:eastAsiaTheme="minorHAnsi" w:hAnsi="Arial" w:cs="Arial"/>
      <w:color w:val="auto"/>
      <w:lang w:val="en-AU" w:eastAsia="en-US"/>
    </w:rPr>
  </w:style>
  <w:style w:type="paragraph" w:customStyle="1" w:styleId="CM4">
    <w:name w:val="CM4"/>
    <w:basedOn w:val="Default0"/>
    <w:next w:val="Default0"/>
    <w:uiPriority w:val="99"/>
    <w:rsid w:val="008A1A24"/>
    <w:pPr>
      <w:spacing w:line="288" w:lineRule="atLeast"/>
    </w:pPr>
    <w:rPr>
      <w:rFonts w:ascii="Arial" w:eastAsiaTheme="minorHAnsi" w:hAnsi="Arial" w:cs="Arial"/>
      <w:color w:val="auto"/>
      <w:lang w:val="en-AU" w:eastAsia="en-US"/>
    </w:rPr>
  </w:style>
  <w:style w:type="paragraph" w:customStyle="1" w:styleId="CM34">
    <w:name w:val="CM34"/>
    <w:basedOn w:val="Default0"/>
    <w:next w:val="Default0"/>
    <w:uiPriority w:val="99"/>
    <w:rsid w:val="008A1A24"/>
    <w:pPr>
      <w:spacing w:line="283" w:lineRule="atLeast"/>
    </w:pPr>
    <w:rPr>
      <w:rFonts w:ascii="Times New Roman" w:eastAsiaTheme="minorHAnsi" w:hAnsi="Times New Roman" w:cs="Times New Roman"/>
      <w:color w:val="auto"/>
      <w:lang w:val="en-AU" w:eastAsia="en-US"/>
    </w:rPr>
  </w:style>
  <w:style w:type="character" w:styleId="EndnoteReference">
    <w:name w:val="endnote reference"/>
    <w:basedOn w:val="DefaultParagraphFont"/>
    <w:uiPriority w:val="99"/>
    <w:semiHidden/>
    <w:unhideWhenUsed/>
    <w:rsid w:val="008A1A24"/>
    <w:rPr>
      <w:vertAlign w:val="superscript"/>
    </w:rPr>
  </w:style>
  <w:style w:type="character" w:customStyle="1" w:styleId="pbtocarticletitle1">
    <w:name w:val="pb_toc_article_title1"/>
    <w:basedOn w:val="DefaultParagraphFont"/>
    <w:rsid w:val="008A1A24"/>
    <w:rPr>
      <w:rFonts w:ascii="Verdana" w:hAnsi="Verdana" w:hint="default"/>
      <w:b/>
      <w:bCs/>
      <w:color w:val="000000"/>
    </w:rPr>
  </w:style>
  <w:style w:type="character" w:customStyle="1" w:styleId="pbtocauthors1">
    <w:name w:val="pb_toc_authors1"/>
    <w:basedOn w:val="DefaultParagraphFont"/>
    <w:rsid w:val="008A1A24"/>
    <w:rPr>
      <w:rFonts w:ascii="Verdana" w:hAnsi="Verdana" w:hint="default"/>
      <w:b w:val="0"/>
      <w:bCs w:val="0"/>
      <w:color w:val="000000"/>
    </w:rPr>
  </w:style>
  <w:style w:type="character" w:customStyle="1" w:styleId="pbtocpages1">
    <w:name w:val="pb_toc_pages1"/>
    <w:basedOn w:val="DefaultParagraphFont"/>
    <w:rsid w:val="008A1A24"/>
    <w:rPr>
      <w:rFonts w:ascii="Verdana" w:hAnsi="Verdana" w:hint="default"/>
      <w:b w:val="0"/>
      <w:bCs w:val="0"/>
      <w:color w:val="000000"/>
    </w:rPr>
  </w:style>
  <w:style w:type="character" w:customStyle="1" w:styleId="style1">
    <w:name w:val="style1"/>
    <w:basedOn w:val="DefaultParagraphFont"/>
    <w:rsid w:val="008A1A24"/>
    <w:rPr>
      <w:rFonts w:ascii="Arial" w:hAnsi="Arial" w:cs="Arial" w:hint="default"/>
      <w:b/>
      <w:bCs/>
      <w:i w:val="0"/>
      <w:iCs w:val="0"/>
    </w:rPr>
  </w:style>
  <w:style w:type="paragraph" w:customStyle="1" w:styleId="mainTOC">
    <w:name w:val="main TOC"/>
    <w:basedOn w:val="TOC3"/>
    <w:uiPriority w:val="99"/>
    <w:qFormat/>
    <w:rsid w:val="007A3D01"/>
    <w:pPr>
      <w:tabs>
        <w:tab w:val="left" w:pos="1320"/>
      </w:tabs>
    </w:pPr>
  </w:style>
  <w:style w:type="character" w:customStyle="1" w:styleId="TOC7Char">
    <w:name w:val="TOC 7 Char"/>
    <w:basedOn w:val="DefaultParagraphFont"/>
    <w:link w:val="TOC7"/>
    <w:uiPriority w:val="39"/>
    <w:rsid w:val="0038659A"/>
    <w:rPr>
      <w:rFonts w:ascii="Arial" w:eastAsia="Times New Roman" w:hAnsi="Arial" w:cs="Times New Roman"/>
      <w:sz w:val="20"/>
      <w:szCs w:val="20"/>
      <w:lang w:val="en-GB"/>
    </w:rPr>
  </w:style>
  <w:style w:type="character" w:customStyle="1" w:styleId="TableofFiguresChar">
    <w:name w:val="Table of Figures Char"/>
    <w:basedOn w:val="TOC7Char"/>
    <w:link w:val="TableofFigures"/>
    <w:uiPriority w:val="99"/>
    <w:rsid w:val="00E4136F"/>
    <w:rPr>
      <w:rFonts w:ascii="Arial" w:eastAsiaTheme="majorEastAsia" w:hAnsi="Arial" w:cs="Arial"/>
      <w:bCs/>
      <w:noProof/>
      <w:sz w:val="20"/>
      <w:szCs w:val="20"/>
      <w:lang w:val="en-GB"/>
    </w:rPr>
  </w:style>
  <w:style w:type="paragraph" w:customStyle="1" w:styleId="TOC-figs-tables">
    <w:name w:val="TOC-figs-tables"/>
    <w:basedOn w:val="Figure"/>
    <w:next w:val="TableofFigures"/>
    <w:uiPriority w:val="99"/>
    <w:qFormat/>
    <w:rsid w:val="00CF402D"/>
    <w:pPr>
      <w:tabs>
        <w:tab w:val="left" w:pos="1296"/>
      </w:tabs>
      <w:ind w:left="1296"/>
    </w:pPr>
  </w:style>
  <w:style w:type="paragraph" w:customStyle="1" w:styleId="font5">
    <w:name w:val="font5"/>
    <w:basedOn w:val="Normal"/>
    <w:uiPriority w:val="99"/>
    <w:rsid w:val="00AB651D"/>
    <w:pPr>
      <w:spacing w:before="100" w:beforeAutospacing="1" w:after="100" w:afterAutospacing="1"/>
    </w:pPr>
    <w:rPr>
      <w:rFonts w:ascii="Arial Narrow" w:hAnsi="Arial Narrow"/>
      <w:b/>
      <w:bCs/>
      <w:color w:val="000000"/>
      <w:sz w:val="18"/>
      <w:szCs w:val="18"/>
      <w:lang w:val="en-AU" w:eastAsia="en-AU"/>
    </w:rPr>
  </w:style>
  <w:style w:type="paragraph" w:customStyle="1" w:styleId="font6">
    <w:name w:val="font6"/>
    <w:basedOn w:val="Normal"/>
    <w:uiPriority w:val="99"/>
    <w:rsid w:val="00AB651D"/>
    <w:pPr>
      <w:spacing w:before="100" w:beforeAutospacing="1" w:after="100" w:afterAutospacing="1"/>
    </w:pPr>
    <w:rPr>
      <w:rFonts w:ascii="Cambria Math" w:hAnsi="Cambria Math"/>
      <w:b/>
      <w:bCs/>
      <w:color w:val="000000"/>
      <w:sz w:val="18"/>
      <w:szCs w:val="18"/>
      <w:lang w:val="en-AU" w:eastAsia="en-AU"/>
    </w:rPr>
  </w:style>
  <w:style w:type="paragraph" w:customStyle="1" w:styleId="xl67">
    <w:name w:val="xl67"/>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18"/>
      <w:szCs w:val="18"/>
      <w:lang w:val="en-AU" w:eastAsia="en-AU"/>
    </w:rPr>
  </w:style>
  <w:style w:type="paragraph" w:customStyle="1" w:styleId="xl68">
    <w:name w:val="xl68"/>
    <w:basedOn w:val="Normal"/>
    <w:rsid w:val="00AB651D"/>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pPr>
    <w:rPr>
      <w:rFonts w:ascii="Times New Roman" w:hAnsi="Times New Roman"/>
      <w:sz w:val="18"/>
      <w:szCs w:val="18"/>
      <w:lang w:val="en-AU" w:eastAsia="en-AU"/>
    </w:rPr>
  </w:style>
  <w:style w:type="paragraph" w:customStyle="1" w:styleId="xl69">
    <w:name w:val="xl69"/>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18"/>
      <w:szCs w:val="18"/>
      <w:lang w:val="en-AU" w:eastAsia="en-AU"/>
    </w:rPr>
  </w:style>
  <w:style w:type="paragraph" w:customStyle="1" w:styleId="xl70">
    <w:name w:val="xl70"/>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18"/>
      <w:szCs w:val="18"/>
      <w:lang w:val="en-AU" w:eastAsia="en-AU"/>
    </w:rPr>
  </w:style>
  <w:style w:type="numbering" w:customStyle="1" w:styleId="NoList3">
    <w:name w:val="No List3"/>
    <w:next w:val="NoList"/>
    <w:uiPriority w:val="99"/>
    <w:semiHidden/>
    <w:unhideWhenUsed/>
    <w:rsid w:val="00737850"/>
  </w:style>
  <w:style w:type="numbering" w:customStyle="1" w:styleId="NoList4">
    <w:name w:val="No List4"/>
    <w:next w:val="NoList"/>
    <w:uiPriority w:val="99"/>
    <w:semiHidden/>
    <w:unhideWhenUsed/>
    <w:rsid w:val="00737850"/>
  </w:style>
  <w:style w:type="numbering" w:customStyle="1" w:styleId="NoList5">
    <w:name w:val="No List5"/>
    <w:next w:val="NoList"/>
    <w:uiPriority w:val="99"/>
    <w:semiHidden/>
    <w:unhideWhenUsed/>
    <w:rsid w:val="00737850"/>
  </w:style>
  <w:style w:type="character" w:styleId="PlaceholderText">
    <w:name w:val="Placeholder Text"/>
    <w:basedOn w:val="DefaultParagraphFont"/>
    <w:uiPriority w:val="99"/>
    <w:semiHidden/>
    <w:rsid w:val="002B057C"/>
    <w:rPr>
      <w:color w:val="808080"/>
    </w:rPr>
  </w:style>
  <w:style w:type="paragraph" w:customStyle="1" w:styleId="AppendixFigures">
    <w:name w:val="Appendix Figures"/>
    <w:next w:val="Normal"/>
    <w:autoRedefine/>
    <w:qFormat/>
    <w:rsid w:val="001C36F4"/>
    <w:pPr>
      <w:spacing w:after="0"/>
      <w:ind w:left="426"/>
    </w:pPr>
    <w:rPr>
      <w:rFonts w:ascii="Arial Narrow" w:eastAsia="SimSun" w:hAnsi="Arial Narrow" w:cs="Times New Roman"/>
      <w:sz w:val="20"/>
      <w:szCs w:val="24"/>
      <w:lang w:val="en-GB"/>
    </w:rPr>
  </w:style>
  <w:style w:type="character" w:customStyle="1" w:styleId="Heading7Char1">
    <w:name w:val="Heading 7 Char1"/>
    <w:aliases w:val="Tables Char1"/>
    <w:basedOn w:val="DefaultParagraphFont"/>
    <w:uiPriority w:val="99"/>
    <w:semiHidden/>
    <w:rsid w:val="007372D2"/>
    <w:rPr>
      <w:rFonts w:asciiTheme="majorHAnsi" w:eastAsiaTheme="majorEastAsia" w:hAnsiTheme="majorHAnsi" w:cstheme="majorBidi"/>
      <w:i/>
      <w:iCs/>
      <w:color w:val="404040" w:themeColor="text1" w:themeTint="BF"/>
      <w:sz w:val="22"/>
      <w:szCs w:val="22"/>
    </w:rPr>
  </w:style>
  <w:style w:type="paragraph" w:customStyle="1" w:styleId="xl63">
    <w:name w:val="xl63"/>
    <w:basedOn w:val="Normal"/>
    <w:rsid w:val="00C63155"/>
    <w:pPr>
      <w:spacing w:before="100" w:beforeAutospacing="1" w:after="100" w:afterAutospacing="1"/>
    </w:pPr>
    <w:rPr>
      <w:rFonts w:ascii="Arial Narrow" w:hAnsi="Arial Narrow"/>
      <w:sz w:val="20"/>
      <w:lang w:val="en-AU" w:eastAsia="en-AU"/>
    </w:rPr>
  </w:style>
  <w:style w:type="paragraph" w:customStyle="1" w:styleId="xl64">
    <w:name w:val="xl64"/>
    <w:basedOn w:val="Normal"/>
    <w:rsid w:val="00C63155"/>
    <w:pPr>
      <w:spacing w:before="100" w:beforeAutospacing="1" w:after="100" w:afterAutospacing="1"/>
      <w:jc w:val="center"/>
      <w:textAlignment w:val="center"/>
    </w:pPr>
    <w:rPr>
      <w:rFonts w:ascii="Times New Roman" w:hAnsi="Times New Roman"/>
      <w:sz w:val="24"/>
      <w:szCs w:val="24"/>
      <w:lang w:val="en-AU" w:eastAsia="en-AU"/>
    </w:rPr>
  </w:style>
  <w:style w:type="paragraph" w:customStyle="1" w:styleId="xl71">
    <w:name w:val="xl71"/>
    <w:basedOn w:val="Normal"/>
    <w:rsid w:val="00C63155"/>
    <w:pPr>
      <w:spacing w:before="100" w:beforeAutospacing="1" w:after="100" w:afterAutospacing="1"/>
      <w:jc w:val="center"/>
      <w:textAlignment w:val="center"/>
    </w:pPr>
    <w:rPr>
      <w:rFonts w:ascii="Arial Narrow" w:hAnsi="Arial Narrow"/>
      <w:sz w:val="20"/>
      <w:lang w:val="en-AU" w:eastAsia="en-AU"/>
    </w:rPr>
  </w:style>
  <w:style w:type="paragraph" w:customStyle="1" w:styleId="xl72">
    <w:name w:val="xl72"/>
    <w:basedOn w:val="Normal"/>
    <w:rsid w:val="00C63155"/>
    <w:pPr>
      <w:spacing w:before="100" w:beforeAutospacing="1" w:after="100" w:afterAutospacing="1"/>
      <w:jc w:val="center"/>
      <w:textAlignment w:val="center"/>
    </w:pPr>
    <w:rPr>
      <w:rFonts w:ascii="Arial Narrow" w:hAnsi="Arial Narrow"/>
      <w:sz w:val="20"/>
      <w:lang w:val="en-AU" w:eastAsia="en-AU"/>
    </w:rPr>
  </w:style>
  <w:style w:type="paragraph" w:customStyle="1" w:styleId="xl73">
    <w:name w:val="xl73"/>
    <w:basedOn w:val="Normal"/>
    <w:rsid w:val="00A073D4"/>
    <w:pPr>
      <w:spacing w:before="100" w:beforeAutospacing="1" w:after="100" w:afterAutospacing="1"/>
      <w:jc w:val="center"/>
      <w:textAlignment w:val="center"/>
    </w:pPr>
    <w:rPr>
      <w:rFonts w:ascii="Arial Narrow" w:hAnsi="Arial Narrow"/>
      <w:sz w:val="20"/>
      <w:lang w:val="en-AU" w:eastAsia="en-AU"/>
    </w:rPr>
  </w:style>
  <w:style w:type="paragraph" w:customStyle="1" w:styleId="xl74">
    <w:name w:val="xl74"/>
    <w:basedOn w:val="Normal"/>
    <w:rsid w:val="00A073D4"/>
    <w:pPr>
      <w:spacing w:before="100" w:beforeAutospacing="1" w:after="100" w:afterAutospacing="1"/>
      <w:jc w:val="center"/>
      <w:textAlignment w:val="center"/>
    </w:pPr>
    <w:rPr>
      <w:rFonts w:ascii="Arial Narrow" w:hAnsi="Arial Narrow"/>
      <w:sz w:val="20"/>
      <w:lang w:val="en-AU" w:eastAsia="en-AU"/>
    </w:rPr>
  </w:style>
  <w:style w:type="paragraph" w:customStyle="1" w:styleId="xl75">
    <w:name w:val="xl75"/>
    <w:basedOn w:val="Normal"/>
    <w:rsid w:val="00B33EEE"/>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Narrow" w:hAnsi="Arial Narrow"/>
      <w:sz w:val="16"/>
      <w:szCs w:val="16"/>
      <w:lang w:val="en-AU" w:eastAsia="en-AU"/>
    </w:rPr>
  </w:style>
  <w:style w:type="paragraph" w:customStyle="1" w:styleId="xl76">
    <w:name w:val="xl76"/>
    <w:basedOn w:val="Normal"/>
    <w:rsid w:val="00B33EEE"/>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24"/>
      <w:szCs w:val="24"/>
      <w:lang w:val="en-AU" w:eastAsia="en-AU"/>
    </w:rPr>
  </w:style>
  <w:style w:type="table" w:customStyle="1" w:styleId="TableGrid2">
    <w:name w:val="Table Grid2"/>
    <w:basedOn w:val="TableNormal"/>
    <w:next w:val="TableGrid"/>
    <w:uiPriority w:val="59"/>
    <w:rsid w:val="00FB7B84"/>
    <w:pPr>
      <w:spacing w:after="0"/>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A2572F"/>
    <w:pPr>
      <w:spacing w:after="0"/>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A2572F"/>
    <w:pPr>
      <w:spacing w:after="0"/>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AA43B2"/>
    <w:pPr>
      <w:spacing w:after="0"/>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basedOn w:val="DefaultParagraphFont"/>
    <w:uiPriority w:val="99"/>
    <w:semiHidden/>
    <w:unhideWhenUsed/>
    <w:rsid w:val="0039351B"/>
    <w:rPr>
      <w:i/>
      <w:iCs/>
    </w:rPr>
  </w:style>
  <w:style w:type="character" w:customStyle="1" w:styleId="doi1">
    <w:name w:val="doi1"/>
    <w:basedOn w:val="DefaultParagraphFont"/>
    <w:rsid w:val="00DA3A00"/>
  </w:style>
  <w:style w:type="paragraph" w:customStyle="1" w:styleId="Style10">
    <w:name w:val="Style1"/>
    <w:basedOn w:val="Footer"/>
    <w:link w:val="Style1Char"/>
    <w:qFormat/>
    <w:rsid w:val="00917143"/>
    <w:pPr>
      <w:pBdr>
        <w:top w:val="single" w:sz="18" w:space="1" w:color="0070C0"/>
      </w:pBdr>
      <w:tabs>
        <w:tab w:val="clear" w:pos="8306"/>
      </w:tabs>
      <w:ind w:right="47"/>
    </w:pPr>
    <w:rPr>
      <w:bdr w:val="single" w:sz="18" w:space="0" w:color="0070C0"/>
    </w:rPr>
  </w:style>
  <w:style w:type="character" w:customStyle="1" w:styleId="Style1Char">
    <w:name w:val="Style1 Char"/>
    <w:basedOn w:val="FooterChar"/>
    <w:link w:val="Style10"/>
    <w:rsid w:val="00917143"/>
    <w:rPr>
      <w:rFonts w:ascii="Gill Sans MT" w:eastAsia="Times New Roman" w:hAnsi="Gill Sans MT" w:cs="Times New Roman"/>
      <w:sz w:val="20"/>
      <w:szCs w:val="20"/>
      <w:bdr w:val="single" w:sz="18" w:space="0" w:color="0070C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017720">
      <w:bodyDiv w:val="1"/>
      <w:marLeft w:val="0"/>
      <w:marRight w:val="0"/>
      <w:marTop w:val="0"/>
      <w:marBottom w:val="0"/>
      <w:divBdr>
        <w:top w:val="none" w:sz="0" w:space="0" w:color="auto"/>
        <w:left w:val="none" w:sz="0" w:space="0" w:color="auto"/>
        <w:bottom w:val="none" w:sz="0" w:space="0" w:color="auto"/>
        <w:right w:val="none" w:sz="0" w:space="0" w:color="auto"/>
      </w:divBdr>
    </w:div>
    <w:div w:id="104425342">
      <w:bodyDiv w:val="1"/>
      <w:marLeft w:val="0"/>
      <w:marRight w:val="0"/>
      <w:marTop w:val="0"/>
      <w:marBottom w:val="0"/>
      <w:divBdr>
        <w:top w:val="none" w:sz="0" w:space="0" w:color="auto"/>
        <w:left w:val="none" w:sz="0" w:space="0" w:color="auto"/>
        <w:bottom w:val="none" w:sz="0" w:space="0" w:color="auto"/>
        <w:right w:val="none" w:sz="0" w:space="0" w:color="auto"/>
      </w:divBdr>
    </w:div>
    <w:div w:id="113986197">
      <w:bodyDiv w:val="1"/>
      <w:marLeft w:val="0"/>
      <w:marRight w:val="0"/>
      <w:marTop w:val="0"/>
      <w:marBottom w:val="0"/>
      <w:divBdr>
        <w:top w:val="none" w:sz="0" w:space="0" w:color="auto"/>
        <w:left w:val="none" w:sz="0" w:space="0" w:color="auto"/>
        <w:bottom w:val="none" w:sz="0" w:space="0" w:color="auto"/>
        <w:right w:val="none" w:sz="0" w:space="0" w:color="auto"/>
      </w:divBdr>
      <w:divsChild>
        <w:div w:id="639462841">
          <w:marLeft w:val="0"/>
          <w:marRight w:val="0"/>
          <w:marTop w:val="0"/>
          <w:marBottom w:val="0"/>
          <w:divBdr>
            <w:top w:val="none" w:sz="0" w:space="0" w:color="auto"/>
            <w:left w:val="none" w:sz="0" w:space="0" w:color="auto"/>
            <w:bottom w:val="none" w:sz="0" w:space="0" w:color="auto"/>
            <w:right w:val="none" w:sz="0" w:space="0" w:color="auto"/>
          </w:divBdr>
          <w:divsChild>
            <w:div w:id="809516951">
              <w:marLeft w:val="0"/>
              <w:marRight w:val="0"/>
              <w:marTop w:val="0"/>
              <w:marBottom w:val="0"/>
              <w:divBdr>
                <w:top w:val="none" w:sz="0" w:space="0" w:color="auto"/>
                <w:left w:val="none" w:sz="0" w:space="0" w:color="auto"/>
                <w:bottom w:val="none" w:sz="0" w:space="0" w:color="auto"/>
                <w:right w:val="none" w:sz="0" w:space="0" w:color="auto"/>
              </w:divBdr>
              <w:divsChild>
                <w:div w:id="1779055855">
                  <w:marLeft w:val="0"/>
                  <w:marRight w:val="0"/>
                  <w:marTop w:val="0"/>
                  <w:marBottom w:val="0"/>
                  <w:divBdr>
                    <w:top w:val="none" w:sz="0" w:space="0" w:color="auto"/>
                    <w:left w:val="none" w:sz="0" w:space="0" w:color="auto"/>
                    <w:bottom w:val="none" w:sz="0" w:space="0" w:color="auto"/>
                    <w:right w:val="none" w:sz="0" w:space="0" w:color="auto"/>
                  </w:divBdr>
                  <w:divsChild>
                    <w:div w:id="2118402489">
                      <w:marLeft w:val="120"/>
                      <w:marRight w:val="120"/>
                      <w:marTop w:val="120"/>
                      <w:marBottom w:val="120"/>
                      <w:divBdr>
                        <w:top w:val="none" w:sz="0" w:space="0" w:color="auto"/>
                        <w:left w:val="none" w:sz="0" w:space="0" w:color="auto"/>
                        <w:bottom w:val="single" w:sz="6" w:space="0" w:color="FFFFFF"/>
                        <w:right w:val="none" w:sz="0" w:space="0" w:color="auto"/>
                      </w:divBdr>
                      <w:divsChild>
                        <w:div w:id="1115637068">
                          <w:marLeft w:val="0"/>
                          <w:marRight w:val="0"/>
                          <w:marTop w:val="0"/>
                          <w:marBottom w:val="0"/>
                          <w:divBdr>
                            <w:top w:val="none" w:sz="0" w:space="0" w:color="auto"/>
                            <w:left w:val="none" w:sz="0" w:space="0" w:color="auto"/>
                            <w:bottom w:val="none" w:sz="0" w:space="0" w:color="auto"/>
                            <w:right w:val="none" w:sz="0" w:space="0" w:color="auto"/>
                          </w:divBdr>
                          <w:divsChild>
                            <w:div w:id="298925118">
                              <w:marLeft w:val="0"/>
                              <w:marRight w:val="0"/>
                              <w:marTop w:val="0"/>
                              <w:marBottom w:val="0"/>
                              <w:divBdr>
                                <w:top w:val="none" w:sz="0" w:space="0" w:color="auto"/>
                                <w:left w:val="none" w:sz="0" w:space="0" w:color="auto"/>
                                <w:bottom w:val="none" w:sz="0" w:space="0" w:color="auto"/>
                                <w:right w:val="none" w:sz="0" w:space="0" w:color="auto"/>
                              </w:divBdr>
                              <w:divsChild>
                                <w:div w:id="1630282655">
                                  <w:marLeft w:val="0"/>
                                  <w:marRight w:val="0"/>
                                  <w:marTop w:val="0"/>
                                  <w:marBottom w:val="0"/>
                                  <w:divBdr>
                                    <w:top w:val="none" w:sz="0" w:space="0" w:color="auto"/>
                                    <w:left w:val="none" w:sz="0" w:space="0" w:color="auto"/>
                                    <w:bottom w:val="none" w:sz="0" w:space="0" w:color="auto"/>
                                    <w:right w:val="none" w:sz="0" w:space="0" w:color="auto"/>
                                  </w:divBdr>
                                  <w:divsChild>
                                    <w:div w:id="112136676">
                                      <w:marLeft w:val="0"/>
                                      <w:marRight w:val="0"/>
                                      <w:marTop w:val="0"/>
                                      <w:marBottom w:val="0"/>
                                      <w:divBdr>
                                        <w:top w:val="none" w:sz="0" w:space="0" w:color="auto"/>
                                        <w:left w:val="none" w:sz="0" w:space="0" w:color="auto"/>
                                        <w:bottom w:val="none" w:sz="0" w:space="0" w:color="auto"/>
                                        <w:right w:val="none" w:sz="0" w:space="0" w:color="auto"/>
                                      </w:divBdr>
                                      <w:divsChild>
                                        <w:div w:id="373819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3432064">
      <w:bodyDiv w:val="1"/>
      <w:marLeft w:val="0"/>
      <w:marRight w:val="0"/>
      <w:marTop w:val="0"/>
      <w:marBottom w:val="0"/>
      <w:divBdr>
        <w:top w:val="none" w:sz="0" w:space="0" w:color="auto"/>
        <w:left w:val="none" w:sz="0" w:space="0" w:color="auto"/>
        <w:bottom w:val="none" w:sz="0" w:space="0" w:color="auto"/>
        <w:right w:val="none" w:sz="0" w:space="0" w:color="auto"/>
      </w:divBdr>
    </w:div>
    <w:div w:id="141773860">
      <w:bodyDiv w:val="1"/>
      <w:marLeft w:val="0"/>
      <w:marRight w:val="0"/>
      <w:marTop w:val="0"/>
      <w:marBottom w:val="0"/>
      <w:divBdr>
        <w:top w:val="none" w:sz="0" w:space="0" w:color="auto"/>
        <w:left w:val="none" w:sz="0" w:space="0" w:color="auto"/>
        <w:bottom w:val="none" w:sz="0" w:space="0" w:color="auto"/>
        <w:right w:val="none" w:sz="0" w:space="0" w:color="auto"/>
      </w:divBdr>
    </w:div>
    <w:div w:id="160586523">
      <w:bodyDiv w:val="1"/>
      <w:marLeft w:val="0"/>
      <w:marRight w:val="0"/>
      <w:marTop w:val="0"/>
      <w:marBottom w:val="0"/>
      <w:divBdr>
        <w:top w:val="none" w:sz="0" w:space="0" w:color="auto"/>
        <w:left w:val="none" w:sz="0" w:space="0" w:color="auto"/>
        <w:bottom w:val="none" w:sz="0" w:space="0" w:color="auto"/>
        <w:right w:val="none" w:sz="0" w:space="0" w:color="auto"/>
      </w:divBdr>
    </w:div>
    <w:div w:id="168563918">
      <w:bodyDiv w:val="1"/>
      <w:marLeft w:val="0"/>
      <w:marRight w:val="0"/>
      <w:marTop w:val="0"/>
      <w:marBottom w:val="0"/>
      <w:divBdr>
        <w:top w:val="none" w:sz="0" w:space="0" w:color="auto"/>
        <w:left w:val="none" w:sz="0" w:space="0" w:color="auto"/>
        <w:bottom w:val="none" w:sz="0" w:space="0" w:color="auto"/>
        <w:right w:val="none" w:sz="0" w:space="0" w:color="auto"/>
      </w:divBdr>
      <w:divsChild>
        <w:div w:id="1180126010">
          <w:marLeft w:val="0"/>
          <w:marRight w:val="0"/>
          <w:marTop w:val="0"/>
          <w:marBottom w:val="0"/>
          <w:divBdr>
            <w:top w:val="none" w:sz="0" w:space="0" w:color="auto"/>
            <w:left w:val="none" w:sz="0" w:space="0" w:color="auto"/>
            <w:bottom w:val="none" w:sz="0" w:space="0" w:color="auto"/>
            <w:right w:val="none" w:sz="0" w:space="0" w:color="auto"/>
          </w:divBdr>
          <w:divsChild>
            <w:div w:id="38626937">
              <w:marLeft w:val="0"/>
              <w:marRight w:val="0"/>
              <w:marTop w:val="0"/>
              <w:marBottom w:val="0"/>
              <w:divBdr>
                <w:top w:val="none" w:sz="0" w:space="0" w:color="auto"/>
                <w:left w:val="none" w:sz="0" w:space="0" w:color="auto"/>
                <w:bottom w:val="none" w:sz="0" w:space="0" w:color="auto"/>
                <w:right w:val="none" w:sz="0" w:space="0" w:color="auto"/>
              </w:divBdr>
              <w:divsChild>
                <w:div w:id="50271390">
                  <w:marLeft w:val="0"/>
                  <w:marRight w:val="0"/>
                  <w:marTop w:val="0"/>
                  <w:marBottom w:val="0"/>
                  <w:divBdr>
                    <w:top w:val="none" w:sz="0" w:space="0" w:color="auto"/>
                    <w:left w:val="none" w:sz="0" w:space="0" w:color="auto"/>
                    <w:bottom w:val="none" w:sz="0" w:space="0" w:color="auto"/>
                    <w:right w:val="none" w:sz="0" w:space="0" w:color="auto"/>
                  </w:divBdr>
                  <w:divsChild>
                    <w:div w:id="2128771971">
                      <w:marLeft w:val="0"/>
                      <w:marRight w:val="0"/>
                      <w:marTop w:val="0"/>
                      <w:marBottom w:val="0"/>
                      <w:divBdr>
                        <w:top w:val="none" w:sz="0" w:space="0" w:color="auto"/>
                        <w:left w:val="none" w:sz="0" w:space="0" w:color="auto"/>
                        <w:bottom w:val="none" w:sz="0" w:space="0" w:color="auto"/>
                        <w:right w:val="none" w:sz="0" w:space="0" w:color="auto"/>
                      </w:divBdr>
                      <w:divsChild>
                        <w:div w:id="1217618497">
                          <w:marLeft w:val="0"/>
                          <w:marRight w:val="0"/>
                          <w:marTop w:val="0"/>
                          <w:marBottom w:val="0"/>
                          <w:divBdr>
                            <w:top w:val="none" w:sz="0" w:space="0" w:color="auto"/>
                            <w:left w:val="none" w:sz="0" w:space="0" w:color="auto"/>
                            <w:bottom w:val="none" w:sz="0" w:space="0" w:color="auto"/>
                            <w:right w:val="none" w:sz="0" w:space="0" w:color="auto"/>
                          </w:divBdr>
                          <w:divsChild>
                            <w:div w:id="840971269">
                              <w:marLeft w:val="0"/>
                              <w:marRight w:val="0"/>
                              <w:marTop w:val="0"/>
                              <w:marBottom w:val="0"/>
                              <w:divBdr>
                                <w:top w:val="none" w:sz="0" w:space="0" w:color="auto"/>
                                <w:left w:val="none" w:sz="0" w:space="0" w:color="auto"/>
                                <w:bottom w:val="none" w:sz="0" w:space="0" w:color="auto"/>
                                <w:right w:val="none" w:sz="0" w:space="0" w:color="auto"/>
                              </w:divBdr>
                              <w:divsChild>
                                <w:div w:id="952057108">
                                  <w:marLeft w:val="0"/>
                                  <w:marRight w:val="0"/>
                                  <w:marTop w:val="0"/>
                                  <w:marBottom w:val="0"/>
                                  <w:divBdr>
                                    <w:top w:val="none" w:sz="0" w:space="0" w:color="auto"/>
                                    <w:left w:val="none" w:sz="0" w:space="0" w:color="auto"/>
                                    <w:bottom w:val="none" w:sz="0" w:space="0" w:color="auto"/>
                                    <w:right w:val="none" w:sz="0" w:space="0" w:color="auto"/>
                                  </w:divBdr>
                                  <w:divsChild>
                                    <w:div w:id="1118334408">
                                      <w:marLeft w:val="0"/>
                                      <w:marRight w:val="0"/>
                                      <w:marTop w:val="0"/>
                                      <w:marBottom w:val="0"/>
                                      <w:divBdr>
                                        <w:top w:val="none" w:sz="0" w:space="0" w:color="auto"/>
                                        <w:left w:val="none" w:sz="0" w:space="0" w:color="auto"/>
                                        <w:bottom w:val="none" w:sz="0" w:space="0" w:color="auto"/>
                                        <w:right w:val="none" w:sz="0" w:space="0" w:color="auto"/>
                                      </w:divBdr>
                                      <w:divsChild>
                                        <w:div w:id="1059088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9732604">
      <w:bodyDiv w:val="1"/>
      <w:marLeft w:val="0"/>
      <w:marRight w:val="0"/>
      <w:marTop w:val="0"/>
      <w:marBottom w:val="0"/>
      <w:divBdr>
        <w:top w:val="none" w:sz="0" w:space="0" w:color="auto"/>
        <w:left w:val="none" w:sz="0" w:space="0" w:color="auto"/>
        <w:bottom w:val="none" w:sz="0" w:space="0" w:color="auto"/>
        <w:right w:val="none" w:sz="0" w:space="0" w:color="auto"/>
      </w:divBdr>
    </w:div>
    <w:div w:id="278076579">
      <w:bodyDiv w:val="1"/>
      <w:marLeft w:val="0"/>
      <w:marRight w:val="0"/>
      <w:marTop w:val="0"/>
      <w:marBottom w:val="0"/>
      <w:divBdr>
        <w:top w:val="none" w:sz="0" w:space="0" w:color="auto"/>
        <w:left w:val="none" w:sz="0" w:space="0" w:color="auto"/>
        <w:bottom w:val="none" w:sz="0" w:space="0" w:color="auto"/>
        <w:right w:val="none" w:sz="0" w:space="0" w:color="auto"/>
      </w:divBdr>
    </w:div>
    <w:div w:id="285047667">
      <w:bodyDiv w:val="1"/>
      <w:marLeft w:val="0"/>
      <w:marRight w:val="0"/>
      <w:marTop w:val="0"/>
      <w:marBottom w:val="0"/>
      <w:divBdr>
        <w:top w:val="none" w:sz="0" w:space="0" w:color="auto"/>
        <w:left w:val="none" w:sz="0" w:space="0" w:color="auto"/>
        <w:bottom w:val="none" w:sz="0" w:space="0" w:color="auto"/>
        <w:right w:val="none" w:sz="0" w:space="0" w:color="auto"/>
      </w:divBdr>
    </w:div>
    <w:div w:id="326592767">
      <w:bodyDiv w:val="1"/>
      <w:marLeft w:val="0"/>
      <w:marRight w:val="0"/>
      <w:marTop w:val="0"/>
      <w:marBottom w:val="0"/>
      <w:divBdr>
        <w:top w:val="none" w:sz="0" w:space="0" w:color="auto"/>
        <w:left w:val="none" w:sz="0" w:space="0" w:color="auto"/>
        <w:bottom w:val="none" w:sz="0" w:space="0" w:color="auto"/>
        <w:right w:val="none" w:sz="0" w:space="0" w:color="auto"/>
      </w:divBdr>
    </w:div>
    <w:div w:id="360519417">
      <w:bodyDiv w:val="1"/>
      <w:marLeft w:val="0"/>
      <w:marRight w:val="0"/>
      <w:marTop w:val="0"/>
      <w:marBottom w:val="0"/>
      <w:divBdr>
        <w:top w:val="none" w:sz="0" w:space="0" w:color="auto"/>
        <w:left w:val="none" w:sz="0" w:space="0" w:color="auto"/>
        <w:bottom w:val="none" w:sz="0" w:space="0" w:color="auto"/>
        <w:right w:val="none" w:sz="0" w:space="0" w:color="auto"/>
      </w:divBdr>
    </w:div>
    <w:div w:id="404961236">
      <w:bodyDiv w:val="1"/>
      <w:marLeft w:val="0"/>
      <w:marRight w:val="0"/>
      <w:marTop w:val="0"/>
      <w:marBottom w:val="0"/>
      <w:divBdr>
        <w:top w:val="none" w:sz="0" w:space="0" w:color="auto"/>
        <w:left w:val="none" w:sz="0" w:space="0" w:color="auto"/>
        <w:bottom w:val="none" w:sz="0" w:space="0" w:color="auto"/>
        <w:right w:val="none" w:sz="0" w:space="0" w:color="auto"/>
      </w:divBdr>
    </w:div>
    <w:div w:id="417214704">
      <w:bodyDiv w:val="1"/>
      <w:marLeft w:val="0"/>
      <w:marRight w:val="0"/>
      <w:marTop w:val="0"/>
      <w:marBottom w:val="0"/>
      <w:divBdr>
        <w:top w:val="none" w:sz="0" w:space="0" w:color="auto"/>
        <w:left w:val="none" w:sz="0" w:space="0" w:color="auto"/>
        <w:bottom w:val="none" w:sz="0" w:space="0" w:color="auto"/>
        <w:right w:val="none" w:sz="0" w:space="0" w:color="auto"/>
      </w:divBdr>
    </w:div>
    <w:div w:id="420680508">
      <w:bodyDiv w:val="1"/>
      <w:marLeft w:val="0"/>
      <w:marRight w:val="0"/>
      <w:marTop w:val="0"/>
      <w:marBottom w:val="0"/>
      <w:divBdr>
        <w:top w:val="none" w:sz="0" w:space="0" w:color="auto"/>
        <w:left w:val="none" w:sz="0" w:space="0" w:color="auto"/>
        <w:bottom w:val="none" w:sz="0" w:space="0" w:color="auto"/>
        <w:right w:val="none" w:sz="0" w:space="0" w:color="auto"/>
      </w:divBdr>
    </w:div>
    <w:div w:id="424612096">
      <w:bodyDiv w:val="1"/>
      <w:marLeft w:val="0"/>
      <w:marRight w:val="0"/>
      <w:marTop w:val="0"/>
      <w:marBottom w:val="0"/>
      <w:divBdr>
        <w:top w:val="none" w:sz="0" w:space="0" w:color="auto"/>
        <w:left w:val="none" w:sz="0" w:space="0" w:color="auto"/>
        <w:bottom w:val="none" w:sz="0" w:space="0" w:color="auto"/>
        <w:right w:val="none" w:sz="0" w:space="0" w:color="auto"/>
      </w:divBdr>
    </w:div>
    <w:div w:id="431164868">
      <w:bodyDiv w:val="1"/>
      <w:marLeft w:val="0"/>
      <w:marRight w:val="0"/>
      <w:marTop w:val="0"/>
      <w:marBottom w:val="0"/>
      <w:divBdr>
        <w:top w:val="none" w:sz="0" w:space="0" w:color="auto"/>
        <w:left w:val="none" w:sz="0" w:space="0" w:color="auto"/>
        <w:bottom w:val="none" w:sz="0" w:space="0" w:color="auto"/>
        <w:right w:val="none" w:sz="0" w:space="0" w:color="auto"/>
      </w:divBdr>
    </w:div>
    <w:div w:id="541790663">
      <w:bodyDiv w:val="1"/>
      <w:marLeft w:val="0"/>
      <w:marRight w:val="0"/>
      <w:marTop w:val="0"/>
      <w:marBottom w:val="0"/>
      <w:divBdr>
        <w:top w:val="none" w:sz="0" w:space="0" w:color="auto"/>
        <w:left w:val="none" w:sz="0" w:space="0" w:color="auto"/>
        <w:bottom w:val="none" w:sz="0" w:space="0" w:color="auto"/>
        <w:right w:val="none" w:sz="0" w:space="0" w:color="auto"/>
      </w:divBdr>
    </w:div>
    <w:div w:id="589511318">
      <w:bodyDiv w:val="1"/>
      <w:marLeft w:val="0"/>
      <w:marRight w:val="0"/>
      <w:marTop w:val="0"/>
      <w:marBottom w:val="0"/>
      <w:divBdr>
        <w:top w:val="none" w:sz="0" w:space="0" w:color="auto"/>
        <w:left w:val="none" w:sz="0" w:space="0" w:color="auto"/>
        <w:bottom w:val="none" w:sz="0" w:space="0" w:color="auto"/>
        <w:right w:val="none" w:sz="0" w:space="0" w:color="auto"/>
      </w:divBdr>
    </w:div>
    <w:div w:id="676538295">
      <w:bodyDiv w:val="1"/>
      <w:marLeft w:val="0"/>
      <w:marRight w:val="0"/>
      <w:marTop w:val="0"/>
      <w:marBottom w:val="0"/>
      <w:divBdr>
        <w:top w:val="none" w:sz="0" w:space="0" w:color="auto"/>
        <w:left w:val="none" w:sz="0" w:space="0" w:color="auto"/>
        <w:bottom w:val="none" w:sz="0" w:space="0" w:color="auto"/>
        <w:right w:val="none" w:sz="0" w:space="0" w:color="auto"/>
      </w:divBdr>
    </w:div>
    <w:div w:id="679313215">
      <w:bodyDiv w:val="1"/>
      <w:marLeft w:val="0"/>
      <w:marRight w:val="0"/>
      <w:marTop w:val="0"/>
      <w:marBottom w:val="0"/>
      <w:divBdr>
        <w:top w:val="none" w:sz="0" w:space="0" w:color="auto"/>
        <w:left w:val="none" w:sz="0" w:space="0" w:color="auto"/>
        <w:bottom w:val="none" w:sz="0" w:space="0" w:color="auto"/>
        <w:right w:val="none" w:sz="0" w:space="0" w:color="auto"/>
      </w:divBdr>
    </w:div>
    <w:div w:id="687028920">
      <w:bodyDiv w:val="1"/>
      <w:marLeft w:val="0"/>
      <w:marRight w:val="0"/>
      <w:marTop w:val="0"/>
      <w:marBottom w:val="0"/>
      <w:divBdr>
        <w:top w:val="none" w:sz="0" w:space="0" w:color="auto"/>
        <w:left w:val="none" w:sz="0" w:space="0" w:color="auto"/>
        <w:bottom w:val="none" w:sz="0" w:space="0" w:color="auto"/>
        <w:right w:val="none" w:sz="0" w:space="0" w:color="auto"/>
      </w:divBdr>
    </w:div>
    <w:div w:id="718675107">
      <w:bodyDiv w:val="1"/>
      <w:marLeft w:val="0"/>
      <w:marRight w:val="0"/>
      <w:marTop w:val="0"/>
      <w:marBottom w:val="0"/>
      <w:divBdr>
        <w:top w:val="none" w:sz="0" w:space="0" w:color="auto"/>
        <w:left w:val="none" w:sz="0" w:space="0" w:color="auto"/>
        <w:bottom w:val="none" w:sz="0" w:space="0" w:color="auto"/>
        <w:right w:val="none" w:sz="0" w:space="0" w:color="auto"/>
      </w:divBdr>
    </w:div>
    <w:div w:id="738862773">
      <w:bodyDiv w:val="1"/>
      <w:marLeft w:val="0"/>
      <w:marRight w:val="0"/>
      <w:marTop w:val="0"/>
      <w:marBottom w:val="0"/>
      <w:divBdr>
        <w:top w:val="none" w:sz="0" w:space="0" w:color="auto"/>
        <w:left w:val="none" w:sz="0" w:space="0" w:color="auto"/>
        <w:bottom w:val="none" w:sz="0" w:space="0" w:color="auto"/>
        <w:right w:val="none" w:sz="0" w:space="0" w:color="auto"/>
      </w:divBdr>
    </w:div>
    <w:div w:id="764811058">
      <w:bodyDiv w:val="1"/>
      <w:marLeft w:val="0"/>
      <w:marRight w:val="0"/>
      <w:marTop w:val="0"/>
      <w:marBottom w:val="0"/>
      <w:divBdr>
        <w:top w:val="none" w:sz="0" w:space="0" w:color="auto"/>
        <w:left w:val="none" w:sz="0" w:space="0" w:color="auto"/>
        <w:bottom w:val="none" w:sz="0" w:space="0" w:color="auto"/>
        <w:right w:val="none" w:sz="0" w:space="0" w:color="auto"/>
      </w:divBdr>
      <w:divsChild>
        <w:div w:id="1188787953">
          <w:marLeft w:val="0"/>
          <w:marRight w:val="0"/>
          <w:marTop w:val="0"/>
          <w:marBottom w:val="0"/>
          <w:divBdr>
            <w:top w:val="none" w:sz="0" w:space="0" w:color="auto"/>
            <w:left w:val="none" w:sz="0" w:space="0" w:color="auto"/>
            <w:bottom w:val="none" w:sz="0" w:space="0" w:color="auto"/>
            <w:right w:val="none" w:sz="0" w:space="0" w:color="auto"/>
          </w:divBdr>
          <w:divsChild>
            <w:div w:id="2097166231">
              <w:marLeft w:val="0"/>
              <w:marRight w:val="0"/>
              <w:marTop w:val="0"/>
              <w:marBottom w:val="0"/>
              <w:divBdr>
                <w:top w:val="none" w:sz="0" w:space="0" w:color="auto"/>
                <w:left w:val="none" w:sz="0" w:space="0" w:color="auto"/>
                <w:bottom w:val="none" w:sz="0" w:space="0" w:color="auto"/>
                <w:right w:val="none" w:sz="0" w:space="0" w:color="auto"/>
              </w:divBdr>
              <w:divsChild>
                <w:div w:id="588928316">
                  <w:marLeft w:val="0"/>
                  <w:marRight w:val="0"/>
                  <w:marTop w:val="0"/>
                  <w:marBottom w:val="0"/>
                  <w:divBdr>
                    <w:top w:val="none" w:sz="0" w:space="0" w:color="auto"/>
                    <w:left w:val="none" w:sz="0" w:space="0" w:color="auto"/>
                    <w:bottom w:val="none" w:sz="0" w:space="0" w:color="auto"/>
                    <w:right w:val="none" w:sz="0" w:space="0" w:color="auto"/>
                  </w:divBdr>
                  <w:divsChild>
                    <w:div w:id="1477721530">
                      <w:marLeft w:val="120"/>
                      <w:marRight w:val="120"/>
                      <w:marTop w:val="120"/>
                      <w:marBottom w:val="120"/>
                      <w:divBdr>
                        <w:top w:val="none" w:sz="0" w:space="0" w:color="auto"/>
                        <w:left w:val="none" w:sz="0" w:space="0" w:color="auto"/>
                        <w:bottom w:val="single" w:sz="6" w:space="0" w:color="FFFFFF"/>
                        <w:right w:val="none" w:sz="0" w:space="0" w:color="auto"/>
                      </w:divBdr>
                      <w:divsChild>
                        <w:div w:id="619990587">
                          <w:marLeft w:val="0"/>
                          <w:marRight w:val="0"/>
                          <w:marTop w:val="0"/>
                          <w:marBottom w:val="0"/>
                          <w:divBdr>
                            <w:top w:val="none" w:sz="0" w:space="0" w:color="auto"/>
                            <w:left w:val="none" w:sz="0" w:space="0" w:color="auto"/>
                            <w:bottom w:val="none" w:sz="0" w:space="0" w:color="auto"/>
                            <w:right w:val="none" w:sz="0" w:space="0" w:color="auto"/>
                          </w:divBdr>
                          <w:divsChild>
                            <w:div w:id="997534097">
                              <w:marLeft w:val="0"/>
                              <w:marRight w:val="0"/>
                              <w:marTop w:val="0"/>
                              <w:marBottom w:val="0"/>
                              <w:divBdr>
                                <w:top w:val="none" w:sz="0" w:space="0" w:color="auto"/>
                                <w:left w:val="none" w:sz="0" w:space="0" w:color="auto"/>
                                <w:bottom w:val="none" w:sz="0" w:space="0" w:color="auto"/>
                                <w:right w:val="none" w:sz="0" w:space="0" w:color="auto"/>
                              </w:divBdr>
                              <w:divsChild>
                                <w:div w:id="614026153">
                                  <w:marLeft w:val="0"/>
                                  <w:marRight w:val="0"/>
                                  <w:marTop w:val="0"/>
                                  <w:marBottom w:val="0"/>
                                  <w:divBdr>
                                    <w:top w:val="none" w:sz="0" w:space="0" w:color="auto"/>
                                    <w:left w:val="none" w:sz="0" w:space="0" w:color="auto"/>
                                    <w:bottom w:val="none" w:sz="0" w:space="0" w:color="auto"/>
                                    <w:right w:val="none" w:sz="0" w:space="0" w:color="auto"/>
                                  </w:divBdr>
                                  <w:divsChild>
                                    <w:div w:id="1040663941">
                                      <w:marLeft w:val="0"/>
                                      <w:marRight w:val="0"/>
                                      <w:marTop w:val="0"/>
                                      <w:marBottom w:val="0"/>
                                      <w:divBdr>
                                        <w:top w:val="none" w:sz="0" w:space="0" w:color="auto"/>
                                        <w:left w:val="none" w:sz="0" w:space="0" w:color="auto"/>
                                        <w:bottom w:val="none" w:sz="0" w:space="0" w:color="auto"/>
                                        <w:right w:val="none" w:sz="0" w:space="0" w:color="auto"/>
                                      </w:divBdr>
                                      <w:divsChild>
                                        <w:div w:id="628556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4470812">
      <w:bodyDiv w:val="1"/>
      <w:marLeft w:val="0"/>
      <w:marRight w:val="0"/>
      <w:marTop w:val="0"/>
      <w:marBottom w:val="0"/>
      <w:divBdr>
        <w:top w:val="none" w:sz="0" w:space="0" w:color="auto"/>
        <w:left w:val="none" w:sz="0" w:space="0" w:color="auto"/>
        <w:bottom w:val="none" w:sz="0" w:space="0" w:color="auto"/>
        <w:right w:val="none" w:sz="0" w:space="0" w:color="auto"/>
      </w:divBdr>
    </w:div>
    <w:div w:id="824055432">
      <w:bodyDiv w:val="1"/>
      <w:marLeft w:val="0"/>
      <w:marRight w:val="0"/>
      <w:marTop w:val="0"/>
      <w:marBottom w:val="0"/>
      <w:divBdr>
        <w:top w:val="none" w:sz="0" w:space="0" w:color="auto"/>
        <w:left w:val="none" w:sz="0" w:space="0" w:color="auto"/>
        <w:bottom w:val="none" w:sz="0" w:space="0" w:color="auto"/>
        <w:right w:val="none" w:sz="0" w:space="0" w:color="auto"/>
      </w:divBdr>
    </w:div>
    <w:div w:id="837766901">
      <w:bodyDiv w:val="1"/>
      <w:marLeft w:val="0"/>
      <w:marRight w:val="0"/>
      <w:marTop w:val="0"/>
      <w:marBottom w:val="0"/>
      <w:divBdr>
        <w:top w:val="none" w:sz="0" w:space="0" w:color="auto"/>
        <w:left w:val="none" w:sz="0" w:space="0" w:color="auto"/>
        <w:bottom w:val="none" w:sz="0" w:space="0" w:color="auto"/>
        <w:right w:val="none" w:sz="0" w:space="0" w:color="auto"/>
      </w:divBdr>
    </w:div>
    <w:div w:id="978994492">
      <w:bodyDiv w:val="1"/>
      <w:marLeft w:val="0"/>
      <w:marRight w:val="0"/>
      <w:marTop w:val="0"/>
      <w:marBottom w:val="0"/>
      <w:divBdr>
        <w:top w:val="none" w:sz="0" w:space="0" w:color="auto"/>
        <w:left w:val="none" w:sz="0" w:space="0" w:color="auto"/>
        <w:bottom w:val="none" w:sz="0" w:space="0" w:color="auto"/>
        <w:right w:val="none" w:sz="0" w:space="0" w:color="auto"/>
      </w:divBdr>
    </w:div>
    <w:div w:id="1034308008">
      <w:bodyDiv w:val="1"/>
      <w:marLeft w:val="0"/>
      <w:marRight w:val="0"/>
      <w:marTop w:val="0"/>
      <w:marBottom w:val="0"/>
      <w:divBdr>
        <w:top w:val="none" w:sz="0" w:space="0" w:color="auto"/>
        <w:left w:val="none" w:sz="0" w:space="0" w:color="auto"/>
        <w:bottom w:val="none" w:sz="0" w:space="0" w:color="auto"/>
        <w:right w:val="none" w:sz="0" w:space="0" w:color="auto"/>
      </w:divBdr>
      <w:divsChild>
        <w:div w:id="552816510">
          <w:marLeft w:val="0"/>
          <w:marRight w:val="0"/>
          <w:marTop w:val="0"/>
          <w:marBottom w:val="0"/>
          <w:divBdr>
            <w:top w:val="none" w:sz="0" w:space="0" w:color="auto"/>
            <w:left w:val="none" w:sz="0" w:space="0" w:color="auto"/>
            <w:bottom w:val="none" w:sz="0" w:space="0" w:color="auto"/>
            <w:right w:val="none" w:sz="0" w:space="0" w:color="auto"/>
          </w:divBdr>
          <w:divsChild>
            <w:div w:id="1818255751">
              <w:marLeft w:val="0"/>
              <w:marRight w:val="0"/>
              <w:marTop w:val="0"/>
              <w:marBottom w:val="0"/>
              <w:divBdr>
                <w:top w:val="none" w:sz="0" w:space="0" w:color="auto"/>
                <w:left w:val="none" w:sz="0" w:space="0" w:color="auto"/>
                <w:bottom w:val="none" w:sz="0" w:space="0" w:color="auto"/>
                <w:right w:val="none" w:sz="0" w:space="0" w:color="auto"/>
              </w:divBdr>
              <w:divsChild>
                <w:div w:id="1752389878">
                  <w:marLeft w:val="0"/>
                  <w:marRight w:val="0"/>
                  <w:marTop w:val="0"/>
                  <w:marBottom w:val="0"/>
                  <w:divBdr>
                    <w:top w:val="none" w:sz="0" w:space="0" w:color="auto"/>
                    <w:left w:val="none" w:sz="0" w:space="0" w:color="auto"/>
                    <w:bottom w:val="none" w:sz="0" w:space="0" w:color="auto"/>
                    <w:right w:val="none" w:sz="0" w:space="0" w:color="auto"/>
                  </w:divBdr>
                  <w:divsChild>
                    <w:div w:id="159583105">
                      <w:marLeft w:val="0"/>
                      <w:marRight w:val="0"/>
                      <w:marTop w:val="0"/>
                      <w:marBottom w:val="0"/>
                      <w:divBdr>
                        <w:top w:val="none" w:sz="0" w:space="0" w:color="auto"/>
                        <w:left w:val="none" w:sz="0" w:space="0" w:color="auto"/>
                        <w:bottom w:val="none" w:sz="0" w:space="0" w:color="auto"/>
                        <w:right w:val="none" w:sz="0" w:space="0" w:color="auto"/>
                      </w:divBdr>
                      <w:divsChild>
                        <w:div w:id="1730222389">
                          <w:marLeft w:val="0"/>
                          <w:marRight w:val="0"/>
                          <w:marTop w:val="0"/>
                          <w:marBottom w:val="0"/>
                          <w:divBdr>
                            <w:top w:val="none" w:sz="0" w:space="0" w:color="auto"/>
                            <w:left w:val="none" w:sz="0" w:space="0" w:color="auto"/>
                            <w:bottom w:val="none" w:sz="0" w:space="0" w:color="auto"/>
                            <w:right w:val="none" w:sz="0" w:space="0" w:color="auto"/>
                          </w:divBdr>
                          <w:divsChild>
                            <w:div w:id="1156187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0035542">
      <w:bodyDiv w:val="1"/>
      <w:marLeft w:val="0"/>
      <w:marRight w:val="0"/>
      <w:marTop w:val="0"/>
      <w:marBottom w:val="0"/>
      <w:divBdr>
        <w:top w:val="none" w:sz="0" w:space="0" w:color="auto"/>
        <w:left w:val="none" w:sz="0" w:space="0" w:color="auto"/>
        <w:bottom w:val="none" w:sz="0" w:space="0" w:color="auto"/>
        <w:right w:val="none" w:sz="0" w:space="0" w:color="auto"/>
      </w:divBdr>
    </w:div>
    <w:div w:id="1063916333">
      <w:bodyDiv w:val="1"/>
      <w:marLeft w:val="0"/>
      <w:marRight w:val="0"/>
      <w:marTop w:val="0"/>
      <w:marBottom w:val="0"/>
      <w:divBdr>
        <w:top w:val="none" w:sz="0" w:space="0" w:color="auto"/>
        <w:left w:val="none" w:sz="0" w:space="0" w:color="auto"/>
        <w:bottom w:val="none" w:sz="0" w:space="0" w:color="auto"/>
        <w:right w:val="none" w:sz="0" w:space="0" w:color="auto"/>
      </w:divBdr>
    </w:div>
    <w:div w:id="1085348410">
      <w:bodyDiv w:val="1"/>
      <w:marLeft w:val="0"/>
      <w:marRight w:val="0"/>
      <w:marTop w:val="0"/>
      <w:marBottom w:val="0"/>
      <w:divBdr>
        <w:top w:val="none" w:sz="0" w:space="0" w:color="auto"/>
        <w:left w:val="none" w:sz="0" w:space="0" w:color="auto"/>
        <w:bottom w:val="none" w:sz="0" w:space="0" w:color="auto"/>
        <w:right w:val="none" w:sz="0" w:space="0" w:color="auto"/>
      </w:divBdr>
    </w:div>
    <w:div w:id="1161196298">
      <w:bodyDiv w:val="1"/>
      <w:marLeft w:val="0"/>
      <w:marRight w:val="0"/>
      <w:marTop w:val="0"/>
      <w:marBottom w:val="0"/>
      <w:divBdr>
        <w:top w:val="none" w:sz="0" w:space="0" w:color="auto"/>
        <w:left w:val="none" w:sz="0" w:space="0" w:color="auto"/>
        <w:bottom w:val="none" w:sz="0" w:space="0" w:color="auto"/>
        <w:right w:val="none" w:sz="0" w:space="0" w:color="auto"/>
      </w:divBdr>
    </w:div>
    <w:div w:id="1174146576">
      <w:bodyDiv w:val="1"/>
      <w:marLeft w:val="0"/>
      <w:marRight w:val="0"/>
      <w:marTop w:val="0"/>
      <w:marBottom w:val="0"/>
      <w:divBdr>
        <w:top w:val="none" w:sz="0" w:space="0" w:color="auto"/>
        <w:left w:val="none" w:sz="0" w:space="0" w:color="auto"/>
        <w:bottom w:val="none" w:sz="0" w:space="0" w:color="auto"/>
        <w:right w:val="none" w:sz="0" w:space="0" w:color="auto"/>
      </w:divBdr>
      <w:divsChild>
        <w:div w:id="717625941">
          <w:marLeft w:val="0"/>
          <w:marRight w:val="0"/>
          <w:marTop w:val="0"/>
          <w:marBottom w:val="0"/>
          <w:divBdr>
            <w:top w:val="none" w:sz="0" w:space="0" w:color="auto"/>
            <w:left w:val="none" w:sz="0" w:space="0" w:color="auto"/>
            <w:bottom w:val="none" w:sz="0" w:space="0" w:color="auto"/>
            <w:right w:val="none" w:sz="0" w:space="0" w:color="auto"/>
          </w:divBdr>
          <w:divsChild>
            <w:div w:id="445079760">
              <w:marLeft w:val="0"/>
              <w:marRight w:val="0"/>
              <w:marTop w:val="0"/>
              <w:marBottom w:val="0"/>
              <w:divBdr>
                <w:top w:val="none" w:sz="0" w:space="0" w:color="auto"/>
                <w:left w:val="none" w:sz="0" w:space="0" w:color="auto"/>
                <w:bottom w:val="none" w:sz="0" w:space="0" w:color="auto"/>
                <w:right w:val="none" w:sz="0" w:space="0" w:color="auto"/>
              </w:divBdr>
              <w:divsChild>
                <w:div w:id="1913199428">
                  <w:marLeft w:val="0"/>
                  <w:marRight w:val="0"/>
                  <w:marTop w:val="0"/>
                  <w:marBottom w:val="0"/>
                  <w:divBdr>
                    <w:top w:val="none" w:sz="0" w:space="0" w:color="auto"/>
                    <w:left w:val="none" w:sz="0" w:space="0" w:color="auto"/>
                    <w:bottom w:val="none" w:sz="0" w:space="0" w:color="auto"/>
                    <w:right w:val="none" w:sz="0" w:space="0" w:color="auto"/>
                  </w:divBdr>
                  <w:divsChild>
                    <w:div w:id="152454682">
                      <w:marLeft w:val="0"/>
                      <w:marRight w:val="0"/>
                      <w:marTop w:val="0"/>
                      <w:marBottom w:val="0"/>
                      <w:divBdr>
                        <w:top w:val="none" w:sz="0" w:space="0" w:color="auto"/>
                        <w:left w:val="none" w:sz="0" w:space="0" w:color="auto"/>
                        <w:bottom w:val="none" w:sz="0" w:space="0" w:color="auto"/>
                        <w:right w:val="none" w:sz="0" w:space="0" w:color="auto"/>
                      </w:divBdr>
                      <w:divsChild>
                        <w:div w:id="677194638">
                          <w:marLeft w:val="0"/>
                          <w:marRight w:val="0"/>
                          <w:marTop w:val="0"/>
                          <w:marBottom w:val="0"/>
                          <w:divBdr>
                            <w:top w:val="none" w:sz="0" w:space="0" w:color="auto"/>
                            <w:left w:val="none" w:sz="0" w:space="0" w:color="auto"/>
                            <w:bottom w:val="none" w:sz="0" w:space="0" w:color="auto"/>
                            <w:right w:val="none" w:sz="0" w:space="0" w:color="auto"/>
                          </w:divBdr>
                          <w:divsChild>
                            <w:div w:id="1818644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5656388">
      <w:bodyDiv w:val="1"/>
      <w:marLeft w:val="0"/>
      <w:marRight w:val="0"/>
      <w:marTop w:val="0"/>
      <w:marBottom w:val="0"/>
      <w:divBdr>
        <w:top w:val="none" w:sz="0" w:space="0" w:color="auto"/>
        <w:left w:val="none" w:sz="0" w:space="0" w:color="auto"/>
        <w:bottom w:val="none" w:sz="0" w:space="0" w:color="auto"/>
        <w:right w:val="none" w:sz="0" w:space="0" w:color="auto"/>
      </w:divBdr>
    </w:div>
    <w:div w:id="1199852131">
      <w:bodyDiv w:val="1"/>
      <w:marLeft w:val="0"/>
      <w:marRight w:val="0"/>
      <w:marTop w:val="0"/>
      <w:marBottom w:val="0"/>
      <w:divBdr>
        <w:top w:val="none" w:sz="0" w:space="0" w:color="auto"/>
        <w:left w:val="none" w:sz="0" w:space="0" w:color="auto"/>
        <w:bottom w:val="none" w:sz="0" w:space="0" w:color="auto"/>
        <w:right w:val="none" w:sz="0" w:space="0" w:color="auto"/>
      </w:divBdr>
    </w:div>
    <w:div w:id="1217158386">
      <w:bodyDiv w:val="1"/>
      <w:marLeft w:val="0"/>
      <w:marRight w:val="0"/>
      <w:marTop w:val="0"/>
      <w:marBottom w:val="0"/>
      <w:divBdr>
        <w:top w:val="none" w:sz="0" w:space="0" w:color="auto"/>
        <w:left w:val="none" w:sz="0" w:space="0" w:color="auto"/>
        <w:bottom w:val="none" w:sz="0" w:space="0" w:color="auto"/>
        <w:right w:val="none" w:sz="0" w:space="0" w:color="auto"/>
      </w:divBdr>
    </w:div>
    <w:div w:id="1240939047">
      <w:bodyDiv w:val="1"/>
      <w:marLeft w:val="0"/>
      <w:marRight w:val="0"/>
      <w:marTop w:val="0"/>
      <w:marBottom w:val="0"/>
      <w:divBdr>
        <w:top w:val="none" w:sz="0" w:space="0" w:color="auto"/>
        <w:left w:val="none" w:sz="0" w:space="0" w:color="auto"/>
        <w:bottom w:val="none" w:sz="0" w:space="0" w:color="auto"/>
        <w:right w:val="none" w:sz="0" w:space="0" w:color="auto"/>
      </w:divBdr>
    </w:div>
    <w:div w:id="1245187581">
      <w:bodyDiv w:val="1"/>
      <w:marLeft w:val="0"/>
      <w:marRight w:val="0"/>
      <w:marTop w:val="0"/>
      <w:marBottom w:val="0"/>
      <w:divBdr>
        <w:top w:val="none" w:sz="0" w:space="0" w:color="auto"/>
        <w:left w:val="none" w:sz="0" w:space="0" w:color="auto"/>
        <w:bottom w:val="none" w:sz="0" w:space="0" w:color="auto"/>
        <w:right w:val="none" w:sz="0" w:space="0" w:color="auto"/>
      </w:divBdr>
    </w:div>
    <w:div w:id="1270813040">
      <w:bodyDiv w:val="1"/>
      <w:marLeft w:val="0"/>
      <w:marRight w:val="0"/>
      <w:marTop w:val="0"/>
      <w:marBottom w:val="0"/>
      <w:divBdr>
        <w:top w:val="none" w:sz="0" w:space="0" w:color="auto"/>
        <w:left w:val="none" w:sz="0" w:space="0" w:color="auto"/>
        <w:bottom w:val="none" w:sz="0" w:space="0" w:color="auto"/>
        <w:right w:val="none" w:sz="0" w:space="0" w:color="auto"/>
      </w:divBdr>
    </w:div>
    <w:div w:id="1274558550">
      <w:bodyDiv w:val="1"/>
      <w:marLeft w:val="0"/>
      <w:marRight w:val="0"/>
      <w:marTop w:val="0"/>
      <w:marBottom w:val="0"/>
      <w:divBdr>
        <w:top w:val="none" w:sz="0" w:space="0" w:color="auto"/>
        <w:left w:val="none" w:sz="0" w:space="0" w:color="auto"/>
        <w:bottom w:val="none" w:sz="0" w:space="0" w:color="auto"/>
        <w:right w:val="none" w:sz="0" w:space="0" w:color="auto"/>
      </w:divBdr>
      <w:divsChild>
        <w:div w:id="2004234555">
          <w:marLeft w:val="0"/>
          <w:marRight w:val="0"/>
          <w:marTop w:val="0"/>
          <w:marBottom w:val="0"/>
          <w:divBdr>
            <w:top w:val="none" w:sz="0" w:space="0" w:color="auto"/>
            <w:left w:val="none" w:sz="0" w:space="0" w:color="auto"/>
            <w:bottom w:val="none" w:sz="0" w:space="0" w:color="auto"/>
            <w:right w:val="none" w:sz="0" w:space="0" w:color="auto"/>
          </w:divBdr>
          <w:divsChild>
            <w:div w:id="1344819242">
              <w:marLeft w:val="0"/>
              <w:marRight w:val="0"/>
              <w:marTop w:val="0"/>
              <w:marBottom w:val="0"/>
              <w:divBdr>
                <w:top w:val="none" w:sz="0" w:space="0" w:color="auto"/>
                <w:left w:val="none" w:sz="0" w:space="0" w:color="auto"/>
                <w:bottom w:val="none" w:sz="0" w:space="0" w:color="auto"/>
                <w:right w:val="none" w:sz="0" w:space="0" w:color="auto"/>
              </w:divBdr>
              <w:divsChild>
                <w:div w:id="594827042">
                  <w:marLeft w:val="0"/>
                  <w:marRight w:val="0"/>
                  <w:marTop w:val="0"/>
                  <w:marBottom w:val="0"/>
                  <w:divBdr>
                    <w:top w:val="none" w:sz="0" w:space="0" w:color="auto"/>
                    <w:left w:val="none" w:sz="0" w:space="0" w:color="auto"/>
                    <w:bottom w:val="none" w:sz="0" w:space="0" w:color="auto"/>
                    <w:right w:val="none" w:sz="0" w:space="0" w:color="auto"/>
                  </w:divBdr>
                  <w:divsChild>
                    <w:div w:id="609357349">
                      <w:marLeft w:val="0"/>
                      <w:marRight w:val="0"/>
                      <w:marTop w:val="0"/>
                      <w:marBottom w:val="0"/>
                      <w:divBdr>
                        <w:top w:val="none" w:sz="0" w:space="0" w:color="auto"/>
                        <w:left w:val="none" w:sz="0" w:space="0" w:color="auto"/>
                        <w:bottom w:val="none" w:sz="0" w:space="0" w:color="auto"/>
                        <w:right w:val="none" w:sz="0" w:space="0" w:color="auto"/>
                      </w:divBdr>
                      <w:divsChild>
                        <w:div w:id="1629125264">
                          <w:marLeft w:val="0"/>
                          <w:marRight w:val="0"/>
                          <w:marTop w:val="0"/>
                          <w:marBottom w:val="0"/>
                          <w:divBdr>
                            <w:top w:val="none" w:sz="0" w:space="0" w:color="auto"/>
                            <w:left w:val="none" w:sz="0" w:space="0" w:color="auto"/>
                            <w:bottom w:val="none" w:sz="0" w:space="0" w:color="auto"/>
                            <w:right w:val="none" w:sz="0" w:space="0" w:color="auto"/>
                          </w:divBdr>
                          <w:divsChild>
                            <w:div w:id="1936857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3798342">
      <w:bodyDiv w:val="1"/>
      <w:marLeft w:val="0"/>
      <w:marRight w:val="0"/>
      <w:marTop w:val="0"/>
      <w:marBottom w:val="0"/>
      <w:divBdr>
        <w:top w:val="none" w:sz="0" w:space="0" w:color="auto"/>
        <w:left w:val="none" w:sz="0" w:space="0" w:color="auto"/>
        <w:bottom w:val="none" w:sz="0" w:space="0" w:color="auto"/>
        <w:right w:val="none" w:sz="0" w:space="0" w:color="auto"/>
      </w:divBdr>
    </w:div>
    <w:div w:id="1438794759">
      <w:bodyDiv w:val="1"/>
      <w:marLeft w:val="0"/>
      <w:marRight w:val="0"/>
      <w:marTop w:val="0"/>
      <w:marBottom w:val="0"/>
      <w:divBdr>
        <w:top w:val="none" w:sz="0" w:space="0" w:color="auto"/>
        <w:left w:val="none" w:sz="0" w:space="0" w:color="auto"/>
        <w:bottom w:val="none" w:sz="0" w:space="0" w:color="auto"/>
        <w:right w:val="none" w:sz="0" w:space="0" w:color="auto"/>
      </w:divBdr>
    </w:div>
    <w:div w:id="1464956805">
      <w:bodyDiv w:val="1"/>
      <w:marLeft w:val="0"/>
      <w:marRight w:val="0"/>
      <w:marTop w:val="0"/>
      <w:marBottom w:val="0"/>
      <w:divBdr>
        <w:top w:val="none" w:sz="0" w:space="0" w:color="auto"/>
        <w:left w:val="none" w:sz="0" w:space="0" w:color="auto"/>
        <w:bottom w:val="none" w:sz="0" w:space="0" w:color="auto"/>
        <w:right w:val="none" w:sz="0" w:space="0" w:color="auto"/>
      </w:divBdr>
    </w:div>
    <w:div w:id="1475021055">
      <w:bodyDiv w:val="1"/>
      <w:marLeft w:val="0"/>
      <w:marRight w:val="0"/>
      <w:marTop w:val="0"/>
      <w:marBottom w:val="0"/>
      <w:divBdr>
        <w:top w:val="none" w:sz="0" w:space="0" w:color="auto"/>
        <w:left w:val="none" w:sz="0" w:space="0" w:color="auto"/>
        <w:bottom w:val="none" w:sz="0" w:space="0" w:color="auto"/>
        <w:right w:val="none" w:sz="0" w:space="0" w:color="auto"/>
      </w:divBdr>
    </w:div>
    <w:div w:id="1590852424">
      <w:bodyDiv w:val="1"/>
      <w:marLeft w:val="0"/>
      <w:marRight w:val="0"/>
      <w:marTop w:val="0"/>
      <w:marBottom w:val="0"/>
      <w:divBdr>
        <w:top w:val="none" w:sz="0" w:space="0" w:color="auto"/>
        <w:left w:val="none" w:sz="0" w:space="0" w:color="auto"/>
        <w:bottom w:val="none" w:sz="0" w:space="0" w:color="auto"/>
        <w:right w:val="none" w:sz="0" w:space="0" w:color="auto"/>
      </w:divBdr>
    </w:div>
    <w:div w:id="1636176716">
      <w:bodyDiv w:val="1"/>
      <w:marLeft w:val="0"/>
      <w:marRight w:val="0"/>
      <w:marTop w:val="0"/>
      <w:marBottom w:val="0"/>
      <w:divBdr>
        <w:top w:val="none" w:sz="0" w:space="0" w:color="auto"/>
        <w:left w:val="none" w:sz="0" w:space="0" w:color="auto"/>
        <w:bottom w:val="none" w:sz="0" w:space="0" w:color="auto"/>
        <w:right w:val="none" w:sz="0" w:space="0" w:color="auto"/>
      </w:divBdr>
    </w:div>
    <w:div w:id="1637948253">
      <w:bodyDiv w:val="1"/>
      <w:marLeft w:val="0"/>
      <w:marRight w:val="0"/>
      <w:marTop w:val="0"/>
      <w:marBottom w:val="0"/>
      <w:divBdr>
        <w:top w:val="none" w:sz="0" w:space="0" w:color="auto"/>
        <w:left w:val="none" w:sz="0" w:space="0" w:color="auto"/>
        <w:bottom w:val="none" w:sz="0" w:space="0" w:color="auto"/>
        <w:right w:val="none" w:sz="0" w:space="0" w:color="auto"/>
      </w:divBdr>
    </w:div>
    <w:div w:id="1647081921">
      <w:bodyDiv w:val="1"/>
      <w:marLeft w:val="0"/>
      <w:marRight w:val="0"/>
      <w:marTop w:val="0"/>
      <w:marBottom w:val="0"/>
      <w:divBdr>
        <w:top w:val="none" w:sz="0" w:space="0" w:color="auto"/>
        <w:left w:val="none" w:sz="0" w:space="0" w:color="auto"/>
        <w:bottom w:val="none" w:sz="0" w:space="0" w:color="auto"/>
        <w:right w:val="none" w:sz="0" w:space="0" w:color="auto"/>
      </w:divBdr>
    </w:div>
    <w:div w:id="1841894817">
      <w:bodyDiv w:val="1"/>
      <w:marLeft w:val="0"/>
      <w:marRight w:val="0"/>
      <w:marTop w:val="0"/>
      <w:marBottom w:val="0"/>
      <w:divBdr>
        <w:top w:val="none" w:sz="0" w:space="0" w:color="auto"/>
        <w:left w:val="none" w:sz="0" w:space="0" w:color="auto"/>
        <w:bottom w:val="none" w:sz="0" w:space="0" w:color="auto"/>
        <w:right w:val="none" w:sz="0" w:space="0" w:color="auto"/>
      </w:divBdr>
    </w:div>
    <w:div w:id="1847280463">
      <w:bodyDiv w:val="1"/>
      <w:marLeft w:val="0"/>
      <w:marRight w:val="0"/>
      <w:marTop w:val="0"/>
      <w:marBottom w:val="0"/>
      <w:divBdr>
        <w:top w:val="none" w:sz="0" w:space="0" w:color="auto"/>
        <w:left w:val="none" w:sz="0" w:space="0" w:color="auto"/>
        <w:bottom w:val="none" w:sz="0" w:space="0" w:color="auto"/>
        <w:right w:val="none" w:sz="0" w:space="0" w:color="auto"/>
      </w:divBdr>
      <w:divsChild>
        <w:div w:id="2080902678">
          <w:marLeft w:val="0"/>
          <w:marRight w:val="0"/>
          <w:marTop w:val="0"/>
          <w:marBottom w:val="0"/>
          <w:divBdr>
            <w:top w:val="none" w:sz="0" w:space="0" w:color="auto"/>
            <w:left w:val="none" w:sz="0" w:space="0" w:color="auto"/>
            <w:bottom w:val="none" w:sz="0" w:space="0" w:color="auto"/>
            <w:right w:val="none" w:sz="0" w:space="0" w:color="auto"/>
          </w:divBdr>
          <w:divsChild>
            <w:div w:id="1889026963">
              <w:marLeft w:val="0"/>
              <w:marRight w:val="0"/>
              <w:marTop w:val="0"/>
              <w:marBottom w:val="0"/>
              <w:divBdr>
                <w:top w:val="none" w:sz="0" w:space="0" w:color="auto"/>
                <w:left w:val="none" w:sz="0" w:space="0" w:color="auto"/>
                <w:bottom w:val="none" w:sz="0" w:space="0" w:color="auto"/>
                <w:right w:val="none" w:sz="0" w:space="0" w:color="auto"/>
              </w:divBdr>
              <w:divsChild>
                <w:div w:id="1991253847">
                  <w:marLeft w:val="0"/>
                  <w:marRight w:val="0"/>
                  <w:marTop w:val="0"/>
                  <w:marBottom w:val="0"/>
                  <w:divBdr>
                    <w:top w:val="none" w:sz="0" w:space="0" w:color="auto"/>
                    <w:left w:val="none" w:sz="0" w:space="0" w:color="auto"/>
                    <w:bottom w:val="none" w:sz="0" w:space="0" w:color="auto"/>
                    <w:right w:val="none" w:sz="0" w:space="0" w:color="auto"/>
                  </w:divBdr>
                  <w:divsChild>
                    <w:div w:id="1712222409">
                      <w:marLeft w:val="0"/>
                      <w:marRight w:val="0"/>
                      <w:marTop w:val="0"/>
                      <w:marBottom w:val="0"/>
                      <w:divBdr>
                        <w:top w:val="none" w:sz="0" w:space="0" w:color="auto"/>
                        <w:left w:val="none" w:sz="0" w:space="0" w:color="auto"/>
                        <w:bottom w:val="none" w:sz="0" w:space="0" w:color="auto"/>
                        <w:right w:val="none" w:sz="0" w:space="0" w:color="auto"/>
                      </w:divBdr>
                      <w:divsChild>
                        <w:div w:id="542791018">
                          <w:marLeft w:val="0"/>
                          <w:marRight w:val="0"/>
                          <w:marTop w:val="0"/>
                          <w:marBottom w:val="0"/>
                          <w:divBdr>
                            <w:top w:val="none" w:sz="0" w:space="0" w:color="auto"/>
                            <w:left w:val="none" w:sz="0" w:space="0" w:color="auto"/>
                            <w:bottom w:val="none" w:sz="0" w:space="0" w:color="auto"/>
                            <w:right w:val="none" w:sz="0" w:space="0" w:color="auto"/>
                          </w:divBdr>
                          <w:divsChild>
                            <w:div w:id="885028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2572644">
      <w:bodyDiv w:val="1"/>
      <w:marLeft w:val="0"/>
      <w:marRight w:val="0"/>
      <w:marTop w:val="0"/>
      <w:marBottom w:val="0"/>
      <w:divBdr>
        <w:top w:val="none" w:sz="0" w:space="0" w:color="auto"/>
        <w:left w:val="none" w:sz="0" w:space="0" w:color="auto"/>
        <w:bottom w:val="none" w:sz="0" w:space="0" w:color="auto"/>
        <w:right w:val="none" w:sz="0" w:space="0" w:color="auto"/>
      </w:divBdr>
      <w:divsChild>
        <w:div w:id="1027558168">
          <w:marLeft w:val="0"/>
          <w:marRight w:val="0"/>
          <w:marTop w:val="0"/>
          <w:marBottom w:val="0"/>
          <w:divBdr>
            <w:top w:val="none" w:sz="0" w:space="0" w:color="auto"/>
            <w:left w:val="none" w:sz="0" w:space="0" w:color="auto"/>
            <w:bottom w:val="none" w:sz="0" w:space="0" w:color="auto"/>
            <w:right w:val="none" w:sz="0" w:space="0" w:color="auto"/>
          </w:divBdr>
          <w:divsChild>
            <w:div w:id="527832754">
              <w:marLeft w:val="0"/>
              <w:marRight w:val="0"/>
              <w:marTop w:val="0"/>
              <w:marBottom w:val="0"/>
              <w:divBdr>
                <w:top w:val="none" w:sz="0" w:space="0" w:color="auto"/>
                <w:left w:val="none" w:sz="0" w:space="0" w:color="auto"/>
                <w:bottom w:val="none" w:sz="0" w:space="0" w:color="auto"/>
                <w:right w:val="none" w:sz="0" w:space="0" w:color="auto"/>
              </w:divBdr>
              <w:divsChild>
                <w:div w:id="1466579446">
                  <w:marLeft w:val="0"/>
                  <w:marRight w:val="0"/>
                  <w:marTop w:val="0"/>
                  <w:marBottom w:val="0"/>
                  <w:divBdr>
                    <w:top w:val="none" w:sz="0" w:space="0" w:color="auto"/>
                    <w:left w:val="none" w:sz="0" w:space="0" w:color="auto"/>
                    <w:bottom w:val="none" w:sz="0" w:space="0" w:color="auto"/>
                    <w:right w:val="none" w:sz="0" w:space="0" w:color="auto"/>
                  </w:divBdr>
                  <w:divsChild>
                    <w:div w:id="535119766">
                      <w:marLeft w:val="0"/>
                      <w:marRight w:val="0"/>
                      <w:marTop w:val="0"/>
                      <w:marBottom w:val="0"/>
                      <w:divBdr>
                        <w:top w:val="none" w:sz="0" w:space="0" w:color="auto"/>
                        <w:left w:val="none" w:sz="0" w:space="0" w:color="auto"/>
                        <w:bottom w:val="none" w:sz="0" w:space="0" w:color="auto"/>
                        <w:right w:val="none" w:sz="0" w:space="0" w:color="auto"/>
                      </w:divBdr>
                      <w:divsChild>
                        <w:div w:id="1697386318">
                          <w:marLeft w:val="0"/>
                          <w:marRight w:val="0"/>
                          <w:marTop w:val="0"/>
                          <w:marBottom w:val="0"/>
                          <w:divBdr>
                            <w:top w:val="none" w:sz="0" w:space="0" w:color="auto"/>
                            <w:left w:val="none" w:sz="0" w:space="0" w:color="auto"/>
                            <w:bottom w:val="none" w:sz="0" w:space="0" w:color="auto"/>
                            <w:right w:val="none" w:sz="0" w:space="0" w:color="auto"/>
                          </w:divBdr>
                          <w:divsChild>
                            <w:div w:id="1837451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6521029">
      <w:bodyDiv w:val="1"/>
      <w:marLeft w:val="0"/>
      <w:marRight w:val="0"/>
      <w:marTop w:val="0"/>
      <w:marBottom w:val="0"/>
      <w:divBdr>
        <w:top w:val="none" w:sz="0" w:space="0" w:color="auto"/>
        <w:left w:val="none" w:sz="0" w:space="0" w:color="auto"/>
        <w:bottom w:val="none" w:sz="0" w:space="0" w:color="auto"/>
        <w:right w:val="none" w:sz="0" w:space="0" w:color="auto"/>
      </w:divBdr>
    </w:div>
    <w:div w:id="2014138751">
      <w:bodyDiv w:val="1"/>
      <w:marLeft w:val="0"/>
      <w:marRight w:val="0"/>
      <w:marTop w:val="0"/>
      <w:marBottom w:val="0"/>
      <w:divBdr>
        <w:top w:val="none" w:sz="0" w:space="0" w:color="auto"/>
        <w:left w:val="none" w:sz="0" w:space="0" w:color="auto"/>
        <w:bottom w:val="none" w:sz="0" w:space="0" w:color="auto"/>
        <w:right w:val="none" w:sz="0" w:space="0" w:color="auto"/>
      </w:divBdr>
    </w:div>
    <w:div w:id="2091851453">
      <w:bodyDiv w:val="1"/>
      <w:marLeft w:val="0"/>
      <w:marRight w:val="0"/>
      <w:marTop w:val="0"/>
      <w:marBottom w:val="0"/>
      <w:divBdr>
        <w:top w:val="none" w:sz="0" w:space="0" w:color="auto"/>
        <w:left w:val="none" w:sz="0" w:space="0" w:color="auto"/>
        <w:bottom w:val="none" w:sz="0" w:space="0" w:color="auto"/>
        <w:right w:val="none" w:sz="0" w:space="0" w:color="auto"/>
      </w:divBdr>
    </w:div>
    <w:div w:id="2097089891">
      <w:bodyDiv w:val="1"/>
      <w:marLeft w:val="0"/>
      <w:marRight w:val="0"/>
      <w:marTop w:val="0"/>
      <w:marBottom w:val="0"/>
      <w:divBdr>
        <w:top w:val="none" w:sz="0" w:space="0" w:color="auto"/>
        <w:left w:val="none" w:sz="0" w:space="0" w:color="auto"/>
        <w:bottom w:val="none" w:sz="0" w:space="0" w:color="auto"/>
        <w:right w:val="none" w:sz="0" w:space="0" w:color="auto"/>
      </w:divBdr>
    </w:div>
    <w:div w:id="2144079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4.xml"/><Relationship Id="rId21" Type="http://schemas.openxmlformats.org/officeDocument/2006/relationships/image" Target="media/image3.png"/><Relationship Id="rId42" Type="http://schemas.openxmlformats.org/officeDocument/2006/relationships/image" Target="media/image11.png"/><Relationship Id="rId47" Type="http://schemas.openxmlformats.org/officeDocument/2006/relationships/image" Target="media/image16.png"/><Relationship Id="rId63" Type="http://schemas.openxmlformats.org/officeDocument/2006/relationships/hyperlink" Target="http://www.bom.gov.au/marinewaterquality/" TargetMode="External"/><Relationship Id="rId68" Type="http://schemas.openxmlformats.org/officeDocument/2006/relationships/image" Target="media/image30.png"/><Relationship Id="rId84" Type="http://schemas.openxmlformats.org/officeDocument/2006/relationships/hyperlink" Target="http://www.reefplan.qld.gov.au" TargetMode="External"/><Relationship Id="rId89" Type="http://schemas.openxmlformats.org/officeDocument/2006/relationships/image" Target="media/image35.png"/><Relationship Id="rId112" Type="http://schemas.openxmlformats.org/officeDocument/2006/relationships/image" Target="media/image54.png"/><Relationship Id="rId16" Type="http://schemas.openxmlformats.org/officeDocument/2006/relationships/footer" Target="footer1.xml"/><Relationship Id="rId107" Type="http://schemas.openxmlformats.org/officeDocument/2006/relationships/header" Target="header7.xml"/><Relationship Id="rId11" Type="http://schemas.openxmlformats.org/officeDocument/2006/relationships/footnotes" Target="footnotes.xml"/><Relationship Id="rId32" Type="http://schemas.openxmlformats.org/officeDocument/2006/relationships/image" Target="media/image5.jpeg"/><Relationship Id="rId37" Type="http://schemas.openxmlformats.org/officeDocument/2006/relationships/image" Target="media/image6.png"/><Relationship Id="rId53" Type="http://schemas.openxmlformats.org/officeDocument/2006/relationships/image" Target="media/image21.png"/><Relationship Id="rId58" Type="http://schemas.openxmlformats.org/officeDocument/2006/relationships/image" Target="media/image26.png"/><Relationship Id="rId74" Type="http://schemas.openxmlformats.org/officeDocument/2006/relationships/hyperlink" Target="https://www.nature.com/articles/s41598-017-11783-z?WT.feed_name=subjects_climate-sciences" TargetMode="External"/><Relationship Id="rId79" Type="http://schemas.openxmlformats.org/officeDocument/2006/relationships/hyperlink" Target="http://www.bom.gov.au/environment/activities/reeftemp/documents/Garde_JOO_2014.pdf" TargetMode="External"/><Relationship Id="rId102" Type="http://schemas.openxmlformats.org/officeDocument/2006/relationships/image" Target="media/image48.png"/><Relationship Id="rId5" Type="http://schemas.openxmlformats.org/officeDocument/2006/relationships/customXml" Target="../customXml/item4.xml"/><Relationship Id="rId90" Type="http://schemas.openxmlformats.org/officeDocument/2006/relationships/image" Target="media/image36.png"/><Relationship Id="rId95" Type="http://schemas.openxmlformats.org/officeDocument/2006/relationships/image" Target="media/image41.png"/><Relationship Id="rId22" Type="http://schemas.openxmlformats.org/officeDocument/2006/relationships/header" Target="header2.xml"/><Relationship Id="rId27" Type="http://schemas.openxmlformats.org/officeDocument/2006/relationships/header" Target="header6.xml"/><Relationship Id="rId43" Type="http://schemas.openxmlformats.org/officeDocument/2006/relationships/image" Target="media/image12.png"/><Relationship Id="rId48" Type="http://schemas.openxmlformats.org/officeDocument/2006/relationships/image" Target="media/image17.png"/><Relationship Id="rId64" Type="http://schemas.openxmlformats.org/officeDocument/2006/relationships/hyperlink" Target="https://research.csiro.au/ereefs/models/models-about/models-biogeochemistry/)" TargetMode="External"/><Relationship Id="rId69" Type="http://schemas.openxmlformats.org/officeDocument/2006/relationships/image" Target="media/image31.png"/><Relationship Id="rId113" Type="http://schemas.openxmlformats.org/officeDocument/2006/relationships/image" Target="media/image55.png"/><Relationship Id="rId80" Type="http://schemas.openxmlformats.org/officeDocument/2006/relationships/hyperlink" Target="http://www.nature.com/articles/srep21567" TargetMode="External"/><Relationship Id="rId85" Type="http://schemas.openxmlformats.org/officeDocument/2006/relationships/hyperlink" Target="http://dx.doi.org/10.1016/j.marpolbul.2016.04.054" TargetMode="External"/><Relationship Id="rId12" Type="http://schemas.openxmlformats.org/officeDocument/2006/relationships/endnotes" Target="endnotes.xml"/><Relationship Id="rId17" Type="http://schemas.openxmlformats.org/officeDocument/2006/relationships/footer" Target="footer2.xml"/><Relationship Id="rId33" Type="http://schemas.openxmlformats.org/officeDocument/2006/relationships/hyperlink" Target="http://www.odysseydatarecording.com/" TargetMode="External"/><Relationship Id="rId38" Type="http://schemas.openxmlformats.org/officeDocument/2006/relationships/image" Target="media/image7.png"/><Relationship Id="rId59" Type="http://schemas.openxmlformats.org/officeDocument/2006/relationships/hyperlink" Target="http://www.bom.gov.au" TargetMode="External"/><Relationship Id="rId103" Type="http://schemas.openxmlformats.org/officeDocument/2006/relationships/image" Target="media/image49.emf"/><Relationship Id="rId108" Type="http://schemas.openxmlformats.org/officeDocument/2006/relationships/image" Target="media/image50.png"/><Relationship Id="rId54" Type="http://schemas.openxmlformats.org/officeDocument/2006/relationships/image" Target="media/image22.png"/><Relationship Id="rId70" Type="http://schemas.openxmlformats.org/officeDocument/2006/relationships/hyperlink" Target="http://www.reefplan.qld.gov.au/" TargetMode="External"/><Relationship Id="rId75" Type="http://schemas.openxmlformats.org/officeDocument/2006/relationships/hyperlink" Target="https://www.nature.com/articles/s41598-017-02810-0" TargetMode="External"/><Relationship Id="rId91" Type="http://schemas.openxmlformats.org/officeDocument/2006/relationships/image" Target="media/image37.png"/><Relationship Id="rId96" Type="http://schemas.openxmlformats.org/officeDocument/2006/relationships/image" Target="media/image42.png"/><Relationship Id="rId1" Type="http://schemas.microsoft.com/office/2006/relationships/keyMapCustomizations" Target="customizations.xml"/><Relationship Id="rId6"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3.xml"/><Relationship Id="rId28" Type="http://schemas.openxmlformats.org/officeDocument/2006/relationships/image" Target="media/image4.png"/><Relationship Id="rId36" Type="http://schemas.openxmlformats.org/officeDocument/2006/relationships/footer" Target="footer5.xml"/><Relationship Id="rId49" Type="http://schemas.openxmlformats.org/officeDocument/2006/relationships/image" Target="media/image18.png"/><Relationship Id="rId57" Type="http://schemas.openxmlformats.org/officeDocument/2006/relationships/image" Target="media/image25.png"/><Relationship Id="rId106" Type="http://schemas.openxmlformats.org/officeDocument/2006/relationships/footer" Target="footer6.xml"/><Relationship Id="rId114" Type="http://schemas.openxmlformats.org/officeDocument/2006/relationships/fontTable" Target="fontTable.xml"/><Relationship Id="rId10" Type="http://schemas.openxmlformats.org/officeDocument/2006/relationships/webSettings" Target="webSettings.xml"/><Relationship Id="rId31" Type="http://schemas.openxmlformats.org/officeDocument/2006/relationships/hyperlink" Target="http://www.reefplan.qld.gov.au/" TargetMode="External"/><Relationship Id="rId44" Type="http://schemas.openxmlformats.org/officeDocument/2006/relationships/image" Target="media/image13.png"/><Relationship Id="rId52" Type="http://schemas.openxmlformats.org/officeDocument/2006/relationships/hyperlink" Target="http://www.aims.gov.au/docs/research/monitoring/reef/reef-monitoring.html" TargetMode="External"/><Relationship Id="rId60" Type="http://schemas.openxmlformats.org/officeDocument/2006/relationships/hyperlink" Target="http://data.aims.gov.au/waCOTSPage/cotspage.jsp" TargetMode="External"/><Relationship Id="rId65" Type="http://schemas.openxmlformats.org/officeDocument/2006/relationships/hyperlink" Target="https://water-monitoring.information.qld.gov.au/" TargetMode="External"/><Relationship Id="rId73" Type="http://schemas.openxmlformats.org/officeDocument/2006/relationships/hyperlink" Target="https://www.nature.com/articles/s41598-017-11783-z?WT.feed_name=subjects_climate-sciences" TargetMode="External"/><Relationship Id="rId78" Type="http://schemas.openxmlformats.org/officeDocument/2006/relationships/hyperlink" Target="http://www.sciencedirect.com/science/article/pii/S0025326X17307063" TargetMode="External"/><Relationship Id="rId81" Type="http://schemas.openxmlformats.org/officeDocument/2006/relationships/hyperlink" Target="http://www.wamsi.org.au/sites/wamsi.org.au/files/files/(2017)%20Ricardo%20et%20al_%20Settlement%20reprint.pdf" TargetMode="External"/><Relationship Id="rId86" Type="http://schemas.openxmlformats.org/officeDocument/2006/relationships/image" Target="media/image32.png"/><Relationship Id="rId94" Type="http://schemas.openxmlformats.org/officeDocument/2006/relationships/image" Target="media/image40.png"/><Relationship Id="rId99" Type="http://schemas.openxmlformats.org/officeDocument/2006/relationships/image" Target="media/image45.png"/><Relationship Id="rId101" Type="http://schemas.openxmlformats.org/officeDocument/2006/relationships/image" Target="media/image47.png"/><Relationship Id="rId4" Type="http://schemas.openxmlformats.org/officeDocument/2006/relationships/customXml" Target="../customXml/item3.xml"/><Relationship Id="rId9" Type="http://schemas.openxmlformats.org/officeDocument/2006/relationships/settings" Target="settings.xml"/><Relationship Id="rId13" Type="http://schemas.openxmlformats.org/officeDocument/2006/relationships/image" Target="media/image1.jpeg"/><Relationship Id="rId18" Type="http://schemas.openxmlformats.org/officeDocument/2006/relationships/footer" Target="footer3.xml"/><Relationship Id="rId39" Type="http://schemas.openxmlformats.org/officeDocument/2006/relationships/image" Target="media/image8.png"/><Relationship Id="rId109" Type="http://schemas.openxmlformats.org/officeDocument/2006/relationships/image" Target="media/image51.png"/><Relationship Id="rId34" Type="http://schemas.openxmlformats.org/officeDocument/2006/relationships/hyperlink" Target="http://reefnet.ca/products/sensus/" TargetMode="External"/><Relationship Id="rId50" Type="http://schemas.openxmlformats.org/officeDocument/2006/relationships/image" Target="media/image19.png"/><Relationship Id="rId55" Type="http://schemas.openxmlformats.org/officeDocument/2006/relationships/image" Target="media/image23.png"/><Relationship Id="rId76" Type="http://schemas.openxmlformats.org/officeDocument/2006/relationships/hyperlink" Target="https://www.nature.com/articles/s41598-017-02810-0" TargetMode="External"/><Relationship Id="rId97" Type="http://schemas.openxmlformats.org/officeDocument/2006/relationships/image" Target="media/image43.png"/><Relationship Id="rId104" Type="http://schemas.openxmlformats.org/officeDocument/2006/relationships/oleObject" Target="embeddings/oleObject1.bin"/><Relationship Id="rId7" Type="http://schemas.openxmlformats.org/officeDocument/2006/relationships/numbering" Target="numbering.xml"/><Relationship Id="rId71" Type="http://schemas.openxmlformats.org/officeDocument/2006/relationships/hyperlink" Target="http://www.reefplan.qld.gov.au/" TargetMode="External"/><Relationship Id="rId92" Type="http://schemas.openxmlformats.org/officeDocument/2006/relationships/image" Target="media/image38.png"/><Relationship Id="rId2" Type="http://schemas.openxmlformats.org/officeDocument/2006/relationships/customXml" Target="../customXml/item1.xml"/><Relationship Id="rId29" Type="http://schemas.openxmlformats.org/officeDocument/2006/relationships/hyperlink" Target="http://www.gbrmpa.gov.au/managing-the-reef/how-the-reefs-managed/reef-2050-marine-monitoring-program" TargetMode="External"/><Relationship Id="rId24" Type="http://schemas.openxmlformats.org/officeDocument/2006/relationships/header" Target="header4.xml"/><Relationship Id="rId40" Type="http://schemas.openxmlformats.org/officeDocument/2006/relationships/image" Target="media/image9.png"/><Relationship Id="rId45" Type="http://schemas.openxmlformats.org/officeDocument/2006/relationships/image" Target="media/image14.png"/><Relationship Id="rId66" Type="http://schemas.openxmlformats.org/officeDocument/2006/relationships/hyperlink" Target="http://dapds00.nci.org.au/thredds/catalog/fx3/gbr4_bgc_GBR4_H2p0_B2p0_Chyd_Dnrt" TargetMode="External"/><Relationship Id="rId87" Type="http://schemas.openxmlformats.org/officeDocument/2006/relationships/image" Target="media/image33.png"/><Relationship Id="rId110" Type="http://schemas.openxmlformats.org/officeDocument/2006/relationships/image" Target="media/image52.png"/><Relationship Id="rId115" Type="http://schemas.openxmlformats.org/officeDocument/2006/relationships/theme" Target="theme/theme1.xml"/><Relationship Id="rId61" Type="http://schemas.openxmlformats.org/officeDocument/2006/relationships/image" Target="media/image27.jpeg"/><Relationship Id="rId82" Type="http://schemas.openxmlformats.org/officeDocument/2006/relationships/hyperlink" Target="http://www.sciencedirect.com/science/article/pii/S0048969717318569" TargetMode="External"/><Relationship Id="rId19" Type="http://schemas.openxmlformats.org/officeDocument/2006/relationships/hyperlink" Target="http://creativecommons.org/licences/by/4.0" TargetMode="External"/><Relationship Id="rId14" Type="http://schemas.openxmlformats.org/officeDocument/2006/relationships/image" Target="media/image2.emf"/><Relationship Id="rId30" Type="http://schemas.openxmlformats.org/officeDocument/2006/relationships/hyperlink" Target="http://e-atlas.org.au/rrmmp" TargetMode="External"/><Relationship Id="rId35" Type="http://schemas.openxmlformats.org/officeDocument/2006/relationships/hyperlink" Target="https://vemco.com/products/minilog-ii-t/" TargetMode="External"/><Relationship Id="rId56" Type="http://schemas.openxmlformats.org/officeDocument/2006/relationships/image" Target="media/image24.png"/><Relationship Id="rId77" Type="http://schemas.openxmlformats.org/officeDocument/2006/relationships/hyperlink" Target="http://www.sciencedirect.com/science/article/pii/S0025326X17307063" TargetMode="External"/><Relationship Id="rId100" Type="http://schemas.openxmlformats.org/officeDocument/2006/relationships/image" Target="media/image46.png"/><Relationship Id="rId105" Type="http://schemas.openxmlformats.org/officeDocument/2006/relationships/hyperlink" Target="https://www.ncbi.nlm.nih.gov/pmc/articles/PMC4868967/" TargetMode="External"/><Relationship Id="rId8" Type="http://schemas.openxmlformats.org/officeDocument/2006/relationships/styles" Target="styles.xml"/><Relationship Id="rId51" Type="http://schemas.openxmlformats.org/officeDocument/2006/relationships/image" Target="media/image20.png"/><Relationship Id="rId72" Type="http://schemas.openxmlformats.org/officeDocument/2006/relationships/hyperlink" Target="https://www.nature.com/articles/s41598-017-11783-z?WT.feed_name=subjects_climate-sciences" TargetMode="External"/><Relationship Id="rId93" Type="http://schemas.openxmlformats.org/officeDocument/2006/relationships/image" Target="media/image39.png"/><Relationship Id="rId98" Type="http://schemas.openxmlformats.org/officeDocument/2006/relationships/image" Target="media/image44.png"/><Relationship Id="rId3" Type="http://schemas.openxmlformats.org/officeDocument/2006/relationships/customXml" Target="../customXml/item2.xml"/><Relationship Id="rId25" Type="http://schemas.openxmlformats.org/officeDocument/2006/relationships/header" Target="header5.xml"/><Relationship Id="rId46" Type="http://schemas.openxmlformats.org/officeDocument/2006/relationships/image" Target="media/image15.png"/><Relationship Id="rId67" Type="http://schemas.openxmlformats.org/officeDocument/2006/relationships/image" Target="media/image29.png"/><Relationship Id="rId20" Type="http://schemas.openxmlformats.org/officeDocument/2006/relationships/hyperlink" Target="http://creativecommons.org/licences/by/3.0/au" TargetMode="External"/><Relationship Id="rId41" Type="http://schemas.openxmlformats.org/officeDocument/2006/relationships/image" Target="media/image10.png"/><Relationship Id="rId62" Type="http://schemas.openxmlformats.org/officeDocument/2006/relationships/image" Target="media/image28.png"/><Relationship Id="rId83" Type="http://schemas.openxmlformats.org/officeDocument/2006/relationships/hyperlink" Target="http://www.saedsayad.com/docs/gbm2.pdf" TargetMode="External"/><Relationship Id="rId88" Type="http://schemas.openxmlformats.org/officeDocument/2006/relationships/image" Target="media/image34.png"/><Relationship Id="rId111" Type="http://schemas.openxmlformats.org/officeDocument/2006/relationships/image" Target="media/image53.png"/></Relationships>
</file>

<file path=word/_rels/footnotes.xml.rels><?xml version="1.0" encoding="UTF-8" standalone="yes"?>
<Relationships xmlns="http://schemas.openxmlformats.org/package/2006/relationships"><Relationship Id="rId3" Type="http://schemas.openxmlformats.org/officeDocument/2006/relationships/hyperlink" Target="http://www.bom.gov.au/marinewaterquality/" TargetMode="External"/><Relationship Id="rId2" Type="http://schemas.openxmlformats.org/officeDocument/2006/relationships/hyperlink" Target="http://www.csiro.au/connie2/" TargetMode="External"/><Relationship Id="rId1" Type="http://schemas.openxmlformats.org/officeDocument/2006/relationships/hyperlink" Target="http://www.bom.gov.au/marinewaterqual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99EC44274A21C14AB4E4B4AC8EB06ABC" ma:contentTypeVersion="11" ma:contentTypeDescription="" ma:contentTypeScope="" ma:versionID="544dc8bde395105abfc8af941d6d41f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5bb03517a4ce35c70295a645b1c678fc"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8ccc4631-9afc-4718-b120-5e2e37a03cc7">PROJ-1577287649-424</_dlc_DocId>
    <_dlc_DocIdUrl xmlns="8ccc4631-9afc-4718-b120-5e2e37a03cc7">
      <Url>http://thedock.gbrmpa.gov.au/sites/Projects/P000056/_layouts/DocIdRedir.aspx?ID=PROJ-1577287649-424</Url>
      <Description>PROJ-1577287649-424</Description>
    </_dlc_DocIdUrl>
    <IconOverlay xmlns="http://schemas.microsoft.com/sharepoint/v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64840E-7A1F-4E32-8CD0-E396851335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B19E7B-3A0A-440C-AB54-4DCECEB2CEEF}">
  <ds:schemaRefs>
    <ds:schemaRef ds:uri="http://schemas.microsoft.com/office/2006/metadata/properties"/>
    <ds:schemaRef ds:uri="http://schemas.microsoft.com/office/infopath/2007/PartnerControls"/>
    <ds:schemaRef ds:uri="8ccc4631-9afc-4718-b120-5e2e37a03cc7"/>
    <ds:schemaRef ds:uri="http://schemas.microsoft.com/sharepoint/v4"/>
  </ds:schemaRefs>
</ds:datastoreItem>
</file>

<file path=customXml/itemProps3.xml><?xml version="1.0" encoding="utf-8"?>
<ds:datastoreItem xmlns:ds="http://schemas.openxmlformats.org/officeDocument/2006/customXml" ds:itemID="{B6048318-AA4E-470F-9964-F29A3F751C09}">
  <ds:schemaRefs>
    <ds:schemaRef ds:uri="http://schemas.microsoft.com/sharepoint/v3/contenttype/forms"/>
  </ds:schemaRefs>
</ds:datastoreItem>
</file>

<file path=customXml/itemProps4.xml><?xml version="1.0" encoding="utf-8"?>
<ds:datastoreItem xmlns:ds="http://schemas.openxmlformats.org/officeDocument/2006/customXml" ds:itemID="{B7DBC75A-6433-4C80-A66B-B5E64789E5C5}">
  <ds:schemaRefs>
    <ds:schemaRef ds:uri="http://schemas.microsoft.com/sharepoint/events"/>
  </ds:schemaRefs>
</ds:datastoreItem>
</file>

<file path=customXml/itemProps5.xml><?xml version="1.0" encoding="utf-8"?>
<ds:datastoreItem xmlns:ds="http://schemas.openxmlformats.org/officeDocument/2006/customXml" ds:itemID="{CCF8B33D-B00A-428B-9E09-6F926BCE90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53344</Words>
  <Characters>304066</Characters>
  <Application>Microsoft Office Word</Application>
  <DocSecurity>0</DocSecurity>
  <Lines>2533</Lines>
  <Paragraphs>713</Paragraphs>
  <ScaleCrop>false</ScaleCrop>
  <HeadingPairs>
    <vt:vector size="2" baseType="variant">
      <vt:variant>
        <vt:lpstr>Title</vt:lpstr>
      </vt:variant>
      <vt:variant>
        <vt:i4>1</vt:i4>
      </vt:variant>
    </vt:vector>
  </HeadingPairs>
  <TitlesOfParts>
    <vt:vector size="1" baseType="lpstr">
      <vt:lpstr>Marine-Monitoring-Program-Inshore-Coral-Report-2016-17</vt:lpstr>
    </vt:vector>
  </TitlesOfParts>
  <LinksUpToDate>false</LinksUpToDate>
  <CharactersWithSpaces>356697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Marine-Monitoring-Program-Inshore-Coral-Report-2016-17</dc:title>
  <dc:subject/>
  <dc:creator/>
  <cp:keywords/>
  <dc:description/>
  <cp:lastModifiedBy/>
  <cp:revision>1</cp:revision>
  <dcterms:created xsi:type="dcterms:W3CDTF">2018-08-24T04:01:00Z</dcterms:created>
  <dcterms:modified xsi:type="dcterms:W3CDTF">2018-08-24T04:01:00Z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0x010100441936E5D27A4AF2935B3316DA024CF20099EC44274A21C14AB4E4B4AC8EB06ABC</vt:lpwstr>
  </property>
  <property fmtid="{D5CDD505-2E9C-101B-9397-08002B2CF9AE}" pid="3" name="_dlc_DocIdItemGuid">
    <vt:lpwstr>de9ca299-6175-4cb5-96b8-0c5d73a788e8</vt:lpwstr>
  </property>
  <property fmtid="{D5CDD505-2E9C-101B-9397-08002B2CF9AE}" pid="4" name="TaxCatchAll">
    <vt:lpwstr/>
  </property>
  <property fmtid="{D5CDD505-2E9C-101B-9397-08002B2CF9AE}" pid="5" name="ProjectPhase">
    <vt:lpwstr/>
  </property>
  <property fmtid="{D5CDD505-2E9C-101B-9397-08002B2CF9AE}" pid="6" name="a2118650a77a4a97b805ceb1a6b3e3dc">
    <vt:lpwstr/>
  </property>
  <property fmtid="{D5CDD505-2E9C-101B-9397-08002B2CF9AE}" pid="7" name="RecordPoint_WorkflowType">
    <vt:lpwstr>ActiveSubmit</vt:lpwstr>
  </property>
  <property fmtid="{D5CDD505-2E9C-101B-9397-08002B2CF9AE}" pid="8" name="RecordPoint_ActiveItemSiteId">
    <vt:lpwstr>{8ce9eba2-d4a5-4da0-9276-1d47a92e9210}</vt:lpwstr>
  </property>
  <property fmtid="{D5CDD505-2E9C-101B-9397-08002B2CF9AE}" pid="9" name="RecordPoint_ActiveItemListId">
    <vt:lpwstr>{4002bfb1-c390-4c44-aed9-c0f467baaffd}</vt:lpwstr>
  </property>
  <property fmtid="{D5CDD505-2E9C-101B-9397-08002B2CF9AE}" pid="10" name="RecordPoint_ActiveItemUniqueId">
    <vt:lpwstr>{de9ca299-6175-4cb5-96b8-0c5d73a788e8}</vt:lpwstr>
  </property>
  <property fmtid="{D5CDD505-2E9C-101B-9397-08002B2CF9AE}" pid="11" name="RecordPoint_ActiveItemWebId">
    <vt:lpwstr>{e7821751-c451-45dc-b45e-82cfe574dc6e}</vt:lpwstr>
  </property>
  <property fmtid="{D5CDD505-2E9C-101B-9397-08002B2CF9AE}" pid="12" name="RecordPoint_SubmissionDate">
    <vt:lpwstr/>
  </property>
  <property fmtid="{D5CDD505-2E9C-101B-9397-08002B2CF9AE}" pid="13" name="RecordPoint_RecordNumberSubmitted">
    <vt:lpwstr/>
  </property>
  <property fmtid="{D5CDD505-2E9C-101B-9397-08002B2CF9AE}" pid="14" name="RecordPoint_ActiveItemMoved">
    <vt:lpwstr/>
  </property>
  <property fmtid="{D5CDD505-2E9C-101B-9397-08002B2CF9AE}" pid="15" name="RecordPoint_SubmissionCompleted">
    <vt:lpwstr/>
  </property>
  <property fmtid="{D5CDD505-2E9C-101B-9397-08002B2CF9AE}" pid="16" name="RecordPoint_RecordFormat">
    <vt:lpwstr/>
  </property>
</Properties>
</file>