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1627" w:rsidRPr="00A40CD0" w:rsidRDefault="003D1627" w:rsidP="003D1627">
      <w:pPr>
        <w:pStyle w:val="CoverTitle1"/>
        <w:rPr>
          <w:sz w:val="40"/>
          <w:szCs w:val="40"/>
        </w:rPr>
      </w:pPr>
      <w:r w:rsidRPr="00A40CD0">
        <w:rPr>
          <w:sz w:val="40"/>
          <w:szCs w:val="40"/>
        </w:rPr>
        <w:t>Reef Rescue Marine Monitoring Program:</w:t>
      </w:r>
    </w:p>
    <w:p w:rsidR="003D1627" w:rsidRPr="00A40CD0" w:rsidRDefault="003D1627" w:rsidP="003D1627">
      <w:pPr>
        <w:pStyle w:val="CoverTitle1"/>
        <w:rPr>
          <w:sz w:val="40"/>
          <w:szCs w:val="40"/>
        </w:rPr>
      </w:pPr>
      <w:r w:rsidRPr="00A40CD0">
        <w:rPr>
          <w:sz w:val="40"/>
          <w:szCs w:val="40"/>
        </w:rPr>
        <w:t>Assessment of Terrestrial Run-off Entering the Reef and Inshore Marine Water Quality Monitoring using Earth Observation data</w:t>
      </w:r>
    </w:p>
    <w:p w:rsidR="003D1627" w:rsidRPr="00A40CD0" w:rsidRDefault="003D1627" w:rsidP="003D1627">
      <w:pPr>
        <w:pStyle w:val="CoverTitle1"/>
        <w:rPr>
          <w:sz w:val="40"/>
          <w:szCs w:val="40"/>
        </w:rPr>
      </w:pPr>
    </w:p>
    <w:p w:rsidR="003D1627" w:rsidRPr="00A40CD0" w:rsidRDefault="003D1627" w:rsidP="003D1627">
      <w:pPr>
        <w:pStyle w:val="CoverTitle1"/>
        <w:rPr>
          <w:sz w:val="40"/>
          <w:szCs w:val="40"/>
        </w:rPr>
      </w:pPr>
    </w:p>
    <w:p w:rsidR="003D1627" w:rsidRPr="00A40CD0" w:rsidRDefault="003D1627" w:rsidP="003D1627">
      <w:pPr>
        <w:pStyle w:val="CoverTitle1"/>
        <w:rPr>
          <w:sz w:val="40"/>
          <w:szCs w:val="40"/>
        </w:rPr>
      </w:pPr>
      <w:r w:rsidRPr="00A40CD0">
        <w:rPr>
          <w:sz w:val="40"/>
          <w:szCs w:val="40"/>
        </w:rPr>
        <w:t xml:space="preserve">Final Report for </w:t>
      </w:r>
      <w:r>
        <w:rPr>
          <w:sz w:val="40"/>
          <w:szCs w:val="40"/>
        </w:rPr>
        <w:t>2011/12</w:t>
      </w:r>
      <w:r w:rsidRPr="00A40CD0">
        <w:rPr>
          <w:sz w:val="40"/>
          <w:szCs w:val="40"/>
        </w:rPr>
        <w:t xml:space="preserve"> Activities</w:t>
      </w:r>
    </w:p>
    <w:p w:rsidR="003D1627" w:rsidRPr="00A40CD0" w:rsidRDefault="003D1627" w:rsidP="003D1627">
      <w:pPr>
        <w:pStyle w:val="CoverTitle1"/>
        <w:rPr>
          <w:sz w:val="40"/>
          <w:szCs w:val="40"/>
        </w:rPr>
      </w:pPr>
    </w:p>
    <w:p w:rsidR="003D1627" w:rsidRPr="00A40CD0" w:rsidRDefault="003D1627" w:rsidP="003D1627">
      <w:pPr>
        <w:pStyle w:val="CoverTitle1"/>
        <w:rPr>
          <w:sz w:val="40"/>
          <w:szCs w:val="40"/>
        </w:rPr>
      </w:pPr>
    </w:p>
    <w:p w:rsidR="003D1627" w:rsidRPr="00A40CD0" w:rsidRDefault="003D1627" w:rsidP="003D1627">
      <w:pPr>
        <w:pStyle w:val="CoverTitle2"/>
      </w:pPr>
      <w:r>
        <w:t>Vittorio E. Brando</w:t>
      </w:r>
      <w:r w:rsidRPr="00A40CD0">
        <w:t>, Thomas Schroeder, Arnold G. Dekker, Lesley Clementson</w:t>
      </w:r>
    </w:p>
    <w:p w:rsidR="003D1627" w:rsidRPr="00A40CD0" w:rsidRDefault="003D1627" w:rsidP="003D1627">
      <w:pPr>
        <w:pStyle w:val="CoverTitle2"/>
      </w:pPr>
    </w:p>
    <w:p w:rsidR="003D1627" w:rsidRPr="00A40CD0" w:rsidRDefault="003D1627" w:rsidP="003D1627">
      <w:pPr>
        <w:pStyle w:val="CoverTitle2"/>
      </w:pPr>
      <w:r w:rsidRPr="00A40CD0">
        <w:t>CSIRO Land &amp; Water</w:t>
      </w:r>
    </w:p>
    <w:p w:rsidR="003D1627" w:rsidRPr="00A40CD0" w:rsidRDefault="003D1627" w:rsidP="003D1627">
      <w:pPr>
        <w:pStyle w:val="CoverTitle2"/>
      </w:pPr>
      <w:r>
        <w:t>April 2013</w:t>
      </w:r>
    </w:p>
    <w:p w:rsidR="003D1627" w:rsidRPr="00A40CD0" w:rsidRDefault="003D1627" w:rsidP="003D1627">
      <w:pPr>
        <w:pStyle w:val="BodyText"/>
      </w:pPr>
    </w:p>
    <w:p w:rsidR="00B25CAA" w:rsidRDefault="00B25CAA" w:rsidP="002E0BD6">
      <w:pPr>
        <w:pStyle w:val="BodyText"/>
      </w:pPr>
    </w:p>
    <w:p w:rsidR="003D1627" w:rsidRPr="00A40CD0" w:rsidRDefault="003D1627" w:rsidP="002E0BD6">
      <w:pPr>
        <w:pStyle w:val="BodyText"/>
      </w:pPr>
    </w:p>
    <w:p w:rsidR="00B25CAA" w:rsidRPr="00A40CD0" w:rsidRDefault="00B25CAA" w:rsidP="002E0BD6">
      <w:pPr>
        <w:pStyle w:val="BodyText"/>
        <w:sectPr w:rsidR="00B25CAA" w:rsidRPr="00A40CD0" w:rsidSect="00FA0EE1">
          <w:headerReference w:type="even" r:id="rId12"/>
          <w:headerReference w:type="default" r:id="rId13"/>
          <w:footerReference w:type="even" r:id="rId14"/>
          <w:footerReference w:type="default" r:id="rId15"/>
          <w:headerReference w:type="first" r:id="rId16"/>
          <w:footerReference w:type="first" r:id="rId17"/>
          <w:pgSz w:w="11906" w:h="16838" w:code="9"/>
          <w:pgMar w:top="2948" w:right="2410" w:bottom="1134" w:left="2948" w:header="567" w:footer="567" w:gutter="0"/>
          <w:cols w:space="708"/>
          <w:titlePg/>
          <w:docGrid w:linePitch="360"/>
        </w:sectPr>
      </w:pPr>
    </w:p>
    <w:p w:rsidR="00B25CAA" w:rsidRPr="00A40CD0" w:rsidRDefault="00B25CAA" w:rsidP="002E0BD6">
      <w:pPr>
        <w:pStyle w:val="BodyText"/>
      </w:pPr>
      <w:bookmarkStart w:id="0" w:name="_Toc102449754"/>
      <w:bookmarkStart w:id="1" w:name="_Toc102449764"/>
      <w:bookmarkStart w:id="2" w:name="_Toc102449988"/>
      <w:r w:rsidRPr="00A40CD0">
        <w:lastRenderedPageBreak/>
        <w:t>Enquiries should be addressed to:</w:t>
      </w:r>
    </w:p>
    <w:p w:rsidR="00B25CAA" w:rsidRPr="00A40CD0" w:rsidRDefault="00B25CAA" w:rsidP="002E0BD6">
      <w:pPr>
        <w:pStyle w:val="BodyText"/>
      </w:pPr>
      <w:r w:rsidRPr="00A40CD0">
        <w:t>Dr. Vittorio Brando</w:t>
      </w:r>
      <w:r w:rsidRPr="00A40CD0">
        <w:br/>
        <w:t>Environmental Earth Observation Programme</w:t>
      </w:r>
      <w:r w:rsidRPr="00A40CD0">
        <w:br/>
        <w:t>CSIRO Land &amp; Water</w:t>
      </w:r>
      <w:r w:rsidRPr="00A40CD0">
        <w:br/>
        <w:t>GPO Box 1666</w:t>
      </w:r>
      <w:r w:rsidRPr="00A40CD0">
        <w:br/>
        <w:t>Canberra ACT 2601 AUSTRALIA</w:t>
      </w:r>
      <w:r w:rsidRPr="00A40CD0">
        <w:br/>
        <w:t>e-mail: vittorio.brando@csiro.au</w:t>
      </w:r>
    </w:p>
    <w:p w:rsidR="00B25CAA" w:rsidRPr="00A40CD0" w:rsidRDefault="00B25CAA" w:rsidP="002E0BD6">
      <w:pPr>
        <w:pStyle w:val="BodyText"/>
      </w:pPr>
    </w:p>
    <w:p w:rsidR="00B25CAA" w:rsidRPr="00A40CD0" w:rsidRDefault="00B25CAA" w:rsidP="00CD2116">
      <w:pPr>
        <w:pStyle w:val="Contents"/>
      </w:pPr>
      <w:r w:rsidRPr="00A40CD0">
        <w:t>Copyright and Disclaimer</w:t>
      </w:r>
    </w:p>
    <w:p w:rsidR="00B25CAA" w:rsidRPr="00A40CD0" w:rsidRDefault="00B25CAA" w:rsidP="002E0BD6">
      <w:pPr>
        <w:pStyle w:val="BodyText"/>
      </w:pPr>
      <w:r w:rsidRPr="00A40CD0">
        <w:t>© 201</w:t>
      </w:r>
      <w:r w:rsidR="00235384">
        <w:t>3</w:t>
      </w:r>
      <w:r w:rsidRPr="00A40CD0">
        <w:t xml:space="preserve"> CSIRO To the extent permitted by law, all rights are reserved and no part of this publication covered by copyright may be reproduced or copied in any form or by any means except with the written permission of CSIRO.</w:t>
      </w:r>
    </w:p>
    <w:p w:rsidR="00B25CAA" w:rsidRPr="00A40CD0" w:rsidRDefault="00B25CAA" w:rsidP="002E0BD6">
      <w:pPr>
        <w:pStyle w:val="BodyText"/>
      </w:pPr>
    </w:p>
    <w:p w:rsidR="00B25CAA" w:rsidRPr="00A40CD0" w:rsidRDefault="00B25CAA" w:rsidP="00CD2116">
      <w:pPr>
        <w:pStyle w:val="Contents"/>
      </w:pPr>
      <w:r w:rsidRPr="00A40CD0">
        <w:t>Important Disclaimer</w:t>
      </w:r>
    </w:p>
    <w:p w:rsidR="00B25CAA" w:rsidRPr="00A40CD0" w:rsidRDefault="00B25CAA" w:rsidP="002E0BD6">
      <w:pPr>
        <w:pStyle w:val="BodyText"/>
      </w:pPr>
      <w:r w:rsidRPr="00A40CD0">
        <w:t>CSIRO advises that the information contained in this publication comprises general statements based on scientific research. The reader is advised and needs to be aware that such information may be incomplete or unable to be used in any specific situation. No reliance or actions must therefore be made on that information without seeking prior expert professional, scientific and technical advice. To the extent permitted by law, CSIRO (including its employees and consultants) excludes all liability to any person for any consequences, including but not limited to all losses, damages, costs, expenses and any other compensation, arising directly or indirectly from using this publication (in part or in whole) and any information or material contained in it.</w:t>
      </w:r>
    </w:p>
    <w:p w:rsidR="00B25CAA" w:rsidRPr="00A40CD0" w:rsidRDefault="00B25CAA" w:rsidP="002E0BD6">
      <w:pPr>
        <w:pStyle w:val="BodyText"/>
      </w:pPr>
    </w:p>
    <w:p w:rsidR="00B25CAA" w:rsidRPr="00A40CD0" w:rsidRDefault="00B25CAA">
      <w:pPr>
        <w:rPr>
          <w:b/>
          <w:sz w:val="24"/>
        </w:rPr>
      </w:pPr>
      <w:r w:rsidRPr="00A40CD0">
        <w:rPr>
          <w:b/>
          <w:sz w:val="24"/>
        </w:rPr>
        <w:br w:type="page"/>
      </w:r>
    </w:p>
    <w:p w:rsidR="00B25CAA" w:rsidRPr="00A40CD0" w:rsidRDefault="00B25CAA" w:rsidP="005F682B">
      <w:pPr>
        <w:rPr>
          <w:b/>
          <w:sz w:val="24"/>
        </w:rPr>
      </w:pPr>
      <w:r w:rsidRPr="00A40CD0">
        <w:rPr>
          <w:b/>
          <w:sz w:val="24"/>
        </w:rPr>
        <w:lastRenderedPageBreak/>
        <w:t>CONTENTS</w:t>
      </w:r>
    </w:p>
    <w:p w:rsidR="00B11F3B" w:rsidRDefault="00EA2F38">
      <w:pPr>
        <w:pStyle w:val="TOC1"/>
        <w:rPr>
          <w:rFonts w:asciiTheme="minorHAnsi" w:eastAsiaTheme="minorEastAsia" w:hAnsiTheme="minorHAnsi" w:cstheme="minorBidi"/>
          <w:b w:val="0"/>
          <w:caps w:val="0"/>
          <w:noProof/>
          <w:sz w:val="22"/>
          <w:szCs w:val="22"/>
        </w:rPr>
      </w:pPr>
      <w:r w:rsidRPr="00A40CD0">
        <w:rPr>
          <w:szCs w:val="22"/>
        </w:rPr>
        <w:fldChar w:fldCharType="begin"/>
      </w:r>
      <w:r w:rsidR="00B25CAA" w:rsidRPr="00A40CD0">
        <w:rPr>
          <w:szCs w:val="22"/>
        </w:rPr>
        <w:instrText xml:space="preserve"> TOC \o "1-4" \u </w:instrText>
      </w:r>
      <w:r w:rsidRPr="00A40CD0">
        <w:rPr>
          <w:szCs w:val="22"/>
        </w:rPr>
        <w:fldChar w:fldCharType="separate"/>
      </w:r>
      <w:r w:rsidR="00B11F3B">
        <w:rPr>
          <w:noProof/>
        </w:rPr>
        <w:t>Executive summary</w:t>
      </w:r>
      <w:r w:rsidR="00B11F3B">
        <w:rPr>
          <w:noProof/>
        </w:rPr>
        <w:tab/>
      </w:r>
      <w:r w:rsidR="00B11F3B">
        <w:rPr>
          <w:noProof/>
        </w:rPr>
        <w:fldChar w:fldCharType="begin"/>
      </w:r>
      <w:r w:rsidR="00B11F3B">
        <w:rPr>
          <w:noProof/>
        </w:rPr>
        <w:instrText xml:space="preserve"> PAGEREF _Toc399264871 \h </w:instrText>
      </w:r>
      <w:r w:rsidR="00B11F3B">
        <w:rPr>
          <w:noProof/>
        </w:rPr>
      </w:r>
      <w:r w:rsidR="00B11F3B">
        <w:rPr>
          <w:noProof/>
        </w:rPr>
        <w:fldChar w:fldCharType="separate"/>
      </w:r>
      <w:r w:rsidR="00B11F3B">
        <w:rPr>
          <w:noProof/>
        </w:rPr>
        <w:t>22</w:t>
      </w:r>
      <w:r w:rsidR="00B11F3B">
        <w:rPr>
          <w:noProof/>
        </w:rPr>
        <w:fldChar w:fldCharType="end"/>
      </w:r>
    </w:p>
    <w:p w:rsidR="00B11F3B" w:rsidRDefault="00B11F3B">
      <w:pPr>
        <w:pStyle w:val="TOC1"/>
        <w:rPr>
          <w:rFonts w:asciiTheme="minorHAnsi" w:eastAsiaTheme="minorEastAsia" w:hAnsiTheme="minorHAnsi" w:cstheme="minorBidi"/>
          <w:b w:val="0"/>
          <w:caps w:val="0"/>
          <w:noProof/>
          <w:sz w:val="22"/>
          <w:szCs w:val="22"/>
        </w:rPr>
      </w:pPr>
      <w:r>
        <w:rPr>
          <w:noProof/>
        </w:rPr>
        <w:t>Acknowledgments</w:t>
      </w:r>
      <w:r>
        <w:rPr>
          <w:noProof/>
        </w:rPr>
        <w:tab/>
      </w:r>
      <w:r>
        <w:rPr>
          <w:noProof/>
        </w:rPr>
        <w:fldChar w:fldCharType="begin"/>
      </w:r>
      <w:r>
        <w:rPr>
          <w:noProof/>
        </w:rPr>
        <w:instrText xml:space="preserve"> PAGEREF _Toc399264872 \h </w:instrText>
      </w:r>
      <w:r>
        <w:rPr>
          <w:noProof/>
        </w:rPr>
      </w:r>
      <w:r>
        <w:rPr>
          <w:noProof/>
        </w:rPr>
        <w:fldChar w:fldCharType="separate"/>
      </w:r>
      <w:r>
        <w:rPr>
          <w:noProof/>
        </w:rPr>
        <w:t>25</w:t>
      </w:r>
      <w:r>
        <w:rPr>
          <w:noProof/>
        </w:rPr>
        <w:fldChar w:fldCharType="end"/>
      </w:r>
    </w:p>
    <w:p w:rsidR="00B11F3B" w:rsidRDefault="00B11F3B">
      <w:pPr>
        <w:pStyle w:val="TOC1"/>
        <w:tabs>
          <w:tab w:val="left" w:pos="567"/>
        </w:tabs>
        <w:rPr>
          <w:rFonts w:asciiTheme="minorHAnsi" w:eastAsiaTheme="minorEastAsia" w:hAnsiTheme="minorHAnsi" w:cstheme="minorBidi"/>
          <w:b w:val="0"/>
          <w:caps w:val="0"/>
          <w:noProof/>
          <w:sz w:val="22"/>
          <w:szCs w:val="22"/>
        </w:rPr>
      </w:pPr>
      <w:r w:rsidRPr="00396EDE">
        <w:rPr>
          <w:noProof/>
        </w:rPr>
        <w:t>1</w:t>
      </w:r>
      <w:r>
        <w:rPr>
          <w:rFonts w:asciiTheme="minorHAnsi" w:eastAsiaTheme="minorEastAsia" w:hAnsiTheme="minorHAnsi" w:cstheme="minorBidi"/>
          <w:b w:val="0"/>
          <w:caps w:val="0"/>
          <w:noProof/>
          <w:sz w:val="22"/>
          <w:szCs w:val="22"/>
        </w:rPr>
        <w:tab/>
      </w:r>
      <w:r>
        <w:rPr>
          <w:noProof/>
        </w:rPr>
        <w:t>Introduction</w:t>
      </w:r>
      <w:r>
        <w:rPr>
          <w:noProof/>
        </w:rPr>
        <w:tab/>
      </w:r>
      <w:r>
        <w:rPr>
          <w:noProof/>
        </w:rPr>
        <w:fldChar w:fldCharType="begin"/>
      </w:r>
      <w:r>
        <w:rPr>
          <w:noProof/>
        </w:rPr>
        <w:instrText xml:space="preserve"> PAGEREF _Toc399264873 \h </w:instrText>
      </w:r>
      <w:r>
        <w:rPr>
          <w:noProof/>
        </w:rPr>
      </w:r>
      <w:r>
        <w:rPr>
          <w:noProof/>
        </w:rPr>
        <w:fldChar w:fldCharType="separate"/>
      </w:r>
      <w:r>
        <w:rPr>
          <w:noProof/>
        </w:rPr>
        <w:t>26</w:t>
      </w:r>
      <w:r>
        <w:rPr>
          <w:noProof/>
        </w:rPr>
        <w:fldChar w:fldCharType="end"/>
      </w:r>
    </w:p>
    <w:p w:rsidR="00B11F3B" w:rsidRDefault="00B11F3B">
      <w:pPr>
        <w:pStyle w:val="TOC1"/>
        <w:tabs>
          <w:tab w:val="left" w:pos="567"/>
        </w:tabs>
        <w:rPr>
          <w:rFonts w:asciiTheme="minorHAnsi" w:eastAsiaTheme="minorEastAsia" w:hAnsiTheme="minorHAnsi" w:cstheme="minorBidi"/>
          <w:b w:val="0"/>
          <w:caps w:val="0"/>
          <w:noProof/>
          <w:sz w:val="22"/>
          <w:szCs w:val="22"/>
        </w:rPr>
      </w:pPr>
      <w:r w:rsidRPr="00396EDE">
        <w:rPr>
          <w:noProof/>
        </w:rPr>
        <w:t>2</w:t>
      </w:r>
      <w:r>
        <w:rPr>
          <w:rFonts w:asciiTheme="minorHAnsi" w:eastAsiaTheme="minorEastAsia" w:hAnsiTheme="minorHAnsi" w:cstheme="minorBidi"/>
          <w:b w:val="0"/>
          <w:caps w:val="0"/>
          <w:noProof/>
          <w:sz w:val="22"/>
          <w:szCs w:val="22"/>
        </w:rPr>
        <w:tab/>
      </w:r>
      <w:r>
        <w:rPr>
          <w:noProof/>
        </w:rPr>
        <w:t>METHODS</w:t>
      </w:r>
      <w:r>
        <w:rPr>
          <w:noProof/>
        </w:rPr>
        <w:tab/>
      </w:r>
      <w:r>
        <w:rPr>
          <w:noProof/>
        </w:rPr>
        <w:fldChar w:fldCharType="begin"/>
      </w:r>
      <w:r>
        <w:rPr>
          <w:noProof/>
        </w:rPr>
        <w:instrText xml:space="preserve"> PAGEREF _Toc399264874 \h </w:instrText>
      </w:r>
      <w:r>
        <w:rPr>
          <w:noProof/>
        </w:rPr>
      </w:r>
      <w:r>
        <w:rPr>
          <w:noProof/>
        </w:rPr>
        <w:fldChar w:fldCharType="separate"/>
      </w:r>
      <w:r>
        <w:rPr>
          <w:noProof/>
        </w:rPr>
        <w:t>30</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2.1</w:t>
      </w:r>
      <w:r>
        <w:rPr>
          <w:rFonts w:asciiTheme="minorHAnsi" w:eastAsiaTheme="minorEastAsia" w:hAnsiTheme="minorHAnsi" w:cstheme="minorBidi"/>
          <w:b w:val="0"/>
          <w:noProof/>
          <w:sz w:val="22"/>
          <w:szCs w:val="22"/>
        </w:rPr>
        <w:tab/>
      </w:r>
      <w:r>
        <w:rPr>
          <w:noProof/>
        </w:rPr>
        <w:t>Regionally valid retrieval of water quality parameters from satellite imagery</w:t>
      </w:r>
      <w:r>
        <w:rPr>
          <w:noProof/>
        </w:rPr>
        <w:tab/>
      </w:r>
      <w:r>
        <w:rPr>
          <w:noProof/>
        </w:rPr>
        <w:fldChar w:fldCharType="begin"/>
      </w:r>
      <w:r>
        <w:rPr>
          <w:noProof/>
        </w:rPr>
        <w:instrText xml:space="preserve"> PAGEREF _Toc399264875 \h </w:instrText>
      </w:r>
      <w:r>
        <w:rPr>
          <w:noProof/>
        </w:rPr>
      </w:r>
      <w:r>
        <w:rPr>
          <w:noProof/>
        </w:rPr>
        <w:fldChar w:fldCharType="separate"/>
      </w:r>
      <w:r>
        <w:rPr>
          <w:noProof/>
        </w:rPr>
        <w:t>30</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2.2</w:t>
      </w:r>
      <w:r>
        <w:rPr>
          <w:rFonts w:asciiTheme="minorHAnsi" w:eastAsiaTheme="minorEastAsia" w:hAnsiTheme="minorHAnsi" w:cstheme="minorBidi"/>
          <w:b w:val="0"/>
          <w:noProof/>
          <w:sz w:val="22"/>
          <w:szCs w:val="22"/>
        </w:rPr>
        <w:tab/>
      </w:r>
      <w:r>
        <w:rPr>
          <w:noProof/>
        </w:rPr>
        <w:t>Management relevant remote sensing products to monitor water quality in GBR</w:t>
      </w:r>
      <w:r>
        <w:rPr>
          <w:noProof/>
        </w:rPr>
        <w:tab/>
      </w:r>
      <w:r>
        <w:rPr>
          <w:noProof/>
        </w:rPr>
        <w:fldChar w:fldCharType="begin"/>
      </w:r>
      <w:r>
        <w:rPr>
          <w:noProof/>
        </w:rPr>
        <w:instrText xml:space="preserve"> PAGEREF _Toc399264876 \h </w:instrText>
      </w:r>
      <w:r>
        <w:rPr>
          <w:noProof/>
        </w:rPr>
      </w:r>
      <w:r>
        <w:rPr>
          <w:noProof/>
        </w:rPr>
        <w:fldChar w:fldCharType="separate"/>
      </w:r>
      <w:r>
        <w:rPr>
          <w:noProof/>
        </w:rPr>
        <w:t>31</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2.2.1</w:t>
      </w:r>
      <w:r>
        <w:rPr>
          <w:rFonts w:asciiTheme="minorHAnsi" w:eastAsiaTheme="minorEastAsia" w:hAnsiTheme="minorHAnsi" w:cstheme="minorBidi"/>
          <w:b w:val="0"/>
          <w:noProof/>
          <w:szCs w:val="22"/>
        </w:rPr>
        <w:tab/>
      </w:r>
      <w:r>
        <w:rPr>
          <w:noProof/>
        </w:rPr>
        <w:t>Water quality maps</w:t>
      </w:r>
      <w:r>
        <w:rPr>
          <w:noProof/>
        </w:rPr>
        <w:tab/>
      </w:r>
      <w:r>
        <w:rPr>
          <w:noProof/>
        </w:rPr>
        <w:fldChar w:fldCharType="begin"/>
      </w:r>
      <w:r>
        <w:rPr>
          <w:noProof/>
        </w:rPr>
        <w:instrText xml:space="preserve"> PAGEREF _Toc399264877 \h </w:instrText>
      </w:r>
      <w:r>
        <w:rPr>
          <w:noProof/>
        </w:rPr>
      </w:r>
      <w:r>
        <w:rPr>
          <w:noProof/>
        </w:rPr>
        <w:fldChar w:fldCharType="separate"/>
      </w:r>
      <w:r>
        <w:rPr>
          <w:noProof/>
        </w:rPr>
        <w:t>31</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2.2.2</w:t>
      </w:r>
      <w:r>
        <w:rPr>
          <w:rFonts w:asciiTheme="minorHAnsi" w:eastAsiaTheme="minorEastAsia" w:hAnsiTheme="minorHAnsi" w:cstheme="minorBidi"/>
          <w:b w:val="0"/>
          <w:noProof/>
          <w:szCs w:val="22"/>
        </w:rPr>
        <w:tab/>
      </w:r>
      <w:r>
        <w:rPr>
          <w:noProof/>
        </w:rPr>
        <w:t>Estimate of freshwater extent</w:t>
      </w:r>
      <w:r>
        <w:rPr>
          <w:noProof/>
        </w:rPr>
        <w:tab/>
      </w:r>
      <w:r>
        <w:rPr>
          <w:noProof/>
        </w:rPr>
        <w:fldChar w:fldCharType="begin"/>
      </w:r>
      <w:r>
        <w:rPr>
          <w:noProof/>
        </w:rPr>
        <w:instrText xml:space="preserve"> PAGEREF _Toc399264878 \h </w:instrText>
      </w:r>
      <w:r>
        <w:rPr>
          <w:noProof/>
        </w:rPr>
      </w:r>
      <w:r>
        <w:rPr>
          <w:noProof/>
        </w:rPr>
        <w:fldChar w:fldCharType="separate"/>
      </w:r>
      <w:r>
        <w:rPr>
          <w:noProof/>
        </w:rPr>
        <w:t>32</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2.2.3</w:t>
      </w:r>
      <w:r>
        <w:rPr>
          <w:rFonts w:asciiTheme="minorHAnsi" w:eastAsiaTheme="minorEastAsia" w:hAnsiTheme="minorHAnsi" w:cstheme="minorBidi"/>
          <w:b w:val="0"/>
          <w:noProof/>
          <w:szCs w:val="22"/>
        </w:rPr>
        <w:tab/>
      </w:r>
      <w:r>
        <w:rPr>
          <w:noProof/>
        </w:rPr>
        <w:t>Evaluation of compliance to guidelines</w:t>
      </w:r>
      <w:r>
        <w:rPr>
          <w:noProof/>
        </w:rPr>
        <w:tab/>
      </w:r>
      <w:r>
        <w:rPr>
          <w:noProof/>
        </w:rPr>
        <w:fldChar w:fldCharType="begin"/>
      </w:r>
      <w:r>
        <w:rPr>
          <w:noProof/>
        </w:rPr>
        <w:instrText xml:space="preserve"> PAGEREF _Toc399264879 \h </w:instrText>
      </w:r>
      <w:r>
        <w:rPr>
          <w:noProof/>
        </w:rPr>
      </w:r>
      <w:r>
        <w:rPr>
          <w:noProof/>
        </w:rPr>
        <w:fldChar w:fldCharType="separate"/>
      </w:r>
      <w:r>
        <w:rPr>
          <w:noProof/>
        </w:rPr>
        <w:t>33</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2.2.4</w:t>
      </w:r>
      <w:r>
        <w:rPr>
          <w:rFonts w:asciiTheme="minorHAnsi" w:eastAsiaTheme="minorEastAsia" w:hAnsiTheme="minorHAnsi" w:cstheme="minorBidi"/>
          <w:b w:val="0"/>
          <w:noProof/>
          <w:szCs w:val="22"/>
        </w:rPr>
        <w:tab/>
      </w:r>
      <w:r>
        <w:rPr>
          <w:noProof/>
        </w:rPr>
        <w:t>Calculating metrics for the P2R reporting for marine water quality</w:t>
      </w:r>
      <w:r>
        <w:rPr>
          <w:noProof/>
        </w:rPr>
        <w:tab/>
      </w:r>
      <w:r>
        <w:rPr>
          <w:noProof/>
        </w:rPr>
        <w:fldChar w:fldCharType="begin"/>
      </w:r>
      <w:r>
        <w:rPr>
          <w:noProof/>
        </w:rPr>
        <w:instrText xml:space="preserve"> PAGEREF _Toc399264880 \h </w:instrText>
      </w:r>
      <w:r>
        <w:rPr>
          <w:noProof/>
        </w:rPr>
      </w:r>
      <w:r>
        <w:rPr>
          <w:noProof/>
        </w:rPr>
        <w:fldChar w:fldCharType="separate"/>
      </w:r>
      <w:r>
        <w:rPr>
          <w:noProof/>
        </w:rPr>
        <w:t>37</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2.2.5</w:t>
      </w:r>
      <w:r>
        <w:rPr>
          <w:rFonts w:asciiTheme="minorHAnsi" w:eastAsiaTheme="minorEastAsia" w:hAnsiTheme="minorHAnsi" w:cstheme="minorBidi"/>
          <w:b w:val="0"/>
          <w:noProof/>
          <w:szCs w:val="22"/>
        </w:rPr>
        <w:tab/>
      </w:r>
      <w:r>
        <w:rPr>
          <w:noProof/>
        </w:rPr>
        <w:t>Guide to interpreting the maps</w:t>
      </w:r>
      <w:r>
        <w:rPr>
          <w:noProof/>
        </w:rPr>
        <w:tab/>
      </w:r>
      <w:r>
        <w:rPr>
          <w:noProof/>
        </w:rPr>
        <w:fldChar w:fldCharType="begin"/>
      </w:r>
      <w:r>
        <w:rPr>
          <w:noProof/>
        </w:rPr>
        <w:instrText xml:space="preserve"> PAGEREF _Toc399264881 \h </w:instrText>
      </w:r>
      <w:r>
        <w:rPr>
          <w:noProof/>
        </w:rPr>
      </w:r>
      <w:r>
        <w:rPr>
          <w:noProof/>
        </w:rPr>
        <w:fldChar w:fldCharType="separate"/>
      </w:r>
      <w:r>
        <w:rPr>
          <w:noProof/>
        </w:rPr>
        <w:t>38</w:t>
      </w:r>
      <w:r>
        <w:rPr>
          <w:noProof/>
        </w:rPr>
        <w:fldChar w:fldCharType="end"/>
      </w:r>
    </w:p>
    <w:p w:rsidR="00B11F3B" w:rsidRDefault="00B11F3B">
      <w:pPr>
        <w:pStyle w:val="TOC1"/>
        <w:tabs>
          <w:tab w:val="left" w:pos="567"/>
        </w:tabs>
        <w:rPr>
          <w:rFonts w:asciiTheme="minorHAnsi" w:eastAsiaTheme="minorEastAsia" w:hAnsiTheme="minorHAnsi" w:cstheme="minorBidi"/>
          <w:b w:val="0"/>
          <w:caps w:val="0"/>
          <w:noProof/>
          <w:sz w:val="22"/>
          <w:szCs w:val="22"/>
        </w:rPr>
      </w:pPr>
      <w:r w:rsidRPr="00396EDE">
        <w:rPr>
          <w:noProof/>
        </w:rPr>
        <w:t>3</w:t>
      </w:r>
      <w:r>
        <w:rPr>
          <w:rFonts w:asciiTheme="minorHAnsi" w:eastAsiaTheme="minorEastAsia" w:hAnsiTheme="minorHAnsi" w:cstheme="minorBidi"/>
          <w:b w:val="0"/>
          <w:caps w:val="0"/>
          <w:noProof/>
          <w:sz w:val="22"/>
          <w:szCs w:val="22"/>
        </w:rPr>
        <w:tab/>
      </w:r>
      <w:r>
        <w:rPr>
          <w:noProof/>
        </w:rPr>
        <w:t>DelineaTion of the Enclosed Coastal waters for the GBRWHA reporting regions: A Case-study.</w:t>
      </w:r>
      <w:r>
        <w:rPr>
          <w:noProof/>
        </w:rPr>
        <w:tab/>
      </w:r>
      <w:r>
        <w:rPr>
          <w:noProof/>
        </w:rPr>
        <w:fldChar w:fldCharType="begin"/>
      </w:r>
      <w:r>
        <w:rPr>
          <w:noProof/>
        </w:rPr>
        <w:instrText xml:space="preserve"> PAGEREF _Toc399264882 \h </w:instrText>
      </w:r>
      <w:r>
        <w:rPr>
          <w:noProof/>
        </w:rPr>
      </w:r>
      <w:r>
        <w:rPr>
          <w:noProof/>
        </w:rPr>
        <w:fldChar w:fldCharType="separate"/>
      </w:r>
      <w:r>
        <w:rPr>
          <w:noProof/>
        </w:rPr>
        <w:t>39</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3.1</w:t>
      </w:r>
      <w:r>
        <w:rPr>
          <w:rFonts w:asciiTheme="minorHAnsi" w:eastAsiaTheme="minorEastAsia" w:hAnsiTheme="minorHAnsi" w:cstheme="minorBidi"/>
          <w:b w:val="0"/>
          <w:noProof/>
          <w:sz w:val="22"/>
          <w:szCs w:val="22"/>
        </w:rPr>
        <w:tab/>
      </w:r>
      <w:r>
        <w:rPr>
          <w:noProof/>
        </w:rPr>
        <w:t>Objective of this study</w:t>
      </w:r>
      <w:r>
        <w:rPr>
          <w:noProof/>
        </w:rPr>
        <w:tab/>
      </w:r>
      <w:r>
        <w:rPr>
          <w:noProof/>
        </w:rPr>
        <w:fldChar w:fldCharType="begin"/>
      </w:r>
      <w:r>
        <w:rPr>
          <w:noProof/>
        </w:rPr>
        <w:instrText xml:space="preserve"> PAGEREF _Toc399264883 \h </w:instrText>
      </w:r>
      <w:r>
        <w:rPr>
          <w:noProof/>
        </w:rPr>
      </w:r>
      <w:r>
        <w:rPr>
          <w:noProof/>
        </w:rPr>
        <w:fldChar w:fldCharType="separate"/>
      </w:r>
      <w:r>
        <w:rPr>
          <w:noProof/>
        </w:rPr>
        <w:t>39</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3.2</w:t>
      </w:r>
      <w:r>
        <w:rPr>
          <w:rFonts w:asciiTheme="minorHAnsi" w:eastAsiaTheme="minorEastAsia" w:hAnsiTheme="minorHAnsi" w:cstheme="minorBidi"/>
          <w:b w:val="0"/>
          <w:noProof/>
          <w:sz w:val="22"/>
          <w:szCs w:val="22"/>
        </w:rPr>
        <w:tab/>
      </w:r>
      <w:r>
        <w:rPr>
          <w:noProof/>
        </w:rPr>
        <w:t>The clustering of the water masses</w:t>
      </w:r>
      <w:r>
        <w:rPr>
          <w:noProof/>
        </w:rPr>
        <w:tab/>
      </w:r>
      <w:r>
        <w:rPr>
          <w:noProof/>
        </w:rPr>
        <w:fldChar w:fldCharType="begin"/>
      </w:r>
      <w:r>
        <w:rPr>
          <w:noProof/>
        </w:rPr>
        <w:instrText xml:space="preserve"> PAGEREF _Toc399264884 \h </w:instrText>
      </w:r>
      <w:r>
        <w:rPr>
          <w:noProof/>
        </w:rPr>
      </w:r>
      <w:r>
        <w:rPr>
          <w:noProof/>
        </w:rPr>
        <w:fldChar w:fldCharType="separate"/>
      </w:r>
      <w:r>
        <w:rPr>
          <w:noProof/>
        </w:rPr>
        <w:t>39</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3.3</w:t>
      </w:r>
      <w:r>
        <w:rPr>
          <w:rFonts w:asciiTheme="minorHAnsi" w:eastAsiaTheme="minorEastAsia" w:hAnsiTheme="minorHAnsi" w:cstheme="minorBidi"/>
          <w:b w:val="0"/>
          <w:noProof/>
          <w:sz w:val="22"/>
          <w:szCs w:val="22"/>
        </w:rPr>
        <w:tab/>
      </w:r>
      <w:r>
        <w:rPr>
          <w:noProof/>
        </w:rPr>
        <w:t>Delineation of Enclosed coastal waters</w:t>
      </w:r>
      <w:r>
        <w:rPr>
          <w:noProof/>
        </w:rPr>
        <w:tab/>
      </w:r>
      <w:r>
        <w:rPr>
          <w:noProof/>
        </w:rPr>
        <w:fldChar w:fldCharType="begin"/>
      </w:r>
      <w:r>
        <w:rPr>
          <w:noProof/>
        </w:rPr>
        <w:instrText xml:space="preserve"> PAGEREF _Toc399264885 \h </w:instrText>
      </w:r>
      <w:r>
        <w:rPr>
          <w:noProof/>
        </w:rPr>
      </w:r>
      <w:r>
        <w:rPr>
          <w:noProof/>
        </w:rPr>
        <w:fldChar w:fldCharType="separate"/>
      </w:r>
      <w:r>
        <w:rPr>
          <w:noProof/>
        </w:rPr>
        <w:t>40</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3.4</w:t>
      </w:r>
      <w:r>
        <w:rPr>
          <w:rFonts w:asciiTheme="minorHAnsi" w:eastAsiaTheme="minorEastAsia" w:hAnsiTheme="minorHAnsi" w:cstheme="minorBidi"/>
          <w:b w:val="0"/>
          <w:noProof/>
          <w:sz w:val="22"/>
          <w:szCs w:val="22"/>
        </w:rPr>
        <w:tab/>
      </w:r>
      <w:r>
        <w:rPr>
          <w:noProof/>
        </w:rPr>
        <w:t>Effect of proposed delineation of the Enclosed Coastal waters assessment of compliance to the Guidelines</w:t>
      </w:r>
      <w:r>
        <w:rPr>
          <w:noProof/>
        </w:rPr>
        <w:tab/>
      </w:r>
      <w:r>
        <w:rPr>
          <w:noProof/>
        </w:rPr>
        <w:fldChar w:fldCharType="begin"/>
      </w:r>
      <w:r>
        <w:rPr>
          <w:noProof/>
        </w:rPr>
        <w:instrText xml:space="preserve"> PAGEREF _Toc399264886 \h </w:instrText>
      </w:r>
      <w:r>
        <w:rPr>
          <w:noProof/>
        </w:rPr>
      </w:r>
      <w:r>
        <w:rPr>
          <w:noProof/>
        </w:rPr>
        <w:fldChar w:fldCharType="separate"/>
      </w:r>
      <w:r>
        <w:rPr>
          <w:noProof/>
        </w:rPr>
        <w:t>48</w:t>
      </w:r>
      <w:r>
        <w:rPr>
          <w:noProof/>
        </w:rPr>
        <w:fldChar w:fldCharType="end"/>
      </w:r>
    </w:p>
    <w:p w:rsidR="00B11F3B" w:rsidRDefault="00B11F3B">
      <w:pPr>
        <w:pStyle w:val="TOC1"/>
        <w:tabs>
          <w:tab w:val="left" w:pos="567"/>
        </w:tabs>
        <w:rPr>
          <w:rFonts w:asciiTheme="minorHAnsi" w:eastAsiaTheme="minorEastAsia" w:hAnsiTheme="minorHAnsi" w:cstheme="minorBidi"/>
          <w:b w:val="0"/>
          <w:caps w:val="0"/>
          <w:noProof/>
          <w:sz w:val="22"/>
          <w:szCs w:val="22"/>
        </w:rPr>
      </w:pPr>
      <w:r w:rsidRPr="00396EDE">
        <w:rPr>
          <w:noProof/>
        </w:rPr>
        <w:t>4</w:t>
      </w:r>
      <w:r>
        <w:rPr>
          <w:rFonts w:asciiTheme="minorHAnsi" w:eastAsiaTheme="minorEastAsia" w:hAnsiTheme="minorHAnsi" w:cstheme="minorBidi"/>
          <w:b w:val="0"/>
          <w:caps w:val="0"/>
          <w:noProof/>
          <w:sz w:val="22"/>
          <w:szCs w:val="22"/>
        </w:rPr>
        <w:tab/>
      </w:r>
      <w:r>
        <w:rPr>
          <w:noProof/>
        </w:rPr>
        <w:t>Results and discussion</w:t>
      </w:r>
      <w:r>
        <w:rPr>
          <w:noProof/>
        </w:rPr>
        <w:tab/>
      </w:r>
      <w:r>
        <w:rPr>
          <w:noProof/>
        </w:rPr>
        <w:fldChar w:fldCharType="begin"/>
      </w:r>
      <w:r>
        <w:rPr>
          <w:noProof/>
        </w:rPr>
        <w:instrText xml:space="preserve"> PAGEREF _Toc399264887 \h </w:instrText>
      </w:r>
      <w:r>
        <w:rPr>
          <w:noProof/>
        </w:rPr>
      </w:r>
      <w:r>
        <w:rPr>
          <w:noProof/>
        </w:rPr>
        <w:fldChar w:fldCharType="separate"/>
      </w:r>
      <w:r>
        <w:rPr>
          <w:noProof/>
        </w:rPr>
        <w:t>58</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4.1</w:t>
      </w:r>
      <w:r>
        <w:rPr>
          <w:rFonts w:asciiTheme="minorHAnsi" w:eastAsiaTheme="minorEastAsia" w:hAnsiTheme="minorHAnsi" w:cstheme="minorBidi"/>
          <w:b w:val="0"/>
          <w:noProof/>
          <w:sz w:val="22"/>
          <w:szCs w:val="22"/>
        </w:rPr>
        <w:tab/>
      </w:r>
      <w:r>
        <w:rPr>
          <w:noProof/>
        </w:rPr>
        <w:t>Great Barrier Reef wide summary</w:t>
      </w:r>
      <w:r>
        <w:rPr>
          <w:noProof/>
        </w:rPr>
        <w:tab/>
      </w:r>
      <w:r>
        <w:rPr>
          <w:noProof/>
        </w:rPr>
        <w:fldChar w:fldCharType="begin"/>
      </w:r>
      <w:r>
        <w:rPr>
          <w:noProof/>
        </w:rPr>
        <w:instrText xml:space="preserve"> PAGEREF _Toc399264888 \h </w:instrText>
      </w:r>
      <w:r>
        <w:rPr>
          <w:noProof/>
        </w:rPr>
      </w:r>
      <w:r>
        <w:rPr>
          <w:noProof/>
        </w:rPr>
        <w:fldChar w:fldCharType="separate"/>
      </w:r>
      <w:r>
        <w:rPr>
          <w:noProof/>
        </w:rPr>
        <w:t>58</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4.1.1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_Toc399264889 \h </w:instrText>
      </w:r>
      <w:r>
        <w:rPr>
          <w:noProof/>
        </w:rPr>
      </w:r>
      <w:r>
        <w:rPr>
          <w:noProof/>
        </w:rPr>
        <w:fldChar w:fldCharType="separate"/>
      </w:r>
      <w:r>
        <w:rPr>
          <w:noProof/>
        </w:rPr>
        <w:t>58</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4.1.2</w:t>
      </w:r>
      <w:r>
        <w:rPr>
          <w:rFonts w:asciiTheme="minorHAnsi" w:eastAsiaTheme="minorEastAsia" w:hAnsiTheme="minorHAnsi" w:cstheme="minorBidi"/>
          <w:b w:val="0"/>
          <w:noProof/>
          <w:szCs w:val="22"/>
        </w:rPr>
        <w:tab/>
      </w:r>
      <w:r>
        <w:rPr>
          <w:noProof/>
        </w:rPr>
        <w:t>Assessment of the exceedance of water quality guidelines</w:t>
      </w:r>
      <w:r>
        <w:rPr>
          <w:noProof/>
        </w:rPr>
        <w:tab/>
      </w:r>
      <w:r>
        <w:rPr>
          <w:noProof/>
        </w:rPr>
        <w:fldChar w:fldCharType="begin"/>
      </w:r>
      <w:r>
        <w:rPr>
          <w:noProof/>
        </w:rPr>
        <w:instrText xml:space="preserve"> PAGEREF _Toc399264890 \h </w:instrText>
      </w:r>
      <w:r>
        <w:rPr>
          <w:noProof/>
        </w:rPr>
      </w:r>
      <w:r>
        <w:rPr>
          <w:noProof/>
        </w:rPr>
        <w:fldChar w:fldCharType="separate"/>
      </w:r>
      <w:r>
        <w:rPr>
          <w:noProof/>
        </w:rPr>
        <w:t>62</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4.2</w:t>
      </w:r>
      <w:r>
        <w:rPr>
          <w:rFonts w:asciiTheme="minorHAnsi" w:eastAsiaTheme="minorEastAsia" w:hAnsiTheme="minorHAnsi" w:cstheme="minorBidi"/>
          <w:b w:val="0"/>
          <w:noProof/>
          <w:sz w:val="22"/>
          <w:szCs w:val="22"/>
        </w:rPr>
        <w:tab/>
      </w:r>
      <w:r>
        <w:rPr>
          <w:noProof/>
        </w:rPr>
        <w:t>Regional reports: Cape York region</w:t>
      </w:r>
      <w:r>
        <w:rPr>
          <w:noProof/>
        </w:rPr>
        <w:tab/>
      </w:r>
      <w:r>
        <w:rPr>
          <w:noProof/>
        </w:rPr>
        <w:fldChar w:fldCharType="begin"/>
      </w:r>
      <w:r>
        <w:rPr>
          <w:noProof/>
        </w:rPr>
        <w:instrText xml:space="preserve"> PAGEREF _Toc399264891 \h </w:instrText>
      </w:r>
      <w:r>
        <w:rPr>
          <w:noProof/>
        </w:rPr>
      </w:r>
      <w:r>
        <w:rPr>
          <w:noProof/>
        </w:rPr>
        <w:fldChar w:fldCharType="separate"/>
      </w:r>
      <w:r>
        <w:rPr>
          <w:noProof/>
        </w:rPr>
        <w:t>71</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4.2.1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_Toc399264892 \h </w:instrText>
      </w:r>
      <w:r>
        <w:rPr>
          <w:noProof/>
        </w:rPr>
      </w:r>
      <w:r>
        <w:rPr>
          <w:noProof/>
        </w:rPr>
        <w:fldChar w:fldCharType="separate"/>
      </w:r>
      <w:r>
        <w:rPr>
          <w:noProof/>
        </w:rPr>
        <w:t>71</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4.2.2</w:t>
      </w:r>
      <w:r>
        <w:rPr>
          <w:rFonts w:asciiTheme="minorHAnsi" w:eastAsiaTheme="minorEastAsia" w:hAnsiTheme="minorHAnsi" w:cstheme="minorBidi"/>
          <w:b w:val="0"/>
          <w:noProof/>
          <w:szCs w:val="22"/>
        </w:rPr>
        <w:tab/>
      </w:r>
      <w:r>
        <w:rPr>
          <w:noProof/>
        </w:rPr>
        <w:t>The wet and dry season median maps for Chlorophyll-a and Total Suspended Solids.</w:t>
      </w:r>
      <w:r>
        <w:rPr>
          <w:noProof/>
        </w:rPr>
        <w:tab/>
      </w:r>
      <w:r>
        <w:rPr>
          <w:noProof/>
        </w:rPr>
        <w:fldChar w:fldCharType="begin"/>
      </w:r>
      <w:r>
        <w:rPr>
          <w:noProof/>
        </w:rPr>
        <w:instrText xml:space="preserve"> PAGEREF _Toc399264893 \h </w:instrText>
      </w:r>
      <w:r>
        <w:rPr>
          <w:noProof/>
        </w:rPr>
      </w:r>
      <w:r>
        <w:rPr>
          <w:noProof/>
        </w:rPr>
        <w:fldChar w:fldCharType="separate"/>
      </w:r>
      <w:r>
        <w:rPr>
          <w:noProof/>
        </w:rPr>
        <w:t>71</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4.2.3</w:t>
      </w:r>
      <w:r>
        <w:rPr>
          <w:rFonts w:asciiTheme="minorHAnsi" w:eastAsiaTheme="minorEastAsia" w:hAnsiTheme="minorHAnsi" w:cstheme="minorBidi"/>
          <w:b w:val="0"/>
          <w:noProof/>
          <w:szCs w:val="22"/>
        </w:rPr>
        <w:tab/>
      </w:r>
      <w:r>
        <w:rPr>
          <w:noProof/>
        </w:rPr>
        <w:t>Assessment of the marine water quality index and the exceedance of water quality guidelines</w:t>
      </w:r>
      <w:r>
        <w:rPr>
          <w:noProof/>
        </w:rPr>
        <w:tab/>
      </w:r>
      <w:r>
        <w:rPr>
          <w:noProof/>
        </w:rPr>
        <w:fldChar w:fldCharType="begin"/>
      </w:r>
      <w:r>
        <w:rPr>
          <w:noProof/>
        </w:rPr>
        <w:instrText xml:space="preserve"> PAGEREF _Toc399264894 \h </w:instrText>
      </w:r>
      <w:r>
        <w:rPr>
          <w:noProof/>
        </w:rPr>
      </w:r>
      <w:r>
        <w:rPr>
          <w:noProof/>
        </w:rPr>
        <w:fldChar w:fldCharType="separate"/>
      </w:r>
      <w:r>
        <w:rPr>
          <w:noProof/>
        </w:rPr>
        <w:t>72</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4.3</w:t>
      </w:r>
      <w:r>
        <w:rPr>
          <w:rFonts w:asciiTheme="minorHAnsi" w:eastAsiaTheme="minorEastAsia" w:hAnsiTheme="minorHAnsi" w:cstheme="minorBidi"/>
          <w:b w:val="0"/>
          <w:noProof/>
          <w:sz w:val="22"/>
          <w:szCs w:val="22"/>
        </w:rPr>
        <w:tab/>
      </w:r>
      <w:r>
        <w:rPr>
          <w:noProof/>
        </w:rPr>
        <w:t>Regional reports: Wet Tropics region</w:t>
      </w:r>
      <w:r>
        <w:rPr>
          <w:noProof/>
        </w:rPr>
        <w:tab/>
      </w:r>
      <w:r>
        <w:rPr>
          <w:noProof/>
        </w:rPr>
        <w:fldChar w:fldCharType="begin"/>
      </w:r>
      <w:r>
        <w:rPr>
          <w:noProof/>
        </w:rPr>
        <w:instrText xml:space="preserve"> PAGEREF _Toc399264895 \h </w:instrText>
      </w:r>
      <w:r>
        <w:rPr>
          <w:noProof/>
        </w:rPr>
      </w:r>
      <w:r>
        <w:rPr>
          <w:noProof/>
        </w:rPr>
        <w:fldChar w:fldCharType="separate"/>
      </w:r>
      <w:r>
        <w:rPr>
          <w:noProof/>
        </w:rPr>
        <w:t>86</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4.3.1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_Toc399264896 \h </w:instrText>
      </w:r>
      <w:r>
        <w:rPr>
          <w:noProof/>
        </w:rPr>
      </w:r>
      <w:r>
        <w:rPr>
          <w:noProof/>
        </w:rPr>
        <w:fldChar w:fldCharType="separate"/>
      </w:r>
      <w:r>
        <w:rPr>
          <w:noProof/>
        </w:rPr>
        <w:t>86</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4.3.2</w:t>
      </w:r>
      <w:r>
        <w:rPr>
          <w:rFonts w:asciiTheme="minorHAnsi" w:eastAsiaTheme="minorEastAsia" w:hAnsiTheme="minorHAnsi" w:cstheme="minorBidi"/>
          <w:b w:val="0"/>
          <w:noProof/>
          <w:szCs w:val="22"/>
        </w:rPr>
        <w:tab/>
      </w:r>
      <w:r>
        <w:rPr>
          <w:noProof/>
        </w:rPr>
        <w:t>The wet and dry season median maps for Chlorophyll-a and Total Suspended Solids.</w:t>
      </w:r>
      <w:r>
        <w:rPr>
          <w:noProof/>
        </w:rPr>
        <w:tab/>
      </w:r>
      <w:r>
        <w:rPr>
          <w:noProof/>
        </w:rPr>
        <w:fldChar w:fldCharType="begin"/>
      </w:r>
      <w:r>
        <w:rPr>
          <w:noProof/>
        </w:rPr>
        <w:instrText xml:space="preserve"> PAGEREF _Toc399264897 \h </w:instrText>
      </w:r>
      <w:r>
        <w:rPr>
          <w:noProof/>
        </w:rPr>
      </w:r>
      <w:r>
        <w:rPr>
          <w:noProof/>
        </w:rPr>
        <w:fldChar w:fldCharType="separate"/>
      </w:r>
      <w:r>
        <w:rPr>
          <w:noProof/>
        </w:rPr>
        <w:t>87</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lastRenderedPageBreak/>
        <w:t>4.3.3</w:t>
      </w:r>
      <w:r>
        <w:rPr>
          <w:rFonts w:asciiTheme="minorHAnsi" w:eastAsiaTheme="minorEastAsia" w:hAnsiTheme="minorHAnsi" w:cstheme="minorBidi"/>
          <w:b w:val="0"/>
          <w:noProof/>
          <w:szCs w:val="22"/>
        </w:rPr>
        <w:tab/>
      </w:r>
      <w:r>
        <w:rPr>
          <w:noProof/>
        </w:rPr>
        <w:t>Assessment of the marine water quality index and the exceedance of water quality guidelines</w:t>
      </w:r>
      <w:r>
        <w:rPr>
          <w:noProof/>
        </w:rPr>
        <w:tab/>
      </w:r>
      <w:r>
        <w:rPr>
          <w:noProof/>
        </w:rPr>
        <w:fldChar w:fldCharType="begin"/>
      </w:r>
      <w:r>
        <w:rPr>
          <w:noProof/>
        </w:rPr>
        <w:instrText xml:space="preserve"> PAGEREF _Toc399264898 \h </w:instrText>
      </w:r>
      <w:r>
        <w:rPr>
          <w:noProof/>
        </w:rPr>
      </w:r>
      <w:r>
        <w:rPr>
          <w:noProof/>
        </w:rPr>
        <w:fldChar w:fldCharType="separate"/>
      </w:r>
      <w:r>
        <w:rPr>
          <w:noProof/>
        </w:rPr>
        <w:t>88</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4.4</w:t>
      </w:r>
      <w:r>
        <w:rPr>
          <w:rFonts w:asciiTheme="minorHAnsi" w:eastAsiaTheme="minorEastAsia" w:hAnsiTheme="minorHAnsi" w:cstheme="minorBidi"/>
          <w:b w:val="0"/>
          <w:noProof/>
          <w:sz w:val="22"/>
          <w:szCs w:val="22"/>
        </w:rPr>
        <w:tab/>
      </w:r>
      <w:r>
        <w:rPr>
          <w:noProof/>
        </w:rPr>
        <w:t>Regional reports: Burdekin region</w:t>
      </w:r>
      <w:r>
        <w:rPr>
          <w:noProof/>
        </w:rPr>
        <w:tab/>
      </w:r>
      <w:r>
        <w:rPr>
          <w:noProof/>
        </w:rPr>
        <w:fldChar w:fldCharType="begin"/>
      </w:r>
      <w:r>
        <w:rPr>
          <w:noProof/>
        </w:rPr>
        <w:instrText xml:space="preserve"> PAGEREF _Toc399264899 \h </w:instrText>
      </w:r>
      <w:r>
        <w:rPr>
          <w:noProof/>
        </w:rPr>
      </w:r>
      <w:r>
        <w:rPr>
          <w:noProof/>
        </w:rPr>
        <w:fldChar w:fldCharType="separate"/>
      </w:r>
      <w:r>
        <w:rPr>
          <w:noProof/>
        </w:rPr>
        <w:t>102</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4.4.1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_Toc399264900 \h </w:instrText>
      </w:r>
      <w:r>
        <w:rPr>
          <w:noProof/>
        </w:rPr>
      </w:r>
      <w:r>
        <w:rPr>
          <w:noProof/>
        </w:rPr>
        <w:fldChar w:fldCharType="separate"/>
      </w:r>
      <w:r>
        <w:rPr>
          <w:noProof/>
        </w:rPr>
        <w:t>102</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4.4.2</w:t>
      </w:r>
      <w:r>
        <w:rPr>
          <w:rFonts w:asciiTheme="minorHAnsi" w:eastAsiaTheme="minorEastAsia" w:hAnsiTheme="minorHAnsi" w:cstheme="minorBidi"/>
          <w:b w:val="0"/>
          <w:noProof/>
          <w:szCs w:val="22"/>
        </w:rPr>
        <w:tab/>
      </w:r>
      <w:r>
        <w:rPr>
          <w:noProof/>
        </w:rPr>
        <w:t>The wet and dry season median maps for chlorophyll-a and Total Suspended Solids.</w:t>
      </w:r>
      <w:r>
        <w:rPr>
          <w:noProof/>
        </w:rPr>
        <w:tab/>
      </w:r>
      <w:r>
        <w:rPr>
          <w:noProof/>
        </w:rPr>
        <w:fldChar w:fldCharType="begin"/>
      </w:r>
      <w:r>
        <w:rPr>
          <w:noProof/>
        </w:rPr>
        <w:instrText xml:space="preserve"> PAGEREF _Toc399264901 \h </w:instrText>
      </w:r>
      <w:r>
        <w:rPr>
          <w:noProof/>
        </w:rPr>
      </w:r>
      <w:r>
        <w:rPr>
          <w:noProof/>
        </w:rPr>
        <w:fldChar w:fldCharType="separate"/>
      </w:r>
      <w:r>
        <w:rPr>
          <w:noProof/>
        </w:rPr>
        <w:t>103</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4.4.3</w:t>
      </w:r>
      <w:r>
        <w:rPr>
          <w:rFonts w:asciiTheme="minorHAnsi" w:eastAsiaTheme="minorEastAsia" w:hAnsiTheme="minorHAnsi" w:cstheme="minorBidi"/>
          <w:b w:val="0"/>
          <w:noProof/>
          <w:szCs w:val="22"/>
        </w:rPr>
        <w:tab/>
      </w:r>
      <w:r>
        <w:rPr>
          <w:noProof/>
        </w:rPr>
        <w:t>Assessment of the marine water quality index and the exceedance of water quality guidelines</w:t>
      </w:r>
      <w:r>
        <w:rPr>
          <w:noProof/>
        </w:rPr>
        <w:tab/>
      </w:r>
      <w:r>
        <w:rPr>
          <w:noProof/>
        </w:rPr>
        <w:fldChar w:fldCharType="begin"/>
      </w:r>
      <w:r>
        <w:rPr>
          <w:noProof/>
        </w:rPr>
        <w:instrText xml:space="preserve"> PAGEREF _Toc399264902 \h </w:instrText>
      </w:r>
      <w:r>
        <w:rPr>
          <w:noProof/>
        </w:rPr>
      </w:r>
      <w:r>
        <w:rPr>
          <w:noProof/>
        </w:rPr>
        <w:fldChar w:fldCharType="separate"/>
      </w:r>
      <w:r>
        <w:rPr>
          <w:noProof/>
        </w:rPr>
        <w:t>103</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4.5</w:t>
      </w:r>
      <w:r>
        <w:rPr>
          <w:rFonts w:asciiTheme="minorHAnsi" w:eastAsiaTheme="minorEastAsia" w:hAnsiTheme="minorHAnsi" w:cstheme="minorBidi"/>
          <w:b w:val="0"/>
          <w:noProof/>
          <w:sz w:val="22"/>
          <w:szCs w:val="22"/>
        </w:rPr>
        <w:tab/>
      </w:r>
      <w:r>
        <w:rPr>
          <w:noProof/>
        </w:rPr>
        <w:t>Regional reports: Mackay Whitsunday region</w:t>
      </w:r>
      <w:r>
        <w:rPr>
          <w:noProof/>
        </w:rPr>
        <w:tab/>
      </w:r>
      <w:r>
        <w:rPr>
          <w:noProof/>
        </w:rPr>
        <w:fldChar w:fldCharType="begin"/>
      </w:r>
      <w:r>
        <w:rPr>
          <w:noProof/>
        </w:rPr>
        <w:instrText xml:space="preserve"> PAGEREF _Toc399264903 \h </w:instrText>
      </w:r>
      <w:r>
        <w:rPr>
          <w:noProof/>
        </w:rPr>
      </w:r>
      <w:r>
        <w:rPr>
          <w:noProof/>
        </w:rPr>
        <w:fldChar w:fldCharType="separate"/>
      </w:r>
      <w:r>
        <w:rPr>
          <w:noProof/>
        </w:rPr>
        <w:t>117</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4.5.1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_Toc399264904 \h </w:instrText>
      </w:r>
      <w:r>
        <w:rPr>
          <w:noProof/>
        </w:rPr>
      </w:r>
      <w:r>
        <w:rPr>
          <w:noProof/>
        </w:rPr>
        <w:fldChar w:fldCharType="separate"/>
      </w:r>
      <w:r>
        <w:rPr>
          <w:noProof/>
        </w:rPr>
        <w:t>117</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4.5.2</w:t>
      </w:r>
      <w:r>
        <w:rPr>
          <w:rFonts w:asciiTheme="minorHAnsi" w:eastAsiaTheme="minorEastAsia" w:hAnsiTheme="minorHAnsi" w:cstheme="minorBidi"/>
          <w:b w:val="0"/>
          <w:noProof/>
          <w:szCs w:val="22"/>
        </w:rPr>
        <w:tab/>
      </w:r>
      <w:r>
        <w:rPr>
          <w:noProof/>
        </w:rPr>
        <w:t>The wet and dry season median maps for Chlorophyll-a and Total Suspended Solids.</w:t>
      </w:r>
      <w:r>
        <w:rPr>
          <w:noProof/>
        </w:rPr>
        <w:tab/>
      </w:r>
      <w:r>
        <w:rPr>
          <w:noProof/>
        </w:rPr>
        <w:fldChar w:fldCharType="begin"/>
      </w:r>
      <w:r>
        <w:rPr>
          <w:noProof/>
        </w:rPr>
        <w:instrText xml:space="preserve"> PAGEREF _Toc399264905 \h </w:instrText>
      </w:r>
      <w:r>
        <w:rPr>
          <w:noProof/>
        </w:rPr>
      </w:r>
      <w:r>
        <w:rPr>
          <w:noProof/>
        </w:rPr>
        <w:fldChar w:fldCharType="separate"/>
      </w:r>
      <w:r>
        <w:rPr>
          <w:noProof/>
        </w:rPr>
        <w:t>118</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4.5.3</w:t>
      </w:r>
      <w:r>
        <w:rPr>
          <w:rFonts w:asciiTheme="minorHAnsi" w:eastAsiaTheme="minorEastAsia" w:hAnsiTheme="minorHAnsi" w:cstheme="minorBidi"/>
          <w:b w:val="0"/>
          <w:noProof/>
          <w:szCs w:val="22"/>
        </w:rPr>
        <w:tab/>
      </w:r>
      <w:r>
        <w:rPr>
          <w:noProof/>
        </w:rPr>
        <w:t>Assessment of the marine water quality index and the exceedance of water quality guidelines</w:t>
      </w:r>
      <w:r>
        <w:rPr>
          <w:noProof/>
        </w:rPr>
        <w:tab/>
      </w:r>
      <w:r>
        <w:rPr>
          <w:noProof/>
        </w:rPr>
        <w:fldChar w:fldCharType="begin"/>
      </w:r>
      <w:r>
        <w:rPr>
          <w:noProof/>
        </w:rPr>
        <w:instrText xml:space="preserve"> PAGEREF _Toc399264906 \h </w:instrText>
      </w:r>
      <w:r>
        <w:rPr>
          <w:noProof/>
        </w:rPr>
      </w:r>
      <w:r>
        <w:rPr>
          <w:noProof/>
        </w:rPr>
        <w:fldChar w:fldCharType="separate"/>
      </w:r>
      <w:r>
        <w:rPr>
          <w:noProof/>
        </w:rPr>
        <w:t>118</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4.6</w:t>
      </w:r>
      <w:r>
        <w:rPr>
          <w:rFonts w:asciiTheme="minorHAnsi" w:eastAsiaTheme="minorEastAsia" w:hAnsiTheme="minorHAnsi" w:cstheme="minorBidi"/>
          <w:b w:val="0"/>
          <w:noProof/>
          <w:sz w:val="22"/>
          <w:szCs w:val="22"/>
        </w:rPr>
        <w:tab/>
      </w:r>
      <w:r>
        <w:rPr>
          <w:noProof/>
        </w:rPr>
        <w:t>Regional reports: Fitzroy Region</w:t>
      </w:r>
      <w:r>
        <w:rPr>
          <w:noProof/>
        </w:rPr>
        <w:tab/>
      </w:r>
      <w:r>
        <w:rPr>
          <w:noProof/>
        </w:rPr>
        <w:fldChar w:fldCharType="begin"/>
      </w:r>
      <w:r>
        <w:rPr>
          <w:noProof/>
        </w:rPr>
        <w:instrText xml:space="preserve"> PAGEREF _Toc399264907 \h </w:instrText>
      </w:r>
      <w:r>
        <w:rPr>
          <w:noProof/>
        </w:rPr>
      </w:r>
      <w:r>
        <w:rPr>
          <w:noProof/>
        </w:rPr>
        <w:fldChar w:fldCharType="separate"/>
      </w:r>
      <w:r>
        <w:rPr>
          <w:noProof/>
        </w:rPr>
        <w:t>132</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4.6.1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_Toc399264908 \h </w:instrText>
      </w:r>
      <w:r>
        <w:rPr>
          <w:noProof/>
        </w:rPr>
      </w:r>
      <w:r>
        <w:rPr>
          <w:noProof/>
        </w:rPr>
        <w:fldChar w:fldCharType="separate"/>
      </w:r>
      <w:r>
        <w:rPr>
          <w:noProof/>
        </w:rPr>
        <w:t>132</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4.6.2</w:t>
      </w:r>
      <w:r>
        <w:rPr>
          <w:rFonts w:asciiTheme="minorHAnsi" w:eastAsiaTheme="minorEastAsia" w:hAnsiTheme="minorHAnsi" w:cstheme="minorBidi"/>
          <w:b w:val="0"/>
          <w:noProof/>
          <w:szCs w:val="22"/>
        </w:rPr>
        <w:tab/>
      </w:r>
      <w:r>
        <w:rPr>
          <w:noProof/>
        </w:rPr>
        <w:t>The wet and dry season median maps for Chlorophyll-a and Total Suspended Solids.</w:t>
      </w:r>
      <w:r>
        <w:rPr>
          <w:noProof/>
        </w:rPr>
        <w:tab/>
      </w:r>
      <w:r>
        <w:rPr>
          <w:noProof/>
        </w:rPr>
        <w:fldChar w:fldCharType="begin"/>
      </w:r>
      <w:r>
        <w:rPr>
          <w:noProof/>
        </w:rPr>
        <w:instrText xml:space="preserve"> PAGEREF _Toc399264909 \h </w:instrText>
      </w:r>
      <w:r>
        <w:rPr>
          <w:noProof/>
        </w:rPr>
      </w:r>
      <w:r>
        <w:rPr>
          <w:noProof/>
        </w:rPr>
        <w:fldChar w:fldCharType="separate"/>
      </w:r>
      <w:r>
        <w:rPr>
          <w:noProof/>
        </w:rPr>
        <w:t>132</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4.6.3</w:t>
      </w:r>
      <w:r>
        <w:rPr>
          <w:rFonts w:asciiTheme="minorHAnsi" w:eastAsiaTheme="minorEastAsia" w:hAnsiTheme="minorHAnsi" w:cstheme="minorBidi"/>
          <w:b w:val="0"/>
          <w:noProof/>
          <w:szCs w:val="22"/>
        </w:rPr>
        <w:tab/>
      </w:r>
      <w:r>
        <w:rPr>
          <w:noProof/>
        </w:rPr>
        <w:t>Assessment of the marine water quality index and the exceedance of water quality guidelines</w:t>
      </w:r>
      <w:r>
        <w:rPr>
          <w:noProof/>
        </w:rPr>
        <w:tab/>
      </w:r>
      <w:r>
        <w:rPr>
          <w:noProof/>
        </w:rPr>
        <w:fldChar w:fldCharType="begin"/>
      </w:r>
      <w:r>
        <w:rPr>
          <w:noProof/>
        </w:rPr>
        <w:instrText xml:space="preserve"> PAGEREF _Toc399264910 \h </w:instrText>
      </w:r>
      <w:r>
        <w:rPr>
          <w:noProof/>
        </w:rPr>
      </w:r>
      <w:r>
        <w:rPr>
          <w:noProof/>
        </w:rPr>
        <w:fldChar w:fldCharType="separate"/>
      </w:r>
      <w:r>
        <w:rPr>
          <w:noProof/>
        </w:rPr>
        <w:t>133</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4.7</w:t>
      </w:r>
      <w:r>
        <w:rPr>
          <w:rFonts w:asciiTheme="minorHAnsi" w:eastAsiaTheme="minorEastAsia" w:hAnsiTheme="minorHAnsi" w:cstheme="minorBidi"/>
          <w:b w:val="0"/>
          <w:noProof/>
          <w:sz w:val="22"/>
          <w:szCs w:val="22"/>
        </w:rPr>
        <w:tab/>
      </w:r>
      <w:r>
        <w:rPr>
          <w:noProof/>
        </w:rPr>
        <w:t>Regional reports: Burnett Mary region</w:t>
      </w:r>
      <w:r>
        <w:rPr>
          <w:noProof/>
        </w:rPr>
        <w:tab/>
      </w:r>
      <w:r>
        <w:rPr>
          <w:noProof/>
        </w:rPr>
        <w:fldChar w:fldCharType="begin"/>
      </w:r>
      <w:r>
        <w:rPr>
          <w:noProof/>
        </w:rPr>
        <w:instrText xml:space="preserve"> PAGEREF _Toc399264911 \h </w:instrText>
      </w:r>
      <w:r>
        <w:rPr>
          <w:noProof/>
        </w:rPr>
      </w:r>
      <w:r>
        <w:rPr>
          <w:noProof/>
        </w:rPr>
        <w:fldChar w:fldCharType="separate"/>
      </w:r>
      <w:r>
        <w:rPr>
          <w:noProof/>
        </w:rPr>
        <w:t>147</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4.7.1</w:t>
      </w:r>
      <w:r>
        <w:rPr>
          <w:rFonts w:asciiTheme="minorHAnsi" w:eastAsiaTheme="minorEastAsia" w:hAnsiTheme="minorHAnsi" w:cstheme="minorBidi"/>
          <w:b w:val="0"/>
          <w:noProof/>
          <w:szCs w:val="22"/>
        </w:rPr>
        <w:tab/>
      </w:r>
      <w:r>
        <w:rPr>
          <w:noProof/>
        </w:rPr>
        <w:t>Assessment of freshwater extent during the wet season</w:t>
      </w:r>
      <w:r>
        <w:rPr>
          <w:noProof/>
        </w:rPr>
        <w:tab/>
      </w:r>
      <w:r>
        <w:rPr>
          <w:noProof/>
        </w:rPr>
        <w:fldChar w:fldCharType="begin"/>
      </w:r>
      <w:r>
        <w:rPr>
          <w:noProof/>
        </w:rPr>
        <w:instrText xml:space="preserve"> PAGEREF _Toc399264912 \h </w:instrText>
      </w:r>
      <w:r>
        <w:rPr>
          <w:noProof/>
        </w:rPr>
      </w:r>
      <w:r>
        <w:rPr>
          <w:noProof/>
        </w:rPr>
        <w:fldChar w:fldCharType="separate"/>
      </w:r>
      <w:r>
        <w:rPr>
          <w:noProof/>
        </w:rPr>
        <w:t>147</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4.7.2</w:t>
      </w:r>
      <w:r>
        <w:rPr>
          <w:rFonts w:asciiTheme="minorHAnsi" w:eastAsiaTheme="minorEastAsia" w:hAnsiTheme="minorHAnsi" w:cstheme="minorBidi"/>
          <w:b w:val="0"/>
          <w:noProof/>
          <w:szCs w:val="22"/>
        </w:rPr>
        <w:tab/>
      </w:r>
      <w:r>
        <w:rPr>
          <w:noProof/>
        </w:rPr>
        <w:t>The wet and dry season median maps for Chlorophyll-a and Total Suspended Solids.</w:t>
      </w:r>
      <w:r>
        <w:rPr>
          <w:noProof/>
        </w:rPr>
        <w:tab/>
      </w:r>
      <w:r>
        <w:rPr>
          <w:noProof/>
        </w:rPr>
        <w:fldChar w:fldCharType="begin"/>
      </w:r>
      <w:r>
        <w:rPr>
          <w:noProof/>
        </w:rPr>
        <w:instrText xml:space="preserve"> PAGEREF _Toc399264913 \h </w:instrText>
      </w:r>
      <w:r>
        <w:rPr>
          <w:noProof/>
        </w:rPr>
      </w:r>
      <w:r>
        <w:rPr>
          <w:noProof/>
        </w:rPr>
        <w:fldChar w:fldCharType="separate"/>
      </w:r>
      <w:r>
        <w:rPr>
          <w:noProof/>
        </w:rPr>
        <w:t>148</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4.7.3</w:t>
      </w:r>
      <w:r>
        <w:rPr>
          <w:rFonts w:asciiTheme="minorHAnsi" w:eastAsiaTheme="minorEastAsia" w:hAnsiTheme="minorHAnsi" w:cstheme="minorBidi"/>
          <w:b w:val="0"/>
          <w:noProof/>
          <w:szCs w:val="22"/>
        </w:rPr>
        <w:tab/>
      </w:r>
      <w:r>
        <w:rPr>
          <w:noProof/>
        </w:rPr>
        <w:t>Assessment of the marine water quality index and the exceedance of water quality guidelines</w:t>
      </w:r>
      <w:r>
        <w:rPr>
          <w:noProof/>
        </w:rPr>
        <w:tab/>
      </w:r>
      <w:r>
        <w:rPr>
          <w:noProof/>
        </w:rPr>
        <w:fldChar w:fldCharType="begin"/>
      </w:r>
      <w:r>
        <w:rPr>
          <w:noProof/>
        </w:rPr>
        <w:instrText xml:space="preserve"> PAGEREF _Toc399264914 \h </w:instrText>
      </w:r>
      <w:r>
        <w:rPr>
          <w:noProof/>
        </w:rPr>
      </w:r>
      <w:r>
        <w:rPr>
          <w:noProof/>
        </w:rPr>
        <w:fldChar w:fldCharType="separate"/>
      </w:r>
      <w:r>
        <w:rPr>
          <w:noProof/>
        </w:rPr>
        <w:t>148</w:t>
      </w:r>
      <w:r>
        <w:rPr>
          <w:noProof/>
        </w:rPr>
        <w:fldChar w:fldCharType="end"/>
      </w:r>
    </w:p>
    <w:p w:rsidR="00B11F3B" w:rsidRDefault="00B11F3B">
      <w:pPr>
        <w:pStyle w:val="TOC1"/>
        <w:tabs>
          <w:tab w:val="left" w:pos="567"/>
        </w:tabs>
        <w:rPr>
          <w:rFonts w:asciiTheme="minorHAnsi" w:eastAsiaTheme="minorEastAsia" w:hAnsiTheme="minorHAnsi" w:cstheme="minorBidi"/>
          <w:b w:val="0"/>
          <w:caps w:val="0"/>
          <w:noProof/>
          <w:sz w:val="22"/>
          <w:szCs w:val="22"/>
        </w:rPr>
      </w:pPr>
      <w:r w:rsidRPr="00396EDE">
        <w:rPr>
          <w:noProof/>
        </w:rPr>
        <w:t>5</w:t>
      </w:r>
      <w:r>
        <w:rPr>
          <w:rFonts w:asciiTheme="minorHAnsi" w:eastAsiaTheme="minorEastAsia" w:hAnsiTheme="minorHAnsi" w:cstheme="minorBidi"/>
          <w:b w:val="0"/>
          <w:caps w:val="0"/>
          <w:noProof/>
          <w:sz w:val="22"/>
          <w:szCs w:val="22"/>
        </w:rPr>
        <w:tab/>
      </w:r>
      <w:r>
        <w:rPr>
          <w:noProof/>
        </w:rPr>
        <w:t>Conclusion and recomMendations</w:t>
      </w:r>
      <w:r>
        <w:rPr>
          <w:noProof/>
        </w:rPr>
        <w:tab/>
      </w:r>
      <w:r>
        <w:rPr>
          <w:noProof/>
        </w:rPr>
        <w:fldChar w:fldCharType="begin"/>
      </w:r>
      <w:r>
        <w:rPr>
          <w:noProof/>
        </w:rPr>
        <w:instrText xml:space="preserve"> PAGEREF _Toc399264915 \h </w:instrText>
      </w:r>
      <w:r>
        <w:rPr>
          <w:noProof/>
        </w:rPr>
      </w:r>
      <w:r>
        <w:rPr>
          <w:noProof/>
        </w:rPr>
        <w:fldChar w:fldCharType="separate"/>
      </w:r>
      <w:r>
        <w:rPr>
          <w:noProof/>
        </w:rPr>
        <w:t>162</w:t>
      </w:r>
      <w:r>
        <w:rPr>
          <w:noProof/>
        </w:rPr>
        <w:fldChar w:fldCharType="end"/>
      </w:r>
    </w:p>
    <w:p w:rsidR="00B11F3B" w:rsidRDefault="00B11F3B">
      <w:pPr>
        <w:pStyle w:val="TOC1"/>
        <w:tabs>
          <w:tab w:val="left" w:pos="567"/>
        </w:tabs>
        <w:rPr>
          <w:rFonts w:asciiTheme="minorHAnsi" w:eastAsiaTheme="minorEastAsia" w:hAnsiTheme="minorHAnsi" w:cstheme="minorBidi"/>
          <w:b w:val="0"/>
          <w:caps w:val="0"/>
          <w:noProof/>
          <w:sz w:val="22"/>
          <w:szCs w:val="22"/>
        </w:rPr>
      </w:pPr>
      <w:r w:rsidRPr="00396EDE">
        <w:rPr>
          <w:noProof/>
        </w:rPr>
        <w:t>6</w:t>
      </w:r>
      <w:r>
        <w:rPr>
          <w:rFonts w:asciiTheme="minorHAnsi" w:eastAsiaTheme="minorEastAsia" w:hAnsiTheme="minorHAnsi" w:cstheme="minorBidi"/>
          <w:b w:val="0"/>
          <w:caps w:val="0"/>
          <w:noProof/>
          <w:sz w:val="22"/>
          <w:szCs w:val="22"/>
        </w:rPr>
        <w:tab/>
      </w:r>
      <w:r>
        <w:rPr>
          <w:noProof/>
        </w:rPr>
        <w:t>References</w:t>
      </w:r>
      <w:r>
        <w:rPr>
          <w:noProof/>
        </w:rPr>
        <w:tab/>
      </w:r>
      <w:r>
        <w:rPr>
          <w:noProof/>
        </w:rPr>
        <w:fldChar w:fldCharType="begin"/>
      </w:r>
      <w:r>
        <w:rPr>
          <w:noProof/>
        </w:rPr>
        <w:instrText xml:space="preserve"> PAGEREF _Toc399264916 \h </w:instrText>
      </w:r>
      <w:r>
        <w:rPr>
          <w:noProof/>
        </w:rPr>
      </w:r>
      <w:r>
        <w:rPr>
          <w:noProof/>
        </w:rPr>
        <w:fldChar w:fldCharType="separate"/>
      </w:r>
      <w:r>
        <w:rPr>
          <w:noProof/>
        </w:rPr>
        <w:t>166</w:t>
      </w:r>
      <w:r>
        <w:rPr>
          <w:noProof/>
        </w:rPr>
        <w:fldChar w:fldCharType="end"/>
      </w:r>
    </w:p>
    <w:p w:rsidR="00B11F3B" w:rsidRDefault="00B11F3B">
      <w:pPr>
        <w:pStyle w:val="TOC1"/>
        <w:rPr>
          <w:rFonts w:asciiTheme="minorHAnsi" w:eastAsiaTheme="minorEastAsia" w:hAnsiTheme="minorHAnsi" w:cstheme="minorBidi"/>
          <w:b w:val="0"/>
          <w:caps w:val="0"/>
          <w:noProof/>
          <w:sz w:val="22"/>
          <w:szCs w:val="22"/>
        </w:rPr>
      </w:pPr>
      <w:r>
        <w:rPr>
          <w:noProof/>
        </w:rPr>
        <w:t>Appendix 1 Details of algorithm theoretical basis for the regionally valid retrieval of water quality from satellite imagery</w:t>
      </w:r>
      <w:r>
        <w:rPr>
          <w:noProof/>
        </w:rPr>
        <w:tab/>
      </w:r>
      <w:r>
        <w:rPr>
          <w:noProof/>
        </w:rPr>
        <w:fldChar w:fldCharType="begin"/>
      </w:r>
      <w:r>
        <w:rPr>
          <w:noProof/>
        </w:rPr>
        <w:instrText xml:space="preserve"> PAGEREF _Toc399264917 \h </w:instrText>
      </w:r>
      <w:r>
        <w:rPr>
          <w:noProof/>
        </w:rPr>
      </w:r>
      <w:r>
        <w:rPr>
          <w:noProof/>
        </w:rPr>
        <w:fldChar w:fldCharType="separate"/>
      </w:r>
      <w:r>
        <w:rPr>
          <w:noProof/>
        </w:rPr>
        <w:t>170</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6.1</w:t>
      </w:r>
      <w:r>
        <w:rPr>
          <w:rFonts w:asciiTheme="minorHAnsi" w:eastAsiaTheme="minorEastAsia" w:hAnsiTheme="minorHAnsi" w:cstheme="minorBidi"/>
          <w:b w:val="0"/>
          <w:noProof/>
          <w:sz w:val="22"/>
          <w:szCs w:val="22"/>
        </w:rPr>
        <w:tab/>
      </w:r>
      <w:r>
        <w:rPr>
          <w:noProof/>
        </w:rPr>
        <w:t>Regionally valid retrieval of water quality parameters from satellite imagery</w:t>
      </w:r>
      <w:r>
        <w:rPr>
          <w:noProof/>
        </w:rPr>
        <w:tab/>
      </w:r>
      <w:r>
        <w:rPr>
          <w:noProof/>
        </w:rPr>
        <w:fldChar w:fldCharType="begin"/>
      </w:r>
      <w:r>
        <w:rPr>
          <w:noProof/>
        </w:rPr>
        <w:instrText xml:space="preserve"> PAGEREF _Toc399264918 \h </w:instrText>
      </w:r>
      <w:r>
        <w:rPr>
          <w:noProof/>
        </w:rPr>
      </w:r>
      <w:r>
        <w:rPr>
          <w:noProof/>
        </w:rPr>
        <w:fldChar w:fldCharType="separate"/>
      </w:r>
      <w:r>
        <w:rPr>
          <w:noProof/>
        </w:rPr>
        <w:t>170</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6.2</w:t>
      </w:r>
      <w:r>
        <w:rPr>
          <w:rFonts w:asciiTheme="minorHAnsi" w:eastAsiaTheme="minorEastAsia" w:hAnsiTheme="minorHAnsi" w:cstheme="minorBidi"/>
          <w:b w:val="0"/>
          <w:noProof/>
          <w:sz w:val="22"/>
          <w:szCs w:val="22"/>
        </w:rPr>
        <w:tab/>
      </w:r>
      <w:r>
        <w:rPr>
          <w:noProof/>
        </w:rPr>
        <w:t>Atmospheric correction</w:t>
      </w:r>
      <w:r>
        <w:rPr>
          <w:noProof/>
        </w:rPr>
        <w:tab/>
      </w:r>
      <w:r>
        <w:rPr>
          <w:noProof/>
        </w:rPr>
        <w:fldChar w:fldCharType="begin"/>
      </w:r>
      <w:r>
        <w:rPr>
          <w:noProof/>
        </w:rPr>
        <w:instrText xml:space="preserve"> PAGEREF _Toc399264919 \h </w:instrText>
      </w:r>
      <w:r>
        <w:rPr>
          <w:noProof/>
        </w:rPr>
      </w:r>
      <w:r>
        <w:rPr>
          <w:noProof/>
        </w:rPr>
        <w:fldChar w:fldCharType="separate"/>
      </w:r>
      <w:r>
        <w:rPr>
          <w:noProof/>
        </w:rPr>
        <w:t>170</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6.3</w:t>
      </w:r>
      <w:r>
        <w:rPr>
          <w:rFonts w:asciiTheme="minorHAnsi" w:eastAsiaTheme="minorEastAsia" w:hAnsiTheme="minorHAnsi" w:cstheme="minorBidi"/>
          <w:b w:val="0"/>
          <w:noProof/>
          <w:sz w:val="22"/>
          <w:szCs w:val="22"/>
        </w:rPr>
        <w:tab/>
      </w:r>
      <w:r>
        <w:rPr>
          <w:noProof/>
        </w:rPr>
        <w:t>Optical water quality retrieval</w:t>
      </w:r>
      <w:r>
        <w:rPr>
          <w:noProof/>
        </w:rPr>
        <w:tab/>
      </w:r>
      <w:r>
        <w:rPr>
          <w:noProof/>
        </w:rPr>
        <w:fldChar w:fldCharType="begin"/>
      </w:r>
      <w:r>
        <w:rPr>
          <w:noProof/>
        </w:rPr>
        <w:instrText xml:space="preserve"> PAGEREF _Toc399264920 \h </w:instrText>
      </w:r>
      <w:r>
        <w:rPr>
          <w:noProof/>
        </w:rPr>
      </w:r>
      <w:r>
        <w:rPr>
          <w:noProof/>
        </w:rPr>
        <w:fldChar w:fldCharType="separate"/>
      </w:r>
      <w:r>
        <w:rPr>
          <w:noProof/>
        </w:rPr>
        <w:t>175</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6.3.1</w:t>
      </w:r>
      <w:r>
        <w:rPr>
          <w:rFonts w:asciiTheme="minorHAnsi" w:eastAsiaTheme="minorEastAsia" w:hAnsiTheme="minorHAnsi" w:cstheme="minorBidi"/>
          <w:b w:val="0"/>
          <w:noProof/>
          <w:szCs w:val="22"/>
        </w:rPr>
        <w:tab/>
      </w:r>
      <w:r>
        <w:rPr>
          <w:noProof/>
        </w:rPr>
        <w:t>IOP and concentrations retrieval – a-LMI</w:t>
      </w:r>
      <w:r>
        <w:rPr>
          <w:noProof/>
        </w:rPr>
        <w:tab/>
      </w:r>
      <w:r>
        <w:rPr>
          <w:noProof/>
        </w:rPr>
        <w:fldChar w:fldCharType="begin"/>
      </w:r>
      <w:r>
        <w:rPr>
          <w:noProof/>
        </w:rPr>
        <w:instrText xml:space="preserve"> PAGEREF _Toc399264921 \h </w:instrText>
      </w:r>
      <w:r>
        <w:rPr>
          <w:noProof/>
        </w:rPr>
      </w:r>
      <w:r>
        <w:rPr>
          <w:noProof/>
        </w:rPr>
        <w:fldChar w:fldCharType="separate"/>
      </w:r>
      <w:r>
        <w:rPr>
          <w:noProof/>
        </w:rPr>
        <w:t>175</w:t>
      </w:r>
      <w:r>
        <w:rPr>
          <w:noProof/>
        </w:rPr>
        <w:fldChar w:fldCharType="end"/>
      </w:r>
    </w:p>
    <w:p w:rsidR="00B11F3B" w:rsidRDefault="00B11F3B">
      <w:pPr>
        <w:pStyle w:val="TOC3"/>
        <w:tabs>
          <w:tab w:val="left" w:pos="1843"/>
          <w:tab w:val="right" w:leader="dot" w:pos="9060"/>
        </w:tabs>
        <w:rPr>
          <w:rFonts w:asciiTheme="minorHAnsi" w:eastAsiaTheme="minorEastAsia" w:hAnsiTheme="minorHAnsi" w:cstheme="minorBidi"/>
          <w:b w:val="0"/>
          <w:noProof/>
          <w:szCs w:val="22"/>
        </w:rPr>
      </w:pPr>
      <w:r w:rsidRPr="00396EDE">
        <w:rPr>
          <w:noProof/>
        </w:rPr>
        <w:t>6.3.2</w:t>
      </w:r>
      <w:r>
        <w:rPr>
          <w:rFonts w:asciiTheme="minorHAnsi" w:eastAsiaTheme="minorEastAsia" w:hAnsiTheme="minorHAnsi" w:cstheme="minorBidi"/>
          <w:b w:val="0"/>
          <w:noProof/>
          <w:szCs w:val="22"/>
        </w:rPr>
        <w:tab/>
      </w:r>
      <w:r>
        <w:rPr>
          <w:noProof/>
        </w:rPr>
        <w:t>Parameterization of a-LMI for the GBR</w:t>
      </w:r>
      <w:r>
        <w:rPr>
          <w:noProof/>
        </w:rPr>
        <w:tab/>
      </w:r>
      <w:r>
        <w:rPr>
          <w:noProof/>
        </w:rPr>
        <w:fldChar w:fldCharType="begin"/>
      </w:r>
      <w:r>
        <w:rPr>
          <w:noProof/>
        </w:rPr>
        <w:instrText xml:space="preserve"> PAGEREF _Toc399264922 \h </w:instrText>
      </w:r>
      <w:r>
        <w:rPr>
          <w:noProof/>
        </w:rPr>
      </w:r>
      <w:r>
        <w:rPr>
          <w:noProof/>
        </w:rPr>
        <w:fldChar w:fldCharType="separate"/>
      </w:r>
      <w:r>
        <w:rPr>
          <w:noProof/>
        </w:rPr>
        <w:t>177</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6.4</w:t>
      </w:r>
      <w:r>
        <w:rPr>
          <w:rFonts w:asciiTheme="minorHAnsi" w:eastAsiaTheme="minorEastAsia" w:hAnsiTheme="minorHAnsi" w:cstheme="minorBidi"/>
          <w:b w:val="0"/>
          <w:noProof/>
          <w:sz w:val="22"/>
          <w:szCs w:val="22"/>
        </w:rPr>
        <w:tab/>
      </w:r>
      <w:r>
        <w:rPr>
          <w:noProof/>
        </w:rPr>
        <w:t>Algorithm validation</w:t>
      </w:r>
      <w:r>
        <w:rPr>
          <w:noProof/>
        </w:rPr>
        <w:tab/>
      </w:r>
      <w:r>
        <w:rPr>
          <w:noProof/>
        </w:rPr>
        <w:fldChar w:fldCharType="begin"/>
      </w:r>
      <w:r>
        <w:rPr>
          <w:noProof/>
        </w:rPr>
        <w:instrText xml:space="preserve"> PAGEREF _Toc399264923 \h </w:instrText>
      </w:r>
      <w:r>
        <w:rPr>
          <w:noProof/>
        </w:rPr>
      </w:r>
      <w:r>
        <w:rPr>
          <w:noProof/>
        </w:rPr>
        <w:fldChar w:fldCharType="separate"/>
      </w:r>
      <w:r>
        <w:rPr>
          <w:noProof/>
        </w:rPr>
        <w:t>179</w:t>
      </w:r>
      <w:r>
        <w:rPr>
          <w:noProof/>
        </w:rPr>
        <w:fldChar w:fldCharType="end"/>
      </w:r>
    </w:p>
    <w:p w:rsidR="00B11F3B" w:rsidRDefault="00B11F3B">
      <w:pPr>
        <w:pStyle w:val="TOC2"/>
        <w:tabs>
          <w:tab w:val="left" w:pos="1134"/>
        </w:tabs>
        <w:rPr>
          <w:rFonts w:asciiTheme="minorHAnsi" w:eastAsiaTheme="minorEastAsia" w:hAnsiTheme="minorHAnsi" w:cstheme="minorBidi"/>
          <w:b w:val="0"/>
          <w:noProof/>
          <w:sz w:val="22"/>
          <w:szCs w:val="22"/>
        </w:rPr>
      </w:pPr>
      <w:r w:rsidRPr="00396EDE">
        <w:rPr>
          <w:noProof/>
        </w:rPr>
        <w:t>6.5</w:t>
      </w:r>
      <w:r>
        <w:rPr>
          <w:rFonts w:asciiTheme="minorHAnsi" w:eastAsiaTheme="minorEastAsia" w:hAnsiTheme="minorHAnsi" w:cstheme="minorBidi"/>
          <w:b w:val="0"/>
          <w:noProof/>
          <w:sz w:val="22"/>
          <w:szCs w:val="22"/>
        </w:rPr>
        <w:tab/>
      </w:r>
      <w:r>
        <w:rPr>
          <w:noProof/>
        </w:rPr>
        <w:t>Accuracy assessment for the superseded parameterization</w:t>
      </w:r>
      <w:r>
        <w:rPr>
          <w:noProof/>
        </w:rPr>
        <w:tab/>
      </w:r>
      <w:r>
        <w:rPr>
          <w:noProof/>
        </w:rPr>
        <w:fldChar w:fldCharType="begin"/>
      </w:r>
      <w:r>
        <w:rPr>
          <w:noProof/>
        </w:rPr>
        <w:instrText xml:space="preserve"> PAGEREF _Toc399264924 \h </w:instrText>
      </w:r>
      <w:r>
        <w:rPr>
          <w:noProof/>
        </w:rPr>
      </w:r>
      <w:r>
        <w:rPr>
          <w:noProof/>
        </w:rPr>
        <w:fldChar w:fldCharType="separate"/>
      </w:r>
      <w:r>
        <w:rPr>
          <w:noProof/>
        </w:rPr>
        <w:t>183</w:t>
      </w:r>
      <w:r>
        <w:rPr>
          <w:noProof/>
        </w:rPr>
        <w:fldChar w:fldCharType="end"/>
      </w:r>
    </w:p>
    <w:p w:rsidR="00B11F3B" w:rsidRDefault="00B11F3B">
      <w:pPr>
        <w:pStyle w:val="TOC1"/>
        <w:rPr>
          <w:rFonts w:asciiTheme="minorHAnsi" w:eastAsiaTheme="minorEastAsia" w:hAnsiTheme="minorHAnsi" w:cstheme="minorBidi"/>
          <w:b w:val="0"/>
          <w:caps w:val="0"/>
          <w:noProof/>
          <w:sz w:val="22"/>
          <w:szCs w:val="22"/>
        </w:rPr>
      </w:pPr>
      <w:r>
        <w:rPr>
          <w:noProof/>
        </w:rPr>
        <w:lastRenderedPageBreak/>
        <w:t>Appendix 2. List of scientific publications, scientific presentations and community seminars arising from the monitoring program</w:t>
      </w:r>
      <w:r>
        <w:rPr>
          <w:noProof/>
        </w:rPr>
        <w:tab/>
      </w:r>
      <w:r>
        <w:rPr>
          <w:noProof/>
        </w:rPr>
        <w:fldChar w:fldCharType="begin"/>
      </w:r>
      <w:r>
        <w:rPr>
          <w:noProof/>
        </w:rPr>
        <w:instrText xml:space="preserve"> PAGEREF _Toc399264925 \h </w:instrText>
      </w:r>
      <w:r>
        <w:rPr>
          <w:noProof/>
        </w:rPr>
      </w:r>
      <w:r>
        <w:rPr>
          <w:noProof/>
        </w:rPr>
        <w:fldChar w:fldCharType="separate"/>
      </w:r>
      <w:r>
        <w:rPr>
          <w:noProof/>
        </w:rPr>
        <w:t>185</w:t>
      </w:r>
      <w:r>
        <w:rPr>
          <w:noProof/>
        </w:rPr>
        <w:fldChar w:fldCharType="end"/>
      </w:r>
    </w:p>
    <w:p w:rsidR="00B11F3B" w:rsidRDefault="00B11F3B">
      <w:pPr>
        <w:pStyle w:val="TOC2"/>
        <w:rPr>
          <w:rFonts w:asciiTheme="minorHAnsi" w:eastAsiaTheme="minorEastAsia" w:hAnsiTheme="minorHAnsi" w:cstheme="minorBidi"/>
          <w:b w:val="0"/>
          <w:noProof/>
          <w:sz w:val="22"/>
          <w:szCs w:val="22"/>
        </w:rPr>
      </w:pPr>
      <w:r>
        <w:rPr>
          <w:noProof/>
        </w:rPr>
        <w:t>Journal Papers</w:t>
      </w:r>
      <w:r>
        <w:rPr>
          <w:noProof/>
        </w:rPr>
        <w:tab/>
      </w:r>
      <w:r>
        <w:rPr>
          <w:noProof/>
        </w:rPr>
        <w:fldChar w:fldCharType="begin"/>
      </w:r>
      <w:r>
        <w:rPr>
          <w:noProof/>
        </w:rPr>
        <w:instrText xml:space="preserve"> PAGEREF _Toc399264926 \h </w:instrText>
      </w:r>
      <w:r>
        <w:rPr>
          <w:noProof/>
        </w:rPr>
      </w:r>
      <w:r>
        <w:rPr>
          <w:noProof/>
        </w:rPr>
        <w:fldChar w:fldCharType="separate"/>
      </w:r>
      <w:r>
        <w:rPr>
          <w:noProof/>
        </w:rPr>
        <w:t>185</w:t>
      </w:r>
      <w:r>
        <w:rPr>
          <w:noProof/>
        </w:rPr>
        <w:fldChar w:fldCharType="end"/>
      </w:r>
    </w:p>
    <w:p w:rsidR="00B11F3B" w:rsidRDefault="00B11F3B">
      <w:pPr>
        <w:pStyle w:val="TOC2"/>
        <w:rPr>
          <w:rFonts w:asciiTheme="minorHAnsi" w:eastAsiaTheme="minorEastAsia" w:hAnsiTheme="minorHAnsi" w:cstheme="minorBidi"/>
          <w:b w:val="0"/>
          <w:noProof/>
          <w:sz w:val="22"/>
          <w:szCs w:val="22"/>
        </w:rPr>
      </w:pPr>
      <w:r>
        <w:rPr>
          <w:noProof/>
        </w:rPr>
        <w:t>Book Chapters</w:t>
      </w:r>
      <w:r>
        <w:rPr>
          <w:noProof/>
        </w:rPr>
        <w:tab/>
      </w:r>
      <w:r>
        <w:rPr>
          <w:noProof/>
        </w:rPr>
        <w:fldChar w:fldCharType="begin"/>
      </w:r>
      <w:r>
        <w:rPr>
          <w:noProof/>
        </w:rPr>
        <w:instrText xml:space="preserve"> PAGEREF _Toc399264927 \h </w:instrText>
      </w:r>
      <w:r>
        <w:rPr>
          <w:noProof/>
        </w:rPr>
      </w:r>
      <w:r>
        <w:rPr>
          <w:noProof/>
        </w:rPr>
        <w:fldChar w:fldCharType="separate"/>
      </w:r>
      <w:r>
        <w:rPr>
          <w:noProof/>
        </w:rPr>
        <w:t>185</w:t>
      </w:r>
      <w:r>
        <w:rPr>
          <w:noProof/>
        </w:rPr>
        <w:fldChar w:fldCharType="end"/>
      </w:r>
    </w:p>
    <w:p w:rsidR="00B11F3B" w:rsidRDefault="00B11F3B">
      <w:pPr>
        <w:pStyle w:val="TOC2"/>
        <w:rPr>
          <w:rFonts w:asciiTheme="minorHAnsi" w:eastAsiaTheme="minorEastAsia" w:hAnsiTheme="minorHAnsi" w:cstheme="minorBidi"/>
          <w:b w:val="0"/>
          <w:noProof/>
          <w:sz w:val="22"/>
          <w:szCs w:val="22"/>
        </w:rPr>
      </w:pPr>
      <w:r>
        <w:rPr>
          <w:noProof/>
        </w:rPr>
        <w:t>Conference presentations</w:t>
      </w:r>
      <w:r>
        <w:rPr>
          <w:noProof/>
        </w:rPr>
        <w:tab/>
      </w:r>
      <w:r>
        <w:rPr>
          <w:noProof/>
        </w:rPr>
        <w:fldChar w:fldCharType="begin"/>
      </w:r>
      <w:r>
        <w:rPr>
          <w:noProof/>
        </w:rPr>
        <w:instrText xml:space="preserve"> PAGEREF _Toc399264928 \h </w:instrText>
      </w:r>
      <w:r>
        <w:rPr>
          <w:noProof/>
        </w:rPr>
      </w:r>
      <w:r>
        <w:rPr>
          <w:noProof/>
        </w:rPr>
        <w:fldChar w:fldCharType="separate"/>
      </w:r>
      <w:r>
        <w:rPr>
          <w:noProof/>
        </w:rPr>
        <w:t>185</w:t>
      </w:r>
      <w:r>
        <w:rPr>
          <w:noProof/>
        </w:rPr>
        <w:fldChar w:fldCharType="end"/>
      </w:r>
    </w:p>
    <w:p w:rsidR="00B11F3B" w:rsidRDefault="00B11F3B">
      <w:pPr>
        <w:pStyle w:val="TOC1"/>
        <w:rPr>
          <w:rFonts w:asciiTheme="minorHAnsi" w:eastAsiaTheme="minorEastAsia" w:hAnsiTheme="minorHAnsi" w:cstheme="minorBidi"/>
          <w:b w:val="0"/>
          <w:caps w:val="0"/>
          <w:noProof/>
          <w:sz w:val="22"/>
          <w:szCs w:val="22"/>
        </w:rPr>
      </w:pPr>
      <w:r>
        <w:rPr>
          <w:noProof/>
        </w:rPr>
        <w:t>Appendix 3. Summary of the exceedance of annual mean values from 2002/03 to date</w:t>
      </w:r>
      <w:r>
        <w:rPr>
          <w:noProof/>
        </w:rPr>
        <w:tab/>
      </w:r>
      <w:r>
        <w:rPr>
          <w:noProof/>
        </w:rPr>
        <w:fldChar w:fldCharType="begin"/>
      </w:r>
      <w:r>
        <w:rPr>
          <w:noProof/>
        </w:rPr>
        <w:instrText xml:space="preserve"> PAGEREF _Toc399264929 \h </w:instrText>
      </w:r>
      <w:r>
        <w:rPr>
          <w:noProof/>
        </w:rPr>
      </w:r>
      <w:r>
        <w:rPr>
          <w:noProof/>
        </w:rPr>
        <w:fldChar w:fldCharType="separate"/>
      </w:r>
      <w:r>
        <w:rPr>
          <w:noProof/>
        </w:rPr>
        <w:t>187</w:t>
      </w:r>
      <w:r>
        <w:rPr>
          <w:noProof/>
        </w:rPr>
        <w:fldChar w:fldCharType="end"/>
      </w:r>
    </w:p>
    <w:p w:rsidR="00B25CAA" w:rsidRPr="00A40CD0" w:rsidRDefault="00EA2F38" w:rsidP="002E0BD6">
      <w:pPr>
        <w:pStyle w:val="BodyText"/>
      </w:pPr>
      <w:r w:rsidRPr="00A40CD0">
        <w:fldChar w:fldCharType="end"/>
      </w:r>
    </w:p>
    <w:p w:rsidR="00B25CAA" w:rsidRPr="00A40CD0" w:rsidRDefault="00B25CAA" w:rsidP="005F682B">
      <w:pPr>
        <w:rPr>
          <w:b/>
          <w:sz w:val="24"/>
        </w:rPr>
      </w:pPr>
      <w:r w:rsidRPr="00A40CD0">
        <w:rPr>
          <w:b/>
          <w:sz w:val="24"/>
        </w:rPr>
        <w:t>List of Tables</w:t>
      </w:r>
    </w:p>
    <w:p w:rsidR="00B11F3B" w:rsidRDefault="00EA2F38">
      <w:pPr>
        <w:pStyle w:val="TableofFigures"/>
        <w:rPr>
          <w:rFonts w:asciiTheme="minorHAnsi" w:eastAsiaTheme="minorEastAsia" w:hAnsiTheme="minorHAnsi" w:cstheme="minorBidi"/>
          <w:noProof/>
          <w:szCs w:val="22"/>
        </w:rPr>
      </w:pPr>
      <w:r w:rsidRPr="00A40CD0">
        <w:fldChar w:fldCharType="begin"/>
      </w:r>
      <w:r w:rsidR="00B25CAA" w:rsidRPr="00A40CD0">
        <w:instrText xml:space="preserve"> TOC \h \z \c "Table" </w:instrText>
      </w:r>
      <w:r w:rsidRPr="00A40CD0">
        <w:fldChar w:fldCharType="separate"/>
      </w:r>
      <w:hyperlink w:anchor="_Toc399264930" w:history="1">
        <w:r w:rsidR="00B11F3B" w:rsidRPr="00BD1C0E">
          <w:rPr>
            <w:rStyle w:val="Hyperlink"/>
            <w:noProof/>
          </w:rPr>
          <w:t>Table 1 List of acronyms used in this report.</w:t>
        </w:r>
        <w:r w:rsidR="00B11F3B">
          <w:rPr>
            <w:noProof/>
            <w:webHidden/>
          </w:rPr>
          <w:tab/>
        </w:r>
        <w:r w:rsidR="00B11F3B">
          <w:rPr>
            <w:noProof/>
            <w:webHidden/>
          </w:rPr>
          <w:fldChar w:fldCharType="begin"/>
        </w:r>
        <w:r w:rsidR="00B11F3B">
          <w:rPr>
            <w:noProof/>
            <w:webHidden/>
          </w:rPr>
          <w:instrText xml:space="preserve"> PAGEREF _Toc399264930 \h </w:instrText>
        </w:r>
        <w:r w:rsidR="00B11F3B">
          <w:rPr>
            <w:noProof/>
            <w:webHidden/>
          </w:rPr>
        </w:r>
        <w:r w:rsidR="00B11F3B">
          <w:rPr>
            <w:noProof/>
            <w:webHidden/>
          </w:rPr>
          <w:fldChar w:fldCharType="separate"/>
        </w:r>
        <w:r w:rsidR="00B11F3B">
          <w:rPr>
            <w:noProof/>
            <w:webHidden/>
          </w:rPr>
          <w:t>28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1" w:history="1">
        <w:r w:rsidR="00B11F3B" w:rsidRPr="00BD1C0E">
          <w:rPr>
            <w:rStyle w:val="Hyperlink"/>
            <w:noProof/>
          </w:rPr>
          <w:t>Table 2 Approximate distance from shore for the outer boundary of the Open Coastal, Midshelf and Offshore marine water bodies in the six NRM regions from the Great Barrier Reef Marine Park Authority Water Quality Guidelines (Table 1 at page 12 of GBRMPA 2009).</w:t>
        </w:r>
        <w:r w:rsidR="00B11F3B">
          <w:rPr>
            <w:noProof/>
            <w:webHidden/>
          </w:rPr>
          <w:tab/>
        </w:r>
        <w:r w:rsidR="00B11F3B">
          <w:rPr>
            <w:noProof/>
            <w:webHidden/>
          </w:rPr>
          <w:fldChar w:fldCharType="begin"/>
        </w:r>
        <w:r w:rsidR="00B11F3B">
          <w:rPr>
            <w:noProof/>
            <w:webHidden/>
          </w:rPr>
          <w:instrText xml:space="preserve"> PAGEREF _Toc399264931 \h </w:instrText>
        </w:r>
        <w:r w:rsidR="00B11F3B">
          <w:rPr>
            <w:noProof/>
            <w:webHidden/>
          </w:rPr>
        </w:r>
        <w:r w:rsidR="00B11F3B">
          <w:rPr>
            <w:noProof/>
            <w:webHidden/>
          </w:rPr>
          <w:fldChar w:fldCharType="separate"/>
        </w:r>
        <w:r w:rsidR="00B11F3B">
          <w:rPr>
            <w:noProof/>
            <w:webHidden/>
          </w:rPr>
          <w:t>34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2" w:history="1">
        <w:r w:rsidR="00B11F3B" w:rsidRPr="00BD1C0E">
          <w:rPr>
            <w:rStyle w:val="Hyperlink"/>
            <w:noProof/>
          </w:rPr>
          <w:t>Table 3 Trigger values from the Great Barrier Reef Marine Park Authority Water Quality Guidelines (GBRMPA 2009). Guideline values for the assessment of the annual mean values. *: Geographical adjustment: Cape York, Wet Tropics and Mackay Whitsunday/ Burdekin, Fitzroy and Burnett Mary.</w:t>
        </w:r>
        <w:r w:rsidR="00B11F3B">
          <w:rPr>
            <w:noProof/>
            <w:webHidden/>
          </w:rPr>
          <w:tab/>
        </w:r>
        <w:r w:rsidR="00B11F3B">
          <w:rPr>
            <w:noProof/>
            <w:webHidden/>
          </w:rPr>
          <w:fldChar w:fldCharType="begin"/>
        </w:r>
        <w:r w:rsidR="00B11F3B">
          <w:rPr>
            <w:noProof/>
            <w:webHidden/>
          </w:rPr>
          <w:instrText xml:space="preserve"> PAGEREF _Toc399264932 \h </w:instrText>
        </w:r>
        <w:r w:rsidR="00B11F3B">
          <w:rPr>
            <w:noProof/>
            <w:webHidden/>
          </w:rPr>
        </w:r>
        <w:r w:rsidR="00B11F3B">
          <w:rPr>
            <w:noProof/>
            <w:webHidden/>
          </w:rPr>
          <w:fldChar w:fldCharType="separate"/>
        </w:r>
        <w:r w:rsidR="00B11F3B">
          <w:rPr>
            <w:noProof/>
            <w:webHidden/>
          </w:rPr>
          <w:t>36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3" w:history="1">
        <w:r w:rsidR="00B11F3B" w:rsidRPr="00BD1C0E">
          <w:rPr>
            <w:rStyle w:val="Hyperlink"/>
            <w:noProof/>
          </w:rPr>
          <w:t>Table 4 Trigger values from the Great Barrier Reef Marine Park Authority Water Quality Guidelines (GBRMPA 2009). Seasonally adjusted Guideline values for the assessment of seasonal mean values in dry/wet seasons.</w:t>
        </w:r>
        <w:r w:rsidR="00B11F3B">
          <w:rPr>
            <w:noProof/>
            <w:webHidden/>
          </w:rPr>
          <w:tab/>
        </w:r>
        <w:r w:rsidR="00B11F3B">
          <w:rPr>
            <w:noProof/>
            <w:webHidden/>
          </w:rPr>
          <w:fldChar w:fldCharType="begin"/>
        </w:r>
        <w:r w:rsidR="00B11F3B">
          <w:rPr>
            <w:noProof/>
            <w:webHidden/>
          </w:rPr>
          <w:instrText xml:space="preserve"> PAGEREF _Toc399264933 \h </w:instrText>
        </w:r>
        <w:r w:rsidR="00B11F3B">
          <w:rPr>
            <w:noProof/>
            <w:webHidden/>
          </w:rPr>
        </w:r>
        <w:r w:rsidR="00B11F3B">
          <w:rPr>
            <w:noProof/>
            <w:webHidden/>
          </w:rPr>
          <w:fldChar w:fldCharType="separate"/>
        </w:r>
        <w:r w:rsidR="00B11F3B">
          <w:rPr>
            <w:noProof/>
            <w:webHidden/>
          </w:rPr>
          <w:t>36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4" w:history="1">
        <w:r w:rsidR="00B11F3B" w:rsidRPr="00BD1C0E">
          <w:rPr>
            <w:rStyle w:val="Hyperlink"/>
            <w:noProof/>
          </w:rPr>
          <w:t>Table 5 Summary of surface areas (Km</w:t>
        </w:r>
        <w:r w:rsidR="00B11F3B" w:rsidRPr="00BD1C0E">
          <w:rPr>
            <w:rStyle w:val="Hyperlink"/>
            <w:noProof/>
            <w:vertAlign w:val="superscript"/>
          </w:rPr>
          <w:t>2</w:t>
        </w:r>
        <w:r w:rsidR="00B11F3B" w:rsidRPr="00BD1C0E">
          <w:rPr>
            <w:rStyle w:val="Hyperlink"/>
            <w:noProof/>
          </w:rPr>
          <w:t>) of all water bodies in the six GBR reporting regions. EC/IS is relative area of the Enclosed Coastal waters compared to the surface of the Coastal waters.</w:t>
        </w:r>
        <w:r w:rsidR="00B11F3B">
          <w:rPr>
            <w:noProof/>
            <w:webHidden/>
          </w:rPr>
          <w:tab/>
        </w:r>
        <w:r w:rsidR="00B11F3B">
          <w:rPr>
            <w:noProof/>
            <w:webHidden/>
          </w:rPr>
          <w:fldChar w:fldCharType="begin"/>
        </w:r>
        <w:r w:rsidR="00B11F3B">
          <w:rPr>
            <w:noProof/>
            <w:webHidden/>
          </w:rPr>
          <w:instrText xml:space="preserve"> PAGEREF _Toc399264934 \h </w:instrText>
        </w:r>
        <w:r w:rsidR="00B11F3B">
          <w:rPr>
            <w:noProof/>
            <w:webHidden/>
          </w:rPr>
        </w:r>
        <w:r w:rsidR="00B11F3B">
          <w:rPr>
            <w:noProof/>
            <w:webHidden/>
          </w:rPr>
          <w:fldChar w:fldCharType="separate"/>
        </w:r>
        <w:r w:rsidR="00B11F3B">
          <w:rPr>
            <w:noProof/>
            <w:webHidden/>
          </w:rPr>
          <w:t>41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5" w:history="1">
        <w:r w:rsidR="00B11F3B" w:rsidRPr="00BD1C0E">
          <w:rPr>
            <w:rStyle w:val="Hyperlink"/>
            <w:noProof/>
          </w:rPr>
          <w:t>Table 6 Summary table for Paddock to Reef marine water quality component score based on CHL compliance (P2R_CHL). Percentage of compliance is reported over the surface area of the whole coastal region.  Cells are shaded to reflect the colour coding of the P2R reporting scheme from red to green in steps of 20%.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w:t>
        </w:r>
        <w:r w:rsidR="00B11F3B">
          <w:rPr>
            <w:noProof/>
            <w:webHidden/>
          </w:rPr>
          <w:tab/>
        </w:r>
        <w:r w:rsidR="00B11F3B">
          <w:rPr>
            <w:noProof/>
            <w:webHidden/>
          </w:rPr>
          <w:fldChar w:fldCharType="begin"/>
        </w:r>
        <w:r w:rsidR="00B11F3B">
          <w:rPr>
            <w:noProof/>
            <w:webHidden/>
          </w:rPr>
          <w:instrText xml:space="preserve"> PAGEREF _Toc399264935 \h </w:instrText>
        </w:r>
        <w:r w:rsidR="00B11F3B">
          <w:rPr>
            <w:noProof/>
            <w:webHidden/>
          </w:rPr>
        </w:r>
        <w:r w:rsidR="00B11F3B">
          <w:rPr>
            <w:noProof/>
            <w:webHidden/>
          </w:rPr>
          <w:fldChar w:fldCharType="separate"/>
        </w:r>
        <w:r w:rsidR="00B11F3B">
          <w:rPr>
            <w:noProof/>
            <w:webHidden/>
          </w:rPr>
          <w:t>49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6" w:history="1">
        <w:r w:rsidR="00B11F3B" w:rsidRPr="00BD1C0E">
          <w:rPr>
            <w:rStyle w:val="Hyperlink"/>
            <w:noProof/>
          </w:rPr>
          <w:t>Table 7 Summary table for Paddock to Reef marine water quality component scores based on TSS compliance (P2R_TSS). Percentage of compliance is reported over the surface area of the whole coastal region. Cells are shaded to reflect the colour coding of the P2R reporting scheme from red to green in steps of 20%.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w:t>
        </w:r>
        <w:r w:rsidR="00B11F3B">
          <w:rPr>
            <w:noProof/>
            <w:webHidden/>
          </w:rPr>
          <w:tab/>
        </w:r>
        <w:r w:rsidR="00B11F3B">
          <w:rPr>
            <w:noProof/>
            <w:webHidden/>
          </w:rPr>
          <w:fldChar w:fldCharType="begin"/>
        </w:r>
        <w:r w:rsidR="00B11F3B">
          <w:rPr>
            <w:noProof/>
            <w:webHidden/>
          </w:rPr>
          <w:instrText xml:space="preserve"> PAGEREF _Toc399264936 \h </w:instrText>
        </w:r>
        <w:r w:rsidR="00B11F3B">
          <w:rPr>
            <w:noProof/>
            <w:webHidden/>
          </w:rPr>
        </w:r>
        <w:r w:rsidR="00B11F3B">
          <w:rPr>
            <w:noProof/>
            <w:webHidden/>
          </w:rPr>
          <w:fldChar w:fldCharType="separate"/>
        </w:r>
        <w:r w:rsidR="00B11F3B">
          <w:rPr>
            <w:noProof/>
            <w:webHidden/>
          </w:rPr>
          <w:t>49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7" w:history="1">
        <w:r w:rsidR="00B11F3B" w:rsidRPr="00BD1C0E">
          <w:rPr>
            <w:rStyle w:val="Hyperlink"/>
            <w:noProof/>
          </w:rPr>
          <w:t xml:space="preserve">Table 8 Summary table for Paddock to Reef marine water quality index (P2R_WQI). Percentage of compliance is reported over the surface area of the whole coastal region. Cells are shaded to reflect the colour coding of the P2R reporting scheme from red to green in steps of 20%. Top: calculation without the delineation of </w:t>
        </w:r>
        <w:r w:rsidR="00B11F3B" w:rsidRPr="00BD1C0E">
          <w:rPr>
            <w:rStyle w:val="Hyperlink"/>
            <w:noProof/>
          </w:rPr>
          <w:lastRenderedPageBreak/>
          <w:t>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w:t>
        </w:r>
        <w:r w:rsidR="00B11F3B">
          <w:rPr>
            <w:noProof/>
            <w:webHidden/>
          </w:rPr>
          <w:tab/>
        </w:r>
        <w:r w:rsidR="00B11F3B">
          <w:rPr>
            <w:noProof/>
            <w:webHidden/>
          </w:rPr>
          <w:fldChar w:fldCharType="begin"/>
        </w:r>
        <w:r w:rsidR="00B11F3B">
          <w:rPr>
            <w:noProof/>
            <w:webHidden/>
          </w:rPr>
          <w:instrText xml:space="preserve"> PAGEREF _Toc399264937 \h </w:instrText>
        </w:r>
        <w:r w:rsidR="00B11F3B">
          <w:rPr>
            <w:noProof/>
            <w:webHidden/>
          </w:rPr>
        </w:r>
        <w:r w:rsidR="00B11F3B">
          <w:rPr>
            <w:noProof/>
            <w:webHidden/>
          </w:rPr>
          <w:fldChar w:fldCharType="separate"/>
        </w:r>
        <w:r w:rsidR="00B11F3B">
          <w:rPr>
            <w:noProof/>
            <w:webHidden/>
          </w:rPr>
          <w:t>50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8" w:history="1">
        <w:r w:rsidR="00B11F3B" w:rsidRPr="00BD1C0E">
          <w:rPr>
            <w:rStyle w:val="Hyperlink"/>
            <w:noProof/>
          </w:rPr>
          <w:t>Table 9. Summary of the exceedance of annual mean values of Chlorophyll-a and non-algal particulate matter (as a measure of Total Suspended Solids) for this reporting period (1 May 2011 – 30 April 2012)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_Toc399264938 \h </w:instrText>
        </w:r>
        <w:r w:rsidR="00B11F3B">
          <w:rPr>
            <w:noProof/>
            <w:webHidden/>
          </w:rPr>
        </w:r>
        <w:r w:rsidR="00B11F3B">
          <w:rPr>
            <w:noProof/>
            <w:webHidden/>
          </w:rPr>
          <w:fldChar w:fldCharType="separate"/>
        </w:r>
        <w:r w:rsidR="00B11F3B">
          <w:rPr>
            <w:noProof/>
            <w:webHidden/>
          </w:rPr>
          <w:t>68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39" w:history="1">
        <w:r w:rsidR="00B11F3B" w:rsidRPr="00BD1C0E">
          <w:rPr>
            <w:rStyle w:val="Hyperlink"/>
            <w:noProof/>
          </w:rPr>
          <w:t>Table 10. Summary of the exceedance of mean annual Chlorophyll-a and non-algal particulate matter (as a measure of Total Suspended Solids) for the previous reporting period (1 May 2010 – 30 April 2011)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_Toc399264939 \h </w:instrText>
        </w:r>
        <w:r w:rsidR="00B11F3B">
          <w:rPr>
            <w:noProof/>
            <w:webHidden/>
          </w:rPr>
        </w:r>
        <w:r w:rsidR="00B11F3B">
          <w:rPr>
            <w:noProof/>
            <w:webHidden/>
          </w:rPr>
          <w:fldChar w:fldCharType="separate"/>
        </w:r>
        <w:r w:rsidR="00B11F3B">
          <w:rPr>
            <w:noProof/>
            <w:webHidden/>
          </w:rPr>
          <w:t>68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0" w:history="1">
        <w:r w:rsidR="00B11F3B" w:rsidRPr="00BD1C0E">
          <w:rPr>
            <w:rStyle w:val="Hyperlink"/>
            <w:noProof/>
          </w:rPr>
          <w:t>Table 11. Paddock to Reef marine water quality index (P2R_WQI) and component scores (P2R_CHL and P2R_TSS) for this reporting period (1 May 2011 – 30 April 2012). Cells are shaded to reflect the colour coding of the P2R reporting scheme from red to green in steps of 20%.*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w:t>
        </w:r>
        <w:r w:rsidR="00B11F3B">
          <w:rPr>
            <w:noProof/>
            <w:webHidden/>
          </w:rPr>
          <w:tab/>
        </w:r>
        <w:r w:rsidR="00B11F3B">
          <w:rPr>
            <w:noProof/>
            <w:webHidden/>
          </w:rPr>
          <w:fldChar w:fldCharType="begin"/>
        </w:r>
        <w:r w:rsidR="00B11F3B">
          <w:rPr>
            <w:noProof/>
            <w:webHidden/>
          </w:rPr>
          <w:instrText xml:space="preserve"> PAGEREF _Toc399264940 \h </w:instrText>
        </w:r>
        <w:r w:rsidR="00B11F3B">
          <w:rPr>
            <w:noProof/>
            <w:webHidden/>
          </w:rPr>
        </w:r>
        <w:r w:rsidR="00B11F3B">
          <w:rPr>
            <w:noProof/>
            <w:webHidden/>
          </w:rPr>
          <w:fldChar w:fldCharType="separate"/>
        </w:r>
        <w:r w:rsidR="00B11F3B">
          <w:rPr>
            <w:noProof/>
            <w:webHidden/>
          </w:rPr>
          <w:t>69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1" w:history="1">
        <w:r w:rsidR="00B11F3B" w:rsidRPr="00BD1C0E">
          <w:rPr>
            <w:rStyle w:val="Hyperlink"/>
            <w:noProof/>
          </w:rPr>
          <w:t>Table 12 Summary of the annual exceedance maps for Chlorophyll-a and Total Suspended Solids for the Cape York region. "Surface Area" is the surface area in square kilometres for each of the three reporting water bodies for this region: (EC: Enclosed Coastal, OC: Open Coastal, IS: Inshore, 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B11F3B">
          <w:rPr>
            <w:noProof/>
            <w:webHidden/>
          </w:rPr>
          <w:tab/>
        </w:r>
        <w:r w:rsidR="00B11F3B">
          <w:rPr>
            <w:noProof/>
            <w:webHidden/>
          </w:rPr>
          <w:fldChar w:fldCharType="begin"/>
        </w:r>
        <w:r w:rsidR="00B11F3B">
          <w:rPr>
            <w:noProof/>
            <w:webHidden/>
          </w:rPr>
          <w:instrText xml:space="preserve"> PAGEREF _Toc399264941 \h </w:instrText>
        </w:r>
        <w:r w:rsidR="00B11F3B">
          <w:rPr>
            <w:noProof/>
            <w:webHidden/>
          </w:rPr>
        </w:r>
        <w:r w:rsidR="00B11F3B">
          <w:rPr>
            <w:noProof/>
            <w:webHidden/>
          </w:rPr>
          <w:fldChar w:fldCharType="separate"/>
        </w:r>
        <w:r w:rsidR="00B11F3B">
          <w:rPr>
            <w:noProof/>
            <w:webHidden/>
          </w:rPr>
          <w:t>74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2" w:history="1">
        <w:r w:rsidR="00B11F3B" w:rsidRPr="00BD1C0E">
          <w:rPr>
            <w:rStyle w:val="Hyperlink"/>
            <w:noProof/>
          </w:rPr>
          <w:t>Table 13 Summary of the exceedance maps for Chlorophyll-a for the dry and wet season for the Cape York region (Figure 34, Figure 35).  Column and row labels are described in the legend of Table 12.</w:t>
        </w:r>
        <w:r w:rsidR="00B11F3B">
          <w:rPr>
            <w:noProof/>
            <w:webHidden/>
          </w:rPr>
          <w:tab/>
        </w:r>
        <w:r w:rsidR="00B11F3B">
          <w:rPr>
            <w:noProof/>
            <w:webHidden/>
          </w:rPr>
          <w:fldChar w:fldCharType="begin"/>
        </w:r>
        <w:r w:rsidR="00B11F3B">
          <w:rPr>
            <w:noProof/>
            <w:webHidden/>
          </w:rPr>
          <w:instrText xml:space="preserve"> PAGEREF _Toc399264942 \h </w:instrText>
        </w:r>
        <w:r w:rsidR="00B11F3B">
          <w:rPr>
            <w:noProof/>
            <w:webHidden/>
          </w:rPr>
        </w:r>
        <w:r w:rsidR="00B11F3B">
          <w:rPr>
            <w:noProof/>
            <w:webHidden/>
          </w:rPr>
          <w:fldChar w:fldCharType="separate"/>
        </w:r>
        <w:r w:rsidR="00B11F3B">
          <w:rPr>
            <w:noProof/>
            <w:webHidden/>
          </w:rPr>
          <w:t>74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3" w:history="1">
        <w:r w:rsidR="00B11F3B" w:rsidRPr="00BD1C0E">
          <w:rPr>
            <w:rStyle w:val="Hyperlink"/>
            <w:noProof/>
          </w:rPr>
          <w:t>Table 14 Summary of the exceedance maps for Non-algal particulate matter (NAP as a measure of TSS)  for the dry and wet season for the Cape York region (Figure 36, Figure 37). Column and row labels are described in the legend of Table 12.</w:t>
        </w:r>
        <w:r w:rsidR="00B11F3B">
          <w:rPr>
            <w:noProof/>
            <w:webHidden/>
          </w:rPr>
          <w:tab/>
        </w:r>
        <w:r w:rsidR="00B11F3B">
          <w:rPr>
            <w:noProof/>
            <w:webHidden/>
          </w:rPr>
          <w:fldChar w:fldCharType="begin"/>
        </w:r>
        <w:r w:rsidR="00B11F3B">
          <w:rPr>
            <w:noProof/>
            <w:webHidden/>
          </w:rPr>
          <w:instrText xml:space="preserve"> PAGEREF _Toc399264943 \h </w:instrText>
        </w:r>
        <w:r w:rsidR="00B11F3B">
          <w:rPr>
            <w:noProof/>
            <w:webHidden/>
          </w:rPr>
        </w:r>
        <w:r w:rsidR="00B11F3B">
          <w:rPr>
            <w:noProof/>
            <w:webHidden/>
          </w:rPr>
          <w:fldChar w:fldCharType="separate"/>
        </w:r>
        <w:r w:rsidR="00B11F3B">
          <w:rPr>
            <w:noProof/>
            <w:webHidden/>
          </w:rPr>
          <w:t>74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4" w:history="1">
        <w:r w:rsidR="00B11F3B" w:rsidRPr="00BD1C0E">
          <w:rPr>
            <w:rStyle w:val="Hyperlink"/>
            <w:noProof/>
          </w:rPr>
          <w:t>Table 15. Summary of Chlorophyll-a exceedance for the dry and wet season for the Cape York region. “Number valid obs." is the number of pixels with valid observations (i.e. cloud-free and error-free pixels) for each of the three reporting water bodies for this region: (EC: Enclosed Coastal, OC: Open Coastal, MS: Midshelf, OS: Offshore), "Number total obs." provides the total number of observations. Mean and median are presented in red and bold if they exceed the trigger value in the Guidelines. The seasonally adjusted Guideline values for Chlorophyll –a for the dry/wet season are 1.4/2.8 µg L</w:t>
        </w:r>
        <w:r w:rsidR="00B11F3B" w:rsidRPr="00BD1C0E">
          <w:rPr>
            <w:rStyle w:val="Hyperlink"/>
            <w:noProof/>
            <w:vertAlign w:val="superscript"/>
          </w:rPr>
          <w:t>-1</w:t>
        </w:r>
        <w:r w:rsidR="00B11F3B" w:rsidRPr="00BD1C0E">
          <w:rPr>
            <w:rStyle w:val="Hyperlink"/>
            <w:noProof/>
          </w:rPr>
          <w:t xml:space="preserve"> for Enclosed Coastal, 0.32/0.63 µg L</w:t>
        </w:r>
        <w:r w:rsidR="00B11F3B" w:rsidRPr="00BD1C0E">
          <w:rPr>
            <w:rStyle w:val="Hyperlink"/>
            <w:noProof/>
            <w:vertAlign w:val="superscript"/>
          </w:rPr>
          <w:t>-1</w:t>
        </w:r>
        <w:r w:rsidR="00B11F3B" w:rsidRPr="00BD1C0E">
          <w:rPr>
            <w:rStyle w:val="Hyperlink"/>
            <w:noProof/>
          </w:rPr>
          <w:t xml:space="preserve"> for Open Coastal and Midshelf and 0.28/0.56 µg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_Toc399264944 \h </w:instrText>
        </w:r>
        <w:r w:rsidR="00B11F3B">
          <w:rPr>
            <w:noProof/>
            <w:webHidden/>
          </w:rPr>
        </w:r>
        <w:r w:rsidR="00B11F3B">
          <w:rPr>
            <w:noProof/>
            <w:webHidden/>
          </w:rPr>
          <w:fldChar w:fldCharType="separate"/>
        </w:r>
        <w:r w:rsidR="00B11F3B">
          <w:rPr>
            <w:noProof/>
            <w:webHidden/>
          </w:rPr>
          <w:t>75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5" w:history="1">
        <w:r w:rsidR="00B11F3B" w:rsidRPr="00BD1C0E">
          <w:rPr>
            <w:rStyle w:val="Hyperlink"/>
            <w:noProof/>
          </w:rPr>
          <w:t xml:space="preserve">Table 16 Summary of Non-algal particulate matter (NAP as a measure of TSS) exceedance for the dry and wet season for the Cape York region. Column and row labels are </w:t>
        </w:r>
        <w:r w:rsidR="00B11F3B" w:rsidRPr="00BD1C0E">
          <w:rPr>
            <w:rStyle w:val="Hyperlink"/>
            <w:noProof/>
          </w:rPr>
          <w:lastRenderedPageBreak/>
          <w:t>described in the legend of Table 15. Mean and median are presented in red and bold if they exceed the trigger value in the Guidelines. The seasonally adjusted Guideline values for TSS for the dry/wet season means are 4/6 mg L</w:t>
        </w:r>
        <w:r w:rsidR="00B11F3B" w:rsidRPr="00BD1C0E">
          <w:rPr>
            <w:rStyle w:val="Hyperlink"/>
            <w:noProof/>
            <w:vertAlign w:val="superscript"/>
          </w:rPr>
          <w:t>-1</w:t>
        </w:r>
        <w:r w:rsidR="00B11F3B" w:rsidRPr="00BD1C0E">
          <w:rPr>
            <w:rStyle w:val="Hyperlink"/>
            <w:noProof/>
          </w:rPr>
          <w:t xml:space="preserve"> for Enclosed Coastal, 1.6/2.4 mg L</w:t>
        </w:r>
        <w:r w:rsidR="00B11F3B" w:rsidRPr="00BD1C0E">
          <w:rPr>
            <w:rStyle w:val="Hyperlink"/>
            <w:noProof/>
            <w:vertAlign w:val="superscript"/>
          </w:rPr>
          <w:t>-1</w:t>
        </w:r>
        <w:r w:rsidR="00B11F3B" w:rsidRPr="00BD1C0E">
          <w:rPr>
            <w:rStyle w:val="Hyperlink"/>
            <w:noProof/>
          </w:rPr>
          <w:t xml:space="preserve"> for Open Coastal and Midshelf and 0.6/0.8 mg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_Toc399264945 \h </w:instrText>
        </w:r>
        <w:r w:rsidR="00B11F3B">
          <w:rPr>
            <w:noProof/>
            <w:webHidden/>
          </w:rPr>
        </w:r>
        <w:r w:rsidR="00B11F3B">
          <w:rPr>
            <w:noProof/>
            <w:webHidden/>
          </w:rPr>
          <w:fldChar w:fldCharType="separate"/>
        </w:r>
        <w:r w:rsidR="00B11F3B">
          <w:rPr>
            <w:noProof/>
            <w:webHidden/>
          </w:rPr>
          <w:t>75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6" w:history="1">
        <w:r w:rsidR="00B11F3B" w:rsidRPr="00BD1C0E">
          <w:rPr>
            <w:rStyle w:val="Hyperlink"/>
            <w:noProof/>
          </w:rPr>
          <w:t>Table 17 Summary of the annual exceedance maps for Chlorophyll-a and Total Suspended Solids for the Wet Tropics region. "Surface Area" is the surface area in square kilometres for each of the three reporting water bodies for this region: (EC: Enclosed Coastal, OC: Open Coastal, IS: Inshore, MS: Midshelf, OS: Offshore), ,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B11F3B">
          <w:rPr>
            <w:noProof/>
            <w:webHidden/>
          </w:rPr>
          <w:tab/>
        </w:r>
        <w:r w:rsidR="00B11F3B">
          <w:rPr>
            <w:noProof/>
            <w:webHidden/>
          </w:rPr>
          <w:fldChar w:fldCharType="begin"/>
        </w:r>
        <w:r w:rsidR="00B11F3B">
          <w:rPr>
            <w:noProof/>
            <w:webHidden/>
          </w:rPr>
          <w:instrText xml:space="preserve"> PAGEREF _Toc399264946 \h </w:instrText>
        </w:r>
        <w:r w:rsidR="00B11F3B">
          <w:rPr>
            <w:noProof/>
            <w:webHidden/>
          </w:rPr>
        </w:r>
        <w:r w:rsidR="00B11F3B">
          <w:rPr>
            <w:noProof/>
            <w:webHidden/>
          </w:rPr>
          <w:fldChar w:fldCharType="separate"/>
        </w:r>
        <w:r w:rsidR="00B11F3B">
          <w:rPr>
            <w:noProof/>
            <w:webHidden/>
          </w:rPr>
          <w:t>90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7" w:history="1">
        <w:r w:rsidR="00B11F3B" w:rsidRPr="00BD1C0E">
          <w:rPr>
            <w:rStyle w:val="Hyperlink"/>
            <w:noProof/>
          </w:rPr>
          <w:t>Table 18 Summary of the exceedance maps for Chlorophyll-a for the dry and wet season for the Wet Tropics region (Figure 45, Figure 46).  Column and row  labels are described in the legend of Table 17.</w:t>
        </w:r>
        <w:r w:rsidR="00B11F3B">
          <w:rPr>
            <w:noProof/>
            <w:webHidden/>
          </w:rPr>
          <w:tab/>
        </w:r>
        <w:r w:rsidR="00B11F3B">
          <w:rPr>
            <w:noProof/>
            <w:webHidden/>
          </w:rPr>
          <w:fldChar w:fldCharType="begin"/>
        </w:r>
        <w:r w:rsidR="00B11F3B">
          <w:rPr>
            <w:noProof/>
            <w:webHidden/>
          </w:rPr>
          <w:instrText xml:space="preserve"> PAGEREF _Toc399264947 \h </w:instrText>
        </w:r>
        <w:r w:rsidR="00B11F3B">
          <w:rPr>
            <w:noProof/>
            <w:webHidden/>
          </w:rPr>
        </w:r>
        <w:r w:rsidR="00B11F3B">
          <w:rPr>
            <w:noProof/>
            <w:webHidden/>
          </w:rPr>
          <w:fldChar w:fldCharType="separate"/>
        </w:r>
        <w:r w:rsidR="00B11F3B">
          <w:rPr>
            <w:noProof/>
            <w:webHidden/>
          </w:rPr>
          <w:t>90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8" w:history="1">
        <w:r w:rsidR="00B11F3B" w:rsidRPr="00BD1C0E">
          <w:rPr>
            <w:rStyle w:val="Hyperlink"/>
            <w:noProof/>
          </w:rPr>
          <w:t>Table 19 Summary of the exceedance maps for Non-algal particulate matter (NAP as a measure of TSS)  for the dry and wet season for the Wet Tropics region (Figure 47, Figure 48).  Column and row  labels are described in the legend of Table 17.</w:t>
        </w:r>
        <w:r w:rsidR="00B11F3B">
          <w:rPr>
            <w:noProof/>
            <w:webHidden/>
          </w:rPr>
          <w:tab/>
        </w:r>
        <w:r w:rsidR="00B11F3B">
          <w:rPr>
            <w:noProof/>
            <w:webHidden/>
          </w:rPr>
          <w:fldChar w:fldCharType="begin"/>
        </w:r>
        <w:r w:rsidR="00B11F3B">
          <w:rPr>
            <w:noProof/>
            <w:webHidden/>
          </w:rPr>
          <w:instrText xml:space="preserve"> PAGEREF _Toc399264948 \h </w:instrText>
        </w:r>
        <w:r w:rsidR="00B11F3B">
          <w:rPr>
            <w:noProof/>
            <w:webHidden/>
          </w:rPr>
        </w:r>
        <w:r w:rsidR="00B11F3B">
          <w:rPr>
            <w:noProof/>
            <w:webHidden/>
          </w:rPr>
          <w:fldChar w:fldCharType="separate"/>
        </w:r>
        <w:r w:rsidR="00B11F3B">
          <w:rPr>
            <w:noProof/>
            <w:webHidden/>
          </w:rPr>
          <w:t>91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49" w:history="1">
        <w:r w:rsidR="00B11F3B" w:rsidRPr="00BD1C0E">
          <w:rPr>
            <w:rStyle w:val="Hyperlink"/>
            <w:noProof/>
          </w:rPr>
          <w:t>Table 20. Summary of Chlorophyll-a exceedance for the dry and wet season for the Wet Tropics region. "Surface Area" is the surface area in square kilometres for each of the three reporting water bodies for this region: (EC: Enclosed Coastal, OC: Open Coastal, MS: Midshelf, OS: Offshore), , “Number valid obs." is the number of pixels with valid observations (i.e. cloud-free and error-free pixels), "Number total obs." provides the total number of observations. Mean and median are presented in red and bold if they exceed the trigger value in the Guidelines. The seasonally adjusted Guideline values for  Chlorophyll –a for the dry/wet season are 1.4/2.8 µg L</w:t>
        </w:r>
        <w:r w:rsidR="00B11F3B" w:rsidRPr="00BD1C0E">
          <w:rPr>
            <w:rStyle w:val="Hyperlink"/>
            <w:noProof/>
            <w:vertAlign w:val="superscript"/>
          </w:rPr>
          <w:t>-1</w:t>
        </w:r>
        <w:r w:rsidR="00B11F3B" w:rsidRPr="00BD1C0E">
          <w:rPr>
            <w:rStyle w:val="Hyperlink"/>
            <w:noProof/>
          </w:rPr>
          <w:t xml:space="preserve"> for Enclosed Coastal, 0.32/0.63 µg L</w:t>
        </w:r>
        <w:r w:rsidR="00B11F3B" w:rsidRPr="00BD1C0E">
          <w:rPr>
            <w:rStyle w:val="Hyperlink"/>
            <w:noProof/>
            <w:vertAlign w:val="superscript"/>
          </w:rPr>
          <w:t>-1</w:t>
        </w:r>
        <w:r w:rsidR="00B11F3B" w:rsidRPr="00BD1C0E">
          <w:rPr>
            <w:rStyle w:val="Hyperlink"/>
            <w:noProof/>
          </w:rPr>
          <w:t xml:space="preserve"> for Open Coastal and Midshelf and 0.28/0.56 µg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_Toc399264949 \h </w:instrText>
        </w:r>
        <w:r w:rsidR="00B11F3B">
          <w:rPr>
            <w:noProof/>
            <w:webHidden/>
          </w:rPr>
        </w:r>
        <w:r w:rsidR="00B11F3B">
          <w:rPr>
            <w:noProof/>
            <w:webHidden/>
          </w:rPr>
          <w:fldChar w:fldCharType="separate"/>
        </w:r>
        <w:r w:rsidR="00B11F3B">
          <w:rPr>
            <w:noProof/>
            <w:webHidden/>
          </w:rPr>
          <w:t>92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0" w:history="1">
        <w:r w:rsidR="00B11F3B" w:rsidRPr="00BD1C0E">
          <w:rPr>
            <w:rStyle w:val="Hyperlink"/>
            <w:noProof/>
          </w:rPr>
          <w:t>Table 21 Summary of Non-algal particulate matter (NAP as a measure of TSS) exceedance for the dry and wet season for the Wet Tropics region. Column and row labels are described in the legend Table 20. Mean and median are presented in red and bold if they exceed the trigger value in the Guidelines. The seasonally adjusted Guideline values for TSS for the dry/wet season means are 4/6 mg L</w:t>
        </w:r>
        <w:r w:rsidR="00B11F3B" w:rsidRPr="00BD1C0E">
          <w:rPr>
            <w:rStyle w:val="Hyperlink"/>
            <w:noProof/>
            <w:vertAlign w:val="superscript"/>
          </w:rPr>
          <w:t>-1</w:t>
        </w:r>
        <w:r w:rsidR="00B11F3B" w:rsidRPr="00BD1C0E">
          <w:rPr>
            <w:rStyle w:val="Hyperlink"/>
            <w:noProof/>
          </w:rPr>
          <w:t xml:space="preserve"> for Enclosed Coastal, 1.6/2.4 mg L</w:t>
        </w:r>
        <w:r w:rsidR="00B11F3B" w:rsidRPr="00BD1C0E">
          <w:rPr>
            <w:rStyle w:val="Hyperlink"/>
            <w:noProof/>
            <w:vertAlign w:val="superscript"/>
          </w:rPr>
          <w:t>-1</w:t>
        </w:r>
        <w:r w:rsidR="00B11F3B" w:rsidRPr="00BD1C0E">
          <w:rPr>
            <w:rStyle w:val="Hyperlink"/>
            <w:noProof/>
          </w:rPr>
          <w:t xml:space="preserve"> for Open Coastal and Midshelf and 0.6/0.8 mg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_Toc399264950 \h </w:instrText>
        </w:r>
        <w:r w:rsidR="00B11F3B">
          <w:rPr>
            <w:noProof/>
            <w:webHidden/>
          </w:rPr>
        </w:r>
        <w:r w:rsidR="00B11F3B">
          <w:rPr>
            <w:noProof/>
            <w:webHidden/>
          </w:rPr>
          <w:fldChar w:fldCharType="separate"/>
        </w:r>
        <w:r w:rsidR="00B11F3B">
          <w:rPr>
            <w:noProof/>
            <w:webHidden/>
          </w:rPr>
          <w:t>92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1" w:history="1">
        <w:r w:rsidR="00B11F3B" w:rsidRPr="00BD1C0E">
          <w:rPr>
            <w:rStyle w:val="Hyperlink"/>
            <w:noProof/>
          </w:rPr>
          <w:t>Table 22 Summary of the annual exceedance maps for Chlorophyll-a and Total Suspended Solids for the Burdekin region. "Surface Area" is the surface area in square kilometres for each of the three reporting water bodies for this region: (EC: Enclosed Coastal, OC: Open Coastal, IS: Inshore, MS: Midshelf, OS: Offshore), ,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B11F3B">
          <w:rPr>
            <w:noProof/>
            <w:webHidden/>
          </w:rPr>
          <w:tab/>
        </w:r>
        <w:r w:rsidR="00B11F3B">
          <w:rPr>
            <w:noProof/>
            <w:webHidden/>
          </w:rPr>
          <w:fldChar w:fldCharType="begin"/>
        </w:r>
        <w:r w:rsidR="00B11F3B">
          <w:rPr>
            <w:noProof/>
            <w:webHidden/>
          </w:rPr>
          <w:instrText xml:space="preserve"> PAGEREF _Toc399264951 \h </w:instrText>
        </w:r>
        <w:r w:rsidR="00B11F3B">
          <w:rPr>
            <w:noProof/>
            <w:webHidden/>
          </w:rPr>
        </w:r>
        <w:r w:rsidR="00B11F3B">
          <w:rPr>
            <w:noProof/>
            <w:webHidden/>
          </w:rPr>
          <w:fldChar w:fldCharType="separate"/>
        </w:r>
        <w:r w:rsidR="00B11F3B">
          <w:rPr>
            <w:noProof/>
            <w:webHidden/>
          </w:rPr>
          <w:t>105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2" w:history="1">
        <w:r w:rsidR="00B11F3B" w:rsidRPr="00BD1C0E">
          <w:rPr>
            <w:rStyle w:val="Hyperlink"/>
            <w:noProof/>
          </w:rPr>
          <w:t>Table 23 Summary of the exceedance maps for Chlorophyll-a for the dry and wet season for the Burdekin region (Figure 56, Figure 57).  Column and row labels are described in the legend of Table 22.</w:t>
        </w:r>
        <w:r w:rsidR="00B11F3B">
          <w:rPr>
            <w:noProof/>
            <w:webHidden/>
          </w:rPr>
          <w:tab/>
        </w:r>
        <w:r w:rsidR="00B11F3B">
          <w:rPr>
            <w:noProof/>
            <w:webHidden/>
          </w:rPr>
          <w:fldChar w:fldCharType="begin"/>
        </w:r>
        <w:r w:rsidR="00B11F3B">
          <w:rPr>
            <w:noProof/>
            <w:webHidden/>
          </w:rPr>
          <w:instrText xml:space="preserve"> PAGEREF _Toc399264952 \h </w:instrText>
        </w:r>
        <w:r w:rsidR="00B11F3B">
          <w:rPr>
            <w:noProof/>
            <w:webHidden/>
          </w:rPr>
        </w:r>
        <w:r w:rsidR="00B11F3B">
          <w:rPr>
            <w:noProof/>
            <w:webHidden/>
          </w:rPr>
          <w:fldChar w:fldCharType="separate"/>
        </w:r>
        <w:r w:rsidR="00B11F3B">
          <w:rPr>
            <w:noProof/>
            <w:webHidden/>
          </w:rPr>
          <w:t>105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3" w:history="1">
        <w:r w:rsidR="00B11F3B" w:rsidRPr="00BD1C0E">
          <w:rPr>
            <w:rStyle w:val="Hyperlink"/>
            <w:noProof/>
          </w:rPr>
          <w:t>Table 24 Summary of the exceedance maps for Non-algal particulate matter (NAP as a measure of TSS) for the dry and wet season for the Burdekin region (Figure 58, Figure 59). Column and row labels are described in the legend of Table 22.</w:t>
        </w:r>
        <w:r w:rsidR="00B11F3B">
          <w:rPr>
            <w:noProof/>
            <w:webHidden/>
          </w:rPr>
          <w:tab/>
        </w:r>
        <w:r w:rsidR="00B11F3B">
          <w:rPr>
            <w:noProof/>
            <w:webHidden/>
          </w:rPr>
          <w:fldChar w:fldCharType="begin"/>
        </w:r>
        <w:r w:rsidR="00B11F3B">
          <w:rPr>
            <w:noProof/>
            <w:webHidden/>
          </w:rPr>
          <w:instrText xml:space="preserve"> PAGEREF _Toc399264953 \h </w:instrText>
        </w:r>
        <w:r w:rsidR="00B11F3B">
          <w:rPr>
            <w:noProof/>
            <w:webHidden/>
          </w:rPr>
        </w:r>
        <w:r w:rsidR="00B11F3B">
          <w:rPr>
            <w:noProof/>
            <w:webHidden/>
          </w:rPr>
          <w:fldChar w:fldCharType="separate"/>
        </w:r>
        <w:r w:rsidR="00B11F3B">
          <w:rPr>
            <w:noProof/>
            <w:webHidden/>
          </w:rPr>
          <w:t>106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4" w:history="1">
        <w:r w:rsidR="00B11F3B" w:rsidRPr="00BD1C0E">
          <w:rPr>
            <w:rStyle w:val="Hyperlink"/>
            <w:noProof/>
          </w:rPr>
          <w:t xml:space="preserve">Table 25. Summary of Chlorophyll-a exceedance for the dry and wet season for the Burdekin region. “Number valid obs." is the number of pixels with valid observations (i.e. cloud-free and error-free pixels) for each of the three reporting water bodies for this region: (EC: Enclosed Coastal, OC: Open Coastal, MS: Midshelf, OS: </w:t>
        </w:r>
        <w:r w:rsidR="00B11F3B" w:rsidRPr="00BD1C0E">
          <w:rPr>
            <w:rStyle w:val="Hyperlink"/>
            <w:noProof/>
          </w:rPr>
          <w:lastRenderedPageBreak/>
          <w:t>Offshore), "Number total obs." provides the total number of observations. Mean and median are presented in red and bold if they exceed the trigger value in the Guidelines. The seasonally adjusted Guideline values for Chlorophyll–a for the dry/wet season are 1.4/2.8 µg L</w:t>
        </w:r>
        <w:r w:rsidR="00B11F3B" w:rsidRPr="00BD1C0E">
          <w:rPr>
            <w:rStyle w:val="Hyperlink"/>
            <w:noProof/>
            <w:vertAlign w:val="superscript"/>
          </w:rPr>
          <w:t>-1</w:t>
        </w:r>
        <w:r w:rsidR="00B11F3B" w:rsidRPr="00BD1C0E">
          <w:rPr>
            <w:rStyle w:val="Hyperlink"/>
            <w:noProof/>
          </w:rPr>
          <w:t xml:space="preserve"> for Enclosed Coastal, 0.32/0.63 µg L</w:t>
        </w:r>
        <w:r w:rsidR="00B11F3B" w:rsidRPr="00BD1C0E">
          <w:rPr>
            <w:rStyle w:val="Hyperlink"/>
            <w:noProof/>
            <w:vertAlign w:val="superscript"/>
          </w:rPr>
          <w:t>-1</w:t>
        </w:r>
        <w:r w:rsidR="00B11F3B" w:rsidRPr="00BD1C0E">
          <w:rPr>
            <w:rStyle w:val="Hyperlink"/>
            <w:noProof/>
          </w:rPr>
          <w:t xml:space="preserve"> for Open Coastal and Midshelf and 0.28/0.56 µg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_Toc399264954 \h </w:instrText>
        </w:r>
        <w:r w:rsidR="00B11F3B">
          <w:rPr>
            <w:noProof/>
            <w:webHidden/>
          </w:rPr>
        </w:r>
        <w:r w:rsidR="00B11F3B">
          <w:rPr>
            <w:noProof/>
            <w:webHidden/>
          </w:rPr>
          <w:fldChar w:fldCharType="separate"/>
        </w:r>
        <w:r w:rsidR="00B11F3B">
          <w:rPr>
            <w:noProof/>
            <w:webHidden/>
          </w:rPr>
          <w:t>107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5" w:history="1">
        <w:r w:rsidR="00B11F3B" w:rsidRPr="00BD1C0E">
          <w:rPr>
            <w:rStyle w:val="Hyperlink"/>
            <w:noProof/>
          </w:rPr>
          <w:t>Table 26 Summary of Non-algal particulate matter (NAP as a measure of TSS) exceedance for the dry and wet season for the Burdekin region. Column and row labels are described in the legend Table 25. Mean and median are presented in red and bold if they exceed the trigger value in the Guidelines. The seasonally adjusted Guideline values for TSS for the dry/wet season means are 12/18 mg L</w:t>
        </w:r>
        <w:r w:rsidR="00B11F3B" w:rsidRPr="00BD1C0E">
          <w:rPr>
            <w:rStyle w:val="Hyperlink"/>
            <w:noProof/>
            <w:vertAlign w:val="superscript"/>
          </w:rPr>
          <w:t>-1</w:t>
        </w:r>
        <w:r w:rsidR="00B11F3B" w:rsidRPr="00BD1C0E">
          <w:rPr>
            <w:rStyle w:val="Hyperlink"/>
            <w:noProof/>
          </w:rPr>
          <w:t xml:space="preserve"> for Enclosed Coastal, 1.6/2.4 mg L</w:t>
        </w:r>
        <w:r w:rsidR="00B11F3B" w:rsidRPr="00BD1C0E">
          <w:rPr>
            <w:rStyle w:val="Hyperlink"/>
            <w:noProof/>
            <w:vertAlign w:val="superscript"/>
          </w:rPr>
          <w:t>-1</w:t>
        </w:r>
        <w:r w:rsidR="00B11F3B" w:rsidRPr="00BD1C0E">
          <w:rPr>
            <w:rStyle w:val="Hyperlink"/>
            <w:noProof/>
          </w:rPr>
          <w:t xml:space="preserve"> for Open Coastal and Midshelf and 0.6/0.8 mg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_Toc399264955 \h </w:instrText>
        </w:r>
        <w:r w:rsidR="00B11F3B">
          <w:rPr>
            <w:noProof/>
            <w:webHidden/>
          </w:rPr>
        </w:r>
        <w:r w:rsidR="00B11F3B">
          <w:rPr>
            <w:noProof/>
            <w:webHidden/>
          </w:rPr>
          <w:fldChar w:fldCharType="separate"/>
        </w:r>
        <w:r w:rsidR="00B11F3B">
          <w:rPr>
            <w:noProof/>
            <w:webHidden/>
          </w:rPr>
          <w:t>107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6" w:history="1">
        <w:r w:rsidR="00B11F3B" w:rsidRPr="00BD1C0E">
          <w:rPr>
            <w:rStyle w:val="Hyperlink"/>
            <w:noProof/>
          </w:rPr>
          <w:t>Table 27 Summary of the annual exceedance maps for Chlorophyll-a and Total Suspended Solids for the Mackay-Whitsunday region. "Surface Area" is the surface area in square kilometres for each of the three reporting water bodies for this region: (EC: Enclosed Coastal, OC: Open Coastal, IS: Inshore, MS: Midshelf, OS: Offshore), ,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B11F3B">
          <w:rPr>
            <w:noProof/>
            <w:webHidden/>
          </w:rPr>
          <w:tab/>
        </w:r>
        <w:r w:rsidR="00B11F3B">
          <w:rPr>
            <w:noProof/>
            <w:webHidden/>
          </w:rPr>
          <w:fldChar w:fldCharType="begin"/>
        </w:r>
        <w:r w:rsidR="00B11F3B">
          <w:rPr>
            <w:noProof/>
            <w:webHidden/>
          </w:rPr>
          <w:instrText xml:space="preserve"> PAGEREF _Toc399264956 \h </w:instrText>
        </w:r>
        <w:r w:rsidR="00B11F3B">
          <w:rPr>
            <w:noProof/>
            <w:webHidden/>
          </w:rPr>
        </w:r>
        <w:r w:rsidR="00B11F3B">
          <w:rPr>
            <w:noProof/>
            <w:webHidden/>
          </w:rPr>
          <w:fldChar w:fldCharType="separate"/>
        </w:r>
        <w:r w:rsidR="00B11F3B">
          <w:rPr>
            <w:noProof/>
            <w:webHidden/>
          </w:rPr>
          <w:t>120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7" w:history="1">
        <w:r w:rsidR="00B11F3B" w:rsidRPr="00BD1C0E">
          <w:rPr>
            <w:rStyle w:val="Hyperlink"/>
            <w:noProof/>
          </w:rPr>
          <w:t>Table 28. Summary of the exceedance maps for Chlorophyll-a for the dry and wet season for the Mackay Whitsunday region (Figure 67, Figure 68). Column and row labels are described in the legend of Table 27.</w:t>
        </w:r>
        <w:r w:rsidR="00B11F3B">
          <w:rPr>
            <w:noProof/>
            <w:webHidden/>
          </w:rPr>
          <w:tab/>
        </w:r>
        <w:r w:rsidR="00B11F3B">
          <w:rPr>
            <w:noProof/>
            <w:webHidden/>
          </w:rPr>
          <w:fldChar w:fldCharType="begin"/>
        </w:r>
        <w:r w:rsidR="00B11F3B">
          <w:rPr>
            <w:noProof/>
            <w:webHidden/>
          </w:rPr>
          <w:instrText xml:space="preserve"> PAGEREF _Toc399264957 \h </w:instrText>
        </w:r>
        <w:r w:rsidR="00B11F3B">
          <w:rPr>
            <w:noProof/>
            <w:webHidden/>
          </w:rPr>
        </w:r>
        <w:r w:rsidR="00B11F3B">
          <w:rPr>
            <w:noProof/>
            <w:webHidden/>
          </w:rPr>
          <w:fldChar w:fldCharType="separate"/>
        </w:r>
        <w:r w:rsidR="00B11F3B">
          <w:rPr>
            <w:noProof/>
            <w:webHidden/>
          </w:rPr>
          <w:t>120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8" w:history="1">
        <w:r w:rsidR="00B11F3B" w:rsidRPr="00BD1C0E">
          <w:rPr>
            <w:rStyle w:val="Hyperlink"/>
            <w:noProof/>
          </w:rPr>
          <w:t>Table 29. Summary of the exceedance maps for Non-algal particulate matter (NAP as a measure of TSS)  for the dry and wet season for the Mackay Whitsunday region (Figure 69, Figure 70). Column and row labels are described in the legend of Table 27.</w:t>
        </w:r>
        <w:r w:rsidR="00B11F3B">
          <w:rPr>
            <w:noProof/>
            <w:webHidden/>
          </w:rPr>
          <w:tab/>
        </w:r>
        <w:r w:rsidR="00B11F3B">
          <w:rPr>
            <w:noProof/>
            <w:webHidden/>
          </w:rPr>
          <w:fldChar w:fldCharType="begin"/>
        </w:r>
        <w:r w:rsidR="00B11F3B">
          <w:rPr>
            <w:noProof/>
            <w:webHidden/>
          </w:rPr>
          <w:instrText xml:space="preserve"> PAGEREF _Toc399264958 \h </w:instrText>
        </w:r>
        <w:r w:rsidR="00B11F3B">
          <w:rPr>
            <w:noProof/>
            <w:webHidden/>
          </w:rPr>
        </w:r>
        <w:r w:rsidR="00B11F3B">
          <w:rPr>
            <w:noProof/>
            <w:webHidden/>
          </w:rPr>
          <w:fldChar w:fldCharType="separate"/>
        </w:r>
        <w:r w:rsidR="00B11F3B">
          <w:rPr>
            <w:noProof/>
            <w:webHidden/>
          </w:rPr>
          <w:t>121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59" w:history="1">
        <w:r w:rsidR="00B11F3B" w:rsidRPr="00BD1C0E">
          <w:rPr>
            <w:rStyle w:val="Hyperlink"/>
            <w:noProof/>
          </w:rPr>
          <w:t>Table 30. Summary of Chlorophyll-a exceedance for the dry and wet season for the Mackay Whitsunday region. “Number valid obs." is the number of pixels with valid observations (i.e. cloud-free and error-free pixels) for each of the three reporting water bodies for this region: (EC: Enclosed Coastal, OC: Open Coastal,  MS: Midshelf, OS: Offshore), , "Number total obs." provides the total number of observations. Mean and median are presented in red and bold if they exceed the trigger value in the Guidelines. The seasonally adjusted Guideline values for Chlorophyll-a for the dry/wet season are 1.4/2.8 µg L</w:t>
        </w:r>
        <w:r w:rsidR="00B11F3B" w:rsidRPr="00BD1C0E">
          <w:rPr>
            <w:rStyle w:val="Hyperlink"/>
            <w:noProof/>
            <w:vertAlign w:val="superscript"/>
          </w:rPr>
          <w:t>-1</w:t>
        </w:r>
        <w:r w:rsidR="00B11F3B" w:rsidRPr="00BD1C0E">
          <w:rPr>
            <w:rStyle w:val="Hyperlink"/>
            <w:noProof/>
          </w:rPr>
          <w:t xml:space="preserve"> for Enclosed Coastal, 0.32/0.63 µg L</w:t>
        </w:r>
        <w:r w:rsidR="00B11F3B" w:rsidRPr="00BD1C0E">
          <w:rPr>
            <w:rStyle w:val="Hyperlink"/>
            <w:noProof/>
            <w:vertAlign w:val="superscript"/>
          </w:rPr>
          <w:t>-1</w:t>
        </w:r>
        <w:r w:rsidR="00B11F3B" w:rsidRPr="00BD1C0E">
          <w:rPr>
            <w:rStyle w:val="Hyperlink"/>
            <w:noProof/>
          </w:rPr>
          <w:t xml:space="preserve"> for Open Coastal and Midshelf and 0.28/0.56 µg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_Toc399264959 \h </w:instrText>
        </w:r>
        <w:r w:rsidR="00B11F3B">
          <w:rPr>
            <w:noProof/>
            <w:webHidden/>
          </w:rPr>
        </w:r>
        <w:r w:rsidR="00B11F3B">
          <w:rPr>
            <w:noProof/>
            <w:webHidden/>
          </w:rPr>
          <w:fldChar w:fldCharType="separate"/>
        </w:r>
        <w:r w:rsidR="00B11F3B">
          <w:rPr>
            <w:noProof/>
            <w:webHidden/>
          </w:rPr>
          <w:t>122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0" w:history="1">
        <w:r w:rsidR="00B11F3B" w:rsidRPr="00BD1C0E">
          <w:rPr>
            <w:rStyle w:val="Hyperlink"/>
            <w:noProof/>
          </w:rPr>
          <w:t>Table 31. Summary of Non-algal particulate matter (NAP as a measure of TSS) exceedance for the dry and wet season for the Mackay Whitsunday region. Column and row labels are described in the legend Table 23. Mean and median are presented in red and bold if they exceed the trigger value in the Guidelines. The seasonally adjusted Guideline values for TSS for the dry/wet season means are 4/6 mg L</w:t>
        </w:r>
        <w:r w:rsidR="00B11F3B" w:rsidRPr="00BD1C0E">
          <w:rPr>
            <w:rStyle w:val="Hyperlink"/>
            <w:noProof/>
            <w:vertAlign w:val="superscript"/>
          </w:rPr>
          <w:t>-1</w:t>
        </w:r>
        <w:r w:rsidR="00B11F3B" w:rsidRPr="00BD1C0E">
          <w:rPr>
            <w:rStyle w:val="Hyperlink"/>
            <w:noProof/>
          </w:rPr>
          <w:t xml:space="preserve"> for Enclosed Coastal, 1.6/2.4 mg L</w:t>
        </w:r>
        <w:r w:rsidR="00B11F3B" w:rsidRPr="00BD1C0E">
          <w:rPr>
            <w:rStyle w:val="Hyperlink"/>
            <w:noProof/>
            <w:vertAlign w:val="superscript"/>
          </w:rPr>
          <w:t>-1</w:t>
        </w:r>
        <w:r w:rsidR="00B11F3B" w:rsidRPr="00BD1C0E">
          <w:rPr>
            <w:rStyle w:val="Hyperlink"/>
            <w:noProof/>
          </w:rPr>
          <w:t xml:space="preserve"> for Open Coastal and Midshelf and 0.6/0.8 mg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_Toc399264960 \h </w:instrText>
        </w:r>
        <w:r w:rsidR="00B11F3B">
          <w:rPr>
            <w:noProof/>
            <w:webHidden/>
          </w:rPr>
        </w:r>
        <w:r w:rsidR="00B11F3B">
          <w:rPr>
            <w:noProof/>
            <w:webHidden/>
          </w:rPr>
          <w:fldChar w:fldCharType="separate"/>
        </w:r>
        <w:r w:rsidR="00B11F3B">
          <w:rPr>
            <w:noProof/>
            <w:webHidden/>
          </w:rPr>
          <w:t>122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1" w:history="1">
        <w:r w:rsidR="00B11F3B" w:rsidRPr="00BD1C0E">
          <w:rPr>
            <w:rStyle w:val="Hyperlink"/>
            <w:noProof/>
          </w:rPr>
          <w:t>Table 32 Summary of the annual exceedance maps for Chlorophyll-a and Total Suspended Solids for the Fitzroy region. "Surface Area" is the surface area in square kilometres for each of the three reporting water bodies for this region: (EC: Enclosed Coastal, OC: Open Coastal, IS: Inshore, MS: Midshelf, OS: Offshore), ,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B11F3B">
          <w:rPr>
            <w:noProof/>
            <w:webHidden/>
          </w:rPr>
          <w:tab/>
        </w:r>
        <w:r w:rsidR="00B11F3B">
          <w:rPr>
            <w:noProof/>
            <w:webHidden/>
          </w:rPr>
          <w:fldChar w:fldCharType="begin"/>
        </w:r>
        <w:r w:rsidR="00B11F3B">
          <w:rPr>
            <w:noProof/>
            <w:webHidden/>
          </w:rPr>
          <w:instrText xml:space="preserve"> PAGEREF _Toc399264961 \h </w:instrText>
        </w:r>
        <w:r w:rsidR="00B11F3B">
          <w:rPr>
            <w:noProof/>
            <w:webHidden/>
          </w:rPr>
        </w:r>
        <w:r w:rsidR="00B11F3B">
          <w:rPr>
            <w:noProof/>
            <w:webHidden/>
          </w:rPr>
          <w:fldChar w:fldCharType="separate"/>
        </w:r>
        <w:r w:rsidR="00B11F3B">
          <w:rPr>
            <w:noProof/>
            <w:webHidden/>
          </w:rPr>
          <w:t>135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2" w:history="1">
        <w:r w:rsidR="00B11F3B" w:rsidRPr="00BD1C0E">
          <w:rPr>
            <w:rStyle w:val="Hyperlink"/>
            <w:noProof/>
          </w:rPr>
          <w:t>Table 33 Summary of the exceedance maps for Chlorophyll-a for the dry and wet season for the Fitzroy region (Figure 78, Figure 79). Column and row labels are described in the legend of Table 32.</w:t>
        </w:r>
        <w:r w:rsidR="00B11F3B">
          <w:rPr>
            <w:noProof/>
            <w:webHidden/>
          </w:rPr>
          <w:tab/>
        </w:r>
        <w:r w:rsidR="00B11F3B">
          <w:rPr>
            <w:noProof/>
            <w:webHidden/>
          </w:rPr>
          <w:fldChar w:fldCharType="begin"/>
        </w:r>
        <w:r w:rsidR="00B11F3B">
          <w:rPr>
            <w:noProof/>
            <w:webHidden/>
          </w:rPr>
          <w:instrText xml:space="preserve"> PAGEREF _Toc399264962 \h </w:instrText>
        </w:r>
        <w:r w:rsidR="00B11F3B">
          <w:rPr>
            <w:noProof/>
            <w:webHidden/>
          </w:rPr>
        </w:r>
        <w:r w:rsidR="00B11F3B">
          <w:rPr>
            <w:noProof/>
            <w:webHidden/>
          </w:rPr>
          <w:fldChar w:fldCharType="separate"/>
        </w:r>
        <w:r w:rsidR="00B11F3B">
          <w:rPr>
            <w:noProof/>
            <w:webHidden/>
          </w:rPr>
          <w:t>135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3" w:history="1">
        <w:r w:rsidR="00B11F3B" w:rsidRPr="00BD1C0E">
          <w:rPr>
            <w:rStyle w:val="Hyperlink"/>
            <w:noProof/>
          </w:rPr>
          <w:t>Table 34 Summary of the exceedance maps for Non-algal particulate matter (NAP as a measure of TSS)  for the dry and wet season for the Fitzroy region (, Figure 80, Figure 81). ). Column and row labels are described in the legend of Table 32.</w:t>
        </w:r>
        <w:r w:rsidR="00B11F3B">
          <w:rPr>
            <w:noProof/>
            <w:webHidden/>
          </w:rPr>
          <w:tab/>
        </w:r>
        <w:r w:rsidR="00B11F3B">
          <w:rPr>
            <w:noProof/>
            <w:webHidden/>
          </w:rPr>
          <w:fldChar w:fldCharType="begin"/>
        </w:r>
        <w:r w:rsidR="00B11F3B">
          <w:rPr>
            <w:noProof/>
            <w:webHidden/>
          </w:rPr>
          <w:instrText xml:space="preserve"> PAGEREF _Toc399264963 \h </w:instrText>
        </w:r>
        <w:r w:rsidR="00B11F3B">
          <w:rPr>
            <w:noProof/>
            <w:webHidden/>
          </w:rPr>
        </w:r>
        <w:r w:rsidR="00B11F3B">
          <w:rPr>
            <w:noProof/>
            <w:webHidden/>
          </w:rPr>
          <w:fldChar w:fldCharType="separate"/>
        </w:r>
        <w:r w:rsidR="00B11F3B">
          <w:rPr>
            <w:noProof/>
            <w:webHidden/>
          </w:rPr>
          <w:t>136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4" w:history="1">
        <w:r w:rsidR="00B11F3B" w:rsidRPr="00BD1C0E">
          <w:rPr>
            <w:rStyle w:val="Hyperlink"/>
            <w:noProof/>
          </w:rPr>
          <w:t>Table 35. Summary of Chlorophyll-a exceedance for the dry and wet season for the Fitzroy region. “Number valid obs." is the number of pixels with valid observations (i.e. cloud-free and error-free pixels) for each of the three reporting water bodies for this region: (EC: Enclosed Coastal, OC: Open Coastal, MS: Midshelf, OS: Offshore), , "Number total obs." provides the total number of observations. Mean and median are presented in red and bold if they exceed the trigger value in the Guidelines. The seasonally adjusted Guideline values for Chlorophyll-a for the dry/wet season are 1.4/2.8 µg L</w:t>
        </w:r>
        <w:r w:rsidR="00B11F3B" w:rsidRPr="00BD1C0E">
          <w:rPr>
            <w:rStyle w:val="Hyperlink"/>
            <w:noProof/>
            <w:vertAlign w:val="superscript"/>
          </w:rPr>
          <w:t>-1</w:t>
        </w:r>
        <w:r w:rsidR="00B11F3B" w:rsidRPr="00BD1C0E">
          <w:rPr>
            <w:rStyle w:val="Hyperlink"/>
            <w:noProof/>
          </w:rPr>
          <w:t xml:space="preserve"> for Enclosed Coastal, 0.32/0.63 µg L</w:t>
        </w:r>
        <w:r w:rsidR="00B11F3B" w:rsidRPr="00BD1C0E">
          <w:rPr>
            <w:rStyle w:val="Hyperlink"/>
            <w:noProof/>
            <w:vertAlign w:val="superscript"/>
          </w:rPr>
          <w:t>-1</w:t>
        </w:r>
        <w:r w:rsidR="00B11F3B" w:rsidRPr="00BD1C0E">
          <w:rPr>
            <w:rStyle w:val="Hyperlink"/>
            <w:noProof/>
          </w:rPr>
          <w:t xml:space="preserve"> for Open Coastal and Midshelf and 0.28/0.56 µg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_Toc399264964 \h </w:instrText>
        </w:r>
        <w:r w:rsidR="00B11F3B">
          <w:rPr>
            <w:noProof/>
            <w:webHidden/>
          </w:rPr>
        </w:r>
        <w:r w:rsidR="00B11F3B">
          <w:rPr>
            <w:noProof/>
            <w:webHidden/>
          </w:rPr>
          <w:fldChar w:fldCharType="separate"/>
        </w:r>
        <w:r w:rsidR="00B11F3B">
          <w:rPr>
            <w:noProof/>
            <w:webHidden/>
          </w:rPr>
          <w:t>137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5" w:history="1">
        <w:r w:rsidR="00B11F3B" w:rsidRPr="00BD1C0E">
          <w:rPr>
            <w:rStyle w:val="Hyperlink"/>
            <w:noProof/>
          </w:rPr>
          <w:t>Table 36 Summary of Non-algal particulate matter (NAP as a measure of TSS) exceedance for the dry and wet season for the Fitzroy region. Column and row labels are described in the legend of Table 35. Mean and median are presented in red and bold if they exceed the trigger value in the Guidelines. The seasonally adjusted Guideline values for TSS for the dry/wet season means are 12/18 mg L</w:t>
        </w:r>
        <w:r w:rsidR="00B11F3B" w:rsidRPr="00BD1C0E">
          <w:rPr>
            <w:rStyle w:val="Hyperlink"/>
            <w:noProof/>
            <w:vertAlign w:val="superscript"/>
          </w:rPr>
          <w:t>-1</w:t>
        </w:r>
        <w:r w:rsidR="00B11F3B" w:rsidRPr="00BD1C0E">
          <w:rPr>
            <w:rStyle w:val="Hyperlink"/>
            <w:noProof/>
          </w:rPr>
          <w:t xml:space="preserve"> for Enclosed Coastal, 1.6/2.4 mg L</w:t>
        </w:r>
        <w:r w:rsidR="00B11F3B" w:rsidRPr="00BD1C0E">
          <w:rPr>
            <w:rStyle w:val="Hyperlink"/>
            <w:noProof/>
            <w:vertAlign w:val="superscript"/>
          </w:rPr>
          <w:t>-1</w:t>
        </w:r>
        <w:r w:rsidR="00B11F3B" w:rsidRPr="00BD1C0E">
          <w:rPr>
            <w:rStyle w:val="Hyperlink"/>
            <w:noProof/>
          </w:rPr>
          <w:t xml:space="preserve"> for Open Coastal and Midshelf and 0.6/0.8 mg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_Toc399264965 \h </w:instrText>
        </w:r>
        <w:r w:rsidR="00B11F3B">
          <w:rPr>
            <w:noProof/>
            <w:webHidden/>
          </w:rPr>
        </w:r>
        <w:r w:rsidR="00B11F3B">
          <w:rPr>
            <w:noProof/>
            <w:webHidden/>
          </w:rPr>
          <w:fldChar w:fldCharType="separate"/>
        </w:r>
        <w:r w:rsidR="00B11F3B">
          <w:rPr>
            <w:noProof/>
            <w:webHidden/>
          </w:rPr>
          <w:t>137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6" w:history="1">
        <w:r w:rsidR="00B11F3B" w:rsidRPr="00BD1C0E">
          <w:rPr>
            <w:rStyle w:val="Hyperlink"/>
            <w:noProof/>
          </w:rPr>
          <w:t>Table 37 Summary of the annual exceedance maps for Chlorophyll-a and Total Suspended Solids for the Mary-Burnett region. "Surface Area" is the surface area in square kilometres for each of the three reporting water bodies for this region: (EC: Enclosed Coastal, OC: Open Coastal, IS: Inshore, MS: Midshelf, OS: Offshore), ,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r w:rsidR="00B11F3B">
          <w:rPr>
            <w:noProof/>
            <w:webHidden/>
          </w:rPr>
          <w:tab/>
        </w:r>
        <w:r w:rsidR="00B11F3B">
          <w:rPr>
            <w:noProof/>
            <w:webHidden/>
          </w:rPr>
          <w:fldChar w:fldCharType="begin"/>
        </w:r>
        <w:r w:rsidR="00B11F3B">
          <w:rPr>
            <w:noProof/>
            <w:webHidden/>
          </w:rPr>
          <w:instrText xml:space="preserve"> PAGEREF _Toc399264966 \h </w:instrText>
        </w:r>
        <w:r w:rsidR="00B11F3B">
          <w:rPr>
            <w:noProof/>
            <w:webHidden/>
          </w:rPr>
        </w:r>
        <w:r w:rsidR="00B11F3B">
          <w:rPr>
            <w:noProof/>
            <w:webHidden/>
          </w:rPr>
          <w:fldChar w:fldCharType="separate"/>
        </w:r>
        <w:r w:rsidR="00B11F3B">
          <w:rPr>
            <w:noProof/>
            <w:webHidden/>
          </w:rPr>
          <w:t>150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7" w:history="1">
        <w:r w:rsidR="00B11F3B" w:rsidRPr="00BD1C0E">
          <w:rPr>
            <w:rStyle w:val="Hyperlink"/>
            <w:noProof/>
          </w:rPr>
          <w:t>Table 38 Summary of the exceedance maps for Chlorophyll-a for the dry and wet season for the Burnett Mary region (Figure 89, Figure 90). Column and row labels are described in the legend of Table 37.</w:t>
        </w:r>
        <w:r w:rsidR="00B11F3B">
          <w:rPr>
            <w:noProof/>
            <w:webHidden/>
          </w:rPr>
          <w:tab/>
        </w:r>
        <w:r w:rsidR="00B11F3B">
          <w:rPr>
            <w:noProof/>
            <w:webHidden/>
          </w:rPr>
          <w:fldChar w:fldCharType="begin"/>
        </w:r>
        <w:r w:rsidR="00B11F3B">
          <w:rPr>
            <w:noProof/>
            <w:webHidden/>
          </w:rPr>
          <w:instrText xml:space="preserve"> PAGEREF _Toc399264967 \h </w:instrText>
        </w:r>
        <w:r w:rsidR="00B11F3B">
          <w:rPr>
            <w:noProof/>
            <w:webHidden/>
          </w:rPr>
        </w:r>
        <w:r w:rsidR="00B11F3B">
          <w:rPr>
            <w:noProof/>
            <w:webHidden/>
          </w:rPr>
          <w:fldChar w:fldCharType="separate"/>
        </w:r>
        <w:r w:rsidR="00B11F3B">
          <w:rPr>
            <w:noProof/>
            <w:webHidden/>
          </w:rPr>
          <w:t>150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8" w:history="1">
        <w:r w:rsidR="00B11F3B" w:rsidRPr="00BD1C0E">
          <w:rPr>
            <w:rStyle w:val="Hyperlink"/>
            <w:noProof/>
          </w:rPr>
          <w:t>Table 39 Summary of the exceedance maps for Non-algal particulate matter (NAP as a measure of TSS)  for the dry and wet season for the Burnett Mary region (Figure 91, Figure 92).  Column and row labels are described in the legend of Table 37.</w:t>
        </w:r>
        <w:r w:rsidR="00B11F3B">
          <w:rPr>
            <w:noProof/>
            <w:webHidden/>
          </w:rPr>
          <w:tab/>
        </w:r>
        <w:r w:rsidR="00B11F3B">
          <w:rPr>
            <w:noProof/>
            <w:webHidden/>
          </w:rPr>
          <w:fldChar w:fldCharType="begin"/>
        </w:r>
        <w:r w:rsidR="00B11F3B">
          <w:rPr>
            <w:noProof/>
            <w:webHidden/>
          </w:rPr>
          <w:instrText xml:space="preserve"> PAGEREF _Toc399264968 \h </w:instrText>
        </w:r>
        <w:r w:rsidR="00B11F3B">
          <w:rPr>
            <w:noProof/>
            <w:webHidden/>
          </w:rPr>
        </w:r>
        <w:r w:rsidR="00B11F3B">
          <w:rPr>
            <w:noProof/>
            <w:webHidden/>
          </w:rPr>
          <w:fldChar w:fldCharType="separate"/>
        </w:r>
        <w:r w:rsidR="00B11F3B">
          <w:rPr>
            <w:noProof/>
            <w:webHidden/>
          </w:rPr>
          <w:t>151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69" w:history="1">
        <w:r w:rsidR="00B11F3B" w:rsidRPr="00BD1C0E">
          <w:rPr>
            <w:rStyle w:val="Hyperlink"/>
            <w:noProof/>
          </w:rPr>
          <w:t>Table 40. Summary of Chlorophyll-a exceedance for the dry and wet season for the Burnett Mary region. “Number valid obs." is the number of pixels with valid observations (i.e. cloud-free and error-free pixels) for each of the three reporting water bodies for this region: (EC: Enclosed Coastal, OC: Open Coastal, MS: Midshelf, OS: Offshore), "Number total obs." provides the total number of observations. Mean and median are presented in red and bold if they exceed the trigger value in the Guidelines. The seasonally adjusted Guideline values for Chlorophyll-a for the dry/wet season are 1.4/2.8 µg L</w:t>
        </w:r>
        <w:r w:rsidR="00B11F3B" w:rsidRPr="00BD1C0E">
          <w:rPr>
            <w:rStyle w:val="Hyperlink"/>
            <w:noProof/>
            <w:vertAlign w:val="superscript"/>
          </w:rPr>
          <w:t>-1</w:t>
        </w:r>
        <w:r w:rsidR="00B11F3B" w:rsidRPr="00BD1C0E">
          <w:rPr>
            <w:rStyle w:val="Hyperlink"/>
            <w:noProof/>
          </w:rPr>
          <w:t xml:space="preserve"> for Enclosed Coastal, 0.32/0.63 µg L</w:t>
        </w:r>
        <w:r w:rsidR="00B11F3B" w:rsidRPr="00BD1C0E">
          <w:rPr>
            <w:rStyle w:val="Hyperlink"/>
            <w:noProof/>
            <w:vertAlign w:val="superscript"/>
          </w:rPr>
          <w:t>-1</w:t>
        </w:r>
        <w:r w:rsidR="00B11F3B" w:rsidRPr="00BD1C0E">
          <w:rPr>
            <w:rStyle w:val="Hyperlink"/>
            <w:noProof/>
          </w:rPr>
          <w:t xml:space="preserve"> for Open Coastal and Midshelf and 0.28/0.56 µg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_Toc399264969 \h </w:instrText>
        </w:r>
        <w:r w:rsidR="00B11F3B">
          <w:rPr>
            <w:noProof/>
            <w:webHidden/>
          </w:rPr>
        </w:r>
        <w:r w:rsidR="00B11F3B">
          <w:rPr>
            <w:noProof/>
            <w:webHidden/>
          </w:rPr>
          <w:fldChar w:fldCharType="separate"/>
        </w:r>
        <w:r w:rsidR="00B11F3B">
          <w:rPr>
            <w:noProof/>
            <w:webHidden/>
          </w:rPr>
          <w:t>152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0" w:history="1">
        <w:r w:rsidR="00B11F3B" w:rsidRPr="00BD1C0E">
          <w:rPr>
            <w:rStyle w:val="Hyperlink"/>
            <w:noProof/>
          </w:rPr>
          <w:t>Table 41 Summary of Non-algal particulate matter (NAP as a measure of TSS) exceedance for the dry and wet season for the Burnett Mary region. Column and row labels are described in the legend of Table 40. Mean and median are presented in red and bold if they exceed the trigger value in the Guidelines. The seasonally adjusted Guideline values for TSS for the dry/wet season means are 12/18 mg L</w:t>
        </w:r>
        <w:r w:rsidR="00B11F3B" w:rsidRPr="00BD1C0E">
          <w:rPr>
            <w:rStyle w:val="Hyperlink"/>
            <w:noProof/>
            <w:vertAlign w:val="superscript"/>
          </w:rPr>
          <w:t>-1</w:t>
        </w:r>
        <w:r w:rsidR="00B11F3B" w:rsidRPr="00BD1C0E">
          <w:rPr>
            <w:rStyle w:val="Hyperlink"/>
            <w:noProof/>
          </w:rPr>
          <w:t xml:space="preserve"> for Enclosed Coastal, 1.6/2.4 mg L</w:t>
        </w:r>
        <w:r w:rsidR="00B11F3B" w:rsidRPr="00BD1C0E">
          <w:rPr>
            <w:rStyle w:val="Hyperlink"/>
            <w:noProof/>
            <w:vertAlign w:val="superscript"/>
          </w:rPr>
          <w:t>-1</w:t>
        </w:r>
        <w:r w:rsidR="00B11F3B" w:rsidRPr="00BD1C0E">
          <w:rPr>
            <w:rStyle w:val="Hyperlink"/>
            <w:noProof/>
          </w:rPr>
          <w:t xml:space="preserve"> for Open Coastal and Midshelf and 0.6/0.8 mg L</w:t>
        </w:r>
        <w:r w:rsidR="00B11F3B" w:rsidRPr="00BD1C0E">
          <w:rPr>
            <w:rStyle w:val="Hyperlink"/>
            <w:noProof/>
            <w:vertAlign w:val="superscript"/>
          </w:rPr>
          <w:t>-1</w:t>
        </w:r>
        <w:r w:rsidR="00B11F3B" w:rsidRPr="00BD1C0E">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_Toc399264970 \h </w:instrText>
        </w:r>
        <w:r w:rsidR="00B11F3B">
          <w:rPr>
            <w:noProof/>
            <w:webHidden/>
          </w:rPr>
        </w:r>
        <w:r w:rsidR="00B11F3B">
          <w:rPr>
            <w:noProof/>
            <w:webHidden/>
          </w:rPr>
          <w:fldChar w:fldCharType="separate"/>
        </w:r>
        <w:r w:rsidR="00B11F3B">
          <w:rPr>
            <w:noProof/>
            <w:webHidden/>
          </w:rPr>
          <w:t>152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1" w:history="1">
        <w:r w:rsidR="00B11F3B" w:rsidRPr="00BD1C0E">
          <w:rPr>
            <w:rStyle w:val="Hyperlink"/>
            <w:noProof/>
          </w:rPr>
          <w:t>Table 42 The SIOP shape and amplitude parameters for the candidate model parameter set in the adaptive parameterization LMI_CLT4.</w:t>
        </w:r>
        <w:r w:rsidR="00B11F3B">
          <w:rPr>
            <w:noProof/>
            <w:webHidden/>
          </w:rPr>
          <w:tab/>
        </w:r>
        <w:r w:rsidR="00B11F3B">
          <w:rPr>
            <w:noProof/>
            <w:webHidden/>
          </w:rPr>
          <w:fldChar w:fldCharType="begin"/>
        </w:r>
        <w:r w:rsidR="00B11F3B">
          <w:rPr>
            <w:noProof/>
            <w:webHidden/>
          </w:rPr>
          <w:instrText xml:space="preserve"> PAGEREF _Toc399264971 \h </w:instrText>
        </w:r>
        <w:r w:rsidR="00B11F3B">
          <w:rPr>
            <w:noProof/>
            <w:webHidden/>
          </w:rPr>
        </w:r>
        <w:r w:rsidR="00B11F3B">
          <w:rPr>
            <w:noProof/>
            <w:webHidden/>
          </w:rPr>
          <w:fldChar w:fldCharType="separate"/>
        </w:r>
        <w:r w:rsidR="00B11F3B">
          <w:rPr>
            <w:noProof/>
            <w:webHidden/>
          </w:rPr>
          <w:t>178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2" w:history="1">
        <w:r w:rsidR="00B11F3B" w:rsidRPr="00BD1C0E">
          <w:rPr>
            <w:rStyle w:val="Hyperlink"/>
            <w:noProof/>
          </w:rPr>
          <w:t>Table 43 Validation statistics for the measurements collected with 3 hours of the overpass. RMSE is the root mean square error, MAPE the mean absolute percentage error.</w:t>
        </w:r>
        <w:r w:rsidR="00B11F3B">
          <w:rPr>
            <w:noProof/>
            <w:webHidden/>
          </w:rPr>
          <w:tab/>
        </w:r>
        <w:r w:rsidR="00B11F3B">
          <w:rPr>
            <w:noProof/>
            <w:webHidden/>
          </w:rPr>
          <w:fldChar w:fldCharType="begin"/>
        </w:r>
        <w:r w:rsidR="00B11F3B">
          <w:rPr>
            <w:noProof/>
            <w:webHidden/>
          </w:rPr>
          <w:instrText xml:space="preserve"> PAGEREF _Toc399264972 \h </w:instrText>
        </w:r>
        <w:r w:rsidR="00B11F3B">
          <w:rPr>
            <w:noProof/>
            <w:webHidden/>
          </w:rPr>
        </w:r>
        <w:r w:rsidR="00B11F3B">
          <w:rPr>
            <w:noProof/>
            <w:webHidden/>
          </w:rPr>
          <w:fldChar w:fldCharType="separate"/>
        </w:r>
        <w:r w:rsidR="00B11F3B">
          <w:rPr>
            <w:noProof/>
            <w:webHidden/>
          </w:rPr>
          <w:t>181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3" w:history="1">
        <w:r w:rsidR="00B11F3B" w:rsidRPr="00BD1C0E">
          <w:rPr>
            <w:rStyle w:val="Hyperlink"/>
            <w:noProof/>
          </w:rPr>
          <w:t>Table 44 Validation statistics for the measurements collected with 3 hours of the overpass. RMSE is the root mean square error, MAPE the mean absolute percentage error. Statistics excluding the data points collected by ACTFR during flood monitoring projects are reported.</w:t>
        </w:r>
        <w:r w:rsidR="00B11F3B">
          <w:rPr>
            <w:noProof/>
            <w:webHidden/>
          </w:rPr>
          <w:tab/>
        </w:r>
        <w:r w:rsidR="00B11F3B">
          <w:rPr>
            <w:noProof/>
            <w:webHidden/>
          </w:rPr>
          <w:fldChar w:fldCharType="begin"/>
        </w:r>
        <w:r w:rsidR="00B11F3B">
          <w:rPr>
            <w:noProof/>
            <w:webHidden/>
          </w:rPr>
          <w:instrText xml:space="preserve"> PAGEREF _Toc399264973 \h </w:instrText>
        </w:r>
        <w:r w:rsidR="00B11F3B">
          <w:rPr>
            <w:noProof/>
            <w:webHidden/>
          </w:rPr>
        </w:r>
        <w:r w:rsidR="00B11F3B">
          <w:rPr>
            <w:noProof/>
            <w:webHidden/>
          </w:rPr>
          <w:fldChar w:fldCharType="separate"/>
        </w:r>
        <w:r w:rsidR="00B11F3B">
          <w:rPr>
            <w:noProof/>
            <w:webHidden/>
          </w:rPr>
          <w:t>181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4" w:history="1">
        <w:r w:rsidR="00B11F3B" w:rsidRPr="00BD1C0E">
          <w:rPr>
            <w:rStyle w:val="Hyperlink"/>
            <w:noProof/>
          </w:rPr>
          <w:t>Table 45 Validation statistics for the measurements collected with 3 hours of the overpass for the superseded parametrization LMI_CLU4. RMSE is the root mean square error, MAPE the mean absolute percentage error.</w:t>
        </w:r>
        <w:r w:rsidR="00B11F3B">
          <w:rPr>
            <w:noProof/>
            <w:webHidden/>
          </w:rPr>
          <w:tab/>
        </w:r>
        <w:r w:rsidR="00B11F3B">
          <w:rPr>
            <w:noProof/>
            <w:webHidden/>
          </w:rPr>
          <w:fldChar w:fldCharType="begin"/>
        </w:r>
        <w:r w:rsidR="00B11F3B">
          <w:rPr>
            <w:noProof/>
            <w:webHidden/>
          </w:rPr>
          <w:instrText xml:space="preserve"> PAGEREF _Toc399264974 \h </w:instrText>
        </w:r>
        <w:r w:rsidR="00B11F3B">
          <w:rPr>
            <w:noProof/>
            <w:webHidden/>
          </w:rPr>
        </w:r>
        <w:r w:rsidR="00B11F3B">
          <w:rPr>
            <w:noProof/>
            <w:webHidden/>
          </w:rPr>
          <w:fldChar w:fldCharType="separate"/>
        </w:r>
        <w:r w:rsidR="00B11F3B">
          <w:rPr>
            <w:noProof/>
            <w:webHidden/>
          </w:rPr>
          <w:t>183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5" w:history="1">
        <w:r w:rsidR="00B11F3B" w:rsidRPr="00BD1C0E">
          <w:rPr>
            <w:rStyle w:val="Hyperlink"/>
            <w:noProof/>
          </w:rPr>
          <w:t>Table 46 Validation statistics for the measurements collected with 3 hours of the overpass for the superseded parametrization LMI_CLU4. RMSE is the root mean square error, MAPE the mean absolute percentage error. Statistics excluding the data points collected by ACTFR during flood monitoring projects are reported</w:t>
        </w:r>
        <w:r w:rsidR="00B11F3B">
          <w:rPr>
            <w:noProof/>
            <w:webHidden/>
          </w:rPr>
          <w:tab/>
        </w:r>
        <w:r w:rsidR="00B11F3B">
          <w:rPr>
            <w:noProof/>
            <w:webHidden/>
          </w:rPr>
          <w:fldChar w:fldCharType="begin"/>
        </w:r>
        <w:r w:rsidR="00B11F3B">
          <w:rPr>
            <w:noProof/>
            <w:webHidden/>
          </w:rPr>
          <w:instrText xml:space="preserve"> PAGEREF _Toc399264975 \h </w:instrText>
        </w:r>
        <w:r w:rsidR="00B11F3B">
          <w:rPr>
            <w:noProof/>
            <w:webHidden/>
          </w:rPr>
        </w:r>
        <w:r w:rsidR="00B11F3B">
          <w:rPr>
            <w:noProof/>
            <w:webHidden/>
          </w:rPr>
          <w:fldChar w:fldCharType="separate"/>
        </w:r>
        <w:r w:rsidR="00B11F3B">
          <w:rPr>
            <w:noProof/>
            <w:webHidden/>
          </w:rPr>
          <w:t>183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6" w:history="1">
        <w:r w:rsidR="00B11F3B" w:rsidRPr="00BD1C0E">
          <w:rPr>
            <w:rStyle w:val="Hyperlink"/>
            <w:noProof/>
          </w:rPr>
          <w:t>Table 47. Summary of the exceedance of mean annual Chlorophyll-a and non-algal particulate matter (as a measure of Total Suspended Solids) for the 2002/03 reporting period (1 May 2002 – 30 April 2003)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_Toc399264976 \h </w:instrText>
        </w:r>
        <w:r w:rsidR="00B11F3B">
          <w:rPr>
            <w:noProof/>
            <w:webHidden/>
          </w:rPr>
        </w:r>
        <w:r w:rsidR="00B11F3B">
          <w:rPr>
            <w:noProof/>
            <w:webHidden/>
          </w:rPr>
          <w:fldChar w:fldCharType="separate"/>
        </w:r>
        <w:r w:rsidR="00B11F3B">
          <w:rPr>
            <w:noProof/>
            <w:webHidden/>
          </w:rPr>
          <w:t>187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7" w:history="1">
        <w:r w:rsidR="00B11F3B" w:rsidRPr="00BD1C0E">
          <w:rPr>
            <w:rStyle w:val="Hyperlink"/>
            <w:noProof/>
          </w:rPr>
          <w:t>Table 48. Summary of the exceedance of mean annual Chlorophyll-a and non-algal particulate matter (as a measure of Total Suspended Solids) for the 2003/04 reporting period (1 May 2003 – 30 April 2004)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_Toc399264977 \h </w:instrText>
        </w:r>
        <w:r w:rsidR="00B11F3B">
          <w:rPr>
            <w:noProof/>
            <w:webHidden/>
          </w:rPr>
        </w:r>
        <w:r w:rsidR="00B11F3B">
          <w:rPr>
            <w:noProof/>
            <w:webHidden/>
          </w:rPr>
          <w:fldChar w:fldCharType="separate"/>
        </w:r>
        <w:r w:rsidR="00B11F3B">
          <w:rPr>
            <w:noProof/>
            <w:webHidden/>
          </w:rPr>
          <w:t>188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8" w:history="1">
        <w:r w:rsidR="00B11F3B" w:rsidRPr="00BD1C0E">
          <w:rPr>
            <w:rStyle w:val="Hyperlink"/>
            <w:noProof/>
          </w:rPr>
          <w:t>Table 49. Summary of the exceedance of mean annual Chlorophyll-a and non-algal particulate matter (as a measure of Total Suspended Solids) for the 2004/05 reporting period (1 May 2004 – 30 April 2005)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_Toc399264978 \h </w:instrText>
        </w:r>
        <w:r w:rsidR="00B11F3B">
          <w:rPr>
            <w:noProof/>
            <w:webHidden/>
          </w:rPr>
        </w:r>
        <w:r w:rsidR="00B11F3B">
          <w:rPr>
            <w:noProof/>
            <w:webHidden/>
          </w:rPr>
          <w:fldChar w:fldCharType="separate"/>
        </w:r>
        <w:r w:rsidR="00B11F3B">
          <w:rPr>
            <w:noProof/>
            <w:webHidden/>
          </w:rPr>
          <w:t>188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79" w:history="1">
        <w:r w:rsidR="00B11F3B" w:rsidRPr="00BD1C0E">
          <w:rPr>
            <w:rStyle w:val="Hyperlink"/>
            <w:noProof/>
          </w:rPr>
          <w:t>Table 50. Summary of the exceedance of mean annual Chlorophyll-a and non-algal particulate matter (as a measure of Total Suspended Solids) for the 2005/16 reporting period (1 May 2005 – 30 April 2006) for the Enclosed Coastal, Open Coastal, Inshore, Mid-shelf and Offshore water bodies (EC, OC, IS, MS, OS).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_Toc399264979 \h </w:instrText>
        </w:r>
        <w:r w:rsidR="00B11F3B">
          <w:rPr>
            <w:noProof/>
            <w:webHidden/>
          </w:rPr>
        </w:r>
        <w:r w:rsidR="00B11F3B">
          <w:rPr>
            <w:noProof/>
            <w:webHidden/>
          </w:rPr>
          <w:fldChar w:fldCharType="separate"/>
        </w:r>
        <w:r w:rsidR="00B11F3B">
          <w:rPr>
            <w:noProof/>
            <w:webHidden/>
          </w:rPr>
          <w:t>189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0" w:history="1">
        <w:r w:rsidR="00B11F3B" w:rsidRPr="00BD1C0E">
          <w:rPr>
            <w:rStyle w:val="Hyperlink"/>
            <w:noProof/>
          </w:rPr>
          <w:t>Table 51. Summary of the exceedance of mean annual Chlorophyll-a and non-algal particulate matter (as a measure of Total Suspended Solids) for the 2006/07 reporting period (1 May 2006 – 30 April 2007)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_Toc399264980 \h </w:instrText>
        </w:r>
        <w:r w:rsidR="00B11F3B">
          <w:rPr>
            <w:noProof/>
            <w:webHidden/>
          </w:rPr>
        </w:r>
        <w:r w:rsidR="00B11F3B">
          <w:rPr>
            <w:noProof/>
            <w:webHidden/>
          </w:rPr>
          <w:fldChar w:fldCharType="separate"/>
        </w:r>
        <w:r w:rsidR="00B11F3B">
          <w:rPr>
            <w:noProof/>
            <w:webHidden/>
          </w:rPr>
          <w:t>189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1" w:history="1">
        <w:r w:rsidR="00B11F3B" w:rsidRPr="00BD1C0E">
          <w:rPr>
            <w:rStyle w:val="Hyperlink"/>
            <w:noProof/>
          </w:rPr>
          <w:t xml:space="preserve">Table 52. Summary of the exceedance of mean annual Chlorophyll-a and non-algal particulate matter (as a measure of Total Suspended Solids) for the 2007/08 reporting period (1 May 2007 – 30 April 2008) for the Enclosed Coastal, Open Coastal, Inshore, Mid-shelf and Offshore water bodies (EC, OC, IS, MS, OS). Cells </w:t>
        </w:r>
        <w:r w:rsidR="00B11F3B" w:rsidRPr="00BD1C0E">
          <w:rPr>
            <w:rStyle w:val="Hyperlink"/>
            <w:noProof/>
          </w:rPr>
          <w:lastRenderedPageBreak/>
          <w:t>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_Toc399264981 \h </w:instrText>
        </w:r>
        <w:r w:rsidR="00B11F3B">
          <w:rPr>
            <w:noProof/>
            <w:webHidden/>
          </w:rPr>
        </w:r>
        <w:r w:rsidR="00B11F3B">
          <w:rPr>
            <w:noProof/>
            <w:webHidden/>
          </w:rPr>
          <w:fldChar w:fldCharType="separate"/>
        </w:r>
        <w:r w:rsidR="00B11F3B">
          <w:rPr>
            <w:noProof/>
            <w:webHidden/>
          </w:rPr>
          <w:t>190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2" w:history="1">
        <w:r w:rsidR="00B11F3B" w:rsidRPr="00BD1C0E">
          <w:rPr>
            <w:rStyle w:val="Hyperlink"/>
            <w:noProof/>
          </w:rPr>
          <w:t>Table 53. Summary of the exceedance of mean annual Chlorophyll-a and non-algal particulate matter (as a measure of Total Suspended Solids) for the 2008/09 reporting period (1 May 2008 – 30 April 2009) for the Enclosed Coastal, Open Coastal, Inshore, Mid-shelf and Offshore water bodies (EC, OC, IS, MS, OS).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_Toc399264982 \h </w:instrText>
        </w:r>
        <w:r w:rsidR="00B11F3B">
          <w:rPr>
            <w:noProof/>
            <w:webHidden/>
          </w:rPr>
        </w:r>
        <w:r w:rsidR="00B11F3B">
          <w:rPr>
            <w:noProof/>
            <w:webHidden/>
          </w:rPr>
          <w:fldChar w:fldCharType="separate"/>
        </w:r>
        <w:r w:rsidR="00B11F3B">
          <w:rPr>
            <w:noProof/>
            <w:webHidden/>
          </w:rPr>
          <w:t>190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3" w:history="1">
        <w:r w:rsidR="00B11F3B" w:rsidRPr="00BD1C0E">
          <w:rPr>
            <w:rStyle w:val="Hyperlink"/>
            <w:noProof/>
          </w:rPr>
          <w:t>Table 54. Summary of the exceedance of mean annual Chlorophyll-a and non-algal particulate matter (as a measure of Total Suspended Solids) for the 2009/10 reporting period (1 May 2009 – 30 April 2010)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_Toc399264983 \h </w:instrText>
        </w:r>
        <w:r w:rsidR="00B11F3B">
          <w:rPr>
            <w:noProof/>
            <w:webHidden/>
          </w:rPr>
        </w:r>
        <w:r w:rsidR="00B11F3B">
          <w:rPr>
            <w:noProof/>
            <w:webHidden/>
          </w:rPr>
          <w:fldChar w:fldCharType="separate"/>
        </w:r>
        <w:r w:rsidR="00B11F3B">
          <w:rPr>
            <w:noProof/>
            <w:webHidden/>
          </w:rPr>
          <w:t>191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4" w:history="1">
        <w:r w:rsidR="00B11F3B" w:rsidRPr="00BD1C0E">
          <w:rPr>
            <w:rStyle w:val="Hyperlink"/>
            <w:noProof/>
          </w:rPr>
          <w:t>Table 55. Summary of the exceedance of annual mean values of Chlorophyll-a and non-algal particulate matter (as a measure of Total Suspended Solids) for the 2010/11 reporting period (1 May 2010 – 30 April 2011) for the Enclosed Coastal, Open Coastal, Inshore, Mid-shelf and Offshore water bodies (EC, OC,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B11F3B">
          <w:rPr>
            <w:noProof/>
            <w:webHidden/>
          </w:rPr>
          <w:tab/>
        </w:r>
        <w:r w:rsidR="00B11F3B">
          <w:rPr>
            <w:noProof/>
            <w:webHidden/>
          </w:rPr>
          <w:fldChar w:fldCharType="begin"/>
        </w:r>
        <w:r w:rsidR="00B11F3B">
          <w:rPr>
            <w:noProof/>
            <w:webHidden/>
          </w:rPr>
          <w:instrText xml:space="preserve"> PAGEREF _Toc399264984 \h </w:instrText>
        </w:r>
        <w:r w:rsidR="00B11F3B">
          <w:rPr>
            <w:noProof/>
            <w:webHidden/>
          </w:rPr>
        </w:r>
        <w:r w:rsidR="00B11F3B">
          <w:rPr>
            <w:noProof/>
            <w:webHidden/>
          </w:rPr>
          <w:fldChar w:fldCharType="separate"/>
        </w:r>
        <w:r w:rsidR="00B11F3B">
          <w:rPr>
            <w:noProof/>
            <w:webHidden/>
          </w:rPr>
          <w:t>191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5" w:history="1">
        <w:r w:rsidR="00B11F3B" w:rsidRPr="00BD1C0E">
          <w:rPr>
            <w:rStyle w:val="Hyperlink"/>
            <w:noProof/>
          </w:rPr>
          <w:t>Table 56 Summary table for Paddock to Reef marine water quality index (P2R_WQI) for all reporting periods. Cells are shaded to reflect the colour coding of the P2R reporting scheme from red to green in steps of 20%.*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w:t>
        </w:r>
        <w:r w:rsidR="00B11F3B">
          <w:rPr>
            <w:noProof/>
            <w:webHidden/>
          </w:rPr>
          <w:tab/>
        </w:r>
        <w:r w:rsidR="00B11F3B">
          <w:rPr>
            <w:noProof/>
            <w:webHidden/>
          </w:rPr>
          <w:fldChar w:fldCharType="begin"/>
        </w:r>
        <w:r w:rsidR="00B11F3B">
          <w:rPr>
            <w:noProof/>
            <w:webHidden/>
          </w:rPr>
          <w:instrText xml:space="preserve"> PAGEREF _Toc399264985 \h </w:instrText>
        </w:r>
        <w:r w:rsidR="00B11F3B">
          <w:rPr>
            <w:noProof/>
            <w:webHidden/>
          </w:rPr>
        </w:r>
        <w:r w:rsidR="00B11F3B">
          <w:rPr>
            <w:noProof/>
            <w:webHidden/>
          </w:rPr>
          <w:fldChar w:fldCharType="separate"/>
        </w:r>
        <w:r w:rsidR="00B11F3B">
          <w:rPr>
            <w:noProof/>
            <w:webHidden/>
          </w:rPr>
          <w:t>191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6" w:history="1">
        <w:r w:rsidR="00B11F3B" w:rsidRPr="00BD1C0E">
          <w:rPr>
            <w:rStyle w:val="Hyperlink"/>
            <w:noProof/>
          </w:rPr>
          <w:t>Table 57 Summary table for the Paddock to Reef marine water quality component scores (P2R_CHL and P2R_TSS) for all reporting periods. Cells are shaded to reflect the colour coding of the P2R reporting scheme from red to green in steps of 20%.*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w:t>
        </w:r>
        <w:r w:rsidR="00B11F3B">
          <w:rPr>
            <w:noProof/>
            <w:webHidden/>
          </w:rPr>
          <w:tab/>
        </w:r>
        <w:r w:rsidR="00B11F3B">
          <w:rPr>
            <w:noProof/>
            <w:webHidden/>
          </w:rPr>
          <w:fldChar w:fldCharType="begin"/>
        </w:r>
        <w:r w:rsidR="00B11F3B">
          <w:rPr>
            <w:noProof/>
            <w:webHidden/>
          </w:rPr>
          <w:instrText xml:space="preserve"> PAGEREF _Toc399264986 \h </w:instrText>
        </w:r>
        <w:r w:rsidR="00B11F3B">
          <w:rPr>
            <w:noProof/>
            <w:webHidden/>
          </w:rPr>
        </w:r>
        <w:r w:rsidR="00B11F3B">
          <w:rPr>
            <w:noProof/>
            <w:webHidden/>
          </w:rPr>
          <w:fldChar w:fldCharType="separate"/>
        </w:r>
        <w:r w:rsidR="00B11F3B">
          <w:rPr>
            <w:noProof/>
            <w:webHidden/>
          </w:rPr>
          <w:t>192</w:t>
        </w:r>
        <w:r w:rsidR="00B11F3B">
          <w:rPr>
            <w:noProof/>
            <w:webHidden/>
          </w:rPr>
          <w:fldChar w:fldCharType="end"/>
        </w:r>
      </w:hyperlink>
    </w:p>
    <w:p w:rsidR="00B25CAA" w:rsidRPr="00A40CD0" w:rsidRDefault="00EA2F38" w:rsidP="002E0BD6">
      <w:pPr>
        <w:pStyle w:val="BodyText"/>
      </w:pPr>
      <w:r w:rsidRPr="00A40CD0">
        <w:fldChar w:fldCharType="end"/>
      </w:r>
    </w:p>
    <w:p w:rsidR="00B25CAA" w:rsidRPr="00A40CD0" w:rsidRDefault="00B25CAA" w:rsidP="005F682B">
      <w:pPr>
        <w:rPr>
          <w:b/>
          <w:sz w:val="24"/>
        </w:rPr>
      </w:pPr>
      <w:r w:rsidRPr="00A40CD0">
        <w:rPr>
          <w:b/>
          <w:sz w:val="24"/>
        </w:rPr>
        <w:t>List of Figures</w:t>
      </w:r>
    </w:p>
    <w:p w:rsidR="00B11F3B" w:rsidRDefault="00EA2F38">
      <w:pPr>
        <w:pStyle w:val="TableofFigures"/>
        <w:rPr>
          <w:rFonts w:asciiTheme="minorHAnsi" w:eastAsiaTheme="minorEastAsia" w:hAnsiTheme="minorHAnsi" w:cstheme="minorBidi"/>
          <w:noProof/>
          <w:szCs w:val="22"/>
        </w:rPr>
      </w:pPr>
      <w:r w:rsidRPr="00A40CD0">
        <w:fldChar w:fldCharType="begin"/>
      </w:r>
      <w:r w:rsidR="00B25CAA" w:rsidRPr="00A40CD0">
        <w:instrText xml:space="preserve"> TOC \h \z \c "Figure" </w:instrText>
      </w:r>
      <w:r w:rsidRPr="00A40CD0">
        <w:fldChar w:fldCharType="separate"/>
      </w:r>
      <w:hyperlink w:anchor="_Toc399264987" w:history="1">
        <w:r w:rsidR="00B11F3B" w:rsidRPr="00E27131">
          <w:rPr>
            <w:rStyle w:val="Hyperlink"/>
            <w:noProof/>
          </w:rPr>
          <w:t>Figure 1. Linear regression of concurrent in situ CDOM absorption (443 nm) and salinity measurements. Modified from Figure 4 of Schroeder et al. (2012).</w:t>
        </w:r>
        <w:r w:rsidR="00B11F3B">
          <w:rPr>
            <w:noProof/>
            <w:webHidden/>
          </w:rPr>
          <w:tab/>
        </w:r>
        <w:r w:rsidR="00B11F3B">
          <w:rPr>
            <w:noProof/>
            <w:webHidden/>
          </w:rPr>
          <w:fldChar w:fldCharType="begin"/>
        </w:r>
        <w:r w:rsidR="00B11F3B">
          <w:rPr>
            <w:noProof/>
            <w:webHidden/>
          </w:rPr>
          <w:instrText xml:space="preserve"> PAGEREF _Toc399264987 \h </w:instrText>
        </w:r>
        <w:r w:rsidR="00B11F3B">
          <w:rPr>
            <w:noProof/>
            <w:webHidden/>
          </w:rPr>
        </w:r>
        <w:r w:rsidR="00B11F3B">
          <w:rPr>
            <w:noProof/>
            <w:webHidden/>
          </w:rPr>
          <w:fldChar w:fldCharType="separate"/>
        </w:r>
        <w:r w:rsidR="00B11F3B">
          <w:rPr>
            <w:noProof/>
            <w:webHidden/>
          </w:rPr>
          <w:t>33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8" w:history="1">
        <w:r w:rsidR="00B11F3B" w:rsidRPr="00E27131">
          <w:rPr>
            <w:rStyle w:val="Hyperlink"/>
            <w:noProof/>
          </w:rPr>
          <w:t>Figure 2. Regional and cross shelf boundaries defined by GBRMPA for the MMP 2008/09 reporting (red lines), the cyan areas identify the Enclosed Coastal waters delineated in this report based on a statistical analysis of a decade of satellite data</w:t>
        </w:r>
        <w:r w:rsidR="00B11F3B">
          <w:rPr>
            <w:noProof/>
            <w:webHidden/>
          </w:rPr>
          <w:tab/>
        </w:r>
        <w:r w:rsidR="00B11F3B">
          <w:rPr>
            <w:noProof/>
            <w:webHidden/>
          </w:rPr>
          <w:fldChar w:fldCharType="begin"/>
        </w:r>
        <w:r w:rsidR="00B11F3B">
          <w:rPr>
            <w:noProof/>
            <w:webHidden/>
          </w:rPr>
          <w:instrText xml:space="preserve"> PAGEREF _Toc399264988 \h </w:instrText>
        </w:r>
        <w:r w:rsidR="00B11F3B">
          <w:rPr>
            <w:noProof/>
            <w:webHidden/>
          </w:rPr>
        </w:r>
        <w:r w:rsidR="00B11F3B">
          <w:rPr>
            <w:noProof/>
            <w:webHidden/>
          </w:rPr>
          <w:fldChar w:fldCharType="separate"/>
        </w:r>
        <w:r w:rsidR="00B11F3B">
          <w:rPr>
            <w:noProof/>
            <w:webHidden/>
          </w:rPr>
          <w:t>35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89" w:history="1">
        <w:r w:rsidR="00B11F3B" w:rsidRPr="00E27131">
          <w:rPr>
            <w:rStyle w:val="Hyperlink"/>
            <w:noProof/>
          </w:rPr>
          <w:t xml:space="preserve">Figure 3 </w:t>
        </w:r>
        <w:r w:rsidR="00B11F3B" w:rsidRPr="00E27131">
          <w:rPr>
            <w:rStyle w:val="Hyperlink"/>
            <w:rFonts w:cs="Arial"/>
            <w:noProof/>
          </w:rPr>
          <w:t>Illustration of the K-means clustering technique (modified from Wikipedia)</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_Toc399264989 \h </w:instrText>
        </w:r>
        <w:r w:rsidR="00B11F3B">
          <w:rPr>
            <w:noProof/>
            <w:webHidden/>
          </w:rPr>
        </w:r>
        <w:r w:rsidR="00B11F3B">
          <w:rPr>
            <w:noProof/>
            <w:webHidden/>
          </w:rPr>
          <w:fldChar w:fldCharType="separate"/>
        </w:r>
        <w:r w:rsidR="00B11F3B">
          <w:rPr>
            <w:noProof/>
            <w:webHidden/>
          </w:rPr>
          <w:t>40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0" w:history="1">
        <w:r w:rsidR="00B11F3B" w:rsidRPr="00E27131">
          <w:rPr>
            <w:rStyle w:val="Hyperlink"/>
            <w:noProof/>
          </w:rPr>
          <w:t>Figure 4. Delineation of the seaward limit of Enclosed Coastal waters for the Cape York region (light blue areas). Regional and cross shelf boundaries as defined by GBRMPA for the MMP 2008/09 reporting are presented as red lines.</w:t>
        </w:r>
        <w:r w:rsidR="00B11F3B">
          <w:rPr>
            <w:noProof/>
            <w:webHidden/>
          </w:rPr>
          <w:tab/>
        </w:r>
        <w:r w:rsidR="00B11F3B">
          <w:rPr>
            <w:noProof/>
            <w:webHidden/>
          </w:rPr>
          <w:fldChar w:fldCharType="begin"/>
        </w:r>
        <w:r w:rsidR="00B11F3B">
          <w:rPr>
            <w:noProof/>
            <w:webHidden/>
          </w:rPr>
          <w:instrText xml:space="preserve"> PAGEREF _Toc399264990 \h </w:instrText>
        </w:r>
        <w:r w:rsidR="00B11F3B">
          <w:rPr>
            <w:noProof/>
            <w:webHidden/>
          </w:rPr>
        </w:r>
        <w:r w:rsidR="00B11F3B">
          <w:rPr>
            <w:noProof/>
            <w:webHidden/>
          </w:rPr>
          <w:fldChar w:fldCharType="separate"/>
        </w:r>
        <w:r w:rsidR="00B11F3B">
          <w:rPr>
            <w:noProof/>
            <w:webHidden/>
          </w:rPr>
          <w:t>42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1" w:history="1">
        <w:r w:rsidR="00B11F3B" w:rsidRPr="00E27131">
          <w:rPr>
            <w:rStyle w:val="Hyperlink"/>
            <w:noProof/>
          </w:rPr>
          <w:t>Figure 5. Delineation of the seaward limit of Enclosed Coastal waters for the Wet Tropics region (light blue areas). Regional and cross shelf boundaries as defined by GBRMPA for the MMP 2008/09 reporting are presented as red lines.</w:t>
        </w:r>
        <w:r w:rsidR="00B11F3B">
          <w:rPr>
            <w:noProof/>
            <w:webHidden/>
          </w:rPr>
          <w:tab/>
        </w:r>
        <w:r w:rsidR="00B11F3B">
          <w:rPr>
            <w:noProof/>
            <w:webHidden/>
          </w:rPr>
          <w:fldChar w:fldCharType="begin"/>
        </w:r>
        <w:r w:rsidR="00B11F3B">
          <w:rPr>
            <w:noProof/>
            <w:webHidden/>
          </w:rPr>
          <w:instrText xml:space="preserve"> PAGEREF _Toc399264991 \h </w:instrText>
        </w:r>
        <w:r w:rsidR="00B11F3B">
          <w:rPr>
            <w:noProof/>
            <w:webHidden/>
          </w:rPr>
        </w:r>
        <w:r w:rsidR="00B11F3B">
          <w:rPr>
            <w:noProof/>
            <w:webHidden/>
          </w:rPr>
          <w:fldChar w:fldCharType="separate"/>
        </w:r>
        <w:r w:rsidR="00B11F3B">
          <w:rPr>
            <w:noProof/>
            <w:webHidden/>
          </w:rPr>
          <w:t>43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2" w:history="1">
        <w:r w:rsidR="00B11F3B" w:rsidRPr="00E27131">
          <w:rPr>
            <w:rStyle w:val="Hyperlink"/>
            <w:noProof/>
          </w:rPr>
          <w:t>Figure 6. Delineation of the seaward limit of Enclosed Coastal waters for the Burdekin region (light blue areas). Regional and cross shelf boundaries as defined by GBRMPA for the MMP 2008/09 reporting are presented as red lines.</w:t>
        </w:r>
        <w:r w:rsidR="00B11F3B">
          <w:rPr>
            <w:noProof/>
            <w:webHidden/>
          </w:rPr>
          <w:tab/>
        </w:r>
        <w:r w:rsidR="00B11F3B">
          <w:rPr>
            <w:noProof/>
            <w:webHidden/>
          </w:rPr>
          <w:fldChar w:fldCharType="begin"/>
        </w:r>
        <w:r w:rsidR="00B11F3B">
          <w:rPr>
            <w:noProof/>
            <w:webHidden/>
          </w:rPr>
          <w:instrText xml:space="preserve"> PAGEREF _Toc399264992 \h </w:instrText>
        </w:r>
        <w:r w:rsidR="00B11F3B">
          <w:rPr>
            <w:noProof/>
            <w:webHidden/>
          </w:rPr>
        </w:r>
        <w:r w:rsidR="00B11F3B">
          <w:rPr>
            <w:noProof/>
            <w:webHidden/>
          </w:rPr>
          <w:fldChar w:fldCharType="separate"/>
        </w:r>
        <w:r w:rsidR="00B11F3B">
          <w:rPr>
            <w:noProof/>
            <w:webHidden/>
          </w:rPr>
          <w:t>44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3" w:history="1">
        <w:r w:rsidR="00B11F3B" w:rsidRPr="00E27131">
          <w:rPr>
            <w:rStyle w:val="Hyperlink"/>
            <w:noProof/>
          </w:rPr>
          <w:t>Figure 7. Delineation of the seaward limit of Enclosed Coastal waters for the Mackay Whitsunday region (light blue areas). Regional and cross shelf boundaries as defined by GBRMPA for the MMP 2008/09 reporting are presented as red lines.</w:t>
        </w:r>
        <w:r w:rsidR="00B11F3B">
          <w:rPr>
            <w:noProof/>
            <w:webHidden/>
          </w:rPr>
          <w:tab/>
        </w:r>
        <w:r w:rsidR="00B11F3B">
          <w:rPr>
            <w:noProof/>
            <w:webHidden/>
          </w:rPr>
          <w:fldChar w:fldCharType="begin"/>
        </w:r>
        <w:r w:rsidR="00B11F3B">
          <w:rPr>
            <w:noProof/>
            <w:webHidden/>
          </w:rPr>
          <w:instrText xml:space="preserve"> PAGEREF _Toc399264993 \h </w:instrText>
        </w:r>
        <w:r w:rsidR="00B11F3B">
          <w:rPr>
            <w:noProof/>
            <w:webHidden/>
          </w:rPr>
        </w:r>
        <w:r w:rsidR="00B11F3B">
          <w:rPr>
            <w:noProof/>
            <w:webHidden/>
          </w:rPr>
          <w:fldChar w:fldCharType="separate"/>
        </w:r>
        <w:r w:rsidR="00B11F3B">
          <w:rPr>
            <w:noProof/>
            <w:webHidden/>
          </w:rPr>
          <w:t>45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4" w:history="1">
        <w:r w:rsidR="00B11F3B" w:rsidRPr="00E27131">
          <w:rPr>
            <w:rStyle w:val="Hyperlink"/>
            <w:noProof/>
          </w:rPr>
          <w:t>Figure 8. Delineation of the seaward limit of Enclosed Coastal waters for the Fitzroy region (light blue areas). Regional and cross shelf boundaries as defined by GBRMPA for the MMP 2008/09 reporting are presented as red lines.</w:t>
        </w:r>
        <w:r w:rsidR="00B11F3B">
          <w:rPr>
            <w:noProof/>
            <w:webHidden/>
          </w:rPr>
          <w:tab/>
        </w:r>
        <w:r w:rsidR="00B11F3B">
          <w:rPr>
            <w:noProof/>
            <w:webHidden/>
          </w:rPr>
          <w:fldChar w:fldCharType="begin"/>
        </w:r>
        <w:r w:rsidR="00B11F3B">
          <w:rPr>
            <w:noProof/>
            <w:webHidden/>
          </w:rPr>
          <w:instrText xml:space="preserve"> PAGEREF _Toc399264994 \h </w:instrText>
        </w:r>
        <w:r w:rsidR="00B11F3B">
          <w:rPr>
            <w:noProof/>
            <w:webHidden/>
          </w:rPr>
        </w:r>
        <w:r w:rsidR="00B11F3B">
          <w:rPr>
            <w:noProof/>
            <w:webHidden/>
          </w:rPr>
          <w:fldChar w:fldCharType="separate"/>
        </w:r>
        <w:r w:rsidR="00B11F3B">
          <w:rPr>
            <w:noProof/>
            <w:webHidden/>
          </w:rPr>
          <w:t>46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5" w:history="1">
        <w:r w:rsidR="00B11F3B" w:rsidRPr="00E27131">
          <w:rPr>
            <w:rStyle w:val="Hyperlink"/>
            <w:noProof/>
          </w:rPr>
          <w:t>Figure 9. Delineation of the seaward limit of Enclosed Coastal waters for the Wet Tropics region (light blue areas). Regional and cross shelf boundaries as defined by GBRMPA for the MMP 2008/09 reporting are presented as red lines.</w:t>
        </w:r>
        <w:r w:rsidR="00B11F3B">
          <w:rPr>
            <w:noProof/>
            <w:webHidden/>
          </w:rPr>
          <w:tab/>
        </w:r>
        <w:r w:rsidR="00B11F3B">
          <w:rPr>
            <w:noProof/>
            <w:webHidden/>
          </w:rPr>
          <w:fldChar w:fldCharType="begin"/>
        </w:r>
        <w:r w:rsidR="00B11F3B">
          <w:rPr>
            <w:noProof/>
            <w:webHidden/>
          </w:rPr>
          <w:instrText xml:space="preserve"> PAGEREF _Toc399264995 \h </w:instrText>
        </w:r>
        <w:r w:rsidR="00B11F3B">
          <w:rPr>
            <w:noProof/>
            <w:webHidden/>
          </w:rPr>
        </w:r>
        <w:r w:rsidR="00B11F3B">
          <w:rPr>
            <w:noProof/>
            <w:webHidden/>
          </w:rPr>
          <w:fldChar w:fldCharType="separate"/>
        </w:r>
        <w:r w:rsidR="00B11F3B">
          <w:rPr>
            <w:noProof/>
            <w:webHidden/>
          </w:rPr>
          <w:t>47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6" w:history="1">
        <w:r w:rsidR="00B11F3B" w:rsidRPr="00E27131">
          <w:rPr>
            <w:rStyle w:val="Hyperlink"/>
            <w:noProof/>
          </w:rPr>
          <w:t>Figure 10. Comparison of P2R trends in Cape York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_Toc399264996 \h </w:instrText>
        </w:r>
        <w:r w:rsidR="00B11F3B">
          <w:rPr>
            <w:noProof/>
            <w:webHidden/>
          </w:rPr>
        </w:r>
        <w:r w:rsidR="00B11F3B">
          <w:rPr>
            <w:noProof/>
            <w:webHidden/>
          </w:rPr>
          <w:fldChar w:fldCharType="separate"/>
        </w:r>
        <w:r w:rsidR="00B11F3B">
          <w:rPr>
            <w:noProof/>
            <w:webHidden/>
          </w:rPr>
          <w:t>51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7" w:history="1">
        <w:r w:rsidR="00B11F3B" w:rsidRPr="00E27131">
          <w:rPr>
            <w:rStyle w:val="Hyperlink"/>
            <w:noProof/>
          </w:rPr>
          <w:t>Figure 11. Comparison of P2R trends in Wet Tropics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_Toc399264997 \h </w:instrText>
        </w:r>
        <w:r w:rsidR="00B11F3B">
          <w:rPr>
            <w:noProof/>
            <w:webHidden/>
          </w:rPr>
        </w:r>
        <w:r w:rsidR="00B11F3B">
          <w:rPr>
            <w:noProof/>
            <w:webHidden/>
          </w:rPr>
          <w:fldChar w:fldCharType="separate"/>
        </w:r>
        <w:r w:rsidR="00B11F3B">
          <w:rPr>
            <w:noProof/>
            <w:webHidden/>
          </w:rPr>
          <w:t>52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8" w:history="1">
        <w:r w:rsidR="00B11F3B" w:rsidRPr="00E27131">
          <w:rPr>
            <w:rStyle w:val="Hyperlink"/>
            <w:noProof/>
          </w:rPr>
          <w:t>Figure 12. Comparison of P2R trends in Burdekin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_Toc399264998 \h </w:instrText>
        </w:r>
        <w:r w:rsidR="00B11F3B">
          <w:rPr>
            <w:noProof/>
            <w:webHidden/>
          </w:rPr>
        </w:r>
        <w:r w:rsidR="00B11F3B">
          <w:rPr>
            <w:noProof/>
            <w:webHidden/>
          </w:rPr>
          <w:fldChar w:fldCharType="separate"/>
        </w:r>
        <w:r w:rsidR="00B11F3B">
          <w:rPr>
            <w:noProof/>
            <w:webHidden/>
          </w:rPr>
          <w:t>53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4999" w:history="1">
        <w:r w:rsidR="00B11F3B" w:rsidRPr="00E27131">
          <w:rPr>
            <w:rStyle w:val="Hyperlink"/>
            <w:noProof/>
          </w:rPr>
          <w:t>Figure 13. Comparison of P2R trends in Mackay Whitsundays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_Toc399264999 \h </w:instrText>
        </w:r>
        <w:r w:rsidR="00B11F3B">
          <w:rPr>
            <w:noProof/>
            <w:webHidden/>
          </w:rPr>
        </w:r>
        <w:r w:rsidR="00B11F3B">
          <w:rPr>
            <w:noProof/>
            <w:webHidden/>
          </w:rPr>
          <w:fldChar w:fldCharType="separate"/>
        </w:r>
        <w:r w:rsidR="00B11F3B">
          <w:rPr>
            <w:noProof/>
            <w:webHidden/>
          </w:rPr>
          <w:t>54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0" w:history="1">
        <w:r w:rsidR="00B11F3B" w:rsidRPr="00E27131">
          <w:rPr>
            <w:rStyle w:val="Hyperlink"/>
            <w:noProof/>
          </w:rPr>
          <w:t xml:space="preserve">Figure 14. Comparison of P2R trends in Fitzroy reporting region. Top: calculation without the delineation of enclosed coastal waters, i.e. using the same threshold value across the whole coastal region. Bottom calculation performed taking in account the delineation of the enclosed coastal waters, i.e. pixels in the newly delineated </w:t>
        </w:r>
        <w:r w:rsidR="00B11F3B" w:rsidRPr="00E27131">
          <w:rPr>
            <w:rStyle w:val="Hyperlink"/>
            <w:noProof/>
          </w:rPr>
          <w:lastRenderedPageBreak/>
          <w:t>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_Toc399265000 \h </w:instrText>
        </w:r>
        <w:r w:rsidR="00B11F3B">
          <w:rPr>
            <w:noProof/>
            <w:webHidden/>
          </w:rPr>
        </w:r>
        <w:r w:rsidR="00B11F3B">
          <w:rPr>
            <w:noProof/>
            <w:webHidden/>
          </w:rPr>
          <w:fldChar w:fldCharType="separate"/>
        </w:r>
        <w:r w:rsidR="00B11F3B">
          <w:rPr>
            <w:noProof/>
            <w:webHidden/>
          </w:rPr>
          <w:t>55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1" w:history="1">
        <w:r w:rsidR="00B11F3B" w:rsidRPr="00E27131">
          <w:rPr>
            <w:rStyle w:val="Hyperlink"/>
            <w:noProof/>
          </w:rPr>
          <w:t>Figure 15. Comparison of P2R trends in Burnett Mary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_Toc399265001 \h </w:instrText>
        </w:r>
        <w:r w:rsidR="00B11F3B">
          <w:rPr>
            <w:noProof/>
            <w:webHidden/>
          </w:rPr>
        </w:r>
        <w:r w:rsidR="00B11F3B">
          <w:rPr>
            <w:noProof/>
            <w:webHidden/>
          </w:rPr>
          <w:fldChar w:fldCharType="separate"/>
        </w:r>
        <w:r w:rsidR="00B11F3B">
          <w:rPr>
            <w:noProof/>
            <w:webHidden/>
          </w:rPr>
          <w:t>56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2" w:history="1">
        <w:r w:rsidR="00B11F3B" w:rsidRPr="00E27131">
          <w:rPr>
            <w:rStyle w:val="Hyperlink"/>
            <w:noProof/>
          </w:rPr>
          <w:t>Figure 16. Comparison of P2R trends in the whole GBRWHA.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_Toc399265002 \h </w:instrText>
        </w:r>
        <w:r w:rsidR="00B11F3B">
          <w:rPr>
            <w:noProof/>
            <w:webHidden/>
          </w:rPr>
        </w:r>
        <w:r w:rsidR="00B11F3B">
          <w:rPr>
            <w:noProof/>
            <w:webHidden/>
          </w:rPr>
          <w:fldChar w:fldCharType="separate"/>
        </w:r>
        <w:r w:rsidR="00B11F3B">
          <w:rPr>
            <w:noProof/>
            <w:webHidden/>
          </w:rPr>
          <w:t>57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3" w:history="1">
        <w:r w:rsidR="00B11F3B" w:rsidRPr="00E27131">
          <w:rPr>
            <w:rStyle w:val="Hyperlink"/>
            <w:noProof/>
          </w:rPr>
          <w:t>Figure 17. Comparison of fresh water discharge for 2011/2012 compared to 2010/2011 and the long term median for each reporting region of the GBRWHA. Data are aggregated to the reporting regions from table A1-3 of (Schaffelke et al. 2011) presenting data supplied by the Queensland Department of the Environment and Resource Management for each river. Long-term medians were estimated from annual total flows (October to October), long-term medians are not available for the Cape York and Burnett Mary regions (Schaffelke et al. 2011).</w:t>
        </w:r>
        <w:r w:rsidR="00B11F3B">
          <w:rPr>
            <w:noProof/>
            <w:webHidden/>
          </w:rPr>
          <w:tab/>
        </w:r>
        <w:r w:rsidR="00B11F3B">
          <w:rPr>
            <w:noProof/>
            <w:webHidden/>
          </w:rPr>
          <w:fldChar w:fldCharType="begin"/>
        </w:r>
        <w:r w:rsidR="00B11F3B">
          <w:rPr>
            <w:noProof/>
            <w:webHidden/>
          </w:rPr>
          <w:instrText xml:space="preserve"> PAGEREF _Toc399265003 \h </w:instrText>
        </w:r>
        <w:r w:rsidR="00B11F3B">
          <w:rPr>
            <w:noProof/>
            <w:webHidden/>
          </w:rPr>
        </w:r>
        <w:r w:rsidR="00B11F3B">
          <w:rPr>
            <w:noProof/>
            <w:webHidden/>
          </w:rPr>
          <w:fldChar w:fldCharType="separate"/>
        </w:r>
        <w:r w:rsidR="00B11F3B">
          <w:rPr>
            <w:noProof/>
            <w:webHidden/>
          </w:rPr>
          <w:t>59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4" w:history="1">
        <w:r w:rsidR="00B11F3B" w:rsidRPr="00E27131">
          <w:rPr>
            <w:rStyle w:val="Hyperlink"/>
            <w:noProof/>
          </w:rPr>
          <w:t>Figure 18. Overview of the freshwater extent for the wet season 2011/2012 (November 2011- April 2012) for the whole Great Barrier Reef World Heritage Area. Detailed maps for each region are presented in the regional reporting sections (Figure 29, Figure 40, Figure 51, Figure 62, Figure 73, Figure 84). Pixels are mapped in dark red when the CDOM seasonal maximum values for the year exceed the threshold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_Toc399265004 \h </w:instrText>
        </w:r>
        <w:r w:rsidR="00B11F3B">
          <w:rPr>
            <w:noProof/>
            <w:webHidden/>
          </w:rPr>
        </w:r>
        <w:r w:rsidR="00B11F3B">
          <w:rPr>
            <w:noProof/>
            <w:webHidden/>
          </w:rPr>
          <w:fldChar w:fldCharType="separate"/>
        </w:r>
        <w:r w:rsidR="00B11F3B">
          <w:rPr>
            <w:noProof/>
            <w:webHidden/>
          </w:rPr>
          <w:t>60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5" w:history="1">
        <w:r w:rsidR="00B11F3B" w:rsidRPr="00E27131">
          <w:rPr>
            <w:rStyle w:val="Hyperlink"/>
            <w:noProof/>
          </w:rPr>
          <w:t>Figure 19. Total freshwater discharge and total estimated freshwater extent for the whole GBRWHA based on the CDOM maximum for the wet seasons.</w:t>
        </w:r>
        <w:r w:rsidR="00B11F3B">
          <w:rPr>
            <w:noProof/>
            <w:webHidden/>
          </w:rPr>
          <w:tab/>
        </w:r>
        <w:r w:rsidR="00B11F3B">
          <w:rPr>
            <w:noProof/>
            <w:webHidden/>
          </w:rPr>
          <w:fldChar w:fldCharType="begin"/>
        </w:r>
        <w:r w:rsidR="00B11F3B">
          <w:rPr>
            <w:noProof/>
            <w:webHidden/>
          </w:rPr>
          <w:instrText xml:space="preserve"> PAGEREF _Toc399265005 \h </w:instrText>
        </w:r>
        <w:r w:rsidR="00B11F3B">
          <w:rPr>
            <w:noProof/>
            <w:webHidden/>
          </w:rPr>
        </w:r>
        <w:r w:rsidR="00B11F3B">
          <w:rPr>
            <w:noProof/>
            <w:webHidden/>
          </w:rPr>
          <w:fldChar w:fldCharType="separate"/>
        </w:r>
        <w:r w:rsidR="00B11F3B">
          <w:rPr>
            <w:noProof/>
            <w:webHidden/>
          </w:rPr>
          <w:t>61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6" w:history="1">
        <w:r w:rsidR="00B11F3B" w:rsidRPr="00E27131">
          <w:rPr>
            <w:rStyle w:val="Hyperlink"/>
            <w:noProof/>
          </w:rPr>
          <w:t>Figure 20. Comparison of estimated freshwater extent based on the CDOM maximum for the wet seasons 2010/2011 (November 2010- April 2011), 2011/2012 (November 2011- April 2012) and the median extent for the decade for each reporting region of GBRWHA.</w:t>
        </w:r>
        <w:r w:rsidR="00B11F3B">
          <w:rPr>
            <w:noProof/>
            <w:webHidden/>
          </w:rPr>
          <w:tab/>
        </w:r>
        <w:r w:rsidR="00B11F3B">
          <w:rPr>
            <w:noProof/>
            <w:webHidden/>
          </w:rPr>
          <w:fldChar w:fldCharType="begin"/>
        </w:r>
        <w:r w:rsidR="00B11F3B">
          <w:rPr>
            <w:noProof/>
            <w:webHidden/>
          </w:rPr>
          <w:instrText xml:space="preserve"> PAGEREF _Toc399265006 \h </w:instrText>
        </w:r>
        <w:r w:rsidR="00B11F3B">
          <w:rPr>
            <w:noProof/>
            <w:webHidden/>
          </w:rPr>
        </w:r>
        <w:r w:rsidR="00B11F3B">
          <w:rPr>
            <w:noProof/>
            <w:webHidden/>
          </w:rPr>
          <w:fldChar w:fldCharType="separate"/>
        </w:r>
        <w:r w:rsidR="00B11F3B">
          <w:rPr>
            <w:noProof/>
            <w:webHidden/>
          </w:rPr>
          <w:t>61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7" w:history="1">
        <w:r w:rsidR="00B11F3B" w:rsidRPr="00E27131">
          <w:rPr>
            <w:rStyle w:val="Hyperlink"/>
            <w:noProof/>
          </w:rPr>
          <w:t>Figure 21. Map of the Chlorophyll-a annual median values for the 2010/2011 reporting period (May 2010 – April 2011) for the whole of the Great Barrier Reef World Heritage Area. The Guideline values for annual means of Chlorophyll –a are 2.0 µg L-1  for Enclosed Coastal, 0.45 µg L-1 for Open Coastal and Midshelf and 0.40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_Toc399265007 \h </w:instrText>
        </w:r>
        <w:r w:rsidR="00B11F3B">
          <w:rPr>
            <w:noProof/>
            <w:webHidden/>
          </w:rPr>
        </w:r>
        <w:r w:rsidR="00B11F3B">
          <w:rPr>
            <w:noProof/>
            <w:webHidden/>
          </w:rPr>
          <w:fldChar w:fldCharType="separate"/>
        </w:r>
        <w:r w:rsidR="00B11F3B">
          <w:rPr>
            <w:noProof/>
            <w:webHidden/>
          </w:rPr>
          <w:t>64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8" w:history="1">
        <w:r w:rsidR="00B11F3B" w:rsidRPr="00E27131">
          <w:rPr>
            <w:rStyle w:val="Hyperlink"/>
            <w:noProof/>
          </w:rPr>
          <w:t>Figure 22. Map of annual median values of non-algal particulate matter (as a measure of Total Suspended Solids) for the 2010/2011 reporting period (May 2010 – April 2011) for the whole of the Great Barrier Reef World Heritage Area. The Guideline values for annual means of Total Suspended Solids are 5.0 (or 15.0) mg L</w:t>
        </w:r>
        <w:r w:rsidR="00B11F3B" w:rsidRPr="00E27131">
          <w:rPr>
            <w:rStyle w:val="Hyperlink"/>
            <w:noProof/>
            <w:vertAlign w:val="superscript"/>
          </w:rPr>
          <w:t>-1</w:t>
        </w:r>
        <w:r w:rsidR="00B11F3B" w:rsidRPr="00E27131">
          <w:rPr>
            <w:rStyle w:val="Hyperlink"/>
            <w:noProof/>
          </w:rPr>
          <w:t>for Enclosed Coastal, 2.0 mg L</w:t>
        </w:r>
        <w:r w:rsidR="00B11F3B" w:rsidRPr="00E27131">
          <w:rPr>
            <w:rStyle w:val="Hyperlink"/>
            <w:noProof/>
            <w:vertAlign w:val="superscript"/>
          </w:rPr>
          <w:t>-1</w:t>
        </w:r>
        <w:r w:rsidR="00B11F3B" w:rsidRPr="00E27131">
          <w:rPr>
            <w:rStyle w:val="Hyperlink"/>
            <w:noProof/>
          </w:rPr>
          <w:t>for Open Coastal and Midshelf and 0.7 mg L</w:t>
        </w:r>
        <w:r w:rsidR="00B11F3B" w:rsidRPr="00E27131">
          <w:rPr>
            <w:rStyle w:val="Hyperlink"/>
            <w:noProof/>
            <w:vertAlign w:val="superscript"/>
          </w:rPr>
          <w:t xml:space="preserve">-1 </w:t>
        </w:r>
        <w:r w:rsidR="00B11F3B" w:rsidRPr="00E27131">
          <w:rPr>
            <w:rStyle w:val="Hyperlink"/>
            <w:noProof/>
          </w:rPr>
          <w:t>for Offshore.</w:t>
        </w:r>
        <w:r w:rsidR="00B11F3B">
          <w:rPr>
            <w:noProof/>
            <w:webHidden/>
          </w:rPr>
          <w:tab/>
        </w:r>
        <w:r w:rsidR="00B11F3B">
          <w:rPr>
            <w:noProof/>
            <w:webHidden/>
          </w:rPr>
          <w:fldChar w:fldCharType="begin"/>
        </w:r>
        <w:r w:rsidR="00B11F3B">
          <w:rPr>
            <w:noProof/>
            <w:webHidden/>
          </w:rPr>
          <w:instrText xml:space="preserve"> PAGEREF _Toc399265008 \h </w:instrText>
        </w:r>
        <w:r w:rsidR="00B11F3B">
          <w:rPr>
            <w:noProof/>
            <w:webHidden/>
          </w:rPr>
        </w:r>
        <w:r w:rsidR="00B11F3B">
          <w:rPr>
            <w:noProof/>
            <w:webHidden/>
          </w:rPr>
          <w:fldChar w:fldCharType="separate"/>
        </w:r>
        <w:r w:rsidR="00B11F3B">
          <w:rPr>
            <w:noProof/>
            <w:webHidden/>
          </w:rPr>
          <w:t>65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09" w:history="1">
        <w:r w:rsidR="00B11F3B" w:rsidRPr="00E27131">
          <w:rPr>
            <w:rStyle w:val="Hyperlink"/>
            <w:noProof/>
          </w:rPr>
          <w:t xml:space="preserve">Figure 23. Collation of the exceedance maps of mean annual Chlorophyll-a for the 2010/2011 reporting period (May 2010 – April 2011) for the whole of the Great Barrier Reef World Heritage Area. Pixels are mapped in dark red when mean values for the year exceed the thresholds. Detailed maps are reported in the </w:t>
        </w:r>
        <w:r w:rsidR="00B11F3B" w:rsidRPr="00E27131">
          <w:rPr>
            <w:rStyle w:val="Hyperlink"/>
            <w:noProof/>
          </w:rPr>
          <w:lastRenderedPageBreak/>
          <w:t>regional reporting sections (Figure 33, Figure 44, Figure 55, Figure 66, Figure 77 and Figure 88).</w:t>
        </w:r>
        <w:r w:rsidR="00B11F3B">
          <w:rPr>
            <w:noProof/>
            <w:webHidden/>
          </w:rPr>
          <w:tab/>
        </w:r>
        <w:r w:rsidR="00B11F3B">
          <w:rPr>
            <w:noProof/>
            <w:webHidden/>
          </w:rPr>
          <w:fldChar w:fldCharType="begin"/>
        </w:r>
        <w:r w:rsidR="00B11F3B">
          <w:rPr>
            <w:noProof/>
            <w:webHidden/>
          </w:rPr>
          <w:instrText xml:space="preserve"> PAGEREF _Toc399265009 \h </w:instrText>
        </w:r>
        <w:r w:rsidR="00B11F3B">
          <w:rPr>
            <w:noProof/>
            <w:webHidden/>
          </w:rPr>
        </w:r>
        <w:r w:rsidR="00B11F3B">
          <w:rPr>
            <w:noProof/>
            <w:webHidden/>
          </w:rPr>
          <w:fldChar w:fldCharType="separate"/>
        </w:r>
        <w:r w:rsidR="00B11F3B">
          <w:rPr>
            <w:noProof/>
            <w:webHidden/>
          </w:rPr>
          <w:t>66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0" w:history="1">
        <w:r w:rsidR="00B11F3B" w:rsidRPr="00E27131">
          <w:rPr>
            <w:rStyle w:val="Hyperlink"/>
            <w:noProof/>
          </w:rPr>
          <w:t>Figure 24. Collation of the exceedance maps of mean annual Total Suspended Solids for the 2010/2011 reporting period (May 2010 – April 2011) for the whole of the Great Barrier Reef World Heritage Area. Pixels are mapped in dark red when mean values for the year exceed the thresholds. Detailed maps are reported in the regional reporting sections (Figure 33, Figure 44, Figure 55, Figure 66, Figure 77 and Figure 88).</w:t>
        </w:r>
        <w:r w:rsidR="00B11F3B">
          <w:rPr>
            <w:noProof/>
            <w:webHidden/>
          </w:rPr>
          <w:tab/>
        </w:r>
        <w:r w:rsidR="00B11F3B">
          <w:rPr>
            <w:noProof/>
            <w:webHidden/>
          </w:rPr>
          <w:fldChar w:fldCharType="begin"/>
        </w:r>
        <w:r w:rsidR="00B11F3B">
          <w:rPr>
            <w:noProof/>
            <w:webHidden/>
          </w:rPr>
          <w:instrText xml:space="preserve"> PAGEREF _Toc399265010 \h </w:instrText>
        </w:r>
        <w:r w:rsidR="00B11F3B">
          <w:rPr>
            <w:noProof/>
            <w:webHidden/>
          </w:rPr>
        </w:r>
        <w:r w:rsidR="00B11F3B">
          <w:rPr>
            <w:noProof/>
            <w:webHidden/>
          </w:rPr>
          <w:fldChar w:fldCharType="separate"/>
        </w:r>
        <w:r w:rsidR="00B11F3B">
          <w:rPr>
            <w:noProof/>
            <w:webHidden/>
          </w:rPr>
          <w:t>67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1" w:history="1">
        <w:r w:rsidR="00B11F3B" w:rsidRPr="00E27131">
          <w:rPr>
            <w:rStyle w:val="Hyperlink"/>
            <w:noProof/>
          </w:rPr>
          <w:t>Figure 25. Trends in the Paddock to Reef marine water quality index (P2R_WQI) and component scores (P2R_CHL and P2R_TSS) aggregated for the whole GBR. The regional scores for Cape York and Burnett Mary are excluded from calculations of the overall GBR score for the metrics.</w:t>
        </w:r>
        <w:r w:rsidR="00B11F3B">
          <w:rPr>
            <w:noProof/>
            <w:webHidden/>
          </w:rPr>
          <w:tab/>
        </w:r>
        <w:r w:rsidR="00B11F3B">
          <w:rPr>
            <w:noProof/>
            <w:webHidden/>
          </w:rPr>
          <w:fldChar w:fldCharType="begin"/>
        </w:r>
        <w:r w:rsidR="00B11F3B">
          <w:rPr>
            <w:noProof/>
            <w:webHidden/>
          </w:rPr>
          <w:instrText xml:space="preserve"> PAGEREF _Toc399265011 \h </w:instrText>
        </w:r>
        <w:r w:rsidR="00B11F3B">
          <w:rPr>
            <w:noProof/>
            <w:webHidden/>
          </w:rPr>
        </w:r>
        <w:r w:rsidR="00B11F3B">
          <w:rPr>
            <w:noProof/>
            <w:webHidden/>
          </w:rPr>
          <w:fldChar w:fldCharType="separate"/>
        </w:r>
        <w:r w:rsidR="00B11F3B">
          <w:rPr>
            <w:noProof/>
            <w:webHidden/>
          </w:rPr>
          <w:t>69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2" w:history="1">
        <w:r w:rsidR="00B11F3B" w:rsidRPr="00E27131">
          <w:rPr>
            <w:rStyle w:val="Hyperlink"/>
            <w:noProof/>
          </w:rPr>
          <w:t>Figure 26. Comparison of P2R trends in the whole GBRWHA.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w:t>
        </w:r>
        <w:r w:rsidR="00B11F3B">
          <w:rPr>
            <w:noProof/>
            <w:webHidden/>
          </w:rPr>
          <w:tab/>
        </w:r>
        <w:r w:rsidR="00B11F3B">
          <w:rPr>
            <w:noProof/>
            <w:webHidden/>
          </w:rPr>
          <w:fldChar w:fldCharType="begin"/>
        </w:r>
        <w:r w:rsidR="00B11F3B">
          <w:rPr>
            <w:noProof/>
            <w:webHidden/>
          </w:rPr>
          <w:instrText xml:space="preserve"> PAGEREF _Toc399265012 \h </w:instrText>
        </w:r>
        <w:r w:rsidR="00B11F3B">
          <w:rPr>
            <w:noProof/>
            <w:webHidden/>
          </w:rPr>
        </w:r>
        <w:r w:rsidR="00B11F3B">
          <w:rPr>
            <w:noProof/>
            <w:webHidden/>
          </w:rPr>
          <w:fldChar w:fldCharType="separate"/>
        </w:r>
        <w:r w:rsidR="00B11F3B">
          <w:rPr>
            <w:noProof/>
            <w:webHidden/>
          </w:rPr>
          <w:t>70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3" w:history="1">
        <w:r w:rsidR="00B11F3B" w:rsidRPr="00E27131">
          <w:rPr>
            <w:rStyle w:val="Hyperlink"/>
            <w:noProof/>
          </w:rPr>
          <w:t>Figure 27. Freshwater discharge and estimated freshwater extent for the Cape York region based on the CDOM maximum for the wet seasons.</w:t>
        </w:r>
        <w:r w:rsidR="00B11F3B">
          <w:rPr>
            <w:noProof/>
            <w:webHidden/>
          </w:rPr>
          <w:tab/>
        </w:r>
        <w:r w:rsidR="00B11F3B">
          <w:rPr>
            <w:noProof/>
            <w:webHidden/>
          </w:rPr>
          <w:fldChar w:fldCharType="begin"/>
        </w:r>
        <w:r w:rsidR="00B11F3B">
          <w:rPr>
            <w:noProof/>
            <w:webHidden/>
          </w:rPr>
          <w:instrText xml:space="preserve"> PAGEREF _Toc399265013 \h </w:instrText>
        </w:r>
        <w:r w:rsidR="00B11F3B">
          <w:rPr>
            <w:noProof/>
            <w:webHidden/>
          </w:rPr>
        </w:r>
        <w:r w:rsidR="00B11F3B">
          <w:rPr>
            <w:noProof/>
            <w:webHidden/>
          </w:rPr>
          <w:fldChar w:fldCharType="separate"/>
        </w:r>
        <w:r w:rsidR="00B11F3B">
          <w:rPr>
            <w:noProof/>
            <w:webHidden/>
          </w:rPr>
          <w:t>72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4" w:history="1">
        <w:r w:rsidR="00B11F3B" w:rsidRPr="00E27131">
          <w:rPr>
            <w:rStyle w:val="Hyperlink"/>
            <w:noProof/>
          </w:rPr>
          <w:t>Figure 28. Paddock to Reef marine water quality index (P2R_WQI) and component scores (P2R_CHL and P2R_TSS) for the Cape York region based on the assessment of exceedance to the Guidelines.</w:t>
        </w:r>
        <w:r w:rsidR="00B11F3B">
          <w:rPr>
            <w:noProof/>
            <w:webHidden/>
          </w:rPr>
          <w:tab/>
        </w:r>
        <w:r w:rsidR="00B11F3B">
          <w:rPr>
            <w:noProof/>
            <w:webHidden/>
          </w:rPr>
          <w:fldChar w:fldCharType="begin"/>
        </w:r>
        <w:r w:rsidR="00B11F3B">
          <w:rPr>
            <w:noProof/>
            <w:webHidden/>
          </w:rPr>
          <w:instrText xml:space="preserve"> PAGEREF _Toc399265014 \h </w:instrText>
        </w:r>
        <w:r w:rsidR="00B11F3B">
          <w:rPr>
            <w:noProof/>
            <w:webHidden/>
          </w:rPr>
        </w:r>
        <w:r w:rsidR="00B11F3B">
          <w:rPr>
            <w:noProof/>
            <w:webHidden/>
          </w:rPr>
          <w:fldChar w:fldCharType="separate"/>
        </w:r>
        <w:r w:rsidR="00B11F3B">
          <w:rPr>
            <w:noProof/>
            <w:webHidden/>
          </w:rPr>
          <w:t>73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5" w:history="1">
        <w:r w:rsidR="00B11F3B" w:rsidRPr="00E27131">
          <w:rPr>
            <w:rStyle w:val="Hyperlink"/>
            <w:noProof/>
          </w:rPr>
          <w:t>Figure 29. Map of freshwater extent for the wet season for the Cape York region. The first map presents the maximum value of CDOM for the wet season 2011/2012 (November 2011 - April 2012), while the second map presents freshwater extent estimated with a threshold for the CDOM seasonal maximum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_Toc399265015 \h </w:instrText>
        </w:r>
        <w:r w:rsidR="00B11F3B">
          <w:rPr>
            <w:noProof/>
            <w:webHidden/>
          </w:rPr>
        </w:r>
        <w:r w:rsidR="00B11F3B">
          <w:rPr>
            <w:noProof/>
            <w:webHidden/>
          </w:rPr>
          <w:fldChar w:fldCharType="separate"/>
        </w:r>
        <w:r w:rsidR="00B11F3B">
          <w:rPr>
            <w:noProof/>
            <w:webHidden/>
          </w:rPr>
          <w:t>77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6" w:history="1">
        <w:r w:rsidR="00B11F3B" w:rsidRPr="00E27131">
          <w:rPr>
            <w:rStyle w:val="Hyperlink"/>
            <w:noProof/>
          </w:rPr>
          <w:t>Figure 30. Chlorophyll-a median maps for the dry and wet season for the Cape York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_Toc399265016 \h </w:instrText>
        </w:r>
        <w:r w:rsidR="00B11F3B">
          <w:rPr>
            <w:noProof/>
            <w:webHidden/>
          </w:rPr>
        </w:r>
        <w:r w:rsidR="00B11F3B">
          <w:rPr>
            <w:noProof/>
            <w:webHidden/>
          </w:rPr>
          <w:fldChar w:fldCharType="separate"/>
        </w:r>
        <w:r w:rsidR="00B11F3B">
          <w:rPr>
            <w:noProof/>
            <w:webHidden/>
          </w:rPr>
          <w:t>78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7" w:history="1">
        <w:r w:rsidR="00B11F3B" w:rsidRPr="00E27131">
          <w:rPr>
            <w:rStyle w:val="Hyperlink"/>
            <w:noProof/>
          </w:rPr>
          <w:t>Figure 31. Non-algal particulate matter (NAP as a measure of TSS)  median maps for the dry and wet season for the Cape York region. The first map presents the median for the dry season 2010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_Toc399265017 \h </w:instrText>
        </w:r>
        <w:r w:rsidR="00B11F3B">
          <w:rPr>
            <w:noProof/>
            <w:webHidden/>
          </w:rPr>
        </w:r>
        <w:r w:rsidR="00B11F3B">
          <w:rPr>
            <w:noProof/>
            <w:webHidden/>
          </w:rPr>
          <w:fldChar w:fldCharType="separate"/>
        </w:r>
        <w:r w:rsidR="00B11F3B">
          <w:rPr>
            <w:noProof/>
            <w:webHidden/>
          </w:rPr>
          <w:t>79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8" w:history="1">
        <w:r w:rsidR="00B11F3B" w:rsidRPr="00E27131">
          <w:rPr>
            <w:rStyle w:val="Hyperlink"/>
            <w:noProof/>
          </w:rPr>
          <w:t>Figure 32. Number of observations used to calculate the median maps (Figure 30 - Figure 31) for the dry and wet season for the Cape York region. The first map presents the number of observations available for analysis in the dry season 2011 (May - October), while the second map presents the number of observations available for analysis in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_Toc399265018 \h </w:instrText>
        </w:r>
        <w:r w:rsidR="00B11F3B">
          <w:rPr>
            <w:noProof/>
            <w:webHidden/>
          </w:rPr>
        </w:r>
        <w:r w:rsidR="00B11F3B">
          <w:rPr>
            <w:noProof/>
            <w:webHidden/>
          </w:rPr>
          <w:fldChar w:fldCharType="separate"/>
        </w:r>
        <w:r w:rsidR="00B11F3B">
          <w:rPr>
            <w:noProof/>
            <w:webHidden/>
          </w:rPr>
          <w:t>80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19" w:history="1">
        <w:r w:rsidR="00B11F3B" w:rsidRPr="00E27131">
          <w:rPr>
            <w:rStyle w:val="Hyperlink"/>
            <w:noProof/>
          </w:rPr>
          <w:t>Figure 33. Exceedance maps for the Cape York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w:t>
        </w:r>
        <w:r w:rsidR="00B11F3B" w:rsidRPr="00E27131">
          <w:rPr>
            <w:rStyle w:val="Hyperlink"/>
            <w:noProof/>
            <w:vertAlign w:val="superscript"/>
          </w:rPr>
          <w:t>-1</w:t>
        </w:r>
        <w:r w:rsidR="00B11F3B" w:rsidRPr="00E27131">
          <w:rPr>
            <w:rStyle w:val="Hyperlink"/>
            <w:noProof/>
          </w:rPr>
          <w:t xml:space="preserve"> for Open Coastal and Midshelf and 0.40 µg L</w:t>
        </w:r>
        <w:r w:rsidR="00B11F3B" w:rsidRPr="00E27131">
          <w:rPr>
            <w:rStyle w:val="Hyperlink"/>
            <w:noProof/>
            <w:vertAlign w:val="superscript"/>
          </w:rPr>
          <w:t>-1</w:t>
        </w:r>
        <w:r w:rsidR="00B11F3B" w:rsidRPr="00E27131">
          <w:rPr>
            <w:rStyle w:val="Hyperlink"/>
            <w:noProof/>
          </w:rPr>
          <w:t xml:space="preserve"> for Offshore, while for TSS are 2.0 and 0.7 mg L</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_Toc399265019 \h </w:instrText>
        </w:r>
        <w:r w:rsidR="00B11F3B">
          <w:rPr>
            <w:noProof/>
            <w:webHidden/>
          </w:rPr>
        </w:r>
        <w:r w:rsidR="00B11F3B">
          <w:rPr>
            <w:noProof/>
            <w:webHidden/>
          </w:rPr>
          <w:fldChar w:fldCharType="separate"/>
        </w:r>
        <w:r w:rsidR="00B11F3B">
          <w:rPr>
            <w:noProof/>
            <w:webHidden/>
          </w:rPr>
          <w:t>81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0" w:history="1">
        <w:r w:rsidR="00B11F3B" w:rsidRPr="00E27131">
          <w:rPr>
            <w:rStyle w:val="Hyperlink"/>
            <w:noProof/>
          </w:rPr>
          <w:t>Figure 34. Chlorophyll-a exceedance maps for the dry and wet season for the Cape York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w:t>
        </w:r>
        <w:r w:rsidR="00B11F3B">
          <w:rPr>
            <w:noProof/>
            <w:webHidden/>
          </w:rPr>
          <w:tab/>
        </w:r>
        <w:r w:rsidR="00B11F3B">
          <w:rPr>
            <w:noProof/>
            <w:webHidden/>
          </w:rPr>
          <w:fldChar w:fldCharType="begin"/>
        </w:r>
        <w:r w:rsidR="00B11F3B">
          <w:rPr>
            <w:noProof/>
            <w:webHidden/>
          </w:rPr>
          <w:instrText xml:space="preserve"> PAGEREF _Toc399265020 \h </w:instrText>
        </w:r>
        <w:r w:rsidR="00B11F3B">
          <w:rPr>
            <w:noProof/>
            <w:webHidden/>
          </w:rPr>
        </w:r>
        <w:r w:rsidR="00B11F3B">
          <w:rPr>
            <w:noProof/>
            <w:webHidden/>
          </w:rPr>
          <w:fldChar w:fldCharType="separate"/>
        </w:r>
        <w:r w:rsidR="00B11F3B">
          <w:rPr>
            <w:noProof/>
            <w:webHidden/>
          </w:rPr>
          <w:t>82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1" w:history="1">
        <w:r w:rsidR="00B11F3B" w:rsidRPr="00E27131">
          <w:rPr>
            <w:rStyle w:val="Hyperlink"/>
            <w:noProof/>
          </w:rPr>
          <w:t>Figure 35. Chlorophyll-a exceedance frequency maps for the dry and wet season for the Cape York region. The first map presents the exceedance frequency for the dry season 2011 (May - October), while the second map presents the exceedance frequency for the wet season 2011/2012 (November 2011 - April 2012). The seasonally adjusted Guideline values for Chlorophyll –a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_Toc399265021 \h </w:instrText>
        </w:r>
        <w:r w:rsidR="00B11F3B">
          <w:rPr>
            <w:noProof/>
            <w:webHidden/>
          </w:rPr>
        </w:r>
        <w:r w:rsidR="00B11F3B">
          <w:rPr>
            <w:noProof/>
            <w:webHidden/>
          </w:rPr>
          <w:fldChar w:fldCharType="separate"/>
        </w:r>
        <w:r w:rsidR="00B11F3B">
          <w:rPr>
            <w:noProof/>
            <w:webHidden/>
          </w:rPr>
          <w:t>83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2" w:history="1">
        <w:r w:rsidR="00B11F3B" w:rsidRPr="00E27131">
          <w:rPr>
            <w:rStyle w:val="Hyperlink"/>
            <w:noProof/>
          </w:rPr>
          <w:t>Figure 36. Non-algal particulate matter (NAP as a measure of TSS)  exceedance maps for the dry and wet season for the Cape York. The first map presents the exceedance for the dry season 2011 (May - October), while the second map presents the exceedance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_Toc399265022 \h </w:instrText>
        </w:r>
        <w:r w:rsidR="00B11F3B">
          <w:rPr>
            <w:noProof/>
            <w:webHidden/>
          </w:rPr>
        </w:r>
        <w:r w:rsidR="00B11F3B">
          <w:rPr>
            <w:noProof/>
            <w:webHidden/>
          </w:rPr>
          <w:fldChar w:fldCharType="separate"/>
        </w:r>
        <w:r w:rsidR="00B11F3B">
          <w:rPr>
            <w:noProof/>
            <w:webHidden/>
          </w:rPr>
          <w:t>84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3" w:history="1">
        <w:r w:rsidR="00B11F3B" w:rsidRPr="00E27131">
          <w:rPr>
            <w:rStyle w:val="Hyperlink"/>
            <w:noProof/>
          </w:rPr>
          <w:t>Figure 37. Non-algal particulate matter (NAP as a measure of TSS)  exceedance frequency maps for the dry and wet season for the Cape York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_Toc399265023 \h </w:instrText>
        </w:r>
        <w:r w:rsidR="00B11F3B">
          <w:rPr>
            <w:noProof/>
            <w:webHidden/>
          </w:rPr>
        </w:r>
        <w:r w:rsidR="00B11F3B">
          <w:rPr>
            <w:noProof/>
            <w:webHidden/>
          </w:rPr>
          <w:fldChar w:fldCharType="separate"/>
        </w:r>
        <w:r w:rsidR="00B11F3B">
          <w:rPr>
            <w:noProof/>
            <w:webHidden/>
          </w:rPr>
          <w:t>85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4" w:history="1">
        <w:r w:rsidR="00B11F3B" w:rsidRPr="00E27131">
          <w:rPr>
            <w:rStyle w:val="Hyperlink"/>
            <w:noProof/>
          </w:rPr>
          <w:t>Figure 38. Freshwater discharge and estimated freshwater extent for the Wet Tropics region based on the CDOM maximum for the wet seasons.</w:t>
        </w:r>
        <w:r w:rsidR="00B11F3B">
          <w:rPr>
            <w:noProof/>
            <w:webHidden/>
          </w:rPr>
          <w:tab/>
        </w:r>
        <w:r w:rsidR="00B11F3B">
          <w:rPr>
            <w:noProof/>
            <w:webHidden/>
          </w:rPr>
          <w:fldChar w:fldCharType="begin"/>
        </w:r>
        <w:r w:rsidR="00B11F3B">
          <w:rPr>
            <w:noProof/>
            <w:webHidden/>
          </w:rPr>
          <w:instrText xml:space="preserve"> PAGEREF _Toc399265024 \h </w:instrText>
        </w:r>
        <w:r w:rsidR="00B11F3B">
          <w:rPr>
            <w:noProof/>
            <w:webHidden/>
          </w:rPr>
        </w:r>
        <w:r w:rsidR="00B11F3B">
          <w:rPr>
            <w:noProof/>
            <w:webHidden/>
          </w:rPr>
          <w:fldChar w:fldCharType="separate"/>
        </w:r>
        <w:r w:rsidR="00B11F3B">
          <w:rPr>
            <w:noProof/>
            <w:webHidden/>
          </w:rPr>
          <w:t>87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5" w:history="1">
        <w:r w:rsidR="00B11F3B" w:rsidRPr="00E27131">
          <w:rPr>
            <w:rStyle w:val="Hyperlink"/>
            <w:noProof/>
          </w:rPr>
          <w:t>Figure 39. Paddock to Reef marine water quality index (P2R_WQI) and component scores (P2R_CHL and P2R_TSS) for the Wet Tropics region based on the assessment of exceedance to the Guidelines.</w:t>
        </w:r>
        <w:r w:rsidR="00B11F3B">
          <w:rPr>
            <w:noProof/>
            <w:webHidden/>
          </w:rPr>
          <w:tab/>
        </w:r>
        <w:r w:rsidR="00B11F3B">
          <w:rPr>
            <w:noProof/>
            <w:webHidden/>
          </w:rPr>
          <w:fldChar w:fldCharType="begin"/>
        </w:r>
        <w:r w:rsidR="00B11F3B">
          <w:rPr>
            <w:noProof/>
            <w:webHidden/>
          </w:rPr>
          <w:instrText xml:space="preserve"> PAGEREF _Toc399265025 \h </w:instrText>
        </w:r>
        <w:r w:rsidR="00B11F3B">
          <w:rPr>
            <w:noProof/>
            <w:webHidden/>
          </w:rPr>
        </w:r>
        <w:r w:rsidR="00B11F3B">
          <w:rPr>
            <w:noProof/>
            <w:webHidden/>
          </w:rPr>
          <w:fldChar w:fldCharType="separate"/>
        </w:r>
        <w:r w:rsidR="00B11F3B">
          <w:rPr>
            <w:noProof/>
            <w:webHidden/>
          </w:rPr>
          <w:t>89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6" w:history="1">
        <w:r w:rsidR="00B11F3B" w:rsidRPr="00E27131">
          <w:rPr>
            <w:rStyle w:val="Hyperlink"/>
            <w:noProof/>
          </w:rPr>
          <w:t>Figure 40. Map of freshwater extent for the wet season for the Wet Tropics region. The first map presents the maximum value of CDOM for the wet season 2011/2012 (November 2011 - April 2012), while the second map presents freshwater extent estimated with a threshold for the CDOM seasonal maximum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_Toc399265026 \h </w:instrText>
        </w:r>
        <w:r w:rsidR="00B11F3B">
          <w:rPr>
            <w:noProof/>
            <w:webHidden/>
          </w:rPr>
        </w:r>
        <w:r w:rsidR="00B11F3B">
          <w:rPr>
            <w:noProof/>
            <w:webHidden/>
          </w:rPr>
          <w:fldChar w:fldCharType="separate"/>
        </w:r>
        <w:r w:rsidR="00B11F3B">
          <w:rPr>
            <w:noProof/>
            <w:webHidden/>
          </w:rPr>
          <w:t>93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7" w:history="1">
        <w:r w:rsidR="00B11F3B" w:rsidRPr="00E27131">
          <w:rPr>
            <w:rStyle w:val="Hyperlink"/>
            <w:noProof/>
          </w:rPr>
          <w:t>Figure 41. Chlorophyll-a median maps for the dry and wet season for the Wet Tropics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_Toc399265027 \h </w:instrText>
        </w:r>
        <w:r w:rsidR="00B11F3B">
          <w:rPr>
            <w:noProof/>
            <w:webHidden/>
          </w:rPr>
        </w:r>
        <w:r w:rsidR="00B11F3B">
          <w:rPr>
            <w:noProof/>
            <w:webHidden/>
          </w:rPr>
          <w:fldChar w:fldCharType="separate"/>
        </w:r>
        <w:r w:rsidR="00B11F3B">
          <w:rPr>
            <w:noProof/>
            <w:webHidden/>
          </w:rPr>
          <w:t>94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8" w:history="1">
        <w:r w:rsidR="00B11F3B" w:rsidRPr="00E27131">
          <w:rPr>
            <w:rStyle w:val="Hyperlink"/>
            <w:noProof/>
          </w:rPr>
          <w:t>Figure 42. Non-algal particulate matter (NAP as a measure of TSS) median maps for the dry and wet season for the Wet Tropics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_Toc399265028 \h </w:instrText>
        </w:r>
        <w:r w:rsidR="00B11F3B">
          <w:rPr>
            <w:noProof/>
            <w:webHidden/>
          </w:rPr>
        </w:r>
        <w:r w:rsidR="00B11F3B">
          <w:rPr>
            <w:noProof/>
            <w:webHidden/>
          </w:rPr>
          <w:fldChar w:fldCharType="separate"/>
        </w:r>
        <w:r w:rsidR="00B11F3B">
          <w:rPr>
            <w:noProof/>
            <w:webHidden/>
          </w:rPr>
          <w:t>95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29" w:history="1">
        <w:r w:rsidR="00B11F3B" w:rsidRPr="00E27131">
          <w:rPr>
            <w:rStyle w:val="Hyperlink"/>
            <w:noProof/>
          </w:rPr>
          <w:t>Figure 43. Number of observations used to calculate the median maps (Figure 41 - Figure 42) for the dry and wet season for the Wet Tropics region. The first map presents the number of observations available for analysis in the dry season 2011 (May - October), while the second map presents the number of observations available for analysis in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_Toc399265029 \h </w:instrText>
        </w:r>
        <w:r w:rsidR="00B11F3B">
          <w:rPr>
            <w:noProof/>
            <w:webHidden/>
          </w:rPr>
        </w:r>
        <w:r w:rsidR="00B11F3B">
          <w:rPr>
            <w:noProof/>
            <w:webHidden/>
          </w:rPr>
          <w:fldChar w:fldCharType="separate"/>
        </w:r>
        <w:r w:rsidR="00B11F3B">
          <w:rPr>
            <w:noProof/>
            <w:webHidden/>
          </w:rPr>
          <w:t>96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0" w:history="1">
        <w:r w:rsidR="00B11F3B" w:rsidRPr="00E27131">
          <w:rPr>
            <w:rStyle w:val="Hyperlink"/>
            <w:noProof/>
          </w:rPr>
          <w:t>Figure 44. Exceedance maps for the Wet Tropics region for the whole year (May 2011 – April 2012). The first map presents the Chlorophyll-a exceedance map, while the second map presents the non-algal particulate matter (NAP as a measure of TSS) exceedance map. The Guideline values for annual means of Chlorophyll–a are 0.45 µg L</w:t>
        </w:r>
        <w:r w:rsidR="00B11F3B" w:rsidRPr="00E27131">
          <w:rPr>
            <w:rStyle w:val="Hyperlink"/>
            <w:noProof/>
            <w:vertAlign w:val="superscript"/>
          </w:rPr>
          <w:t>-1</w:t>
        </w:r>
        <w:r w:rsidR="00B11F3B" w:rsidRPr="00E27131">
          <w:rPr>
            <w:rStyle w:val="Hyperlink"/>
            <w:noProof/>
          </w:rPr>
          <w:t xml:space="preserve"> for Open Coastal and Midshelf and 0.40 µg L</w:t>
        </w:r>
        <w:r w:rsidR="00B11F3B" w:rsidRPr="00E27131">
          <w:rPr>
            <w:rStyle w:val="Hyperlink"/>
            <w:noProof/>
            <w:vertAlign w:val="superscript"/>
          </w:rPr>
          <w:t>-1</w:t>
        </w:r>
        <w:r w:rsidR="00B11F3B" w:rsidRPr="00E27131">
          <w:rPr>
            <w:rStyle w:val="Hyperlink"/>
            <w:noProof/>
          </w:rPr>
          <w:t xml:space="preserve"> for Offshore, while for TSS are 2.0 and 0.7 mg L</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_Toc399265030 \h </w:instrText>
        </w:r>
        <w:r w:rsidR="00B11F3B">
          <w:rPr>
            <w:noProof/>
            <w:webHidden/>
          </w:rPr>
        </w:r>
        <w:r w:rsidR="00B11F3B">
          <w:rPr>
            <w:noProof/>
            <w:webHidden/>
          </w:rPr>
          <w:fldChar w:fldCharType="separate"/>
        </w:r>
        <w:r w:rsidR="00B11F3B">
          <w:rPr>
            <w:noProof/>
            <w:webHidden/>
          </w:rPr>
          <w:t>97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1" w:history="1">
        <w:r w:rsidR="00B11F3B" w:rsidRPr="00E27131">
          <w:rPr>
            <w:rStyle w:val="Hyperlink"/>
            <w:noProof/>
          </w:rPr>
          <w:t>Figure 45. Chlorophyll-a exceedance maps for the dry and wet season for the Wet Tropics region. The first map presents the exceedance for the dry season 2011 (May - October), while the second map presents the exceedance for the wet season 2011/2012 (November 2011 - April 2012). The seasonally adjusted Guideline values for Chlorophyll –a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_Toc399265031 \h </w:instrText>
        </w:r>
        <w:r w:rsidR="00B11F3B">
          <w:rPr>
            <w:noProof/>
            <w:webHidden/>
          </w:rPr>
        </w:r>
        <w:r w:rsidR="00B11F3B">
          <w:rPr>
            <w:noProof/>
            <w:webHidden/>
          </w:rPr>
          <w:fldChar w:fldCharType="separate"/>
        </w:r>
        <w:r w:rsidR="00B11F3B">
          <w:rPr>
            <w:noProof/>
            <w:webHidden/>
          </w:rPr>
          <w:t>98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2" w:history="1">
        <w:r w:rsidR="00B11F3B" w:rsidRPr="00E27131">
          <w:rPr>
            <w:rStyle w:val="Hyperlink"/>
            <w:noProof/>
          </w:rPr>
          <w:t>Figure 46. Chlorophyll-a exceedance frequency maps for the dry and wet season for the Wet Tropics region. The first map presents the exceedance frequency for the dry season 2011 (May - October), while the second map presents the exceedance frequency for the wet season 2011/2012 (November 2011 - April 2012). The seasonally adjusted Guideline values for Chlorophyll –a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_Toc399265032 \h </w:instrText>
        </w:r>
        <w:r w:rsidR="00B11F3B">
          <w:rPr>
            <w:noProof/>
            <w:webHidden/>
          </w:rPr>
        </w:r>
        <w:r w:rsidR="00B11F3B">
          <w:rPr>
            <w:noProof/>
            <w:webHidden/>
          </w:rPr>
          <w:fldChar w:fldCharType="separate"/>
        </w:r>
        <w:r w:rsidR="00B11F3B">
          <w:rPr>
            <w:noProof/>
            <w:webHidden/>
          </w:rPr>
          <w:t>99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3" w:history="1">
        <w:r w:rsidR="00B11F3B" w:rsidRPr="00E27131">
          <w:rPr>
            <w:rStyle w:val="Hyperlink"/>
            <w:noProof/>
          </w:rPr>
          <w:t>Figure 47. Non-algal particulate matter (NAP as a measure of TSS) exceedance maps for the dry and wet season for the Wet Tropics region. The first map presents the exceedance for the dry season 2011 (May - October), while the second map presents the exceedance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_Toc399265033 \h </w:instrText>
        </w:r>
        <w:r w:rsidR="00B11F3B">
          <w:rPr>
            <w:noProof/>
            <w:webHidden/>
          </w:rPr>
        </w:r>
        <w:r w:rsidR="00B11F3B">
          <w:rPr>
            <w:noProof/>
            <w:webHidden/>
          </w:rPr>
          <w:fldChar w:fldCharType="separate"/>
        </w:r>
        <w:r w:rsidR="00B11F3B">
          <w:rPr>
            <w:noProof/>
            <w:webHidden/>
          </w:rPr>
          <w:t>100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4" w:history="1">
        <w:r w:rsidR="00B11F3B" w:rsidRPr="00E27131">
          <w:rPr>
            <w:rStyle w:val="Hyperlink"/>
            <w:noProof/>
          </w:rPr>
          <w:t>Figure 48. Non-algal particulate matter (NAP as a measure of TSS) exceedance frequency maps for the dry and wet season for the Wet Tropics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_Toc399265034 \h </w:instrText>
        </w:r>
        <w:r w:rsidR="00B11F3B">
          <w:rPr>
            <w:noProof/>
            <w:webHidden/>
          </w:rPr>
        </w:r>
        <w:r w:rsidR="00B11F3B">
          <w:rPr>
            <w:noProof/>
            <w:webHidden/>
          </w:rPr>
          <w:fldChar w:fldCharType="separate"/>
        </w:r>
        <w:r w:rsidR="00B11F3B">
          <w:rPr>
            <w:noProof/>
            <w:webHidden/>
          </w:rPr>
          <w:t>101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5" w:history="1">
        <w:r w:rsidR="00B11F3B" w:rsidRPr="00E27131">
          <w:rPr>
            <w:rStyle w:val="Hyperlink"/>
            <w:noProof/>
          </w:rPr>
          <w:t>Figure 49. Freshwater discharge and estimated freshwater extent for the Burdekin region based on the CDOM maximum for the wet seasons.</w:t>
        </w:r>
        <w:r w:rsidR="00B11F3B">
          <w:rPr>
            <w:noProof/>
            <w:webHidden/>
          </w:rPr>
          <w:tab/>
        </w:r>
        <w:r w:rsidR="00B11F3B">
          <w:rPr>
            <w:noProof/>
            <w:webHidden/>
          </w:rPr>
          <w:fldChar w:fldCharType="begin"/>
        </w:r>
        <w:r w:rsidR="00B11F3B">
          <w:rPr>
            <w:noProof/>
            <w:webHidden/>
          </w:rPr>
          <w:instrText xml:space="preserve"> PAGEREF _Toc399265035 \h </w:instrText>
        </w:r>
        <w:r w:rsidR="00B11F3B">
          <w:rPr>
            <w:noProof/>
            <w:webHidden/>
          </w:rPr>
        </w:r>
        <w:r w:rsidR="00B11F3B">
          <w:rPr>
            <w:noProof/>
            <w:webHidden/>
          </w:rPr>
          <w:fldChar w:fldCharType="separate"/>
        </w:r>
        <w:r w:rsidR="00B11F3B">
          <w:rPr>
            <w:noProof/>
            <w:webHidden/>
          </w:rPr>
          <w:t>102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6" w:history="1">
        <w:r w:rsidR="00B11F3B" w:rsidRPr="00E27131">
          <w:rPr>
            <w:rStyle w:val="Hyperlink"/>
            <w:noProof/>
          </w:rPr>
          <w:t>Figure 50. Paddock to Reef marine water quality index (P2R_WQI) and component scores (P2R_CHL and P2R_TSS) for the Burdekin region based on the assessment of exceedance to the Guidelines.</w:t>
        </w:r>
        <w:r w:rsidR="00B11F3B">
          <w:rPr>
            <w:noProof/>
            <w:webHidden/>
          </w:rPr>
          <w:tab/>
        </w:r>
        <w:r w:rsidR="00B11F3B">
          <w:rPr>
            <w:noProof/>
            <w:webHidden/>
          </w:rPr>
          <w:fldChar w:fldCharType="begin"/>
        </w:r>
        <w:r w:rsidR="00B11F3B">
          <w:rPr>
            <w:noProof/>
            <w:webHidden/>
          </w:rPr>
          <w:instrText xml:space="preserve"> PAGEREF _Toc399265036 \h </w:instrText>
        </w:r>
        <w:r w:rsidR="00B11F3B">
          <w:rPr>
            <w:noProof/>
            <w:webHidden/>
          </w:rPr>
        </w:r>
        <w:r w:rsidR="00B11F3B">
          <w:rPr>
            <w:noProof/>
            <w:webHidden/>
          </w:rPr>
          <w:fldChar w:fldCharType="separate"/>
        </w:r>
        <w:r w:rsidR="00B11F3B">
          <w:rPr>
            <w:noProof/>
            <w:webHidden/>
          </w:rPr>
          <w:t>104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7" w:history="1">
        <w:r w:rsidR="00B11F3B" w:rsidRPr="00E27131">
          <w:rPr>
            <w:rStyle w:val="Hyperlink"/>
            <w:noProof/>
          </w:rPr>
          <w:t>Figure 51. Map of freshwater extent for the wet season for the Burdekin region. The first map presents the maximum value of CDOM for the wet season 2011/2012 (November 2011 - April 2012), while the second map presents freshwater extent estimated with a threshold for the CDOM seasonal maximum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_Toc399265037 \h </w:instrText>
        </w:r>
        <w:r w:rsidR="00B11F3B">
          <w:rPr>
            <w:noProof/>
            <w:webHidden/>
          </w:rPr>
        </w:r>
        <w:r w:rsidR="00B11F3B">
          <w:rPr>
            <w:noProof/>
            <w:webHidden/>
          </w:rPr>
          <w:fldChar w:fldCharType="separate"/>
        </w:r>
        <w:r w:rsidR="00B11F3B">
          <w:rPr>
            <w:noProof/>
            <w:webHidden/>
          </w:rPr>
          <w:t>108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8" w:history="1">
        <w:r w:rsidR="00B11F3B" w:rsidRPr="00E27131">
          <w:rPr>
            <w:rStyle w:val="Hyperlink"/>
            <w:noProof/>
          </w:rPr>
          <w:t>Figure 52. Chlorophyll-a median maps for the dry and wet season for the Burdekin region. The first map presents the median for the dry season 2011 (May - October), while the second map presents the median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_Toc399265038 \h </w:instrText>
        </w:r>
        <w:r w:rsidR="00B11F3B">
          <w:rPr>
            <w:noProof/>
            <w:webHidden/>
          </w:rPr>
        </w:r>
        <w:r w:rsidR="00B11F3B">
          <w:rPr>
            <w:noProof/>
            <w:webHidden/>
          </w:rPr>
          <w:fldChar w:fldCharType="separate"/>
        </w:r>
        <w:r w:rsidR="00B11F3B">
          <w:rPr>
            <w:noProof/>
            <w:webHidden/>
          </w:rPr>
          <w:t>109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39" w:history="1">
        <w:r w:rsidR="00B11F3B" w:rsidRPr="00E27131">
          <w:rPr>
            <w:rStyle w:val="Hyperlink"/>
            <w:noProof/>
          </w:rPr>
          <w:t>Figure 53. Non-algal particulate matter (NAP as a measure of TSS) median maps for the dry and wet season for the Burdekin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_Toc399265039 \h </w:instrText>
        </w:r>
        <w:r w:rsidR="00B11F3B">
          <w:rPr>
            <w:noProof/>
            <w:webHidden/>
          </w:rPr>
        </w:r>
        <w:r w:rsidR="00B11F3B">
          <w:rPr>
            <w:noProof/>
            <w:webHidden/>
          </w:rPr>
          <w:fldChar w:fldCharType="separate"/>
        </w:r>
        <w:r w:rsidR="00B11F3B">
          <w:rPr>
            <w:noProof/>
            <w:webHidden/>
          </w:rPr>
          <w:t>110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0" w:history="1">
        <w:r w:rsidR="00B11F3B" w:rsidRPr="00E27131">
          <w:rPr>
            <w:rStyle w:val="Hyperlink"/>
            <w:noProof/>
          </w:rPr>
          <w:t>Figure 54. Number of observations used to calculate the median maps (Figure 52 - Figure 53) for the dry and wet season for the Burdekin region. The first map presents the number of observations available for analysis in the dry season 2011 (May - October), while the second map presents the number of observations available for analysis in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_Toc399265040 \h </w:instrText>
        </w:r>
        <w:r w:rsidR="00B11F3B">
          <w:rPr>
            <w:noProof/>
            <w:webHidden/>
          </w:rPr>
        </w:r>
        <w:r w:rsidR="00B11F3B">
          <w:rPr>
            <w:noProof/>
            <w:webHidden/>
          </w:rPr>
          <w:fldChar w:fldCharType="separate"/>
        </w:r>
        <w:r w:rsidR="00B11F3B">
          <w:rPr>
            <w:noProof/>
            <w:webHidden/>
          </w:rPr>
          <w:t>111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1" w:history="1">
        <w:r w:rsidR="00B11F3B" w:rsidRPr="00E27131">
          <w:rPr>
            <w:rStyle w:val="Hyperlink"/>
            <w:noProof/>
          </w:rPr>
          <w:t>Figure 55. Exceedance maps for the Burdekin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w:t>
        </w:r>
        <w:r w:rsidR="00B11F3B" w:rsidRPr="00E27131">
          <w:rPr>
            <w:rStyle w:val="Hyperlink"/>
            <w:noProof/>
            <w:vertAlign w:val="superscript"/>
          </w:rPr>
          <w:t>-1</w:t>
        </w:r>
        <w:r w:rsidR="00B11F3B" w:rsidRPr="00E27131">
          <w:rPr>
            <w:rStyle w:val="Hyperlink"/>
            <w:noProof/>
          </w:rPr>
          <w:t xml:space="preserve"> for Open Coastal and Midshelf and 0.40 µg L</w:t>
        </w:r>
        <w:r w:rsidR="00B11F3B" w:rsidRPr="00E27131">
          <w:rPr>
            <w:rStyle w:val="Hyperlink"/>
            <w:noProof/>
            <w:vertAlign w:val="superscript"/>
          </w:rPr>
          <w:t>-1</w:t>
        </w:r>
        <w:r w:rsidR="00B11F3B" w:rsidRPr="00E27131">
          <w:rPr>
            <w:rStyle w:val="Hyperlink"/>
            <w:noProof/>
          </w:rPr>
          <w:t xml:space="preserve"> for Offshore, while for TSS are 2.0 and 0.7 mg L</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_Toc399265041 \h </w:instrText>
        </w:r>
        <w:r w:rsidR="00B11F3B">
          <w:rPr>
            <w:noProof/>
            <w:webHidden/>
          </w:rPr>
        </w:r>
        <w:r w:rsidR="00B11F3B">
          <w:rPr>
            <w:noProof/>
            <w:webHidden/>
          </w:rPr>
          <w:fldChar w:fldCharType="separate"/>
        </w:r>
        <w:r w:rsidR="00B11F3B">
          <w:rPr>
            <w:noProof/>
            <w:webHidden/>
          </w:rPr>
          <w:t>112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2" w:history="1">
        <w:r w:rsidR="00B11F3B" w:rsidRPr="00E27131">
          <w:rPr>
            <w:rStyle w:val="Hyperlink"/>
            <w:noProof/>
          </w:rPr>
          <w:t xml:space="preserve">Figure 56. Chlorophyll-a exceedance maps for the dry and wet season for the Burdekin region. The first map presents the exceedance for the dry season 2011 (May - October), while the second map presents the exceedance for the wet season 2011/2012 (November 2011 - April 2012). The seasonally adjusted Guideline </w:t>
        </w:r>
        <w:r w:rsidR="00B11F3B" w:rsidRPr="00E27131">
          <w:rPr>
            <w:rStyle w:val="Hyperlink"/>
            <w:noProof/>
          </w:rPr>
          <w:lastRenderedPageBreak/>
          <w:t>values for Chlorophyll –a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_Toc399265042 \h </w:instrText>
        </w:r>
        <w:r w:rsidR="00B11F3B">
          <w:rPr>
            <w:noProof/>
            <w:webHidden/>
          </w:rPr>
        </w:r>
        <w:r w:rsidR="00B11F3B">
          <w:rPr>
            <w:noProof/>
            <w:webHidden/>
          </w:rPr>
          <w:fldChar w:fldCharType="separate"/>
        </w:r>
        <w:r w:rsidR="00B11F3B">
          <w:rPr>
            <w:noProof/>
            <w:webHidden/>
          </w:rPr>
          <w:t>113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3" w:history="1">
        <w:r w:rsidR="00B11F3B" w:rsidRPr="00E27131">
          <w:rPr>
            <w:rStyle w:val="Hyperlink"/>
            <w:noProof/>
          </w:rPr>
          <w:t>Figure 57. Chlorophyll-a exceedance frequency maps for the dry and wet season for the Burdekin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_Toc399265043 \h </w:instrText>
        </w:r>
        <w:r w:rsidR="00B11F3B">
          <w:rPr>
            <w:noProof/>
            <w:webHidden/>
          </w:rPr>
        </w:r>
        <w:r w:rsidR="00B11F3B">
          <w:rPr>
            <w:noProof/>
            <w:webHidden/>
          </w:rPr>
          <w:fldChar w:fldCharType="separate"/>
        </w:r>
        <w:r w:rsidR="00B11F3B">
          <w:rPr>
            <w:noProof/>
            <w:webHidden/>
          </w:rPr>
          <w:t>114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4" w:history="1">
        <w:r w:rsidR="00B11F3B" w:rsidRPr="00E27131">
          <w:rPr>
            <w:rStyle w:val="Hyperlink"/>
            <w:noProof/>
          </w:rPr>
          <w:t>Figure 58. Non-algal particulate matter (NAP as a measure of TSS) exceedance maps for the dry and wet season for the Burdekin region. The first map presents the exceedance for the dry season 2011 (May - October), while the second map presents the exceedance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_Toc399265044 \h </w:instrText>
        </w:r>
        <w:r w:rsidR="00B11F3B">
          <w:rPr>
            <w:noProof/>
            <w:webHidden/>
          </w:rPr>
        </w:r>
        <w:r w:rsidR="00B11F3B">
          <w:rPr>
            <w:noProof/>
            <w:webHidden/>
          </w:rPr>
          <w:fldChar w:fldCharType="separate"/>
        </w:r>
        <w:r w:rsidR="00B11F3B">
          <w:rPr>
            <w:noProof/>
            <w:webHidden/>
          </w:rPr>
          <w:t>115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5" w:history="1">
        <w:r w:rsidR="00B11F3B" w:rsidRPr="00E27131">
          <w:rPr>
            <w:rStyle w:val="Hyperlink"/>
            <w:noProof/>
          </w:rPr>
          <w:t>Figure 59. Non-algal particulate matter (NAP as a measure of TSS) exceedance frequency maps for the dry and wet season for the Burdekin region. The first map presents the exceedance frequency for the dry season 2011 (May - October), while the second map presents the exceedance frequency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_Toc399265045 \h </w:instrText>
        </w:r>
        <w:r w:rsidR="00B11F3B">
          <w:rPr>
            <w:noProof/>
            <w:webHidden/>
          </w:rPr>
        </w:r>
        <w:r w:rsidR="00B11F3B">
          <w:rPr>
            <w:noProof/>
            <w:webHidden/>
          </w:rPr>
          <w:fldChar w:fldCharType="separate"/>
        </w:r>
        <w:r w:rsidR="00B11F3B">
          <w:rPr>
            <w:noProof/>
            <w:webHidden/>
          </w:rPr>
          <w:t>116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6" w:history="1">
        <w:r w:rsidR="00B11F3B" w:rsidRPr="00E27131">
          <w:rPr>
            <w:rStyle w:val="Hyperlink"/>
            <w:noProof/>
          </w:rPr>
          <w:t>Figure 60. Freshwater discharge and estimated freshwater extent for the Mackay Whitsunday region based on the CDOM maximum for the wet seasons.</w:t>
        </w:r>
        <w:r w:rsidR="00B11F3B">
          <w:rPr>
            <w:noProof/>
            <w:webHidden/>
          </w:rPr>
          <w:tab/>
        </w:r>
        <w:r w:rsidR="00B11F3B">
          <w:rPr>
            <w:noProof/>
            <w:webHidden/>
          </w:rPr>
          <w:fldChar w:fldCharType="begin"/>
        </w:r>
        <w:r w:rsidR="00B11F3B">
          <w:rPr>
            <w:noProof/>
            <w:webHidden/>
          </w:rPr>
          <w:instrText xml:space="preserve"> PAGEREF _Toc399265046 \h </w:instrText>
        </w:r>
        <w:r w:rsidR="00B11F3B">
          <w:rPr>
            <w:noProof/>
            <w:webHidden/>
          </w:rPr>
        </w:r>
        <w:r w:rsidR="00B11F3B">
          <w:rPr>
            <w:noProof/>
            <w:webHidden/>
          </w:rPr>
          <w:fldChar w:fldCharType="separate"/>
        </w:r>
        <w:r w:rsidR="00B11F3B">
          <w:rPr>
            <w:noProof/>
            <w:webHidden/>
          </w:rPr>
          <w:t>117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7" w:history="1">
        <w:r w:rsidR="00B11F3B" w:rsidRPr="00E27131">
          <w:rPr>
            <w:rStyle w:val="Hyperlink"/>
            <w:noProof/>
          </w:rPr>
          <w:t>Figure 61. Paddock to Reef marine water quality index (P2R_WQI) and component scores (P2R_CHL and P2R_TSS) for the Mackay Whitsunday region based on the assessment of exceedance to the Guidelines.</w:t>
        </w:r>
        <w:r w:rsidR="00B11F3B">
          <w:rPr>
            <w:noProof/>
            <w:webHidden/>
          </w:rPr>
          <w:tab/>
        </w:r>
        <w:r w:rsidR="00B11F3B">
          <w:rPr>
            <w:noProof/>
            <w:webHidden/>
          </w:rPr>
          <w:fldChar w:fldCharType="begin"/>
        </w:r>
        <w:r w:rsidR="00B11F3B">
          <w:rPr>
            <w:noProof/>
            <w:webHidden/>
          </w:rPr>
          <w:instrText xml:space="preserve"> PAGEREF _Toc399265047 \h </w:instrText>
        </w:r>
        <w:r w:rsidR="00B11F3B">
          <w:rPr>
            <w:noProof/>
            <w:webHidden/>
          </w:rPr>
        </w:r>
        <w:r w:rsidR="00B11F3B">
          <w:rPr>
            <w:noProof/>
            <w:webHidden/>
          </w:rPr>
          <w:fldChar w:fldCharType="separate"/>
        </w:r>
        <w:r w:rsidR="00B11F3B">
          <w:rPr>
            <w:noProof/>
            <w:webHidden/>
          </w:rPr>
          <w:t>119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8" w:history="1">
        <w:r w:rsidR="00B11F3B" w:rsidRPr="00E27131">
          <w:rPr>
            <w:rStyle w:val="Hyperlink"/>
            <w:noProof/>
          </w:rPr>
          <w:t>Figure 62. Map of freshwater extent for the wet season for the Mackay Whitsunday region. The first map presents the maximum value of CDOM for the wet season 2011/2012 (November 2011 - April 2012), while the second map presents freshwater extent estimated with a threshold for the CDOM seasonal maximum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_Toc399265048 \h </w:instrText>
        </w:r>
        <w:r w:rsidR="00B11F3B">
          <w:rPr>
            <w:noProof/>
            <w:webHidden/>
          </w:rPr>
        </w:r>
        <w:r w:rsidR="00B11F3B">
          <w:rPr>
            <w:noProof/>
            <w:webHidden/>
          </w:rPr>
          <w:fldChar w:fldCharType="separate"/>
        </w:r>
        <w:r w:rsidR="00B11F3B">
          <w:rPr>
            <w:noProof/>
            <w:webHidden/>
          </w:rPr>
          <w:t>123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49" w:history="1">
        <w:r w:rsidR="00B11F3B" w:rsidRPr="00E27131">
          <w:rPr>
            <w:rStyle w:val="Hyperlink"/>
            <w:noProof/>
          </w:rPr>
          <w:t>Figure 63. Chlorophyll-a median maps for the dry and wet season for the Mackay Whitsunday region. The first map presents the median for the dry season 2011 (May - October), while the second map presents the median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_Toc399265049 \h </w:instrText>
        </w:r>
        <w:r w:rsidR="00B11F3B">
          <w:rPr>
            <w:noProof/>
            <w:webHidden/>
          </w:rPr>
        </w:r>
        <w:r w:rsidR="00B11F3B">
          <w:rPr>
            <w:noProof/>
            <w:webHidden/>
          </w:rPr>
          <w:fldChar w:fldCharType="separate"/>
        </w:r>
        <w:r w:rsidR="00B11F3B">
          <w:rPr>
            <w:noProof/>
            <w:webHidden/>
          </w:rPr>
          <w:t>124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0" w:history="1">
        <w:r w:rsidR="00B11F3B" w:rsidRPr="00E27131">
          <w:rPr>
            <w:rStyle w:val="Hyperlink"/>
            <w:noProof/>
          </w:rPr>
          <w:t>Figure 64. Non-algal particulate matter (NAP as a measure of TSS) median maps for the dry and wet season for the Mackay Whitsunday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_Toc399265050 \h </w:instrText>
        </w:r>
        <w:r w:rsidR="00B11F3B">
          <w:rPr>
            <w:noProof/>
            <w:webHidden/>
          </w:rPr>
        </w:r>
        <w:r w:rsidR="00B11F3B">
          <w:rPr>
            <w:noProof/>
            <w:webHidden/>
          </w:rPr>
          <w:fldChar w:fldCharType="separate"/>
        </w:r>
        <w:r w:rsidR="00B11F3B">
          <w:rPr>
            <w:noProof/>
            <w:webHidden/>
          </w:rPr>
          <w:t>125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1" w:history="1">
        <w:r w:rsidR="00B11F3B" w:rsidRPr="00E27131">
          <w:rPr>
            <w:rStyle w:val="Hyperlink"/>
            <w:noProof/>
          </w:rPr>
          <w:t>Figure 65. Number of observations used to calculate the median maps (Figure 63 - Figure 64) for the dry and wet season for the Mackay Whitsunday region. The first map presents the number of observations available for analysis in the dry season 2011 (May - October), while the second map presents the number of observations available for analysis in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_Toc399265051 \h </w:instrText>
        </w:r>
        <w:r w:rsidR="00B11F3B">
          <w:rPr>
            <w:noProof/>
            <w:webHidden/>
          </w:rPr>
        </w:r>
        <w:r w:rsidR="00B11F3B">
          <w:rPr>
            <w:noProof/>
            <w:webHidden/>
          </w:rPr>
          <w:fldChar w:fldCharType="separate"/>
        </w:r>
        <w:r w:rsidR="00B11F3B">
          <w:rPr>
            <w:noProof/>
            <w:webHidden/>
          </w:rPr>
          <w:t>126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2" w:history="1">
        <w:r w:rsidR="00B11F3B" w:rsidRPr="00E27131">
          <w:rPr>
            <w:rStyle w:val="Hyperlink"/>
            <w:noProof/>
          </w:rPr>
          <w:t>Figure 66. Exceedance maps for the Mackay Whitsunday region for the reporting year 2011/12 (May 2011 –April 2012). The first map presents the exceedance map, while the second map presents the Non-algal particulate matter (NAP as a measure of TSS) exceedance map. The Guideline values for annual means of Chlorophyll-a are 0.45 µg L</w:t>
        </w:r>
        <w:r w:rsidR="00B11F3B" w:rsidRPr="00E27131">
          <w:rPr>
            <w:rStyle w:val="Hyperlink"/>
            <w:noProof/>
            <w:vertAlign w:val="superscript"/>
          </w:rPr>
          <w:t xml:space="preserve">-1 </w:t>
        </w:r>
        <w:r w:rsidR="00B11F3B" w:rsidRPr="00E27131">
          <w:rPr>
            <w:rStyle w:val="Hyperlink"/>
            <w:noProof/>
          </w:rPr>
          <w:t>for Open Coastal and Midshelf and 0.40 µg L</w:t>
        </w:r>
        <w:r w:rsidR="00B11F3B" w:rsidRPr="00E27131">
          <w:rPr>
            <w:rStyle w:val="Hyperlink"/>
            <w:noProof/>
            <w:vertAlign w:val="superscript"/>
          </w:rPr>
          <w:t>-1</w:t>
        </w:r>
        <w:r w:rsidR="00B11F3B" w:rsidRPr="00E27131">
          <w:rPr>
            <w:rStyle w:val="Hyperlink"/>
            <w:noProof/>
          </w:rPr>
          <w:t xml:space="preserve"> for Offshore, while for TSS are 2.0 and 0.7 mg L</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_Toc399265052 \h </w:instrText>
        </w:r>
        <w:r w:rsidR="00B11F3B">
          <w:rPr>
            <w:noProof/>
            <w:webHidden/>
          </w:rPr>
        </w:r>
        <w:r w:rsidR="00B11F3B">
          <w:rPr>
            <w:noProof/>
            <w:webHidden/>
          </w:rPr>
          <w:fldChar w:fldCharType="separate"/>
        </w:r>
        <w:r w:rsidR="00B11F3B">
          <w:rPr>
            <w:noProof/>
            <w:webHidden/>
          </w:rPr>
          <w:t>127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3" w:history="1">
        <w:r w:rsidR="00B11F3B" w:rsidRPr="00E27131">
          <w:rPr>
            <w:rStyle w:val="Hyperlink"/>
            <w:noProof/>
          </w:rPr>
          <w:t xml:space="preserve">Figure 67. Chlorophyll-a exceedance maps for the dry and wet season for the Mackay Whitsunday region. The first map presents the exceedance for the dry season </w:t>
        </w:r>
        <w:r w:rsidR="00B11F3B" w:rsidRPr="00E27131">
          <w:rPr>
            <w:rStyle w:val="Hyperlink"/>
            <w:noProof/>
          </w:rPr>
          <w:lastRenderedPageBreak/>
          <w:t>2011 (May - October), while the second map presents the exceedance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_Toc399265053 \h </w:instrText>
        </w:r>
        <w:r w:rsidR="00B11F3B">
          <w:rPr>
            <w:noProof/>
            <w:webHidden/>
          </w:rPr>
        </w:r>
        <w:r w:rsidR="00B11F3B">
          <w:rPr>
            <w:noProof/>
            <w:webHidden/>
          </w:rPr>
          <w:fldChar w:fldCharType="separate"/>
        </w:r>
        <w:r w:rsidR="00B11F3B">
          <w:rPr>
            <w:noProof/>
            <w:webHidden/>
          </w:rPr>
          <w:t>128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4" w:history="1">
        <w:r w:rsidR="00B11F3B" w:rsidRPr="00E27131">
          <w:rPr>
            <w:rStyle w:val="Hyperlink"/>
            <w:noProof/>
          </w:rPr>
          <w:t>Figure 68. Chlorophyll-a exceedance frequency maps for the dry and wet season for the Mackay Whitsunday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_Toc399265054 \h </w:instrText>
        </w:r>
        <w:r w:rsidR="00B11F3B">
          <w:rPr>
            <w:noProof/>
            <w:webHidden/>
          </w:rPr>
        </w:r>
        <w:r w:rsidR="00B11F3B">
          <w:rPr>
            <w:noProof/>
            <w:webHidden/>
          </w:rPr>
          <w:fldChar w:fldCharType="separate"/>
        </w:r>
        <w:r w:rsidR="00B11F3B">
          <w:rPr>
            <w:noProof/>
            <w:webHidden/>
          </w:rPr>
          <w:t>129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5" w:history="1">
        <w:r w:rsidR="00B11F3B" w:rsidRPr="00E27131">
          <w:rPr>
            <w:rStyle w:val="Hyperlink"/>
            <w:noProof/>
          </w:rPr>
          <w:t>Figure 69. Non-algal particulate matter (NAP as a measure of TSS) exceedance maps for the dry and wet season for the Mackay Whitsunday region. The first map presents the exceedance for the dry season 2011 (May - October), while the second map presents the exceedance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_Toc399265055 \h </w:instrText>
        </w:r>
        <w:r w:rsidR="00B11F3B">
          <w:rPr>
            <w:noProof/>
            <w:webHidden/>
          </w:rPr>
        </w:r>
        <w:r w:rsidR="00B11F3B">
          <w:rPr>
            <w:noProof/>
            <w:webHidden/>
          </w:rPr>
          <w:fldChar w:fldCharType="separate"/>
        </w:r>
        <w:r w:rsidR="00B11F3B">
          <w:rPr>
            <w:noProof/>
            <w:webHidden/>
          </w:rPr>
          <w:t>130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6" w:history="1">
        <w:r w:rsidR="00B11F3B" w:rsidRPr="00E27131">
          <w:rPr>
            <w:rStyle w:val="Hyperlink"/>
            <w:noProof/>
          </w:rPr>
          <w:t>Figure 70. Non-algal particulate matter (NAP as a measure of TSS)  exceedance frequency maps for the dry and wet season for the Mackay Whitsunday region. The first map presents the exceedance frequency for the dry season 2011 (May - October), while the second map presents the exceedance frequency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_Toc399265056 \h </w:instrText>
        </w:r>
        <w:r w:rsidR="00B11F3B">
          <w:rPr>
            <w:noProof/>
            <w:webHidden/>
          </w:rPr>
        </w:r>
        <w:r w:rsidR="00B11F3B">
          <w:rPr>
            <w:noProof/>
            <w:webHidden/>
          </w:rPr>
          <w:fldChar w:fldCharType="separate"/>
        </w:r>
        <w:r w:rsidR="00B11F3B">
          <w:rPr>
            <w:noProof/>
            <w:webHidden/>
          </w:rPr>
          <w:t>131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7" w:history="1">
        <w:r w:rsidR="00B11F3B" w:rsidRPr="00E27131">
          <w:rPr>
            <w:rStyle w:val="Hyperlink"/>
            <w:noProof/>
          </w:rPr>
          <w:t>Figure 71. Freshwater discharge and estimated freshwater extent for the Fitzroy region based on the CDOM maximum for the wet seasons. Freshwater discharge was nil in 2002/2003 and 2003/2004 wet seasons.</w:t>
        </w:r>
        <w:r w:rsidR="00B11F3B">
          <w:rPr>
            <w:noProof/>
            <w:webHidden/>
          </w:rPr>
          <w:tab/>
        </w:r>
        <w:r w:rsidR="00B11F3B">
          <w:rPr>
            <w:noProof/>
            <w:webHidden/>
          </w:rPr>
          <w:fldChar w:fldCharType="begin"/>
        </w:r>
        <w:r w:rsidR="00B11F3B">
          <w:rPr>
            <w:noProof/>
            <w:webHidden/>
          </w:rPr>
          <w:instrText xml:space="preserve"> PAGEREF _Toc399265057 \h </w:instrText>
        </w:r>
        <w:r w:rsidR="00B11F3B">
          <w:rPr>
            <w:noProof/>
            <w:webHidden/>
          </w:rPr>
        </w:r>
        <w:r w:rsidR="00B11F3B">
          <w:rPr>
            <w:noProof/>
            <w:webHidden/>
          </w:rPr>
          <w:fldChar w:fldCharType="separate"/>
        </w:r>
        <w:r w:rsidR="00B11F3B">
          <w:rPr>
            <w:noProof/>
            <w:webHidden/>
          </w:rPr>
          <w:t>133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8" w:history="1">
        <w:r w:rsidR="00B11F3B" w:rsidRPr="00E27131">
          <w:rPr>
            <w:rStyle w:val="Hyperlink"/>
            <w:noProof/>
          </w:rPr>
          <w:t>Figure 72. Paddock to Reef marine water quality index (P2R_WQI) and component scores (P2R_CHL and P2R_TSS) for the Fitzroy region based on the assessment of exceedance to the Guidelines.</w:t>
        </w:r>
        <w:r w:rsidR="00B11F3B">
          <w:rPr>
            <w:noProof/>
            <w:webHidden/>
          </w:rPr>
          <w:tab/>
        </w:r>
        <w:r w:rsidR="00B11F3B">
          <w:rPr>
            <w:noProof/>
            <w:webHidden/>
          </w:rPr>
          <w:fldChar w:fldCharType="begin"/>
        </w:r>
        <w:r w:rsidR="00B11F3B">
          <w:rPr>
            <w:noProof/>
            <w:webHidden/>
          </w:rPr>
          <w:instrText xml:space="preserve"> PAGEREF _Toc399265058 \h </w:instrText>
        </w:r>
        <w:r w:rsidR="00B11F3B">
          <w:rPr>
            <w:noProof/>
            <w:webHidden/>
          </w:rPr>
        </w:r>
        <w:r w:rsidR="00B11F3B">
          <w:rPr>
            <w:noProof/>
            <w:webHidden/>
          </w:rPr>
          <w:fldChar w:fldCharType="separate"/>
        </w:r>
        <w:r w:rsidR="00B11F3B">
          <w:rPr>
            <w:noProof/>
            <w:webHidden/>
          </w:rPr>
          <w:t>134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59" w:history="1">
        <w:r w:rsidR="00B11F3B" w:rsidRPr="00E27131">
          <w:rPr>
            <w:rStyle w:val="Hyperlink"/>
            <w:noProof/>
          </w:rPr>
          <w:t>Figure 73. Map of freshwater extent for the wet season for the Fitzroy region. The first map presents the maximum value of CDOM for the wet season 2011/2012 (November 2011 - April 2012), while the second map presents freshwater extent estimated with a threshold for the CDOM seasonal maximum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_Toc399265059 \h </w:instrText>
        </w:r>
        <w:r w:rsidR="00B11F3B">
          <w:rPr>
            <w:noProof/>
            <w:webHidden/>
          </w:rPr>
        </w:r>
        <w:r w:rsidR="00B11F3B">
          <w:rPr>
            <w:noProof/>
            <w:webHidden/>
          </w:rPr>
          <w:fldChar w:fldCharType="separate"/>
        </w:r>
        <w:r w:rsidR="00B11F3B">
          <w:rPr>
            <w:noProof/>
            <w:webHidden/>
          </w:rPr>
          <w:t>138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0" w:history="1">
        <w:r w:rsidR="00B11F3B" w:rsidRPr="00E27131">
          <w:rPr>
            <w:rStyle w:val="Hyperlink"/>
            <w:noProof/>
          </w:rPr>
          <w:t>Figure 74. Chlorophyll-a median maps for the dry and wet season for the Fitzroy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_Toc399265060 \h </w:instrText>
        </w:r>
        <w:r w:rsidR="00B11F3B">
          <w:rPr>
            <w:noProof/>
            <w:webHidden/>
          </w:rPr>
        </w:r>
        <w:r w:rsidR="00B11F3B">
          <w:rPr>
            <w:noProof/>
            <w:webHidden/>
          </w:rPr>
          <w:fldChar w:fldCharType="separate"/>
        </w:r>
        <w:r w:rsidR="00B11F3B">
          <w:rPr>
            <w:noProof/>
            <w:webHidden/>
          </w:rPr>
          <w:t>139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1" w:history="1">
        <w:r w:rsidR="00B11F3B" w:rsidRPr="00E27131">
          <w:rPr>
            <w:rStyle w:val="Hyperlink"/>
            <w:noProof/>
          </w:rPr>
          <w:t>Figure 75. Non-algal particulate matter (NAP as a measure of TSS) median maps for the dry and wet season for the Fitzroy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_Toc399265061 \h </w:instrText>
        </w:r>
        <w:r w:rsidR="00B11F3B">
          <w:rPr>
            <w:noProof/>
            <w:webHidden/>
          </w:rPr>
        </w:r>
        <w:r w:rsidR="00B11F3B">
          <w:rPr>
            <w:noProof/>
            <w:webHidden/>
          </w:rPr>
          <w:fldChar w:fldCharType="separate"/>
        </w:r>
        <w:r w:rsidR="00B11F3B">
          <w:rPr>
            <w:noProof/>
            <w:webHidden/>
          </w:rPr>
          <w:t>140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2" w:history="1">
        <w:r w:rsidR="00B11F3B" w:rsidRPr="00E27131">
          <w:rPr>
            <w:rStyle w:val="Hyperlink"/>
            <w:noProof/>
          </w:rPr>
          <w:t>Figure 76. Number of observations used to calculate the median maps (Figure 74 - Figure 75) for the dry and wet season for the Fitzroy region. The first map presents the number of observations available for analysis in the dry season 2011 (May - October), while the second map presents the number of observations available for analysis in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_Toc399265062 \h </w:instrText>
        </w:r>
        <w:r w:rsidR="00B11F3B">
          <w:rPr>
            <w:noProof/>
            <w:webHidden/>
          </w:rPr>
        </w:r>
        <w:r w:rsidR="00B11F3B">
          <w:rPr>
            <w:noProof/>
            <w:webHidden/>
          </w:rPr>
          <w:fldChar w:fldCharType="separate"/>
        </w:r>
        <w:r w:rsidR="00B11F3B">
          <w:rPr>
            <w:noProof/>
            <w:webHidden/>
          </w:rPr>
          <w:t>141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3" w:history="1">
        <w:r w:rsidR="00B11F3B" w:rsidRPr="00E27131">
          <w:rPr>
            <w:rStyle w:val="Hyperlink"/>
            <w:noProof/>
          </w:rPr>
          <w:t>Figure 77. Exceedance maps for the Fitzroy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w:t>
        </w:r>
        <w:r w:rsidR="00B11F3B" w:rsidRPr="00E27131">
          <w:rPr>
            <w:rStyle w:val="Hyperlink"/>
            <w:noProof/>
            <w:vertAlign w:val="superscript"/>
          </w:rPr>
          <w:t>-1</w:t>
        </w:r>
        <w:r w:rsidR="00B11F3B" w:rsidRPr="00E27131">
          <w:rPr>
            <w:rStyle w:val="Hyperlink"/>
            <w:noProof/>
          </w:rPr>
          <w:t xml:space="preserve"> for Open Coastal and Midshelf and 0.40 µg L</w:t>
        </w:r>
        <w:r w:rsidR="00B11F3B" w:rsidRPr="00E27131">
          <w:rPr>
            <w:rStyle w:val="Hyperlink"/>
            <w:noProof/>
            <w:vertAlign w:val="superscript"/>
          </w:rPr>
          <w:t>-1</w:t>
        </w:r>
        <w:r w:rsidR="00B11F3B" w:rsidRPr="00E27131">
          <w:rPr>
            <w:rStyle w:val="Hyperlink"/>
            <w:noProof/>
          </w:rPr>
          <w:t xml:space="preserve"> for Offshore, while for TSS are 2.0 and 0.7 mg L</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_Toc399265063 \h </w:instrText>
        </w:r>
        <w:r w:rsidR="00B11F3B">
          <w:rPr>
            <w:noProof/>
            <w:webHidden/>
          </w:rPr>
        </w:r>
        <w:r w:rsidR="00B11F3B">
          <w:rPr>
            <w:noProof/>
            <w:webHidden/>
          </w:rPr>
          <w:fldChar w:fldCharType="separate"/>
        </w:r>
        <w:r w:rsidR="00B11F3B">
          <w:rPr>
            <w:noProof/>
            <w:webHidden/>
          </w:rPr>
          <w:t>142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4" w:history="1">
        <w:r w:rsidR="00B11F3B" w:rsidRPr="00E27131">
          <w:rPr>
            <w:rStyle w:val="Hyperlink"/>
            <w:noProof/>
          </w:rPr>
          <w:t xml:space="preserve">Figure 78. Chlorophyll-a exceedance maps for the dry and wet season for the Fitzroy region. The first map presents the exceedance for the dry season 2011 (May - October), while the second map presents the exceedance for the wet season 2011/2012 (November 2011 - April 2012). The seasonally adjusted Guideline values for </w:t>
        </w:r>
        <w:r w:rsidR="00B11F3B" w:rsidRPr="00E27131">
          <w:rPr>
            <w:rStyle w:val="Hyperlink"/>
            <w:noProof/>
          </w:rPr>
          <w:lastRenderedPageBreak/>
          <w:t>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_Toc399265064 \h </w:instrText>
        </w:r>
        <w:r w:rsidR="00B11F3B">
          <w:rPr>
            <w:noProof/>
            <w:webHidden/>
          </w:rPr>
        </w:r>
        <w:r w:rsidR="00B11F3B">
          <w:rPr>
            <w:noProof/>
            <w:webHidden/>
          </w:rPr>
          <w:fldChar w:fldCharType="separate"/>
        </w:r>
        <w:r w:rsidR="00B11F3B">
          <w:rPr>
            <w:noProof/>
            <w:webHidden/>
          </w:rPr>
          <w:t>143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5" w:history="1">
        <w:r w:rsidR="00B11F3B" w:rsidRPr="00E27131">
          <w:rPr>
            <w:rStyle w:val="Hyperlink"/>
            <w:noProof/>
          </w:rPr>
          <w:t>Figure 79. Chlorophyll-a exceedance frequency maps for the dry and wet season for the Fitzroy region. Top: exceedance frequency for the dry season 2011 (May - October); bottom: exceedance frequency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_Toc399265065 \h </w:instrText>
        </w:r>
        <w:r w:rsidR="00B11F3B">
          <w:rPr>
            <w:noProof/>
            <w:webHidden/>
          </w:rPr>
        </w:r>
        <w:r w:rsidR="00B11F3B">
          <w:rPr>
            <w:noProof/>
            <w:webHidden/>
          </w:rPr>
          <w:fldChar w:fldCharType="separate"/>
        </w:r>
        <w:r w:rsidR="00B11F3B">
          <w:rPr>
            <w:noProof/>
            <w:webHidden/>
          </w:rPr>
          <w:t>144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6" w:history="1">
        <w:r w:rsidR="00B11F3B" w:rsidRPr="00E27131">
          <w:rPr>
            <w:rStyle w:val="Hyperlink"/>
            <w:noProof/>
          </w:rPr>
          <w:t>Figure 80. Non-algal particulate matter (NAP as a measure of TSS) exceedance maps for the dry and wet season for the Fitzroy region. Top: exceedance for the dry season 2011 (May - October); bottom: exceedance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_Toc399265066 \h </w:instrText>
        </w:r>
        <w:r w:rsidR="00B11F3B">
          <w:rPr>
            <w:noProof/>
            <w:webHidden/>
          </w:rPr>
        </w:r>
        <w:r w:rsidR="00B11F3B">
          <w:rPr>
            <w:noProof/>
            <w:webHidden/>
          </w:rPr>
          <w:fldChar w:fldCharType="separate"/>
        </w:r>
        <w:r w:rsidR="00B11F3B">
          <w:rPr>
            <w:noProof/>
            <w:webHidden/>
          </w:rPr>
          <w:t>145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7" w:history="1">
        <w:r w:rsidR="00B11F3B" w:rsidRPr="00E27131">
          <w:rPr>
            <w:rStyle w:val="Hyperlink"/>
            <w:noProof/>
          </w:rPr>
          <w:t>Figure 81. Non-algal particulate matter (NAP as a measure of TSS) exceedance frequency maps for the dry and wet season for the Fitzroy region. Top: exceedance frequency for the dry season 2011 (May - October); bottom: exceedance frequency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_Toc399265067 \h </w:instrText>
        </w:r>
        <w:r w:rsidR="00B11F3B">
          <w:rPr>
            <w:noProof/>
            <w:webHidden/>
          </w:rPr>
        </w:r>
        <w:r w:rsidR="00B11F3B">
          <w:rPr>
            <w:noProof/>
            <w:webHidden/>
          </w:rPr>
          <w:fldChar w:fldCharType="separate"/>
        </w:r>
        <w:r w:rsidR="00B11F3B">
          <w:rPr>
            <w:noProof/>
            <w:webHidden/>
          </w:rPr>
          <w:t>146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8" w:history="1">
        <w:r w:rsidR="00B11F3B" w:rsidRPr="00E27131">
          <w:rPr>
            <w:rStyle w:val="Hyperlink"/>
            <w:noProof/>
          </w:rPr>
          <w:t>Figure 82. Freshwater discharge and estimated freshwater extent for the Burnett Mary region based on the CDOM maximum for the wet seasons.</w:t>
        </w:r>
        <w:r w:rsidR="00B11F3B">
          <w:rPr>
            <w:noProof/>
            <w:webHidden/>
          </w:rPr>
          <w:tab/>
        </w:r>
        <w:r w:rsidR="00B11F3B">
          <w:rPr>
            <w:noProof/>
            <w:webHidden/>
          </w:rPr>
          <w:fldChar w:fldCharType="begin"/>
        </w:r>
        <w:r w:rsidR="00B11F3B">
          <w:rPr>
            <w:noProof/>
            <w:webHidden/>
          </w:rPr>
          <w:instrText xml:space="preserve"> PAGEREF _Toc399265068 \h </w:instrText>
        </w:r>
        <w:r w:rsidR="00B11F3B">
          <w:rPr>
            <w:noProof/>
            <w:webHidden/>
          </w:rPr>
        </w:r>
        <w:r w:rsidR="00B11F3B">
          <w:rPr>
            <w:noProof/>
            <w:webHidden/>
          </w:rPr>
          <w:fldChar w:fldCharType="separate"/>
        </w:r>
        <w:r w:rsidR="00B11F3B">
          <w:rPr>
            <w:noProof/>
            <w:webHidden/>
          </w:rPr>
          <w:t>147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69" w:history="1">
        <w:r w:rsidR="00B11F3B" w:rsidRPr="00E27131">
          <w:rPr>
            <w:rStyle w:val="Hyperlink"/>
            <w:noProof/>
          </w:rPr>
          <w:t>Figure 83. Paddock to Reef marine water quality index (P2R_WQI) and component scores (P2R_CHL and P2R_TSS) for the Mary Burnett region based on the assessment of exceedance to the Guidelines.</w:t>
        </w:r>
        <w:r w:rsidR="00B11F3B">
          <w:rPr>
            <w:noProof/>
            <w:webHidden/>
          </w:rPr>
          <w:tab/>
        </w:r>
        <w:r w:rsidR="00B11F3B">
          <w:rPr>
            <w:noProof/>
            <w:webHidden/>
          </w:rPr>
          <w:fldChar w:fldCharType="begin"/>
        </w:r>
        <w:r w:rsidR="00B11F3B">
          <w:rPr>
            <w:noProof/>
            <w:webHidden/>
          </w:rPr>
          <w:instrText xml:space="preserve"> PAGEREF _Toc399265069 \h </w:instrText>
        </w:r>
        <w:r w:rsidR="00B11F3B">
          <w:rPr>
            <w:noProof/>
            <w:webHidden/>
          </w:rPr>
        </w:r>
        <w:r w:rsidR="00B11F3B">
          <w:rPr>
            <w:noProof/>
            <w:webHidden/>
          </w:rPr>
          <w:fldChar w:fldCharType="separate"/>
        </w:r>
        <w:r w:rsidR="00B11F3B">
          <w:rPr>
            <w:noProof/>
            <w:webHidden/>
          </w:rPr>
          <w:t>149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0" w:history="1">
        <w:r w:rsidR="00B11F3B" w:rsidRPr="00E27131">
          <w:rPr>
            <w:rStyle w:val="Hyperlink"/>
            <w:noProof/>
          </w:rPr>
          <w:t>Figure 84. Map of freshwater extent for the wet season for Burnett Mary region. The first map presents the maximum value of CDOM for the wet season 2011/2012 (November 2011 - April 2012), while the second map presents freshwater extent estimated with a threshold for the CDOM seasonal maximum of 0.24 m</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_Toc399265070 \h </w:instrText>
        </w:r>
        <w:r w:rsidR="00B11F3B">
          <w:rPr>
            <w:noProof/>
            <w:webHidden/>
          </w:rPr>
        </w:r>
        <w:r w:rsidR="00B11F3B">
          <w:rPr>
            <w:noProof/>
            <w:webHidden/>
          </w:rPr>
          <w:fldChar w:fldCharType="separate"/>
        </w:r>
        <w:r w:rsidR="00B11F3B">
          <w:rPr>
            <w:noProof/>
            <w:webHidden/>
          </w:rPr>
          <w:t>153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1" w:history="1">
        <w:r w:rsidR="00B11F3B" w:rsidRPr="00E27131">
          <w:rPr>
            <w:rStyle w:val="Hyperlink"/>
            <w:noProof/>
          </w:rPr>
          <w:t>Figure 85. Chlorophyll-a median maps for the dry and wet season for the Burnett Mary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_Toc399265071 \h </w:instrText>
        </w:r>
        <w:r w:rsidR="00B11F3B">
          <w:rPr>
            <w:noProof/>
            <w:webHidden/>
          </w:rPr>
        </w:r>
        <w:r w:rsidR="00B11F3B">
          <w:rPr>
            <w:noProof/>
            <w:webHidden/>
          </w:rPr>
          <w:fldChar w:fldCharType="separate"/>
        </w:r>
        <w:r w:rsidR="00B11F3B">
          <w:rPr>
            <w:noProof/>
            <w:webHidden/>
          </w:rPr>
          <w:t>154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2" w:history="1">
        <w:r w:rsidR="00B11F3B" w:rsidRPr="00E27131">
          <w:rPr>
            <w:rStyle w:val="Hyperlink"/>
            <w:noProof/>
          </w:rPr>
          <w:t>Figure 86. Non-algal particulate matter (NAP as a measure of TSS) median maps for the dry and wet season for the Burnett Mary region. The first map presents the median for the dry season 2011 (May - October), while the second map presents the median for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_Toc399265072 \h </w:instrText>
        </w:r>
        <w:r w:rsidR="00B11F3B">
          <w:rPr>
            <w:noProof/>
            <w:webHidden/>
          </w:rPr>
        </w:r>
        <w:r w:rsidR="00B11F3B">
          <w:rPr>
            <w:noProof/>
            <w:webHidden/>
          </w:rPr>
          <w:fldChar w:fldCharType="separate"/>
        </w:r>
        <w:r w:rsidR="00B11F3B">
          <w:rPr>
            <w:noProof/>
            <w:webHidden/>
          </w:rPr>
          <w:t>155</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3" w:history="1">
        <w:r w:rsidR="00B11F3B" w:rsidRPr="00E27131">
          <w:rPr>
            <w:rStyle w:val="Hyperlink"/>
            <w:noProof/>
          </w:rPr>
          <w:t>Figure 87. Number of observations used to calculate the median maps (Figure 85 - Figure 86) for the dry and wet season for the Burnett Mary region. The first map presents the number of observations available for analysis in the dry season 2011 (May - October), while the second map presents the number of observations available for analysis in the wet season 2011/2012 (November 2011 - April 2012).</w:t>
        </w:r>
        <w:r w:rsidR="00B11F3B">
          <w:rPr>
            <w:noProof/>
            <w:webHidden/>
          </w:rPr>
          <w:tab/>
        </w:r>
        <w:r w:rsidR="00B11F3B">
          <w:rPr>
            <w:noProof/>
            <w:webHidden/>
          </w:rPr>
          <w:fldChar w:fldCharType="begin"/>
        </w:r>
        <w:r w:rsidR="00B11F3B">
          <w:rPr>
            <w:noProof/>
            <w:webHidden/>
          </w:rPr>
          <w:instrText xml:space="preserve"> PAGEREF _Toc399265073 \h </w:instrText>
        </w:r>
        <w:r w:rsidR="00B11F3B">
          <w:rPr>
            <w:noProof/>
            <w:webHidden/>
          </w:rPr>
        </w:r>
        <w:r w:rsidR="00B11F3B">
          <w:rPr>
            <w:noProof/>
            <w:webHidden/>
          </w:rPr>
          <w:fldChar w:fldCharType="separate"/>
        </w:r>
        <w:r w:rsidR="00B11F3B">
          <w:rPr>
            <w:noProof/>
            <w:webHidden/>
          </w:rPr>
          <w:t>156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4" w:history="1">
        <w:r w:rsidR="00B11F3B" w:rsidRPr="00E27131">
          <w:rPr>
            <w:rStyle w:val="Hyperlink"/>
            <w:noProof/>
          </w:rPr>
          <w:t>Figure 88. Exceedance maps for the Burnett Mary region for the whole year (May 2011 –April 2012). The first map presents the Chlorophyll-a exceedance map, while the second map presents the Non-algal particulate matter (NAP as a measure of TSS) exceedance map.  The Guideline values for annual means of Chlorophyll-a are 0.45 µg L</w:t>
        </w:r>
        <w:r w:rsidR="00B11F3B" w:rsidRPr="00E27131">
          <w:rPr>
            <w:rStyle w:val="Hyperlink"/>
            <w:noProof/>
            <w:vertAlign w:val="superscript"/>
          </w:rPr>
          <w:t>-1</w:t>
        </w:r>
        <w:r w:rsidR="00B11F3B" w:rsidRPr="00E27131">
          <w:rPr>
            <w:rStyle w:val="Hyperlink"/>
            <w:noProof/>
          </w:rPr>
          <w:t xml:space="preserve"> for  Open Coastal and Midshelf and 0.40 µg L</w:t>
        </w:r>
        <w:r w:rsidR="00B11F3B" w:rsidRPr="00E27131">
          <w:rPr>
            <w:rStyle w:val="Hyperlink"/>
            <w:noProof/>
            <w:vertAlign w:val="superscript"/>
          </w:rPr>
          <w:t>-1</w:t>
        </w:r>
        <w:r w:rsidR="00B11F3B" w:rsidRPr="00E27131">
          <w:rPr>
            <w:rStyle w:val="Hyperlink"/>
            <w:noProof/>
          </w:rPr>
          <w:t xml:space="preserve"> for Offshore, while for TSS are 2.0 and 0.7 mg L</w:t>
        </w:r>
        <w:r w:rsidR="00B11F3B" w:rsidRPr="00E27131">
          <w:rPr>
            <w:rStyle w:val="Hyperlink"/>
            <w:noProof/>
            <w:vertAlign w:val="superscript"/>
          </w:rPr>
          <w:t>-1</w:t>
        </w:r>
        <w:r w:rsidR="00B11F3B" w:rsidRPr="00E27131">
          <w:rPr>
            <w:rStyle w:val="Hyperlink"/>
            <w:noProof/>
          </w:rPr>
          <w:t>.</w:t>
        </w:r>
        <w:r w:rsidR="00B11F3B">
          <w:rPr>
            <w:noProof/>
            <w:webHidden/>
          </w:rPr>
          <w:tab/>
        </w:r>
        <w:r w:rsidR="00B11F3B">
          <w:rPr>
            <w:noProof/>
            <w:webHidden/>
          </w:rPr>
          <w:fldChar w:fldCharType="begin"/>
        </w:r>
        <w:r w:rsidR="00B11F3B">
          <w:rPr>
            <w:noProof/>
            <w:webHidden/>
          </w:rPr>
          <w:instrText xml:space="preserve"> PAGEREF _Toc399265074 \h </w:instrText>
        </w:r>
        <w:r w:rsidR="00B11F3B">
          <w:rPr>
            <w:noProof/>
            <w:webHidden/>
          </w:rPr>
        </w:r>
        <w:r w:rsidR="00B11F3B">
          <w:rPr>
            <w:noProof/>
            <w:webHidden/>
          </w:rPr>
          <w:fldChar w:fldCharType="separate"/>
        </w:r>
        <w:r w:rsidR="00B11F3B">
          <w:rPr>
            <w:noProof/>
            <w:webHidden/>
          </w:rPr>
          <w:t>157</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5" w:history="1">
        <w:r w:rsidR="00B11F3B" w:rsidRPr="00E27131">
          <w:rPr>
            <w:rStyle w:val="Hyperlink"/>
            <w:noProof/>
          </w:rPr>
          <w:t>Figure 89. Chlorophyll-a exceedance maps for the dry and wet season for the Burnett Mary region. The first map presents the exceedance for the dry season 2011 (May - October), while the second map presents the exceedance for the wet season 2011/2012 (November 2011 - April 2012). The seasonally adjusted Guideline values for Chlorophyll –a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_Toc399265075 \h </w:instrText>
        </w:r>
        <w:r w:rsidR="00B11F3B">
          <w:rPr>
            <w:noProof/>
            <w:webHidden/>
          </w:rPr>
        </w:r>
        <w:r w:rsidR="00B11F3B">
          <w:rPr>
            <w:noProof/>
            <w:webHidden/>
          </w:rPr>
          <w:fldChar w:fldCharType="separate"/>
        </w:r>
        <w:r w:rsidR="00B11F3B">
          <w:rPr>
            <w:noProof/>
            <w:webHidden/>
          </w:rPr>
          <w:t>158</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6" w:history="1">
        <w:r w:rsidR="00B11F3B" w:rsidRPr="00E27131">
          <w:rPr>
            <w:rStyle w:val="Hyperlink"/>
            <w:noProof/>
          </w:rPr>
          <w:t>Figure 90. Chlorophyll-a exceedance frequency maps for the dry and wet season for the Burnett Mary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w:t>
        </w:r>
        <w:r w:rsidR="00B11F3B" w:rsidRPr="00E27131">
          <w:rPr>
            <w:rStyle w:val="Hyperlink"/>
            <w:noProof/>
            <w:vertAlign w:val="superscript"/>
          </w:rPr>
          <w:t>-1</w:t>
        </w:r>
        <w:r w:rsidR="00B11F3B" w:rsidRPr="00E27131">
          <w:rPr>
            <w:rStyle w:val="Hyperlink"/>
            <w:noProof/>
          </w:rPr>
          <w:t xml:space="preserve"> for Open Coastal and Midshelf and 0.28/0.56 µg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_Toc399265076 \h </w:instrText>
        </w:r>
        <w:r w:rsidR="00B11F3B">
          <w:rPr>
            <w:noProof/>
            <w:webHidden/>
          </w:rPr>
        </w:r>
        <w:r w:rsidR="00B11F3B">
          <w:rPr>
            <w:noProof/>
            <w:webHidden/>
          </w:rPr>
          <w:fldChar w:fldCharType="separate"/>
        </w:r>
        <w:r w:rsidR="00B11F3B">
          <w:rPr>
            <w:noProof/>
            <w:webHidden/>
          </w:rPr>
          <w:t>159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7" w:history="1">
        <w:r w:rsidR="00B11F3B" w:rsidRPr="00E27131">
          <w:rPr>
            <w:rStyle w:val="Hyperlink"/>
            <w:noProof/>
          </w:rPr>
          <w:t>Figure 91. Non-algal particulate matter (NAP as a measure of TSS) exceedance maps for the dry and wet season for the Burnett Mary region. The first map presents the exceedance for the dry season 2011 (May - October), while the second map presents the exceedance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_Toc399265077 \h </w:instrText>
        </w:r>
        <w:r w:rsidR="00B11F3B">
          <w:rPr>
            <w:noProof/>
            <w:webHidden/>
          </w:rPr>
        </w:r>
        <w:r w:rsidR="00B11F3B">
          <w:rPr>
            <w:noProof/>
            <w:webHidden/>
          </w:rPr>
          <w:fldChar w:fldCharType="separate"/>
        </w:r>
        <w:r w:rsidR="00B11F3B">
          <w:rPr>
            <w:noProof/>
            <w:webHidden/>
          </w:rPr>
          <w:t>160</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8" w:history="1">
        <w:r w:rsidR="00B11F3B" w:rsidRPr="00E27131">
          <w:rPr>
            <w:rStyle w:val="Hyperlink"/>
            <w:noProof/>
          </w:rPr>
          <w:t>Figure 92. Non-algal particulate matter (NAP as a measure of TSS)  exceedance frequency maps for the dry and wet season for the Burnett Mary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w:t>
        </w:r>
        <w:r w:rsidR="00B11F3B" w:rsidRPr="00E27131">
          <w:rPr>
            <w:rStyle w:val="Hyperlink"/>
            <w:noProof/>
            <w:vertAlign w:val="superscript"/>
          </w:rPr>
          <w:t>-1</w:t>
        </w:r>
        <w:r w:rsidR="00B11F3B" w:rsidRPr="00E27131">
          <w:rPr>
            <w:rStyle w:val="Hyperlink"/>
            <w:noProof/>
          </w:rPr>
          <w:t xml:space="preserve"> for Open Coastal and Midshelf and 0.6/0.8 mg L</w:t>
        </w:r>
        <w:r w:rsidR="00B11F3B" w:rsidRPr="00E27131">
          <w:rPr>
            <w:rStyle w:val="Hyperlink"/>
            <w:noProof/>
            <w:vertAlign w:val="superscript"/>
          </w:rPr>
          <w:t>-1</w:t>
        </w:r>
        <w:r w:rsidR="00B11F3B" w:rsidRPr="00E27131">
          <w:rPr>
            <w:rStyle w:val="Hyperlink"/>
            <w:noProof/>
          </w:rPr>
          <w:t xml:space="preserve"> for Offshore.</w:t>
        </w:r>
        <w:r w:rsidR="00B11F3B">
          <w:rPr>
            <w:noProof/>
            <w:webHidden/>
          </w:rPr>
          <w:tab/>
        </w:r>
        <w:r w:rsidR="00B11F3B">
          <w:rPr>
            <w:noProof/>
            <w:webHidden/>
          </w:rPr>
          <w:fldChar w:fldCharType="begin"/>
        </w:r>
        <w:r w:rsidR="00B11F3B">
          <w:rPr>
            <w:noProof/>
            <w:webHidden/>
          </w:rPr>
          <w:instrText xml:space="preserve"> PAGEREF _Toc399265078 \h </w:instrText>
        </w:r>
        <w:r w:rsidR="00B11F3B">
          <w:rPr>
            <w:noProof/>
            <w:webHidden/>
          </w:rPr>
        </w:r>
        <w:r w:rsidR="00B11F3B">
          <w:rPr>
            <w:noProof/>
            <w:webHidden/>
          </w:rPr>
          <w:fldChar w:fldCharType="separate"/>
        </w:r>
        <w:r w:rsidR="00B11F3B">
          <w:rPr>
            <w:noProof/>
            <w:webHidden/>
          </w:rPr>
          <w:t>161</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79" w:history="1">
        <w:r w:rsidR="00B11F3B" w:rsidRPr="00E27131">
          <w:rPr>
            <w:rStyle w:val="Hyperlink"/>
            <w:noProof/>
          </w:rPr>
          <w:t>Figure 93: Scatter plots of in-situ versus satellite estimated median reflectance spectra for the ANN (top left) and three SeaDAS v6.1 implemented atmospheric correction methods.</w:t>
        </w:r>
        <w:r w:rsidR="00B11F3B">
          <w:rPr>
            <w:noProof/>
            <w:webHidden/>
          </w:rPr>
          <w:tab/>
        </w:r>
        <w:r w:rsidR="00B11F3B">
          <w:rPr>
            <w:noProof/>
            <w:webHidden/>
          </w:rPr>
          <w:fldChar w:fldCharType="begin"/>
        </w:r>
        <w:r w:rsidR="00B11F3B">
          <w:rPr>
            <w:noProof/>
            <w:webHidden/>
          </w:rPr>
          <w:instrText xml:space="preserve"> PAGEREF _Toc399265079 \h </w:instrText>
        </w:r>
        <w:r w:rsidR="00B11F3B">
          <w:rPr>
            <w:noProof/>
            <w:webHidden/>
          </w:rPr>
        </w:r>
        <w:r w:rsidR="00B11F3B">
          <w:rPr>
            <w:noProof/>
            <w:webHidden/>
          </w:rPr>
          <w:fldChar w:fldCharType="separate"/>
        </w:r>
        <w:r w:rsidR="00B11F3B">
          <w:rPr>
            <w:noProof/>
            <w:webHidden/>
          </w:rPr>
          <w:t>172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0" w:history="1">
        <w:r w:rsidR="00B11F3B" w:rsidRPr="00E27131">
          <w:rPr>
            <w:rStyle w:val="Hyperlink"/>
            <w:noProof/>
          </w:rPr>
          <w:t xml:space="preserve">Figure 94: By comparison with </w:t>
        </w:r>
        <w:r w:rsidR="00B11F3B" w:rsidRPr="00E27131">
          <w:rPr>
            <w:rStyle w:val="Hyperlink"/>
            <w:i/>
            <w:noProof/>
          </w:rPr>
          <w:t>in-situ</w:t>
        </w:r>
        <w:r w:rsidR="00B11F3B" w:rsidRPr="00E27131">
          <w:rPr>
            <w:rStyle w:val="Hyperlink"/>
            <w:noProof/>
          </w:rPr>
          <w:t xml:space="preserve"> reflectance measurements derived spectral slopes of RMSE (left) and MAPE (right) for the MODIS standard Level2 product generated with SeaDAS v6.1 and the proposed ANN algorithm.</w:t>
        </w:r>
        <w:r w:rsidR="00B11F3B">
          <w:rPr>
            <w:noProof/>
            <w:webHidden/>
          </w:rPr>
          <w:tab/>
        </w:r>
        <w:r w:rsidR="00B11F3B">
          <w:rPr>
            <w:noProof/>
            <w:webHidden/>
          </w:rPr>
          <w:fldChar w:fldCharType="begin"/>
        </w:r>
        <w:r w:rsidR="00B11F3B">
          <w:rPr>
            <w:noProof/>
            <w:webHidden/>
          </w:rPr>
          <w:instrText xml:space="preserve"> PAGEREF _Toc399265080 \h </w:instrText>
        </w:r>
        <w:r w:rsidR="00B11F3B">
          <w:rPr>
            <w:noProof/>
            <w:webHidden/>
          </w:rPr>
        </w:r>
        <w:r w:rsidR="00B11F3B">
          <w:rPr>
            <w:noProof/>
            <w:webHidden/>
          </w:rPr>
          <w:fldChar w:fldCharType="separate"/>
        </w:r>
        <w:r w:rsidR="00B11F3B">
          <w:rPr>
            <w:noProof/>
            <w:webHidden/>
          </w:rPr>
          <w:t>173</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1" w:history="1">
        <w:r w:rsidR="00B11F3B" w:rsidRPr="00E27131">
          <w:rPr>
            <w:rStyle w:val="Hyperlink"/>
            <w:noProof/>
          </w:rPr>
          <w:t>Figure 95: Selected in-situ (black) and associated atmospherically corrected spectra for illustrating the performance of the ANN and SeaDAS v6.1 implemented atmospheric correction methods over the GBR.</w:t>
        </w:r>
        <w:r w:rsidR="00B11F3B">
          <w:rPr>
            <w:noProof/>
            <w:webHidden/>
          </w:rPr>
          <w:tab/>
        </w:r>
        <w:r w:rsidR="00B11F3B">
          <w:rPr>
            <w:noProof/>
            <w:webHidden/>
          </w:rPr>
          <w:fldChar w:fldCharType="begin"/>
        </w:r>
        <w:r w:rsidR="00B11F3B">
          <w:rPr>
            <w:noProof/>
            <w:webHidden/>
          </w:rPr>
          <w:instrText xml:space="preserve"> PAGEREF _Toc399265081 \h </w:instrText>
        </w:r>
        <w:r w:rsidR="00B11F3B">
          <w:rPr>
            <w:noProof/>
            <w:webHidden/>
          </w:rPr>
        </w:r>
        <w:r w:rsidR="00B11F3B">
          <w:rPr>
            <w:noProof/>
            <w:webHidden/>
          </w:rPr>
          <w:fldChar w:fldCharType="separate"/>
        </w:r>
        <w:r w:rsidR="00B11F3B">
          <w:rPr>
            <w:noProof/>
            <w:webHidden/>
          </w:rPr>
          <w:t>174</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2" w:history="1">
        <w:r w:rsidR="00B11F3B" w:rsidRPr="00E27131">
          <w:rPr>
            <w:rStyle w:val="Hyperlink"/>
            <w:noProof/>
          </w:rPr>
          <w:t>Figure 96. Conceptual diagram of the adaptive Linear Matrix Inversion approach adopted for the retrieval of Chlorophyll-a and IOPs from MODIS Aqua data (reproduced from Brando et al. (2012).</w:t>
        </w:r>
        <w:r w:rsidR="00B11F3B">
          <w:rPr>
            <w:noProof/>
            <w:webHidden/>
          </w:rPr>
          <w:tab/>
        </w:r>
        <w:r w:rsidR="00B11F3B">
          <w:rPr>
            <w:noProof/>
            <w:webHidden/>
          </w:rPr>
          <w:fldChar w:fldCharType="begin"/>
        </w:r>
        <w:r w:rsidR="00B11F3B">
          <w:rPr>
            <w:noProof/>
            <w:webHidden/>
          </w:rPr>
          <w:instrText xml:space="preserve"> PAGEREF _Toc399265082 \h </w:instrText>
        </w:r>
        <w:r w:rsidR="00B11F3B">
          <w:rPr>
            <w:noProof/>
            <w:webHidden/>
          </w:rPr>
        </w:r>
        <w:r w:rsidR="00B11F3B">
          <w:rPr>
            <w:noProof/>
            <w:webHidden/>
          </w:rPr>
          <w:fldChar w:fldCharType="separate"/>
        </w:r>
        <w:r w:rsidR="00B11F3B">
          <w:rPr>
            <w:noProof/>
            <w:webHidden/>
          </w:rPr>
          <w:t>176</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3" w:history="1">
        <w:r w:rsidR="00B11F3B" w:rsidRPr="00E27131">
          <w:rPr>
            <w:rStyle w:val="Hyperlink"/>
            <w:noProof/>
          </w:rPr>
          <w:t>Figure 97. a</w:t>
        </w:r>
        <w:r w:rsidR="00B11F3B" w:rsidRPr="00E27131">
          <w:rPr>
            <w:rStyle w:val="Hyperlink"/>
            <w:noProof/>
            <w:vertAlign w:val="subscript"/>
          </w:rPr>
          <w:t>phy</w:t>
        </w:r>
        <w:r w:rsidR="00B11F3B" w:rsidRPr="00E27131">
          <w:rPr>
            <w:rStyle w:val="Hyperlink"/>
            <w:noProof/>
          </w:rPr>
          <w:t>* spectra for LMI inversion adopted in the 2008 MMP version of the parameterization (LMI_CLU4).</w:t>
        </w:r>
        <w:r w:rsidR="00B11F3B">
          <w:rPr>
            <w:noProof/>
            <w:webHidden/>
          </w:rPr>
          <w:tab/>
        </w:r>
        <w:r w:rsidR="00B11F3B">
          <w:rPr>
            <w:noProof/>
            <w:webHidden/>
          </w:rPr>
          <w:fldChar w:fldCharType="begin"/>
        </w:r>
        <w:r w:rsidR="00B11F3B">
          <w:rPr>
            <w:noProof/>
            <w:webHidden/>
          </w:rPr>
          <w:instrText xml:space="preserve"> PAGEREF _Toc399265083 \h </w:instrText>
        </w:r>
        <w:r w:rsidR="00B11F3B">
          <w:rPr>
            <w:noProof/>
            <w:webHidden/>
          </w:rPr>
        </w:r>
        <w:r w:rsidR="00B11F3B">
          <w:rPr>
            <w:noProof/>
            <w:webHidden/>
          </w:rPr>
          <w:fldChar w:fldCharType="separate"/>
        </w:r>
        <w:r w:rsidR="00B11F3B">
          <w:rPr>
            <w:noProof/>
            <w:webHidden/>
          </w:rPr>
          <w:t>179</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4" w:history="1">
        <w:r w:rsidR="00B11F3B" w:rsidRPr="00E27131">
          <w:rPr>
            <w:rStyle w:val="Hyperlink"/>
            <w:noProof/>
          </w:rPr>
          <w:t xml:space="preserve">Figure 98: MODIS Aqua Chlorophyll-a retrieval versus </w:t>
        </w:r>
        <w:r w:rsidR="00B11F3B" w:rsidRPr="00E27131">
          <w:rPr>
            <w:rStyle w:val="Hyperlink"/>
            <w:i/>
            <w:noProof/>
          </w:rPr>
          <w:t>in situ</w:t>
        </w:r>
        <w:r w:rsidR="00B11F3B" w:rsidRPr="00E27131">
          <w:rPr>
            <w:rStyle w:val="Hyperlink"/>
            <w:noProof/>
          </w:rPr>
          <w:t xml:space="preserve"> data. The dashed lines present an over or underestimate of 100%. Only the measurements collected within ±3 hours time difference to the overpass were plotted. Number of matchups is 266 for a-LMI and 366 for gsm01.</w:t>
        </w:r>
        <w:r w:rsidR="00B11F3B">
          <w:rPr>
            <w:noProof/>
            <w:webHidden/>
          </w:rPr>
          <w:tab/>
        </w:r>
        <w:r w:rsidR="00B11F3B">
          <w:rPr>
            <w:noProof/>
            <w:webHidden/>
          </w:rPr>
          <w:fldChar w:fldCharType="begin"/>
        </w:r>
        <w:r w:rsidR="00B11F3B">
          <w:rPr>
            <w:noProof/>
            <w:webHidden/>
          </w:rPr>
          <w:instrText xml:space="preserve"> PAGEREF _Toc399265084 \h </w:instrText>
        </w:r>
        <w:r w:rsidR="00B11F3B">
          <w:rPr>
            <w:noProof/>
            <w:webHidden/>
          </w:rPr>
        </w:r>
        <w:r w:rsidR="00B11F3B">
          <w:rPr>
            <w:noProof/>
            <w:webHidden/>
          </w:rPr>
          <w:fldChar w:fldCharType="separate"/>
        </w:r>
        <w:r w:rsidR="00B11F3B">
          <w:rPr>
            <w:noProof/>
            <w:webHidden/>
          </w:rPr>
          <w:t>182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5" w:history="1">
        <w:r w:rsidR="00B11F3B" w:rsidRPr="00E27131">
          <w:rPr>
            <w:rStyle w:val="Hyperlink"/>
            <w:noProof/>
          </w:rPr>
          <w:t xml:space="preserve">Figure 99: MODIS Aqua TSS retrieval versus </w:t>
        </w:r>
        <w:r w:rsidR="00B11F3B" w:rsidRPr="00E27131">
          <w:rPr>
            <w:rStyle w:val="Hyperlink"/>
            <w:i/>
            <w:noProof/>
          </w:rPr>
          <w:t>in situ</w:t>
        </w:r>
        <w:r w:rsidR="00B11F3B" w:rsidRPr="00E27131">
          <w:rPr>
            <w:rStyle w:val="Hyperlink"/>
            <w:noProof/>
          </w:rPr>
          <w:t xml:space="preserve"> data. The dashed lines present an over or underestimate of 100%. Only the measurements collected within ±3 hours time difference to the overpass were plotted. Number of matchups is 114 for LMI and 162 for Clark.</w:t>
        </w:r>
        <w:r w:rsidR="00B11F3B">
          <w:rPr>
            <w:noProof/>
            <w:webHidden/>
          </w:rPr>
          <w:tab/>
        </w:r>
        <w:r w:rsidR="00B11F3B">
          <w:rPr>
            <w:noProof/>
            <w:webHidden/>
          </w:rPr>
          <w:fldChar w:fldCharType="begin"/>
        </w:r>
        <w:r w:rsidR="00B11F3B">
          <w:rPr>
            <w:noProof/>
            <w:webHidden/>
          </w:rPr>
          <w:instrText xml:space="preserve"> PAGEREF _Toc399265085 \h </w:instrText>
        </w:r>
        <w:r w:rsidR="00B11F3B">
          <w:rPr>
            <w:noProof/>
            <w:webHidden/>
          </w:rPr>
        </w:r>
        <w:r w:rsidR="00B11F3B">
          <w:rPr>
            <w:noProof/>
            <w:webHidden/>
          </w:rPr>
          <w:fldChar w:fldCharType="separate"/>
        </w:r>
        <w:r w:rsidR="00B11F3B">
          <w:rPr>
            <w:noProof/>
            <w:webHidden/>
          </w:rPr>
          <w:t>182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6" w:history="1">
        <w:r w:rsidR="00B11F3B" w:rsidRPr="00E27131">
          <w:rPr>
            <w:rStyle w:val="Hyperlink"/>
            <w:noProof/>
          </w:rPr>
          <w:t>Figure 100: MODIS Aqua a</w:t>
        </w:r>
        <w:r w:rsidR="00B11F3B" w:rsidRPr="00E27131">
          <w:rPr>
            <w:rStyle w:val="Hyperlink"/>
            <w:noProof/>
            <w:vertAlign w:val="subscript"/>
          </w:rPr>
          <w:t>CDOM</w:t>
        </w:r>
        <w:r w:rsidR="00B11F3B" w:rsidRPr="00E27131">
          <w:rPr>
            <w:rStyle w:val="Hyperlink"/>
            <w:noProof/>
          </w:rPr>
          <w:t xml:space="preserve"> (443) and a</w:t>
        </w:r>
        <w:r w:rsidR="00B11F3B" w:rsidRPr="00E27131">
          <w:rPr>
            <w:rStyle w:val="Hyperlink"/>
            <w:noProof/>
            <w:vertAlign w:val="subscript"/>
          </w:rPr>
          <w:t>dg</w:t>
        </w:r>
        <w:r w:rsidR="00B11F3B" w:rsidRPr="00E27131">
          <w:rPr>
            <w:rStyle w:val="Hyperlink"/>
            <w:noProof/>
          </w:rPr>
          <w:t xml:space="preserve">(443) retrievals versus </w:t>
        </w:r>
        <w:r w:rsidR="00B11F3B" w:rsidRPr="00E27131">
          <w:rPr>
            <w:rStyle w:val="Hyperlink"/>
            <w:i/>
            <w:noProof/>
          </w:rPr>
          <w:t>in situ</w:t>
        </w:r>
        <w:r w:rsidR="00B11F3B" w:rsidRPr="00E27131">
          <w:rPr>
            <w:rStyle w:val="Hyperlink"/>
            <w:noProof/>
          </w:rPr>
          <w:t xml:space="preserve"> data. The dashed lines present an over or underestimate of 100%. Only the measurements collected within ±3 hours time difference to the overpass were plotted. Number of matchups is 16 for LMI and 27 QAA.</w:t>
        </w:r>
        <w:r w:rsidR="00B11F3B">
          <w:rPr>
            <w:noProof/>
            <w:webHidden/>
          </w:rPr>
          <w:tab/>
        </w:r>
        <w:r w:rsidR="00B11F3B">
          <w:rPr>
            <w:noProof/>
            <w:webHidden/>
          </w:rPr>
          <w:fldChar w:fldCharType="begin"/>
        </w:r>
        <w:r w:rsidR="00B11F3B">
          <w:rPr>
            <w:noProof/>
            <w:webHidden/>
          </w:rPr>
          <w:instrText xml:space="preserve"> PAGEREF _Toc399265086 \h </w:instrText>
        </w:r>
        <w:r w:rsidR="00B11F3B">
          <w:rPr>
            <w:noProof/>
            <w:webHidden/>
          </w:rPr>
        </w:r>
        <w:r w:rsidR="00B11F3B">
          <w:rPr>
            <w:noProof/>
            <w:webHidden/>
          </w:rPr>
          <w:fldChar w:fldCharType="separate"/>
        </w:r>
        <w:r w:rsidR="00B11F3B">
          <w:rPr>
            <w:noProof/>
            <w:webHidden/>
          </w:rPr>
          <w:t>182</w:t>
        </w:r>
        <w:r w:rsidR="00B11F3B">
          <w:rPr>
            <w:noProof/>
            <w:webHidden/>
          </w:rPr>
          <w:fldChar w:fldCharType="end"/>
        </w:r>
      </w:hyperlink>
    </w:p>
    <w:p w:rsidR="00B11F3B" w:rsidRDefault="00730E04">
      <w:pPr>
        <w:pStyle w:val="TableofFigures"/>
        <w:rPr>
          <w:rFonts w:asciiTheme="minorHAnsi" w:eastAsiaTheme="minorEastAsia" w:hAnsiTheme="minorHAnsi" w:cstheme="minorBidi"/>
          <w:noProof/>
          <w:szCs w:val="22"/>
        </w:rPr>
      </w:pPr>
      <w:hyperlink w:anchor="_Toc399265087" w:history="1">
        <w:r w:rsidR="00B11F3B" w:rsidRPr="00E27131">
          <w:rPr>
            <w:rStyle w:val="Hyperlink"/>
            <w:noProof/>
          </w:rPr>
          <w:t>Figure 101: MODIS Aqua scatter plots for the superseded LMI_CLU4 parameterization. The dashed lines present an over or underestimate of 100%.</w:t>
        </w:r>
        <w:r w:rsidR="00B11F3B">
          <w:rPr>
            <w:noProof/>
            <w:webHidden/>
          </w:rPr>
          <w:tab/>
        </w:r>
        <w:r w:rsidR="00B11F3B">
          <w:rPr>
            <w:noProof/>
            <w:webHidden/>
          </w:rPr>
          <w:fldChar w:fldCharType="begin"/>
        </w:r>
        <w:r w:rsidR="00B11F3B">
          <w:rPr>
            <w:noProof/>
            <w:webHidden/>
          </w:rPr>
          <w:instrText xml:space="preserve"> PAGEREF _Toc399265087 \h </w:instrText>
        </w:r>
        <w:r w:rsidR="00B11F3B">
          <w:rPr>
            <w:noProof/>
            <w:webHidden/>
          </w:rPr>
        </w:r>
        <w:r w:rsidR="00B11F3B">
          <w:rPr>
            <w:noProof/>
            <w:webHidden/>
          </w:rPr>
          <w:fldChar w:fldCharType="separate"/>
        </w:r>
        <w:r w:rsidR="00B11F3B">
          <w:rPr>
            <w:noProof/>
            <w:webHidden/>
          </w:rPr>
          <w:t>183</w:t>
        </w:r>
        <w:r w:rsidR="00B11F3B">
          <w:rPr>
            <w:noProof/>
            <w:webHidden/>
          </w:rPr>
          <w:fldChar w:fldCharType="end"/>
        </w:r>
      </w:hyperlink>
    </w:p>
    <w:p w:rsidR="00B25CAA" w:rsidRPr="00A40CD0" w:rsidRDefault="00EA2F38" w:rsidP="002E0BD6">
      <w:pPr>
        <w:pStyle w:val="BodyText"/>
      </w:pPr>
      <w:r w:rsidRPr="00A40CD0">
        <w:fldChar w:fldCharType="end"/>
      </w:r>
    </w:p>
    <w:p w:rsidR="00B25CAA" w:rsidRPr="00A40CD0" w:rsidRDefault="00B25CAA" w:rsidP="00D80E36">
      <w:pPr>
        <w:pStyle w:val="head1nonumb"/>
      </w:pPr>
      <w:r w:rsidRPr="00A40CD0">
        <w:lastRenderedPageBreak/>
        <w:br w:type="page"/>
      </w:r>
      <w:bookmarkStart w:id="3" w:name="_Toc228588157"/>
      <w:bookmarkStart w:id="4" w:name="_Toc399264871"/>
      <w:bookmarkEnd w:id="0"/>
      <w:bookmarkEnd w:id="1"/>
      <w:bookmarkEnd w:id="2"/>
      <w:r w:rsidRPr="00A40CD0">
        <w:lastRenderedPageBreak/>
        <w:t>Executive summary</w:t>
      </w:r>
      <w:bookmarkEnd w:id="3"/>
      <w:bookmarkEnd w:id="4"/>
    </w:p>
    <w:p w:rsidR="00B25CAA" w:rsidRPr="00A40CD0" w:rsidRDefault="00B25CAA" w:rsidP="002E0BD6">
      <w:pPr>
        <w:pStyle w:val="BodyText"/>
      </w:pPr>
      <w:r w:rsidRPr="00A40CD0">
        <w:t xml:space="preserve">Given the size and variability of conditions within the Great Barrier Reef (GBR) catchments and receiving waters, monitoring the water quality in the GBR lagoon waters is challenging. </w:t>
      </w:r>
      <w:r w:rsidRPr="00A40CD0">
        <w:rPr>
          <w:i/>
        </w:rPr>
        <w:t>In situ</w:t>
      </w:r>
      <w:r w:rsidRPr="00A40CD0">
        <w:t xml:space="preserve"> monitoring data tends to be sparse in both space and time and as a result, remote sensing is now recognised as a suitable and cost-effective technique for the large-scale monitoring of coastal water quality. It is a particularly attractive alternative because it provides synoptic views of the spatial distribution of concentrations of chlorophyll-a (CHL) and total suspended solids (TSS), as well as the water clarity and the absorption by coloured dissolved organic matter (CDOM) of near-surface water. The daily frequency of satellite sensors improves our ability to identify patterns of spatial variation over scales of </w:t>
      </w:r>
      <w:r w:rsidR="0075209D">
        <w:t>kilo</w:t>
      </w:r>
      <w:r w:rsidR="0075209D" w:rsidRPr="00A40CD0">
        <w:t>metres</w:t>
      </w:r>
      <w:r w:rsidRPr="00A40CD0">
        <w:t xml:space="preserve"> to hundreds of kilometres and temporal scales of days to years.</w:t>
      </w:r>
      <w:r w:rsidR="00124169">
        <w:t xml:space="preserve"> </w:t>
      </w:r>
      <w:r w:rsidRPr="00A40CD0">
        <w:t xml:space="preserve">Yet, </w:t>
      </w:r>
      <w:r w:rsidR="001A1A13" w:rsidRPr="00A40CD0">
        <w:t>The Great Barrier Reef Marin</w:t>
      </w:r>
      <w:r w:rsidR="001A1A13">
        <w:t>e Park Authority (GBRMPA)</w:t>
      </w:r>
      <w:r w:rsidR="00EB4DD7" w:rsidRPr="00A40CD0">
        <w:t xml:space="preserve"> and the Paddock to Reef Integrated Monitoring, Modelling and Reporting Program need management-relevant products from remote sensing data that provide information beyond that of simple concentration maps</w:t>
      </w:r>
      <w:r w:rsidRPr="00A40CD0">
        <w:t>.</w:t>
      </w:r>
      <w:r w:rsidR="00EB4DD7">
        <w:t xml:space="preserve"> Hence, t</w:t>
      </w:r>
      <w:r w:rsidR="00EB4DD7" w:rsidRPr="00A40CD0">
        <w:t>his report delive</w:t>
      </w:r>
      <w:r w:rsidR="00EB4DD7">
        <w:t>red management-relevant information</w:t>
      </w:r>
      <w:r w:rsidR="00EB4DD7" w:rsidRPr="00A40CD0">
        <w:t xml:space="preserve"> </w:t>
      </w:r>
      <w:r w:rsidR="00EB4DD7">
        <w:t xml:space="preserve">of flood events and inshore water quality compliance based on tailored </w:t>
      </w:r>
      <w:r w:rsidR="00124169">
        <w:t xml:space="preserve">temporal and spatial analysis </w:t>
      </w:r>
      <w:r w:rsidR="00EB4DD7">
        <w:t>of remote sensing data.</w:t>
      </w:r>
    </w:p>
    <w:p w:rsidR="00FA54F5" w:rsidRDefault="00B25CAA" w:rsidP="002E0BD6">
      <w:pPr>
        <w:pStyle w:val="BodyText"/>
      </w:pPr>
      <w:r w:rsidRPr="00A40CD0">
        <w:t xml:space="preserve">Data collected by </w:t>
      </w:r>
      <w:r w:rsidR="00AB46A4">
        <w:t xml:space="preserve">Moderate Resolution Imaging Spectroradiometer (MODIS) </w:t>
      </w:r>
      <w:r w:rsidRPr="00A40CD0">
        <w:t>Aqua</w:t>
      </w:r>
      <w:r w:rsidR="00AB46A4">
        <w:t xml:space="preserve"> sensor </w:t>
      </w:r>
      <w:r w:rsidRPr="00A40CD0">
        <w:t xml:space="preserve">provide a time series from November 2002 to present of water quality estimates with spatial coverage at 1 km resolution for the whole-of-GBR lagoon, nominally on a daily basis (except overcast days). The water quality estimates were retrieved from the MODIS Aqua time series using two coupled physics-based inversion algorithms developed to accurately retrieve water quality parameters for the optically complex waters of the GBR lagoon </w:t>
      </w:r>
      <w:r w:rsidR="00EA2F38" w:rsidRPr="00A40CD0">
        <w:fldChar w:fldCharType="begin">
          <w:fldData xml:space="preserve">PEVuZE5vdGU+PENpdGU+PEF1dGhvcj5CcmFuZG88L0F1dGhvcj48WWVhcj4yMDA4PC9ZZWFyPjxS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</w:fldData>
        </w:fldChar>
      </w:r>
      <w:r w:rsidR="00AC2F22">
        <w:instrText xml:space="preserve"> ADDIN EN.CITE </w:instrText>
      </w:r>
      <w:r w:rsidR="00EA2F38">
        <w:fldChar w:fldCharType="begin">
          <w:fldData xml:space="preserve">PEVuZE5vdGU+PENpdGU+PEF1dGhvcj5CcmFuZG88L0F1dGhvcj48WWVhcj4yMDA4PC9ZZWFyPjxS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7" w:tooltip="Brando, 2008 #4159" w:history="1">
        <w:r w:rsidR="007B7C47">
          <w:rPr>
            <w:noProof/>
          </w:rPr>
          <w:t>Brando et al. 2008</w:t>
        </w:r>
      </w:hyperlink>
      <w:r w:rsidR="00AC2F22">
        <w:rPr>
          <w:noProof/>
        </w:rPr>
        <w:t xml:space="preserve">, </w:t>
      </w:r>
      <w:hyperlink w:anchor="_ENREF_47" w:tooltip="Schroeder, 2008 #4160" w:history="1">
        <w:r w:rsidR="007B7C47">
          <w:rPr>
            <w:noProof/>
          </w:rPr>
          <w:t>Schroeder et al. 2008</w:t>
        </w:r>
      </w:hyperlink>
      <w:r w:rsidR="00AC2F22">
        <w:rPr>
          <w:noProof/>
        </w:rPr>
        <w:t xml:space="preserve">, </w:t>
      </w:r>
      <w:hyperlink w:anchor="_ENREF_10" w:tooltip="Brando, 2010 #4579" w:history="1">
        <w:r w:rsidR="007B7C47">
          <w:rPr>
            <w:noProof/>
          </w:rPr>
          <w:t>Brando et al. 2010</w:t>
        </w:r>
      </w:hyperlink>
      <w:r w:rsidR="00AC2F22">
        <w:rPr>
          <w:noProof/>
        </w:rPr>
        <w:t xml:space="preserve">, </w:t>
      </w:r>
      <w:hyperlink w:anchor="_ENREF_12" w:tooltip="Brando, 2010 #4582" w:history="1">
        <w:r w:rsidR="007B7C47">
          <w:rPr>
            <w:noProof/>
          </w:rPr>
          <w:t>Brando et al. 2010</w:t>
        </w:r>
      </w:hyperlink>
      <w:r w:rsidR="00AC2F22">
        <w:rPr>
          <w:noProof/>
        </w:rPr>
        <w:t xml:space="preserve">, </w:t>
      </w:r>
      <w:hyperlink w:anchor="_ENREF_6" w:tooltip="Brando, 2012 #4649" w:history="1">
        <w:r w:rsidR="007B7C47">
          <w:rPr>
            <w:noProof/>
          </w:rPr>
          <w:t>Brando et al. 2012</w:t>
        </w:r>
      </w:hyperlink>
      <w:r w:rsidR="00AC2F22">
        <w:rPr>
          <w:noProof/>
        </w:rPr>
        <w:t xml:space="preserve">, </w:t>
      </w:r>
      <w:hyperlink w:anchor="_ENREF_48" w:tooltip="Schroeder, 2012 #4647" w:history="1">
        <w:r w:rsidR="007B7C47">
          <w:rPr>
            <w:noProof/>
          </w:rPr>
          <w:t>Schroeder et al. 2012</w:t>
        </w:r>
      </w:hyperlink>
      <w:r w:rsidR="00AC2F22">
        <w:rPr>
          <w:noProof/>
        </w:rPr>
        <w:t>)</w:t>
      </w:r>
      <w:r w:rsidR="00EA2F38" w:rsidRPr="00A40CD0">
        <w:fldChar w:fldCharType="end"/>
      </w:r>
      <w:r w:rsidRPr="00A40CD0">
        <w:t xml:space="preserve">. This was necessary because CHL concentrations retrieved with the MODIS standard algorithms provided by NASA are up to two-fold inaccurate in GBR waters </w:t>
      </w:r>
      <w:r w:rsidR="00EA2F38" w:rsidRPr="00A40CD0">
        <w:fldChar w:fldCharType="begin"/>
      </w:r>
      <w:r w:rsidR="00AC2F22">
        <w:instrText xml:space="preserve"> ADDIN EN.CITE &lt;EndNote&gt;&lt;Cite ExcludeYear="1"&gt;&lt;Author&gt;Qin&lt;/Author&gt;&lt;RecNum&gt;4624&lt;/RecNum&gt;&lt;Suffix&gt;`, 2007&lt;/Suffix&gt;&lt;DisplayText&gt;(Qin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Pr="00A40CD0">
        <w:t xml:space="preserve">, while CSIRO’s regionally parameterised algorithms account for the significant variation in concentrations of CDOM and TSS and achieve more accurate retrievals </w:t>
      </w:r>
      <w:r w:rsidR="00EA2F38" w:rsidRPr="00A40CD0">
        <w:fldChar w:fldCharType="begin"/>
      </w:r>
      <w:r w:rsidR="00AC2F22">
        <w:instrText xml:space="preserve"> ADDIN EN.CITE &lt;EndNote&gt;&lt;Cite&gt;&lt;Author&gt;Brando&lt;/Author&gt;&lt;Year&gt;2010&lt;/Year&gt;&lt;RecNum&gt;4579&lt;/RecNum&gt;&lt;DisplayText&gt;(Brando et al. 2010,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0" w:tooltip="Brando, 2010 #4579" w:history="1">
        <w:r w:rsidR="007B7C47">
          <w:rPr>
            <w:noProof/>
          </w:rPr>
          <w:t>Brando et al. 2010</w:t>
        </w:r>
      </w:hyperlink>
      <w:r w:rsidR="00AC2F22">
        <w:rPr>
          <w:noProof/>
        </w:rPr>
        <w:t xml:space="preserve">, </w:t>
      </w:r>
      <w:hyperlink w:anchor="_ENREF_12" w:tooltip="Brando, 2010 #4582" w:history="1">
        <w:r w:rsidR="007B7C47">
          <w:rPr>
            <w:noProof/>
          </w:rPr>
          <w:t>Brando et al. 2010</w:t>
        </w:r>
      </w:hyperlink>
      <w:r w:rsidR="00AC2F22">
        <w:rPr>
          <w:noProof/>
        </w:rPr>
        <w:t>)</w:t>
      </w:r>
      <w:r w:rsidR="00EA2F38" w:rsidRPr="00A40CD0">
        <w:fldChar w:fldCharType="end"/>
      </w:r>
      <w:r w:rsidRPr="00A40CD0">
        <w:t>.</w:t>
      </w:r>
      <w:r w:rsidR="00EB4DD7">
        <w:t xml:space="preserve"> </w:t>
      </w:r>
      <w:r w:rsidR="00FA54F5">
        <w:t xml:space="preserve">For this report the whole MODIS aqua time series was reprocessed with </w:t>
      </w:r>
      <w:r w:rsidR="00FA54F5" w:rsidRPr="00805D17">
        <w:t xml:space="preserve">the most recent updates in </w:t>
      </w:r>
      <w:r w:rsidR="00FA54F5">
        <w:t>NASA’s software (SeaDAS version 6.4</w:t>
      </w:r>
      <w:r w:rsidR="00FA54F5" w:rsidRPr="00805D17">
        <w:t>)</w:t>
      </w:r>
      <w:r w:rsidR="00FA54F5">
        <w:t xml:space="preserve">, incorporating the </w:t>
      </w:r>
      <w:r w:rsidR="00FA54F5" w:rsidRPr="00057D0D">
        <w:t>improved knowledge of instrument temporal calibration to improve temporal stability of the time series of the MODIS AQUA aging sensor</w:t>
      </w:r>
      <w:r w:rsidR="00FA54F5">
        <w:t xml:space="preserve">. </w:t>
      </w:r>
      <w:r w:rsidR="00AB46A4">
        <w:t xml:space="preserve">The MODIS time series was then processed with the latest </w:t>
      </w:r>
      <w:r w:rsidR="00594C39">
        <w:t>parameterization</w:t>
      </w:r>
      <w:r w:rsidR="00AB46A4">
        <w:t xml:space="preserve"> of CSIRO’s </w:t>
      </w:r>
      <w:r w:rsidR="00594C39" w:rsidRPr="00A40CD0">
        <w:t>coupled physics-based inversion algorithms</w:t>
      </w:r>
      <w:r w:rsidR="00594C39">
        <w:t xml:space="preserve">. </w:t>
      </w:r>
      <w:r w:rsidR="00FA54F5">
        <w:t>As such, all the results presented in this report supersede the previous reports.</w:t>
      </w:r>
    </w:p>
    <w:p w:rsidR="00B25CAA" w:rsidRDefault="0000785E" w:rsidP="002E0BD6">
      <w:pPr>
        <w:pStyle w:val="BodyText"/>
      </w:pPr>
      <w:bookmarkStart w:id="5" w:name="_Toc200531793"/>
      <w:r>
        <w:t>The</w:t>
      </w:r>
      <w:r w:rsidRPr="000F3310">
        <w:t xml:space="preserve"> combination</w:t>
      </w:r>
      <w:r w:rsidRPr="00A40CD0">
        <w:t xml:space="preserve"> of </w:t>
      </w:r>
      <w:r w:rsidRPr="000F3310">
        <w:t xml:space="preserve">expanding catchment development and modification of land-use has resulted in </w:t>
      </w:r>
      <w:r w:rsidRPr="00A40CD0">
        <w:t xml:space="preserve">a </w:t>
      </w:r>
      <w:r w:rsidRPr="000F3310">
        <w:t>significant decline in</w:t>
      </w:r>
      <w:r w:rsidRPr="00A40CD0">
        <w:t xml:space="preserve"> the </w:t>
      </w:r>
      <w:r w:rsidRPr="000F3310">
        <w:t>quality of water flowing into the reef lagoon over the past 150 years</w:t>
      </w:r>
      <w:r w:rsidR="00594C39">
        <w:t xml:space="preserve"> </w:t>
      </w:r>
      <w:r w:rsidR="00EA2F38">
        <w:fldChar w:fldCharType="begin">
          <w:fldData xml:space="preserve">PEVuZE5vdGU+PENpdGU+PEF1dGhvcj5TY2hhZmZlbGtlPC9BdXRob3I+PFllYXI+MjAxMjwvWWVh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==
</w:fldData>
        </w:fldChar>
      </w:r>
      <w:r w:rsidR="007B7C47">
        <w:instrText xml:space="preserve"> ADDIN EN.CITE </w:instrText>
      </w:r>
      <w:r w:rsidR="00EA2F38">
        <w:fldChar w:fldCharType="begin">
          <w:fldData xml:space="preserve">PEVuZE5vdGU+PENpdGU+PEF1dGhvcj5TY2hhZmZlbGtlPC9BdXRob3I+PFllYXI+MjAxMjwvWWVh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==
</w:fldData>
        </w:fldChar>
      </w:r>
      <w:r w:rsidR="007B7C47">
        <w:instrText xml:space="preserve"> ADDIN EN.CITE.DATA </w:instrText>
      </w:r>
      <w:r w:rsidR="00EA2F38">
        <w:fldChar w:fldCharType="end"/>
      </w:r>
      <w:r w:rsidR="00EA2F38">
        <w:fldChar w:fldCharType="separate"/>
      </w:r>
      <w:r w:rsidR="007B7C47">
        <w:rPr>
          <w:noProof/>
        </w:rPr>
        <w:t>(</w:t>
      </w:r>
      <w:hyperlink w:anchor="_ENREF_44" w:tooltip="Schaffelke, 2012 #4698" w:history="1">
        <w:r w:rsidR="007B7C47">
          <w:rPr>
            <w:noProof/>
          </w:rPr>
          <w:t>Schaffelke et al. 2012</w:t>
        </w:r>
      </w:hyperlink>
      <w:r w:rsidR="007B7C47">
        <w:rPr>
          <w:noProof/>
        </w:rPr>
        <w:t xml:space="preserve">, </w:t>
      </w:r>
      <w:hyperlink w:anchor="_ENREF_57" w:tooltip="Waterhouse, 2012 #4699" w:history="1">
        <w:r w:rsidR="007B7C47">
          <w:rPr>
            <w:noProof/>
          </w:rPr>
          <w:t>Waterhouse et al. 2012</w:t>
        </w:r>
      </w:hyperlink>
      <w:r w:rsidR="007B7C47">
        <w:rPr>
          <w:noProof/>
        </w:rPr>
        <w:t>)</w:t>
      </w:r>
      <w:r w:rsidR="00EA2F38">
        <w:fldChar w:fldCharType="end"/>
      </w:r>
      <w:r>
        <w:t xml:space="preserve">. </w:t>
      </w:r>
      <w:r w:rsidRPr="000F3310">
        <w:t xml:space="preserve">Flood events in the wet season </w:t>
      </w:r>
      <w:r>
        <w:t xml:space="preserve">are the main </w:t>
      </w:r>
      <w:r w:rsidRPr="000F3310">
        <w:t>deliver</w:t>
      </w:r>
      <w:r>
        <w:t xml:space="preserve">y mechanism for </w:t>
      </w:r>
      <w:r w:rsidRPr="000F3310">
        <w:t>nutrients, sediments and pesticides from the adjacent catchments into the Reef lagoon</w:t>
      </w:r>
      <w:r>
        <w:t xml:space="preserve">. </w:t>
      </w:r>
      <w:r w:rsidR="00B25CAA" w:rsidRPr="00A40CD0">
        <w:t xml:space="preserve">The freshwater plume extent into the GBR lagoon during the wet season was estimated from MODIS measurements by applying a threshold to maps of aggregated seasonal maximum CDOM absorption. The freshwater extent based on the CDOM maximum provides a conservative estimate of the extent as the flood plumes could have extended further in cloudy or overcast days and hence not been captured with the satellite imagery. </w:t>
      </w:r>
      <w:bookmarkEnd w:id="5"/>
      <w:r w:rsidR="00845B9B" w:rsidRPr="00A40CD0">
        <w:t xml:space="preserve">The estimated freshwater extent for the whole </w:t>
      </w:r>
      <w:r w:rsidR="009557F8" w:rsidRPr="00CE033B">
        <w:t>Great Barrier Reef World Heritage Area</w:t>
      </w:r>
      <w:r w:rsidR="009557F8" w:rsidRPr="00A40CD0">
        <w:t xml:space="preserve"> </w:t>
      </w:r>
      <w:r w:rsidR="009557F8">
        <w:t>(</w:t>
      </w:r>
      <w:r w:rsidR="00845B9B" w:rsidRPr="00A40CD0">
        <w:t>GBRWHA</w:t>
      </w:r>
      <w:r w:rsidR="009557F8">
        <w:t>)</w:t>
      </w:r>
      <w:r w:rsidR="00845B9B" w:rsidRPr="00A40CD0">
        <w:t xml:space="preserve"> was highly correlated to the total freshwater discharges (R</w:t>
      </w:r>
      <w:r w:rsidR="00845B9B" w:rsidRPr="00A40CD0">
        <w:rPr>
          <w:vertAlign w:val="superscript"/>
        </w:rPr>
        <w:t>2</w:t>
      </w:r>
      <w:r w:rsidR="00845B9B">
        <w:t>=0.835</w:t>
      </w:r>
      <w:r w:rsidR="00845B9B" w:rsidRPr="00A40CD0">
        <w:t>), the freshwater extent for 201</w:t>
      </w:r>
      <w:r w:rsidR="00845B9B">
        <w:t>1/2012 was similar in magnitude to</w:t>
      </w:r>
      <w:r w:rsidR="00845B9B" w:rsidRPr="00A40CD0">
        <w:t xml:space="preserve"> 200</w:t>
      </w:r>
      <w:r w:rsidR="00845B9B">
        <w:t>7-</w:t>
      </w:r>
      <w:r w:rsidR="00845B9B" w:rsidRPr="00A40CD0">
        <w:t>2010</w:t>
      </w:r>
      <w:r w:rsidR="00845B9B">
        <w:t xml:space="preserve"> period as </w:t>
      </w:r>
      <w:r w:rsidR="00845B9B" w:rsidRPr="00A40CD0">
        <w:t>observed with the MODIS time series. The esti</w:t>
      </w:r>
      <w:r w:rsidR="00845B9B">
        <w:t>mated freshwater extent for 2011/2012 was larger than in 2010/2011</w:t>
      </w:r>
      <w:r w:rsidR="00845B9B" w:rsidRPr="00A40CD0">
        <w:t xml:space="preserve"> </w:t>
      </w:r>
      <w:r w:rsidR="00845B9B">
        <w:t xml:space="preserve">only </w:t>
      </w:r>
      <w:r w:rsidR="00845B9B" w:rsidRPr="00A40CD0">
        <w:lastRenderedPageBreak/>
        <w:t xml:space="preserve">for </w:t>
      </w:r>
      <w:r w:rsidR="00845B9B">
        <w:t xml:space="preserve">the Burdekin and Burnett Mary regions, while for Fitzroy and the Wet Tropics it was higher than the median extents </w:t>
      </w:r>
      <w:r w:rsidR="00845B9B" w:rsidRPr="00A40CD0">
        <w:t>observed with the MODIS time series</w:t>
      </w:r>
      <w:r w:rsidR="00845B9B">
        <w:t xml:space="preserve">. </w:t>
      </w:r>
    </w:p>
    <w:p w:rsidR="00907416" w:rsidRDefault="00907416" w:rsidP="002E0BD6">
      <w:pPr>
        <w:pStyle w:val="BodyText"/>
      </w:pPr>
      <w:r w:rsidRPr="00A40CD0">
        <w:t xml:space="preserve">The </w:t>
      </w:r>
      <w:r w:rsidR="009557F8">
        <w:t>GBRMPA</w:t>
      </w:r>
      <w:r w:rsidRPr="00A40CD0">
        <w:t xml:space="preserve"> released specific Water Quality Guidelines for the Marine Park in 2009 (hereafter called the Guidelines). These Guidelines provide triggers for management action where exceedance occurs and threshold levels for analysis of current condition as well as trend monitoring</w:t>
      </w:r>
      <w:r>
        <w:t>.</w:t>
      </w:r>
      <w:r w:rsidRPr="00A40CD0">
        <w:t xml:space="preserve"> The exceedance of the Guidelines was assessed for two water quality variables that can be retrieved </w:t>
      </w:r>
      <w:r w:rsidR="00124169">
        <w:t xml:space="preserve">accurately </w:t>
      </w:r>
      <w:r w:rsidRPr="00A40CD0">
        <w:t>from remote sensing: CHL and TSS retrieved from MODIS Aqua using CSIRO’s algorithms.</w:t>
      </w:r>
      <w:r w:rsidR="00EB4DD7">
        <w:t xml:space="preserve"> </w:t>
      </w:r>
      <w:r w:rsidRPr="00A40CD0">
        <w:t>The exceedance assessment results evaluated for CHL and TSS were presented as maps of exceedance of the Guidelines, i.e. when mean values for the year (and seasons) exceed the thresholds, as well as the Exceedance Frequency that provides the number of days where the concentration exceeded the threshold divided by the number of days with (error-free) data for that period. The spatial patterns in exceedance were a function of the coastal to offshore gradients that can be observed in the median maps as well as the different trigger values between the</w:t>
      </w:r>
      <w:r w:rsidR="00124169">
        <w:t xml:space="preserve"> </w:t>
      </w:r>
      <w:r w:rsidR="00124169" w:rsidRPr="00A40CD0">
        <w:t>Enclosed Coastal</w:t>
      </w:r>
      <w:r w:rsidR="00124169">
        <w:t xml:space="preserve"> and Open Coastal waters as well as the</w:t>
      </w:r>
      <w:r w:rsidRPr="00A40CD0">
        <w:t xml:space="preserve"> Midshelf and Offshore areas</w:t>
      </w:r>
      <w:r w:rsidR="0002520D">
        <w:t>.</w:t>
      </w:r>
    </w:p>
    <w:p w:rsidR="0002520D" w:rsidRPr="00A40CD0" w:rsidRDefault="0002520D" w:rsidP="002E0BD6">
      <w:pPr>
        <w:pStyle w:val="BodyText"/>
      </w:pPr>
      <w:r>
        <w:t>The t</w:t>
      </w:r>
      <w:r w:rsidRPr="00A40CD0">
        <w:t>wo component indicators</w:t>
      </w:r>
      <w:r>
        <w:t xml:space="preserve"> of the Paddock to Reef marine water quality index </w:t>
      </w:r>
      <w:r w:rsidR="00F00EA3">
        <w:t xml:space="preserve">(CHL and TSS) </w:t>
      </w:r>
      <w:r>
        <w:t xml:space="preserve">are based on the </w:t>
      </w:r>
      <w:r w:rsidRPr="00A40CD0">
        <w:t>spatial extent of non-compliance</w:t>
      </w:r>
      <w:r>
        <w:t xml:space="preserve"> in the Inshore</w:t>
      </w:r>
      <w:r w:rsidRPr="00A40CD0">
        <w:t xml:space="preserve"> water body</w:t>
      </w:r>
      <w:r>
        <w:t xml:space="preserve">. </w:t>
      </w:r>
      <w:r w:rsidRPr="00A40CD0">
        <w:t xml:space="preserve">The </w:t>
      </w:r>
      <w:r>
        <w:t xml:space="preserve">Inshore water body includes the </w:t>
      </w:r>
      <w:r w:rsidRPr="00A40CD0">
        <w:t>Open Coastal</w:t>
      </w:r>
      <w:r>
        <w:t xml:space="preserve"> waters and </w:t>
      </w:r>
      <w:r w:rsidRPr="00A40CD0">
        <w:t>the Enclos</w:t>
      </w:r>
      <w:r>
        <w:t>ed coastal waters that have</w:t>
      </w:r>
      <w:r w:rsidRPr="00A40CD0">
        <w:t xml:space="preserve"> been delineated </w:t>
      </w:r>
      <w:r>
        <w:t xml:space="preserve">in this </w:t>
      </w:r>
      <w:r w:rsidRPr="00B3089E">
        <w:t>report</w:t>
      </w:r>
      <w:r w:rsidR="00F00EA3" w:rsidRPr="00B3089E">
        <w:t xml:space="preserve"> as a </w:t>
      </w:r>
      <w:r w:rsidR="00F00EA3" w:rsidRPr="00C86B67">
        <w:t>case-study</w:t>
      </w:r>
      <w:r w:rsidR="00F00EA3" w:rsidRPr="00B3089E">
        <w:t xml:space="preserve"> to</w:t>
      </w:r>
      <w:r w:rsidR="00F00EA3">
        <w:t xml:space="preserve"> show the effect of delineation on compliance estimates</w:t>
      </w:r>
      <w:r w:rsidRPr="00A40CD0">
        <w:t xml:space="preserve">. As the guideline values for CHL and TSS for the Enclosed Coastal waters are higher than those for the Open Coastal water body, </w:t>
      </w:r>
      <w:r>
        <w:t xml:space="preserve">this study demonstrated that </w:t>
      </w:r>
      <w:r w:rsidRPr="00A40CD0">
        <w:t xml:space="preserve">the relative area of non-compliance for the </w:t>
      </w:r>
      <w:r>
        <w:t xml:space="preserve">Inshore waters </w:t>
      </w:r>
      <w:r w:rsidRPr="00A40CD0">
        <w:t>is over-estimated</w:t>
      </w:r>
      <w:r>
        <w:t xml:space="preserve"> if the Enclosed waters delineation is not taken in account. Hence the delineation of </w:t>
      </w:r>
      <w:r w:rsidRPr="00A40CD0">
        <w:t>the</w:t>
      </w:r>
      <w:r>
        <w:t xml:space="preserve"> Enclosed Coastal water body </w:t>
      </w:r>
      <w:r w:rsidRPr="00A40CD0">
        <w:t>improve</w:t>
      </w:r>
      <w:r>
        <w:t>d</w:t>
      </w:r>
      <w:r w:rsidRPr="00A40CD0">
        <w:t xml:space="preserve"> the estimates of the spatial extent of non-compliance</w:t>
      </w:r>
      <w:r>
        <w:t xml:space="preserve"> and the Paddock to Reef marine water quality index. </w:t>
      </w:r>
      <w:r w:rsidR="002500D8">
        <w:t>It is recommended to GBRMPA that t</w:t>
      </w:r>
      <w:r w:rsidR="002500D8" w:rsidRPr="00775C7C">
        <w:t xml:space="preserve">he proposed delineation </w:t>
      </w:r>
      <w:r w:rsidR="002500D8">
        <w:t xml:space="preserve">of the Enclosed Coastal waters should be taken </w:t>
      </w:r>
      <w:r w:rsidR="002500D8" w:rsidRPr="00775C7C">
        <w:t xml:space="preserve">in consideration </w:t>
      </w:r>
      <w:r w:rsidR="002500D8">
        <w:t xml:space="preserve">together with </w:t>
      </w:r>
      <w:r w:rsidR="002500D8" w:rsidRPr="00775C7C">
        <w:t>other data sources including the Queensland Wetlands 2009 data, depth contours, hydrodynamics and sources of freshwater input to the coast prior to selecting the final water body delineation</w:t>
      </w:r>
      <w:r w:rsidR="002500D8">
        <w:t xml:space="preserve"> for formal implementation in the Guidelines</w:t>
      </w:r>
      <w:r w:rsidR="002500D8" w:rsidRPr="00775C7C">
        <w:t>.</w:t>
      </w:r>
      <w:r w:rsidR="002500D8">
        <w:t xml:space="preserve"> </w:t>
      </w:r>
      <w:r>
        <w:t xml:space="preserve">This </w:t>
      </w:r>
      <w:r w:rsidRPr="00A40CD0">
        <w:t>report provide</w:t>
      </w:r>
      <w:r>
        <w:t>s</w:t>
      </w:r>
      <w:r w:rsidRPr="00A40CD0">
        <w:t xml:space="preserve"> a consistent </w:t>
      </w:r>
      <w:r>
        <w:t>re-</w:t>
      </w:r>
      <w:r w:rsidRPr="00A40CD0">
        <w:t>assessment of the exceedance of the Guidelines</w:t>
      </w:r>
      <w:r w:rsidRPr="00A40CD0" w:rsidDel="00A137A0">
        <w:t xml:space="preserve"> </w:t>
      </w:r>
      <w:r w:rsidRPr="00A40CD0">
        <w:t>for past reporting years.</w:t>
      </w:r>
      <w:r>
        <w:t xml:space="preserve"> As such, all the results presented in this report supersede the previous reports.</w:t>
      </w:r>
    </w:p>
    <w:p w:rsidR="00CA40C2" w:rsidRDefault="00845B9B" w:rsidP="002E0BD6">
      <w:pPr>
        <w:pStyle w:val="BodyText"/>
      </w:pPr>
      <w:r w:rsidRPr="00A40CD0">
        <w:t>The marine water quality for this reporting year for the whole GBR was scored as “</w:t>
      </w:r>
      <w:r>
        <w:t>moderate</w:t>
      </w:r>
      <w:r w:rsidRPr="00A40CD0">
        <w:t>”, reflecting the</w:t>
      </w:r>
      <w:r>
        <w:t xml:space="preserve"> one</w:t>
      </w:r>
      <w:r w:rsidRPr="00A40CD0">
        <w:t xml:space="preserve"> “poor”</w:t>
      </w:r>
      <w:r>
        <w:t xml:space="preserve"> and three “moderate”</w:t>
      </w:r>
      <w:r w:rsidRPr="00A40CD0">
        <w:t xml:space="preserve"> score</w:t>
      </w:r>
      <w:r>
        <w:t>s</w:t>
      </w:r>
      <w:r w:rsidRPr="00A40CD0">
        <w:t xml:space="preserve"> for P2R_WQI </w:t>
      </w:r>
      <w:r>
        <w:t xml:space="preserve">in the four </w:t>
      </w:r>
      <w:r w:rsidRPr="00A40CD0">
        <w:t>reporting regions</w:t>
      </w:r>
      <w:r w:rsidR="00FD6BC1">
        <w:t xml:space="preserve"> that contribute the</w:t>
      </w:r>
      <w:r w:rsidR="009521AC">
        <w:t xml:space="preserve"> whole of GBR score (t</w:t>
      </w:r>
      <w:r w:rsidR="009521AC" w:rsidRPr="00A40CD0">
        <w:t xml:space="preserve">he regional scores for Cape York and Burnett Mary are excluded from calculations </w:t>
      </w:r>
      <w:r w:rsidR="009521AC">
        <w:t xml:space="preserve">of the </w:t>
      </w:r>
      <w:r w:rsidR="009521AC" w:rsidRPr="00A40CD0">
        <w:t>overall GBR score for each metric</w:t>
      </w:r>
      <w:r w:rsidR="009521AC">
        <w:t xml:space="preserve"> </w:t>
      </w:r>
      <w:r w:rsidR="009521AC" w:rsidRPr="00A40CD0">
        <w:t>as limited field information was used for the parameterization and validation on the remote sensing retrievals</w:t>
      </w:r>
      <w:r w:rsidR="009521AC">
        <w:t>)</w:t>
      </w:r>
      <w:r w:rsidR="009521AC" w:rsidRPr="00A40CD0">
        <w:t>.</w:t>
      </w:r>
      <w:r w:rsidR="009521AC">
        <w:t xml:space="preserve"> </w:t>
      </w:r>
      <w:r w:rsidRPr="00A40CD0">
        <w:t>The scores fo</w:t>
      </w:r>
      <w:r>
        <w:t xml:space="preserve">r the two component indicators </w:t>
      </w:r>
      <w:r w:rsidRPr="00A40CD0">
        <w:t>for the whole GBR were “poor” for P2R_CHL and “moderate” for P2R_TSS, reflecting the “very poor” to “</w:t>
      </w:r>
      <w:r>
        <w:t>moderate</w:t>
      </w:r>
      <w:r w:rsidRPr="00A40CD0">
        <w:t>” regional scores for P2R_CHL and “</w:t>
      </w:r>
      <w:r>
        <w:t>moderate</w:t>
      </w:r>
      <w:r w:rsidRPr="00A40CD0">
        <w:t xml:space="preserve">” to “good” regional scores from P2R_TSS. </w:t>
      </w:r>
    </w:p>
    <w:p w:rsidR="002500D8" w:rsidRDefault="002500D8" w:rsidP="002500D8">
      <w:pPr>
        <w:pStyle w:val="BodyText"/>
      </w:pPr>
      <w:r w:rsidRPr="00A40CD0">
        <w:t xml:space="preserve">The marine water quality index was </w:t>
      </w:r>
      <w:r>
        <w:t xml:space="preserve">similar to the reporting year 2010/11 and </w:t>
      </w:r>
      <w:r w:rsidRPr="00A40CD0">
        <w:t>lower than for the previous reporting year</w:t>
      </w:r>
      <w:r>
        <w:t xml:space="preserve">s </w:t>
      </w:r>
      <w:r w:rsidRPr="00A40CD0">
        <w:t>for all regions, as well as the whole GBR</w:t>
      </w:r>
      <w:r w:rsidR="007E3AA0">
        <w:t>,</w:t>
      </w:r>
      <w:r>
        <w:t xml:space="preserve"> </w:t>
      </w:r>
      <w:r w:rsidRPr="00A40CD0">
        <w:t>reflecting the high freshwater discharges from the GBR catchments in 2010/11</w:t>
      </w:r>
      <w:r>
        <w:t xml:space="preserve"> and 2011/12</w:t>
      </w:r>
      <w:r w:rsidRPr="00A40CD0">
        <w:t xml:space="preserve"> and the associated estimated freshwater plume extent</w:t>
      </w:r>
      <w:r>
        <w:t>.</w:t>
      </w:r>
    </w:p>
    <w:p w:rsidR="002514E1" w:rsidRPr="00A40CD0" w:rsidRDefault="002514E1" w:rsidP="002514E1">
      <w:pPr>
        <w:pStyle w:val="BodyText"/>
      </w:pPr>
      <w:r w:rsidRPr="00A40CD0">
        <w:t>The MMP water quality monitoring uses three complementary approaches to collect d</w:t>
      </w:r>
      <w:r>
        <w:t>ata at various spatial (</w:t>
      </w:r>
      <w:r w:rsidRPr="00A40CD0">
        <w:t>location, region, and whole GBR lagoon) and temporal (</w:t>
      </w:r>
      <w:r>
        <w:t>ad  hoc</w:t>
      </w:r>
      <w:r w:rsidRPr="00A40CD0">
        <w:t xml:space="preserve">, daily, 10-minutely) scales: traditional direct water sampling from research vessels, in situ data loggers at a small number of </w:t>
      </w:r>
      <w:r w:rsidRPr="00A40CD0">
        <w:lastRenderedPageBreak/>
        <w:t>selected inshore reef locations and remote sensing techniques. While data loggers provide detailed information on the local variability in water quality parameters, remote sensing observations provide extensive spatial coverage at 1 km resolution. The comparison of the remote sensing based results with other MMP components like the site-specific inshore</w:t>
      </w:r>
      <w:r>
        <w:t xml:space="preserve"> water quality monitoring provided a consistent assessment of Guideline exce</w:t>
      </w:r>
      <w:r w:rsidRPr="00A40CD0">
        <w:t>edance. Given the spatial and temporal complexity of the data, a separate research project carried out with Reef Rescue Research and Developm</w:t>
      </w:r>
      <w:r>
        <w:t>ent funding for 2011 - 2013 is</w:t>
      </w:r>
      <w:r w:rsidRPr="00A40CD0">
        <w:t xml:space="preserve"> develop</w:t>
      </w:r>
      <w:r>
        <w:t>ing</w:t>
      </w:r>
      <w:r w:rsidRPr="00A40CD0">
        <w:t xml:space="preserve"> an integrated assessment and reporting framework for a comprehensive and more easily interpretable assessment of GBR water quality. This will enable these datasets to meet the requirements of the monitoring and modelling strategies for the Paddock to Reef reporting.</w:t>
      </w:r>
    </w:p>
    <w:p w:rsidR="00CA40C2" w:rsidRDefault="00CA40C2" w:rsidP="002E0BD6">
      <w:pPr>
        <w:pStyle w:val="BodyText"/>
      </w:pPr>
    </w:p>
    <w:p w:rsidR="002500D8" w:rsidRDefault="002500D8" w:rsidP="002E0BD6">
      <w:pPr>
        <w:pStyle w:val="BodyText"/>
      </w:pPr>
    </w:p>
    <w:p w:rsidR="002500D8" w:rsidRDefault="002500D8" w:rsidP="002E0BD6">
      <w:pPr>
        <w:pStyle w:val="BodyText"/>
      </w:pPr>
    </w:p>
    <w:tbl>
      <w:tblPr>
        <w:tblW w:w="0" w:type="auto"/>
        <w:tblInd w:w="9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043"/>
        <w:gridCol w:w="1536"/>
        <w:gridCol w:w="1622"/>
        <w:gridCol w:w="1554"/>
      </w:tblGrid>
      <w:tr w:rsidR="00CA40C2" w:rsidRPr="00F347A9" w:rsidTr="00CC5FE8">
        <w:trPr>
          <w:trHeight w:val="300"/>
        </w:trPr>
        <w:tc>
          <w:tcPr>
            <w:tcW w:w="0" w:type="auto"/>
          </w:tcPr>
          <w:p w:rsidR="00CA40C2" w:rsidRPr="00F347A9" w:rsidRDefault="00CA40C2" w:rsidP="00CC5FE8">
            <w:pPr>
              <w:rPr>
                <w:rFonts w:ascii="Times New Roman" w:hAnsi="Times New Roman"/>
                <w:color w:val="000000"/>
                <w:lang w:val="en-US" w:eastAsia="en-US"/>
              </w:rPr>
            </w:pPr>
          </w:p>
        </w:tc>
        <w:tc>
          <w:tcPr>
            <w:tcW w:w="0" w:type="auto"/>
            <w:shd w:val="clear" w:color="auto" w:fill="auto"/>
            <w:noWrap/>
            <w:vAlign w:val="bottom"/>
            <w:hideMark/>
          </w:tcPr>
          <w:p w:rsidR="00CA40C2" w:rsidRPr="00F347A9" w:rsidRDefault="00CA40C2" w:rsidP="00CC5FE8">
            <w:pPr>
              <w:rPr>
                <w:rFonts w:ascii="Times New Roman" w:hAnsi="Times New Roman"/>
                <w:color w:val="000000"/>
                <w:lang w:val="en-US" w:eastAsia="en-US"/>
              </w:rPr>
            </w:pPr>
            <w:r w:rsidRPr="00F347A9">
              <w:rPr>
                <w:rFonts w:ascii="Times New Roman" w:hAnsi="Times New Roman"/>
                <w:color w:val="000000"/>
                <w:szCs w:val="22"/>
                <w:lang w:val="en-US" w:eastAsia="en-US"/>
              </w:rPr>
              <w:t>P2R_CHL</w:t>
            </w:r>
          </w:p>
        </w:tc>
        <w:tc>
          <w:tcPr>
            <w:tcW w:w="0" w:type="auto"/>
            <w:shd w:val="clear" w:color="auto" w:fill="auto"/>
            <w:noWrap/>
            <w:vAlign w:val="bottom"/>
            <w:hideMark/>
          </w:tcPr>
          <w:p w:rsidR="00CA40C2" w:rsidRPr="00F347A9" w:rsidRDefault="00CA40C2" w:rsidP="00CC5FE8">
            <w:pPr>
              <w:rPr>
                <w:rFonts w:ascii="Times New Roman" w:hAnsi="Times New Roman"/>
                <w:color w:val="000000"/>
                <w:lang w:val="en-US" w:eastAsia="en-US"/>
              </w:rPr>
            </w:pPr>
            <w:r w:rsidRPr="00F347A9">
              <w:rPr>
                <w:rFonts w:ascii="Times New Roman" w:hAnsi="Times New Roman"/>
                <w:color w:val="000000"/>
                <w:szCs w:val="22"/>
                <w:lang w:val="en-US" w:eastAsia="en-US"/>
              </w:rPr>
              <w:t>P2R_TSS</w:t>
            </w:r>
          </w:p>
        </w:tc>
        <w:tc>
          <w:tcPr>
            <w:tcW w:w="0" w:type="auto"/>
            <w:shd w:val="clear" w:color="auto" w:fill="auto"/>
            <w:noWrap/>
            <w:vAlign w:val="bottom"/>
            <w:hideMark/>
          </w:tcPr>
          <w:p w:rsidR="00CA40C2" w:rsidRPr="00F347A9" w:rsidRDefault="00CA40C2" w:rsidP="00CC5FE8">
            <w:pPr>
              <w:rPr>
                <w:rFonts w:ascii="Times New Roman" w:hAnsi="Times New Roman"/>
                <w:color w:val="000000"/>
                <w:lang w:val="en-US" w:eastAsia="en-US"/>
              </w:rPr>
            </w:pPr>
            <w:r w:rsidRPr="00F347A9">
              <w:rPr>
                <w:rFonts w:ascii="Times New Roman" w:hAnsi="Times New Roman"/>
                <w:color w:val="000000"/>
                <w:szCs w:val="22"/>
                <w:lang w:val="en-US" w:eastAsia="en-US"/>
              </w:rPr>
              <w:t>P2R_WQI</w:t>
            </w:r>
          </w:p>
        </w:tc>
      </w:tr>
      <w:tr w:rsidR="00CA40C2" w:rsidRPr="00F347A9" w:rsidTr="00CC5FE8">
        <w:trPr>
          <w:trHeight w:val="315"/>
        </w:trPr>
        <w:tc>
          <w:tcPr>
            <w:tcW w:w="0" w:type="auto"/>
          </w:tcPr>
          <w:p w:rsidR="00CA40C2" w:rsidRPr="00F347A9" w:rsidRDefault="00CA40C2" w:rsidP="002E0BD6">
            <w:pPr>
              <w:pStyle w:val="BodyText"/>
            </w:pPr>
            <w:r w:rsidRPr="00F347A9">
              <w:t>Cape York*</w:t>
            </w:r>
          </w:p>
        </w:tc>
        <w:tc>
          <w:tcPr>
            <w:tcW w:w="0" w:type="auto"/>
            <w:shd w:val="clear" w:color="000000" w:fill="FBEF05"/>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47</w:t>
            </w:r>
            <w:r>
              <w:rPr>
                <w:rFonts w:ascii="Times New Roman" w:hAnsi="Times New Roman"/>
                <w:color w:val="000000"/>
                <w:szCs w:val="22"/>
                <w:lang w:val="en-US" w:eastAsia="en-US"/>
              </w:rPr>
              <w:t>)</w:t>
            </w:r>
          </w:p>
        </w:tc>
        <w:tc>
          <w:tcPr>
            <w:tcW w:w="0" w:type="auto"/>
            <w:shd w:val="clear" w:color="000000" w:fill="92D050"/>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Good (</w:t>
            </w:r>
            <w:r w:rsidRPr="00F347A9">
              <w:rPr>
                <w:rFonts w:ascii="Times New Roman" w:hAnsi="Times New Roman"/>
                <w:color w:val="000000"/>
                <w:szCs w:val="22"/>
                <w:lang w:val="en-US" w:eastAsia="en-US"/>
              </w:rPr>
              <w:t>76</w:t>
            </w:r>
            <w:r>
              <w:rPr>
                <w:rFonts w:ascii="Times New Roman" w:hAnsi="Times New Roman"/>
                <w:color w:val="000000"/>
                <w:szCs w:val="22"/>
                <w:lang w:val="en-US" w:eastAsia="en-US"/>
              </w:rPr>
              <w:t>)</w:t>
            </w:r>
          </w:p>
        </w:tc>
        <w:tc>
          <w:tcPr>
            <w:tcW w:w="0" w:type="auto"/>
            <w:shd w:val="clear" w:color="000000" w:fill="92D050"/>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rPr>
              <w:t>Good (</w:t>
            </w:r>
            <w:r w:rsidRPr="00F347A9">
              <w:rPr>
                <w:rFonts w:ascii="Times New Roman" w:hAnsi="Times New Roman"/>
                <w:b/>
                <w:bCs/>
                <w:color w:val="000000"/>
                <w:szCs w:val="22"/>
                <w:lang w:val="en-US" w:eastAsia="en-US"/>
              </w:rPr>
              <w:t>62)</w:t>
            </w:r>
          </w:p>
        </w:tc>
      </w:tr>
      <w:tr w:rsidR="00CA40C2" w:rsidRPr="00F347A9" w:rsidTr="00CC5FE8">
        <w:trPr>
          <w:trHeight w:val="315"/>
        </w:trPr>
        <w:tc>
          <w:tcPr>
            <w:tcW w:w="0" w:type="auto"/>
          </w:tcPr>
          <w:p w:rsidR="00CA40C2" w:rsidRPr="00F347A9" w:rsidRDefault="00CA40C2" w:rsidP="002E0BD6">
            <w:pPr>
              <w:pStyle w:val="BodyText"/>
            </w:pPr>
            <w:r w:rsidRPr="00F347A9">
              <w:t>Wet Tropics</w:t>
            </w:r>
          </w:p>
        </w:tc>
        <w:tc>
          <w:tcPr>
            <w:tcW w:w="0" w:type="auto"/>
            <w:shd w:val="clear" w:color="000000" w:fill="FF0000"/>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Very poor</w:t>
            </w:r>
            <w:r w:rsidRPr="00715EE6">
              <w:rPr>
                <w:rFonts w:ascii="Times New Roman" w:hAnsi="Times New Roman"/>
                <w:color w:val="000000"/>
                <w:szCs w:val="22"/>
                <w:lang w:val="en-US" w:eastAsia="en-US"/>
              </w:rPr>
              <w:t xml:space="preserve"> </w:t>
            </w:r>
            <w:r>
              <w:rPr>
                <w:rFonts w:ascii="Times New Roman" w:hAnsi="Times New Roman"/>
                <w:color w:val="000000"/>
                <w:szCs w:val="22"/>
                <w:lang w:val="en-US" w:eastAsia="en-US"/>
              </w:rPr>
              <w:t>(</w:t>
            </w:r>
            <w:r w:rsidRPr="00F347A9">
              <w:rPr>
                <w:rFonts w:ascii="Times New Roman" w:hAnsi="Times New Roman"/>
                <w:color w:val="000000"/>
                <w:szCs w:val="22"/>
                <w:lang w:val="en-US" w:eastAsia="en-US"/>
              </w:rPr>
              <w:t>9</w:t>
            </w:r>
            <w:r>
              <w:rPr>
                <w:rFonts w:ascii="Times New Roman" w:hAnsi="Times New Roman"/>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57</w:t>
            </w:r>
            <w:r>
              <w:rPr>
                <w:rFonts w:ascii="Times New Roman" w:hAnsi="Times New Roman"/>
                <w:color w:val="000000"/>
                <w:szCs w:val="22"/>
                <w:lang w:val="en-US" w:eastAsia="en-US"/>
              </w:rPr>
              <w:t>)</w:t>
            </w:r>
          </w:p>
        </w:tc>
        <w:tc>
          <w:tcPr>
            <w:tcW w:w="0" w:type="auto"/>
            <w:shd w:val="clear" w:color="000000" w:fill="FC9804"/>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lang w:val="en-US" w:eastAsia="en-US"/>
              </w:rPr>
              <w:t>Poor (</w:t>
            </w:r>
            <w:r w:rsidRPr="00F347A9">
              <w:rPr>
                <w:rFonts w:ascii="Times New Roman" w:hAnsi="Times New Roman"/>
                <w:b/>
                <w:bCs/>
                <w:color w:val="000000"/>
                <w:szCs w:val="22"/>
                <w:lang w:val="en-US" w:eastAsia="en-US"/>
              </w:rPr>
              <w:t>33)</w:t>
            </w:r>
          </w:p>
        </w:tc>
      </w:tr>
      <w:tr w:rsidR="00CA40C2" w:rsidRPr="00F347A9" w:rsidTr="00CC5FE8">
        <w:trPr>
          <w:trHeight w:val="315"/>
        </w:trPr>
        <w:tc>
          <w:tcPr>
            <w:tcW w:w="0" w:type="auto"/>
          </w:tcPr>
          <w:p w:rsidR="00CA40C2" w:rsidRPr="00F347A9" w:rsidRDefault="00CA40C2" w:rsidP="002E0BD6">
            <w:pPr>
              <w:pStyle w:val="BodyText"/>
            </w:pPr>
            <w:r w:rsidRPr="00F347A9">
              <w:t>Burdekin</w:t>
            </w:r>
          </w:p>
        </w:tc>
        <w:tc>
          <w:tcPr>
            <w:tcW w:w="0" w:type="auto"/>
            <w:shd w:val="clear" w:color="000000" w:fill="FC9804"/>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lang w:val="en-US" w:eastAsia="en-US"/>
              </w:rPr>
              <w:t>Poor</w:t>
            </w:r>
            <w:r>
              <w:rPr>
                <w:rFonts w:ascii="Times New Roman" w:hAnsi="Times New Roman"/>
                <w:color w:val="000000"/>
                <w:szCs w:val="22"/>
                <w:lang w:val="en-US" w:eastAsia="en-US"/>
              </w:rPr>
              <w:t xml:space="preserve"> </w:t>
            </w:r>
            <w:r w:rsidRPr="00715EE6">
              <w:rPr>
                <w:rFonts w:ascii="Times New Roman" w:hAnsi="Times New Roman"/>
                <w:color w:val="000000"/>
                <w:szCs w:val="22"/>
                <w:lang w:val="en-US" w:eastAsia="en-US"/>
              </w:rPr>
              <w:t>(</w:t>
            </w:r>
            <w:r w:rsidRPr="00F347A9">
              <w:rPr>
                <w:rFonts w:ascii="Times New Roman" w:hAnsi="Times New Roman"/>
                <w:color w:val="000000"/>
                <w:szCs w:val="22"/>
                <w:lang w:val="en-US" w:eastAsia="en-US"/>
              </w:rPr>
              <w:t>34</w:t>
            </w:r>
            <w:r>
              <w:rPr>
                <w:rFonts w:ascii="Times New Roman" w:hAnsi="Times New Roman"/>
                <w:color w:val="000000"/>
                <w:szCs w:val="22"/>
                <w:lang w:val="en-US" w:eastAsia="en-US"/>
              </w:rPr>
              <w:t>)</w:t>
            </w:r>
          </w:p>
        </w:tc>
        <w:tc>
          <w:tcPr>
            <w:tcW w:w="0" w:type="auto"/>
            <w:shd w:val="clear" w:color="000000" w:fill="92D050"/>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Good (</w:t>
            </w:r>
            <w:r w:rsidRPr="00F347A9">
              <w:rPr>
                <w:rFonts w:ascii="Times New Roman" w:hAnsi="Times New Roman"/>
                <w:color w:val="000000"/>
                <w:szCs w:val="22"/>
                <w:lang w:val="en-US" w:eastAsia="en-US"/>
              </w:rPr>
              <w:t>65</w:t>
            </w:r>
            <w:r>
              <w:rPr>
                <w:rFonts w:ascii="Times New Roman" w:hAnsi="Times New Roman"/>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50)</w:t>
            </w:r>
          </w:p>
        </w:tc>
      </w:tr>
      <w:tr w:rsidR="00CA40C2" w:rsidRPr="00F347A9" w:rsidTr="00CC5FE8">
        <w:trPr>
          <w:trHeight w:val="315"/>
        </w:trPr>
        <w:tc>
          <w:tcPr>
            <w:tcW w:w="0" w:type="auto"/>
          </w:tcPr>
          <w:p w:rsidR="00CA40C2" w:rsidRPr="00F347A9" w:rsidRDefault="00CA40C2" w:rsidP="002E0BD6">
            <w:pPr>
              <w:pStyle w:val="BodyText"/>
            </w:pPr>
            <w:r w:rsidRPr="00F347A9">
              <w:t>Mackay Whitsunday</w:t>
            </w:r>
          </w:p>
        </w:tc>
        <w:tc>
          <w:tcPr>
            <w:tcW w:w="0" w:type="auto"/>
            <w:shd w:val="clear" w:color="000000" w:fill="FBEF05"/>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58</w:t>
            </w:r>
            <w:r>
              <w:rPr>
                <w:rFonts w:ascii="Times New Roman" w:hAnsi="Times New Roman"/>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60</w:t>
            </w:r>
            <w:r>
              <w:rPr>
                <w:rFonts w:ascii="Times New Roman" w:hAnsi="Times New Roman"/>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59)</w:t>
            </w:r>
          </w:p>
        </w:tc>
      </w:tr>
      <w:tr w:rsidR="00CA40C2" w:rsidRPr="00F347A9" w:rsidTr="00CC5FE8">
        <w:trPr>
          <w:trHeight w:val="315"/>
        </w:trPr>
        <w:tc>
          <w:tcPr>
            <w:tcW w:w="0" w:type="auto"/>
          </w:tcPr>
          <w:p w:rsidR="00CA40C2" w:rsidRPr="00F347A9" w:rsidRDefault="00CA40C2" w:rsidP="002E0BD6">
            <w:pPr>
              <w:pStyle w:val="BodyText"/>
            </w:pPr>
            <w:r w:rsidRPr="00F347A9">
              <w:t>Fitzroy</w:t>
            </w:r>
          </w:p>
        </w:tc>
        <w:tc>
          <w:tcPr>
            <w:tcW w:w="0" w:type="auto"/>
            <w:shd w:val="clear" w:color="000000" w:fill="FF0000"/>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Very poor</w:t>
            </w:r>
            <w:r w:rsidRPr="00715EE6">
              <w:rPr>
                <w:rFonts w:ascii="Times New Roman" w:hAnsi="Times New Roman"/>
                <w:color w:val="000000"/>
                <w:szCs w:val="22"/>
                <w:lang w:val="en-US" w:eastAsia="en-US"/>
              </w:rPr>
              <w:t xml:space="preserve"> </w:t>
            </w:r>
            <w:r>
              <w:rPr>
                <w:rFonts w:ascii="Times New Roman" w:hAnsi="Times New Roman"/>
                <w:color w:val="000000"/>
                <w:szCs w:val="22"/>
                <w:lang w:val="en-US" w:eastAsia="en-US"/>
              </w:rPr>
              <w:t>(</w:t>
            </w:r>
            <w:r w:rsidRPr="00F347A9">
              <w:rPr>
                <w:rFonts w:ascii="Times New Roman" w:hAnsi="Times New Roman"/>
                <w:color w:val="000000"/>
                <w:szCs w:val="22"/>
                <w:lang w:val="en-US" w:eastAsia="en-US"/>
              </w:rPr>
              <w:t>19</w:t>
            </w:r>
            <w:r>
              <w:rPr>
                <w:rFonts w:ascii="Times New Roman" w:hAnsi="Times New Roman"/>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58</w:t>
            </w:r>
            <w:r>
              <w:rPr>
                <w:rFonts w:ascii="Times New Roman" w:hAnsi="Times New Roman"/>
                <w:color w:val="000000"/>
                <w:szCs w:val="22"/>
                <w:lang w:val="en-US" w:eastAsia="en-US"/>
              </w:rPr>
              <w:t>)</w:t>
            </w:r>
          </w:p>
        </w:tc>
        <w:tc>
          <w:tcPr>
            <w:tcW w:w="0" w:type="auto"/>
            <w:shd w:val="clear" w:color="000000" w:fill="FC9804"/>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lang w:val="en-US" w:eastAsia="en-US"/>
              </w:rPr>
              <w:t>Poor (</w:t>
            </w:r>
            <w:r w:rsidRPr="00F347A9">
              <w:rPr>
                <w:rFonts w:ascii="Times New Roman" w:hAnsi="Times New Roman"/>
                <w:b/>
                <w:bCs/>
                <w:color w:val="000000"/>
                <w:szCs w:val="22"/>
                <w:lang w:val="en-US" w:eastAsia="en-US"/>
              </w:rPr>
              <w:t>38)</w:t>
            </w:r>
          </w:p>
        </w:tc>
      </w:tr>
      <w:tr w:rsidR="00CA40C2" w:rsidRPr="00F347A9" w:rsidTr="00CC5FE8">
        <w:trPr>
          <w:trHeight w:val="315"/>
        </w:trPr>
        <w:tc>
          <w:tcPr>
            <w:tcW w:w="0" w:type="auto"/>
          </w:tcPr>
          <w:p w:rsidR="00CA40C2" w:rsidRPr="00F347A9" w:rsidRDefault="00CA40C2" w:rsidP="002E0BD6">
            <w:pPr>
              <w:pStyle w:val="BodyText"/>
            </w:pPr>
            <w:r w:rsidRPr="00F347A9">
              <w:t>Burnett Mary *</w:t>
            </w:r>
          </w:p>
        </w:tc>
        <w:tc>
          <w:tcPr>
            <w:tcW w:w="0" w:type="auto"/>
            <w:shd w:val="clear" w:color="000000" w:fill="FF0000"/>
            <w:noWrap/>
            <w:vAlign w:val="center"/>
            <w:hideMark/>
          </w:tcPr>
          <w:p w:rsidR="00CA40C2" w:rsidRPr="00F347A9" w:rsidRDefault="00CA40C2" w:rsidP="00CC5FE8">
            <w:pPr>
              <w:jc w:val="center"/>
              <w:rPr>
                <w:rFonts w:ascii="Times New Roman" w:hAnsi="Times New Roman"/>
                <w:color w:val="000000"/>
                <w:lang w:val="en-US" w:eastAsia="en-US"/>
              </w:rPr>
            </w:pPr>
            <w:r w:rsidRPr="00715EE6">
              <w:rPr>
                <w:rFonts w:ascii="Times New Roman" w:hAnsi="Times New Roman"/>
                <w:color w:val="000000"/>
                <w:szCs w:val="22"/>
              </w:rPr>
              <w:t>Very poor</w:t>
            </w:r>
            <w:r w:rsidRPr="00715EE6">
              <w:rPr>
                <w:rFonts w:ascii="Times New Roman" w:hAnsi="Times New Roman"/>
                <w:color w:val="000000"/>
                <w:szCs w:val="22"/>
                <w:lang w:val="en-US" w:eastAsia="en-US"/>
              </w:rPr>
              <w:t xml:space="preserve"> </w:t>
            </w:r>
            <w:r>
              <w:rPr>
                <w:rFonts w:ascii="Times New Roman" w:hAnsi="Times New Roman"/>
                <w:color w:val="000000"/>
                <w:szCs w:val="22"/>
                <w:lang w:val="en-US" w:eastAsia="en-US"/>
              </w:rPr>
              <w:t>(</w:t>
            </w:r>
            <w:r w:rsidRPr="00F347A9">
              <w:rPr>
                <w:rFonts w:ascii="Times New Roman" w:hAnsi="Times New Roman"/>
                <w:color w:val="000000"/>
                <w:szCs w:val="22"/>
                <w:lang w:val="en-US" w:eastAsia="en-US"/>
              </w:rPr>
              <w:t>15</w:t>
            </w:r>
            <w:r>
              <w:rPr>
                <w:rFonts w:ascii="Times New Roman" w:hAnsi="Times New Roman"/>
                <w:color w:val="000000"/>
                <w:szCs w:val="22"/>
                <w:lang w:val="en-US" w:eastAsia="en-US"/>
              </w:rPr>
              <w:t>)</w:t>
            </w:r>
          </w:p>
        </w:tc>
        <w:tc>
          <w:tcPr>
            <w:tcW w:w="0" w:type="auto"/>
            <w:shd w:val="clear" w:color="000000" w:fill="00B050"/>
            <w:noWrap/>
            <w:vAlign w:val="center"/>
            <w:hideMark/>
          </w:tcPr>
          <w:p w:rsidR="00CA40C2" w:rsidRPr="00F347A9" w:rsidRDefault="00CA40C2" w:rsidP="00CC5FE8">
            <w:pPr>
              <w:jc w:val="center"/>
              <w:rPr>
                <w:rFonts w:ascii="Times New Roman" w:hAnsi="Times New Roman"/>
                <w:color w:val="000000"/>
                <w:lang w:val="en-US" w:eastAsia="en-US"/>
              </w:rPr>
            </w:pPr>
            <w:r>
              <w:rPr>
                <w:rFonts w:ascii="Times New Roman" w:hAnsi="Times New Roman"/>
                <w:color w:val="000000"/>
                <w:szCs w:val="22"/>
              </w:rPr>
              <w:t xml:space="preserve">Very </w:t>
            </w:r>
            <w:r w:rsidRPr="00715EE6">
              <w:rPr>
                <w:rFonts w:ascii="Times New Roman" w:hAnsi="Times New Roman"/>
                <w:color w:val="000000"/>
                <w:szCs w:val="22"/>
              </w:rPr>
              <w:t>Good (</w:t>
            </w:r>
            <w:r w:rsidRPr="00F347A9">
              <w:rPr>
                <w:rFonts w:ascii="Times New Roman" w:hAnsi="Times New Roman"/>
                <w:color w:val="000000"/>
                <w:szCs w:val="22"/>
                <w:lang w:val="en-US" w:eastAsia="en-US"/>
              </w:rPr>
              <w:t>92</w:t>
            </w:r>
            <w:r>
              <w:rPr>
                <w:rFonts w:ascii="Times New Roman" w:hAnsi="Times New Roman"/>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53)</w:t>
            </w:r>
          </w:p>
        </w:tc>
      </w:tr>
      <w:tr w:rsidR="00CA40C2" w:rsidRPr="00F347A9" w:rsidTr="00CC5FE8">
        <w:trPr>
          <w:trHeight w:val="315"/>
        </w:trPr>
        <w:tc>
          <w:tcPr>
            <w:tcW w:w="0" w:type="auto"/>
          </w:tcPr>
          <w:p w:rsidR="00CA40C2" w:rsidRPr="00F347A9" w:rsidRDefault="00CA40C2" w:rsidP="00CC5FE8">
            <w:pPr>
              <w:autoSpaceDE w:val="0"/>
              <w:autoSpaceDN w:val="0"/>
              <w:adjustRightInd w:val="0"/>
              <w:rPr>
                <w:rFonts w:ascii="Times New Roman" w:hAnsi="Times New Roman"/>
                <w:b/>
                <w:color w:val="000000"/>
              </w:rPr>
            </w:pPr>
            <w:r w:rsidRPr="00F347A9">
              <w:rPr>
                <w:rFonts w:ascii="Times New Roman" w:hAnsi="Times New Roman"/>
                <w:b/>
                <w:color w:val="000000"/>
                <w:szCs w:val="22"/>
              </w:rPr>
              <w:t>GBR</w:t>
            </w:r>
          </w:p>
        </w:tc>
        <w:tc>
          <w:tcPr>
            <w:tcW w:w="0" w:type="auto"/>
            <w:shd w:val="clear" w:color="000000" w:fill="FC9804"/>
            <w:noWrap/>
            <w:vAlign w:val="center"/>
            <w:hideMark/>
          </w:tcPr>
          <w:p w:rsidR="00CA40C2" w:rsidRPr="00F347A9" w:rsidRDefault="00CA40C2" w:rsidP="00CC5FE8">
            <w:pPr>
              <w:jc w:val="center"/>
              <w:rPr>
                <w:rFonts w:ascii="Times New Roman" w:hAnsi="Times New Roman"/>
                <w:b/>
                <w:color w:val="000000"/>
                <w:lang w:val="en-US" w:eastAsia="en-US"/>
              </w:rPr>
            </w:pPr>
            <w:r w:rsidRPr="00F347A9">
              <w:rPr>
                <w:rFonts w:ascii="Times New Roman" w:hAnsi="Times New Roman"/>
                <w:b/>
                <w:color w:val="000000"/>
                <w:szCs w:val="22"/>
                <w:lang w:val="en-US" w:eastAsia="en-US"/>
              </w:rPr>
              <w:t>Poor (32</w:t>
            </w:r>
            <w:r>
              <w:rPr>
                <w:rFonts w:ascii="Times New Roman" w:hAnsi="Times New Roman"/>
                <w:b/>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b/>
                <w:color w:val="000000"/>
                <w:lang w:val="en-US" w:eastAsia="en-US"/>
              </w:rPr>
            </w:pPr>
            <w:r w:rsidRPr="00F347A9">
              <w:rPr>
                <w:rFonts w:ascii="Times New Roman" w:hAnsi="Times New Roman"/>
                <w:b/>
                <w:color w:val="000000"/>
                <w:szCs w:val="22"/>
              </w:rPr>
              <w:t>Moderate (</w:t>
            </w:r>
            <w:r w:rsidRPr="00F347A9">
              <w:rPr>
                <w:rFonts w:ascii="Times New Roman" w:hAnsi="Times New Roman"/>
                <w:b/>
                <w:color w:val="000000"/>
                <w:szCs w:val="22"/>
                <w:lang w:val="en-US" w:eastAsia="en-US"/>
              </w:rPr>
              <w:t>60</w:t>
            </w:r>
            <w:r>
              <w:rPr>
                <w:rFonts w:ascii="Times New Roman" w:hAnsi="Times New Roman"/>
                <w:b/>
                <w:color w:val="000000"/>
                <w:szCs w:val="22"/>
                <w:lang w:val="en-US" w:eastAsia="en-US"/>
              </w:rPr>
              <w:t>)</w:t>
            </w:r>
          </w:p>
        </w:tc>
        <w:tc>
          <w:tcPr>
            <w:tcW w:w="0" w:type="auto"/>
            <w:shd w:val="clear" w:color="000000" w:fill="FBEF05"/>
            <w:noWrap/>
            <w:vAlign w:val="center"/>
            <w:hideMark/>
          </w:tcPr>
          <w:p w:rsidR="00CA40C2" w:rsidRPr="00F347A9" w:rsidRDefault="00CA40C2" w:rsidP="00CC5FE8">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46)</w:t>
            </w:r>
          </w:p>
        </w:tc>
      </w:tr>
    </w:tbl>
    <w:p w:rsidR="00845B9B" w:rsidRDefault="00845B9B" w:rsidP="002E0BD6">
      <w:pPr>
        <w:pStyle w:val="BodyText"/>
      </w:pPr>
    </w:p>
    <w:p w:rsidR="00CC5FE8" w:rsidRDefault="00CA40C2" w:rsidP="002E0BD6">
      <w:pPr>
        <w:pStyle w:val="BodyText"/>
      </w:pPr>
      <w:r w:rsidRPr="00867608">
        <w:rPr>
          <w:noProof/>
          <w:lang w:eastAsia="en-AU"/>
        </w:rPr>
        <w:drawing>
          <wp:inline distT="0" distB="0" distL="0" distR="0">
            <wp:extent cx="5732145" cy="3749217"/>
            <wp:effectExtent l="0" t="0" r="8255" b="10160"/>
            <wp:docPr id="70" name="Picture 15" descr="Trends in the Paddock to Reef marine water quality index (P2R_WQI) and component scores (P2R_CHL and P2R_TSS) aggregated for the whole GBR. The regional scores for Cape York and Burnett Mary are excluded from calculations of the overall GBR score for the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B25CAA" w:rsidRPr="00A40CD0" w:rsidRDefault="00B25CAA" w:rsidP="00D80E36">
      <w:pPr>
        <w:pStyle w:val="head1nonumb"/>
      </w:pPr>
      <w:bookmarkStart w:id="6" w:name="_Toc228588158"/>
      <w:bookmarkStart w:id="7" w:name="_Toc399264872"/>
      <w:r w:rsidRPr="00A40CD0">
        <w:lastRenderedPageBreak/>
        <w:t>Acknowledgments</w:t>
      </w:r>
      <w:bookmarkEnd w:id="6"/>
      <w:bookmarkEnd w:id="7"/>
    </w:p>
    <w:p w:rsidR="006E0F13" w:rsidRDefault="00B25CAA" w:rsidP="002E0BD6">
      <w:pPr>
        <w:pStyle w:val="BodyText"/>
      </w:pPr>
      <w:r w:rsidRPr="00A40CD0">
        <w:t xml:space="preserve">Funding for this study was provided by the Reef Rescue Marine Monitoring Program and by the CSIRO Wealth from Oceans research flagship program. </w:t>
      </w:r>
      <w:r w:rsidR="006E0F13">
        <w:t>The algorithm development and validation activities presented in this study were in partly supported by eReefs.</w:t>
      </w:r>
    </w:p>
    <w:p w:rsidR="008E5EB2" w:rsidRDefault="0005289B" w:rsidP="002E0BD6">
      <w:pPr>
        <w:pStyle w:val="BodyText"/>
      </w:pPr>
      <w:r>
        <w:t>We are grateful to Bri</w:t>
      </w:r>
      <w:r w:rsidR="006E0F13">
        <w:t>tta Schaffelke, Michelle Devlin,</w:t>
      </w:r>
      <w:r>
        <w:t xml:space="preserve"> </w:t>
      </w:r>
      <w:r w:rsidR="006E0F13">
        <w:t>Roland Doerffer and Kevin Ruddick for the provision of valuable in situ data used for accuracy assessment</w:t>
      </w:r>
    </w:p>
    <w:p w:rsidR="006E0F13" w:rsidRDefault="00A634F2" w:rsidP="002E0BD6">
      <w:pPr>
        <w:pStyle w:val="BodyText"/>
      </w:pPr>
      <w:r w:rsidRPr="00C62C90">
        <w:t xml:space="preserve">We acknowledge the MODIS mission scientists and associated NASA personnel for the production of the data used </w:t>
      </w:r>
      <w:r w:rsidR="00FE1BD7">
        <w:t>in this work and Geos</w:t>
      </w:r>
      <w:r w:rsidRPr="00C62C90">
        <w:t xml:space="preserve">cience Australia for the reception of MODIS raw data. </w:t>
      </w:r>
      <w:r w:rsidR="008E5EB2">
        <w:t xml:space="preserve">The full reprocessing of the MODIS aqua time series with </w:t>
      </w:r>
      <w:r w:rsidR="008E5EB2" w:rsidRPr="00805D17">
        <w:t xml:space="preserve">the most recent updates in </w:t>
      </w:r>
      <w:r w:rsidR="008E5EB2">
        <w:t>NASA’s software (SeaDAS version 6.4</w:t>
      </w:r>
      <w:r w:rsidR="008E5EB2" w:rsidRPr="00805D17">
        <w:t>)</w:t>
      </w:r>
      <w:r w:rsidR="008E5EB2">
        <w:t xml:space="preserve"> was carried out by the IMOS Satellite Remote Sensi</w:t>
      </w:r>
      <w:r>
        <w:t>ng Facility using the National C</w:t>
      </w:r>
      <w:r w:rsidR="008E5EB2">
        <w:t xml:space="preserve">omputing </w:t>
      </w:r>
      <w:r>
        <w:t>I</w:t>
      </w:r>
      <w:r w:rsidR="008E5EB2">
        <w:t>nfrastructure</w:t>
      </w:r>
      <w:r>
        <w:t xml:space="preserve"> (NCI)</w:t>
      </w:r>
      <w:r w:rsidR="008E5EB2">
        <w:t xml:space="preserve"> </w:t>
      </w:r>
      <w:r>
        <w:t>high performance distributed storage.</w:t>
      </w:r>
      <w:r w:rsidR="006E0F13">
        <w:t xml:space="preserve"> T</w:t>
      </w:r>
      <w:r w:rsidR="00912A29">
        <w:t xml:space="preserve">he </w:t>
      </w:r>
      <w:r w:rsidR="006E0F13">
        <w:t xml:space="preserve">subsequent </w:t>
      </w:r>
      <w:r w:rsidR="00912A29">
        <w:t xml:space="preserve">MODIS processing with the CSIRO algorithms was </w:t>
      </w:r>
      <w:r w:rsidR="006E0F13">
        <w:t xml:space="preserve">also </w:t>
      </w:r>
      <w:r w:rsidR="00912A29">
        <w:t xml:space="preserve">carried </w:t>
      </w:r>
      <w:r w:rsidR="006E0F13">
        <w:t>out at NCI.</w:t>
      </w:r>
      <w:bookmarkStart w:id="8" w:name="_Toc228588159"/>
    </w:p>
    <w:p w:rsidR="00912A29" w:rsidRPr="006E0F13" w:rsidRDefault="00912A29" w:rsidP="006E0F13">
      <w:pPr>
        <w:rPr>
          <w:rStyle w:val="CommentReference"/>
          <w:rFonts w:ascii="Times New Roman" w:hAnsi="Times New Roman"/>
          <w:sz w:val="22"/>
          <w:szCs w:val="22"/>
          <w:lang w:eastAsia="en-US"/>
        </w:rPr>
      </w:pPr>
      <w:r>
        <w:br w:type="page"/>
      </w:r>
    </w:p>
    <w:p w:rsidR="00B25CAA" w:rsidRPr="00A40CD0" w:rsidRDefault="00B25CAA" w:rsidP="00912A29">
      <w:pPr>
        <w:pStyle w:val="Heading1"/>
        <w:numPr>
          <w:ilvl w:val="0"/>
          <w:numId w:val="13"/>
        </w:numPr>
      </w:pPr>
      <w:bookmarkStart w:id="9" w:name="_Toc399264873"/>
      <w:r w:rsidRPr="00A40CD0">
        <w:lastRenderedPageBreak/>
        <w:t>Introduction</w:t>
      </w:r>
      <w:bookmarkEnd w:id="8"/>
      <w:bookmarkEnd w:id="9"/>
    </w:p>
    <w:p w:rsidR="00B25CAA" w:rsidRPr="00A40CD0" w:rsidRDefault="00B25CAA" w:rsidP="002E0BD6">
      <w:pPr>
        <w:pStyle w:val="BodyText"/>
      </w:pPr>
      <w:r w:rsidRPr="00A40CD0">
        <w:t>Water quality is a key issue for the health of the Great Barrier Reef (GBR</w:t>
      </w:r>
      <w:r w:rsidR="00DA313B">
        <w:t xml:space="preserve">, all abbreviations and acronyms of this report are summarized in </w:t>
      </w:r>
      <w:r w:rsidR="00EA2F38">
        <w:fldChar w:fldCharType="begin"/>
      </w:r>
      <w:r w:rsidR="00DA313B">
        <w:instrText xml:space="preserve"> REF _Ref322012410 \h </w:instrText>
      </w:r>
      <w:r w:rsidR="00EA2F38">
        <w:fldChar w:fldCharType="separate"/>
      </w:r>
      <w:r w:rsidR="00B11F3B" w:rsidRPr="00A40CD0">
        <w:t xml:space="preserve">Table </w:t>
      </w:r>
      <w:r w:rsidR="00B11F3B">
        <w:rPr>
          <w:noProof/>
        </w:rPr>
        <w:t>1</w:t>
      </w:r>
      <w:r w:rsidR="00EA2F38">
        <w:fldChar w:fldCharType="end"/>
      </w:r>
      <w:r w:rsidRPr="00A40CD0">
        <w:t>), catchments and for the communities, industries and ecosystems that rely on good water quality in North Queensland.</w:t>
      </w:r>
    </w:p>
    <w:p w:rsidR="00B25CAA" w:rsidRPr="00A40CD0" w:rsidRDefault="00B25CAA" w:rsidP="002E0BD6">
      <w:pPr>
        <w:pStyle w:val="BodyText"/>
      </w:pPr>
      <w:r w:rsidRPr="00A40CD0">
        <w:t>The Great Barrier Reef Water Quality Protection Plan (GBRWQPP) was released by the Australian and Queensland Governments in October 2003 with the ultimate goal to ‘halt and reverse the decline in water quality entering the reef within 10 years’. The Reef Plan Marine Monitoring Program (now Reef Rescue Marine Monitoring Program, MMP hereafter) was established to assess the health of key marine ecosystems (inshore coral reefs and seagrasses), the condition of water quality in the inshore GBR lagoon and water quality of water masses entering the Great Barrier Reef during the wet season. The MMP is currently funded under the Australian Government’s Reef Rescue initiative and is managed directly by the Great Barrier Reef Marine Park Authority (GBRMPA).</w:t>
      </w:r>
    </w:p>
    <w:p w:rsidR="00B25CAA" w:rsidRPr="00A40CD0" w:rsidRDefault="00B25CAA" w:rsidP="002E0BD6">
      <w:pPr>
        <w:pStyle w:val="BodyText"/>
      </w:pPr>
      <w:bookmarkStart w:id="10" w:name="OLE_LINK4"/>
      <w:r w:rsidRPr="00A40CD0">
        <w:t>This report describes the activities carried out under the projects “Reef Rescue Marine Monitoring Program – Assessment of Terrestrial Run-off Entering the Reef" and “Reef Rescue Marine Monitoring Program – Inshore Marine Water Quality Monitoring"</w:t>
      </w:r>
      <w:bookmarkEnd w:id="10"/>
      <w:r w:rsidRPr="00A40CD0">
        <w:t>.</w:t>
      </w:r>
    </w:p>
    <w:p w:rsidR="00B25CAA" w:rsidRDefault="00B25CAA" w:rsidP="002E0BD6">
      <w:pPr>
        <w:pStyle w:val="BodyText"/>
      </w:pPr>
      <w:r w:rsidRPr="00A40CD0">
        <w:t>The underlying activity for both projects is the acquisit</w:t>
      </w:r>
      <w:r w:rsidR="008E5EB2">
        <w:t>ion, processing with regionally</w:t>
      </w:r>
      <w:r w:rsidR="00812678">
        <w:t xml:space="preserve"> </w:t>
      </w:r>
      <w:r w:rsidRPr="00A40CD0">
        <w:t xml:space="preserve">valid algorithms, validation and transmission of geo-corrected </w:t>
      </w:r>
      <w:r w:rsidR="00AB46A4">
        <w:t xml:space="preserve">Moderate Resolution Imaging Spectroradiometer (MODIS) </w:t>
      </w:r>
      <w:r w:rsidRPr="00A40CD0">
        <w:t xml:space="preserve">ocean colour imagery. MODIS ocean colour imagery was used to quantify </w:t>
      </w:r>
      <w:r w:rsidR="0075209D">
        <w:t xml:space="preserve">for the GBR </w:t>
      </w:r>
      <w:r w:rsidRPr="00A40CD0">
        <w:t>near-surface concentrations</w:t>
      </w:r>
      <w:r w:rsidR="0075209D">
        <w:t xml:space="preserve"> of</w:t>
      </w:r>
      <w:r w:rsidRPr="00A40CD0">
        <w:t xml:space="preserve"> </w:t>
      </w:r>
      <w:r w:rsidR="0075209D">
        <w:t xml:space="preserve">key water quality variables: </w:t>
      </w:r>
      <w:r w:rsidRPr="00A40CD0">
        <w:t>total suspended solids (TSS)</w:t>
      </w:r>
      <w:r w:rsidR="0075209D">
        <w:t xml:space="preserve"> as an indicator of water clarity</w:t>
      </w:r>
      <w:r w:rsidRPr="00A40CD0">
        <w:t>, coloured dissolved organic matter (CDOM)</w:t>
      </w:r>
      <w:r w:rsidR="0075209D">
        <w:t xml:space="preserve"> </w:t>
      </w:r>
      <w:r w:rsidR="0075209D" w:rsidRPr="00A40CD0">
        <w:t>a</w:t>
      </w:r>
      <w:r w:rsidR="0075209D">
        <w:t xml:space="preserve">s a </w:t>
      </w:r>
      <w:r w:rsidR="0075209D" w:rsidRPr="00A40CD0">
        <w:t>tracer of terrestrial discharge of low salinity waters</w:t>
      </w:r>
      <w:r w:rsidR="0075209D">
        <w:t>,</w:t>
      </w:r>
      <w:r w:rsidR="0075209D" w:rsidRPr="00A40CD0">
        <w:t xml:space="preserve"> </w:t>
      </w:r>
      <w:r w:rsidRPr="00A40CD0">
        <w:t>and chlorophyll-a (CHL)</w:t>
      </w:r>
      <w:r w:rsidR="0075209D">
        <w:t xml:space="preserve"> as an indicator of phytoplankton biomass and a proxy for nutrient availability</w:t>
      </w:r>
      <w:r w:rsidRPr="00A40CD0">
        <w:t>.</w:t>
      </w:r>
    </w:p>
    <w:p w:rsidR="00B25CAA" w:rsidRPr="00A40CD0" w:rsidRDefault="00B25CAA" w:rsidP="002E0BD6">
      <w:pPr>
        <w:pStyle w:val="BodyText"/>
      </w:pPr>
      <w:r w:rsidRPr="00A40CD0">
        <w:t>Key objectives of the two projects are to:</w:t>
      </w:r>
    </w:p>
    <w:p w:rsidR="00B25CAA" w:rsidRPr="00A40CD0" w:rsidRDefault="00B25CAA" w:rsidP="002E0BD6">
      <w:pPr>
        <w:pStyle w:val="BodyText"/>
        <w:numPr>
          <w:ilvl w:val="0"/>
          <w:numId w:val="21"/>
        </w:numPr>
      </w:pPr>
      <w:r w:rsidRPr="00A40CD0">
        <w:t xml:space="preserve">Report on </w:t>
      </w:r>
      <w:r w:rsidR="008A330D">
        <w:t>methodological</w:t>
      </w:r>
      <w:r w:rsidRPr="00A40CD0">
        <w:t xml:space="preserve"> development to detect trends and anomalies in the data based on long-term datasets, and how techniques have improved integration with </w:t>
      </w:r>
      <w:r w:rsidRPr="00A40CD0">
        <w:rPr>
          <w:i/>
        </w:rPr>
        <w:t xml:space="preserve">in situ </w:t>
      </w:r>
      <w:r w:rsidRPr="00A40CD0">
        <w:t xml:space="preserve">monitoring data; </w:t>
      </w:r>
    </w:p>
    <w:p w:rsidR="00B25CAA" w:rsidRPr="00A40CD0" w:rsidRDefault="00B25CAA" w:rsidP="002E0BD6">
      <w:pPr>
        <w:pStyle w:val="BodyText"/>
        <w:numPr>
          <w:ilvl w:val="0"/>
          <w:numId w:val="21"/>
        </w:numPr>
      </w:pPr>
      <w:r w:rsidRPr="00A40CD0">
        <w:t>Provide summary images derived from MODIS data for TSS, CHL and CDOM within the inshore and offshore areas during the wet and dry seasons;</w:t>
      </w:r>
    </w:p>
    <w:p w:rsidR="00B25CAA" w:rsidRPr="00A40CD0" w:rsidRDefault="00B25CAA" w:rsidP="002E0BD6">
      <w:pPr>
        <w:pStyle w:val="BodyText"/>
        <w:numPr>
          <w:ilvl w:val="0"/>
          <w:numId w:val="21"/>
        </w:numPr>
      </w:pPr>
      <w:r w:rsidRPr="00A40CD0">
        <w:t>Assess the temporal and spatial variation</w:t>
      </w:r>
      <w:r w:rsidR="00235384">
        <w:t xml:space="preserve"> in the extent of available 2011/12</w:t>
      </w:r>
      <w:r w:rsidRPr="00A40CD0">
        <w:t xml:space="preserve"> river flood plumes across the 6 GBR</w:t>
      </w:r>
      <w:r w:rsidR="0075209D">
        <w:t xml:space="preserve"> natural resources management (</w:t>
      </w:r>
      <w:r w:rsidRPr="00A40CD0">
        <w:t>NRM) regions; and</w:t>
      </w:r>
    </w:p>
    <w:p w:rsidR="00B25CAA" w:rsidRDefault="00B25CAA" w:rsidP="002E0BD6">
      <w:pPr>
        <w:pStyle w:val="BodyText"/>
        <w:numPr>
          <w:ilvl w:val="0"/>
          <w:numId w:val="21"/>
        </w:numPr>
      </w:pPr>
      <w:r w:rsidRPr="00A40CD0">
        <w:t>Contribute to the Paddock to Reef  (P2R) reporting by assessing the exceedance of water quality guidelines for two of the water quality variables that can be retriev</w:t>
      </w:r>
      <w:r w:rsidR="006D3765">
        <w:t xml:space="preserve">ed from remote sensing, namely </w:t>
      </w:r>
      <w:r w:rsidRPr="00A40CD0">
        <w:t>CHL and TSS retrieved from MODIS Aqua using CSIRO’s algorithms.</w:t>
      </w:r>
    </w:p>
    <w:p w:rsidR="00923DEF" w:rsidRPr="00A40CD0" w:rsidRDefault="00923DEF" w:rsidP="002E0BD6">
      <w:pPr>
        <w:pStyle w:val="BodyText"/>
      </w:pPr>
      <w:r>
        <w:t>S</w:t>
      </w:r>
      <w:r w:rsidRPr="00A40CD0">
        <w:t>ection</w:t>
      </w:r>
      <w:r>
        <w:t xml:space="preserve"> 2 of this report </w:t>
      </w:r>
      <w:r w:rsidRPr="00A40CD0">
        <w:t>will provide details on the methods</w:t>
      </w:r>
      <w:r>
        <w:t xml:space="preserve"> </w:t>
      </w:r>
      <w:r w:rsidRPr="00A40CD0">
        <w:t>used to</w:t>
      </w:r>
      <w:r w:rsidR="00CD420B">
        <w:t xml:space="preserve"> retrieve water quality f</w:t>
      </w:r>
      <w:r>
        <w:t>r</w:t>
      </w:r>
      <w:r w:rsidR="00CD420B">
        <w:t>o</w:t>
      </w:r>
      <w:r>
        <w:t xml:space="preserve">m satellite imagery and </w:t>
      </w:r>
      <w:r w:rsidR="00CD420B">
        <w:t xml:space="preserve">how management relevant information is produced from time series of satellite imagery. </w:t>
      </w:r>
      <w:r w:rsidRPr="00A40CD0">
        <w:t xml:space="preserve">Section 3 will </w:t>
      </w:r>
      <w:r>
        <w:t xml:space="preserve">provide a </w:t>
      </w:r>
      <w:r w:rsidR="00F00EA3">
        <w:t xml:space="preserve">proposed </w:t>
      </w:r>
      <w:r>
        <w:t xml:space="preserve">delineation of the Enclosed Coastal waters for the </w:t>
      </w:r>
      <w:r w:rsidR="009557F8" w:rsidRPr="00CE033B">
        <w:t>Great Barrier Reef World Heritage Area</w:t>
      </w:r>
      <w:r w:rsidR="009557F8">
        <w:t xml:space="preserve"> (</w:t>
      </w:r>
      <w:r>
        <w:t>GBRWHA</w:t>
      </w:r>
      <w:r w:rsidR="009557F8">
        <w:t>)</w:t>
      </w:r>
      <w:r>
        <w:t xml:space="preserve"> and will assess how it affects </w:t>
      </w:r>
      <w:r w:rsidRPr="00A40CD0">
        <w:t>the estimates of the spatial extent of non-compliance</w:t>
      </w:r>
      <w:r>
        <w:t xml:space="preserve"> and the Paddock to Reef marine water quality index</w:t>
      </w:r>
      <w:r w:rsidRPr="00A40CD0">
        <w:t xml:space="preserve">. </w:t>
      </w:r>
      <w:r w:rsidR="007F28AE">
        <w:t>In s</w:t>
      </w:r>
      <w:r w:rsidR="00CD420B" w:rsidRPr="00A40CD0">
        <w:t>ection 4</w:t>
      </w:r>
      <w:r w:rsidR="00CD420B">
        <w:t xml:space="preserve"> the </w:t>
      </w:r>
      <w:r w:rsidR="007F28AE" w:rsidRPr="00A40CD0">
        <w:t xml:space="preserve">assessment of the P2R marine water quality index and the exceedance of the Guidelines is described </w:t>
      </w:r>
      <w:r w:rsidR="006D3765">
        <w:t xml:space="preserve">for the whole GBRWHA and the six NRM reporting regions </w:t>
      </w:r>
      <w:r w:rsidR="007F28AE" w:rsidRPr="00A40CD0">
        <w:t xml:space="preserve">with maps and tables summarising the </w:t>
      </w:r>
      <w:r w:rsidR="007F28AE" w:rsidRPr="00A40CD0">
        <w:lastRenderedPageBreak/>
        <w:t>exceedance results for CHL and TSS</w:t>
      </w:r>
      <w:r w:rsidR="006D3765">
        <w:t>.</w:t>
      </w:r>
      <w:r w:rsidR="00C051AF">
        <w:t xml:space="preserve"> </w:t>
      </w:r>
      <w:r w:rsidR="00C051AF" w:rsidRPr="00C86B67">
        <w:t>All P2R calculations presented in th</w:t>
      </w:r>
      <w:r w:rsidR="004371EF" w:rsidRPr="00C86B67">
        <w:t xml:space="preserve">is </w:t>
      </w:r>
      <w:r w:rsidR="00C051AF" w:rsidRPr="00C86B67">
        <w:t xml:space="preserve">report were performed including the </w:t>
      </w:r>
      <w:r w:rsidR="004371EF" w:rsidRPr="00C86B67">
        <w:t>proposed delineation of</w:t>
      </w:r>
      <w:r w:rsidR="004371EF">
        <w:t xml:space="preserve"> the Enclosed Coastal waters</w:t>
      </w:r>
      <w:r w:rsidR="002514E1">
        <w:t>.</w:t>
      </w:r>
    </w:p>
    <w:p w:rsidR="00923DEF" w:rsidRPr="00A40CD0" w:rsidRDefault="00923DEF" w:rsidP="002E0BD6">
      <w:pPr>
        <w:pStyle w:val="BodyText"/>
      </w:pPr>
    </w:p>
    <w:p w:rsidR="002F6DB0" w:rsidRDefault="002F6DB0">
      <w:pPr>
        <w:rPr>
          <w:rFonts w:ascii="Times New Roman" w:hAnsi="Times New Roman"/>
          <w:szCs w:val="22"/>
          <w:lang w:eastAsia="en-US"/>
        </w:rPr>
      </w:pPr>
      <w:r>
        <w:br w:type="page"/>
      </w:r>
    </w:p>
    <w:p w:rsidR="002F6DB0" w:rsidRPr="00A40CD0" w:rsidRDefault="002F6DB0" w:rsidP="002F6DB0">
      <w:pPr>
        <w:pStyle w:val="Caption"/>
      </w:pPr>
      <w:bookmarkStart w:id="11" w:name="_Ref322012410"/>
      <w:bookmarkStart w:id="12" w:name="_Toc228588226"/>
      <w:bookmarkStart w:id="13" w:name="_Toc399264930"/>
      <w:r w:rsidRPr="00A40CD0">
        <w:lastRenderedPageBreak/>
        <w:t xml:space="preserve">Table </w:t>
      </w:r>
      <w:fldSimple w:instr=" SEQ Table \* ARABIC ">
        <w:r w:rsidR="00B11F3B">
          <w:rPr>
            <w:noProof/>
          </w:rPr>
          <w:t>1</w:t>
        </w:r>
      </w:fldSimple>
      <w:bookmarkEnd w:id="11"/>
      <w:r w:rsidRPr="00A40CD0">
        <w:t xml:space="preserve"> </w:t>
      </w:r>
      <w:r>
        <w:t>List of acronyms used in this report</w:t>
      </w:r>
      <w:r w:rsidRPr="00A40CD0">
        <w:t>.</w:t>
      </w:r>
      <w:bookmarkEnd w:id="12"/>
      <w:bookmarkEnd w:id="13"/>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1728"/>
        <w:gridCol w:w="7128"/>
      </w:tblGrid>
      <w:tr w:rsidR="002F6DB0" w:rsidRPr="00CE033B" w:rsidTr="002F6DB0">
        <w:tc>
          <w:tcPr>
            <w:tcW w:w="1728" w:type="dxa"/>
          </w:tcPr>
          <w:p w:rsidR="002F6DB0" w:rsidRPr="00CE033B" w:rsidRDefault="002F6DB0" w:rsidP="002E0BD6">
            <w:pPr>
              <w:pStyle w:val="BodyText"/>
            </w:pPr>
            <w:r w:rsidRPr="00CE033B">
              <w:t xml:space="preserve">AIMS </w:t>
            </w:r>
          </w:p>
        </w:tc>
        <w:tc>
          <w:tcPr>
            <w:tcW w:w="7128" w:type="dxa"/>
          </w:tcPr>
          <w:p w:rsidR="002F6DB0" w:rsidRPr="00CE033B" w:rsidRDefault="002F6DB0" w:rsidP="002E0BD6">
            <w:pPr>
              <w:pStyle w:val="BodyText"/>
            </w:pPr>
            <w:r w:rsidRPr="00CE033B">
              <w:t>Australian Institute for Marine Science</w:t>
            </w:r>
          </w:p>
        </w:tc>
      </w:tr>
      <w:tr w:rsidR="002F6DB0" w:rsidRPr="00CE033B" w:rsidTr="002F6DB0">
        <w:tc>
          <w:tcPr>
            <w:tcW w:w="1728" w:type="dxa"/>
          </w:tcPr>
          <w:p w:rsidR="002F6DB0" w:rsidRPr="00CE033B" w:rsidRDefault="002F6DB0" w:rsidP="002E0BD6">
            <w:pPr>
              <w:pStyle w:val="BodyText"/>
            </w:pPr>
            <w:r w:rsidRPr="00CE033B">
              <w:t>ANN</w:t>
            </w:r>
          </w:p>
        </w:tc>
        <w:tc>
          <w:tcPr>
            <w:tcW w:w="7128" w:type="dxa"/>
          </w:tcPr>
          <w:p w:rsidR="002F6DB0" w:rsidRPr="00CE033B" w:rsidRDefault="002F6DB0" w:rsidP="002E0BD6">
            <w:pPr>
              <w:pStyle w:val="BodyText"/>
            </w:pPr>
            <w:r w:rsidRPr="00CE033B">
              <w:t>Artificial Neural Network</w:t>
            </w:r>
          </w:p>
        </w:tc>
      </w:tr>
      <w:tr w:rsidR="002F6DB0" w:rsidRPr="00CE033B" w:rsidTr="002F6DB0">
        <w:tc>
          <w:tcPr>
            <w:tcW w:w="1728" w:type="dxa"/>
          </w:tcPr>
          <w:p w:rsidR="002F6DB0" w:rsidRPr="00CE033B" w:rsidRDefault="002F6DB0" w:rsidP="002E0BD6">
            <w:pPr>
              <w:pStyle w:val="BodyText"/>
            </w:pPr>
            <w:r w:rsidRPr="00CE033B">
              <w:t>CDOM</w:t>
            </w:r>
          </w:p>
        </w:tc>
        <w:tc>
          <w:tcPr>
            <w:tcW w:w="7128" w:type="dxa"/>
          </w:tcPr>
          <w:p w:rsidR="002F6DB0" w:rsidRPr="00CE033B" w:rsidRDefault="002F6DB0" w:rsidP="002E0BD6">
            <w:pPr>
              <w:pStyle w:val="BodyText"/>
            </w:pPr>
            <w:r w:rsidRPr="00CE033B">
              <w:t>Coloured Dissolved Organic Matter</w:t>
            </w:r>
          </w:p>
        </w:tc>
      </w:tr>
      <w:tr w:rsidR="002F6DB0" w:rsidRPr="00CE033B" w:rsidTr="002F6DB0">
        <w:tc>
          <w:tcPr>
            <w:tcW w:w="1728" w:type="dxa"/>
          </w:tcPr>
          <w:p w:rsidR="002F6DB0" w:rsidRPr="00CE033B" w:rsidRDefault="002F6DB0" w:rsidP="002E0BD6">
            <w:pPr>
              <w:pStyle w:val="BodyText"/>
            </w:pPr>
            <w:r>
              <w:t>CHL</w:t>
            </w:r>
          </w:p>
        </w:tc>
        <w:tc>
          <w:tcPr>
            <w:tcW w:w="7128" w:type="dxa"/>
          </w:tcPr>
          <w:p w:rsidR="002F6DB0" w:rsidRPr="00CE033B" w:rsidRDefault="002F6DB0" w:rsidP="002E0BD6">
            <w:pPr>
              <w:pStyle w:val="BodyText"/>
            </w:pPr>
            <w:r w:rsidRPr="00CE033B">
              <w:t>Chlorophyll</w:t>
            </w:r>
          </w:p>
        </w:tc>
      </w:tr>
      <w:tr w:rsidR="002F6DB0" w:rsidRPr="00CE033B" w:rsidTr="002F6DB0">
        <w:tc>
          <w:tcPr>
            <w:tcW w:w="1728" w:type="dxa"/>
          </w:tcPr>
          <w:p w:rsidR="002F6DB0" w:rsidRPr="00CE033B" w:rsidRDefault="002F6DB0" w:rsidP="002E0BD6">
            <w:pPr>
              <w:pStyle w:val="BodyText"/>
            </w:pPr>
            <w:r w:rsidRPr="00CE033B">
              <w:t>DAAC</w:t>
            </w:r>
          </w:p>
        </w:tc>
        <w:tc>
          <w:tcPr>
            <w:tcW w:w="7128" w:type="dxa"/>
          </w:tcPr>
          <w:p w:rsidR="002F6DB0" w:rsidRPr="00CE033B" w:rsidRDefault="002F6DB0" w:rsidP="002E0BD6">
            <w:pPr>
              <w:pStyle w:val="BodyText"/>
            </w:pPr>
            <w:r w:rsidRPr="00CE033B">
              <w:t>Distributed Active Archive Centre (NASA)</w:t>
            </w:r>
          </w:p>
        </w:tc>
      </w:tr>
      <w:tr w:rsidR="002F6DB0" w:rsidRPr="00CE033B" w:rsidTr="002F6DB0">
        <w:tc>
          <w:tcPr>
            <w:tcW w:w="1728" w:type="dxa"/>
          </w:tcPr>
          <w:p w:rsidR="002F6DB0" w:rsidRPr="00A40CD0" w:rsidRDefault="002F6DB0" w:rsidP="002E0BD6">
            <w:pPr>
              <w:pStyle w:val="BodyText"/>
            </w:pPr>
            <w:r w:rsidRPr="00A40CD0">
              <w:t>EF</w:t>
            </w:r>
          </w:p>
        </w:tc>
        <w:tc>
          <w:tcPr>
            <w:tcW w:w="7128" w:type="dxa"/>
          </w:tcPr>
          <w:p w:rsidR="002F6DB0" w:rsidRDefault="002F6DB0" w:rsidP="002E0BD6">
            <w:pPr>
              <w:pStyle w:val="BodyText"/>
            </w:pPr>
            <w:r>
              <w:t>E</w:t>
            </w:r>
            <w:r w:rsidRPr="00A40CD0">
              <w:t>xceedance frequency</w:t>
            </w:r>
            <w:r>
              <w:t xml:space="preserve">, </w:t>
            </w:r>
            <w:r w:rsidRPr="00A40CD0">
              <w:t>calculated as the ratio of the number of days where the concentration exceeded the threshold to the number of days with (error-free) data for that period.</w:t>
            </w:r>
          </w:p>
        </w:tc>
      </w:tr>
      <w:tr w:rsidR="002F6DB0" w:rsidRPr="00CE033B" w:rsidTr="002F6DB0">
        <w:tc>
          <w:tcPr>
            <w:tcW w:w="1728" w:type="dxa"/>
          </w:tcPr>
          <w:p w:rsidR="002F6DB0" w:rsidRPr="00CE033B" w:rsidRDefault="002F6DB0" w:rsidP="002E0BD6">
            <w:pPr>
              <w:pStyle w:val="BodyText"/>
            </w:pPr>
            <w:r w:rsidRPr="00A40CD0">
              <w:t>EG</w:t>
            </w:r>
          </w:p>
        </w:tc>
        <w:tc>
          <w:tcPr>
            <w:tcW w:w="7128" w:type="dxa"/>
          </w:tcPr>
          <w:p w:rsidR="002F6DB0" w:rsidRPr="00CE033B" w:rsidRDefault="002F6DB0" w:rsidP="002E0BD6">
            <w:pPr>
              <w:pStyle w:val="BodyText"/>
            </w:pPr>
            <w:r>
              <w:t>E</w:t>
            </w:r>
            <w:r w:rsidRPr="00A40CD0">
              <w:t>xceedance of the Guidelines</w:t>
            </w:r>
            <w:r>
              <w:t xml:space="preserve">, </w:t>
            </w:r>
            <w:r w:rsidRPr="00A40CD0">
              <w:t>determined by comparing the mean values for the year (and seasons) to the appropriate Guideline thresholds</w:t>
            </w:r>
          </w:p>
        </w:tc>
      </w:tr>
      <w:tr w:rsidR="002F6DB0" w:rsidRPr="00CE033B" w:rsidTr="002F6DB0">
        <w:tc>
          <w:tcPr>
            <w:tcW w:w="1728" w:type="dxa"/>
          </w:tcPr>
          <w:p w:rsidR="002F6DB0" w:rsidRPr="00CE033B" w:rsidRDefault="002F6DB0" w:rsidP="002E0BD6">
            <w:pPr>
              <w:pStyle w:val="BodyText"/>
            </w:pPr>
            <w:r w:rsidRPr="00CE033B">
              <w:t>ESA</w:t>
            </w:r>
          </w:p>
        </w:tc>
        <w:tc>
          <w:tcPr>
            <w:tcW w:w="7128" w:type="dxa"/>
          </w:tcPr>
          <w:p w:rsidR="002F6DB0" w:rsidRPr="00CE033B" w:rsidRDefault="002F6DB0" w:rsidP="002E0BD6">
            <w:pPr>
              <w:pStyle w:val="BodyText"/>
            </w:pPr>
            <w:r w:rsidRPr="00CE033B">
              <w:t>European Space Agency</w:t>
            </w:r>
          </w:p>
        </w:tc>
      </w:tr>
      <w:tr w:rsidR="002F6DB0" w:rsidRPr="00CE033B" w:rsidTr="002F6DB0">
        <w:tc>
          <w:tcPr>
            <w:tcW w:w="1728" w:type="dxa"/>
          </w:tcPr>
          <w:p w:rsidR="002F6DB0" w:rsidRPr="00CE033B" w:rsidRDefault="002F6DB0" w:rsidP="002E0BD6">
            <w:pPr>
              <w:pStyle w:val="BodyText"/>
            </w:pPr>
            <w:r w:rsidRPr="00CE033B">
              <w:t>GBR</w:t>
            </w:r>
          </w:p>
        </w:tc>
        <w:tc>
          <w:tcPr>
            <w:tcW w:w="7128" w:type="dxa"/>
          </w:tcPr>
          <w:p w:rsidR="002F6DB0" w:rsidRPr="00CE033B" w:rsidRDefault="002F6DB0" w:rsidP="002E0BD6">
            <w:pPr>
              <w:pStyle w:val="BodyText"/>
            </w:pPr>
            <w:r w:rsidRPr="00CE033B">
              <w:t>Great Barrier Reef</w:t>
            </w:r>
          </w:p>
        </w:tc>
      </w:tr>
      <w:tr w:rsidR="002F6DB0" w:rsidRPr="00CE033B" w:rsidTr="002F6DB0">
        <w:tc>
          <w:tcPr>
            <w:tcW w:w="1728" w:type="dxa"/>
          </w:tcPr>
          <w:p w:rsidR="002F6DB0" w:rsidRPr="00CE033B" w:rsidRDefault="002F6DB0" w:rsidP="002E0BD6">
            <w:pPr>
              <w:pStyle w:val="BodyText"/>
            </w:pPr>
            <w:r w:rsidRPr="00CE033B">
              <w:t>GBRWHA</w:t>
            </w:r>
          </w:p>
        </w:tc>
        <w:tc>
          <w:tcPr>
            <w:tcW w:w="7128" w:type="dxa"/>
          </w:tcPr>
          <w:p w:rsidR="002F6DB0" w:rsidRPr="00CE033B" w:rsidRDefault="002F6DB0" w:rsidP="002E0BD6">
            <w:pPr>
              <w:pStyle w:val="BodyText"/>
            </w:pPr>
            <w:r w:rsidRPr="00CE033B">
              <w:t>Great Barrier Reef World Heritage Area</w:t>
            </w:r>
          </w:p>
        </w:tc>
      </w:tr>
      <w:tr w:rsidR="002F6DB0" w:rsidRPr="00CE033B" w:rsidTr="002F6DB0">
        <w:tc>
          <w:tcPr>
            <w:tcW w:w="1728" w:type="dxa"/>
          </w:tcPr>
          <w:p w:rsidR="002F6DB0" w:rsidRPr="00CE033B" w:rsidRDefault="002F6DB0" w:rsidP="002E0BD6">
            <w:pPr>
              <w:pStyle w:val="BodyText"/>
            </w:pPr>
            <w:r w:rsidRPr="00CE033B">
              <w:t>GBRMPA</w:t>
            </w:r>
          </w:p>
        </w:tc>
        <w:tc>
          <w:tcPr>
            <w:tcW w:w="7128" w:type="dxa"/>
          </w:tcPr>
          <w:p w:rsidR="002F6DB0" w:rsidRPr="00CE033B" w:rsidRDefault="002F6DB0" w:rsidP="002E0BD6">
            <w:pPr>
              <w:pStyle w:val="BodyText"/>
            </w:pPr>
            <w:r w:rsidRPr="00CE033B">
              <w:t>Great Barrier Reef Marine Park Authority</w:t>
            </w:r>
          </w:p>
        </w:tc>
      </w:tr>
      <w:tr w:rsidR="002F6DB0" w:rsidRPr="00CE033B" w:rsidTr="002F6DB0">
        <w:tc>
          <w:tcPr>
            <w:tcW w:w="1728" w:type="dxa"/>
          </w:tcPr>
          <w:p w:rsidR="002F6DB0" w:rsidRPr="00CE033B" w:rsidRDefault="002F6DB0" w:rsidP="002E0BD6">
            <w:pPr>
              <w:pStyle w:val="BodyText"/>
            </w:pPr>
            <w:r w:rsidRPr="00CE033B">
              <w:t>IOCCG</w:t>
            </w:r>
          </w:p>
        </w:tc>
        <w:tc>
          <w:tcPr>
            <w:tcW w:w="7128" w:type="dxa"/>
          </w:tcPr>
          <w:p w:rsidR="002F6DB0" w:rsidRPr="00CE033B" w:rsidRDefault="002F6DB0" w:rsidP="002E0BD6">
            <w:pPr>
              <w:pStyle w:val="BodyText"/>
            </w:pPr>
            <w:r w:rsidRPr="00CE033B">
              <w:t>International Ocean Colour Coordinating Group</w:t>
            </w:r>
          </w:p>
        </w:tc>
      </w:tr>
      <w:tr w:rsidR="002F6DB0" w:rsidRPr="00CE033B" w:rsidTr="002F6DB0">
        <w:tc>
          <w:tcPr>
            <w:tcW w:w="1728" w:type="dxa"/>
          </w:tcPr>
          <w:p w:rsidR="002F6DB0" w:rsidRPr="00CE033B" w:rsidRDefault="002F6DB0" w:rsidP="002E0BD6">
            <w:pPr>
              <w:pStyle w:val="BodyText"/>
            </w:pPr>
            <w:r w:rsidRPr="00CE033B">
              <w:t>LMI</w:t>
            </w:r>
          </w:p>
        </w:tc>
        <w:tc>
          <w:tcPr>
            <w:tcW w:w="7128" w:type="dxa"/>
          </w:tcPr>
          <w:p w:rsidR="002F6DB0" w:rsidRPr="00CE033B" w:rsidRDefault="002F6DB0" w:rsidP="002E0BD6">
            <w:pPr>
              <w:pStyle w:val="BodyText"/>
            </w:pPr>
            <w:r w:rsidRPr="00CE033B">
              <w:t>Linear Matrix Inversion</w:t>
            </w:r>
          </w:p>
        </w:tc>
      </w:tr>
      <w:tr w:rsidR="002F6DB0" w:rsidRPr="00CE033B" w:rsidTr="002F6DB0">
        <w:tc>
          <w:tcPr>
            <w:tcW w:w="1728" w:type="dxa"/>
          </w:tcPr>
          <w:p w:rsidR="002F6DB0" w:rsidRPr="00CE033B" w:rsidRDefault="002F6DB0" w:rsidP="002E0BD6">
            <w:pPr>
              <w:pStyle w:val="BodyText"/>
            </w:pPr>
            <w:r w:rsidRPr="00CE033B">
              <w:t>MODIS</w:t>
            </w:r>
          </w:p>
        </w:tc>
        <w:tc>
          <w:tcPr>
            <w:tcW w:w="7128" w:type="dxa"/>
          </w:tcPr>
          <w:p w:rsidR="002F6DB0" w:rsidRPr="00CE033B" w:rsidRDefault="002F6DB0" w:rsidP="002E0BD6">
            <w:pPr>
              <w:pStyle w:val="BodyText"/>
            </w:pPr>
            <w:r w:rsidRPr="00CE033B">
              <w:t>MODerate resolution Imaging Spectrometer (operated by NASA) sensors</w:t>
            </w:r>
          </w:p>
        </w:tc>
      </w:tr>
      <w:tr w:rsidR="002F6DB0" w:rsidRPr="00CE033B" w:rsidTr="002F6DB0">
        <w:tc>
          <w:tcPr>
            <w:tcW w:w="1728" w:type="dxa"/>
          </w:tcPr>
          <w:p w:rsidR="002F6DB0" w:rsidRPr="00CE033B" w:rsidRDefault="002F6DB0" w:rsidP="002E0BD6">
            <w:pPr>
              <w:pStyle w:val="BodyText"/>
            </w:pPr>
            <w:r w:rsidRPr="00CE033B">
              <w:t>MODIS-Terra</w:t>
            </w:r>
          </w:p>
        </w:tc>
        <w:tc>
          <w:tcPr>
            <w:tcW w:w="7128" w:type="dxa"/>
          </w:tcPr>
          <w:p w:rsidR="002F6DB0" w:rsidRPr="00CE033B" w:rsidRDefault="002F6DB0" w:rsidP="002E0BD6">
            <w:pPr>
              <w:pStyle w:val="BodyText"/>
            </w:pPr>
            <w:r w:rsidRPr="00CE033B">
              <w:t>Launched in 1999 – a nominal 10:30 equatorial overpass time</w:t>
            </w:r>
          </w:p>
        </w:tc>
      </w:tr>
      <w:tr w:rsidR="002F6DB0" w:rsidRPr="00CE033B" w:rsidTr="002F6DB0">
        <w:tc>
          <w:tcPr>
            <w:tcW w:w="1728" w:type="dxa"/>
          </w:tcPr>
          <w:p w:rsidR="002F6DB0" w:rsidRPr="00CE033B" w:rsidRDefault="002F6DB0" w:rsidP="002E0BD6">
            <w:pPr>
              <w:pStyle w:val="BodyText"/>
            </w:pPr>
            <w:r w:rsidRPr="00CE033B">
              <w:t>MODIS-Aqua</w:t>
            </w:r>
          </w:p>
        </w:tc>
        <w:tc>
          <w:tcPr>
            <w:tcW w:w="7128" w:type="dxa"/>
          </w:tcPr>
          <w:p w:rsidR="002F6DB0" w:rsidRPr="00CE033B" w:rsidRDefault="002F6DB0" w:rsidP="002E0BD6">
            <w:pPr>
              <w:pStyle w:val="BodyText"/>
            </w:pPr>
            <w:r w:rsidRPr="00CE033B">
              <w:t>Launched in 2002– a nominal 13:30 equatorial overpass time</w:t>
            </w:r>
          </w:p>
        </w:tc>
      </w:tr>
      <w:tr w:rsidR="002F6DB0" w:rsidRPr="00CE033B" w:rsidTr="002F6DB0">
        <w:tc>
          <w:tcPr>
            <w:tcW w:w="1728" w:type="dxa"/>
          </w:tcPr>
          <w:p w:rsidR="002F6DB0" w:rsidRPr="00CE033B" w:rsidRDefault="002F6DB0" w:rsidP="002E0BD6">
            <w:pPr>
              <w:pStyle w:val="BodyText"/>
            </w:pPr>
            <w:r w:rsidRPr="00CE033B">
              <w:t>MERIS</w:t>
            </w:r>
          </w:p>
        </w:tc>
        <w:tc>
          <w:tcPr>
            <w:tcW w:w="7128" w:type="dxa"/>
          </w:tcPr>
          <w:p w:rsidR="002F6DB0" w:rsidRPr="00CE033B" w:rsidRDefault="002F6DB0" w:rsidP="002E0BD6">
            <w:pPr>
              <w:pStyle w:val="BodyText"/>
            </w:pPr>
            <w:r w:rsidRPr="00CE033B">
              <w:t>Medium Resolution Imaging Spectrometer (operated by ESA); a nominal overpass time of ca 10:00 AM</w:t>
            </w:r>
          </w:p>
        </w:tc>
      </w:tr>
      <w:tr w:rsidR="002F6DB0" w:rsidRPr="00CE033B" w:rsidTr="002F6DB0">
        <w:tc>
          <w:tcPr>
            <w:tcW w:w="1728" w:type="dxa"/>
          </w:tcPr>
          <w:p w:rsidR="002F6DB0" w:rsidRPr="00CE033B" w:rsidRDefault="002F6DB0" w:rsidP="002E0BD6">
            <w:pPr>
              <w:pStyle w:val="BodyText"/>
            </w:pPr>
            <w:r w:rsidRPr="00CE033B">
              <w:t>NASA</w:t>
            </w:r>
          </w:p>
        </w:tc>
        <w:tc>
          <w:tcPr>
            <w:tcW w:w="7128" w:type="dxa"/>
          </w:tcPr>
          <w:p w:rsidR="002F6DB0" w:rsidRPr="00CE033B" w:rsidRDefault="002F6DB0" w:rsidP="002E0BD6">
            <w:pPr>
              <w:pStyle w:val="BodyText"/>
            </w:pPr>
            <w:r w:rsidRPr="00CE033B">
              <w:t>National Aeronautics and Space Administration</w:t>
            </w:r>
          </w:p>
        </w:tc>
      </w:tr>
      <w:tr w:rsidR="002F6DB0" w:rsidRPr="00CE033B" w:rsidTr="002F6DB0">
        <w:tc>
          <w:tcPr>
            <w:tcW w:w="1728" w:type="dxa"/>
          </w:tcPr>
          <w:p w:rsidR="002F6DB0" w:rsidRPr="00CE033B" w:rsidRDefault="002F6DB0" w:rsidP="002E0BD6">
            <w:pPr>
              <w:pStyle w:val="BodyText"/>
            </w:pPr>
            <w:r w:rsidRPr="00CE033B">
              <w:t>NAP</w:t>
            </w:r>
          </w:p>
        </w:tc>
        <w:tc>
          <w:tcPr>
            <w:tcW w:w="7128" w:type="dxa"/>
          </w:tcPr>
          <w:p w:rsidR="002F6DB0" w:rsidRPr="00CE033B" w:rsidRDefault="002F6DB0" w:rsidP="002E0BD6">
            <w:pPr>
              <w:pStyle w:val="BodyText"/>
            </w:pPr>
            <w:r w:rsidRPr="00CE033B">
              <w:t>Non algal particulate matter</w:t>
            </w:r>
            <w:r w:rsidR="002C6F9E">
              <w:t xml:space="preserve"> (i.e the concentration of </w:t>
            </w:r>
            <w:r w:rsidR="002C6F9E" w:rsidRPr="00CE033B">
              <w:t>Total Suspended Solids</w:t>
            </w:r>
            <w:r w:rsidR="002C6F9E">
              <w:t xml:space="preserve"> minus the dry weight of algal particles)</w:t>
            </w:r>
          </w:p>
        </w:tc>
      </w:tr>
      <w:tr w:rsidR="002F6DB0" w:rsidRPr="00CE033B" w:rsidTr="002F6DB0">
        <w:tc>
          <w:tcPr>
            <w:tcW w:w="1728" w:type="dxa"/>
          </w:tcPr>
          <w:p w:rsidR="002F6DB0" w:rsidRPr="00CE033B" w:rsidRDefault="002F6DB0" w:rsidP="002E0BD6">
            <w:pPr>
              <w:pStyle w:val="BodyText"/>
            </w:pPr>
            <w:r w:rsidRPr="00CE033B">
              <w:t>NRM</w:t>
            </w:r>
          </w:p>
        </w:tc>
        <w:tc>
          <w:tcPr>
            <w:tcW w:w="7128" w:type="dxa"/>
          </w:tcPr>
          <w:p w:rsidR="002F6DB0" w:rsidRPr="00CE033B" w:rsidRDefault="002F6DB0" w:rsidP="002E0BD6">
            <w:pPr>
              <w:pStyle w:val="BodyText"/>
            </w:pPr>
            <w:r w:rsidRPr="00CE033B">
              <w:t>Natural Resource Management</w:t>
            </w:r>
          </w:p>
        </w:tc>
      </w:tr>
      <w:tr w:rsidR="002F6DB0" w:rsidRPr="00CE033B" w:rsidTr="002F6DB0">
        <w:tc>
          <w:tcPr>
            <w:tcW w:w="1728" w:type="dxa"/>
          </w:tcPr>
          <w:p w:rsidR="002F6DB0" w:rsidRPr="00CE033B" w:rsidRDefault="002F6DB0" w:rsidP="002E0BD6">
            <w:pPr>
              <w:pStyle w:val="BodyText"/>
            </w:pPr>
            <w:r w:rsidRPr="00CE033B">
              <w:t>OCR</w:t>
            </w:r>
          </w:p>
        </w:tc>
        <w:tc>
          <w:tcPr>
            <w:tcW w:w="7128" w:type="dxa"/>
          </w:tcPr>
          <w:p w:rsidR="002F6DB0" w:rsidRPr="00CE033B" w:rsidRDefault="002F6DB0" w:rsidP="002E0BD6">
            <w:pPr>
              <w:pStyle w:val="BodyText"/>
            </w:pPr>
            <w:r w:rsidRPr="00CE033B">
              <w:t>Ocean Colour Radiometry</w:t>
            </w:r>
          </w:p>
        </w:tc>
      </w:tr>
      <w:tr w:rsidR="002F6DB0" w:rsidRPr="00CE033B" w:rsidTr="002F6DB0">
        <w:tc>
          <w:tcPr>
            <w:tcW w:w="1728" w:type="dxa"/>
          </w:tcPr>
          <w:p w:rsidR="002F6DB0" w:rsidRPr="00CE033B" w:rsidRDefault="002F6DB0" w:rsidP="002E0BD6">
            <w:pPr>
              <w:pStyle w:val="BodyText"/>
            </w:pPr>
            <w:r w:rsidRPr="00A40CD0">
              <w:t>P2R</w:t>
            </w:r>
          </w:p>
        </w:tc>
        <w:tc>
          <w:tcPr>
            <w:tcW w:w="7128" w:type="dxa"/>
          </w:tcPr>
          <w:p w:rsidR="002F6DB0" w:rsidRPr="00CE033B" w:rsidRDefault="002F6DB0" w:rsidP="002E0BD6">
            <w:pPr>
              <w:pStyle w:val="BodyText"/>
            </w:pPr>
            <w:r>
              <w:t>Paddock to Reef</w:t>
            </w:r>
          </w:p>
        </w:tc>
      </w:tr>
      <w:tr w:rsidR="002F6DB0" w:rsidRPr="00CE033B" w:rsidTr="002F6DB0">
        <w:tc>
          <w:tcPr>
            <w:tcW w:w="1728" w:type="dxa"/>
          </w:tcPr>
          <w:p w:rsidR="002F6DB0" w:rsidRPr="00A40CD0" w:rsidRDefault="002F6DB0" w:rsidP="002E0BD6">
            <w:pPr>
              <w:pStyle w:val="BodyText"/>
            </w:pPr>
            <w:r w:rsidRPr="00A40CD0">
              <w:t>P2R_CHL</w:t>
            </w:r>
          </w:p>
        </w:tc>
        <w:tc>
          <w:tcPr>
            <w:tcW w:w="7128" w:type="dxa"/>
          </w:tcPr>
          <w:p w:rsidR="002F6DB0" w:rsidRDefault="002F6DB0" w:rsidP="002E0BD6">
            <w:pPr>
              <w:pStyle w:val="BodyText"/>
            </w:pPr>
            <w:r>
              <w:t xml:space="preserve">Paddock to Reef </w:t>
            </w:r>
            <w:r w:rsidRPr="00A40CD0">
              <w:t>in</w:t>
            </w:r>
            <w:r>
              <w:t>di</w:t>
            </w:r>
            <w:r w:rsidRPr="00A40CD0">
              <w:t>cato</w:t>
            </w:r>
            <w:r>
              <w:t>r</w:t>
            </w:r>
            <w:r w:rsidRPr="00A40CD0">
              <w:t xml:space="preserve"> for marine water quality</w:t>
            </w:r>
            <w:r>
              <w:t>, based on the R</w:t>
            </w:r>
            <w:r w:rsidRPr="00A40CD0">
              <w:t>elative extent of exceedance of the Guidelines</w:t>
            </w:r>
            <w:r>
              <w:t xml:space="preserve"> for Chlorophyll</w:t>
            </w:r>
          </w:p>
        </w:tc>
      </w:tr>
      <w:tr w:rsidR="002F6DB0" w:rsidRPr="00CE033B" w:rsidTr="002F6DB0">
        <w:tc>
          <w:tcPr>
            <w:tcW w:w="1728" w:type="dxa"/>
          </w:tcPr>
          <w:p w:rsidR="002F6DB0" w:rsidRPr="00A40CD0" w:rsidRDefault="002F6DB0" w:rsidP="002E0BD6">
            <w:pPr>
              <w:pStyle w:val="BodyText"/>
            </w:pPr>
            <w:r w:rsidRPr="00A40CD0">
              <w:t>P2R_</w:t>
            </w:r>
            <w:r>
              <w:t>TSS</w:t>
            </w:r>
          </w:p>
        </w:tc>
        <w:tc>
          <w:tcPr>
            <w:tcW w:w="7128" w:type="dxa"/>
          </w:tcPr>
          <w:p w:rsidR="002F6DB0" w:rsidRDefault="002F6DB0" w:rsidP="002E0BD6">
            <w:pPr>
              <w:pStyle w:val="BodyText"/>
            </w:pPr>
            <w:r>
              <w:t xml:space="preserve">Paddock to Reef </w:t>
            </w:r>
            <w:r w:rsidRPr="00A40CD0">
              <w:t>in</w:t>
            </w:r>
            <w:r>
              <w:t>di</w:t>
            </w:r>
            <w:r w:rsidRPr="00A40CD0">
              <w:t>cato</w:t>
            </w:r>
            <w:r>
              <w:t>r</w:t>
            </w:r>
            <w:r w:rsidRPr="00A40CD0">
              <w:t xml:space="preserve"> for marine water quality</w:t>
            </w:r>
            <w:r>
              <w:t>, based on the R</w:t>
            </w:r>
            <w:r w:rsidRPr="00A40CD0">
              <w:t>elative extent of exceedance of the Guidelines</w:t>
            </w:r>
            <w:r>
              <w:t xml:space="preserve"> for Chlorophyll</w:t>
            </w:r>
          </w:p>
        </w:tc>
      </w:tr>
      <w:tr w:rsidR="002F6DB0" w:rsidRPr="00CE033B" w:rsidTr="002F6DB0">
        <w:tc>
          <w:tcPr>
            <w:tcW w:w="1728" w:type="dxa"/>
          </w:tcPr>
          <w:p w:rsidR="002F6DB0" w:rsidRPr="00A40CD0" w:rsidRDefault="002F6DB0" w:rsidP="002E0BD6">
            <w:pPr>
              <w:pStyle w:val="BodyText"/>
            </w:pPr>
            <w:r w:rsidRPr="00A40CD0">
              <w:t>P2R_WQI</w:t>
            </w:r>
          </w:p>
        </w:tc>
        <w:tc>
          <w:tcPr>
            <w:tcW w:w="7128" w:type="dxa"/>
          </w:tcPr>
          <w:p w:rsidR="002F6DB0" w:rsidRDefault="002F6DB0" w:rsidP="002E0BD6">
            <w:pPr>
              <w:pStyle w:val="BodyText"/>
            </w:pPr>
            <w:r>
              <w:t>Paddock to Reef</w:t>
            </w:r>
            <w:r w:rsidRPr="00A40CD0">
              <w:t xml:space="preserve"> marine water quality index</w:t>
            </w:r>
            <w:r>
              <w:t xml:space="preserve">, </w:t>
            </w:r>
            <w:r w:rsidRPr="00A40CD0">
              <w:t xml:space="preserve">calculated for as the average value of the metric scores for the two component indicators, i.e. </w:t>
            </w:r>
            <w:r w:rsidRPr="00A40CD0">
              <w:lastRenderedPageBreak/>
              <w:t>P2R_WQI=(P2R_CHL+P2R_TSS)/2</w:t>
            </w:r>
          </w:p>
        </w:tc>
      </w:tr>
      <w:tr w:rsidR="002F6DB0" w:rsidRPr="00CE033B" w:rsidTr="002F6DB0">
        <w:tc>
          <w:tcPr>
            <w:tcW w:w="1728" w:type="dxa"/>
          </w:tcPr>
          <w:p w:rsidR="002F6DB0" w:rsidRPr="00A40CD0" w:rsidRDefault="002F6DB0" w:rsidP="002E0BD6">
            <w:pPr>
              <w:pStyle w:val="BodyText"/>
            </w:pPr>
            <w:r w:rsidRPr="00A40CD0">
              <w:lastRenderedPageBreak/>
              <w:t>REEF50</w:t>
            </w:r>
          </w:p>
        </w:tc>
        <w:tc>
          <w:tcPr>
            <w:tcW w:w="7128" w:type="dxa"/>
          </w:tcPr>
          <w:p w:rsidR="002F6DB0" w:rsidRDefault="002F6DB0" w:rsidP="002E0BD6">
            <w:pPr>
              <w:pStyle w:val="BodyText"/>
            </w:pPr>
            <w:r>
              <w:t>R</w:t>
            </w:r>
            <w:r w:rsidRPr="00A40CD0">
              <w:t>elative extent of exceedance frequency greater than 0.50, i.e. when the median</w:t>
            </w:r>
            <w:r>
              <w:t xml:space="preserve"> values are </w:t>
            </w:r>
            <w:r w:rsidRPr="00A40CD0">
              <w:t>used for the assessment</w:t>
            </w:r>
            <w:r>
              <w:t xml:space="preserve"> of the Guidelines.</w:t>
            </w:r>
            <w:r w:rsidRPr="00A40CD0">
              <w:t>t</w:t>
            </w:r>
          </w:p>
        </w:tc>
      </w:tr>
      <w:tr w:rsidR="002F6DB0" w:rsidRPr="00CE033B" w:rsidTr="002F6DB0">
        <w:tc>
          <w:tcPr>
            <w:tcW w:w="1728" w:type="dxa"/>
          </w:tcPr>
          <w:p w:rsidR="002F6DB0" w:rsidRPr="00A40CD0" w:rsidRDefault="002F6DB0" w:rsidP="002E0BD6">
            <w:pPr>
              <w:pStyle w:val="BodyText"/>
            </w:pPr>
            <w:r w:rsidRPr="00A40CD0">
              <w:t>REEG</w:t>
            </w:r>
          </w:p>
        </w:tc>
        <w:tc>
          <w:tcPr>
            <w:tcW w:w="7128" w:type="dxa"/>
          </w:tcPr>
          <w:p w:rsidR="002F6DB0" w:rsidRDefault="002F6DB0" w:rsidP="002E0BD6">
            <w:pPr>
              <w:pStyle w:val="BodyText"/>
            </w:pPr>
            <w:r>
              <w:t>R</w:t>
            </w:r>
            <w:r w:rsidRPr="00A40CD0">
              <w:t>elative extent of exceedance of the Guidelines, i.e. when the mean</w:t>
            </w:r>
            <w:r>
              <w:t xml:space="preserve"> values are </w:t>
            </w:r>
            <w:r w:rsidRPr="00A40CD0">
              <w:t>used for the assessment</w:t>
            </w:r>
            <w:r>
              <w:t xml:space="preserve"> of the Guidelines. </w:t>
            </w:r>
          </w:p>
        </w:tc>
      </w:tr>
      <w:tr w:rsidR="002F6DB0" w:rsidRPr="00CE033B" w:rsidTr="002F6DB0">
        <w:tc>
          <w:tcPr>
            <w:tcW w:w="1728" w:type="dxa"/>
          </w:tcPr>
          <w:p w:rsidR="002F6DB0" w:rsidRPr="00CE033B" w:rsidRDefault="002F6DB0" w:rsidP="002E0BD6">
            <w:pPr>
              <w:pStyle w:val="BodyText"/>
            </w:pPr>
            <w:r w:rsidRPr="00CE033B">
              <w:t>RT</w:t>
            </w:r>
          </w:p>
        </w:tc>
        <w:tc>
          <w:tcPr>
            <w:tcW w:w="7128" w:type="dxa"/>
          </w:tcPr>
          <w:p w:rsidR="002F6DB0" w:rsidRPr="00CE033B" w:rsidRDefault="002F6DB0" w:rsidP="002E0BD6">
            <w:pPr>
              <w:pStyle w:val="BodyText"/>
            </w:pPr>
            <w:r w:rsidRPr="00CE033B">
              <w:t>Radiative transfer</w:t>
            </w:r>
          </w:p>
        </w:tc>
      </w:tr>
      <w:tr w:rsidR="002F6DB0" w:rsidRPr="00CE033B" w:rsidTr="002F6DB0">
        <w:tc>
          <w:tcPr>
            <w:tcW w:w="1728" w:type="dxa"/>
          </w:tcPr>
          <w:p w:rsidR="002F6DB0" w:rsidRPr="00CE033B" w:rsidRDefault="002F6DB0" w:rsidP="002E0BD6">
            <w:pPr>
              <w:pStyle w:val="BodyText"/>
            </w:pPr>
            <w:r w:rsidRPr="00CE033B">
              <w:t>SA</w:t>
            </w:r>
          </w:p>
        </w:tc>
        <w:tc>
          <w:tcPr>
            <w:tcW w:w="7128" w:type="dxa"/>
          </w:tcPr>
          <w:p w:rsidR="002F6DB0" w:rsidRPr="00CE033B" w:rsidRDefault="002F6DB0" w:rsidP="002E0BD6">
            <w:pPr>
              <w:pStyle w:val="BodyText"/>
            </w:pPr>
            <w:r w:rsidRPr="00CE033B">
              <w:t>Semi analytic</w:t>
            </w:r>
          </w:p>
        </w:tc>
      </w:tr>
      <w:tr w:rsidR="002F6DB0" w:rsidRPr="00CE033B" w:rsidTr="002F6DB0">
        <w:tc>
          <w:tcPr>
            <w:tcW w:w="1728" w:type="dxa"/>
          </w:tcPr>
          <w:p w:rsidR="002F6DB0" w:rsidRPr="00CE033B" w:rsidRDefault="002F6DB0" w:rsidP="002E0BD6">
            <w:pPr>
              <w:pStyle w:val="BodyText"/>
            </w:pPr>
            <w:r w:rsidRPr="00CE033B">
              <w:t>SeaDAS</w:t>
            </w:r>
          </w:p>
        </w:tc>
        <w:tc>
          <w:tcPr>
            <w:tcW w:w="7128" w:type="dxa"/>
          </w:tcPr>
          <w:p w:rsidR="002F6DB0" w:rsidRPr="00CE033B" w:rsidRDefault="002F6DB0" w:rsidP="002E0BD6">
            <w:pPr>
              <w:pStyle w:val="BodyText"/>
            </w:pPr>
            <w:r w:rsidRPr="00CE033B">
              <w:t>SeaWiFS Data Analysis System</w:t>
            </w:r>
          </w:p>
        </w:tc>
      </w:tr>
      <w:tr w:rsidR="002F6DB0" w:rsidRPr="00CE033B" w:rsidTr="002F6DB0">
        <w:tc>
          <w:tcPr>
            <w:tcW w:w="1728" w:type="dxa"/>
          </w:tcPr>
          <w:p w:rsidR="002F6DB0" w:rsidRPr="00CE033B" w:rsidRDefault="002F6DB0" w:rsidP="002E0BD6">
            <w:pPr>
              <w:pStyle w:val="BodyText"/>
            </w:pPr>
            <w:r w:rsidRPr="00CE033B">
              <w:t>SeaWiFS</w:t>
            </w:r>
          </w:p>
        </w:tc>
        <w:tc>
          <w:tcPr>
            <w:tcW w:w="7128" w:type="dxa"/>
          </w:tcPr>
          <w:p w:rsidR="002F6DB0" w:rsidRPr="00CE033B" w:rsidRDefault="002F6DB0" w:rsidP="002E0BD6">
            <w:pPr>
              <w:pStyle w:val="BodyText"/>
            </w:pPr>
            <w:r w:rsidRPr="00CE033B">
              <w:t>Sea-viewing Wide Field-of-view Sensor (Launched in 1997) a nominal overpass time of ca 12:00 AM</w:t>
            </w:r>
          </w:p>
        </w:tc>
      </w:tr>
      <w:tr w:rsidR="002F6DB0" w:rsidRPr="00CE033B" w:rsidTr="002F6DB0">
        <w:tc>
          <w:tcPr>
            <w:tcW w:w="1728" w:type="dxa"/>
          </w:tcPr>
          <w:p w:rsidR="002F6DB0" w:rsidRPr="00CE033B" w:rsidRDefault="002F6DB0" w:rsidP="002E0BD6">
            <w:pPr>
              <w:pStyle w:val="BodyText"/>
            </w:pPr>
            <w:r w:rsidRPr="00CE033B">
              <w:t>TSS</w:t>
            </w:r>
          </w:p>
        </w:tc>
        <w:tc>
          <w:tcPr>
            <w:tcW w:w="7128" w:type="dxa"/>
          </w:tcPr>
          <w:p w:rsidR="002F6DB0" w:rsidRPr="00CE033B" w:rsidRDefault="002F6DB0" w:rsidP="002E0BD6">
            <w:pPr>
              <w:pStyle w:val="BodyText"/>
            </w:pPr>
            <w:r w:rsidRPr="00CE033B">
              <w:t>Total Suspended Solids</w:t>
            </w:r>
          </w:p>
        </w:tc>
      </w:tr>
      <w:tr w:rsidR="002F6DB0" w:rsidRPr="00CE033B" w:rsidTr="002F6DB0">
        <w:tc>
          <w:tcPr>
            <w:tcW w:w="1728" w:type="dxa"/>
          </w:tcPr>
          <w:p w:rsidR="002F6DB0" w:rsidRPr="00CE033B" w:rsidRDefault="002F6DB0" w:rsidP="002E0BD6">
            <w:pPr>
              <w:pStyle w:val="BodyText"/>
            </w:pPr>
            <w:r w:rsidRPr="00CE033B">
              <w:t>WQIP</w:t>
            </w:r>
          </w:p>
        </w:tc>
        <w:tc>
          <w:tcPr>
            <w:tcW w:w="7128" w:type="dxa"/>
          </w:tcPr>
          <w:p w:rsidR="002F6DB0" w:rsidRPr="00CE033B" w:rsidRDefault="002F6DB0" w:rsidP="002E0BD6">
            <w:pPr>
              <w:pStyle w:val="BodyText"/>
            </w:pPr>
            <w:r w:rsidRPr="00CE033B">
              <w:t>Water Quality Improvement Plan</w:t>
            </w:r>
          </w:p>
        </w:tc>
      </w:tr>
    </w:tbl>
    <w:p w:rsidR="002F6DB0" w:rsidRDefault="002F6DB0" w:rsidP="002E0BD6">
      <w:pPr>
        <w:pStyle w:val="BodyText"/>
      </w:pPr>
    </w:p>
    <w:p w:rsidR="00B25CAA" w:rsidRPr="00A40CD0" w:rsidRDefault="00B25CAA" w:rsidP="00943B50">
      <w:pPr>
        <w:pStyle w:val="Heading1"/>
        <w:numPr>
          <w:ilvl w:val="0"/>
          <w:numId w:val="13"/>
        </w:numPr>
      </w:pPr>
      <w:r w:rsidRPr="00A40CD0">
        <w:br w:type="page"/>
      </w:r>
      <w:bookmarkStart w:id="14" w:name="_Toc228588160"/>
      <w:bookmarkStart w:id="15" w:name="_Toc399264874"/>
      <w:r w:rsidRPr="00A40CD0">
        <w:lastRenderedPageBreak/>
        <w:t>METHODS</w:t>
      </w:r>
      <w:bookmarkEnd w:id="14"/>
      <w:bookmarkEnd w:id="15"/>
    </w:p>
    <w:p w:rsidR="00B25CAA" w:rsidRPr="00A40CD0" w:rsidRDefault="00B25CAA" w:rsidP="002E0BD6">
      <w:pPr>
        <w:pStyle w:val="BodyText"/>
      </w:pPr>
      <w:r w:rsidRPr="00A40CD0">
        <w:t>Given the size and variability of conditions within the GBR catchments, monitoring the water quality in the GBR lagoon waters is challenging. The MMP water quality monitoring uses three complementary approaches to collect dat</w:t>
      </w:r>
      <w:r w:rsidR="009521AC">
        <w:t>a at various spatial (</w:t>
      </w:r>
      <w:r w:rsidRPr="00A40CD0">
        <w:t>location, region, and whole GBR lagoon) and temporal (</w:t>
      </w:r>
      <w:r w:rsidR="00080AD8">
        <w:t>ad hoc</w:t>
      </w:r>
      <w:r w:rsidRPr="00A40CD0">
        <w:t xml:space="preserve">, daily, 10-minutely) scales: traditional direct water sampling from research vessels, </w:t>
      </w:r>
      <w:r w:rsidRPr="00A40CD0">
        <w:rPr>
          <w:i/>
        </w:rPr>
        <w:t xml:space="preserve">in situ </w:t>
      </w:r>
      <w:r w:rsidRPr="00A40CD0">
        <w:t>data loggers at a small number of selected inshore reef locations and satellite based remote sensing. While data loggers provide detailed information on the local variability in water quality parameters, remote sensing observations provide extensive spatial coverage at 1 km resolution.</w:t>
      </w:r>
    </w:p>
    <w:p w:rsidR="00B25CAA" w:rsidRPr="00A40CD0" w:rsidRDefault="00B25CAA" w:rsidP="002E0BD6">
      <w:pPr>
        <w:pStyle w:val="BodyText"/>
      </w:pPr>
      <w:r w:rsidRPr="00A40CD0">
        <w:t xml:space="preserve">Remote sensing is a suitable and cost-effective technique for monitoring of coastal water quality, because it provides synoptic views of the spatial distribution of CHL, CDOM and TSS concentrations, and water clarity of near-surface water. The data generated from regular daily satellite acquisition of the GBR region should help to identify patterns of spatial variation over scales of </w:t>
      </w:r>
      <w:r w:rsidR="00522911">
        <w:t>kilometers</w:t>
      </w:r>
      <w:r w:rsidRPr="00A40CD0">
        <w:t xml:space="preserve"> to hundreds of kilometres and temporal scales of days to years. Management-relevant products from remote sensing data that provide information beyond that of a simple concentrations map are needed by management agencies to make more informed decisions.</w:t>
      </w:r>
    </w:p>
    <w:p w:rsidR="00B25CAA" w:rsidRPr="007E294B" w:rsidRDefault="00B25CAA" w:rsidP="007E294B">
      <w:pPr>
        <w:pStyle w:val="Heading2"/>
      </w:pPr>
      <w:bookmarkStart w:id="16" w:name="_Ref320890413"/>
      <w:bookmarkStart w:id="17" w:name="_Toc228588161"/>
      <w:bookmarkStart w:id="18" w:name="_Toc399264875"/>
      <w:r w:rsidRPr="007E294B">
        <w:t>Regionally valid retrieval of water quality parameters from satellite imagery</w:t>
      </w:r>
      <w:bookmarkEnd w:id="16"/>
      <w:bookmarkEnd w:id="17"/>
      <w:bookmarkEnd w:id="18"/>
    </w:p>
    <w:p w:rsidR="00B25CAA" w:rsidRPr="00A40CD0" w:rsidRDefault="00B25CAA" w:rsidP="002E0BD6">
      <w:pPr>
        <w:pStyle w:val="BodyText"/>
      </w:pPr>
      <w:r w:rsidRPr="00A40CD0">
        <w:t xml:space="preserve">Based on studies conducted in the Fitzroy River estuary </w:t>
      </w:r>
      <w:r w:rsidR="00EA2F38" w:rsidRPr="00A40CD0">
        <w:fldChar w:fldCharType="begin">
          <w:fldData xml:space="preserve">PEVuZE5vdGU+PENpdGU+PEF1dGhvcj5PdWJlbGtoZWlyPC9BdXRob3I+PFllYXI+MjAwNjwvWWVh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</w:fldData>
        </w:fldChar>
      </w:r>
      <w:r w:rsidR="00AC2F22">
        <w:instrText xml:space="preserve"> ADDIN EN.CITE </w:instrText>
      </w:r>
      <w:r w:rsidR="00EA2F38">
        <w:fldChar w:fldCharType="begin">
          <w:fldData xml:space="preserve">PEVuZE5vdGU+PENpdGU+PEF1dGhvcj5PdWJlbGtoZWlyPC9BdXRob3I+PFllYXI+MjAwNjwvWWVh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5" w:tooltip="Brando, 2006 #4026" w:history="1">
        <w:r w:rsidR="007B7C47">
          <w:rPr>
            <w:noProof/>
          </w:rPr>
          <w:t>Brando et al. 2006</w:t>
        </w:r>
      </w:hyperlink>
      <w:r w:rsidR="00AC2F22">
        <w:rPr>
          <w:noProof/>
        </w:rPr>
        <w:t xml:space="preserve">, </w:t>
      </w:r>
      <w:hyperlink w:anchor="_ENREF_38" w:tooltip="Oubelkheir, 2006 #3714" w:history="1">
        <w:r w:rsidR="007B7C47">
          <w:rPr>
            <w:noProof/>
          </w:rPr>
          <w:t>Oubelkheir et al. 2006</w:t>
        </w:r>
      </w:hyperlink>
      <w:r w:rsidR="00AC2F22">
        <w:rPr>
          <w:noProof/>
        </w:rPr>
        <w:t>)</w:t>
      </w:r>
      <w:r w:rsidR="00EA2F38" w:rsidRPr="00A40CD0">
        <w:fldChar w:fldCharType="end"/>
      </w:r>
      <w:r w:rsidRPr="00A40CD0">
        <w:t xml:space="preserve"> and the Mossman Daintree coastal waters </w:t>
      </w:r>
      <w:r w:rsidR="00EA2F38" w:rsidRPr="00A40CD0">
        <w:fldChar w:fldCharType="begin"/>
      </w:r>
      <w:r w:rsidR="00AC2F22">
        <w:instrText xml:space="preserve"> ADDIN EN.CITE &lt;EndNote&gt;&lt;Cite&gt;&lt;Author&gt;Steven&lt;/Author&gt;&lt;Year&gt;2007&lt;/Year&gt;&lt;RecNum&gt;3796&lt;/RecNum&gt;&lt;DisplayText&gt;(Steven et al. 2007)&lt;/DisplayText&gt;&lt;record&gt;&lt;rec-number&gt;3796&lt;/rec-number&gt;&lt;foreign-keys&gt;&lt;key app="EN" db-id="z0vwsaa0gfvsr1e2sr7p90rtdtevf52r2we9"&gt;3796&lt;/key&gt;&lt;/foreign-keys&gt;&lt;ref-type name="Report"&gt;27&lt;/ref-type&gt;&lt;contributors&gt;&lt;authors&gt;&lt;author&gt;Steven, A.&lt;/author&gt;&lt;author&gt;Brando, V.&lt;/author&gt;&lt;author&gt;Dekker, A.&lt;/author&gt;&lt;author&gt;Hodge, J. &lt;/author&gt;&lt;author&gt;Farthing, B.&lt;/author&gt;&lt;author&gt;Mengersen, K.&lt;/author&gt;&lt;author&gt;Oubelkheir, K.&lt;/author&gt;&lt;author&gt;Qin, Y.&lt;/author&gt;&lt;/authors&gt;&lt;/contributors&gt;&lt;titles&gt;&lt;title&gt;Remotely-Sensed Monitoring of Chlorophyll and Suspended Sediment in the Coastal Waters of the Wet Tropics Region: A demonstration project with national application&lt;/title&gt;&lt;/titles&gt;&lt;pages&gt;141&lt;/pages&gt;&lt;keywords&gt;&lt;keyword&gt;Great Barrier Reef&lt;/keyword&gt;&lt;keyword&gt;Remote Sensing&lt;/keyword&gt;&lt;keyword&gt;Mossman-Daintree&lt;/keyword&gt;&lt;/keywords&gt;&lt;dates&gt;&lt;year&gt;2007&lt;/year&gt;&lt;/dates&gt;&lt;pub-location&gt;Canberra,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50" w:tooltip="Steven, 2007 #3796" w:history="1">
        <w:r w:rsidR="007B7C47">
          <w:rPr>
            <w:noProof/>
          </w:rPr>
          <w:t>Steven et al. 2007</w:t>
        </w:r>
      </w:hyperlink>
      <w:r w:rsidR="00AC2F22">
        <w:rPr>
          <w:noProof/>
        </w:rPr>
        <w:t>)</w:t>
      </w:r>
      <w:r w:rsidR="00EA2F38" w:rsidRPr="00A40CD0">
        <w:fldChar w:fldCharType="end"/>
      </w:r>
      <w:r w:rsidRPr="00A40CD0">
        <w:t xml:space="preserve">, it has been demonstrated that the NASA standard global Ocean Colour algorithms are inaccurate in nearshore GBR waters </w:t>
      </w:r>
      <w:r w:rsidR="00EA2F38" w:rsidRPr="00A40CD0">
        <w:fldChar w:fldCharType="begin"/>
      </w:r>
      <w:r w:rsidR="00AC2F22">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Pr="00A40CD0">
        <w:t xml:space="preserve">. Subsequently there has been considerable effort in developing regionally appropriate algorithms for these optically complex GBR waters. Studies commissioned by GBRMPA on water quality monitoring </w:t>
      </w:r>
      <w:r w:rsidR="00EA2F38" w:rsidRPr="00A40CD0">
        <w:fldChar w:fldCharType="begin"/>
      </w:r>
      <w:r w:rsidR="00AC2F22">
        <w:instrText xml:space="preserve"> ADDIN EN.CITE &lt;EndNote&gt;&lt;Cite&gt;&lt;Author&gt;Schaffelke&lt;/Author&gt;&lt;Year&gt;2006&lt;/Year&gt;&lt;RecNum&gt;4025&lt;/RecNum&gt;&lt;DisplayText&gt;(Schaffelke et al. 2006)&lt;/DisplayText&gt;&lt;record&gt;&lt;rec-number&gt;4025&lt;/rec-number&gt;&lt;foreign-keys&gt;&lt;key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EA2F38" w:rsidRPr="00A40CD0">
        <w:fldChar w:fldCharType="separate"/>
      </w:r>
      <w:r w:rsidR="00AC2F22">
        <w:rPr>
          <w:noProof/>
        </w:rPr>
        <w:t>(</w:t>
      </w:r>
      <w:hyperlink w:anchor="_ENREF_45" w:tooltip="Schaffelke, 2006 #4025" w:history="1">
        <w:r w:rsidR="007B7C47">
          <w:rPr>
            <w:noProof/>
          </w:rPr>
          <w:t>Schaffelke et al. 2006</w:t>
        </w:r>
      </w:hyperlink>
      <w:r w:rsidR="00AC2F22">
        <w:rPr>
          <w:noProof/>
        </w:rPr>
        <w:t>)</w:t>
      </w:r>
      <w:r w:rsidR="00EA2F38" w:rsidRPr="00A40CD0">
        <w:fldChar w:fldCharType="end"/>
      </w:r>
      <w:r w:rsidRPr="00A40CD0">
        <w:t xml:space="preserve"> and optical characterisation of coastal waters </w:t>
      </w:r>
      <w:r w:rsidR="00EA2F38" w:rsidRPr="00A40CD0">
        <w:fldChar w:fldCharType="begin"/>
      </w:r>
      <w:r w:rsidR="00AC2F22">
        <w:instrText xml:space="preserve"> ADDIN EN.CITE &lt;EndNote&gt;&lt;Cite&gt;&lt;Author&gt;Blondeau-Patissier&lt;/Author&gt;&lt;Year&gt;2009&lt;/Year&gt;&lt;RecNum&gt;4442&lt;/RecNum&gt;&lt;DisplayText&gt;(Blondeau-Patissier et al. 2009)&lt;/DisplayText&gt;&lt;record&gt;&lt;rec-number&gt;4442&lt;/rec-number&gt;&lt;foreign-keys&gt;&lt;key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EA2F38" w:rsidRPr="00A40CD0">
        <w:fldChar w:fldCharType="separate"/>
      </w:r>
      <w:r w:rsidR="00AC2F22">
        <w:rPr>
          <w:noProof/>
        </w:rPr>
        <w:t>(</w:t>
      </w:r>
      <w:hyperlink w:anchor="_ENREF_2" w:tooltip="Blondeau-Patissier, 2009 #4442" w:history="1">
        <w:r w:rsidR="007B7C47">
          <w:rPr>
            <w:noProof/>
          </w:rPr>
          <w:t>Blondeau-Patissier et al. 2009</w:t>
        </w:r>
      </w:hyperlink>
      <w:r w:rsidR="00AC2F22">
        <w:rPr>
          <w:noProof/>
        </w:rPr>
        <w:t>)</w:t>
      </w:r>
      <w:r w:rsidR="00EA2F38" w:rsidRPr="00A40CD0">
        <w:fldChar w:fldCharType="end"/>
      </w:r>
      <w:r w:rsidRPr="00A40CD0">
        <w:t xml:space="preserve"> have also been undertaken and contribute to the development of regionally appropriate algorithms using a semi-analytical physics-based approach parameterised and validated with local measurements </w:t>
      </w:r>
      <w:r w:rsidR="00EA2F38" w:rsidRPr="00A40CD0">
        <w:fldChar w:fldCharType="begin"/>
      </w:r>
      <w:r w:rsidR="00AC2F22">
        <w:instrText xml:space="preserve"> ADDIN EN.CITE &lt;EndNote&gt;&lt;Cite&gt;&lt;Author&gt;Brando&lt;/Author&gt;&lt;Year&gt;2010&lt;/Year&gt;&lt;RecNum&gt;4579&lt;/RecNum&gt;&lt;DisplayText&gt;(Brando et al. 2010,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0" w:tooltip="Brando, 2010 #4579" w:history="1">
        <w:r w:rsidR="007B7C47">
          <w:rPr>
            <w:noProof/>
          </w:rPr>
          <w:t>Brando et al. 2010</w:t>
        </w:r>
      </w:hyperlink>
      <w:r w:rsidR="00AC2F22">
        <w:rPr>
          <w:noProof/>
        </w:rPr>
        <w:t xml:space="preserve">, </w:t>
      </w:r>
      <w:hyperlink w:anchor="_ENREF_12" w:tooltip="Brando, 2010 #4582" w:history="1">
        <w:r w:rsidR="007B7C47">
          <w:rPr>
            <w:noProof/>
          </w:rPr>
          <w:t>Brando et al. 2010</w:t>
        </w:r>
      </w:hyperlink>
      <w:r w:rsidR="00AC2F22">
        <w:rPr>
          <w:noProof/>
        </w:rPr>
        <w:t>)</w:t>
      </w:r>
      <w:r w:rsidR="00EA2F38" w:rsidRPr="00A40CD0">
        <w:fldChar w:fldCharType="end"/>
      </w:r>
      <w:r w:rsidRPr="00A40CD0">
        <w:t>.</w:t>
      </w:r>
    </w:p>
    <w:p w:rsidR="00B25CAA" w:rsidRDefault="00B25CAA" w:rsidP="002E0BD6">
      <w:pPr>
        <w:pStyle w:val="BodyText"/>
      </w:pPr>
      <w:r w:rsidRPr="00A40CD0">
        <w:t xml:space="preserve">In this work we coupled two physics-based inversion algorithms to improve the accuracy of water quality estimates from MODIS Aqua data in GBR Lagoon coastal waters. Firstly, an atmospheric correction algorithm based on inverse modelling of radiative transfer simulations and Artificial Neural Network (ANN) inversion is used to derive the remote sensing reflectance at mean sea level </w:t>
      </w:r>
      <w:r w:rsidR="00EA2F38" w:rsidRPr="00A40CD0">
        <w:fldChar w:fldCharType="begin">
          <w:fldData xml:space="preserve">PEVuZE5vdGU+PENpdGU+PEF1dGhvcj5TY2hyb2VkZXI8L0F1dGhvcj48WWVhcj4yMDA4PC9ZZWFy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</w:fldData>
        </w:fldChar>
      </w:r>
      <w:r w:rsidR="00AC2F22">
        <w:instrText xml:space="preserve"> ADDIN EN.CITE </w:instrText>
      </w:r>
      <w:r w:rsidR="00EA2F38">
        <w:fldChar w:fldCharType="begin">
          <w:fldData xml:space="preserve">PEVuZE5vdGU+PENpdGU+PEF1dGhvcj5TY2hyb2VkZXI8L0F1dGhvcj48WWVhcj4yMDA4PC9ZZWFy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46" w:tooltip="Schroeder, 2007 #4035" w:history="1">
        <w:r w:rsidR="007B7C47">
          <w:rPr>
            <w:noProof/>
          </w:rPr>
          <w:t>Schroeder et al. 2007</w:t>
        </w:r>
      </w:hyperlink>
      <w:r w:rsidR="00AC2F22">
        <w:rPr>
          <w:noProof/>
        </w:rPr>
        <w:t xml:space="preserve">, </w:t>
      </w:r>
      <w:hyperlink w:anchor="_ENREF_47" w:tooltip="Schroeder, 2008 #4160" w:history="1">
        <w:r w:rsidR="007B7C47">
          <w:rPr>
            <w:noProof/>
          </w:rPr>
          <w:t>Schroeder et al. 2008</w:t>
        </w:r>
      </w:hyperlink>
      <w:r w:rsidR="00AC2F22">
        <w:rPr>
          <w:noProof/>
        </w:rPr>
        <w:t>)</w:t>
      </w:r>
      <w:r w:rsidR="00EA2F38" w:rsidRPr="00A40CD0">
        <w:fldChar w:fldCharType="end"/>
      </w:r>
      <w:r w:rsidRPr="00A40CD0">
        <w:t xml:space="preserve">. Then, the inherent optical properties and the concentrations of the optically active constituents, namely CHL, non-algal particulate matter (NAP, </w:t>
      </w:r>
      <w:r w:rsidR="002D7052">
        <w:t xml:space="preserve">i.e the concentration of </w:t>
      </w:r>
      <w:r w:rsidR="002D7052" w:rsidRPr="00CE033B">
        <w:t>Total Suspended Solids</w:t>
      </w:r>
      <w:r w:rsidR="002D7052">
        <w:t xml:space="preserve"> minus the dry weight of algal particles</w:t>
      </w:r>
      <w:r w:rsidRPr="00A40CD0">
        <w:t xml:space="preserve">) and CDOM, were retrieved using an </w:t>
      </w:r>
      <w:r w:rsidR="00A86BC7">
        <w:t>adaptive implementation</w:t>
      </w:r>
      <w:r w:rsidR="001962F2">
        <w:t xml:space="preserve"> </w:t>
      </w:r>
      <w:r w:rsidRPr="00A40CD0">
        <w:t xml:space="preserve">of the Linear Matrix Inversion </w:t>
      </w:r>
      <w:r w:rsidR="00EA2F38" w:rsidRPr="00A40CD0">
        <w:fldChar w:fldCharType="begin"/>
      </w:r>
      <w:r w:rsidR="00F32695">
        <w:instrText xml:space="preserve"> ADDIN EN.CITE &lt;EndNote&gt;&lt;Cite&gt;&lt;Author&gt;Hoge&lt;/Author&gt;&lt;Year&gt;1996&lt;/Year&gt;&lt;RecNum&gt;525&lt;/RecNum&gt;&lt;Prefix&gt;LMI`, &lt;/Prefix&gt;&lt;DisplayText&gt;(LMI, Hoge and Lyon 1996)&lt;/DisplayText&gt;&lt;record&gt;&lt;rec-number&gt;525&lt;/rec-number&gt;&lt;foreign-keys&gt;&lt;key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EA2F38" w:rsidRPr="00A40CD0">
        <w:fldChar w:fldCharType="separate"/>
      </w:r>
      <w:r w:rsidR="00F32695">
        <w:rPr>
          <w:noProof/>
        </w:rPr>
        <w:t>(</w:t>
      </w:r>
      <w:hyperlink w:anchor="_ENREF_29" w:tooltip="Hoge, 1996 #525" w:history="1">
        <w:r w:rsidR="007B7C47">
          <w:rPr>
            <w:noProof/>
          </w:rPr>
          <w:t>LMI, Hoge and Lyon 1996</w:t>
        </w:r>
      </w:hyperlink>
      <w:r w:rsidR="00F32695">
        <w:rPr>
          <w:noProof/>
        </w:rPr>
        <w:t>)</w:t>
      </w:r>
      <w:r w:rsidR="00EA2F38" w:rsidRPr="00A40CD0">
        <w:fldChar w:fldCharType="end"/>
      </w:r>
      <w:r w:rsidRPr="00A40CD0">
        <w:t xml:space="preserve"> that incorporates regional and seasonal knowledge of specific Inherent Optical Properties </w:t>
      </w:r>
      <w:r w:rsidR="00EA2F38" w:rsidRPr="00A40CD0">
        <w:fldChar w:fldCharType="begin">
          <w:fldData xml:space="preserve">PEVuZE5vdGU+PENpdGU+PEF1dGhvcj5CcmFuZG88L0F1dGhvcj48WWVhcj4yMDA4PC9ZZWFyPjxS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</w:fldData>
        </w:fldChar>
      </w:r>
      <w:r w:rsidR="00AC2F22">
        <w:instrText xml:space="preserve"> ADDIN EN.CITE </w:instrText>
      </w:r>
      <w:r w:rsidR="00EA2F38">
        <w:fldChar w:fldCharType="begin">
          <w:fldData xml:space="preserve">PEVuZE5vdGU+PENpdGU+PEF1dGhvcj5CcmFuZG88L0F1dGhvcj48WWVhcj4yMDA4PC9ZZWFyPjxS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7" w:tooltip="Brando, 2008 #4159" w:history="1">
        <w:r w:rsidR="007B7C47">
          <w:rPr>
            <w:noProof/>
          </w:rPr>
          <w:t>Brando et al. 2008</w:t>
        </w:r>
      </w:hyperlink>
      <w:r w:rsidR="00AC2F22">
        <w:rPr>
          <w:noProof/>
        </w:rPr>
        <w:t xml:space="preserve">, </w:t>
      </w:r>
      <w:hyperlink w:anchor="_ENREF_6" w:tooltip="Brando, 2012 #4649" w:history="1">
        <w:r w:rsidR="007B7C47">
          <w:rPr>
            <w:noProof/>
          </w:rPr>
          <w:t>Brando et al. 2012</w:t>
        </w:r>
      </w:hyperlink>
      <w:r w:rsidR="00AC2F22">
        <w:rPr>
          <w:noProof/>
        </w:rPr>
        <w:t xml:space="preserve">, </w:t>
      </w:r>
      <w:hyperlink w:anchor="_ENREF_48" w:tooltip="Schroeder, 2012 #4647" w:history="1">
        <w:r w:rsidR="007B7C47">
          <w:rPr>
            <w:noProof/>
          </w:rPr>
          <w:t>Schroeder et al. 2012</w:t>
        </w:r>
      </w:hyperlink>
      <w:r w:rsidR="00AC2F22">
        <w:rPr>
          <w:noProof/>
        </w:rPr>
        <w:t>)</w:t>
      </w:r>
      <w:r w:rsidR="00EA2F38" w:rsidRPr="00A40CD0">
        <w:fldChar w:fldCharType="end"/>
      </w:r>
      <w:r w:rsidRPr="00A40CD0">
        <w:t>.</w:t>
      </w:r>
    </w:p>
    <w:p w:rsidR="00B25CAA" w:rsidRPr="00A40CD0" w:rsidRDefault="00321174" w:rsidP="002E0BD6">
      <w:pPr>
        <w:pStyle w:val="BodyText"/>
      </w:pPr>
      <w:r>
        <w:t xml:space="preserve">As the </w:t>
      </w:r>
      <w:r w:rsidRPr="00A40CD0">
        <w:t>ANN atmospheric correction</w:t>
      </w:r>
      <w:r>
        <w:t xml:space="preserve"> uses as input MODIS </w:t>
      </w:r>
      <w:r w:rsidRPr="00A40CD0">
        <w:t>Top-Of-Atmosphere</w:t>
      </w:r>
      <w:r w:rsidR="00BD74A1">
        <w:t xml:space="preserve"> radiance spectra, the </w:t>
      </w:r>
      <w:r>
        <w:t>MODIS aqua time series is first processed with</w:t>
      </w:r>
      <w:r w:rsidRPr="00805D17">
        <w:t xml:space="preserve"> </w:t>
      </w:r>
      <w:r>
        <w:t>NASA’s software (SeaDAS</w:t>
      </w:r>
      <w:r w:rsidRPr="00805D17">
        <w:t>)</w:t>
      </w:r>
      <w:r w:rsidR="00BD74A1">
        <w:t xml:space="preserve"> to Level 2</w:t>
      </w:r>
      <w:r>
        <w:t xml:space="preserve">, and then with CSIRO’s </w:t>
      </w:r>
      <w:r w:rsidRPr="00A40CD0">
        <w:t>coupled physics-based inversion algorithms</w:t>
      </w:r>
      <w:r>
        <w:t xml:space="preserve">. </w:t>
      </w:r>
      <w:r w:rsidR="00A86BC7">
        <w:t xml:space="preserve">In this report the parameterization of both the </w:t>
      </w:r>
      <w:r w:rsidR="00A86BC7" w:rsidRPr="00A40CD0">
        <w:t>ANN atmospheric correction</w:t>
      </w:r>
      <w:r w:rsidR="00A86BC7">
        <w:t xml:space="preserve"> and the adaptive </w:t>
      </w:r>
      <w:r w:rsidR="00A86BC7" w:rsidRPr="00A40CD0">
        <w:t>Linear Matrix Inversion</w:t>
      </w:r>
      <w:r w:rsidR="00A86BC7">
        <w:t xml:space="preserve"> </w:t>
      </w:r>
      <w:r w:rsidR="00BA29F7">
        <w:t xml:space="preserve">(a-LMI) </w:t>
      </w:r>
      <w:r w:rsidR="00A86BC7">
        <w:t xml:space="preserve">water quality </w:t>
      </w:r>
      <w:r w:rsidR="00A86BC7">
        <w:lastRenderedPageBreak/>
        <w:t>algorithm were revised to improve accu</w:t>
      </w:r>
      <w:r w:rsidR="00BA29F7">
        <w:t xml:space="preserve">racy in turbid waters and reduce </w:t>
      </w:r>
      <w:r w:rsidR="00A86BC7">
        <w:t xml:space="preserve">over-estimates of TSS concentrations in the Midshelf. </w:t>
      </w:r>
      <w:r w:rsidR="00B25CAA" w:rsidRPr="00A40CD0">
        <w:t xml:space="preserve">The comparison of MODIS Aqua retrievals of CHL, CDOM and NAP data to </w:t>
      </w:r>
      <w:r w:rsidR="00B25CAA" w:rsidRPr="00A40CD0">
        <w:rPr>
          <w:i/>
        </w:rPr>
        <w:t>in situ</w:t>
      </w:r>
      <w:r w:rsidR="00B25CAA" w:rsidRPr="00A40CD0">
        <w:t xml:space="preserve"> data showed that the </w:t>
      </w:r>
      <w:r w:rsidR="00BA29F7">
        <w:t>a-LMI water quality</w:t>
      </w:r>
      <w:r w:rsidR="001962F2">
        <w:t xml:space="preserve"> </w:t>
      </w:r>
      <w:r w:rsidR="00B25CAA" w:rsidRPr="00A40CD0">
        <w:t xml:space="preserve">algorithm coupled with the ANN atmospheric correction is more accurate than NASA’s algorithms for GBR waters. The </w:t>
      </w:r>
      <w:r w:rsidR="00BB7DDB">
        <w:t>uncertainty</w:t>
      </w:r>
      <w:r w:rsidR="00BB7DDB" w:rsidRPr="00A40CD0">
        <w:t xml:space="preserve"> </w:t>
      </w:r>
      <w:r w:rsidR="00B25CAA" w:rsidRPr="00A40CD0">
        <w:t>for the retrieval of CHL, CDOM and TSS with the coupled physics-</w:t>
      </w:r>
      <w:r w:rsidR="002B6823">
        <w:t>based inversion algorithms was 89%, 68% and 77</w:t>
      </w:r>
      <w:r w:rsidR="00B25CAA" w:rsidRPr="00A40CD0">
        <w:t>%, respectively. The parameterization and validation on the remote sensing retrievals was mainly based on observations performed in coastal and lagoonal waters during the dry season between Keppel Bay and the Wet Tropics region. The accuracy of the retrieval is likely to likely to be lower in shallow and turbid waters systems such as Princess Charlotte Bay, Broad Sound and Shoalwater Bay, as there is no data available for parameterization and validation. Details on the algorithm’s theoretical basis, parameterization and validation are provided in Appendix 1.</w:t>
      </w:r>
    </w:p>
    <w:p w:rsidR="00B25CAA" w:rsidRPr="00A40CD0" w:rsidRDefault="00B25CAA" w:rsidP="007E294B">
      <w:pPr>
        <w:pStyle w:val="Heading2"/>
      </w:pPr>
      <w:bookmarkStart w:id="19" w:name="_Toc228588162"/>
      <w:bookmarkStart w:id="20" w:name="_Toc399264876"/>
      <w:r w:rsidRPr="00A40CD0">
        <w:t>Management relevant remote sensing products to monitor water quality in GBR</w:t>
      </w:r>
      <w:bookmarkEnd w:id="19"/>
      <w:bookmarkEnd w:id="20"/>
    </w:p>
    <w:p w:rsidR="00B25CAA" w:rsidRPr="00A40CD0" w:rsidRDefault="00B25CAA" w:rsidP="002E0BD6">
      <w:pPr>
        <w:pStyle w:val="BodyText"/>
      </w:pPr>
      <w:r w:rsidRPr="00A40CD0">
        <w:t xml:space="preserve">If environmental managers are to take full advantage of remote-sensing capabilities then products that translate remotely-sensed scenes into useful information for managers are required. From daily remote sensing data, it is possible to produce a number of derived products suited to the specific needs of end-users or to particular geographic regions. Maps are the most common product and depending on user requirements, any number of variables or derived indices and attributes can be mapped over specified spatial aggregations and/or over timescales ranging from days to years. A prime example of management-relevant products are those providing water quality compliance information for environmental reporting </w:t>
      </w:r>
      <w:r w:rsidR="00EA2F38" w:rsidRPr="00A40CD0">
        <w:fldChar w:fldCharType="begin"/>
      </w:r>
      <w:r w:rsidR="00AC2F22">
        <w:instrText xml:space="preserve"> ADDIN EN.CITE &lt;EndNote&gt;&lt;Cite&gt;&lt;Author&gt;Brando&lt;/Author&gt;&lt;Year&gt;2010&lt;/Year&gt;&lt;RecNum&gt;4582&lt;/RecNum&gt;&lt;DisplayText&gt;(Brando et al. 2010)&lt;/DisplayText&gt;&lt;record&gt;&lt;rec-number&gt;4582&lt;/rec-number&gt;&lt;foreign-keys&gt;&lt;key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2" w:tooltip="Brando, 2010 #4582" w:history="1">
        <w:r w:rsidR="007B7C47">
          <w:rPr>
            <w:noProof/>
          </w:rPr>
          <w:t>Brando et al. 2010</w:t>
        </w:r>
      </w:hyperlink>
      <w:r w:rsidR="00AC2F22">
        <w:rPr>
          <w:noProof/>
        </w:rPr>
        <w:t>)</w:t>
      </w:r>
      <w:r w:rsidR="00EA2F38" w:rsidRPr="00A40CD0">
        <w:fldChar w:fldCharType="end"/>
      </w:r>
      <w:r w:rsidRPr="00A40CD0">
        <w:t>.</w:t>
      </w:r>
    </w:p>
    <w:p w:rsidR="00B25CAA" w:rsidRPr="00A40CD0" w:rsidRDefault="00B25CAA" w:rsidP="002E0BD6">
      <w:pPr>
        <w:pStyle w:val="BodyText"/>
      </w:pPr>
      <w:r w:rsidRPr="00A40CD0">
        <w:t xml:space="preserve">This section will provide details on the methods used to generate all the maps and tables of the main body of the report (section 4). Section 3 will </w:t>
      </w:r>
      <w:r w:rsidR="00FD4D32">
        <w:t xml:space="preserve">provide a delineation of the Enclosed Coastal waters for the GBRWHA and will assess how it affects </w:t>
      </w:r>
      <w:r w:rsidR="00FD4D32" w:rsidRPr="00A40CD0">
        <w:t>the estimates of the spatial extent of non-compliance</w:t>
      </w:r>
      <w:r w:rsidR="00FD4D32">
        <w:t xml:space="preserve"> and the Paddock to Reef marine water quality index</w:t>
      </w:r>
      <w:r w:rsidRPr="00A40CD0">
        <w:t xml:space="preserve">. </w:t>
      </w:r>
    </w:p>
    <w:p w:rsidR="009202A6" w:rsidRPr="007E294B" w:rsidRDefault="00B25CAA" w:rsidP="007E294B">
      <w:pPr>
        <w:pStyle w:val="Heading3"/>
      </w:pPr>
      <w:bookmarkStart w:id="21" w:name="_Ref303870120"/>
      <w:bookmarkStart w:id="22" w:name="_Toc228588163"/>
      <w:bookmarkStart w:id="23" w:name="_Toc399264877"/>
      <w:r w:rsidRPr="007E294B">
        <w:t>Water quality maps</w:t>
      </w:r>
      <w:bookmarkEnd w:id="21"/>
      <w:bookmarkEnd w:id="22"/>
      <w:bookmarkEnd w:id="23"/>
    </w:p>
    <w:p w:rsidR="002C54FF" w:rsidDel="00991F07" w:rsidRDefault="002C54FF" w:rsidP="002C54FF">
      <w:pPr>
        <w:pStyle w:val="BodyText"/>
      </w:pPr>
      <w:r w:rsidDel="00991F07">
        <w:t xml:space="preserve">For this report the whole MODIS aqua time series was reprocessed with </w:t>
      </w:r>
      <w:r w:rsidRPr="00805D17" w:rsidDel="00991F07">
        <w:t xml:space="preserve">the most recent updates in </w:t>
      </w:r>
      <w:r w:rsidDel="00991F07">
        <w:t>NASA’s software (SeaDAS version 6.4</w:t>
      </w:r>
      <w:r w:rsidRPr="00805D17" w:rsidDel="00991F07">
        <w:t>)</w:t>
      </w:r>
      <w:r w:rsidDel="00991F07">
        <w:t xml:space="preserve">, incorporating the </w:t>
      </w:r>
      <w:r w:rsidRPr="00057D0D" w:rsidDel="00991F07">
        <w:t>improved knowledge of instrument temporal calibration to improve temporal stability of the time series of the MODIS AQUA aging sensor</w:t>
      </w:r>
      <w:r w:rsidDel="00991F07">
        <w:t xml:space="preserve">. Furthermore, the parameterization of both the </w:t>
      </w:r>
      <w:r w:rsidRPr="00A40CD0" w:rsidDel="00991F07">
        <w:t>ANN atmospheric correction</w:t>
      </w:r>
      <w:r w:rsidDel="00991F07">
        <w:t xml:space="preserve"> and the adaptive </w:t>
      </w:r>
      <w:r w:rsidRPr="00A40CD0" w:rsidDel="00991F07">
        <w:t>Linear Matrix Inversion</w:t>
      </w:r>
      <w:r w:rsidDel="00991F07">
        <w:t xml:space="preserve"> (a-LMI) water quality algorithm were revised to improve accuracy in turbid waters and reduce over-estimates of TSS concentrations in the Midshelf. As such, all the results presented in this report supersede the previous reports.</w:t>
      </w:r>
    </w:p>
    <w:p w:rsidR="00EB2F7F" w:rsidRDefault="00991F07" w:rsidP="002E0BD6">
      <w:pPr>
        <w:pStyle w:val="BodyText"/>
      </w:pPr>
      <w:r>
        <w:t>To</w:t>
      </w:r>
      <w:r w:rsidR="005B2245">
        <w:t xml:space="preserve"> visualize the data and </w:t>
      </w:r>
      <w:r>
        <w:t xml:space="preserve">to produce all derive products </w:t>
      </w:r>
      <w:r w:rsidR="005B2245">
        <w:t>all daily MODIS pixels are remapped into a standard 1km grid</w:t>
      </w:r>
      <w:r>
        <w:t>. All spatial and temporal analyses are thus performed on the</w:t>
      </w:r>
      <w:r w:rsidR="005B2245">
        <w:t xml:space="preserve"> </w:t>
      </w:r>
      <w:r w:rsidR="005B2245" w:rsidRPr="000B2772">
        <w:t>daily gridded data</w:t>
      </w:r>
      <w:r w:rsidR="005B2245">
        <w:t>.</w:t>
      </w:r>
      <w:r w:rsidR="00B95A52">
        <w:t xml:space="preserve"> </w:t>
      </w:r>
      <w:r w:rsidR="00B25CAA" w:rsidRPr="00A40CD0">
        <w:t xml:space="preserve">In this report, seasonal median maps for CHL and TSS are presented for each reporting region. The seasonal median values for the wet and dry seasons were calculated for each pixel in the region from the valid (i.e. cloud-free and error-free) daily observations. Seasonal maps that indicate the number of valid observations (i.e. cloud-free and error-free) used for calculating the median values are also presented. </w:t>
      </w:r>
    </w:p>
    <w:p w:rsidR="002C54FF" w:rsidRDefault="00B25CAA" w:rsidP="002E0BD6">
      <w:pPr>
        <w:pStyle w:val="BodyText"/>
      </w:pPr>
      <w:r w:rsidRPr="00A40CD0">
        <w:lastRenderedPageBreak/>
        <w:t>The number of image observations per pixel location that were used in calculating the median values for each season show</w:t>
      </w:r>
      <w:r w:rsidR="001A26BF">
        <w:t xml:space="preserve"> number of observation </w:t>
      </w:r>
      <w:r w:rsidRPr="00A40CD0">
        <w:t xml:space="preserve">vary from 30 to about 90, even if 150-170 images were available for each season to provide data for the dry season and the wet season depending on the reporting region. The low number of observations is a result of the strict quality control criteria applied to the imagery: pixels with cloud or cloud shadow, low view and </w:t>
      </w:r>
      <w:r w:rsidR="00A40CD0" w:rsidRPr="00A40CD0">
        <w:t>illumination</w:t>
      </w:r>
      <w:r w:rsidRPr="00A40CD0">
        <w:t xml:space="preserve"> angles (solar zenith and observer zenith higher than 60 degrees) were flagged and dismissed as were pixels where the atmospheric correction failed. For the identification of clouds, the default threshold value of 2.7% the Rayleigh-removed TOA reflectance at 869 nm was used. We also dismissed the pixels with a high error between modelled and measured spectra, which indicates that the underlying inversion model was not able to retrieve meaningful concentrations. These dismissals caused the dearth of pixels in the very near coastal areas. As a result of this stricter quality control implemented since the 2009/10 MMP report </w:t>
      </w:r>
      <w:r w:rsidR="00EA2F38" w:rsidRPr="00A40CD0">
        <w:fldChar w:fldCharType="begin"/>
      </w:r>
      <w:r w:rsidR="00AC2F22">
        <w:instrText xml:space="preserve"> ADDIN EN.CITE &lt;EndNote&gt;&lt;Cite&gt;&lt;Author&gt;Brando&lt;/Author&gt;&lt;Year&gt;2010&lt;/Year&gt;&lt;RecNum&gt;4646&lt;/RecNum&gt;&lt;DisplayText&gt;(Brando et al. 2010)&lt;/DisplayText&gt;&lt;record&gt;&lt;rec-number&gt;4646&lt;/rec-number&gt;&lt;foreign-keys&gt;&lt;key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1" w:tooltip="Brando, 2010 #4646" w:history="1">
        <w:r w:rsidR="007B7C47">
          <w:rPr>
            <w:noProof/>
          </w:rPr>
          <w:t>Brando et al. 2010</w:t>
        </w:r>
      </w:hyperlink>
      <w:r w:rsidR="00AC2F22">
        <w:rPr>
          <w:noProof/>
        </w:rPr>
        <w:t>)</w:t>
      </w:r>
      <w:r w:rsidR="00EA2F38" w:rsidRPr="00A40CD0">
        <w:fldChar w:fldCharType="end"/>
      </w:r>
      <w:r w:rsidRPr="00A40CD0">
        <w:t xml:space="preserve">, the number of available observations for each pixel is lower than reported in previous reports </w:t>
      </w:r>
      <w:r w:rsidR="00EA2F38" w:rsidRPr="00A40CD0">
        <w:fldChar w:fldCharType="begin"/>
      </w:r>
      <w:r w:rsidR="00AC2F22">
        <w:instrText xml:space="preserve"> ADDIN EN.CITE &lt;EndNote&gt;&lt;Cite&gt;&lt;Author&gt;Brando&lt;/Author&gt;&lt;Year&gt;2010&lt;/Year&gt;&lt;RecNum&gt;4579&lt;/RecNum&gt;&lt;Prefix&gt;i.e. up to the 2008/09 MMP report &lt;/Prefix&gt;&lt;DisplayText&gt;(i.e. up to the 2008/09 MMP report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0" w:tooltip="Brando, 2010 #4579" w:history="1">
        <w:r w:rsidR="007B7C47">
          <w:rPr>
            <w:noProof/>
          </w:rPr>
          <w:t>i.e. up to the 2008/09 MMP report Brando et al. 2010</w:t>
        </w:r>
      </w:hyperlink>
      <w:r w:rsidR="00AC2F22">
        <w:rPr>
          <w:noProof/>
        </w:rPr>
        <w:t>)</w:t>
      </w:r>
      <w:r w:rsidR="00EA2F38" w:rsidRPr="00A40CD0">
        <w:fldChar w:fldCharType="end"/>
      </w:r>
      <w:r w:rsidRPr="00A40CD0">
        <w:t>.</w:t>
      </w:r>
    </w:p>
    <w:p w:rsidR="002C54FF" w:rsidRPr="00A40CD0" w:rsidRDefault="002C54FF" w:rsidP="002E0BD6">
      <w:pPr>
        <w:pStyle w:val="BodyText"/>
      </w:pPr>
      <w:r w:rsidRPr="00A40CD0">
        <w:t>The number of av</w:t>
      </w:r>
      <w:r>
        <w:t>ailable observations is substantial</w:t>
      </w:r>
      <w:r w:rsidRPr="00A40CD0">
        <w:t>ly lower in the wet season than the dry season for all regions. This is due to higher cloud cover in the wet/monsoonal season. It is possible that the cloud cover introduces a bias in the sampling that could affect the estimate of the median and mean concentration or any other statistical summary of the data. The effect of cloud cover on the estimation of statistical parameters such as the mean and median needs to be investigated further using time series data from moored sensors or the output from biogeochemical models.</w:t>
      </w:r>
    </w:p>
    <w:p w:rsidR="009202A6" w:rsidRPr="007E294B" w:rsidRDefault="00B25CAA" w:rsidP="007E294B">
      <w:pPr>
        <w:pStyle w:val="Heading3"/>
      </w:pPr>
      <w:bookmarkStart w:id="24" w:name="_Toc228588164"/>
      <w:bookmarkStart w:id="25" w:name="_Toc399264878"/>
      <w:r w:rsidRPr="007E294B">
        <w:t>Estimate of freshwater extent</w:t>
      </w:r>
      <w:bookmarkEnd w:id="24"/>
      <w:bookmarkEnd w:id="25"/>
    </w:p>
    <w:p w:rsidR="00B25CAA" w:rsidRPr="00A40CD0" w:rsidRDefault="00B25CAA" w:rsidP="002E0BD6">
      <w:pPr>
        <w:pStyle w:val="BodyText"/>
      </w:pPr>
      <w:r w:rsidRPr="00A40CD0">
        <w:t xml:space="preserve">Riverine freshwater plumes connect the land with the receiving coastal and marine waters and are the major transport mechanism for nutrients, sediments and pollutants into the GBR lagoon. The extent and duration of freshwater plumes can have significant implications for the health of marine ecosystems such as seagrasses and coral reefs. Low salinity runoff waters may transport natural and anthropogenic contaminants into the sea, and can directly stress marine ecosystems that are adapted to higher salinity levels </w:t>
      </w:r>
      <w:r w:rsidR="00EA2F38" w:rsidRPr="00A40CD0">
        <w:fldChar w:fldCharType="begin"/>
      </w:r>
      <w:r w:rsidR="00AC2F22">
        <w:instrText xml:space="preserve"> ADDIN EN.CITE &lt;EndNote&gt;&lt;Cite&gt;&lt;Author&gt;Burrage&lt;/Author&gt;&lt;Year&gt;2003&lt;/Year&gt;&lt;RecNum&gt;4650&lt;/RecNum&gt;&lt;DisplayText&gt;(Burrage et al. 2003)&lt;/DisplayText&gt;&lt;record&gt;&lt;rec-number&gt;4650&lt;/rec-number&gt;&lt;foreign-keys&gt;&lt;key app="EN" db-id="z0vwsaa0gfvsr1e2sr7p90rtdtevf52r2we9"&gt;4650&lt;/key&gt;&lt;/foreign-keys&gt;&lt;ref-type name="Journal Article"&gt;17&lt;/ref-type&gt;&lt;contributors&gt;&lt;authors&gt;&lt;author&gt;Burrage, D.M.&lt;/author&gt;&lt;author&gt;Heron, M.L.&lt;/author&gt;&lt;author&gt;Hacker, J.M.&lt;/author&gt;&lt;author&gt;Miller, J.L.&lt;/author&gt;&lt;author&gt;Stieglitz, T.C.&lt;/author&gt;&lt;author&gt;Steinberg, C.R.&lt;/author&gt;&lt;author&gt;Prytz, A. &lt;/author&gt;&lt;/authors&gt;&lt;/contributors&gt;&lt;titles&gt;&lt;title&gt;Structure and influence of tropical river plumes in the Great Barrier Reef: application and performance of an airborne sea surface salinity mapping system.&lt;/title&gt;&lt;secondary-title&gt;Remote Sensing of Environment&lt;/secondary-title&gt;&lt;/titles&gt;&lt;periodical&gt;&lt;full-title&gt;Remote Sensing of Environment&lt;/full-title&gt;&lt;/periodical&gt;&lt;pages&gt;204-220&lt;/pages&gt;&lt;volume&gt;85: &lt;/volume&gt;&lt;dates&gt;&lt;year&gt;2003&lt;/year&gt;&lt;/dates&gt;&lt;urls&gt;&lt;/urls&gt;&lt;/record&gt;&lt;/Cite&gt;&lt;/EndNote&gt;</w:instrText>
      </w:r>
      <w:r w:rsidR="00EA2F38" w:rsidRPr="00A40CD0">
        <w:fldChar w:fldCharType="separate"/>
      </w:r>
      <w:r w:rsidR="00AC2F22">
        <w:rPr>
          <w:noProof/>
        </w:rPr>
        <w:t>(</w:t>
      </w:r>
      <w:hyperlink w:anchor="_ENREF_15" w:tooltip="Burrage, 2003 #4650" w:history="1">
        <w:r w:rsidR="007B7C47">
          <w:rPr>
            <w:noProof/>
          </w:rPr>
          <w:t>Burrage et al. 2003</w:t>
        </w:r>
      </w:hyperlink>
      <w:r w:rsidR="00AC2F22">
        <w:rPr>
          <w:noProof/>
        </w:rPr>
        <w:t>)</w:t>
      </w:r>
      <w:r w:rsidR="00EA2F38" w:rsidRPr="00A40CD0">
        <w:fldChar w:fldCharType="end"/>
      </w:r>
      <w:r w:rsidRPr="00A40CD0">
        <w:t xml:space="preserve">. Concentrations of riverine pollutants have been attributed to the specific land use of the catchments and positive correlations have been reported between river-discharged material and water quality of the GBR receiving waters </w:t>
      </w:r>
      <w:r w:rsidR="00EA2F38" w:rsidRPr="00A40CD0">
        <w:fldChar w:fldCharType="begin">
          <w:fldData xml:space="preserve">PEVuZE5vdGU+PENpdGU+PEF1dGhvcj5Ccm9kaWU8L0F1dGhvcj48WWVhcj4yMDA4PC9ZZWFyPjxS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</w:fldData>
        </w:fldChar>
      </w:r>
      <w:r w:rsidR="00AC2F22">
        <w:instrText xml:space="preserve"> ADDIN EN.CITE </w:instrText>
      </w:r>
      <w:r w:rsidR="00EA2F38">
        <w:fldChar w:fldCharType="begin">
          <w:fldData xml:space="preserve">PEVuZE5vdGU+PENpdGU+PEF1dGhvcj5Ccm9kaWU8L0F1dGhvcj48WWVhcj4yMDA4PC9ZZWFyPjxS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13" w:tooltip="Brodie, 2008 #4651" w:history="1">
        <w:r w:rsidR="007B7C47">
          <w:rPr>
            <w:noProof/>
          </w:rPr>
          <w:t>Brodie et al. 2008</w:t>
        </w:r>
      </w:hyperlink>
      <w:r w:rsidR="00AC2F22">
        <w:rPr>
          <w:noProof/>
        </w:rPr>
        <w:t xml:space="preserve">, </w:t>
      </w:r>
      <w:hyperlink w:anchor="_ENREF_33" w:tooltip="Kennedy, 2012 #4648" w:history="1">
        <w:r w:rsidR="007B7C47">
          <w:rPr>
            <w:noProof/>
          </w:rPr>
          <w:t>Kennedy et al. 2012</w:t>
        </w:r>
      </w:hyperlink>
      <w:r w:rsidR="00AC2F22">
        <w:rPr>
          <w:noProof/>
        </w:rPr>
        <w:t>)</w:t>
      </w:r>
      <w:r w:rsidR="00EA2F38" w:rsidRPr="00A40CD0">
        <w:fldChar w:fldCharType="end"/>
      </w:r>
      <w:r w:rsidRPr="00A40CD0">
        <w:t>.</w:t>
      </w:r>
    </w:p>
    <w:p w:rsidR="00B25CAA" w:rsidRPr="00A40CD0" w:rsidRDefault="00B25CAA" w:rsidP="002E0BD6">
      <w:pPr>
        <w:pStyle w:val="BodyText"/>
      </w:pPr>
      <w:r w:rsidRPr="00A40CD0">
        <w:t xml:space="preserve">The dynamics of a flood plume as it moves freshwater from the river mouth into the marine environment can be described in terms of the hydrodynamic and chemical behaviour. At first flood plumes contain elevated concentrations of sediments (and associated nutrients and contaminants). Later, when particulate matter falls out of the plume waters the plume is characterised mainly by the presence of the dissolved materials and the associated nutrients </w:t>
      </w:r>
      <w:r w:rsidR="00EA2F38" w:rsidRPr="00A40CD0">
        <w:fldChar w:fldCharType="begin"/>
      </w:r>
      <w:r w:rsidR="00AC2F22">
        <w:instrText xml:space="preserve"> ADDIN EN.CITE &lt;EndNote&gt;&lt;Cite&gt;&lt;Author&gt;Devlin&lt;/Author&gt;&lt;Year&gt;2012&lt;/Year&gt;&lt;RecNum&gt;4583&lt;/RecNum&gt;&lt;DisplayText&gt;(Devlin et al. 2012)&lt;/DisplayText&gt;&lt;record&gt;&lt;rec-number&gt;4583&lt;/rec-number&gt;&lt;foreign-keys&gt;&lt;key app="EN" db-id="z0vwsaa0gfvsr1e2sr7p90rtdtevf52r2we9"&gt;4583&lt;/key&gt;&lt;/foreign-keys&gt;&lt;ref-type name="Book Section"&gt;5&lt;/ref-type&gt;&lt;contributors&gt;&lt;authors&gt;&lt;author&gt;Devlin, Michelle&lt;/author&gt;&lt;author&gt;Schroeder, T.&lt;/author&gt;&lt;author&gt;McKinna, Lachlan&lt;/author&gt;&lt;author&gt;Brodie, J.&lt;/author&gt;&lt;author&gt;Brando, V.&lt;/author&gt;&lt;author&gt;Dekker, A.&lt;/author&gt;&lt;/authors&gt;&lt;secondary-authors&gt;&lt;author&gt;Ni-Bin Chang&lt;/author&gt;&lt;/secondary-authors&gt;&lt;/contributors&gt;&lt;titles&gt;&lt;title&gt;Monitoring and mapping of flood plumes in the Great Barrier Reef based on in-situ and remote sensing observations&lt;/title&gt;&lt;secondary-title&gt;Advances in  Environmental Remote Sensing to Monitor Global Changes&lt;/secondary-title&gt;&lt;/titles&gt;&lt;pages&gt;148-188&lt;/pages&gt;&lt;section&gt;8&lt;/section&gt;&lt;dates&gt;&lt;year&gt;2012&lt;/year&gt;&lt;/dates&gt;&lt;urls&gt;&lt;/urls&gt;&lt;/record&gt;&lt;/Cite&gt;&lt;/EndNote&gt;</w:instrText>
      </w:r>
      <w:r w:rsidR="00EA2F38" w:rsidRPr="00A40CD0">
        <w:fldChar w:fldCharType="separate"/>
      </w:r>
      <w:r w:rsidR="00AC2F22">
        <w:rPr>
          <w:noProof/>
        </w:rPr>
        <w:t>(</w:t>
      </w:r>
      <w:hyperlink w:anchor="_ENREF_18" w:tooltip="Devlin, 2012 #4583" w:history="1">
        <w:r w:rsidR="007B7C47">
          <w:rPr>
            <w:noProof/>
          </w:rPr>
          <w:t>Devlin et al. 2012</w:t>
        </w:r>
      </w:hyperlink>
      <w:r w:rsidR="00AC2F22">
        <w:rPr>
          <w:noProof/>
        </w:rPr>
        <w:t>)</w:t>
      </w:r>
      <w:r w:rsidR="00EA2F38" w:rsidRPr="00A40CD0">
        <w:fldChar w:fldCharType="end"/>
      </w:r>
      <w:r w:rsidRPr="00A40CD0" w:rsidDel="00A973CF">
        <w:t xml:space="preserve"> </w:t>
      </w:r>
      <w:r w:rsidRPr="00A40CD0">
        <w:t>.</w:t>
      </w:r>
    </w:p>
    <w:p w:rsidR="00B25CAA" w:rsidRPr="00A40CD0" w:rsidRDefault="00B25CAA" w:rsidP="002E0BD6">
      <w:pPr>
        <w:pStyle w:val="BodyText"/>
      </w:pPr>
      <w:r w:rsidRPr="00A40CD0">
        <w:t>In freshwater plumes, CDOM concentrations are high and are largely derived from terrestria</w:t>
      </w:r>
      <w:r w:rsidR="003434D4">
        <w:t xml:space="preserve">l sources, making CDOM a quasi-conservative </w:t>
      </w:r>
      <w:r w:rsidRPr="00A40CD0">
        <w:t xml:space="preserve">tracer of terrestrial discharge of low salinity waters. Negative correlations between CDOM and sea surface salinity have been established from in-situ data in several studies </w:t>
      </w:r>
      <w:r w:rsidR="00EA2F38" w:rsidRPr="00A40CD0">
        <w:fldChar w:fldCharType="begin">
          <w:fldData xml:space="preserve">PEVuZE5vdGU+PENpdGU+PEF1dGhvcj5Bc3RvcmVjYTwvQXV0aG9yPjxZZWFyPjIwMDk8L1llYXI+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</w:fldData>
        </w:fldChar>
      </w:r>
      <w:r w:rsidR="00AC2F22">
        <w:instrText xml:space="preserve"> ADDIN EN.CITE </w:instrText>
      </w:r>
      <w:r w:rsidR="00EA2F38">
        <w:fldChar w:fldCharType="begin">
          <w:fldData xml:space="preserve">PEVuZE5vdGU+PENpdGU+PEF1dGhvcj5Bc3RvcmVjYTwvQXV0aG9yPjxZZWFyPjIwMDk8L1llYXI+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21" w:tooltip="Ferrari, 1998 #3223" w:history="1">
        <w:r w:rsidR="007B7C47">
          <w:rPr>
            <w:noProof/>
          </w:rPr>
          <w:t>Ferrari and Dowell 1998</w:t>
        </w:r>
      </w:hyperlink>
      <w:r w:rsidR="00AC2F22">
        <w:rPr>
          <w:noProof/>
        </w:rPr>
        <w:t xml:space="preserve">, </w:t>
      </w:r>
      <w:hyperlink w:anchor="_ENREF_3" w:tooltip="Bowers, 2008 #4653" w:history="1">
        <w:r w:rsidR="007B7C47">
          <w:rPr>
            <w:noProof/>
          </w:rPr>
          <w:t>Bowers and Brett 2008</w:t>
        </w:r>
      </w:hyperlink>
      <w:r w:rsidR="00AC2F22">
        <w:rPr>
          <w:noProof/>
        </w:rPr>
        <w:t xml:space="preserve">, </w:t>
      </w:r>
      <w:hyperlink w:anchor="_ENREF_1" w:tooltip="Astoreca, 2009 #4586" w:history="1">
        <w:r w:rsidR="007B7C47">
          <w:rPr>
            <w:noProof/>
          </w:rPr>
          <w:t>Astoreca et al. 2009</w:t>
        </w:r>
      </w:hyperlink>
      <w:r w:rsidR="00AC2F22">
        <w:rPr>
          <w:noProof/>
        </w:rPr>
        <w:t xml:space="preserve">, </w:t>
      </w:r>
      <w:hyperlink w:anchor="_ENREF_37" w:tooltip="Molleri, 2010 #4652" w:history="1">
        <w:r w:rsidR="007B7C47">
          <w:rPr>
            <w:noProof/>
          </w:rPr>
          <w:t>Molleri et al. 2010</w:t>
        </w:r>
      </w:hyperlink>
      <w:r w:rsidR="00AC2F22">
        <w:rPr>
          <w:noProof/>
        </w:rPr>
        <w:t>)</w:t>
      </w:r>
      <w:r w:rsidR="00EA2F38" w:rsidRPr="00A40CD0">
        <w:fldChar w:fldCharType="end"/>
      </w:r>
      <w:r w:rsidRPr="00A40CD0">
        <w:t>.</w:t>
      </w:r>
      <w:r w:rsidRPr="00A40CD0">
        <w:rPr>
          <w:color w:val="000000"/>
        </w:rPr>
        <w:t xml:space="preserve"> In this report we use CDOM as a surrogate for salinity to estimate</w:t>
      </w:r>
      <w:r w:rsidRPr="00A40CD0">
        <w:t xml:space="preserve"> low salinity waters</w:t>
      </w:r>
      <w:r w:rsidRPr="00A40CD0">
        <w:rPr>
          <w:color w:val="000000"/>
        </w:rPr>
        <w:t xml:space="preserve"> indirectly from MODIS ocean colour observations for the entire GBR region as detailed in </w:t>
      </w:r>
      <w:r w:rsidRPr="00A40CD0">
        <w:t>Schroeder et al.</w:t>
      </w:r>
      <w:r w:rsidRPr="00A40CD0">
        <w:rPr>
          <w:color w:val="000000"/>
        </w:rPr>
        <w:t xml:space="preserve"> </w:t>
      </w:r>
      <w:r w:rsidR="00EA2F38" w:rsidRPr="00A40CD0">
        <w:fldChar w:fldCharType="begin"/>
      </w:r>
      <w:r w:rsidR="00F32695">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F32695">
        <w:rPr>
          <w:noProof/>
        </w:rPr>
        <w:t>(</w:t>
      </w:r>
      <w:hyperlink w:anchor="_ENREF_48" w:tooltip="Schroeder, 2012 #4647" w:history="1">
        <w:r w:rsidR="007B7C47">
          <w:rPr>
            <w:noProof/>
          </w:rPr>
          <w:t>2012</w:t>
        </w:r>
      </w:hyperlink>
      <w:r w:rsidR="00F32695">
        <w:rPr>
          <w:noProof/>
        </w:rPr>
        <w:t>)</w:t>
      </w:r>
      <w:r w:rsidR="00EA2F38" w:rsidRPr="00A40CD0">
        <w:fldChar w:fldCharType="end"/>
      </w:r>
      <w:r w:rsidRPr="00A40CD0">
        <w:rPr>
          <w:color w:val="000000"/>
        </w:rPr>
        <w:t xml:space="preserve">. </w:t>
      </w:r>
      <w:r w:rsidRPr="00A40CD0">
        <w:t xml:space="preserve">Based on a linear regression of 250 GBR-wide concurrent </w:t>
      </w:r>
      <w:r w:rsidRPr="00A40CD0">
        <w:rPr>
          <w:i/>
        </w:rPr>
        <w:t>in-situ</w:t>
      </w:r>
      <w:r w:rsidRPr="00A40CD0">
        <w:t xml:space="preserve"> CDOM and salinity measurements a relationship was used to establish a cut-off threshold of CDOM absorption at 443nm of 0.24 m</w:t>
      </w:r>
      <w:r w:rsidRPr="00A40CD0">
        <w:rPr>
          <w:vertAlign w:val="superscript"/>
        </w:rPr>
        <w:t>-1</w:t>
      </w:r>
      <w:r w:rsidRPr="00A40CD0">
        <w:t xml:space="preserve"> corresponding to a salinity of 30</w:t>
      </w:r>
      <w:r w:rsidRPr="00A40CD0">
        <w:rPr>
          <w:rFonts w:cs="Times"/>
        </w:rPr>
        <w:t>±</w:t>
      </w:r>
      <w:r w:rsidRPr="00A40CD0">
        <w:t>4 PSU</w:t>
      </w:r>
      <w:r w:rsidR="00DD671D" w:rsidRPr="00A40CD0">
        <w:t xml:space="preserve"> (</w:t>
      </w:r>
      <w:r w:rsidR="00EA2F38">
        <w:fldChar w:fldCharType="begin"/>
      </w:r>
      <w:r w:rsidR="00D90A4A">
        <w:instrText xml:space="preserve"> REF _Ref321224776 \h </w:instrText>
      </w:r>
      <w:r w:rsidR="00EA2F38">
        <w:fldChar w:fldCharType="separate"/>
      </w:r>
      <w:r w:rsidR="00B11F3B" w:rsidRPr="00A40CD0">
        <w:t xml:space="preserve">Figure </w:t>
      </w:r>
      <w:r w:rsidR="00B11F3B">
        <w:rPr>
          <w:noProof/>
        </w:rPr>
        <w:t>1</w:t>
      </w:r>
      <w:r w:rsidR="00EA2F38">
        <w:fldChar w:fldCharType="end"/>
      </w:r>
      <w:r w:rsidR="00DD671D" w:rsidRPr="00A40CD0">
        <w:t>)</w:t>
      </w:r>
      <w:r w:rsidRPr="00A40CD0">
        <w:t xml:space="preserve"> </w:t>
      </w:r>
      <w:r w:rsidR="00EA2F38" w:rsidRPr="00A40CD0">
        <w:fldChar w:fldCharType="begin"/>
      </w:r>
      <w:r w:rsidR="00AC2F22">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AC2F22">
        <w:rPr>
          <w:noProof/>
        </w:rPr>
        <w:t>(</w:t>
      </w:r>
      <w:hyperlink w:anchor="_ENREF_48" w:tooltip="Schroeder, 2012 #4647" w:history="1">
        <w:r w:rsidR="007B7C47">
          <w:rPr>
            <w:noProof/>
          </w:rPr>
          <w:t>Schroeder et al. 2012</w:t>
        </w:r>
      </w:hyperlink>
      <w:r w:rsidR="00AC2F22">
        <w:rPr>
          <w:noProof/>
        </w:rPr>
        <w:t>)</w:t>
      </w:r>
      <w:r w:rsidR="00EA2F38" w:rsidRPr="00A40CD0">
        <w:fldChar w:fldCharType="end"/>
      </w:r>
      <w:r w:rsidRPr="00A40CD0">
        <w:t xml:space="preserve">. The freshwater extent for </w:t>
      </w:r>
      <w:r w:rsidRPr="00A40CD0">
        <w:lastRenderedPageBreak/>
        <w:t>the wet season can be estimated by applying the threshold for freshwater mapping (0.24 m</w:t>
      </w:r>
      <w:r w:rsidRPr="00A40CD0">
        <w:rPr>
          <w:vertAlign w:val="superscript"/>
        </w:rPr>
        <w:t>-1</w:t>
      </w:r>
      <w:r w:rsidRPr="00A40CD0">
        <w:t xml:space="preserve"> </w:t>
      </w:r>
      <w:r w:rsidRPr="00A40CD0">
        <w:sym w:font="Symbol" w:char="F0DB"/>
      </w:r>
      <w:r w:rsidRPr="00A40CD0">
        <w:t xml:space="preserve"> 30</w:t>
      </w:r>
      <w:r w:rsidRPr="00A40CD0">
        <w:rPr>
          <w:rFonts w:cs="Times"/>
        </w:rPr>
        <w:t>±</w:t>
      </w:r>
      <w:r w:rsidRPr="00A40CD0">
        <w:t>4 salinity) to the maximum CDOM values for the wet season.</w:t>
      </w:r>
    </w:p>
    <w:p w:rsidR="00B25CAA" w:rsidRPr="00A40CD0" w:rsidRDefault="00B25CAA" w:rsidP="002E0BD6">
      <w:pPr>
        <w:pStyle w:val="BodyText"/>
      </w:pPr>
      <w:r w:rsidRPr="00A40CD0">
        <w:t xml:space="preserve">The remote sensing algorithms adopted in this study cannot differentiate between the sources of </w:t>
      </w:r>
      <w:r w:rsidR="00A40CD0">
        <w:t>CDOM, which for this aim are</w:t>
      </w:r>
      <w:r w:rsidRPr="00A40CD0">
        <w:t xml:space="preserve"> assumed to be mainly influenced by flood waters during the wet seasons. As a consequence any estimated freshwater extent</w:t>
      </w:r>
      <w:r w:rsidRPr="00A40CD0">
        <w:rPr>
          <w:color w:val="000000"/>
        </w:rPr>
        <w:t xml:space="preserve"> is potentially</w:t>
      </w:r>
      <w:r w:rsidRPr="00A40CD0">
        <w:t xml:space="preserve"> biased by additional supratidal, intertidal and subtidal and oceanic CDOM sources such as bacterial degradation of phytoplankton, mangroves, sea grass beds, coral reef and benthic organisms living in the sediment </w:t>
      </w:r>
      <w:r w:rsidR="00EA2F38" w:rsidRPr="00A40CD0">
        <w:fldChar w:fldCharType="begin"/>
      </w:r>
      <w:r w:rsidR="00AC2F22">
        <w:instrText xml:space="preserve"> ADDIN EN.CITE &lt;EndNote&gt;&lt;Cite&gt;&lt;Author&gt;Schroeder&lt;/Author&gt;&lt;Year&gt;2012&lt;/Year&gt;&lt;RecNum&gt;4647&lt;/RecNum&gt;&lt;Suffix&gt; and references therein&lt;/Suffix&gt;&lt;DisplayText&gt;(Schroeder et al. 2012 and references therein)&lt;/DisplayText&gt;&lt;record&gt;&lt;rec-number&gt;4647&lt;/rec-number&gt;&lt;foreign-keys&gt;&lt;key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AC2F22">
        <w:rPr>
          <w:noProof/>
        </w:rPr>
        <w:t>(</w:t>
      </w:r>
      <w:hyperlink w:anchor="_ENREF_48" w:tooltip="Schroeder, 2012 #4647" w:history="1">
        <w:r w:rsidR="007B7C47">
          <w:rPr>
            <w:noProof/>
          </w:rPr>
          <w:t>Schroeder et al. 2012 and references therein</w:t>
        </w:r>
      </w:hyperlink>
      <w:r w:rsidR="00AC2F22">
        <w:rPr>
          <w:noProof/>
        </w:rPr>
        <w:t>)</w:t>
      </w:r>
      <w:r w:rsidR="00EA2F38" w:rsidRPr="00A40CD0">
        <w:fldChar w:fldCharType="end"/>
      </w:r>
      <w:r w:rsidRPr="00A40CD0">
        <w:t xml:space="preserve">. However, the CDOM production of these </w:t>
      </w:r>
      <w:r w:rsidRPr="00A40CD0">
        <w:rPr>
          <w:color w:val="000000"/>
        </w:rPr>
        <w:t>additional non-runoff related sources</w:t>
      </w:r>
      <w:r w:rsidRPr="00A40CD0">
        <w:t xml:space="preserve"> is usually much lower than the applied CDOM absorption threshold of 0.24 m</w:t>
      </w:r>
      <w:r w:rsidRPr="00A40CD0">
        <w:rPr>
          <w:vertAlign w:val="superscript"/>
        </w:rPr>
        <w:t>-1</w:t>
      </w:r>
      <w:r w:rsidRPr="00A40CD0">
        <w:t xml:space="preserve"> at 443 nm  </w:t>
      </w:r>
      <w:r w:rsidR="00EA2F38" w:rsidRPr="00A40CD0">
        <w:fldChar w:fldCharType="begin"/>
      </w:r>
      <w:r w:rsidR="00AC2F22">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AC2F22">
        <w:rPr>
          <w:noProof/>
        </w:rPr>
        <w:t>(</w:t>
      </w:r>
      <w:hyperlink w:anchor="_ENREF_48" w:tooltip="Schroeder, 2012 #4647" w:history="1">
        <w:r w:rsidR="007B7C47">
          <w:rPr>
            <w:noProof/>
          </w:rPr>
          <w:t>Schroeder et al. 2012</w:t>
        </w:r>
      </w:hyperlink>
      <w:r w:rsidR="00AC2F22">
        <w:rPr>
          <w:noProof/>
        </w:rPr>
        <w:t>)</w:t>
      </w:r>
      <w:r w:rsidR="00EA2F38" w:rsidRPr="00A40CD0">
        <w:fldChar w:fldCharType="end"/>
      </w:r>
      <w:r w:rsidRPr="00A40CD0">
        <w:t>.</w:t>
      </w:r>
    </w:p>
    <w:p w:rsidR="005861CD" w:rsidRPr="00A40CD0" w:rsidRDefault="005861CD" w:rsidP="002E0BD6">
      <w:pPr>
        <w:pStyle w:val="BodyText"/>
      </w:pPr>
      <w:r w:rsidRPr="00A40CD0">
        <w:rPr>
          <w:noProof/>
          <w:lang w:eastAsia="en-AU"/>
        </w:rPr>
        <w:drawing>
          <wp:inline distT="0" distB="0" distL="0" distR="0">
            <wp:extent cx="2162023" cy="2013797"/>
            <wp:effectExtent l="0" t="0" r="0" b="0"/>
            <wp:docPr id="521" name="Picture 8" descr="Linear regression of concurrent in situ CDOM absorption (443 nm) and salinity measurements. Modified from Figure 4 of Schroeder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roeder_2012_fig4.jpg"/>
                    <pic:cNvPicPr/>
                  </pic:nvPicPr>
                  <pic:blipFill>
                    <a:blip r:embed="rId19" cstate="print">
                      <a:extLst>
                        <a:ext uri="{28A0092B-C50C-407E-A947-70E740481C1C}">
                          <a14:useLocalDpi xmlns:a14="http://schemas.microsoft.com/office/drawing/2010/main"/>
                        </a:ext>
                      </a:extLst>
                    </a:blip>
                    <a:srcRect/>
                    <a:stretch>
                      <a:fillRect/>
                    </a:stretch>
                  </pic:blipFill>
                  <pic:spPr>
                    <a:xfrm>
                      <a:off x="0" y="0"/>
                      <a:ext cx="2162518" cy="2014258"/>
                    </a:xfrm>
                    <a:prstGeom prst="rect">
                      <a:avLst/>
                    </a:prstGeom>
                  </pic:spPr>
                </pic:pic>
              </a:graphicData>
            </a:graphic>
          </wp:inline>
        </w:drawing>
      </w:r>
    </w:p>
    <w:p w:rsidR="005861CD" w:rsidRPr="00A40CD0" w:rsidRDefault="005861CD" w:rsidP="002E0BD6">
      <w:pPr>
        <w:pStyle w:val="BodyText"/>
      </w:pPr>
      <w:bookmarkStart w:id="26" w:name="_Ref321224776"/>
      <w:bookmarkStart w:id="27" w:name="_Toc228588279"/>
      <w:bookmarkStart w:id="28" w:name="_Toc399264987"/>
      <w:r w:rsidRPr="00A40CD0">
        <w:t xml:space="preserve">Figure </w:t>
      </w:r>
      <w:fldSimple w:instr=" SEQ Figure \* ARABIC ">
        <w:r w:rsidR="00B11F3B">
          <w:rPr>
            <w:noProof/>
          </w:rPr>
          <w:t>1</w:t>
        </w:r>
      </w:fldSimple>
      <w:bookmarkEnd w:id="26"/>
      <w:r w:rsidRPr="00A40CD0">
        <w:t>. Linear regression of concurrent in situ CDOM absorption (443 nm) and salinity measurements. Modified from Figure 4 of Schroeder et al.</w:t>
      </w:r>
      <w:r w:rsidRPr="00A40CD0">
        <w:rPr>
          <w:color w:val="000000"/>
        </w:rPr>
        <w:t xml:space="preserve"> </w:t>
      </w:r>
      <w:r w:rsidR="00EA2F38" w:rsidRPr="00A40CD0">
        <w:fldChar w:fldCharType="begin"/>
      </w:r>
      <w:r w:rsidR="00F32695">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F32695">
        <w:rPr>
          <w:noProof/>
        </w:rPr>
        <w:t>(</w:t>
      </w:r>
      <w:hyperlink w:anchor="_ENREF_48" w:tooltip="Schroeder, 2012 #4647" w:history="1">
        <w:r w:rsidR="007B7C47">
          <w:rPr>
            <w:noProof/>
          </w:rPr>
          <w:t>2012</w:t>
        </w:r>
      </w:hyperlink>
      <w:r w:rsidR="00F32695">
        <w:rPr>
          <w:noProof/>
        </w:rPr>
        <w:t>)</w:t>
      </w:r>
      <w:r w:rsidR="00EA2F38" w:rsidRPr="00A40CD0">
        <w:fldChar w:fldCharType="end"/>
      </w:r>
      <w:r w:rsidRPr="00A40CD0">
        <w:t>.</w:t>
      </w:r>
      <w:bookmarkEnd w:id="27"/>
      <w:bookmarkEnd w:id="28"/>
    </w:p>
    <w:p w:rsidR="00B25CAA" w:rsidRPr="00A40CD0" w:rsidRDefault="00B25CAA" w:rsidP="002E0BD6">
      <w:pPr>
        <w:pStyle w:val="BodyText"/>
      </w:pPr>
      <w:r w:rsidRPr="00A40CD0">
        <w:t>Unusually high CDOM absorption was observed from remote sensing by Schroeder et al.</w:t>
      </w:r>
      <w:r w:rsidRPr="00A40CD0">
        <w:rPr>
          <w:color w:val="000000"/>
        </w:rPr>
        <w:t xml:space="preserve"> </w:t>
      </w:r>
      <w:r w:rsidR="00EA2F38" w:rsidRPr="00A40CD0">
        <w:fldChar w:fldCharType="begin"/>
      </w:r>
      <w:r w:rsidR="00F32695">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F32695">
        <w:rPr>
          <w:noProof/>
        </w:rPr>
        <w:t>(</w:t>
      </w:r>
      <w:hyperlink w:anchor="_ENREF_48" w:tooltip="Schroeder, 2012 #4647" w:history="1">
        <w:r w:rsidR="007B7C47">
          <w:rPr>
            <w:noProof/>
          </w:rPr>
          <w:t>2012</w:t>
        </w:r>
      </w:hyperlink>
      <w:r w:rsidR="00F32695">
        <w:rPr>
          <w:noProof/>
        </w:rPr>
        <w:t>)</w:t>
      </w:r>
      <w:r w:rsidR="00EA2F38" w:rsidRPr="00A40CD0">
        <w:fldChar w:fldCharType="end"/>
      </w:r>
      <w:r w:rsidRPr="00A40CD0">
        <w:t xml:space="preserve"> for the mid and outer shelf reefs of the Mackay and Fitzroy NRM regions, which are not directly influenced by flood waters. In these regions remotely-sensed CDOM absorption was observed to vary between 0.15 and 0.2 m</w:t>
      </w:r>
      <w:r w:rsidRPr="00A40CD0">
        <w:rPr>
          <w:vertAlign w:val="superscript"/>
        </w:rPr>
        <w:t>-1</w:t>
      </w:r>
      <w:r w:rsidRPr="00A40CD0">
        <w:t xml:space="preserve"> at 443 nm and further </w:t>
      </w:r>
      <w:r w:rsidRPr="00A40CD0">
        <w:rPr>
          <w:i/>
        </w:rPr>
        <w:t>in-situ</w:t>
      </w:r>
      <w:r w:rsidRPr="00A40CD0">
        <w:t xml:space="preserve"> measurements are needed to understand these high values in off-shore waters. The conservative CDOM threshold for freshwater </w:t>
      </w:r>
      <w:r w:rsidR="00A40CD0" w:rsidRPr="00A40CD0">
        <w:t>mapping (</w:t>
      </w:r>
      <w:r w:rsidRPr="00A40CD0">
        <w:t>0.24 m</w:t>
      </w:r>
      <w:r w:rsidRPr="00A40CD0">
        <w:rPr>
          <w:vertAlign w:val="superscript"/>
        </w:rPr>
        <w:t>-1</w:t>
      </w:r>
      <w:r w:rsidRPr="00A40CD0">
        <w:t xml:space="preserve"> </w:t>
      </w:r>
      <w:r w:rsidRPr="00A40CD0">
        <w:sym w:font="Symbol" w:char="F0DB"/>
      </w:r>
      <w:r w:rsidRPr="00A40CD0">
        <w:t xml:space="preserve"> 30</w:t>
      </w:r>
      <w:r w:rsidRPr="00A40CD0">
        <w:rPr>
          <w:rFonts w:cs="Times"/>
        </w:rPr>
        <w:t>±</w:t>
      </w:r>
      <w:r w:rsidRPr="00A40CD0">
        <w:t>4 salinity) enables to separate the autochthonous reef matrix CDOM production from the estimate of freshwater plume extent for the wet season.</w:t>
      </w:r>
    </w:p>
    <w:p w:rsidR="00B25CAA" w:rsidRPr="00A40CD0" w:rsidRDefault="00B25CAA" w:rsidP="002E0BD6">
      <w:pPr>
        <w:pStyle w:val="BodyText"/>
      </w:pPr>
      <w:r w:rsidRPr="00A40CD0">
        <w:t>Shallow coastal embayment, where turbidity is dominated by tidal resuspension of bottom sediments composed of terrigenous mud in the near-shore areas are also regions where CDOM may not be attributed solely to terrestrial runoff. The freshwater extents estimated for these regions are potentially overestimated if no rivers em</w:t>
      </w:r>
      <w:r w:rsidR="00A40CD0">
        <w:t>pty directly into these embaym</w:t>
      </w:r>
      <w:r w:rsidRPr="00A40CD0">
        <w:t xml:space="preserve">ents, e.g. Broad Sound. For this region an along-shore transport of northward directed freshwater from the Fitzroy River is observed in years of high discharge only </w:t>
      </w:r>
      <w:r w:rsidR="00EA2F38" w:rsidRPr="00A40CD0">
        <w:fldChar w:fldCharType="begin"/>
      </w:r>
      <w:r w:rsidR="00AC2F22">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AC2F22">
        <w:rPr>
          <w:noProof/>
        </w:rPr>
        <w:t>(</w:t>
      </w:r>
      <w:hyperlink w:anchor="_ENREF_48" w:tooltip="Schroeder, 2012 #4647" w:history="1">
        <w:r w:rsidR="007B7C47">
          <w:rPr>
            <w:noProof/>
          </w:rPr>
          <w:t>Schroeder et al. 2012</w:t>
        </w:r>
      </w:hyperlink>
      <w:r w:rsidR="00AC2F22">
        <w:rPr>
          <w:noProof/>
        </w:rPr>
        <w:t>)</w:t>
      </w:r>
      <w:r w:rsidR="00EA2F38" w:rsidRPr="00A40CD0">
        <w:fldChar w:fldCharType="end"/>
      </w:r>
      <w:r w:rsidRPr="00A40CD0">
        <w:t>.</w:t>
      </w:r>
    </w:p>
    <w:p w:rsidR="009202A6" w:rsidRPr="007E294B" w:rsidRDefault="00B25CAA" w:rsidP="007E294B">
      <w:pPr>
        <w:pStyle w:val="Heading3"/>
      </w:pPr>
      <w:bookmarkStart w:id="29" w:name="_Toc228588165"/>
      <w:bookmarkStart w:id="30" w:name="_Toc399264879"/>
      <w:r w:rsidRPr="007E294B">
        <w:t>Evaluation of compliance to guidelines</w:t>
      </w:r>
      <w:bookmarkEnd w:id="29"/>
      <w:bookmarkEnd w:id="30"/>
    </w:p>
    <w:p w:rsidR="00B25CAA" w:rsidRPr="00A40CD0" w:rsidRDefault="00B25CAA" w:rsidP="002E0BD6">
      <w:pPr>
        <w:pStyle w:val="BodyText"/>
      </w:pPr>
      <w:r w:rsidRPr="00A40CD0">
        <w:t>In addition to the median concentration maps, the exceedance of water quality guidelines was assessed for CHL and TSS retrieved from MODIS Aqua imagery using CSIRO’s algorithm. The exceedance could also be evaluat</w:t>
      </w:r>
      <w:r w:rsidR="006B7D9F">
        <w:t xml:space="preserve">ed for the </w:t>
      </w:r>
      <w:r w:rsidR="00B74D25">
        <w:t xml:space="preserve">recently published </w:t>
      </w:r>
      <w:r w:rsidR="00161749">
        <w:t xml:space="preserve">regional </w:t>
      </w:r>
      <w:r w:rsidR="006B7D9F">
        <w:t>Secchi Depth algorithm</w:t>
      </w:r>
      <w:r w:rsidR="00B74D25">
        <w:t xml:space="preserve"> based</w:t>
      </w:r>
      <w:r w:rsidR="00B74D25" w:rsidRPr="00A40CD0">
        <w:t xml:space="preserve"> of</w:t>
      </w:r>
      <w:r w:rsidR="00B74D25" w:rsidRPr="00A40CD0">
        <w:rPr>
          <w:i/>
        </w:rPr>
        <w:t xml:space="preserve"> in situ </w:t>
      </w:r>
      <w:r w:rsidR="00B74D25" w:rsidRPr="00A40CD0">
        <w:t xml:space="preserve">data </w:t>
      </w:r>
      <w:r w:rsidR="00B74D25">
        <w:t>collected</w:t>
      </w:r>
      <w:r w:rsidR="00B74D25" w:rsidRPr="00A40CD0">
        <w:t xml:space="preserve"> by AIMS</w:t>
      </w:r>
      <w:r w:rsidR="00EA2F38">
        <w:fldChar w:fldCharType="begin"/>
      </w:r>
      <w:r w:rsidR="007B7C47">
        <w:instrText xml:space="preserve"> ADDIN EN.CITE &lt;EndNote&gt;&lt;Cite&gt;&lt;Author&gt;Weeks&lt;/Author&gt;&lt;Year&gt;2012&lt;/Year&gt;&lt;RecNum&gt;4701&lt;/RecNum&gt;&lt;DisplayText&gt;(Weeks et al. 2012)&lt;/DisplayText&gt;&lt;record&gt;&lt;rec-number&gt;4701&lt;/rec-number&gt;&lt;foreign-keys&gt;&lt;key app="EN" db-id="z0vwsaa0gfvsr1e2sr7p90rtdtevf52r2we9"&gt;4701&lt;/key&gt;&lt;/foreign-keys&gt;&lt;ref-type name="Journal Article"&gt;17&lt;/ref-type&gt;&lt;contributors&gt;&lt;authors&gt;&lt;author&gt;Scarla Weeks&lt;/author&gt;&lt;author&gt;P. Jeremy Werdell&lt;/author&gt;&lt;author&gt;Britta Schaffelke&lt;/author&gt;&lt;author&gt;Marites Canto&lt;/author&gt;&lt;author&gt;Zhongping Lee&lt;/author&gt;&lt;author&gt;John G. Wilding&lt;/author&gt;&lt;author&gt;Gene C. Feldman&lt;/author&gt;&lt;/authors&gt;&lt;/contributors&gt;&lt;titles&gt;&lt;title&gt;Satellite-Derived Photic Depth on the Great Barrier Reef: Spatio-Temporal Patterns of Water Clarity&lt;/title&gt;&lt;secondary-title&gt;Remote Sensing&lt;/secondary-title&gt;&lt;/titles&gt;&lt;periodical&gt;&lt;full-title&gt;Remote Sensing&lt;/full-title&gt;&lt;/periodical&gt;&lt;pages&gt;3781-3795&lt;/pages&gt;&lt;volume&gt;2012&lt;/volume&gt;&lt;dates&gt;&lt;year&gt;2012&lt;/year&gt;&lt;/dates&gt;&lt;urls&gt;&lt;/urls&gt;&lt;electronic-resource-num&gt;doi:10.3390/rs4123781&lt;/electronic-resource-num&gt;&lt;/record&gt;&lt;/Cite&gt;&lt;/EndNote&gt;</w:instrText>
      </w:r>
      <w:r w:rsidR="00EA2F38">
        <w:fldChar w:fldCharType="separate"/>
      </w:r>
      <w:r w:rsidR="007B7C47">
        <w:rPr>
          <w:noProof/>
        </w:rPr>
        <w:t>(</w:t>
      </w:r>
      <w:hyperlink w:anchor="_ENREF_58" w:tooltip="Weeks, 2012 #4701" w:history="1">
        <w:r w:rsidR="007B7C47">
          <w:rPr>
            <w:noProof/>
          </w:rPr>
          <w:t>Weeks et al. 2012</w:t>
        </w:r>
      </w:hyperlink>
      <w:r w:rsidR="007B7C47">
        <w:rPr>
          <w:noProof/>
        </w:rPr>
        <w:t>)</w:t>
      </w:r>
      <w:r w:rsidR="00EA2F38">
        <w:fldChar w:fldCharType="end"/>
      </w:r>
      <w:r w:rsidR="00B74D25">
        <w:t>.</w:t>
      </w:r>
    </w:p>
    <w:p w:rsidR="00B25CAA" w:rsidRPr="00A40CD0" w:rsidRDefault="00B25CAA" w:rsidP="002E0BD6">
      <w:pPr>
        <w:pStyle w:val="BodyText"/>
      </w:pPr>
      <w:r w:rsidRPr="00A40CD0">
        <w:lastRenderedPageBreak/>
        <w:t xml:space="preserve">A set of water quality guideline values and objectives was released in 2009 by federal and state legislation for the GBR, with an effort to avoid inconsistency in the regions of overlap. Version 3 of the Queensland Water Quality Guidelines </w:t>
      </w:r>
      <w:r w:rsidR="00EA2F38" w:rsidRPr="00A40CD0">
        <w:fldChar w:fldCharType="begin"/>
      </w:r>
      <w:r w:rsidR="00F32695">
        <w:instrText xml:space="preserve"> ADDIN EN.CITE &lt;EndNote&gt;&lt;Cite&gt;&lt;Author&gt;DERM&lt;/Author&gt;&lt;Year&gt;2009&lt;/Year&gt;&lt;RecNum&gt;4605&lt;/RecNum&gt;&lt;DisplayText&gt;(DERM 2009)&lt;/DisplayText&gt;&lt;record&gt;&lt;rec-number&gt;4605&lt;/rec-number&gt;&lt;foreign-keys&gt;&lt;key app="EN" db-id="z0vwsaa0gfvsr1e2sr7p90rtdtevf52r2we9"&gt;4605&lt;/key&gt;&lt;/foreign-keys&gt;&lt;ref-type name="Electronic Book"&gt;44&lt;/ref-type&gt;&lt;contributors&gt;&lt;authors&gt;&lt;author&gt;DERM&lt;/author&gt;&lt;/authors&gt;&lt;/contributors&gt;&lt;titles&gt;&lt;title&gt;Queensland Water Quality Guidelines, Version 3&lt;/title&gt;&lt;/titles&gt;&lt;dates&gt;&lt;year&gt;2009&lt;/year&gt;&lt;/dates&gt;&lt;publisher&gt;Department of Environment and Resource Management&lt;/publisher&gt;&lt;isbn&gt;978-0-9806986-0-2&lt;/isbn&gt;&lt;urls&gt;&lt;related-urls&gt;&lt;url&gt;http://www.derm.qld.gov.au/environmental_management/water/queensland_water_quality_guidelines/queensland_water_quality_guidelines_2009.html&lt;/url&gt;&lt;/related-urls&gt;&lt;/urls&gt;&lt;/record&gt;&lt;/Cite&gt;&lt;/EndNote&gt;</w:instrText>
      </w:r>
      <w:r w:rsidR="00EA2F38" w:rsidRPr="00A40CD0">
        <w:fldChar w:fldCharType="separate"/>
      </w:r>
      <w:r w:rsidR="00F32695">
        <w:rPr>
          <w:noProof/>
        </w:rPr>
        <w:t>(</w:t>
      </w:r>
      <w:hyperlink w:anchor="_ENREF_17" w:tooltip="DERM, 2009 #4605" w:history="1">
        <w:r w:rsidR="007B7C47">
          <w:rPr>
            <w:noProof/>
          </w:rPr>
          <w:t>DERM 2009</w:t>
        </w:r>
      </w:hyperlink>
      <w:r w:rsidR="00F32695">
        <w:rPr>
          <w:noProof/>
        </w:rPr>
        <w:t>)</w:t>
      </w:r>
      <w:r w:rsidR="00EA2F38" w:rsidRPr="00A40CD0">
        <w:fldChar w:fldCharType="end"/>
      </w:r>
      <w:r w:rsidRPr="00A40CD0">
        <w:t xml:space="preserve"> was released to promote regionally and locally relevant guideline water quality values for Queensland coastal waters which extend up to 3 nautical miles offshore. Regionally-specific environmental values and objectives have been set in the GBR catchments in the P2R program and in some specific areas through the development of Water Quality Improvement Plans (WQIPs). GBRMPA released the Water Quality Guidelines for the Marine Park (hereafter called the Guidelines) in 2009 and identified five types of water bodies: the Enclosed Coastal waters, the Open Coastal waters, the Midshelf waters, the Offshore waters, and the Coral Sea </w:t>
      </w:r>
      <w:r w:rsidR="00EA2F38" w:rsidRPr="00A40CD0">
        <w:fldChar w:fldCharType="begin"/>
      </w:r>
      <w:r w:rsidR="00F32695">
        <w:instrText xml:space="preserve"> ADDIN EN.CITE &lt;EndNote&gt;&lt;Cite&gt;&lt;Author&gt;GBRMPA&lt;/Author&gt;&lt;Year&gt;2009&lt;/Year&gt;&lt;RecNum&gt;4612&lt;/RecNum&gt;&lt;DisplayText&gt;(GBRMPA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EA2F38" w:rsidRPr="00A40CD0">
        <w:fldChar w:fldCharType="separate"/>
      </w:r>
      <w:r w:rsidR="00F32695">
        <w:rPr>
          <w:noProof/>
        </w:rPr>
        <w:t>(</w:t>
      </w:r>
      <w:hyperlink w:anchor="_ENREF_23" w:tooltip="GBRMPA, 2009 #4612" w:history="1">
        <w:r w:rsidR="007B7C47">
          <w:rPr>
            <w:noProof/>
          </w:rPr>
          <w:t>GBRMPA 2009</w:t>
        </w:r>
      </w:hyperlink>
      <w:r w:rsidR="00F32695">
        <w:rPr>
          <w:noProof/>
        </w:rPr>
        <w:t>)</w:t>
      </w:r>
      <w:r w:rsidR="00EA2F38" w:rsidRPr="00A40CD0">
        <w:fldChar w:fldCharType="end"/>
      </w:r>
      <w:r w:rsidRPr="00A40CD0">
        <w:t xml:space="preserve">. Much of the Great Barrier Reef Marine Park lies beyond Queensland state waters but there is an area of overlap within the </w:t>
      </w:r>
      <w:r w:rsidR="003434D4">
        <w:t>nearshore</w:t>
      </w:r>
      <w:r w:rsidRPr="00A40CD0">
        <w:t xml:space="preserve"> coastal waters for which protocols have been agreed. Namely, Queensland guidelines are to be adopted for all waters inshore of and within the Enclosed Coastal zone. Offshore from the Enclosed Coastal zone and within waters of the GBR Marine Park, the Guidelines will apply, even if the boundary of the Enclosed Coastal zone lies inside the three nautical mile zone </w:t>
      </w:r>
      <w:r w:rsidR="00EA2F38" w:rsidRPr="00A40CD0">
        <w:fldChar w:fldCharType="begin"/>
      </w:r>
      <w:r w:rsidR="00F32695">
        <w:instrText xml:space="preserve"> ADDIN EN.CITE &lt;EndNote&gt;&lt;Cite&gt;&lt;Author&gt;DERM&lt;/Author&gt;&lt;Year&gt;2009&lt;/Year&gt;&lt;RecNum&gt;4605&lt;/RecNum&gt;&lt;DisplayText&gt;(DERM 2009)&lt;/DisplayText&gt;&lt;record&gt;&lt;rec-number&gt;4605&lt;/rec-number&gt;&lt;foreign-keys&gt;&lt;key app="EN" db-id="z0vwsaa0gfvsr1e2sr7p90rtdtevf52r2we9"&gt;4605&lt;/key&gt;&lt;/foreign-keys&gt;&lt;ref-type name="Electronic Book"&gt;44&lt;/ref-type&gt;&lt;contributors&gt;&lt;authors&gt;&lt;author&gt;DERM&lt;/author&gt;&lt;/authors&gt;&lt;/contributors&gt;&lt;titles&gt;&lt;title&gt;Queensland Water Quality Guidelines, Version 3&lt;/title&gt;&lt;/titles&gt;&lt;dates&gt;&lt;year&gt;2009&lt;/year&gt;&lt;/dates&gt;&lt;publisher&gt;Department of Environment and Resource Management&lt;/publisher&gt;&lt;isbn&gt;978-0-9806986-0-2&lt;/isbn&gt;&lt;urls&gt;&lt;related-urls&gt;&lt;url&gt;http://www.derm.qld.gov.au/environmental_management/water/queensland_water_quality_guidelines/queensland_water_quality_guidelines_2009.html&lt;/url&gt;&lt;/related-urls&gt;&lt;/urls&gt;&lt;/record&gt;&lt;/Cite&gt;&lt;/EndNote&gt;</w:instrText>
      </w:r>
      <w:r w:rsidR="00EA2F38" w:rsidRPr="00A40CD0">
        <w:fldChar w:fldCharType="separate"/>
      </w:r>
      <w:r w:rsidR="00F32695">
        <w:rPr>
          <w:noProof/>
        </w:rPr>
        <w:t>(</w:t>
      </w:r>
      <w:hyperlink w:anchor="_ENREF_17" w:tooltip="DERM, 2009 #4605" w:history="1">
        <w:r w:rsidR="007B7C47">
          <w:rPr>
            <w:noProof/>
          </w:rPr>
          <w:t>DERM 2009</w:t>
        </w:r>
      </w:hyperlink>
      <w:r w:rsidR="00F32695">
        <w:rPr>
          <w:noProof/>
        </w:rPr>
        <w:t>)</w:t>
      </w:r>
      <w:r w:rsidR="00EA2F38" w:rsidRPr="00A40CD0">
        <w:fldChar w:fldCharType="end"/>
      </w:r>
      <w:r w:rsidRPr="00A40CD0">
        <w:t>.</w:t>
      </w:r>
    </w:p>
    <w:p w:rsidR="00B25CAA" w:rsidRDefault="00EA2F38" w:rsidP="002E0BD6">
      <w:pPr>
        <w:pStyle w:val="BodyText"/>
      </w:pPr>
      <w:r>
        <w:fldChar w:fldCharType="begin"/>
      </w:r>
      <w:r w:rsidR="00D90A4A">
        <w:instrText xml:space="preserve"> REF _Ref247428722 \h </w:instrText>
      </w:r>
      <w:r>
        <w:fldChar w:fldCharType="separate"/>
      </w:r>
      <w:r w:rsidR="00B11F3B" w:rsidRPr="00A40CD0">
        <w:t xml:space="preserve">Figure </w:t>
      </w:r>
      <w:r w:rsidR="00B11F3B">
        <w:rPr>
          <w:noProof/>
        </w:rPr>
        <w:t>2</w:t>
      </w:r>
      <w:r>
        <w:fldChar w:fldCharType="end"/>
      </w:r>
      <w:r w:rsidR="00B25CAA" w:rsidRPr="00A40CD0">
        <w:t xml:space="preserve"> reports the regional and cross shelf boundaries defined by GBRMPA for the MMP 2008/09 reporting and used for this study. These boundaries were delineated by implementing in a GIS environment the "Approximate water body delineations of the Open Coastal, Midshelf and Offshore marine water bodies in the six NRM regions" </w:t>
      </w:r>
      <w:r w:rsidR="00D71D14">
        <w:t>(</w:t>
      </w:r>
      <w:r>
        <w:fldChar w:fldCharType="begin"/>
      </w:r>
      <w:r w:rsidR="00D71D14">
        <w:instrText xml:space="preserve"> REF _Ref229925322 \h </w:instrText>
      </w:r>
      <w:r>
        <w:fldChar w:fldCharType="separate"/>
      </w:r>
      <w:r w:rsidR="00B11F3B" w:rsidRPr="00A40CD0">
        <w:t xml:space="preserve">Table </w:t>
      </w:r>
      <w:r w:rsidR="00B11F3B">
        <w:rPr>
          <w:noProof/>
        </w:rPr>
        <w:t>2</w:t>
      </w:r>
      <w:r>
        <w:fldChar w:fldCharType="end"/>
      </w:r>
      <w:r w:rsidR="00D71D14">
        <w:t>)</w:t>
      </w:r>
      <w:r w:rsidRPr="00A40CD0">
        <w:fldChar w:fldCharType="begin"/>
      </w:r>
      <w:r w:rsidR="00F32695">
        <w:instrText xml:space="preserve"> ADDIN EN.CITE &lt;EndNote&gt;&lt;Cite&gt;&lt;Author&gt;GBRMPA&lt;/Author&gt;&lt;Year&gt;2009&lt;/Year&gt;&lt;RecNum&gt;4612&lt;/RecNum&gt;&lt;Prefix&gt;Table 1`, &lt;/Prefix&gt;&lt;DisplayText&gt;(Table 1,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Pr="00A40CD0">
        <w:fldChar w:fldCharType="separate"/>
      </w:r>
      <w:r w:rsidR="00F32695">
        <w:rPr>
          <w:noProof/>
        </w:rPr>
        <w:t>(</w:t>
      </w:r>
      <w:hyperlink w:anchor="_ENREF_23" w:tooltip="GBRMPA, 2009 #4612" w:history="1">
        <w:r w:rsidR="007B7C47">
          <w:rPr>
            <w:noProof/>
          </w:rPr>
          <w:t>Table 1, GBRMPA 2009</w:t>
        </w:r>
      </w:hyperlink>
      <w:r w:rsidR="00F32695">
        <w:rPr>
          <w:noProof/>
        </w:rPr>
        <w:t>)</w:t>
      </w:r>
      <w:r w:rsidRPr="00A40CD0">
        <w:fldChar w:fldCharType="end"/>
      </w:r>
      <w:r w:rsidR="00B25CAA" w:rsidRPr="00A40CD0">
        <w:t xml:space="preserve">. </w:t>
      </w:r>
      <w:r w:rsidR="00D71D14">
        <w:t>The water bodies vary in width from n</w:t>
      </w:r>
      <w:r w:rsidR="008C1DB8">
        <w:t>orth to South in the GBRWHA, as</w:t>
      </w:r>
      <w:r w:rsidR="00D71D14">
        <w:t xml:space="preserve"> the outer boundary of the water  bodies was defined as function of the </w:t>
      </w:r>
      <w:r w:rsidR="00D71D14" w:rsidRPr="00D71D14">
        <w:t>relative distance across the shelf boundaries</w:t>
      </w:r>
      <w:r w:rsidR="00D71D14">
        <w:t xml:space="preserve"> for each NRM region. </w:t>
      </w:r>
      <w:r w:rsidR="003552C5">
        <w:t>The figure also includes t</w:t>
      </w:r>
      <w:r w:rsidR="00B25CAA" w:rsidRPr="00A40CD0">
        <w:t xml:space="preserve">he </w:t>
      </w:r>
      <w:r w:rsidR="008C1DB8">
        <w:t xml:space="preserve">proposed </w:t>
      </w:r>
      <w:r w:rsidR="003552C5">
        <w:t xml:space="preserve">delineation of the </w:t>
      </w:r>
      <w:r w:rsidR="00B25CAA" w:rsidRPr="00A40CD0">
        <w:t>Enclosed Coas</w:t>
      </w:r>
      <w:r w:rsidR="00F85681">
        <w:t xml:space="preserve">tal waters </w:t>
      </w:r>
      <w:r w:rsidR="003552C5">
        <w:t>derived for GBRMPA based on a statistical analysis of a decade of satellite data. More details on the methods are provided in Section 3 of this report.</w:t>
      </w:r>
    </w:p>
    <w:p w:rsidR="001070A7" w:rsidRDefault="001070A7" w:rsidP="002E0BD6">
      <w:pPr>
        <w:pStyle w:val="BodyText"/>
      </w:pPr>
      <w:r w:rsidRPr="00A40CD0">
        <w:t xml:space="preserve">The methods used in this study to evaluate compliance were originally developed to provide a demonstration of the use of remotely-sensed data in the assessment of exceedance of the Guidelines </w:t>
      </w:r>
      <w:r w:rsidR="00EA2F38" w:rsidRPr="00A40CD0">
        <w:fldChar w:fldCharType="begin"/>
      </w:r>
      <w:r w:rsidR="00AC2F22">
        <w:instrText xml:space="preserve"> ADDIN EN.CITE &lt;EndNote&gt;&lt;Cite&gt;&lt;Author&gt;Brando&lt;/Author&gt;&lt;Year&gt;2010&lt;/Year&gt;&lt;RecNum&gt;4582&lt;/RecNum&gt;&lt;DisplayText&gt;(Brando et al. 2010)&lt;/DisplayText&gt;&lt;record&gt;&lt;rec-number&gt;4582&lt;/rec-number&gt;&lt;foreign-keys&gt;&lt;key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2" w:tooltip="Brando, 2010 #4582" w:history="1">
        <w:r w:rsidR="007B7C47">
          <w:rPr>
            <w:noProof/>
          </w:rPr>
          <w:t>Brando et al. 2010</w:t>
        </w:r>
      </w:hyperlink>
      <w:r w:rsidR="00AC2F22">
        <w:rPr>
          <w:noProof/>
        </w:rPr>
        <w:t>)</w:t>
      </w:r>
      <w:r w:rsidR="00EA2F38" w:rsidRPr="00A40CD0">
        <w:fldChar w:fldCharType="end"/>
      </w:r>
      <w:r w:rsidRPr="00A40CD0">
        <w:t xml:space="preserve">. These methods were then implemented in the 2008/09 and 2009/10 MMP reports </w:t>
      </w:r>
      <w:r w:rsidR="00EA2F38" w:rsidRPr="00A40CD0">
        <w:fldChar w:fldCharType="begin"/>
      </w:r>
      <w:r w:rsidR="00AC2F22">
        <w:instrText xml:space="preserve"> ADDIN EN.CITE &lt;EndNote&gt;&lt;Cite&gt;&lt;Author&gt;Brando&lt;/Author&gt;&lt;Year&gt;2010&lt;/Year&gt;&lt;RecNum&gt;4579&lt;/RecNum&gt;&lt;DisplayText&gt;(Brando et al. 2010,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Water&lt;/publisher&gt;&lt;urls&gt;&lt;/urls&gt;&lt;/record&gt;&lt;/Cite&gt;&lt;Cite&gt;&lt;Author&gt;Brando&lt;/Author&gt;&lt;Year&gt;2010&lt;/Year&gt;&lt;RecNum&gt;4646&lt;/RecNum&gt;&lt;record&gt;&lt;rec-number&gt;4646&lt;/rec-number&gt;&lt;foreign-keys&gt;&lt;key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10" w:tooltip="Brando, 2010 #4579" w:history="1">
        <w:r w:rsidR="007B7C47">
          <w:rPr>
            <w:noProof/>
          </w:rPr>
          <w:t>Brando et al. 2010</w:t>
        </w:r>
      </w:hyperlink>
      <w:r w:rsidR="00AC2F22">
        <w:rPr>
          <w:noProof/>
        </w:rPr>
        <w:t xml:space="preserve">, </w:t>
      </w:r>
      <w:hyperlink w:anchor="_ENREF_11" w:tooltip="Brando, 2010 #4646" w:history="1">
        <w:r w:rsidR="007B7C47">
          <w:rPr>
            <w:noProof/>
          </w:rPr>
          <w:t>Brando et al. 2010</w:t>
        </w:r>
      </w:hyperlink>
      <w:r w:rsidR="00AC2F22">
        <w:rPr>
          <w:noProof/>
        </w:rPr>
        <w:t>)</w:t>
      </w:r>
      <w:r w:rsidR="00EA2F38" w:rsidRPr="00A40CD0">
        <w:fldChar w:fldCharType="end"/>
      </w:r>
      <w:r w:rsidRPr="00A40CD0">
        <w:t xml:space="preserve"> to contribute to the indicators and metrics for the P2R reporting for marine water quality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Pr="00A40CD0">
        <w:t>.</w:t>
      </w:r>
    </w:p>
    <w:p w:rsidR="00C6119D" w:rsidRDefault="00C6119D" w:rsidP="001070A7">
      <w:pPr>
        <w:pStyle w:val="Caption"/>
      </w:pPr>
      <w:bookmarkStart w:id="31" w:name="_Ref229925322"/>
      <w:bookmarkStart w:id="32" w:name="_Toc399264931"/>
      <w:r w:rsidRPr="00A40CD0">
        <w:t xml:space="preserve">Table </w:t>
      </w:r>
      <w:fldSimple w:instr=" SEQ Table \* ARABIC ">
        <w:r w:rsidR="00B11F3B">
          <w:rPr>
            <w:noProof/>
          </w:rPr>
          <w:t>2</w:t>
        </w:r>
      </w:fldSimple>
      <w:bookmarkEnd w:id="31"/>
      <w:r w:rsidRPr="00A40CD0">
        <w:t xml:space="preserve"> Approximate </w:t>
      </w:r>
      <w:r>
        <w:t xml:space="preserve">distance from shore for the outer boundary </w:t>
      </w:r>
      <w:r w:rsidRPr="00A40CD0">
        <w:t>of the Open Coastal, Midshelf and Offshore marine water bodies in the six NRM regions</w:t>
      </w:r>
      <w:r>
        <w:t xml:space="preserve"> </w:t>
      </w:r>
      <w:r w:rsidRPr="00A40CD0">
        <w:t>from the Great Barrier Reef Marine Park Auth</w:t>
      </w:r>
      <w:r>
        <w:t xml:space="preserve">ority Water Quality Guidelines </w:t>
      </w:r>
      <w:r w:rsidR="00EA2F38" w:rsidRPr="00A40CD0">
        <w:fldChar w:fldCharType="begin"/>
      </w:r>
      <w:r w:rsidR="00F32695">
        <w:instrText xml:space="preserve"> ADDIN EN.CITE &lt;EndNote&gt;&lt;Cite&gt;&lt;Author&gt;GBRMPA&lt;/Author&gt;&lt;Year&gt;2009&lt;/Year&gt;&lt;RecNum&gt;4612&lt;/RecNum&gt;&lt;Prefix&gt;Table 1 at page 12 of &lt;/Prefix&gt;&lt;DisplayText&gt;(Table 1 at page 12 of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EA2F38" w:rsidRPr="00A40CD0">
        <w:fldChar w:fldCharType="separate"/>
      </w:r>
      <w:r w:rsidR="00F32695">
        <w:rPr>
          <w:noProof/>
        </w:rPr>
        <w:t>(</w:t>
      </w:r>
      <w:hyperlink w:anchor="_ENREF_23" w:tooltip="GBRMPA, 2009 #4612" w:history="1">
        <w:r w:rsidR="007B7C47">
          <w:rPr>
            <w:noProof/>
          </w:rPr>
          <w:t>Table 1 at page 12 of GBRMPA 2009</w:t>
        </w:r>
      </w:hyperlink>
      <w:r w:rsidR="00F32695">
        <w:rPr>
          <w:noProof/>
        </w:rPr>
        <w:t>)</w:t>
      </w:r>
      <w:r w:rsidR="00EA2F38" w:rsidRPr="00A40CD0">
        <w:fldChar w:fldCharType="end"/>
      </w:r>
      <w:r>
        <w:t>.</w:t>
      </w:r>
      <w:bookmarkEnd w:id="32"/>
    </w:p>
    <w:tbl>
      <w:tblPr>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3088"/>
        <w:gridCol w:w="2269"/>
        <w:gridCol w:w="1699"/>
        <w:gridCol w:w="2230"/>
      </w:tblGrid>
      <w:tr w:rsidR="001070A7" w:rsidRPr="001070A7" w:rsidTr="001070A7">
        <w:trPr>
          <w:jc w:val="center"/>
        </w:trPr>
        <w:tc>
          <w:tcPr>
            <w:tcW w:w="1662" w:type="pct"/>
            <w:shd w:val="clear" w:color="auto" w:fill="E0E0E0"/>
            <w:vAlign w:val="center"/>
          </w:tcPr>
          <w:p w:rsidR="00C6119D" w:rsidRPr="001070A7" w:rsidRDefault="00C6119D" w:rsidP="002E0BD6">
            <w:pPr>
              <w:pStyle w:val="BodyText"/>
            </w:pPr>
            <w:r w:rsidRPr="001070A7">
              <w:rPr>
                <w:lang w:val="en-US"/>
              </w:rPr>
              <w:t>NRM region</w:t>
            </w:r>
          </w:p>
        </w:tc>
        <w:tc>
          <w:tcPr>
            <w:tcW w:w="1222" w:type="pct"/>
            <w:shd w:val="clear" w:color="auto" w:fill="E0E0E0"/>
            <w:vAlign w:val="center"/>
          </w:tcPr>
          <w:p w:rsidR="00C6119D" w:rsidRPr="001070A7" w:rsidRDefault="00C6119D" w:rsidP="002E0BD6">
            <w:pPr>
              <w:pStyle w:val="BodyText"/>
            </w:pPr>
            <w:r w:rsidRPr="001070A7">
              <w:t>Open Coastal (km)</w:t>
            </w:r>
          </w:p>
        </w:tc>
        <w:tc>
          <w:tcPr>
            <w:tcW w:w="915" w:type="pct"/>
            <w:shd w:val="clear" w:color="auto" w:fill="E0E0E0"/>
            <w:vAlign w:val="center"/>
          </w:tcPr>
          <w:p w:rsidR="00C6119D" w:rsidRPr="001070A7" w:rsidRDefault="00C6119D" w:rsidP="002E0BD6">
            <w:pPr>
              <w:pStyle w:val="BodyText"/>
            </w:pPr>
            <w:r w:rsidRPr="001070A7">
              <w:t>Midshelf (km)</w:t>
            </w:r>
          </w:p>
        </w:tc>
        <w:tc>
          <w:tcPr>
            <w:tcW w:w="1202" w:type="pct"/>
            <w:shd w:val="clear" w:color="auto" w:fill="E0E0E0"/>
            <w:vAlign w:val="center"/>
          </w:tcPr>
          <w:p w:rsidR="00C6119D" w:rsidRPr="001070A7" w:rsidRDefault="00C6119D" w:rsidP="002E0BD6">
            <w:pPr>
              <w:pStyle w:val="BodyText"/>
            </w:pPr>
            <w:r w:rsidRPr="001070A7">
              <w:t>Offshore (km)</w:t>
            </w:r>
          </w:p>
        </w:tc>
      </w:tr>
      <w:tr w:rsidR="001070A7" w:rsidRPr="001070A7" w:rsidTr="001070A7">
        <w:trPr>
          <w:jc w:val="center"/>
        </w:trPr>
        <w:tc>
          <w:tcPr>
            <w:tcW w:w="1662" w:type="pct"/>
            <w:vAlign w:val="center"/>
          </w:tcPr>
          <w:p w:rsidR="00C6119D" w:rsidRPr="001070A7" w:rsidRDefault="00C6119D" w:rsidP="002E0BD6">
            <w:pPr>
              <w:pStyle w:val="BodyText"/>
            </w:pPr>
            <w:r w:rsidRPr="001070A7">
              <w:rPr>
                <w:lang w:val="en-US"/>
              </w:rPr>
              <w:t>Cape York</w:t>
            </w:r>
          </w:p>
        </w:tc>
        <w:tc>
          <w:tcPr>
            <w:tcW w:w="1222" w:type="pct"/>
            <w:vAlign w:val="center"/>
          </w:tcPr>
          <w:p w:rsidR="00C6119D" w:rsidRPr="001070A7" w:rsidRDefault="00C6119D" w:rsidP="002E0BD6">
            <w:pPr>
              <w:pStyle w:val="BodyText"/>
            </w:pPr>
            <w:r w:rsidRPr="001070A7">
              <w:rPr>
                <w:lang w:val="en-US"/>
              </w:rPr>
              <w:t>6</w:t>
            </w:r>
          </w:p>
        </w:tc>
        <w:tc>
          <w:tcPr>
            <w:tcW w:w="915" w:type="pct"/>
            <w:vAlign w:val="center"/>
          </w:tcPr>
          <w:p w:rsidR="00C6119D" w:rsidRPr="001070A7" w:rsidRDefault="00C6119D" w:rsidP="002E0BD6">
            <w:pPr>
              <w:pStyle w:val="BodyText"/>
            </w:pPr>
            <w:r w:rsidRPr="001070A7">
              <w:rPr>
                <w:lang w:val="en-US"/>
              </w:rPr>
              <w:t>24</w:t>
            </w:r>
          </w:p>
        </w:tc>
        <w:tc>
          <w:tcPr>
            <w:tcW w:w="1202" w:type="pct"/>
            <w:vAlign w:val="center"/>
          </w:tcPr>
          <w:p w:rsidR="00C6119D" w:rsidRPr="001070A7" w:rsidRDefault="00C6119D" w:rsidP="002E0BD6">
            <w:pPr>
              <w:pStyle w:val="BodyText"/>
            </w:pPr>
            <w:r w:rsidRPr="001070A7">
              <w:rPr>
                <w:lang w:val="en-US"/>
              </w:rPr>
              <w:t>250</w:t>
            </w:r>
          </w:p>
        </w:tc>
      </w:tr>
      <w:tr w:rsidR="001070A7" w:rsidRPr="001070A7" w:rsidTr="001070A7">
        <w:trPr>
          <w:jc w:val="center"/>
        </w:trPr>
        <w:tc>
          <w:tcPr>
            <w:tcW w:w="1662" w:type="pct"/>
            <w:vAlign w:val="center"/>
          </w:tcPr>
          <w:p w:rsidR="001070A7" w:rsidRPr="001070A7" w:rsidRDefault="001070A7" w:rsidP="002E0BD6">
            <w:pPr>
              <w:pStyle w:val="BodyText"/>
            </w:pPr>
            <w:r w:rsidRPr="001070A7">
              <w:rPr>
                <w:lang w:val="en-US"/>
              </w:rPr>
              <w:t>Wet Tropics</w:t>
            </w:r>
          </w:p>
        </w:tc>
        <w:tc>
          <w:tcPr>
            <w:tcW w:w="1222" w:type="pct"/>
            <w:vAlign w:val="center"/>
          </w:tcPr>
          <w:p w:rsidR="001070A7" w:rsidRPr="001070A7" w:rsidRDefault="001070A7" w:rsidP="002E0BD6">
            <w:pPr>
              <w:pStyle w:val="BodyText"/>
            </w:pPr>
            <w:r w:rsidRPr="001070A7">
              <w:rPr>
                <w:lang w:val="en-US"/>
              </w:rPr>
              <w:t>6</w:t>
            </w:r>
          </w:p>
        </w:tc>
        <w:tc>
          <w:tcPr>
            <w:tcW w:w="915" w:type="pct"/>
            <w:vAlign w:val="center"/>
          </w:tcPr>
          <w:p w:rsidR="001070A7" w:rsidRPr="001070A7" w:rsidRDefault="001070A7" w:rsidP="002E0BD6">
            <w:pPr>
              <w:pStyle w:val="BodyText"/>
            </w:pPr>
            <w:r w:rsidRPr="001070A7">
              <w:rPr>
                <w:lang w:val="en-US"/>
              </w:rPr>
              <w:t>24</w:t>
            </w:r>
          </w:p>
        </w:tc>
        <w:tc>
          <w:tcPr>
            <w:tcW w:w="1202" w:type="pct"/>
            <w:vAlign w:val="center"/>
          </w:tcPr>
          <w:p w:rsidR="001070A7" w:rsidRPr="001070A7" w:rsidRDefault="001070A7" w:rsidP="002E0BD6">
            <w:pPr>
              <w:pStyle w:val="BodyText"/>
            </w:pPr>
            <w:r w:rsidRPr="001070A7">
              <w:rPr>
                <w:lang w:val="en-US"/>
              </w:rPr>
              <w:t>170</w:t>
            </w:r>
          </w:p>
        </w:tc>
      </w:tr>
      <w:tr w:rsidR="001070A7" w:rsidRPr="001070A7" w:rsidTr="001070A7">
        <w:trPr>
          <w:jc w:val="center"/>
        </w:trPr>
        <w:tc>
          <w:tcPr>
            <w:tcW w:w="1662" w:type="pct"/>
            <w:vAlign w:val="center"/>
          </w:tcPr>
          <w:p w:rsidR="00C6119D" w:rsidRPr="001070A7" w:rsidRDefault="00C6119D" w:rsidP="002E0BD6">
            <w:pPr>
              <w:pStyle w:val="BodyText"/>
            </w:pPr>
            <w:r w:rsidRPr="001070A7">
              <w:rPr>
                <w:lang w:val="en-US"/>
              </w:rPr>
              <w:t>Burdekin</w:t>
            </w:r>
          </w:p>
        </w:tc>
        <w:tc>
          <w:tcPr>
            <w:tcW w:w="1222" w:type="pct"/>
            <w:vAlign w:val="center"/>
          </w:tcPr>
          <w:p w:rsidR="00C6119D" w:rsidRPr="001070A7" w:rsidRDefault="00C6119D" w:rsidP="002E0BD6">
            <w:pPr>
              <w:pStyle w:val="BodyText"/>
            </w:pPr>
            <w:r w:rsidRPr="001070A7">
              <w:rPr>
                <w:lang w:val="en-US"/>
              </w:rPr>
              <w:t>12</w:t>
            </w:r>
          </w:p>
        </w:tc>
        <w:tc>
          <w:tcPr>
            <w:tcW w:w="915" w:type="pct"/>
            <w:vAlign w:val="center"/>
          </w:tcPr>
          <w:p w:rsidR="00C6119D" w:rsidRPr="001070A7" w:rsidRDefault="00C6119D" w:rsidP="002E0BD6">
            <w:pPr>
              <w:pStyle w:val="BodyText"/>
            </w:pPr>
            <w:r w:rsidRPr="001070A7">
              <w:rPr>
                <w:lang w:val="en-US"/>
              </w:rPr>
              <w:t>48</w:t>
            </w:r>
          </w:p>
        </w:tc>
        <w:tc>
          <w:tcPr>
            <w:tcW w:w="1202" w:type="pct"/>
            <w:vAlign w:val="center"/>
          </w:tcPr>
          <w:p w:rsidR="00C6119D" w:rsidRPr="001070A7" w:rsidRDefault="00C6119D" w:rsidP="002E0BD6">
            <w:pPr>
              <w:pStyle w:val="BodyText"/>
            </w:pPr>
            <w:r w:rsidRPr="001070A7">
              <w:rPr>
                <w:lang w:val="en-US"/>
              </w:rPr>
              <w:t>180</w:t>
            </w:r>
          </w:p>
        </w:tc>
      </w:tr>
      <w:tr w:rsidR="001070A7" w:rsidRPr="001070A7" w:rsidTr="001070A7">
        <w:trPr>
          <w:jc w:val="center"/>
        </w:trPr>
        <w:tc>
          <w:tcPr>
            <w:tcW w:w="1662" w:type="pct"/>
            <w:vAlign w:val="center"/>
          </w:tcPr>
          <w:p w:rsidR="00C6119D" w:rsidRPr="001070A7" w:rsidRDefault="00C6119D" w:rsidP="002E0BD6">
            <w:pPr>
              <w:pStyle w:val="BodyText"/>
            </w:pPr>
            <w:r w:rsidRPr="001070A7">
              <w:rPr>
                <w:lang w:val="en-US"/>
              </w:rPr>
              <w:t>Mackay-Whitsunday</w:t>
            </w:r>
          </w:p>
        </w:tc>
        <w:tc>
          <w:tcPr>
            <w:tcW w:w="1222" w:type="pct"/>
            <w:vAlign w:val="center"/>
          </w:tcPr>
          <w:p w:rsidR="00C6119D" w:rsidRPr="001070A7" w:rsidRDefault="00C6119D" w:rsidP="002E0BD6">
            <w:pPr>
              <w:pStyle w:val="BodyText"/>
            </w:pPr>
            <w:r w:rsidRPr="001070A7">
              <w:rPr>
                <w:lang w:val="en-US"/>
              </w:rPr>
              <w:t>15</w:t>
            </w:r>
          </w:p>
        </w:tc>
        <w:tc>
          <w:tcPr>
            <w:tcW w:w="915" w:type="pct"/>
            <w:vAlign w:val="center"/>
          </w:tcPr>
          <w:p w:rsidR="00C6119D" w:rsidRPr="001070A7" w:rsidRDefault="00C6119D" w:rsidP="002E0BD6">
            <w:pPr>
              <w:pStyle w:val="BodyText"/>
            </w:pPr>
            <w:r w:rsidRPr="001070A7">
              <w:rPr>
                <w:lang w:val="en-US"/>
              </w:rPr>
              <w:t>60</w:t>
            </w:r>
          </w:p>
        </w:tc>
        <w:tc>
          <w:tcPr>
            <w:tcW w:w="1202" w:type="pct"/>
            <w:vAlign w:val="center"/>
          </w:tcPr>
          <w:p w:rsidR="00C6119D" w:rsidRPr="001070A7" w:rsidRDefault="00C6119D" w:rsidP="002E0BD6">
            <w:pPr>
              <w:pStyle w:val="BodyText"/>
            </w:pPr>
            <w:r w:rsidRPr="001070A7">
              <w:rPr>
                <w:lang w:val="en-US"/>
              </w:rPr>
              <w:t>280</w:t>
            </w:r>
          </w:p>
        </w:tc>
      </w:tr>
      <w:tr w:rsidR="001070A7" w:rsidRPr="001070A7" w:rsidTr="001070A7">
        <w:trPr>
          <w:jc w:val="center"/>
        </w:trPr>
        <w:tc>
          <w:tcPr>
            <w:tcW w:w="1662" w:type="pct"/>
            <w:vAlign w:val="center"/>
          </w:tcPr>
          <w:p w:rsidR="00C6119D" w:rsidRPr="001070A7" w:rsidRDefault="00C6119D" w:rsidP="002E0BD6">
            <w:pPr>
              <w:pStyle w:val="BodyText"/>
            </w:pPr>
            <w:r w:rsidRPr="001070A7">
              <w:rPr>
                <w:lang w:val="en-US"/>
              </w:rPr>
              <w:t>Fitzroy</w:t>
            </w:r>
          </w:p>
        </w:tc>
        <w:tc>
          <w:tcPr>
            <w:tcW w:w="1222" w:type="pct"/>
            <w:vAlign w:val="center"/>
          </w:tcPr>
          <w:p w:rsidR="00C6119D" w:rsidRPr="001070A7" w:rsidRDefault="00C6119D" w:rsidP="002E0BD6">
            <w:pPr>
              <w:pStyle w:val="BodyText"/>
            </w:pPr>
            <w:r w:rsidRPr="001070A7">
              <w:t>20</w:t>
            </w:r>
          </w:p>
        </w:tc>
        <w:tc>
          <w:tcPr>
            <w:tcW w:w="915" w:type="pct"/>
            <w:vAlign w:val="center"/>
          </w:tcPr>
          <w:p w:rsidR="00C6119D" w:rsidRPr="001070A7" w:rsidRDefault="00C6119D" w:rsidP="002E0BD6">
            <w:pPr>
              <w:pStyle w:val="BodyText"/>
            </w:pPr>
            <w:r w:rsidRPr="001070A7">
              <w:t>80</w:t>
            </w:r>
          </w:p>
        </w:tc>
        <w:tc>
          <w:tcPr>
            <w:tcW w:w="1202" w:type="pct"/>
            <w:vAlign w:val="center"/>
          </w:tcPr>
          <w:p w:rsidR="00C6119D" w:rsidRPr="001070A7" w:rsidRDefault="00C6119D" w:rsidP="002E0BD6">
            <w:pPr>
              <w:pStyle w:val="BodyText"/>
            </w:pPr>
            <w:r w:rsidRPr="001070A7">
              <w:t>340</w:t>
            </w:r>
          </w:p>
        </w:tc>
      </w:tr>
      <w:tr w:rsidR="001070A7" w:rsidRPr="001070A7" w:rsidTr="001070A7">
        <w:trPr>
          <w:jc w:val="center"/>
        </w:trPr>
        <w:tc>
          <w:tcPr>
            <w:tcW w:w="1662" w:type="pct"/>
            <w:vAlign w:val="center"/>
          </w:tcPr>
          <w:p w:rsidR="00C6119D" w:rsidRPr="001070A7" w:rsidRDefault="00C6119D" w:rsidP="002E0BD6">
            <w:pPr>
              <w:pStyle w:val="BodyText"/>
            </w:pPr>
            <w:r w:rsidRPr="001070A7">
              <w:rPr>
                <w:lang w:val="en-US"/>
              </w:rPr>
              <w:t>Burnett-Mary</w:t>
            </w:r>
          </w:p>
        </w:tc>
        <w:tc>
          <w:tcPr>
            <w:tcW w:w="1222" w:type="pct"/>
            <w:vAlign w:val="center"/>
          </w:tcPr>
          <w:p w:rsidR="00C6119D" w:rsidRPr="001070A7" w:rsidRDefault="00C6119D" w:rsidP="002E0BD6">
            <w:pPr>
              <w:pStyle w:val="BodyText"/>
            </w:pPr>
            <w:r w:rsidRPr="001070A7">
              <w:rPr>
                <w:lang w:val="en-US"/>
              </w:rPr>
              <w:t>7</w:t>
            </w:r>
          </w:p>
        </w:tc>
        <w:tc>
          <w:tcPr>
            <w:tcW w:w="915" w:type="pct"/>
            <w:vAlign w:val="center"/>
          </w:tcPr>
          <w:p w:rsidR="00C6119D" w:rsidRPr="001070A7" w:rsidRDefault="00C6119D" w:rsidP="002E0BD6">
            <w:pPr>
              <w:pStyle w:val="BodyText"/>
            </w:pPr>
            <w:r w:rsidRPr="001070A7">
              <w:rPr>
                <w:lang w:val="en-US"/>
              </w:rPr>
              <w:t>28</w:t>
            </w:r>
          </w:p>
        </w:tc>
        <w:tc>
          <w:tcPr>
            <w:tcW w:w="1202" w:type="pct"/>
            <w:vAlign w:val="center"/>
          </w:tcPr>
          <w:p w:rsidR="00C6119D" w:rsidRPr="001070A7" w:rsidRDefault="00C6119D" w:rsidP="002E0BD6">
            <w:pPr>
              <w:pStyle w:val="BodyText"/>
            </w:pPr>
            <w:r w:rsidRPr="001070A7">
              <w:rPr>
                <w:lang w:val="en-US"/>
              </w:rPr>
              <w:t>270</w:t>
            </w:r>
          </w:p>
        </w:tc>
      </w:tr>
    </w:tbl>
    <w:p w:rsidR="00D329C4" w:rsidRPr="00A40CD0" w:rsidRDefault="001047EC" w:rsidP="002E0BD6">
      <w:pPr>
        <w:pStyle w:val="BodyText"/>
      </w:pPr>
      <w:bookmarkStart w:id="33" w:name="_GoBack"/>
      <w:r>
        <w:rPr>
          <w:noProof/>
          <w:lang w:eastAsia="en-AU"/>
        </w:rPr>
        <w:lastRenderedPageBreak/>
        <w:drawing>
          <wp:inline distT="0" distB="0" distL="0" distR="0">
            <wp:extent cx="5759450" cy="7702550"/>
            <wp:effectExtent l="0" t="0" r="6350" b="0"/>
            <wp:docPr id="82" name="Picture 82" descr="Regional and cross shelf boundaries defined by GBRMPA for the MMP 2008/09 reporting (red lines), the cyan areas identify the Enclosed Coastal waters delineated in this report based on a statistical analysis of a decade of satellit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_fig2.png"/>
                    <pic:cNvPicPr/>
                  </pic:nvPicPr>
                  <pic:blipFill>
                    <a:blip r:embed="rId20" cstate="email">
                      <a:extLst>
                        <a:ext uri="{28A0092B-C50C-407E-A947-70E740481C1C}">
                          <a14:useLocalDpi xmlns:a14="http://schemas.microsoft.com/office/drawing/2010/main"/>
                        </a:ext>
                      </a:extLst>
                    </a:blip>
                    <a:stretch>
                      <a:fillRect/>
                    </a:stretch>
                  </pic:blipFill>
                  <pic:spPr>
                    <a:xfrm>
                      <a:off x="0" y="0"/>
                      <a:ext cx="5759450" cy="7702550"/>
                    </a:xfrm>
                    <a:prstGeom prst="rect">
                      <a:avLst/>
                    </a:prstGeom>
                  </pic:spPr>
                </pic:pic>
              </a:graphicData>
            </a:graphic>
          </wp:inline>
        </w:drawing>
      </w:r>
      <w:bookmarkEnd w:id="33"/>
    </w:p>
    <w:p w:rsidR="00D329C4" w:rsidRDefault="00D329C4" w:rsidP="002E0BD6">
      <w:pPr>
        <w:pStyle w:val="BodyText"/>
      </w:pPr>
      <w:bookmarkStart w:id="34" w:name="_Ref247428722"/>
      <w:bookmarkStart w:id="35" w:name="_Ref353451080"/>
      <w:bookmarkStart w:id="36" w:name="_Toc228588280"/>
      <w:bookmarkStart w:id="37" w:name="_Toc399264988"/>
      <w:r w:rsidRPr="00A40CD0">
        <w:t xml:space="preserve">Figure </w:t>
      </w:r>
      <w:fldSimple w:instr=" SEQ Figure \* ARABIC ">
        <w:r w:rsidR="00B11F3B">
          <w:rPr>
            <w:noProof/>
          </w:rPr>
          <w:t>2</w:t>
        </w:r>
      </w:fldSimple>
      <w:bookmarkEnd w:id="34"/>
      <w:r w:rsidRPr="00A40CD0">
        <w:t>. Regional and cross shelf boundaries defined by GBRMPA for the MMP 2008/09 reporting</w:t>
      </w:r>
      <w:r w:rsidR="006C5582">
        <w:t xml:space="preserve"> (red lines)</w:t>
      </w:r>
      <w:r w:rsidR="004F32AC">
        <w:t xml:space="preserve">, the </w:t>
      </w:r>
      <w:r w:rsidR="001047EC">
        <w:t xml:space="preserve">cyan </w:t>
      </w:r>
      <w:r w:rsidR="004F32AC">
        <w:t xml:space="preserve">areas identify the Enclosed Coastal waters delineated </w:t>
      </w:r>
      <w:bookmarkEnd w:id="35"/>
      <w:bookmarkEnd w:id="36"/>
      <w:r w:rsidR="004F32AC">
        <w:t>in this report</w:t>
      </w:r>
      <w:r w:rsidR="004F32AC" w:rsidRPr="004F32AC">
        <w:t xml:space="preserve"> </w:t>
      </w:r>
      <w:r w:rsidR="004F32AC">
        <w:t>based on a statistical analysis of a decade of satellite data</w:t>
      </w:r>
      <w:bookmarkEnd w:id="37"/>
    </w:p>
    <w:p w:rsidR="001047EC" w:rsidRDefault="001047EC" w:rsidP="002E0BD6">
      <w:pPr>
        <w:pStyle w:val="BodyText"/>
      </w:pPr>
    </w:p>
    <w:p w:rsidR="002C54FF" w:rsidRDefault="002C54FF" w:rsidP="002C54FF">
      <w:pPr>
        <w:pStyle w:val="BodyText"/>
      </w:pPr>
      <w:r w:rsidRPr="00A40CD0">
        <w:lastRenderedPageBreak/>
        <w:t>Compliance to the Guidelines for CHL and TSS are presented as maps illustrating the exceedance of the Guidelines (EG) and the exceedance frequency (EF). EG is determined by comparing the mean values for the year (and seasons) to the appropriate Guideline thresholds, while EF is calculated as the ratio of the number of days where the concentration exceeded the threshold to the number of days with (error-free) data for that period. EF values higher than 0.50 indicate the median concentrations for the year (and seasons) exceeded the Guideline thresholds.</w:t>
      </w:r>
      <w:r>
        <w:t xml:space="preserve"> </w:t>
      </w:r>
    </w:p>
    <w:p w:rsidR="00A87073" w:rsidRPr="00D908F3" w:rsidRDefault="00A87073" w:rsidP="002E0BD6">
      <w:pPr>
        <w:pStyle w:val="BodyText"/>
      </w:pPr>
      <w:r>
        <w:t>In previous reports we have shown that given</w:t>
      </w:r>
      <w:r w:rsidRPr="00A40CD0">
        <w:t xml:space="preserve"> the skewness of the raw data, the median CHL concentrations </w:t>
      </w:r>
      <w:r>
        <w:t>are</w:t>
      </w:r>
      <w:r w:rsidRPr="00A40CD0">
        <w:t xml:space="preserve"> a more representative </w:t>
      </w:r>
      <w:r w:rsidR="00916617">
        <w:t>measu</w:t>
      </w:r>
      <w:r w:rsidR="0027088E">
        <w:t xml:space="preserve">re of central </w:t>
      </w:r>
      <w:r w:rsidR="008C1B13">
        <w:t>tendency</w:t>
      </w:r>
      <w:r>
        <w:t xml:space="preserve"> than the arithmetic mean, particularly for the wet season</w:t>
      </w:r>
      <w:r w:rsidR="00934417">
        <w:t xml:space="preserve"> </w:t>
      </w:r>
      <w:r w:rsidR="00EA2F38">
        <w:fldChar w:fldCharType="begin"/>
      </w:r>
      <w:r w:rsidR="007B7C47">
        <w:instrText xml:space="preserve"> ADDIN EN.CITE &lt;EndNote&gt;&lt;Cite&gt;&lt;Author&gt;Brando&lt;/Author&gt;&lt;Year&gt;2011&lt;/Year&gt;&lt;RecNum&gt;4689&lt;/RecNum&gt;&lt;DisplayText&gt;(Brando et al. 2011)&lt;/DisplayText&gt;&lt;record&gt;&lt;rec-number&gt;4689&lt;/rec-number&gt;&lt;foreign-keys&gt;&lt;key app="EN" db-id="z0vwsaa0gfvsr1e2sr7p90rtdtevf52r2we9"&gt;4689&lt;/key&gt;&lt;/foreign-keys&gt;&lt;ref-type name="Report"&gt;27&lt;/ref-type&gt;&lt;contributors&gt;&lt;authors&gt;&lt;author&gt;Brando, V.E.&lt;/author&gt;&lt;author&gt;Schroeder, T.&lt;/author&gt;&lt;author&gt;Blondeau-Patissier, D.&lt;/author&gt;&lt;author&gt;Clementson, L.&lt;/author&gt;&lt;author&gt;Dekker, A.G.&lt;/author&gt;&lt;/authors&gt;&lt;/contributors&gt;&lt;titles&gt;&lt;title&gt;Reef Rescue Marine Monitoring Program: Using remote sensing for GBR-wide water quality. Final Report for 2010/2011 Activities.&lt;/title&gt;&lt;/titles&gt;&lt;keywords&gt;&lt;keyword&gt;Great Barrier Reef&lt;/keyword&gt;&lt;keyword&gt;Remote Sensing&lt;/keyword&gt;&lt;/keywords&gt;&lt;dates&gt;&lt;year&gt;2011&lt;/year&gt;&lt;/dates&gt;&lt;pub-location&gt;Canberra,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rsidR="00EA2F38">
        <w:fldChar w:fldCharType="separate"/>
      </w:r>
      <w:r w:rsidR="007B7C47">
        <w:rPr>
          <w:noProof/>
        </w:rPr>
        <w:t>(</w:t>
      </w:r>
      <w:hyperlink w:anchor="_ENREF_9" w:tooltip="Brando, 2011 #4689" w:history="1">
        <w:r w:rsidR="007B7C47">
          <w:rPr>
            <w:noProof/>
          </w:rPr>
          <w:t>Brando et al. 2011</w:t>
        </w:r>
      </w:hyperlink>
      <w:r w:rsidR="007B7C47">
        <w:rPr>
          <w:noProof/>
        </w:rPr>
        <w:t>)</w:t>
      </w:r>
      <w:r w:rsidR="00EA2F38">
        <w:fldChar w:fldCharType="end"/>
      </w:r>
      <w:r w:rsidR="00934417">
        <w:t xml:space="preserve">. </w:t>
      </w:r>
      <w:r>
        <w:t>Moreover, t</w:t>
      </w:r>
      <w:r w:rsidRPr="00D908F3">
        <w:t>he estimate of the mean values for the wet season, and to a lesser extent for the whole year, are more likely to be affected than the estimate of the median values by the "non-sampling" of the higher values due to cloud cover. In an attempt to address this issue, in this report the exceedance of th</w:t>
      </w:r>
      <w:r>
        <w:t>e Guidelines for CHL and TSS is</w:t>
      </w:r>
      <w:r w:rsidRPr="00D908F3">
        <w:t xml:space="preserve"> evaluated by comparing the mean as well as the median values of the variables to the appropriate seasonal and regional values, even if the mean values are identified in the Guidelines.</w:t>
      </w:r>
    </w:p>
    <w:p w:rsidR="0079416C" w:rsidRDefault="001070A7" w:rsidP="002E0BD6">
      <w:pPr>
        <w:pStyle w:val="BodyText"/>
      </w:pPr>
      <w:r w:rsidRPr="00A40CD0">
        <w:t xml:space="preserve">The Guideline trigger values used as threshold levels for the analysis of exceedance are reported in </w:t>
      </w:r>
      <w:r w:rsidR="00EA2F38">
        <w:fldChar w:fldCharType="begin"/>
      </w:r>
      <w:r>
        <w:instrText xml:space="preserve"> REF _Ref274649249 \h </w:instrText>
      </w:r>
      <w:r w:rsidR="00EA2F38">
        <w:fldChar w:fldCharType="separate"/>
      </w:r>
      <w:r w:rsidR="00B11F3B" w:rsidRPr="00A40CD0">
        <w:t xml:space="preserve">Table </w:t>
      </w:r>
      <w:r w:rsidR="00B11F3B">
        <w:rPr>
          <w:noProof/>
        </w:rPr>
        <w:t>3</w:t>
      </w:r>
      <w:r w:rsidR="00EA2F38">
        <w:fldChar w:fldCharType="end"/>
      </w:r>
      <w:r w:rsidRPr="00A40CD0">
        <w:t xml:space="preserve"> (annual means) and </w:t>
      </w:r>
      <w:r w:rsidR="00EA2F38">
        <w:fldChar w:fldCharType="begin"/>
      </w:r>
      <w:r>
        <w:instrText xml:space="preserve"> REF _Ref302490860 \h </w:instrText>
      </w:r>
      <w:r w:rsidR="00EA2F38">
        <w:fldChar w:fldCharType="separate"/>
      </w:r>
      <w:r w:rsidR="00B11F3B" w:rsidRPr="00A40CD0">
        <w:t xml:space="preserve">Table </w:t>
      </w:r>
      <w:r w:rsidR="00B11F3B">
        <w:rPr>
          <w:noProof/>
        </w:rPr>
        <w:t>4</w:t>
      </w:r>
      <w:r w:rsidR="00EA2F38">
        <w:fldChar w:fldCharType="end"/>
      </w:r>
      <w:r w:rsidR="0079416C">
        <w:t xml:space="preserve"> (seasonal means).  The G</w:t>
      </w:r>
      <w:r w:rsidR="0079416C" w:rsidRPr="008333B6">
        <w:t xml:space="preserve">uidelines </w:t>
      </w:r>
      <w:r w:rsidR="0079416C">
        <w:t xml:space="preserve">trigger </w:t>
      </w:r>
      <w:r w:rsidR="0079416C" w:rsidRPr="008333B6">
        <w:t xml:space="preserve">values for Enclosed coastal for CHL is 2.0 </w:t>
      </w:r>
      <w:r w:rsidR="0079416C" w:rsidRPr="00A40CD0">
        <w:t>µg L</w:t>
      </w:r>
      <w:r w:rsidR="0079416C" w:rsidRPr="00A40CD0">
        <w:rPr>
          <w:vertAlign w:val="superscript"/>
        </w:rPr>
        <w:t>-1</w:t>
      </w:r>
      <w:r w:rsidR="0079416C">
        <w:t xml:space="preserve"> for the whole GBR, while</w:t>
      </w:r>
      <w:r w:rsidR="0079416C" w:rsidRPr="008333B6">
        <w:t xml:space="preserve"> for TSS varies across regions. A value of 5 </w:t>
      </w:r>
      <w:r w:rsidR="00443447">
        <w:t xml:space="preserve"> </w:t>
      </w:r>
      <w:r w:rsidR="0079416C" w:rsidRPr="00A40CD0">
        <w:t>mg L</w:t>
      </w:r>
      <w:r w:rsidR="0079416C" w:rsidRPr="00A40CD0">
        <w:rPr>
          <w:vertAlign w:val="superscript"/>
        </w:rPr>
        <w:t>-1</w:t>
      </w:r>
      <w:r w:rsidR="0079416C" w:rsidRPr="008333B6">
        <w:t xml:space="preserve"> was applied to Cape York, Wet Tropics and Mackay Whitsundays, while a value of 15 </w:t>
      </w:r>
      <w:r w:rsidR="0079416C" w:rsidRPr="00A40CD0">
        <w:t>mg L</w:t>
      </w:r>
      <w:r w:rsidR="0079416C" w:rsidRPr="00A40CD0">
        <w:rPr>
          <w:vertAlign w:val="superscript"/>
        </w:rPr>
        <w:t>-1</w:t>
      </w:r>
      <w:r w:rsidR="00443447">
        <w:t xml:space="preserve"> </w:t>
      </w:r>
      <w:r w:rsidR="0079416C" w:rsidRPr="008333B6">
        <w:t>was applied to the Burdekin, Fitzroy and Burnett-Mary Regions (Table 3 page 26 of the Guidelines and K. Martin &amp; C. Honchin, pers comm. 18/3/2013).</w:t>
      </w:r>
    </w:p>
    <w:p w:rsidR="001070A7" w:rsidRDefault="001070A7" w:rsidP="002E0BD6">
      <w:pPr>
        <w:pStyle w:val="BodyText"/>
      </w:pPr>
    </w:p>
    <w:p w:rsidR="001070A7" w:rsidRPr="00A40CD0" w:rsidRDefault="001070A7" w:rsidP="001070A7">
      <w:pPr>
        <w:pStyle w:val="Caption"/>
      </w:pPr>
      <w:bookmarkStart w:id="38" w:name="_Ref274649249"/>
      <w:bookmarkStart w:id="39" w:name="_Toc228588227"/>
      <w:bookmarkStart w:id="40" w:name="_Toc399264932"/>
      <w:r w:rsidRPr="00A40CD0">
        <w:t xml:space="preserve">Table </w:t>
      </w:r>
      <w:fldSimple w:instr=" SEQ Table \* ARABIC ">
        <w:r w:rsidR="00B11F3B">
          <w:rPr>
            <w:noProof/>
          </w:rPr>
          <w:t>3</w:t>
        </w:r>
      </w:fldSimple>
      <w:bookmarkEnd w:id="38"/>
      <w:r w:rsidRPr="00A40CD0">
        <w:t xml:space="preserve"> Trigger values from the Great Barrier Reef Marine Park Authority Water Quality Guidelines (GBRMPA 2009). Guideline values for the assessment of the annual mean values. *: Geographical adjustment: </w:t>
      </w:r>
      <w:r>
        <w:t>Cape York, Wet Tropics and Mackay Whitsunday</w:t>
      </w:r>
      <w:r w:rsidRPr="00A40CD0">
        <w:t>/</w:t>
      </w:r>
      <w:r>
        <w:t xml:space="preserve"> Burdekin, Fitzroy and Burnett Mary</w:t>
      </w:r>
      <w:r w:rsidRPr="00A40CD0">
        <w:t>.</w:t>
      </w:r>
      <w:bookmarkEnd w:id="39"/>
      <w:bookmarkEnd w:id="40"/>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3331"/>
        <w:gridCol w:w="1232"/>
        <w:gridCol w:w="1503"/>
        <w:gridCol w:w="1503"/>
        <w:gridCol w:w="1503"/>
      </w:tblGrid>
      <w:tr w:rsidR="001070A7" w:rsidRPr="00A40CD0" w:rsidTr="001070A7">
        <w:trPr>
          <w:jc w:val="center"/>
        </w:trPr>
        <w:tc>
          <w:tcPr>
            <w:tcW w:w="3331" w:type="dxa"/>
            <w:shd w:val="clear" w:color="auto" w:fill="E0E0E0"/>
            <w:vAlign w:val="center"/>
          </w:tcPr>
          <w:p w:rsidR="001070A7" w:rsidRPr="00A40CD0" w:rsidRDefault="001070A7" w:rsidP="002E0BD6">
            <w:pPr>
              <w:pStyle w:val="BodyText"/>
            </w:pPr>
            <w:r w:rsidRPr="00A40CD0">
              <w:t>Parameter</w:t>
            </w:r>
          </w:p>
        </w:tc>
        <w:tc>
          <w:tcPr>
            <w:tcW w:w="1232" w:type="dxa"/>
            <w:shd w:val="clear" w:color="auto" w:fill="E0E0E0"/>
            <w:vAlign w:val="center"/>
          </w:tcPr>
          <w:p w:rsidR="001070A7" w:rsidRPr="00A40CD0" w:rsidRDefault="001070A7" w:rsidP="002E0BD6">
            <w:pPr>
              <w:pStyle w:val="BodyText"/>
            </w:pPr>
            <w:r w:rsidRPr="00A40CD0">
              <w:t>Enclosed Coastal</w:t>
            </w:r>
          </w:p>
        </w:tc>
        <w:tc>
          <w:tcPr>
            <w:tcW w:w="1503" w:type="dxa"/>
            <w:shd w:val="clear" w:color="auto" w:fill="E0E0E0"/>
            <w:vAlign w:val="center"/>
          </w:tcPr>
          <w:p w:rsidR="001070A7" w:rsidRPr="00A40CD0" w:rsidRDefault="001070A7" w:rsidP="002E0BD6">
            <w:pPr>
              <w:pStyle w:val="BodyText"/>
            </w:pPr>
            <w:r w:rsidRPr="00A40CD0">
              <w:t>Open Coastal</w:t>
            </w:r>
          </w:p>
        </w:tc>
        <w:tc>
          <w:tcPr>
            <w:tcW w:w="1503" w:type="dxa"/>
            <w:shd w:val="clear" w:color="auto" w:fill="E0E0E0"/>
            <w:vAlign w:val="center"/>
          </w:tcPr>
          <w:p w:rsidR="001070A7" w:rsidRPr="00A40CD0" w:rsidRDefault="001070A7" w:rsidP="002E0BD6">
            <w:pPr>
              <w:pStyle w:val="BodyText"/>
            </w:pPr>
            <w:r w:rsidRPr="00A40CD0">
              <w:t>Midshelf</w:t>
            </w:r>
          </w:p>
        </w:tc>
        <w:tc>
          <w:tcPr>
            <w:tcW w:w="1503" w:type="dxa"/>
            <w:shd w:val="clear" w:color="auto" w:fill="E0E0E0"/>
            <w:vAlign w:val="center"/>
          </w:tcPr>
          <w:p w:rsidR="001070A7" w:rsidRPr="00A40CD0" w:rsidRDefault="001070A7" w:rsidP="002E0BD6">
            <w:pPr>
              <w:pStyle w:val="BodyText"/>
            </w:pPr>
            <w:r w:rsidRPr="00A40CD0">
              <w:t>Offshore</w:t>
            </w:r>
          </w:p>
        </w:tc>
      </w:tr>
      <w:tr w:rsidR="001070A7" w:rsidRPr="00A40CD0" w:rsidTr="001070A7">
        <w:trPr>
          <w:jc w:val="center"/>
        </w:trPr>
        <w:tc>
          <w:tcPr>
            <w:tcW w:w="3331" w:type="dxa"/>
            <w:vAlign w:val="center"/>
          </w:tcPr>
          <w:p w:rsidR="001070A7" w:rsidRPr="00A40CD0" w:rsidRDefault="001070A7" w:rsidP="002E0BD6">
            <w:pPr>
              <w:pStyle w:val="BodyText"/>
            </w:pPr>
            <w:r w:rsidRPr="00A40CD0">
              <w:t>Chlorophyll-a (µg L</w:t>
            </w:r>
            <w:r w:rsidRPr="00A40CD0">
              <w:rPr>
                <w:vertAlign w:val="superscript"/>
              </w:rPr>
              <w:t>-1</w:t>
            </w:r>
            <w:r w:rsidRPr="00A40CD0">
              <w:t>)</w:t>
            </w:r>
          </w:p>
        </w:tc>
        <w:tc>
          <w:tcPr>
            <w:tcW w:w="1232" w:type="dxa"/>
            <w:vAlign w:val="center"/>
          </w:tcPr>
          <w:p w:rsidR="001070A7" w:rsidRPr="00A40CD0" w:rsidRDefault="001070A7" w:rsidP="002E0BD6">
            <w:pPr>
              <w:pStyle w:val="BodyText"/>
            </w:pPr>
            <w:r w:rsidRPr="00A40CD0">
              <w:t>2.0</w:t>
            </w:r>
          </w:p>
        </w:tc>
        <w:tc>
          <w:tcPr>
            <w:tcW w:w="1503" w:type="dxa"/>
            <w:vAlign w:val="center"/>
          </w:tcPr>
          <w:p w:rsidR="001070A7" w:rsidRPr="00A40CD0" w:rsidRDefault="001070A7" w:rsidP="002E0BD6">
            <w:pPr>
              <w:pStyle w:val="BodyText"/>
            </w:pPr>
            <w:r w:rsidRPr="00A40CD0">
              <w:t>0.45</w:t>
            </w:r>
          </w:p>
        </w:tc>
        <w:tc>
          <w:tcPr>
            <w:tcW w:w="1503" w:type="dxa"/>
            <w:vAlign w:val="center"/>
          </w:tcPr>
          <w:p w:rsidR="001070A7" w:rsidRPr="00A40CD0" w:rsidRDefault="001070A7" w:rsidP="002E0BD6">
            <w:pPr>
              <w:pStyle w:val="BodyText"/>
            </w:pPr>
            <w:r w:rsidRPr="00A40CD0">
              <w:t>0.45</w:t>
            </w:r>
          </w:p>
        </w:tc>
        <w:tc>
          <w:tcPr>
            <w:tcW w:w="1503" w:type="dxa"/>
            <w:vAlign w:val="center"/>
          </w:tcPr>
          <w:p w:rsidR="001070A7" w:rsidRPr="00A40CD0" w:rsidRDefault="001070A7" w:rsidP="002E0BD6">
            <w:pPr>
              <w:pStyle w:val="BodyText"/>
            </w:pPr>
            <w:r w:rsidRPr="00A40CD0">
              <w:t>0.40</w:t>
            </w:r>
          </w:p>
        </w:tc>
      </w:tr>
      <w:tr w:rsidR="001070A7" w:rsidRPr="00A40CD0" w:rsidTr="001070A7">
        <w:trPr>
          <w:jc w:val="center"/>
        </w:trPr>
        <w:tc>
          <w:tcPr>
            <w:tcW w:w="3331" w:type="dxa"/>
            <w:vAlign w:val="center"/>
          </w:tcPr>
          <w:p w:rsidR="001070A7" w:rsidRPr="00A40CD0" w:rsidRDefault="001070A7" w:rsidP="002E0BD6">
            <w:pPr>
              <w:pStyle w:val="BodyText"/>
            </w:pPr>
            <w:r w:rsidRPr="00A40CD0">
              <w:t>Secchi Depth (m)</w:t>
            </w:r>
          </w:p>
        </w:tc>
        <w:tc>
          <w:tcPr>
            <w:tcW w:w="1232" w:type="dxa"/>
            <w:vAlign w:val="center"/>
          </w:tcPr>
          <w:p w:rsidR="001070A7" w:rsidRPr="00A40CD0" w:rsidRDefault="001070A7" w:rsidP="002E0BD6">
            <w:pPr>
              <w:pStyle w:val="BodyText"/>
            </w:pPr>
            <w:r w:rsidRPr="00A40CD0">
              <w:t>1.0/1.5*</w:t>
            </w:r>
          </w:p>
        </w:tc>
        <w:tc>
          <w:tcPr>
            <w:tcW w:w="1503" w:type="dxa"/>
            <w:vAlign w:val="center"/>
          </w:tcPr>
          <w:p w:rsidR="001070A7" w:rsidRPr="00A40CD0" w:rsidRDefault="001070A7" w:rsidP="002E0BD6">
            <w:pPr>
              <w:pStyle w:val="BodyText"/>
            </w:pPr>
            <w:r w:rsidRPr="00A40CD0">
              <w:t>10</w:t>
            </w:r>
          </w:p>
        </w:tc>
        <w:tc>
          <w:tcPr>
            <w:tcW w:w="1503" w:type="dxa"/>
            <w:vAlign w:val="center"/>
          </w:tcPr>
          <w:p w:rsidR="001070A7" w:rsidRPr="00A40CD0" w:rsidRDefault="001070A7" w:rsidP="002E0BD6">
            <w:pPr>
              <w:pStyle w:val="BodyText"/>
            </w:pPr>
            <w:r w:rsidRPr="00A40CD0">
              <w:t>10</w:t>
            </w:r>
          </w:p>
        </w:tc>
        <w:tc>
          <w:tcPr>
            <w:tcW w:w="1503" w:type="dxa"/>
            <w:vAlign w:val="center"/>
          </w:tcPr>
          <w:p w:rsidR="001070A7" w:rsidRPr="00A40CD0" w:rsidRDefault="001070A7" w:rsidP="002E0BD6">
            <w:pPr>
              <w:pStyle w:val="BodyText"/>
            </w:pPr>
            <w:r w:rsidRPr="00A40CD0">
              <w:t>17</w:t>
            </w:r>
          </w:p>
        </w:tc>
      </w:tr>
      <w:tr w:rsidR="001070A7" w:rsidRPr="00A40CD0" w:rsidTr="001070A7">
        <w:trPr>
          <w:jc w:val="center"/>
        </w:trPr>
        <w:tc>
          <w:tcPr>
            <w:tcW w:w="3331" w:type="dxa"/>
            <w:vAlign w:val="center"/>
          </w:tcPr>
          <w:p w:rsidR="001070A7" w:rsidRPr="00A40CD0" w:rsidRDefault="001070A7" w:rsidP="002E0BD6">
            <w:pPr>
              <w:pStyle w:val="BodyText"/>
            </w:pPr>
            <w:r w:rsidRPr="00A40CD0">
              <w:t xml:space="preserve">Total Suspended Solids </w:t>
            </w:r>
          </w:p>
        </w:tc>
        <w:tc>
          <w:tcPr>
            <w:tcW w:w="1232" w:type="dxa"/>
            <w:vAlign w:val="center"/>
          </w:tcPr>
          <w:p w:rsidR="001070A7" w:rsidRPr="00A40CD0" w:rsidRDefault="001070A7" w:rsidP="002E0BD6">
            <w:pPr>
              <w:pStyle w:val="BodyText"/>
            </w:pPr>
            <w:r w:rsidRPr="00A40CD0">
              <w:t>5.0/15*</w:t>
            </w:r>
          </w:p>
        </w:tc>
        <w:tc>
          <w:tcPr>
            <w:tcW w:w="1503" w:type="dxa"/>
            <w:vAlign w:val="center"/>
          </w:tcPr>
          <w:p w:rsidR="001070A7" w:rsidRPr="00A40CD0" w:rsidRDefault="001070A7" w:rsidP="002E0BD6">
            <w:pPr>
              <w:pStyle w:val="BodyText"/>
            </w:pPr>
            <w:r w:rsidRPr="00A40CD0">
              <w:t>2.0</w:t>
            </w:r>
          </w:p>
        </w:tc>
        <w:tc>
          <w:tcPr>
            <w:tcW w:w="1503" w:type="dxa"/>
            <w:vAlign w:val="center"/>
          </w:tcPr>
          <w:p w:rsidR="001070A7" w:rsidRPr="00A40CD0" w:rsidRDefault="001070A7" w:rsidP="002E0BD6">
            <w:pPr>
              <w:pStyle w:val="BodyText"/>
            </w:pPr>
            <w:r w:rsidRPr="00A40CD0">
              <w:t>2.0</w:t>
            </w:r>
          </w:p>
        </w:tc>
        <w:tc>
          <w:tcPr>
            <w:tcW w:w="1503" w:type="dxa"/>
            <w:vAlign w:val="center"/>
          </w:tcPr>
          <w:p w:rsidR="001070A7" w:rsidRPr="00A40CD0" w:rsidRDefault="001070A7" w:rsidP="002E0BD6">
            <w:pPr>
              <w:pStyle w:val="BodyText"/>
            </w:pPr>
            <w:r w:rsidRPr="00A40CD0">
              <w:t>0.7</w:t>
            </w:r>
          </w:p>
        </w:tc>
      </w:tr>
    </w:tbl>
    <w:p w:rsidR="001070A7" w:rsidRPr="00A40CD0" w:rsidRDefault="001070A7" w:rsidP="001070A7">
      <w:pPr>
        <w:pStyle w:val="Caption"/>
      </w:pPr>
      <w:bookmarkStart w:id="41" w:name="_Ref274649260"/>
      <w:bookmarkStart w:id="42" w:name="_Ref302490860"/>
      <w:bookmarkStart w:id="43" w:name="_Toc228588228"/>
      <w:bookmarkStart w:id="44" w:name="_Toc399264933"/>
      <w:r w:rsidRPr="00A40CD0">
        <w:t xml:space="preserve">Table </w:t>
      </w:r>
      <w:fldSimple w:instr=" SEQ Table \* ARABIC ">
        <w:r w:rsidR="00B11F3B">
          <w:rPr>
            <w:noProof/>
          </w:rPr>
          <w:t>4</w:t>
        </w:r>
      </w:fldSimple>
      <w:bookmarkEnd w:id="41"/>
      <w:bookmarkEnd w:id="42"/>
      <w:r w:rsidRPr="00A40CD0">
        <w:t xml:space="preserve"> Trigger values from the Great Barrier Reef Marine Park Authority Water Quality Guidelines (GBRMPA 2009). Seasonally adjusted Guideline values for the assessment of seasonal mean values in dry/wet seasons.</w:t>
      </w:r>
      <w:bookmarkEnd w:id="43"/>
      <w:bookmarkEnd w:id="44"/>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Pr>
      <w:tblGrid>
        <w:gridCol w:w="3331"/>
        <w:gridCol w:w="1232"/>
        <w:gridCol w:w="1503"/>
        <w:gridCol w:w="1503"/>
        <w:gridCol w:w="1503"/>
      </w:tblGrid>
      <w:tr w:rsidR="001070A7" w:rsidRPr="00A40CD0" w:rsidTr="001070A7">
        <w:trPr>
          <w:jc w:val="center"/>
        </w:trPr>
        <w:tc>
          <w:tcPr>
            <w:tcW w:w="3331" w:type="dxa"/>
            <w:tcBorders>
              <w:top w:val="nil"/>
              <w:left w:val="nil"/>
            </w:tcBorders>
            <w:vAlign w:val="center"/>
          </w:tcPr>
          <w:p w:rsidR="001070A7" w:rsidRPr="00A40CD0" w:rsidRDefault="001070A7" w:rsidP="001070A7">
            <w:pPr>
              <w:spacing w:before="60" w:after="60"/>
              <w:rPr>
                <w:rFonts w:cs="Arial"/>
                <w:sz w:val="18"/>
                <w:szCs w:val="18"/>
              </w:rPr>
            </w:pPr>
          </w:p>
        </w:tc>
        <w:tc>
          <w:tcPr>
            <w:tcW w:w="5741" w:type="dxa"/>
            <w:gridSpan w:val="4"/>
            <w:shd w:val="clear" w:color="auto" w:fill="E0E0E0"/>
            <w:vAlign w:val="center"/>
          </w:tcPr>
          <w:p w:rsidR="001070A7" w:rsidRPr="00A40CD0" w:rsidRDefault="001070A7" w:rsidP="002E0BD6">
            <w:pPr>
              <w:pStyle w:val="BodyText"/>
            </w:pPr>
            <w:r w:rsidRPr="00A40CD0">
              <w:t>Water body</w:t>
            </w:r>
          </w:p>
        </w:tc>
      </w:tr>
      <w:tr w:rsidR="001070A7" w:rsidRPr="00A40CD0" w:rsidTr="001070A7">
        <w:trPr>
          <w:jc w:val="center"/>
        </w:trPr>
        <w:tc>
          <w:tcPr>
            <w:tcW w:w="3331" w:type="dxa"/>
            <w:shd w:val="clear" w:color="auto" w:fill="E0E0E0"/>
            <w:vAlign w:val="center"/>
          </w:tcPr>
          <w:p w:rsidR="001070A7" w:rsidRPr="00A40CD0" w:rsidRDefault="001070A7" w:rsidP="002E0BD6">
            <w:pPr>
              <w:pStyle w:val="BodyText"/>
            </w:pPr>
            <w:r w:rsidRPr="00A40CD0">
              <w:t>Parameter</w:t>
            </w:r>
          </w:p>
        </w:tc>
        <w:tc>
          <w:tcPr>
            <w:tcW w:w="1232" w:type="dxa"/>
            <w:shd w:val="clear" w:color="auto" w:fill="E0E0E0"/>
            <w:vAlign w:val="center"/>
          </w:tcPr>
          <w:p w:rsidR="001070A7" w:rsidRPr="00A40CD0" w:rsidRDefault="001070A7" w:rsidP="002E0BD6">
            <w:pPr>
              <w:pStyle w:val="BodyText"/>
            </w:pPr>
            <w:r w:rsidRPr="00A40CD0">
              <w:t>Enclosed Coastal</w:t>
            </w:r>
          </w:p>
        </w:tc>
        <w:tc>
          <w:tcPr>
            <w:tcW w:w="1503" w:type="dxa"/>
            <w:shd w:val="clear" w:color="auto" w:fill="E0E0E0"/>
            <w:vAlign w:val="center"/>
          </w:tcPr>
          <w:p w:rsidR="001070A7" w:rsidRPr="00A40CD0" w:rsidRDefault="001070A7" w:rsidP="002E0BD6">
            <w:pPr>
              <w:pStyle w:val="BodyText"/>
            </w:pPr>
            <w:r w:rsidRPr="00A40CD0">
              <w:t>Open Coastal</w:t>
            </w:r>
          </w:p>
        </w:tc>
        <w:tc>
          <w:tcPr>
            <w:tcW w:w="1503" w:type="dxa"/>
            <w:shd w:val="clear" w:color="auto" w:fill="E0E0E0"/>
            <w:vAlign w:val="center"/>
          </w:tcPr>
          <w:p w:rsidR="001070A7" w:rsidRPr="00A40CD0" w:rsidRDefault="001070A7" w:rsidP="002E0BD6">
            <w:pPr>
              <w:pStyle w:val="BodyText"/>
            </w:pPr>
            <w:r w:rsidRPr="00A40CD0">
              <w:t>Midshelf</w:t>
            </w:r>
          </w:p>
        </w:tc>
        <w:tc>
          <w:tcPr>
            <w:tcW w:w="1503" w:type="dxa"/>
            <w:shd w:val="clear" w:color="auto" w:fill="E0E0E0"/>
            <w:vAlign w:val="center"/>
          </w:tcPr>
          <w:p w:rsidR="001070A7" w:rsidRPr="00A40CD0" w:rsidRDefault="001070A7" w:rsidP="002E0BD6">
            <w:pPr>
              <w:pStyle w:val="BodyText"/>
            </w:pPr>
            <w:r w:rsidRPr="00A40CD0">
              <w:t>Offshore</w:t>
            </w:r>
          </w:p>
        </w:tc>
      </w:tr>
      <w:tr w:rsidR="001070A7" w:rsidRPr="00A40CD0" w:rsidTr="001070A7">
        <w:trPr>
          <w:jc w:val="center"/>
        </w:trPr>
        <w:tc>
          <w:tcPr>
            <w:tcW w:w="3331" w:type="dxa"/>
            <w:vAlign w:val="center"/>
          </w:tcPr>
          <w:p w:rsidR="001070A7" w:rsidRPr="00A40CD0" w:rsidRDefault="001070A7" w:rsidP="002E0BD6">
            <w:pPr>
              <w:pStyle w:val="BodyText"/>
            </w:pPr>
            <w:r w:rsidRPr="00A40CD0">
              <w:t>Chlorophyll-a (µg L</w:t>
            </w:r>
            <w:r w:rsidRPr="00A40CD0">
              <w:rPr>
                <w:vertAlign w:val="superscript"/>
              </w:rPr>
              <w:t>-1</w:t>
            </w:r>
            <w:r w:rsidRPr="00A40CD0">
              <w:t>)</w:t>
            </w:r>
          </w:p>
        </w:tc>
        <w:tc>
          <w:tcPr>
            <w:tcW w:w="1232" w:type="dxa"/>
            <w:vAlign w:val="center"/>
          </w:tcPr>
          <w:p w:rsidR="001070A7" w:rsidRPr="00A40CD0" w:rsidRDefault="001070A7" w:rsidP="002E0BD6">
            <w:pPr>
              <w:pStyle w:val="BodyText"/>
            </w:pPr>
            <w:r>
              <w:t>2.8/1.4</w:t>
            </w:r>
          </w:p>
        </w:tc>
        <w:tc>
          <w:tcPr>
            <w:tcW w:w="1503" w:type="dxa"/>
            <w:vAlign w:val="center"/>
          </w:tcPr>
          <w:p w:rsidR="001070A7" w:rsidRPr="00A40CD0" w:rsidRDefault="001070A7" w:rsidP="002E0BD6">
            <w:pPr>
              <w:pStyle w:val="BodyText"/>
            </w:pPr>
            <w:r w:rsidRPr="00A40CD0">
              <w:t>0.32/0.63</w:t>
            </w:r>
          </w:p>
        </w:tc>
        <w:tc>
          <w:tcPr>
            <w:tcW w:w="1503" w:type="dxa"/>
            <w:vAlign w:val="center"/>
          </w:tcPr>
          <w:p w:rsidR="001070A7" w:rsidRPr="00A40CD0" w:rsidRDefault="001070A7" w:rsidP="002E0BD6">
            <w:pPr>
              <w:pStyle w:val="BodyText"/>
            </w:pPr>
            <w:r w:rsidRPr="00A40CD0">
              <w:t>0.32/0.63</w:t>
            </w:r>
          </w:p>
        </w:tc>
        <w:tc>
          <w:tcPr>
            <w:tcW w:w="1503" w:type="dxa"/>
            <w:vAlign w:val="center"/>
          </w:tcPr>
          <w:p w:rsidR="001070A7" w:rsidRPr="00A40CD0" w:rsidRDefault="001070A7" w:rsidP="002E0BD6">
            <w:pPr>
              <w:pStyle w:val="BodyText"/>
            </w:pPr>
            <w:r w:rsidRPr="00A40CD0">
              <w:t>0.28/0.56</w:t>
            </w:r>
          </w:p>
        </w:tc>
      </w:tr>
      <w:tr w:rsidR="001070A7" w:rsidRPr="00A40CD0" w:rsidTr="001070A7">
        <w:trPr>
          <w:jc w:val="center"/>
        </w:trPr>
        <w:tc>
          <w:tcPr>
            <w:tcW w:w="3331" w:type="dxa"/>
            <w:vAlign w:val="center"/>
          </w:tcPr>
          <w:p w:rsidR="001070A7" w:rsidRPr="00A40CD0" w:rsidRDefault="001070A7" w:rsidP="002E0BD6">
            <w:pPr>
              <w:pStyle w:val="BodyText"/>
            </w:pPr>
            <w:r w:rsidRPr="00A40CD0">
              <w:t>Secchi Depth (m)</w:t>
            </w:r>
          </w:p>
        </w:tc>
        <w:tc>
          <w:tcPr>
            <w:tcW w:w="1232" w:type="dxa"/>
            <w:vAlign w:val="center"/>
          </w:tcPr>
          <w:p w:rsidR="001070A7" w:rsidRPr="00A40CD0" w:rsidRDefault="001070A7" w:rsidP="002E0BD6">
            <w:pPr>
              <w:pStyle w:val="BodyText"/>
            </w:pPr>
            <w:r w:rsidRPr="00A40CD0">
              <w:t>1.0/1.5</w:t>
            </w:r>
          </w:p>
        </w:tc>
        <w:tc>
          <w:tcPr>
            <w:tcW w:w="1503" w:type="dxa"/>
            <w:vAlign w:val="center"/>
          </w:tcPr>
          <w:p w:rsidR="001070A7" w:rsidRPr="00A40CD0" w:rsidRDefault="001070A7" w:rsidP="002E0BD6">
            <w:pPr>
              <w:pStyle w:val="BodyText"/>
            </w:pPr>
            <w:r w:rsidRPr="00A40CD0">
              <w:t>10</w:t>
            </w:r>
          </w:p>
        </w:tc>
        <w:tc>
          <w:tcPr>
            <w:tcW w:w="1503" w:type="dxa"/>
            <w:vAlign w:val="center"/>
          </w:tcPr>
          <w:p w:rsidR="001070A7" w:rsidRPr="00A40CD0" w:rsidRDefault="001070A7" w:rsidP="002E0BD6">
            <w:pPr>
              <w:pStyle w:val="BodyText"/>
            </w:pPr>
            <w:r w:rsidRPr="00A40CD0">
              <w:t>10</w:t>
            </w:r>
          </w:p>
        </w:tc>
        <w:tc>
          <w:tcPr>
            <w:tcW w:w="1503" w:type="dxa"/>
            <w:vAlign w:val="center"/>
          </w:tcPr>
          <w:p w:rsidR="001070A7" w:rsidRPr="00A40CD0" w:rsidRDefault="001070A7" w:rsidP="002E0BD6">
            <w:pPr>
              <w:pStyle w:val="BodyText"/>
            </w:pPr>
            <w:r w:rsidRPr="00A40CD0">
              <w:t>17</w:t>
            </w:r>
          </w:p>
        </w:tc>
      </w:tr>
      <w:tr w:rsidR="001070A7" w:rsidRPr="00A40CD0" w:rsidTr="001070A7">
        <w:trPr>
          <w:jc w:val="center"/>
        </w:trPr>
        <w:tc>
          <w:tcPr>
            <w:tcW w:w="3331" w:type="dxa"/>
            <w:vAlign w:val="center"/>
          </w:tcPr>
          <w:p w:rsidR="001070A7" w:rsidRPr="00A40CD0" w:rsidRDefault="001070A7" w:rsidP="002E0BD6">
            <w:pPr>
              <w:pStyle w:val="BodyText"/>
            </w:pPr>
            <w:r w:rsidRPr="00A40CD0">
              <w:t>Total Suspended Solids (mg L</w:t>
            </w:r>
            <w:r w:rsidRPr="00A40CD0">
              <w:rPr>
                <w:vertAlign w:val="superscript"/>
              </w:rPr>
              <w:t>-1</w:t>
            </w:r>
            <w:r w:rsidRPr="00A40CD0">
              <w:t>)</w:t>
            </w:r>
          </w:p>
        </w:tc>
        <w:tc>
          <w:tcPr>
            <w:tcW w:w="1232" w:type="dxa"/>
            <w:vAlign w:val="center"/>
          </w:tcPr>
          <w:p w:rsidR="001070A7" w:rsidRDefault="001070A7" w:rsidP="002E0BD6">
            <w:pPr>
              <w:pStyle w:val="BodyText"/>
            </w:pPr>
            <w:r>
              <w:t>6.0/4.0</w:t>
            </w:r>
          </w:p>
          <w:p w:rsidR="001070A7" w:rsidRPr="00A40CD0" w:rsidRDefault="001070A7" w:rsidP="002E0BD6">
            <w:pPr>
              <w:pStyle w:val="BodyText"/>
            </w:pPr>
            <w:r>
              <w:t>18/12</w:t>
            </w:r>
          </w:p>
        </w:tc>
        <w:tc>
          <w:tcPr>
            <w:tcW w:w="1503" w:type="dxa"/>
            <w:vAlign w:val="center"/>
          </w:tcPr>
          <w:p w:rsidR="001070A7" w:rsidRPr="00A40CD0" w:rsidRDefault="001070A7" w:rsidP="002E0BD6">
            <w:pPr>
              <w:pStyle w:val="BodyText"/>
            </w:pPr>
            <w:r w:rsidRPr="00A40CD0">
              <w:t>1.6/2.4</w:t>
            </w:r>
          </w:p>
        </w:tc>
        <w:tc>
          <w:tcPr>
            <w:tcW w:w="1503" w:type="dxa"/>
            <w:vAlign w:val="center"/>
          </w:tcPr>
          <w:p w:rsidR="001070A7" w:rsidRPr="00A40CD0" w:rsidRDefault="001070A7" w:rsidP="002E0BD6">
            <w:pPr>
              <w:pStyle w:val="BodyText"/>
            </w:pPr>
            <w:r w:rsidRPr="00A40CD0">
              <w:t>1.6/2.4</w:t>
            </w:r>
          </w:p>
        </w:tc>
        <w:tc>
          <w:tcPr>
            <w:tcW w:w="1503" w:type="dxa"/>
            <w:vAlign w:val="center"/>
          </w:tcPr>
          <w:p w:rsidR="001070A7" w:rsidRPr="00A40CD0" w:rsidRDefault="001070A7" w:rsidP="002E0BD6">
            <w:pPr>
              <w:pStyle w:val="BodyText"/>
            </w:pPr>
            <w:r w:rsidRPr="00A40CD0">
              <w:t>0.6/0.8</w:t>
            </w:r>
          </w:p>
        </w:tc>
      </w:tr>
    </w:tbl>
    <w:p w:rsidR="007077FD" w:rsidRDefault="008C1DB8" w:rsidP="008C1DB8">
      <w:pPr>
        <w:pStyle w:val="BodyText"/>
      </w:pPr>
      <w:bookmarkStart w:id="45" w:name="_Ref316639470"/>
      <w:bookmarkStart w:id="46" w:name="_Ref316643346"/>
      <w:r w:rsidRPr="00A40CD0">
        <w:lastRenderedPageBreak/>
        <w:t>The maps are accompanied by tables summarising the exceedance results for each variable and each reporting region.</w:t>
      </w:r>
      <w:r>
        <w:t xml:space="preserve"> </w:t>
      </w:r>
      <w:r w:rsidRPr="00A40CD0">
        <w:t>The summary of the exceedance extent in each map provides the relative surface area where mean or median concentration exceeded the trigger values for the year (or seasons), expressed as relative area (%) of the water body.</w:t>
      </w:r>
      <w:r>
        <w:t xml:space="preserve"> </w:t>
      </w:r>
      <w:r w:rsidRPr="00A40CD0">
        <w:t xml:space="preserve">In this report these two quantities will be referred to as REEG (relative extent of exceedance of the Guidelines, i.e. when the mean is used for the assessment) and REEF50 (relative extent of exceedance frequency greater than 0.50, i.e. when the median is used for the assessment). </w:t>
      </w:r>
      <w:r w:rsidR="007077FD">
        <w:t>I</w:t>
      </w:r>
      <w:r w:rsidR="007077FD" w:rsidRPr="00A40CD0">
        <w:t xml:space="preserve">n this report, the REEG values for CHL and TSS (REEG_CHL, REEG_TSS) are presented within each reporting region as separate values for the </w:t>
      </w:r>
      <w:r w:rsidR="007077FD">
        <w:t xml:space="preserve">Enclosed Coastal, </w:t>
      </w:r>
      <w:r w:rsidR="007077FD" w:rsidRPr="00A40CD0">
        <w:t>Open Coastal, Mids</w:t>
      </w:r>
      <w:r w:rsidR="007077FD">
        <w:t>helf, and Offshore water bodies.</w:t>
      </w:r>
      <w:r w:rsidR="00A2556E">
        <w:t xml:space="preserve"> To compute the</w:t>
      </w:r>
      <w:r w:rsidR="00A2556E" w:rsidRPr="008333B6">
        <w:t xml:space="preserve"> </w:t>
      </w:r>
      <w:r w:rsidR="00A2556E">
        <w:t xml:space="preserve">REEG values for the whole Inshore </w:t>
      </w:r>
      <w:r w:rsidR="00A2556E" w:rsidRPr="00A40CD0">
        <w:t xml:space="preserve">water body </w:t>
      </w:r>
      <w:r w:rsidR="00A2556E">
        <w:t xml:space="preserve">(i.e. the Enclosed Coastal and the Open Coastal waters </w:t>
      </w:r>
      <w:r w:rsidR="00A2556E" w:rsidRPr="00C86B67">
        <w:t>calculated together</w:t>
      </w:r>
      <w:r w:rsidR="00A2556E">
        <w:t>),</w:t>
      </w:r>
      <w:r w:rsidR="00A2556E" w:rsidRPr="008333B6">
        <w:t xml:space="preserve"> pixels in the </w:t>
      </w:r>
      <w:r w:rsidR="00A2556E">
        <w:t>enclosed coastal areas are</w:t>
      </w:r>
      <w:r w:rsidR="00A2556E" w:rsidRPr="008333B6">
        <w:t xml:space="preserve"> compared to the guidelines values for Enclosed</w:t>
      </w:r>
      <w:r w:rsidR="00A2556E">
        <w:t xml:space="preserve"> coastal waters and only the pixels lyi</w:t>
      </w:r>
      <w:r w:rsidR="00A2556E" w:rsidRPr="008333B6">
        <w:t>ng in the Open Coastal are compared with the guideline values for Open coastal waters</w:t>
      </w:r>
      <w:r w:rsidR="00A2556E">
        <w:t>.</w:t>
      </w:r>
    </w:p>
    <w:p w:rsidR="008C1DB8" w:rsidRDefault="008C1DB8" w:rsidP="002E0BD6">
      <w:pPr>
        <w:pStyle w:val="BodyText"/>
      </w:pPr>
      <w:r w:rsidRPr="00A40CD0">
        <w:t>The summary of exceedance is also provided for each water body for each season by computing the mean and median concentrations from all valid observations independently of the spatial location, along with the EF for that period. The summaries of the exceedance results</w:t>
      </w:r>
      <w:r w:rsidRPr="00A40CD0" w:rsidDel="00257834">
        <w:t xml:space="preserve"> </w:t>
      </w:r>
      <w:r w:rsidRPr="00A40CD0">
        <w:t xml:space="preserve">are based on a large number of observations (ranging from thousands of valid observations for the </w:t>
      </w:r>
      <w:r>
        <w:t>Enclosed</w:t>
      </w:r>
      <w:r w:rsidRPr="00A40CD0">
        <w:t xml:space="preserve"> Coastal waters in the wet season to millions of valid observations for the Offshore area in the dry season). </w:t>
      </w:r>
    </w:p>
    <w:p w:rsidR="008C1DB8" w:rsidRDefault="008C1DB8" w:rsidP="002E0BD6">
      <w:pPr>
        <w:pStyle w:val="Heading3"/>
      </w:pPr>
      <w:bookmarkStart w:id="47" w:name="_Ref321304277"/>
      <w:bookmarkStart w:id="48" w:name="_Toc228588166"/>
      <w:bookmarkStart w:id="49" w:name="_Toc399264880"/>
      <w:r w:rsidRPr="007E294B">
        <w:t>Calculating metrics for the P2R reporting for marine water quality</w:t>
      </w:r>
      <w:bookmarkEnd w:id="47"/>
      <w:bookmarkEnd w:id="48"/>
      <w:bookmarkEnd w:id="49"/>
    </w:p>
    <w:p w:rsidR="001E33DD" w:rsidRPr="00A40CD0" w:rsidRDefault="001E33DD" w:rsidP="002E0BD6">
      <w:pPr>
        <w:pStyle w:val="BodyText"/>
      </w:pPr>
      <w:r w:rsidRPr="00A40CD0">
        <w:t xml:space="preserve">The metrics for the P2R reporting for marine water quality are based on the assessment of the exceedance of water quality guidelines for Chlorophyll-a and Total Suspended Solid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Pr="00A40CD0">
        <w:t xml:space="preserve">. In P2R reporting, the two </w:t>
      </w:r>
      <w:r w:rsidR="00A40CD0" w:rsidRPr="00A40CD0">
        <w:t>in</w:t>
      </w:r>
      <w:r w:rsidR="00A40CD0">
        <w:t>di</w:t>
      </w:r>
      <w:r w:rsidR="00A40CD0" w:rsidRPr="00A40CD0">
        <w:t>cators</w:t>
      </w:r>
      <w:r w:rsidRPr="00A40CD0">
        <w:t xml:space="preserve"> for marine water quality are based on the summary of the exceedance of annual mean values of Chlorophyll-a and non-algal particulate matter (as a measure of Total Suspended Solids) for each reporting period</w:t>
      </w:r>
      <w:r w:rsidR="007077FD">
        <w:t xml:space="preserve"> for the inshore water body</w:t>
      </w:r>
      <w:r w:rsidR="00F70D37">
        <w:t xml:space="preserve">. Hence the indicator data </w:t>
      </w:r>
      <w:r w:rsidR="00F70D37" w:rsidRPr="00A40CD0">
        <w:t xml:space="preserve">considered for the </w:t>
      </w:r>
      <w:r w:rsidR="00F70D37">
        <w:t xml:space="preserve">P2R </w:t>
      </w:r>
      <w:r w:rsidR="00F70D37" w:rsidRPr="00A40CD0">
        <w:t xml:space="preserve">metric calculations </w:t>
      </w:r>
      <w:r w:rsidR="00F70D37">
        <w:t>a</w:t>
      </w:r>
      <w:r w:rsidRPr="00A40CD0">
        <w:t xml:space="preserve">re the REEG values for CHL and TSS (REEG_CHL, REEG_TSS) </w:t>
      </w:r>
      <w:r w:rsidR="00F70D37">
        <w:t xml:space="preserve">for </w:t>
      </w:r>
      <w:r w:rsidR="00182B7C">
        <w:t>the I</w:t>
      </w:r>
      <w:r w:rsidR="001B6E7D">
        <w:t>nshore</w:t>
      </w:r>
      <w:r w:rsidRPr="00A40CD0">
        <w:t xml:space="preserve"> water body </w:t>
      </w:r>
      <w:r w:rsidR="001B6E7D">
        <w:t>(i.e. the Enclosed Coastal and the Open Coastal waters</w:t>
      </w:r>
      <w:r w:rsidR="00173F3E">
        <w:t xml:space="preserve"> </w:t>
      </w:r>
      <w:r w:rsidR="00173F3E" w:rsidRPr="00C86B67">
        <w:t>calculated together</w:t>
      </w:r>
      <w:r w:rsidR="001B6E7D">
        <w:t xml:space="preserve">)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Pr="00A40CD0">
        <w:t xml:space="preserve">. </w:t>
      </w:r>
    </w:p>
    <w:p w:rsidR="005A29A8" w:rsidRPr="00A40CD0" w:rsidRDefault="001E33DD" w:rsidP="002E0BD6">
      <w:pPr>
        <w:pStyle w:val="BodyText"/>
      </w:pPr>
      <w:r w:rsidRPr="00A40CD0">
        <w:t>Consistently with the marine water quality P2R reporting scheme, in this report the metric scores are expressed the percent area that does NOT excee</w:t>
      </w:r>
      <w:r w:rsidR="00182B7C">
        <w:t>d the Guidelines value for the I</w:t>
      </w:r>
      <w:r w:rsidRPr="00A40CD0">
        <w:t>nshore water body</w:t>
      </w:r>
      <w:r w:rsidR="001B6E7D">
        <w:t xml:space="preserve"> (i.e. the Enclosed Coastal and the Open Coastal waters)</w:t>
      </w:r>
      <w:r w:rsidRPr="00A40CD0">
        <w:t>, hence the REEG values are simply subtracted from 100% to calculate the metric score</w:t>
      </w:r>
      <w:r w:rsidR="005A29A8" w:rsidRPr="00A40CD0">
        <w:t xml:space="preserve"> (i.e. P2R_CHL=100- REEG_CHL and P2R_TSS=100- REEG_TSS)</w:t>
      </w:r>
      <w:r w:rsidRPr="00A40CD0">
        <w:t>. The rationale for this metric calculation method is to provide consistency with other P2R metrics, as all final metrics are standardized to a range from 0 to 100 such that zero is the lowes</w:t>
      </w:r>
      <w:r w:rsidR="00D329C4">
        <w:t xml:space="preserve">t score and 100 is the highest </w:t>
      </w:r>
      <w:r w:rsidRPr="00A40CD0">
        <w:t xml:space="preserve"> i.e. ranging from the worst to the best possible environmental condition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Pr="00A40CD0">
        <w:t xml:space="preserve">. </w:t>
      </w:r>
      <w:r w:rsidR="005A29A8" w:rsidRPr="00A40CD0">
        <w:t xml:space="preserve"> </w:t>
      </w:r>
    </w:p>
    <w:p w:rsidR="001E33DD" w:rsidRPr="00A40CD0" w:rsidRDefault="001E33DD" w:rsidP="002E0BD6">
      <w:pPr>
        <w:pStyle w:val="BodyText"/>
      </w:pPr>
      <w:r w:rsidRPr="00A40CD0">
        <w:t xml:space="preserve">The overall GBR score is calculated by linearly combining the regional scores weighting them by the relative contribution to the GBR. The area weighting is used to prevent overweighting of scores from reporting regions that represent a small area in relation to the total area of GBR. </w:t>
      </w:r>
      <w:r w:rsidR="00306895" w:rsidRPr="00A40CD0">
        <w:t xml:space="preserve">As limited field information was used for the parameterization and validation on the remote sensing retrievals for these two regions (see section </w:t>
      </w:r>
      <w:r w:rsidR="00EA2F38">
        <w:fldChar w:fldCharType="begin"/>
      </w:r>
      <w:r w:rsidR="00D90A4A">
        <w:instrText xml:space="preserve"> REF _Ref320890413 \r \h </w:instrText>
      </w:r>
      <w:r w:rsidR="00EA2F38">
        <w:fldChar w:fldCharType="separate"/>
      </w:r>
      <w:r w:rsidR="00B11F3B">
        <w:t>2.1</w:t>
      </w:r>
      <w:r w:rsidR="00EA2F38">
        <w:fldChar w:fldCharType="end"/>
      </w:r>
      <w:r w:rsidR="00306895" w:rsidRPr="00A40CD0">
        <w:t xml:space="preserve"> and Appendix 1), t</w:t>
      </w:r>
      <w:r w:rsidR="00457FAB" w:rsidRPr="00A40CD0">
        <w:t xml:space="preserve">he regional scores </w:t>
      </w:r>
      <w:r w:rsidRPr="00A40CD0">
        <w:t xml:space="preserve">for Cape York and Burnett Mary are excluded from </w:t>
      </w:r>
      <w:r w:rsidR="00F70D37">
        <w:t>the area weighting calculations</w:t>
      </w:r>
      <w:r w:rsidR="00457FAB" w:rsidRPr="00A40CD0">
        <w:t xml:space="preserve">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Pr="00A40CD0">
        <w:t xml:space="preserve">. The four reporting regions (Wet Tropics, Burdekin, Mackay Whitsunday, Fitzroy) contribute 13%, 21% ,27% and 39% to the overall GBR score for each metric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Pr="00A40CD0">
        <w:t>.</w:t>
      </w:r>
    </w:p>
    <w:p w:rsidR="00DE4C42" w:rsidRDefault="005A29A8" w:rsidP="002E0BD6">
      <w:pPr>
        <w:pStyle w:val="BodyText"/>
      </w:pPr>
      <w:r w:rsidRPr="00A40CD0">
        <w:lastRenderedPageBreak/>
        <w:t>The P2R marine water quality index (P2R_WQI)</w:t>
      </w:r>
      <w:r w:rsidR="001E33DD" w:rsidRPr="00A40CD0">
        <w:t xml:space="preserve"> is then calculated </w:t>
      </w:r>
      <w:r w:rsidRPr="00A40CD0">
        <w:t xml:space="preserve">for each region, as well for the whole GBR, </w:t>
      </w:r>
      <w:r w:rsidR="001E33DD" w:rsidRPr="00A40CD0">
        <w:t>as the average value of the metric scores for the two</w:t>
      </w:r>
      <w:r w:rsidRPr="00A40CD0">
        <w:t xml:space="preserve"> component</w:t>
      </w:r>
      <w:r w:rsidR="001E33DD" w:rsidRPr="00A40CD0">
        <w:t xml:space="preserve"> indicators</w:t>
      </w:r>
      <w:r w:rsidRPr="00A40CD0">
        <w:t>, i.e. P2R_WQI</w:t>
      </w:r>
      <w:r w:rsidR="00457FAB" w:rsidRPr="00A40CD0">
        <w:t>=</w:t>
      </w:r>
      <w:r w:rsidRPr="00A40CD0">
        <w:t xml:space="preserve">(P2R_CHL+P2R_TSS)/2 </w:t>
      </w:r>
      <w:r w:rsidR="00EA2F38" w:rsidRPr="00A40CD0">
        <w:fldChar w:fldCharType="begin"/>
      </w:r>
      <w:r w:rsidR="00F32695">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EA2F38" w:rsidRPr="00A40CD0">
        <w:fldChar w:fldCharType="separate"/>
      </w:r>
      <w:r w:rsidR="00F32695">
        <w:rPr>
          <w:noProof/>
        </w:rPr>
        <w:t>(</w:t>
      </w:r>
      <w:hyperlink w:anchor="_ENREF_40" w:tooltip="RWQPP, 2011 #4656" w:history="1">
        <w:r w:rsidR="007B7C47">
          <w:rPr>
            <w:noProof/>
          </w:rPr>
          <w:t>RWQPP 2011</w:t>
        </w:r>
      </w:hyperlink>
      <w:r w:rsidR="00F32695">
        <w:rPr>
          <w:noProof/>
        </w:rPr>
        <w:t xml:space="preserve">, </w:t>
      </w:r>
      <w:hyperlink w:anchor="_ENREF_41" w:tooltip="RWQPP, 2011 #4657" w:history="1">
        <w:r w:rsidR="007B7C47">
          <w:rPr>
            <w:noProof/>
          </w:rPr>
          <w:t>RWQPP 2011</w:t>
        </w:r>
      </w:hyperlink>
      <w:r w:rsidR="00F32695">
        <w:rPr>
          <w:noProof/>
        </w:rPr>
        <w:t>)</w:t>
      </w:r>
      <w:r w:rsidR="00EA2F38" w:rsidRPr="00A40CD0">
        <w:fldChar w:fldCharType="end"/>
      </w:r>
      <w:r w:rsidR="001E33DD" w:rsidRPr="00A40CD0">
        <w:t>.</w:t>
      </w:r>
    </w:p>
    <w:p w:rsidR="00A95D43" w:rsidRDefault="00DE4C42" w:rsidP="002E0BD6">
      <w:pPr>
        <w:pStyle w:val="BodyText"/>
      </w:pPr>
      <w:r>
        <w:t>The estimate of the P2R_WQI and t</w:t>
      </w:r>
      <w:r w:rsidRPr="00A40CD0">
        <w:t>he metric scores for the two component indicators</w:t>
      </w:r>
      <w:r>
        <w:t xml:space="preserve"> (P2R_CHL and </w:t>
      </w:r>
      <w:r w:rsidRPr="00A40CD0">
        <w:t>P2R_TSS)</w:t>
      </w:r>
      <w:r>
        <w:t xml:space="preserve"> does not include an assessment of associated uncertainty</w:t>
      </w:r>
      <w:r w:rsidR="00735ABA">
        <w:t xml:space="preserve">. </w:t>
      </w:r>
      <w:r w:rsidR="00FA7642">
        <w:t xml:space="preserve">Such assessment would account for </w:t>
      </w:r>
      <w:r w:rsidR="00735ABA">
        <w:t xml:space="preserve">the uncertainty associated with the retrieval of CHL </w:t>
      </w:r>
      <w:r w:rsidR="00735ABA" w:rsidRPr="00A40CD0">
        <w:t xml:space="preserve">and TSS </w:t>
      </w:r>
      <w:r w:rsidR="00735ABA">
        <w:t xml:space="preserve">from MODIS data </w:t>
      </w:r>
      <w:r w:rsidR="00735ABA" w:rsidRPr="00A40CD0">
        <w:t>with the coupled physics-based inversion algorithms</w:t>
      </w:r>
      <w:r w:rsidR="001962F2">
        <w:t xml:space="preserve">. </w:t>
      </w:r>
      <w:r w:rsidR="00AE33F2">
        <w:t>The uncertainty associated to the P2R metric score could be estimated following the approach</w:t>
      </w:r>
      <w:r w:rsidR="00FA7642">
        <w:t xml:space="preserve"> proposed by </w:t>
      </w:r>
      <w:r>
        <w:t>S</w:t>
      </w:r>
      <w:r w:rsidRPr="00A40CD0">
        <w:t>chroeder et al.</w:t>
      </w:r>
      <w:r w:rsidRPr="00A40CD0">
        <w:rPr>
          <w:color w:val="000000"/>
        </w:rPr>
        <w:t xml:space="preserve"> </w:t>
      </w:r>
      <w:r w:rsidR="00EA2F38" w:rsidRPr="00A40CD0">
        <w:fldChar w:fldCharType="begin"/>
      </w:r>
      <w:r w:rsidR="00F32695">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F32695">
        <w:rPr>
          <w:noProof/>
        </w:rPr>
        <w:t>(</w:t>
      </w:r>
      <w:hyperlink w:anchor="_ENREF_48" w:tooltip="Schroeder, 2012 #4647" w:history="1">
        <w:r w:rsidR="007B7C47">
          <w:rPr>
            <w:noProof/>
          </w:rPr>
          <w:t>2012</w:t>
        </w:r>
      </w:hyperlink>
      <w:r w:rsidR="00F32695">
        <w:rPr>
          <w:noProof/>
        </w:rPr>
        <w:t>)</w:t>
      </w:r>
      <w:r w:rsidR="00EA2F38" w:rsidRPr="00A40CD0">
        <w:fldChar w:fldCharType="end"/>
      </w:r>
      <w:r>
        <w:t xml:space="preserve"> to assess the uncertainty associated to the estimates of </w:t>
      </w:r>
      <w:r w:rsidRPr="00A40CD0">
        <w:t>freshwater extent</w:t>
      </w:r>
      <w:r w:rsidR="00AE33F2">
        <w:t xml:space="preserve">, where </w:t>
      </w:r>
      <w:r>
        <w:t xml:space="preserve">the uncertainty associated with the retrieval of CDOM </w:t>
      </w:r>
      <w:r w:rsidR="00AE33F2">
        <w:t xml:space="preserve">was accounted for </w:t>
      </w:r>
      <w:r>
        <w:t xml:space="preserve">when setting the CDOM thresholds. </w:t>
      </w:r>
      <w:r w:rsidR="005201EE">
        <w:t>Future work will extend t</w:t>
      </w:r>
      <w:r w:rsidR="00A95D43">
        <w:t>his method to</w:t>
      </w:r>
      <w:r w:rsidR="005201EE">
        <w:t xml:space="preserve"> also</w:t>
      </w:r>
      <w:r w:rsidR="00A95D43">
        <w:t xml:space="preserve"> assess the uncertainty</w:t>
      </w:r>
      <w:r w:rsidR="005201EE">
        <w:t xml:space="preserve"> associated to </w:t>
      </w:r>
      <w:r w:rsidR="00A95D43">
        <w:t>the t</w:t>
      </w:r>
      <w:r w:rsidR="00A95D43" w:rsidRPr="00A40CD0">
        <w:t>wo component indicators</w:t>
      </w:r>
      <w:r w:rsidR="00A95D43">
        <w:t xml:space="preserve"> of the marine water quality index from the </w:t>
      </w:r>
      <w:r w:rsidR="00A95D43" w:rsidRPr="00A40CD0">
        <w:t>spatial extent of non-compliance</w:t>
      </w:r>
      <w:r w:rsidR="00A95D43">
        <w:t xml:space="preserve"> in the </w:t>
      </w:r>
      <w:r w:rsidR="00AE0A9F">
        <w:t xml:space="preserve">Enclosed Coastal and </w:t>
      </w:r>
      <w:r w:rsidR="00A95D43" w:rsidRPr="00A40CD0">
        <w:t>Open</w:t>
      </w:r>
      <w:r w:rsidR="00AE0A9F">
        <w:t xml:space="preserve"> Coastal waters</w:t>
      </w:r>
      <w:r w:rsidR="005201EE">
        <w:t xml:space="preserve">. </w:t>
      </w:r>
    </w:p>
    <w:p w:rsidR="00314B0D" w:rsidRPr="007E294B" w:rsidRDefault="00B25CAA" w:rsidP="007E294B">
      <w:pPr>
        <w:pStyle w:val="Heading3"/>
      </w:pPr>
      <w:bookmarkStart w:id="50" w:name="_Toc228588167"/>
      <w:bookmarkStart w:id="51" w:name="_Toc399264881"/>
      <w:r w:rsidRPr="007E294B">
        <w:t>Guide to interpreting the maps</w:t>
      </w:r>
      <w:bookmarkEnd w:id="45"/>
      <w:bookmarkEnd w:id="46"/>
      <w:bookmarkEnd w:id="50"/>
      <w:bookmarkEnd w:id="51"/>
    </w:p>
    <w:p w:rsidR="00B25CAA" w:rsidRPr="00A40CD0" w:rsidRDefault="00B25CAA" w:rsidP="002E0BD6">
      <w:pPr>
        <w:pStyle w:val="BodyText"/>
      </w:pPr>
      <w:r w:rsidRPr="00A40CD0">
        <w:t xml:space="preserve">All maps presented in section </w:t>
      </w:r>
      <w:r w:rsidR="00EA2F38">
        <w:fldChar w:fldCharType="begin"/>
      </w:r>
      <w:r w:rsidR="00D90A4A">
        <w:instrText xml:space="preserve"> REF _Ref303874036 \r \h </w:instrText>
      </w:r>
      <w:r w:rsidR="00EA2F38">
        <w:fldChar w:fldCharType="separate"/>
      </w:r>
      <w:r w:rsidR="00B11F3B">
        <w:t>4</w:t>
      </w:r>
      <w:r w:rsidR="00EA2F38">
        <w:fldChar w:fldCharType="end"/>
      </w:r>
      <w:r w:rsidRPr="00A40CD0">
        <w:t xml:space="preserve"> have a consistent presentation: land is represented as dark gray; the coastal boundary is based on a standard coastline vector; main rivers are represented by blue lines; and coral reefs including a 1 km buffer zone (to avoid mixed land or reef and water pixels) are depicted as </w:t>
      </w:r>
      <w:r w:rsidR="00A40CD0" w:rsidRPr="00A40CD0">
        <w:t>white. The</w:t>
      </w:r>
      <w:r w:rsidRPr="00A40CD0">
        <w:t xml:space="preserve"> maps of mean, median or maximum values will present data for all the pixels in the bounding box, while the maps of freshwater extent for the wet season, exceedance of the Guidelines and EF present data only for the reporting region of interest. The areas outside the reporting region are depicted in light gray.</w:t>
      </w:r>
    </w:p>
    <w:p w:rsidR="00B25CAA" w:rsidRPr="00A40CD0" w:rsidRDefault="00B25CAA" w:rsidP="002E0BD6">
      <w:pPr>
        <w:pStyle w:val="BodyText"/>
      </w:pPr>
      <w:r w:rsidRPr="00A40CD0">
        <w:t>Several boundary lines are overlayed onto the maps to enable the identification of water bodies identified by the Guidelines (</w:t>
      </w:r>
      <w:r w:rsidR="00ED4C2D">
        <w:t xml:space="preserve">Enclosed Coastal, </w:t>
      </w:r>
      <w:r w:rsidRPr="00A40CD0">
        <w:t>Open Coastal, Midshelf, and Offshore). The boundaries for the reporting region are presented in each map as defined by GBRMPA in accordance with the NRM boundaries for the catchment and marine extensions (</w:t>
      </w:r>
      <w:r w:rsidR="00EA2F38">
        <w:fldChar w:fldCharType="begin"/>
      </w:r>
      <w:r w:rsidR="00D90A4A">
        <w:instrText xml:space="preserve"> REF _Ref247428722 \h </w:instrText>
      </w:r>
      <w:r w:rsidR="00EA2F38">
        <w:fldChar w:fldCharType="separate"/>
      </w:r>
      <w:r w:rsidR="00B11F3B" w:rsidRPr="00A40CD0">
        <w:t xml:space="preserve">Figure </w:t>
      </w:r>
      <w:r w:rsidR="00B11F3B">
        <w:rPr>
          <w:noProof/>
        </w:rPr>
        <w:t>2</w:t>
      </w:r>
      <w:r w:rsidR="00EA2F38">
        <w:fldChar w:fldCharType="end"/>
      </w:r>
      <w:r w:rsidRPr="00A40CD0">
        <w:t xml:space="preserve">). The cross shelf boundaries were defined by GBRMPA to implement the Guidelines: </w:t>
      </w:r>
      <w:r w:rsidR="00083D85" w:rsidRPr="00A40CD0">
        <w:t xml:space="preserve">the thick </w:t>
      </w:r>
      <w:r w:rsidR="00083D85">
        <w:t xml:space="preserve">pink </w:t>
      </w:r>
      <w:r w:rsidR="00083D85" w:rsidRPr="00A40CD0">
        <w:t>line</w:t>
      </w:r>
      <w:r w:rsidR="00083D85">
        <w:t xml:space="preserve"> delineates the Enclosed Coastal waters,</w:t>
      </w:r>
      <w:r w:rsidR="00083D85" w:rsidRPr="00A40CD0">
        <w:t xml:space="preserve"> </w:t>
      </w:r>
      <w:r w:rsidRPr="00A40CD0">
        <w:t>the thick white line defines th</w:t>
      </w:r>
      <w:r w:rsidR="00083D85">
        <w:t>e Open Coastal waters; the thin</w:t>
      </w:r>
      <w:r w:rsidRPr="00A40CD0">
        <w:t xml:space="preserve"> pink line separates the Midshelf from the Offshore waters while the thick gray line to the East in all images represents the limit of the marine park.</w:t>
      </w:r>
    </w:p>
    <w:p w:rsidR="00B25CAA" w:rsidRPr="00A40CD0" w:rsidRDefault="00B25CAA" w:rsidP="002E0BD6">
      <w:pPr>
        <w:pStyle w:val="BodyText"/>
      </w:pPr>
      <w:r w:rsidRPr="00A40CD0">
        <w:t>In the maps of freshwater extent for the wet season, pixels in the reporting region of interest are mapped in dark red when the maximum values for the wet season exceed the CDOM threshold for freshwater mapping (0.24 m</w:t>
      </w:r>
      <w:r w:rsidRPr="00A40CD0">
        <w:rPr>
          <w:vertAlign w:val="superscript"/>
        </w:rPr>
        <w:t>-1</w:t>
      </w:r>
      <w:r w:rsidRPr="00A40CD0">
        <w:t xml:space="preserve"> </w:t>
      </w:r>
      <w:r w:rsidRPr="00A40CD0">
        <w:sym w:font="Symbol" w:char="F0DB"/>
      </w:r>
      <w:r w:rsidRPr="00A40CD0">
        <w:t xml:space="preserve"> 30</w:t>
      </w:r>
      <w:r w:rsidRPr="00A40CD0">
        <w:rPr>
          <w:rFonts w:cs="Times"/>
        </w:rPr>
        <w:t>±</w:t>
      </w:r>
      <w:r w:rsidRPr="00A40CD0">
        <w:t>4 salinity). The surface area (km</w:t>
      </w:r>
      <w:r w:rsidRPr="00A40CD0">
        <w:rPr>
          <w:sz w:val="24"/>
          <w:vertAlign w:val="superscript"/>
        </w:rPr>
        <w:t>2</w:t>
      </w:r>
      <w:r w:rsidRPr="00A40CD0">
        <w:rPr>
          <w:sz w:val="20"/>
        </w:rPr>
        <w:t xml:space="preserve">) </w:t>
      </w:r>
      <w:r w:rsidRPr="00A40CD0">
        <w:t>of the freshwater plume extent in the wet season for each region can then be estimated by tallying the number of the 1 km</w:t>
      </w:r>
      <w:r w:rsidRPr="00A40CD0">
        <w:rPr>
          <w:sz w:val="24"/>
          <w:vertAlign w:val="superscript"/>
        </w:rPr>
        <w:t xml:space="preserve">2 </w:t>
      </w:r>
      <w:r w:rsidRPr="00A40CD0">
        <w:t>pixels exceeding the CDOM threshold in each map.</w:t>
      </w:r>
    </w:p>
    <w:p w:rsidR="00B25CAA" w:rsidRPr="00A40CD0" w:rsidRDefault="00B25CAA" w:rsidP="002E0BD6">
      <w:pPr>
        <w:pStyle w:val="BodyText"/>
      </w:pPr>
      <w:r w:rsidRPr="00A40CD0">
        <w:t xml:space="preserve">In the maps of EG, pixels in the reporting region of interest are mapped in dark red when the annual (and seasonal) mean concentrations exceed the appropriate thresholds reported in </w:t>
      </w:r>
      <w:r w:rsidR="00EA2F38">
        <w:fldChar w:fldCharType="begin"/>
      </w:r>
      <w:r w:rsidR="00D90A4A">
        <w:instrText xml:space="preserve"> REF _Ref274649249 \h </w:instrText>
      </w:r>
      <w:r w:rsidR="00EA2F38">
        <w:fldChar w:fldCharType="separate"/>
      </w:r>
      <w:r w:rsidR="00B11F3B" w:rsidRPr="00A40CD0">
        <w:t xml:space="preserve">Table </w:t>
      </w:r>
      <w:r w:rsidR="00B11F3B">
        <w:rPr>
          <w:noProof/>
        </w:rPr>
        <w:t>3</w:t>
      </w:r>
      <w:r w:rsidR="00EA2F38">
        <w:fldChar w:fldCharType="end"/>
      </w:r>
      <w:r w:rsidRPr="00A40CD0">
        <w:t xml:space="preserve"> and </w:t>
      </w:r>
      <w:r w:rsidR="00EA2F38">
        <w:fldChar w:fldCharType="begin"/>
      </w:r>
      <w:r w:rsidR="00D90A4A">
        <w:instrText xml:space="preserve"> REF _Ref302490860 \h </w:instrText>
      </w:r>
      <w:r w:rsidR="00EA2F38">
        <w:fldChar w:fldCharType="separate"/>
      </w:r>
      <w:r w:rsidR="00B11F3B" w:rsidRPr="00A40CD0">
        <w:t xml:space="preserve">Table </w:t>
      </w:r>
      <w:r w:rsidR="00B11F3B">
        <w:rPr>
          <w:noProof/>
        </w:rPr>
        <w:t>4</w:t>
      </w:r>
      <w:r w:rsidR="00EA2F38">
        <w:fldChar w:fldCharType="end"/>
      </w:r>
      <w:r w:rsidRPr="00A40CD0">
        <w:t>. Pixel</w:t>
      </w:r>
      <w:r w:rsidR="00A40CD0">
        <w:t>s</w:t>
      </w:r>
      <w:r w:rsidRPr="00A40CD0">
        <w:t xml:space="preserve"> are</w:t>
      </w:r>
      <w:r w:rsidR="00A40CD0">
        <w:t xml:space="preserve"> mapped</w:t>
      </w:r>
      <w:r w:rsidRPr="00A40CD0">
        <w:t xml:space="preserve"> in ligh</w:t>
      </w:r>
      <w:r w:rsidR="00A40CD0">
        <w:t>t</w:t>
      </w:r>
      <w:r w:rsidRPr="00A40CD0">
        <w:t xml:space="preserve"> gray if they did not exceed the thresholds. The maps of</w:t>
      </w:r>
      <w:r w:rsidR="00A40CD0">
        <w:t xml:space="preserve"> </w:t>
      </w:r>
      <w:r w:rsidRPr="00A40CD0">
        <w:t xml:space="preserve">EF report in a continuous colour scale </w:t>
      </w:r>
      <w:r w:rsidR="00A40CD0">
        <w:t xml:space="preserve">the </w:t>
      </w:r>
      <w:r w:rsidRPr="00A40CD0">
        <w:t xml:space="preserve">EF values ranging from 0-0.50 so that the pixels are mapped in dark red (EF&gt;= 0.50) when the annual (and seasonal) median concentrations exceed the thresholds. The spatial patterns in the exceedance maps are a function of the coastal to offshore gradients that can be observed in the median maps of CHL and TSS as well as changes in thresholds between the Midshelf and Offshore areas. Hence most often the exceedance in the Offshore areas </w:t>
      </w:r>
      <w:r w:rsidR="00A40CD0">
        <w:t xml:space="preserve">is </w:t>
      </w:r>
      <w:r w:rsidRPr="00A40CD0">
        <w:t>present in c</w:t>
      </w:r>
      <w:r w:rsidR="00083D85">
        <w:t>lusters to the East of the thin</w:t>
      </w:r>
      <w:r w:rsidRPr="00A40CD0">
        <w:t xml:space="preserve"> pink line delineating the ‘Offshore’ waters.</w:t>
      </w:r>
    </w:p>
    <w:p w:rsidR="00B25CAA" w:rsidRPr="00A40CD0" w:rsidRDefault="00B25CAA" w:rsidP="009C3B33">
      <w:pPr>
        <w:pStyle w:val="Heading1"/>
        <w:numPr>
          <w:ilvl w:val="0"/>
          <w:numId w:val="13"/>
        </w:numPr>
      </w:pPr>
      <w:r w:rsidRPr="00A40CD0">
        <w:br w:type="page"/>
      </w:r>
      <w:bookmarkStart w:id="52" w:name="_Toc302494772"/>
      <w:bookmarkStart w:id="53" w:name="_Toc228588168"/>
      <w:bookmarkStart w:id="54" w:name="_Toc399264882"/>
      <w:r w:rsidR="00ED4C2D">
        <w:lastRenderedPageBreak/>
        <w:t>DelineaTion of the Enclosed Coastal waters for the GBRWHA reporting regions</w:t>
      </w:r>
      <w:r w:rsidR="00173F3E">
        <w:t>: A Case-study</w:t>
      </w:r>
      <w:r w:rsidRPr="00A40CD0">
        <w:t>.</w:t>
      </w:r>
      <w:bookmarkEnd w:id="52"/>
      <w:bookmarkEnd w:id="53"/>
      <w:bookmarkEnd w:id="54"/>
    </w:p>
    <w:p w:rsidR="00522B35" w:rsidRPr="00522B35" w:rsidRDefault="00B25CAA" w:rsidP="00522B35">
      <w:pPr>
        <w:pStyle w:val="Heading2"/>
      </w:pPr>
      <w:bookmarkStart w:id="55" w:name="_Toc228588169"/>
      <w:bookmarkStart w:id="56" w:name="_Toc399264883"/>
      <w:r w:rsidRPr="00A40CD0">
        <w:t>Objective of this study</w:t>
      </w:r>
      <w:bookmarkEnd w:id="55"/>
      <w:bookmarkEnd w:id="56"/>
    </w:p>
    <w:p w:rsidR="003A792B" w:rsidRDefault="00CE5FF9" w:rsidP="002E0BD6">
      <w:pPr>
        <w:pStyle w:val="BodyText"/>
      </w:pPr>
      <w:r>
        <w:t>In previous MMP reports the assessment of the Guidelines was carried out only on three of the four water bodies identified by the Guidelines (</w:t>
      </w:r>
      <w:r w:rsidRPr="00A40CD0">
        <w:t xml:space="preserve">Open Coastal, Midshelf, and Offshore). </w:t>
      </w:r>
      <w:r w:rsidR="003A792B" w:rsidRPr="00A40CD0">
        <w:t xml:space="preserve">As the guideline values for CHL and TSS for the Enclosed Coastal waters are higher than those for the Open Coastal water body, </w:t>
      </w:r>
      <w:r w:rsidR="003A792B">
        <w:t xml:space="preserve">the delineation of </w:t>
      </w:r>
      <w:r w:rsidR="003A792B" w:rsidRPr="00A40CD0">
        <w:t>the</w:t>
      </w:r>
      <w:r w:rsidR="003A792B">
        <w:t xml:space="preserve"> Enclosed Coastal water body is needed to reduce over-estimation of </w:t>
      </w:r>
      <w:r w:rsidR="003A792B" w:rsidRPr="00A40CD0">
        <w:t xml:space="preserve">the relative area of non-compliance for the </w:t>
      </w:r>
      <w:r w:rsidR="003A792B">
        <w:t>Inshore water</w:t>
      </w:r>
      <w:r w:rsidR="00544C0B">
        <w:t>s</w:t>
      </w:r>
      <w:r w:rsidR="003A792B">
        <w:t>.</w:t>
      </w:r>
    </w:p>
    <w:p w:rsidR="00B27788" w:rsidRDefault="00CE5FF9" w:rsidP="002E0BD6">
      <w:pPr>
        <w:pStyle w:val="BodyText"/>
      </w:pPr>
      <w:r w:rsidRPr="00A40CD0">
        <w:t xml:space="preserve">The cross shelf boundaries </w:t>
      </w:r>
      <w:r w:rsidR="003A792B">
        <w:t>between the</w:t>
      </w:r>
      <w:r>
        <w:t xml:space="preserve"> water bodies were delineated</w:t>
      </w:r>
      <w:r w:rsidRPr="00A40CD0">
        <w:t xml:space="preserve"> by GBRMPA by implementing in a GIS environment the "Approximate water body delineations of the Open Coastal, Midshelf and Offshore marine water bodies in the six NRM regions" </w:t>
      </w:r>
      <w:r w:rsidR="00EA2F38" w:rsidRPr="00A40CD0">
        <w:fldChar w:fldCharType="begin"/>
      </w:r>
      <w:r w:rsidR="00F32695">
        <w:instrText xml:space="preserve"> ADDIN EN.CITE &lt;EndNote&gt;&lt;Cite&gt;&lt;Author&gt;GBRMPA&lt;/Author&gt;&lt;Year&gt;2009&lt;/Year&gt;&lt;RecNum&gt;4612&lt;/RecNum&gt;&lt;Prefix&gt;Table 1`, &lt;/Prefix&gt;&lt;DisplayText&gt;(Table 1,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EA2F38" w:rsidRPr="00A40CD0">
        <w:fldChar w:fldCharType="separate"/>
      </w:r>
      <w:r w:rsidR="00F32695">
        <w:rPr>
          <w:noProof/>
        </w:rPr>
        <w:t>(</w:t>
      </w:r>
      <w:hyperlink w:anchor="_ENREF_23" w:tooltip="GBRMPA, 2009 #4612" w:history="1">
        <w:r w:rsidR="007B7C47">
          <w:rPr>
            <w:noProof/>
          </w:rPr>
          <w:t>Table 1, GBRMPA 2009</w:t>
        </w:r>
      </w:hyperlink>
      <w:r w:rsidR="00F32695">
        <w:rPr>
          <w:noProof/>
        </w:rPr>
        <w:t>)</w:t>
      </w:r>
      <w:r w:rsidR="00EA2F38" w:rsidRPr="00A40CD0">
        <w:fldChar w:fldCharType="end"/>
      </w:r>
      <w:r w:rsidRPr="00A40CD0">
        <w:t xml:space="preserve">. </w:t>
      </w:r>
      <w:r>
        <w:t xml:space="preserve"> </w:t>
      </w:r>
      <w:r w:rsidR="003A792B">
        <w:t xml:space="preserve"> </w:t>
      </w:r>
      <w:r w:rsidR="00B27788">
        <w:t>In the Guidelines t</w:t>
      </w:r>
      <w:r w:rsidR="00B27788" w:rsidRPr="00B27788">
        <w:t>he seaward limit of the enclosed coastal water body</w:t>
      </w:r>
      <w:r w:rsidR="00B27788">
        <w:t xml:space="preserve"> is defined as “</w:t>
      </w:r>
      <w:r w:rsidR="00446023" w:rsidRPr="00B27788">
        <w:t>cut-off between shallow, enclosed waters near the estuary mouth and deeper, more oceanic wa</w:t>
      </w:r>
      <w:r w:rsidR="00446023">
        <w:t>ters</w:t>
      </w:r>
      <w:r w:rsidR="00B27788">
        <w:t xml:space="preserve">”. The Enclosed Coastal water body was not delineated by GBRMPA in 2009 as the Guidelines state the </w:t>
      </w:r>
      <w:r w:rsidR="00B27788" w:rsidRPr="00B27788">
        <w:t>seaward limit of the enclosed coastal water body should be determined by site-specific studies to determine where the effective limit of freshwate</w:t>
      </w:r>
      <w:r w:rsidR="00B27788">
        <w:t>r mixing extends.</w:t>
      </w:r>
    </w:p>
    <w:p w:rsidR="00B25CAA" w:rsidRDefault="00B27788" w:rsidP="002E0BD6">
      <w:pPr>
        <w:pStyle w:val="BodyText"/>
      </w:pPr>
      <w:r>
        <w:t xml:space="preserve">This section of the report aims to provide GBRMPA with a consistent delineation of the </w:t>
      </w:r>
      <w:r w:rsidRPr="00B27788">
        <w:t>seaward limit of the enclosed coastal water body</w:t>
      </w:r>
      <w:r>
        <w:t xml:space="preserve"> across the GBRWHA using a statistical analysis of a decade of satellite derived water quality data.</w:t>
      </w:r>
      <w:r w:rsidR="00A804F9">
        <w:t xml:space="preserve"> This follow</w:t>
      </w:r>
      <w:r w:rsidR="0005740A">
        <w:t>s</w:t>
      </w:r>
      <w:r w:rsidR="00A804F9">
        <w:t xml:space="preserve"> the results of the case study on the Burdekin region pre</w:t>
      </w:r>
      <w:r w:rsidR="005F5F09">
        <w:t>sented in the 2010/11 MMP Report</w:t>
      </w:r>
      <w:r w:rsidR="00A804F9">
        <w:t xml:space="preserve"> </w:t>
      </w:r>
      <w:r w:rsidR="00EA2F38">
        <w:fldChar w:fldCharType="begin"/>
      </w:r>
      <w:r w:rsidR="007B7C47">
        <w:instrText xml:space="preserve"> ADDIN EN.CITE &lt;EndNote&gt;&lt;Cite&gt;&lt;Author&gt;Brando&lt;/Author&gt;&lt;Year&gt;2011&lt;/Year&gt;&lt;RecNum&gt;4689&lt;/RecNum&gt;&lt;DisplayText&gt;(Brando et al. 2011)&lt;/DisplayText&gt;&lt;record&gt;&lt;rec-number&gt;4689&lt;/rec-number&gt;&lt;foreign-keys&gt;&lt;key app="EN" db-id="z0vwsaa0gfvsr1e2sr7p90rtdtevf52r2we9"&gt;4689&lt;/key&gt;&lt;/foreign-keys&gt;&lt;ref-type name="Report"&gt;27&lt;/ref-type&gt;&lt;contributors&gt;&lt;authors&gt;&lt;author&gt;Brando, V.E.&lt;/author&gt;&lt;author&gt;Schroeder, T.&lt;/author&gt;&lt;author&gt;Blondeau-Patissier, D.&lt;/author&gt;&lt;author&gt;Clementson, L.&lt;/author&gt;&lt;author&gt;Dekker, A.G.&lt;/author&gt;&lt;/authors&gt;&lt;/contributors&gt;&lt;titles&gt;&lt;title&gt;Reef Rescue Marine Monitoring Program: Using remote sensing for GBR-wide water quality. Final Report for 2010/2011 Activities.&lt;/title&gt;&lt;/titles&gt;&lt;keywords&gt;&lt;keyword&gt;Great Barrier Reef&lt;/keyword&gt;&lt;keyword&gt;Remote Sensing&lt;/keyword&gt;&lt;/keywords&gt;&lt;dates&gt;&lt;year&gt;2011&lt;/year&gt;&lt;/dates&gt;&lt;pub-location&gt;Canberra,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rsidR="00EA2F38">
        <w:fldChar w:fldCharType="separate"/>
      </w:r>
      <w:r w:rsidR="007B7C47">
        <w:rPr>
          <w:noProof/>
        </w:rPr>
        <w:t>(</w:t>
      </w:r>
      <w:hyperlink w:anchor="_ENREF_9" w:tooltip="Brando, 2011 #4689" w:history="1">
        <w:r w:rsidR="007B7C47">
          <w:rPr>
            <w:noProof/>
          </w:rPr>
          <w:t>Brando et al. 2011</w:t>
        </w:r>
      </w:hyperlink>
      <w:r w:rsidR="007B7C47">
        <w:rPr>
          <w:noProof/>
        </w:rPr>
        <w:t>)</w:t>
      </w:r>
      <w:r w:rsidR="00EA2F38">
        <w:fldChar w:fldCharType="end"/>
      </w:r>
      <w:r w:rsidR="005F5F09" w:rsidRPr="00A40CD0">
        <w:t xml:space="preserve"> </w:t>
      </w:r>
      <w:r w:rsidR="00A804F9">
        <w:t xml:space="preserve">where </w:t>
      </w:r>
      <w:r w:rsidR="00A804F9">
        <w:rPr>
          <w:lang w:eastAsia="en-AU"/>
        </w:rPr>
        <w:t xml:space="preserve">large differences in the </w:t>
      </w:r>
      <w:r w:rsidR="00A804F9">
        <w:t>CHL</w:t>
      </w:r>
      <w:r w:rsidR="00A804F9">
        <w:rPr>
          <w:lang w:eastAsia="en-AU"/>
        </w:rPr>
        <w:t xml:space="preserve"> signal were observed when the Open Coastal waters was compared to merged nearshore-coastal water, thus quantifying the effects of a </w:t>
      </w:r>
      <w:r w:rsidR="00A804F9">
        <w:t xml:space="preserve">delineation the Enclosed Coastal water body on the estimate of median values for the Burdekin coastal waters. </w:t>
      </w:r>
    </w:p>
    <w:p w:rsidR="009202A6" w:rsidRPr="007E294B" w:rsidRDefault="00B25CAA" w:rsidP="00C96201">
      <w:pPr>
        <w:pStyle w:val="Heading2"/>
      </w:pPr>
      <w:bookmarkStart w:id="57" w:name="_Toc302494782"/>
      <w:bookmarkStart w:id="58" w:name="_Ref303864823"/>
      <w:bookmarkStart w:id="59" w:name="_Toc228588174"/>
      <w:bookmarkStart w:id="60" w:name="_Toc399264884"/>
      <w:r w:rsidRPr="007E294B">
        <w:t>The clustering of the water masses</w:t>
      </w:r>
      <w:bookmarkEnd w:id="57"/>
      <w:bookmarkEnd w:id="58"/>
      <w:bookmarkEnd w:id="59"/>
      <w:bookmarkEnd w:id="60"/>
    </w:p>
    <w:p w:rsidR="00727B11" w:rsidRDefault="00A8317D" w:rsidP="002E0BD6">
      <w:pPr>
        <w:pStyle w:val="BodyText"/>
      </w:pPr>
      <w:r>
        <w:t>In the 2010/11 MMP report we presented a case study analysing the</w:t>
      </w:r>
      <w:r w:rsidR="00B25CAA" w:rsidRPr="00A40CD0">
        <w:t xml:space="preserve"> </w:t>
      </w:r>
      <w:r>
        <w:t xml:space="preserve">temporal patterns </w:t>
      </w:r>
      <w:r w:rsidRPr="00A40CD0">
        <w:t xml:space="preserve">in </w:t>
      </w:r>
      <w:r>
        <w:t xml:space="preserve">the </w:t>
      </w:r>
      <w:r w:rsidRPr="00A40CD0">
        <w:t>CHL</w:t>
      </w:r>
      <w:r>
        <w:t xml:space="preserve"> variability</w:t>
      </w:r>
      <w:r w:rsidRPr="00A40CD0">
        <w:t xml:space="preserve"> across the shelf</w:t>
      </w:r>
      <w:r>
        <w:t xml:space="preserve"> in the </w:t>
      </w:r>
      <w:r w:rsidR="00B25CAA" w:rsidRPr="00A40CD0">
        <w:t>Burdekin region</w:t>
      </w:r>
      <w:r w:rsidR="00A804F9">
        <w:t xml:space="preserve"> in ten years of MODIS data</w:t>
      </w:r>
      <w:r w:rsidR="00EA2F38">
        <w:fldChar w:fldCharType="begin"/>
      </w:r>
      <w:r w:rsidR="007B7C47">
        <w:instrText xml:space="preserve"> ADDIN EN.CITE &lt;EndNote&gt;&lt;Cite&gt;&lt;Author&gt;Brando&lt;/Author&gt;&lt;Year&gt;2011&lt;/Year&gt;&lt;RecNum&gt;4689&lt;/RecNum&gt;&lt;DisplayText&gt;(Brando et al. 2011)&lt;/DisplayText&gt;&lt;record&gt;&lt;rec-number&gt;4689&lt;/rec-number&gt;&lt;foreign-keys&gt;&lt;key app="EN" db-id="z0vwsaa0gfvsr1e2sr7p90rtdtevf52r2we9"&gt;4689&lt;/key&gt;&lt;/foreign-keys&gt;&lt;ref-type name="Report"&gt;27&lt;/ref-type&gt;&lt;contributors&gt;&lt;authors&gt;&lt;author&gt;Brando, V.E.&lt;/author&gt;&lt;author&gt;Schroeder, T.&lt;/author&gt;&lt;author&gt;Blondeau-Patissier, D.&lt;/author&gt;&lt;author&gt;Clementson, L.&lt;/author&gt;&lt;author&gt;Dekker, A.G.&lt;/author&gt;&lt;/authors&gt;&lt;/contributors&gt;&lt;titles&gt;&lt;title&gt;Reef Rescue Marine Monitoring Program: Using remote sensing for GBR-wide water quality. Final Report for 2010/2011 Activities.&lt;/title&gt;&lt;/titles&gt;&lt;keywords&gt;&lt;keyword&gt;Great Barrier Reef&lt;/keyword&gt;&lt;keyword&gt;Remote Sensing&lt;/keyword&gt;&lt;/keywords&gt;&lt;dates&gt;&lt;year&gt;2011&lt;/year&gt;&lt;/dates&gt;&lt;pub-location&gt;Canberra,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rsidR="00EA2F38">
        <w:fldChar w:fldCharType="separate"/>
      </w:r>
      <w:r w:rsidR="007B7C47">
        <w:rPr>
          <w:noProof/>
        </w:rPr>
        <w:t>(</w:t>
      </w:r>
      <w:hyperlink w:anchor="_ENREF_9" w:tooltip="Brando, 2011 #4689" w:history="1">
        <w:r w:rsidR="007B7C47">
          <w:rPr>
            <w:noProof/>
          </w:rPr>
          <w:t>Brando et al. 2011</w:t>
        </w:r>
      </w:hyperlink>
      <w:r w:rsidR="007B7C47">
        <w:rPr>
          <w:noProof/>
        </w:rPr>
        <w:t>)</w:t>
      </w:r>
      <w:r w:rsidR="00EA2F38">
        <w:fldChar w:fldCharType="end"/>
      </w:r>
      <w:r w:rsidR="00B25CAA" w:rsidRPr="00A40CD0">
        <w:t>. To</w:t>
      </w:r>
      <w:r w:rsidR="00A804F9">
        <w:t xml:space="preserve"> this aim</w:t>
      </w:r>
      <w:r w:rsidR="00B25CAA" w:rsidRPr="00A40CD0">
        <w:t xml:space="preserve"> biogeographical zones within which CHL concentrations display similar magnitude over time and space were statistically defined using the K-means c</w:t>
      </w:r>
      <w:r w:rsidR="006837B7">
        <w:t>lustering technique</w:t>
      </w:r>
      <w:r w:rsidR="00B25CAA" w:rsidRPr="00A40CD0">
        <w:t xml:space="preserve">. </w:t>
      </w:r>
      <w:r w:rsidR="00EE2AF0">
        <w:t xml:space="preserve"> </w:t>
      </w:r>
      <w:r w:rsidR="00727B11" w:rsidRPr="00A40CD0">
        <w:t>The K-means clustering of the Burdekin waters</w:t>
      </w:r>
      <w:r w:rsidR="00727B11">
        <w:t xml:space="preserve"> </w:t>
      </w:r>
      <w:r w:rsidR="00727B11" w:rsidRPr="00A40CD0">
        <w:t>resulted in five biogeographical clusters: nearshore, coastal, midshelf, lagoon and reef waters. The delineation of the five biogeographical clusters</w:t>
      </w:r>
      <w:r w:rsidR="00727B11">
        <w:t xml:space="preserve"> was</w:t>
      </w:r>
      <w:r w:rsidR="00727B11" w:rsidRPr="00A40CD0">
        <w:t xml:space="preserve"> rather different from the water bodies delineation based on the Guidelines, as they were derived using different water quality variables. </w:t>
      </w:r>
      <w:r w:rsidR="00727B11">
        <w:t xml:space="preserve"> In this section we will use the cluster </w:t>
      </w:r>
      <w:r w:rsidR="00EE2AF0">
        <w:t>analysis on 11 years of MODIS data to delineate t</w:t>
      </w:r>
      <w:r w:rsidR="00EE2AF0" w:rsidRPr="00B27788">
        <w:t>he seaward limit of the enclosed coastal water body</w:t>
      </w:r>
      <w:r w:rsidR="0005740A">
        <w:t xml:space="preserve"> in the six</w:t>
      </w:r>
      <w:r w:rsidR="00EE2AF0">
        <w:t xml:space="preserve"> NRM reporting regions</w:t>
      </w:r>
      <w:r w:rsidR="00727B11">
        <w:t>.</w:t>
      </w:r>
    </w:p>
    <w:p w:rsidR="009202A6" w:rsidRPr="00A40CD0" w:rsidRDefault="00727B11" w:rsidP="002E0BD6">
      <w:pPr>
        <w:pStyle w:val="BodyText"/>
      </w:pPr>
      <w:r>
        <w:t>The</w:t>
      </w:r>
      <w:r w:rsidRPr="00727B11">
        <w:t xml:space="preserve"> </w:t>
      </w:r>
      <w:r w:rsidRPr="00A40CD0">
        <w:t xml:space="preserve">K-means clustering technique </w:t>
      </w:r>
      <w:r>
        <w:t>i</w:t>
      </w:r>
      <w:r w:rsidR="0094732C" w:rsidRPr="00A40CD0">
        <w:t xml:space="preserve">s </w:t>
      </w:r>
      <w:r>
        <w:t xml:space="preserve">an </w:t>
      </w:r>
      <w:r w:rsidR="0094732C" w:rsidRPr="00A40CD0">
        <w:t xml:space="preserve">unsupervised, non-hierarchical clustering approach </w:t>
      </w:r>
      <w:r>
        <w:t xml:space="preserve"> that </w:t>
      </w:r>
      <w:r w:rsidR="0094732C" w:rsidRPr="00A40CD0">
        <w:t xml:space="preserve">groups pixels into a user-defined number of clusters </w:t>
      </w:r>
      <w:r w:rsidR="0094732C" w:rsidRPr="00A40CD0">
        <w:rPr>
          <w:i/>
        </w:rPr>
        <w:t>k</w:t>
      </w:r>
      <w:r w:rsidR="0094732C" w:rsidRPr="00A40CD0">
        <w:t>, usually determined from trial or expert knowledge</w:t>
      </w:r>
      <w:r w:rsidR="00B25CAA" w:rsidRPr="00A40CD0">
        <w:t xml:space="preserve"> (Wilks 2006)</w:t>
      </w:r>
      <w:r w:rsidR="0094732C" w:rsidRPr="00A40CD0">
        <w:t xml:space="preserve">. The </w:t>
      </w:r>
      <w:r w:rsidR="00B25CAA" w:rsidRPr="00A40CD0">
        <w:t>K</w:t>
      </w:r>
      <w:r w:rsidR="0094732C" w:rsidRPr="00A40CD0">
        <w:t xml:space="preserve">-means algorithm recalculates the group means of each cluster </w:t>
      </w:r>
      <w:r w:rsidR="0094732C" w:rsidRPr="00A40CD0">
        <w:rPr>
          <w:i/>
        </w:rPr>
        <w:t>k</w:t>
      </w:r>
      <w:r w:rsidR="0094732C" w:rsidRPr="00A40CD0">
        <w:t xml:space="preserve"> through an iterative process and reassigns each pixel value until it reaches the minimum squared Euclidean distance with respect to the new means</w:t>
      </w:r>
      <w:r w:rsidR="00B25CAA" w:rsidRPr="00A40CD0">
        <w:t xml:space="preserve"> (</w:t>
      </w:r>
      <w:r w:rsidR="00EA2F38">
        <w:fldChar w:fldCharType="begin"/>
      </w:r>
      <w:r w:rsidR="00D90A4A">
        <w:instrText xml:space="preserve"> REF _Ref316567583 \h </w:instrText>
      </w:r>
      <w:r w:rsidR="00EA2F38">
        <w:fldChar w:fldCharType="separate"/>
      </w:r>
      <w:r w:rsidR="00B11F3B" w:rsidRPr="00A40CD0">
        <w:t xml:space="preserve">Figure </w:t>
      </w:r>
      <w:r w:rsidR="00B11F3B">
        <w:rPr>
          <w:noProof/>
        </w:rPr>
        <w:t>3</w:t>
      </w:r>
      <w:r w:rsidR="00EA2F38">
        <w:fldChar w:fldCharType="end"/>
      </w:r>
      <w:r w:rsidR="00B25CAA" w:rsidRPr="00A40CD0">
        <w:t>)</w:t>
      </w:r>
      <w:r w:rsidR="0094732C" w:rsidRPr="00A40CD0">
        <w:t>.</w:t>
      </w:r>
    </w:p>
    <w:p w:rsidR="00B25CAA" w:rsidRPr="00A40CD0" w:rsidRDefault="009202A6" w:rsidP="00BE6A7E">
      <w:pPr>
        <w:jc w:val="both"/>
      </w:pPr>
      <w:r w:rsidRPr="00A40CD0">
        <w:rPr>
          <w:noProof/>
        </w:rPr>
        <w:lastRenderedPageBreak/>
        <w:drawing>
          <wp:inline distT="0" distB="0" distL="0" distR="0">
            <wp:extent cx="5470525" cy="2099310"/>
            <wp:effectExtent l="0" t="0" r="0" b="0"/>
            <wp:docPr id="11" name="Picture 22" descr="Illustration of the K-means clustering technique (modified from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5470525" cy="2099310"/>
                    </a:xfrm>
                    <a:prstGeom prst="rect">
                      <a:avLst/>
                    </a:prstGeom>
                    <a:noFill/>
                    <a:ln w="9525">
                      <a:noFill/>
                      <a:miter lim="800000"/>
                      <a:headEnd/>
                      <a:tailEnd/>
                    </a:ln>
                  </pic:spPr>
                </pic:pic>
              </a:graphicData>
            </a:graphic>
          </wp:inline>
        </w:drawing>
      </w:r>
    </w:p>
    <w:p w:rsidR="00B25CAA" w:rsidRPr="00A40CD0" w:rsidRDefault="00B25CAA" w:rsidP="00E62B87">
      <w:pPr>
        <w:pStyle w:val="Caption"/>
      </w:pPr>
      <w:bookmarkStart w:id="61" w:name="_Ref316567583"/>
      <w:bookmarkStart w:id="62" w:name="_Toc228588284"/>
      <w:bookmarkStart w:id="63" w:name="_Toc399264989"/>
      <w:r w:rsidRPr="00A40CD0">
        <w:t xml:space="preserve">Figure </w:t>
      </w:r>
      <w:r w:rsidR="00EA2F38" w:rsidRPr="00A40CD0">
        <w:fldChar w:fldCharType="begin"/>
      </w:r>
      <w:r w:rsidRPr="00A40CD0">
        <w:instrText xml:space="preserve"> SEQ Figure \* ARABIC </w:instrText>
      </w:r>
      <w:r w:rsidR="00EA2F38" w:rsidRPr="00A40CD0">
        <w:fldChar w:fldCharType="separate"/>
      </w:r>
      <w:r w:rsidR="00B11F3B">
        <w:rPr>
          <w:noProof/>
        </w:rPr>
        <w:t>3</w:t>
      </w:r>
      <w:r w:rsidR="00EA2F38" w:rsidRPr="00A40CD0">
        <w:fldChar w:fldCharType="end"/>
      </w:r>
      <w:bookmarkEnd w:id="61"/>
      <w:r w:rsidRPr="00A40CD0">
        <w:t xml:space="preserve"> </w:t>
      </w:r>
      <w:r w:rsidR="0094732C" w:rsidRPr="00A40CD0">
        <w:rPr>
          <w:rFonts w:cs="Arial"/>
          <w:sz w:val="20"/>
          <w:szCs w:val="20"/>
        </w:rPr>
        <w:t>Illustration of the K-means clustering technique (modified from Wikipedia)</w:t>
      </w:r>
      <w:r w:rsidRPr="00A40CD0">
        <w:t>.</w:t>
      </w:r>
      <w:bookmarkStart w:id="64" w:name="_Toc316567890"/>
      <w:bookmarkEnd w:id="62"/>
      <w:bookmarkEnd w:id="63"/>
      <w:bookmarkEnd w:id="64"/>
    </w:p>
    <w:p w:rsidR="00B25CAA" w:rsidRPr="00A40CD0" w:rsidRDefault="008B6DF5" w:rsidP="00C86B67">
      <w:pPr>
        <w:pStyle w:val="BodyText"/>
      </w:pPr>
      <w:r w:rsidRPr="00A40CD0">
        <w:t xml:space="preserve">For this study, the K-means classification was based on twelve multi-annual monthly median CHL maps of </w:t>
      </w:r>
      <w:r>
        <w:t xml:space="preserve">each of the MMP reporting </w:t>
      </w:r>
      <w:r w:rsidRPr="00A40CD0">
        <w:t>region</w:t>
      </w:r>
      <w:r>
        <w:t>s</w:t>
      </w:r>
      <w:r w:rsidRPr="00A40CD0">
        <w:t xml:space="preserve">. </w:t>
      </w:r>
      <w:r>
        <w:t>Consistently with the analysis performed in the previou</w:t>
      </w:r>
      <w:r w:rsidR="00216B81">
        <w:t xml:space="preserve">s report for the Burdekin region </w:t>
      </w:r>
      <w:r w:rsidR="00EA2F38">
        <w:fldChar w:fldCharType="begin"/>
      </w:r>
      <w:r w:rsidR="00AC2F22">
        <w:instrText xml:space="preserve"> ADDIN EN.CITE &lt;EndNote&gt;&lt;Cite&gt;&lt;Author&gt;Brando&lt;/Author&gt;&lt;Year&gt;2011&lt;/Year&gt;&lt;RecNum&gt;4689&lt;/RecNum&gt;&lt;DisplayText&gt;(Brando et al. 2011)&lt;/DisplayText&gt;&lt;record&gt;&lt;rec-number&gt;4689&lt;/rec-number&gt;&lt;foreign-keys&gt;&lt;key app="EN" db-id="z0vwsaa0gfvsr1e2sr7p90rtdtevf52r2we9"&gt;4689&lt;/key&gt;&lt;/foreign-keys&gt;&lt;ref-type name="Report"&gt;27&lt;/ref-type&gt;&lt;contributors&gt;&lt;authors&gt;&lt;author&gt;Brando, V.E.&lt;/author&gt;&lt;author&gt;Schroeder, T.&lt;/author&gt;&lt;author&gt;Blondeau-Patissier, D.&lt;/author&gt;&lt;author&gt;Clementson, L.&lt;/author&gt;&lt;author&gt;Dekker, A.G.&lt;/author&gt;&lt;/authors&gt;&lt;/contributors&gt;&lt;titles&gt;&lt;title&gt;Reef Rescue Marine Monitoring Program: Using remote sensing for GBR-wide water quality. Final Report for 2010/2011 Activities.&lt;/title&gt;&lt;/titles&gt;&lt;keywords&gt;&lt;keyword&gt;Great Barrier Reef&lt;/keyword&gt;&lt;keyword&gt;Remote Sensing&lt;/keyword&gt;&lt;/keywords&gt;&lt;dates&gt;&lt;year&gt;2011&lt;/year&gt;&lt;/dates&gt;&lt;pub-location&gt;Canberra,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rsidR="00EA2F38">
        <w:fldChar w:fldCharType="separate"/>
      </w:r>
      <w:r w:rsidR="00AC2F22">
        <w:t>(</w:t>
      </w:r>
      <w:hyperlink w:anchor="_ENREF_9" w:tooltip="Brando, 2011 #4689" w:history="1">
        <w:r w:rsidR="007B7C47">
          <w:t>Brando et al. 2011</w:t>
        </w:r>
      </w:hyperlink>
      <w:r w:rsidR="00AC2F22">
        <w:t>)</w:t>
      </w:r>
      <w:r w:rsidR="00EA2F38">
        <w:fldChar w:fldCharType="end"/>
      </w:r>
      <w:r>
        <w:t>, w</w:t>
      </w:r>
      <w:r w:rsidRPr="00A40CD0">
        <w:t xml:space="preserve">e constrained the clustering to a maximum number of 8 </w:t>
      </w:r>
      <w:r w:rsidR="00A866FD">
        <w:t xml:space="preserve">to 12 </w:t>
      </w:r>
      <w:r w:rsidRPr="00A40CD0">
        <w:t xml:space="preserve">classes determined from a maximum number of 20 iterations and a change threshold of 5%. </w:t>
      </w:r>
      <w:r w:rsidR="00A866FD">
        <w:t xml:space="preserve"> The final number of classes was selected also based on local knowledge, so these areas match with areas having most of the the physical features required to define the enclosed waters. </w:t>
      </w:r>
      <w:r w:rsidRPr="00A40CD0">
        <w:t>A post-classification technique was performed on the initial clustering results in order to reallocate isolated pixels to a class belonging to the majority of the pixels comprised in a 3x3 pixel kernel.</w:t>
      </w:r>
    </w:p>
    <w:p w:rsidR="00EE2AF0" w:rsidRDefault="00CB35C0" w:rsidP="007E294B">
      <w:pPr>
        <w:pStyle w:val="Heading2"/>
      </w:pPr>
      <w:bookmarkStart w:id="65" w:name="_Toc399264885"/>
      <w:r>
        <w:t>Deline</w:t>
      </w:r>
      <w:r w:rsidR="00D64AA0">
        <w:t>ation of Enclosed coastal waters</w:t>
      </w:r>
      <w:bookmarkEnd w:id="65"/>
    </w:p>
    <w:p w:rsidR="006837B7" w:rsidRDefault="0067284B" w:rsidP="002E0BD6">
      <w:pPr>
        <w:pStyle w:val="BodyText"/>
      </w:pPr>
      <w:r>
        <w:t>As a result</w:t>
      </w:r>
      <w:r w:rsidR="006837B7">
        <w:t xml:space="preserve"> of the delineation of the </w:t>
      </w:r>
      <w:r w:rsidR="006837B7" w:rsidRPr="00B27788">
        <w:t>seaward limit of the enclosed coastal water body</w:t>
      </w:r>
      <w:r w:rsidR="006837B7">
        <w:t xml:space="preserve"> for the six NRM reporting</w:t>
      </w:r>
      <w:r w:rsidR="00344A35">
        <w:t xml:space="preserve"> regions</w:t>
      </w:r>
      <w:r>
        <w:t>, the Enclosed Coastal waters account for 15-30% of the inshore water bodies  (</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 The Enclosed Coastal waters</w:t>
      </w:r>
      <w:r w:rsidR="00344A35">
        <w:t xml:space="preserve"> </w:t>
      </w:r>
      <w:r>
        <w:t xml:space="preserve">for the six NRM regions </w:t>
      </w:r>
      <w:r w:rsidR="00344A35">
        <w:t>are</w:t>
      </w:r>
      <w:r>
        <w:t xml:space="preserve"> presented in Figures</w:t>
      </w:r>
      <w:r w:rsidR="00D64AA0">
        <w:t xml:space="preserve"> 4-9</w:t>
      </w:r>
      <w:r>
        <w:t>:</w:t>
      </w:r>
      <w:r w:rsidR="00344A35">
        <w:t xml:space="preserve"> </w:t>
      </w:r>
    </w:p>
    <w:p w:rsidR="002C54FF" w:rsidRDefault="00344A35" w:rsidP="002C54FF">
      <w:pPr>
        <w:pStyle w:val="BodyText"/>
        <w:numPr>
          <w:ilvl w:val="0"/>
          <w:numId w:val="28"/>
        </w:numPr>
      </w:pPr>
      <w:r>
        <w:t>In the Cape York region</w:t>
      </w:r>
      <w:r w:rsidR="0067284B">
        <w:t xml:space="preserve"> (</w:t>
      </w:r>
      <w:r w:rsidR="00EA2F38">
        <w:fldChar w:fldCharType="begin"/>
      </w:r>
      <w:r w:rsidR="0067284B">
        <w:instrText xml:space="preserve"> REF _Ref229921818 \h </w:instrText>
      </w:r>
      <w:r w:rsidR="00EA2F38">
        <w:fldChar w:fldCharType="separate"/>
      </w:r>
      <w:r w:rsidR="00B11F3B" w:rsidRPr="00A40CD0">
        <w:t xml:space="preserve">Figure </w:t>
      </w:r>
      <w:r w:rsidR="00B11F3B">
        <w:rPr>
          <w:noProof/>
        </w:rPr>
        <w:t>4</w:t>
      </w:r>
      <w:r w:rsidR="00EA2F38">
        <w:fldChar w:fldCharType="end"/>
      </w:r>
      <w:r w:rsidR="0067284B">
        <w:t>)</w:t>
      </w:r>
      <w:r>
        <w:t xml:space="preserve">, </w:t>
      </w:r>
      <w:r w:rsidR="0067284B">
        <w:t>t</w:t>
      </w:r>
      <w:r>
        <w:t xml:space="preserve">he Enclosed Coastal </w:t>
      </w:r>
      <w:r w:rsidRPr="00A40CD0">
        <w:t>marine water body</w:t>
      </w:r>
      <w:r>
        <w:t xml:space="preserve"> accounts for ~30% of the inshore waters used for P2R reporting and for most of the area in </w:t>
      </w:r>
      <w:r w:rsidRPr="00A40CD0">
        <w:t>Princess Charlotte Bay</w:t>
      </w:r>
      <w:r>
        <w:t xml:space="preserve"> </w:t>
      </w:r>
      <w:r w:rsidR="00D756F5">
        <w:t xml:space="preserve">where the seaward limit of the enclosed coastal waters coincided with the outer boundary for the Open Coastal </w:t>
      </w:r>
      <w:r w:rsidR="00D756F5" w:rsidRPr="00A40CD0">
        <w:t>water</w:t>
      </w:r>
      <w:r w:rsidR="00D756F5">
        <w:t>s</w:t>
      </w:r>
      <w:r w:rsidR="0067284B">
        <w:t>, delineated at</w:t>
      </w:r>
      <w:r w:rsidR="0067284B" w:rsidRPr="00A40CD0">
        <w:t xml:space="preserve"> 6 km from shore </w:t>
      </w:r>
      <w:r w:rsidR="0067284B">
        <w:t>(</w:t>
      </w:r>
      <w:r w:rsidR="00EA2F38">
        <w:fldChar w:fldCharType="begin"/>
      </w:r>
      <w:r w:rsidR="0067284B">
        <w:instrText xml:space="preserve"> REF _Ref229925322 \h </w:instrText>
      </w:r>
      <w:r w:rsidR="00EA2F38">
        <w:fldChar w:fldCharType="separate"/>
      </w:r>
      <w:r w:rsidR="00B11F3B" w:rsidRPr="00A40CD0">
        <w:t xml:space="preserve">Table </w:t>
      </w:r>
      <w:r w:rsidR="00B11F3B">
        <w:rPr>
          <w:noProof/>
        </w:rPr>
        <w:t>2</w:t>
      </w:r>
      <w:r w:rsidR="00EA2F38">
        <w:fldChar w:fldCharType="end"/>
      </w:r>
      <w:r w:rsidR="0067284B">
        <w:t>)</w:t>
      </w:r>
      <w:r w:rsidR="00EA2F38" w:rsidRPr="00A40CD0">
        <w:fldChar w:fldCharType="begin"/>
      </w:r>
      <w:r w:rsidR="00F32695">
        <w:instrText xml:space="preserve"> ADDIN EN.CITE &lt;EndNote&gt;&lt;Cite&gt;&lt;Author&gt;GBRMPA&lt;/Author&gt;&lt;Year&gt;2009&lt;/Year&gt;&lt;RecNum&gt;4612&lt;/RecNum&gt;&lt;Prefix&gt;Table 1`, &lt;/Prefix&gt;&lt;DisplayText&gt;(Table 1,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EA2F38" w:rsidRPr="00A40CD0">
        <w:fldChar w:fldCharType="separate"/>
      </w:r>
      <w:r w:rsidR="00F32695">
        <w:rPr>
          <w:noProof/>
        </w:rPr>
        <w:t>(</w:t>
      </w:r>
      <w:hyperlink w:anchor="_ENREF_23" w:tooltip="GBRMPA, 2009 #4612" w:history="1">
        <w:r w:rsidR="007B7C47">
          <w:rPr>
            <w:noProof/>
          </w:rPr>
          <w:t>Table 1, GBRMPA 2009</w:t>
        </w:r>
      </w:hyperlink>
      <w:r w:rsidR="00F32695">
        <w:rPr>
          <w:noProof/>
        </w:rPr>
        <w:t>)</w:t>
      </w:r>
      <w:r w:rsidR="00EA2F38" w:rsidRPr="00A40CD0">
        <w:fldChar w:fldCharType="end"/>
      </w:r>
      <w:r w:rsidR="0067284B">
        <w:t>.</w:t>
      </w:r>
      <w:r w:rsidR="00D756F5">
        <w:t xml:space="preserve"> Also, </w:t>
      </w:r>
      <w:r w:rsidR="00446023">
        <w:t xml:space="preserve">several enclosed north facing embayments characterized by shallow waters and resuspension such as </w:t>
      </w:r>
      <w:r w:rsidR="00BD2107">
        <w:t>Shelburne Bay, Templ</w:t>
      </w:r>
      <w:r w:rsidR="00BB0B57">
        <w:t>e Bay</w:t>
      </w:r>
      <w:r w:rsidR="00BD2107">
        <w:t xml:space="preserve">, </w:t>
      </w:r>
      <w:r w:rsidR="00BB0B57">
        <w:t>Loyds Bay, Bathurst Bay and Ninian Bay</w:t>
      </w:r>
      <w:r w:rsidR="00446023">
        <w:t xml:space="preserve"> were identified.</w:t>
      </w:r>
      <w:r w:rsidR="002C54FF" w:rsidRPr="002C54FF">
        <w:t xml:space="preserve"> </w:t>
      </w:r>
    </w:p>
    <w:p w:rsidR="002C54FF" w:rsidRDefault="002C54FF" w:rsidP="002C54FF">
      <w:pPr>
        <w:pStyle w:val="BodyText"/>
        <w:numPr>
          <w:ilvl w:val="0"/>
          <w:numId w:val="28"/>
        </w:numPr>
      </w:pPr>
      <w:r>
        <w:t>In the Wet Tropics region (</w:t>
      </w:r>
      <w:r w:rsidR="00EA2F38">
        <w:fldChar w:fldCharType="begin"/>
      </w:r>
      <w:r>
        <w:instrText xml:space="preserve"> REF _Ref229921835 \h </w:instrText>
      </w:r>
      <w:r w:rsidR="00EA2F38">
        <w:fldChar w:fldCharType="separate"/>
      </w:r>
      <w:r w:rsidR="00B11F3B" w:rsidRPr="00A40CD0">
        <w:t xml:space="preserve">Figure </w:t>
      </w:r>
      <w:r w:rsidR="00B11F3B">
        <w:rPr>
          <w:noProof/>
        </w:rPr>
        <w:t>5</w:t>
      </w:r>
      <w:r w:rsidR="00EA2F38">
        <w:fldChar w:fldCharType="end"/>
      </w:r>
      <w:r>
        <w:t xml:space="preserve">), the Enclosed Coastal </w:t>
      </w:r>
      <w:r w:rsidRPr="00A40CD0">
        <w:t>marine water body</w:t>
      </w:r>
      <w:r>
        <w:t xml:space="preserve"> accounts for ~15% of the inshore waters used for P2R reporting (</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 xml:space="preserve">). The </w:t>
      </w:r>
      <w:r w:rsidRPr="00B27788">
        <w:t xml:space="preserve">enclosed waters </w:t>
      </w:r>
      <w:r>
        <w:t>included the Mossman- Daintree, Barron and Herbert River estuary mouths. In Rockingham</w:t>
      </w:r>
      <w:r w:rsidRPr="00A40CD0">
        <w:t xml:space="preserve"> Bay</w:t>
      </w:r>
      <w:r>
        <w:t xml:space="preserve"> the </w:t>
      </w:r>
      <w:r w:rsidRPr="00B27788">
        <w:t>seaward limit of the enclosed coastal water</w:t>
      </w:r>
      <w:r>
        <w:t>s coincides with the outer boundary for the Open</w:t>
      </w:r>
      <w:r w:rsidRPr="00A40CD0">
        <w:t xml:space="preserve"> Coastal</w:t>
      </w:r>
      <w:r>
        <w:t xml:space="preserve"> waters in front of the Tully and Murray river mouths.</w:t>
      </w:r>
    </w:p>
    <w:p w:rsidR="002C54FF" w:rsidRPr="00A40CD0" w:rsidRDefault="002C54FF" w:rsidP="002C54FF">
      <w:pPr>
        <w:pStyle w:val="BodyText"/>
        <w:numPr>
          <w:ilvl w:val="0"/>
          <w:numId w:val="28"/>
        </w:numPr>
      </w:pPr>
      <w:r>
        <w:t>In the Burdekin Region (</w:t>
      </w:r>
      <w:r w:rsidR="00EA2F38">
        <w:fldChar w:fldCharType="begin"/>
      </w:r>
      <w:r>
        <w:instrText xml:space="preserve"> REF _Ref229921858 \h </w:instrText>
      </w:r>
      <w:r w:rsidR="00EA2F38">
        <w:fldChar w:fldCharType="separate"/>
      </w:r>
      <w:r w:rsidR="00B11F3B" w:rsidRPr="00A40CD0">
        <w:t xml:space="preserve">Figure </w:t>
      </w:r>
      <w:r w:rsidR="00B11F3B">
        <w:rPr>
          <w:noProof/>
        </w:rPr>
        <w:t>6</w:t>
      </w:r>
      <w:r w:rsidR="00EA2F38">
        <w:fldChar w:fldCharType="end"/>
      </w:r>
      <w:r>
        <w:t xml:space="preserve">), the Enclosed Coastal </w:t>
      </w:r>
      <w:r w:rsidRPr="00A40CD0">
        <w:t>marine water body</w:t>
      </w:r>
      <w:r>
        <w:t xml:space="preserve"> accounts for ~15% of the inshore waters used for P2R reporting mostly in front of the mouth of the Burdekin River and in the shallow waters of Cleveland Bay and Bowling Green Bay.</w:t>
      </w:r>
    </w:p>
    <w:p w:rsidR="002C54FF" w:rsidRDefault="002C54FF" w:rsidP="002C54FF">
      <w:pPr>
        <w:pStyle w:val="BodyText"/>
        <w:numPr>
          <w:ilvl w:val="0"/>
          <w:numId w:val="28"/>
        </w:numPr>
      </w:pPr>
      <w:r w:rsidRPr="00A40CD0">
        <w:lastRenderedPageBreak/>
        <w:t>F</w:t>
      </w:r>
      <w:r>
        <w:t>or the Mackay Whitsunday region (</w:t>
      </w:r>
      <w:r w:rsidR="00EA2F38">
        <w:fldChar w:fldCharType="begin"/>
      </w:r>
      <w:r>
        <w:instrText xml:space="preserve"> REF _Ref229921870 \h </w:instrText>
      </w:r>
      <w:r w:rsidR="00EA2F38">
        <w:fldChar w:fldCharType="separate"/>
      </w:r>
      <w:r w:rsidR="00B11F3B" w:rsidRPr="00A40CD0">
        <w:t xml:space="preserve">Figure </w:t>
      </w:r>
      <w:r w:rsidR="00B11F3B">
        <w:rPr>
          <w:noProof/>
        </w:rPr>
        <w:t>7</w:t>
      </w:r>
      <w:r w:rsidR="00EA2F38">
        <w:fldChar w:fldCharType="end"/>
      </w:r>
      <w:r>
        <w:t xml:space="preserve">), the Enclosed Coastal </w:t>
      </w:r>
      <w:r w:rsidRPr="00A40CD0">
        <w:t>marine water body</w:t>
      </w:r>
      <w:r>
        <w:t xml:space="preserve"> accounts for ~20% of the inshore waters used for P2R reporting and for most of the area in Port of Bowen, Repulse Bay and Broad Sound. </w:t>
      </w:r>
    </w:p>
    <w:p w:rsidR="002C54FF" w:rsidRDefault="002C54FF" w:rsidP="002C54FF">
      <w:pPr>
        <w:pStyle w:val="BodyText"/>
        <w:numPr>
          <w:ilvl w:val="0"/>
          <w:numId w:val="28"/>
        </w:numPr>
      </w:pPr>
      <w:r>
        <w:t xml:space="preserve">The Enclosed Coastal </w:t>
      </w:r>
      <w:r w:rsidRPr="00A40CD0">
        <w:t>marine water body</w:t>
      </w:r>
      <w:r>
        <w:t xml:space="preserve"> of the Fitzroy region (</w:t>
      </w:r>
      <w:r w:rsidR="00EA2F38">
        <w:fldChar w:fldCharType="begin"/>
      </w:r>
      <w:r>
        <w:instrText xml:space="preserve"> REF _Ref229921883 \h </w:instrText>
      </w:r>
      <w:r w:rsidR="00EA2F38">
        <w:fldChar w:fldCharType="separate"/>
      </w:r>
      <w:r w:rsidR="00B11F3B" w:rsidRPr="00A40CD0">
        <w:t xml:space="preserve">Figure </w:t>
      </w:r>
      <w:r w:rsidR="00B11F3B">
        <w:rPr>
          <w:noProof/>
        </w:rPr>
        <w:t>8</w:t>
      </w:r>
      <w:r w:rsidR="00EA2F38">
        <w:fldChar w:fldCharType="end"/>
      </w:r>
      <w:r>
        <w:t>) accounts for ~23% of the inshore waters used for P2R reporting and for most of the area in Keppel Bay, Port Curtis and in Broad Sound.</w:t>
      </w:r>
    </w:p>
    <w:p w:rsidR="002C54FF" w:rsidRDefault="002C54FF" w:rsidP="002C54FF">
      <w:pPr>
        <w:pStyle w:val="BodyText"/>
        <w:numPr>
          <w:ilvl w:val="0"/>
          <w:numId w:val="28"/>
        </w:numPr>
      </w:pPr>
      <w:r>
        <w:t xml:space="preserve">In the </w:t>
      </w:r>
      <w:r w:rsidRPr="00A40CD0">
        <w:t>GBRMPA section of the Burnett Mary NRM region</w:t>
      </w:r>
      <w:r>
        <w:t xml:space="preserve"> (</w:t>
      </w:r>
      <w:r w:rsidR="00EA2F38">
        <w:fldChar w:fldCharType="begin"/>
      </w:r>
      <w:r>
        <w:instrText xml:space="preserve"> REF _Ref229921952 \h </w:instrText>
      </w:r>
      <w:r w:rsidR="00EA2F38">
        <w:fldChar w:fldCharType="separate"/>
      </w:r>
      <w:r w:rsidR="00B11F3B" w:rsidRPr="00A40CD0">
        <w:t xml:space="preserve">Figure </w:t>
      </w:r>
      <w:r w:rsidR="00B11F3B">
        <w:rPr>
          <w:noProof/>
        </w:rPr>
        <w:t>9</w:t>
      </w:r>
      <w:r w:rsidR="00EA2F38">
        <w:fldChar w:fldCharType="end"/>
      </w:r>
      <w:r>
        <w:t xml:space="preserve">), the Enclosed Coastal </w:t>
      </w:r>
      <w:r w:rsidRPr="00A40CD0">
        <w:t>marine water body</w:t>
      </w:r>
      <w:r>
        <w:t xml:space="preserve"> accounts for ~21% of the inshore waters used for P2R reporting, mostly in Rodds Bay in front of Port Curtis.</w:t>
      </w:r>
    </w:p>
    <w:p w:rsidR="008B6DF5" w:rsidRDefault="008B6DF5" w:rsidP="004834C4">
      <w:pPr>
        <w:pStyle w:val="BodyText"/>
        <w:ind w:left="720"/>
      </w:pPr>
    </w:p>
    <w:p w:rsidR="00344A35" w:rsidRDefault="00344A35" w:rsidP="00344A35">
      <w:pPr>
        <w:pStyle w:val="Caption"/>
        <w:keepNext/>
      </w:pPr>
      <w:bookmarkStart w:id="66" w:name="_Ref353451052"/>
      <w:bookmarkStart w:id="67" w:name="_Toc228588230"/>
      <w:bookmarkStart w:id="68" w:name="_Toc399264934"/>
      <w:r>
        <w:t xml:space="preserve">Table </w:t>
      </w:r>
      <w:fldSimple w:instr=" SEQ Table \* ARABIC ">
        <w:r w:rsidR="00B11F3B">
          <w:rPr>
            <w:noProof/>
          </w:rPr>
          <w:t>5</w:t>
        </w:r>
      </w:fldSimple>
      <w:bookmarkEnd w:id="66"/>
      <w:r>
        <w:t xml:space="preserve"> Summary of surface areas (Km</w:t>
      </w:r>
      <w:r w:rsidRPr="00957A77">
        <w:rPr>
          <w:vertAlign w:val="superscript"/>
        </w:rPr>
        <w:t>2</w:t>
      </w:r>
      <w:r>
        <w:t>) of all water bodies in the six GBR reporting regions. EC/IS is relative area of the Enclosed Coastal waters compared to the surface of the Coastal waters.</w:t>
      </w:r>
      <w:bookmarkEnd w:id="67"/>
      <w:bookmarkEnd w:id="68"/>
    </w:p>
    <w:tbl>
      <w:tblPr>
        <w:tblW w:w="8476"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4"/>
        <w:gridCol w:w="1023"/>
        <w:gridCol w:w="960"/>
        <w:gridCol w:w="960"/>
        <w:gridCol w:w="1021"/>
        <w:gridCol w:w="1018"/>
        <w:gridCol w:w="960"/>
      </w:tblGrid>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p>
        </w:tc>
        <w:tc>
          <w:tcPr>
            <w:tcW w:w="1023" w:type="dxa"/>
            <w:shd w:val="clear" w:color="auto" w:fill="auto"/>
            <w:noWrap/>
            <w:vAlign w:val="bottom"/>
            <w:hideMark/>
          </w:tcPr>
          <w:p w:rsidR="00344A35" w:rsidRDefault="00344A35" w:rsidP="00344A35">
            <w:pPr>
              <w:rPr>
                <w:rFonts w:ascii="Calibri" w:hAnsi="Calibri"/>
                <w:b/>
                <w:bCs/>
                <w:color w:val="000000"/>
              </w:rPr>
            </w:pPr>
            <w:r>
              <w:rPr>
                <w:rFonts w:ascii="Calibri" w:hAnsi="Calibri"/>
                <w:b/>
                <w:bCs/>
                <w:color w:val="000000"/>
              </w:rPr>
              <w:t>Enclosed Coastal</w:t>
            </w:r>
          </w:p>
        </w:tc>
        <w:tc>
          <w:tcPr>
            <w:tcW w:w="960" w:type="dxa"/>
            <w:shd w:val="clear" w:color="auto" w:fill="auto"/>
            <w:noWrap/>
            <w:vAlign w:val="bottom"/>
            <w:hideMark/>
          </w:tcPr>
          <w:p w:rsidR="00344A35" w:rsidRDefault="00344A35" w:rsidP="00344A35">
            <w:pPr>
              <w:rPr>
                <w:rFonts w:ascii="Calibri" w:hAnsi="Calibri"/>
                <w:b/>
                <w:bCs/>
                <w:color w:val="000000"/>
              </w:rPr>
            </w:pPr>
            <w:r>
              <w:rPr>
                <w:rFonts w:ascii="Calibri" w:hAnsi="Calibri"/>
                <w:b/>
                <w:bCs/>
                <w:color w:val="000000"/>
              </w:rPr>
              <w:t>Open Coastal</w:t>
            </w:r>
          </w:p>
        </w:tc>
        <w:tc>
          <w:tcPr>
            <w:tcW w:w="960" w:type="dxa"/>
            <w:shd w:val="clear" w:color="auto" w:fill="auto"/>
            <w:noWrap/>
            <w:vAlign w:val="bottom"/>
            <w:hideMark/>
          </w:tcPr>
          <w:p w:rsidR="00344A35" w:rsidRDefault="00344A35" w:rsidP="00344A35">
            <w:pPr>
              <w:rPr>
                <w:rFonts w:ascii="Calibri" w:hAnsi="Calibri"/>
                <w:b/>
                <w:bCs/>
                <w:color w:val="000000"/>
              </w:rPr>
            </w:pPr>
            <w:r>
              <w:rPr>
                <w:rFonts w:ascii="Calibri" w:hAnsi="Calibri"/>
                <w:b/>
                <w:bCs/>
                <w:color w:val="000000"/>
              </w:rPr>
              <w:t>Inshore</w:t>
            </w:r>
          </w:p>
        </w:tc>
        <w:tc>
          <w:tcPr>
            <w:tcW w:w="1021" w:type="dxa"/>
            <w:shd w:val="clear" w:color="auto" w:fill="auto"/>
            <w:noWrap/>
            <w:vAlign w:val="bottom"/>
            <w:hideMark/>
          </w:tcPr>
          <w:p w:rsidR="00344A35" w:rsidRDefault="00344A35" w:rsidP="00344A35">
            <w:pPr>
              <w:rPr>
                <w:rFonts w:ascii="Calibri" w:hAnsi="Calibri"/>
                <w:b/>
                <w:bCs/>
                <w:color w:val="000000"/>
              </w:rPr>
            </w:pPr>
            <w:r>
              <w:rPr>
                <w:rFonts w:ascii="Calibri" w:hAnsi="Calibri"/>
                <w:b/>
                <w:bCs/>
                <w:color w:val="000000"/>
              </w:rPr>
              <w:t>Midshelf</w:t>
            </w:r>
          </w:p>
        </w:tc>
        <w:tc>
          <w:tcPr>
            <w:tcW w:w="1018" w:type="dxa"/>
            <w:shd w:val="clear" w:color="auto" w:fill="auto"/>
            <w:noWrap/>
            <w:vAlign w:val="bottom"/>
            <w:hideMark/>
          </w:tcPr>
          <w:p w:rsidR="00344A35" w:rsidRDefault="00344A35" w:rsidP="00344A35">
            <w:pPr>
              <w:rPr>
                <w:rFonts w:ascii="Calibri" w:hAnsi="Calibri"/>
                <w:b/>
                <w:bCs/>
                <w:color w:val="000000"/>
              </w:rPr>
            </w:pPr>
            <w:r>
              <w:rPr>
                <w:rFonts w:ascii="Calibri" w:hAnsi="Calibri"/>
                <w:b/>
                <w:bCs/>
                <w:color w:val="000000"/>
              </w:rPr>
              <w:t>Offshore</w:t>
            </w:r>
          </w:p>
        </w:tc>
        <w:tc>
          <w:tcPr>
            <w:tcW w:w="960" w:type="dxa"/>
            <w:shd w:val="clear" w:color="auto" w:fill="auto"/>
            <w:noWrap/>
            <w:vAlign w:val="bottom"/>
            <w:hideMark/>
          </w:tcPr>
          <w:p w:rsidR="00344A35" w:rsidRDefault="00344A35" w:rsidP="00344A35">
            <w:pPr>
              <w:rPr>
                <w:rFonts w:ascii="Calibri" w:hAnsi="Calibri"/>
                <w:b/>
                <w:bCs/>
                <w:i/>
                <w:iCs/>
                <w:color w:val="000000"/>
              </w:rPr>
            </w:pPr>
            <w:r>
              <w:rPr>
                <w:rFonts w:ascii="Calibri" w:hAnsi="Calibri"/>
                <w:b/>
                <w:bCs/>
                <w:i/>
                <w:iCs/>
                <w:color w:val="000000"/>
              </w:rPr>
              <w:t>EC/IS</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sidRPr="004A54B5">
              <w:rPr>
                <w:b/>
              </w:rPr>
              <w:t>Cape York</w:t>
            </w:r>
          </w:p>
        </w:tc>
        <w:tc>
          <w:tcPr>
            <w:tcW w:w="1023"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1291</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3004</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4295</w:t>
            </w:r>
          </w:p>
        </w:tc>
        <w:tc>
          <w:tcPr>
            <w:tcW w:w="1021"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10544</w:t>
            </w:r>
          </w:p>
        </w:tc>
        <w:tc>
          <w:tcPr>
            <w:tcW w:w="1018"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62344</w:t>
            </w:r>
          </w:p>
        </w:tc>
        <w:tc>
          <w:tcPr>
            <w:tcW w:w="960" w:type="dxa"/>
            <w:shd w:val="clear" w:color="auto" w:fill="auto"/>
            <w:noWrap/>
            <w:vAlign w:val="bottom"/>
            <w:hideMark/>
          </w:tcPr>
          <w:p w:rsidR="00344A35" w:rsidRPr="004A54B5" w:rsidRDefault="00344A35" w:rsidP="00344A35">
            <w:pPr>
              <w:jc w:val="right"/>
              <w:rPr>
                <w:rFonts w:ascii="Calibri" w:hAnsi="Calibri"/>
                <w:i/>
                <w:color w:val="000000"/>
              </w:rPr>
            </w:pPr>
            <w:r w:rsidRPr="004A54B5">
              <w:rPr>
                <w:rFonts w:ascii="Calibri" w:hAnsi="Calibri"/>
                <w:i/>
                <w:color w:val="000000"/>
              </w:rPr>
              <w:t>30%</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sidRPr="004A54B5">
              <w:rPr>
                <w:b/>
              </w:rPr>
              <w:t>Wet Tropics</w:t>
            </w:r>
          </w:p>
        </w:tc>
        <w:tc>
          <w:tcPr>
            <w:tcW w:w="1023"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307</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1737</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2044</w:t>
            </w:r>
          </w:p>
        </w:tc>
        <w:tc>
          <w:tcPr>
            <w:tcW w:w="1021"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5859</w:t>
            </w:r>
          </w:p>
        </w:tc>
        <w:tc>
          <w:tcPr>
            <w:tcW w:w="1018"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19906</w:t>
            </w:r>
          </w:p>
        </w:tc>
        <w:tc>
          <w:tcPr>
            <w:tcW w:w="960" w:type="dxa"/>
            <w:shd w:val="clear" w:color="auto" w:fill="auto"/>
            <w:noWrap/>
            <w:vAlign w:val="bottom"/>
            <w:hideMark/>
          </w:tcPr>
          <w:p w:rsidR="00344A35" w:rsidRPr="004A54B5" w:rsidRDefault="00344A35" w:rsidP="00344A35">
            <w:pPr>
              <w:jc w:val="right"/>
              <w:rPr>
                <w:rFonts w:ascii="Calibri" w:hAnsi="Calibri"/>
                <w:i/>
                <w:color w:val="000000"/>
              </w:rPr>
            </w:pPr>
            <w:r w:rsidRPr="004A54B5">
              <w:rPr>
                <w:rFonts w:ascii="Calibri" w:hAnsi="Calibri"/>
                <w:i/>
                <w:color w:val="000000"/>
              </w:rPr>
              <w:t>15%</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sidRPr="004A54B5">
              <w:rPr>
                <w:b/>
              </w:rPr>
              <w:t>Burdekin</w:t>
            </w:r>
          </w:p>
        </w:tc>
        <w:tc>
          <w:tcPr>
            <w:tcW w:w="1023"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608</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3363</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3971</w:t>
            </w:r>
          </w:p>
        </w:tc>
        <w:tc>
          <w:tcPr>
            <w:tcW w:w="1021"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11065</w:t>
            </w:r>
          </w:p>
        </w:tc>
        <w:tc>
          <w:tcPr>
            <w:tcW w:w="1018"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26560</w:t>
            </w:r>
          </w:p>
        </w:tc>
        <w:tc>
          <w:tcPr>
            <w:tcW w:w="960" w:type="dxa"/>
            <w:shd w:val="clear" w:color="auto" w:fill="auto"/>
            <w:noWrap/>
            <w:vAlign w:val="bottom"/>
            <w:hideMark/>
          </w:tcPr>
          <w:p w:rsidR="00344A35" w:rsidRPr="004A54B5" w:rsidRDefault="00344A35" w:rsidP="00344A35">
            <w:pPr>
              <w:jc w:val="right"/>
              <w:rPr>
                <w:rFonts w:ascii="Calibri" w:hAnsi="Calibri"/>
                <w:i/>
                <w:color w:val="000000"/>
              </w:rPr>
            </w:pPr>
            <w:r w:rsidRPr="004A54B5">
              <w:rPr>
                <w:rFonts w:ascii="Calibri" w:hAnsi="Calibri"/>
                <w:i/>
                <w:color w:val="000000"/>
              </w:rPr>
              <w:t>15%</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sidRPr="004A54B5">
              <w:rPr>
                <w:b/>
              </w:rPr>
              <w:t>Mackay Whitsundays</w:t>
            </w:r>
          </w:p>
        </w:tc>
        <w:tc>
          <w:tcPr>
            <w:tcW w:w="1023"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925</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3651</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4576</w:t>
            </w:r>
          </w:p>
        </w:tc>
        <w:tc>
          <w:tcPr>
            <w:tcW w:w="1021"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11389</w:t>
            </w:r>
          </w:p>
        </w:tc>
        <w:tc>
          <w:tcPr>
            <w:tcW w:w="1018"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25580</w:t>
            </w:r>
          </w:p>
        </w:tc>
        <w:tc>
          <w:tcPr>
            <w:tcW w:w="960" w:type="dxa"/>
            <w:shd w:val="clear" w:color="auto" w:fill="auto"/>
            <w:noWrap/>
            <w:vAlign w:val="bottom"/>
            <w:hideMark/>
          </w:tcPr>
          <w:p w:rsidR="00344A35" w:rsidRPr="004A54B5" w:rsidRDefault="00344A35" w:rsidP="00344A35">
            <w:pPr>
              <w:jc w:val="right"/>
              <w:rPr>
                <w:rFonts w:ascii="Calibri" w:hAnsi="Calibri"/>
                <w:i/>
                <w:color w:val="000000"/>
              </w:rPr>
            </w:pPr>
            <w:r w:rsidRPr="004A54B5">
              <w:rPr>
                <w:rFonts w:ascii="Calibri" w:hAnsi="Calibri"/>
                <w:i/>
                <w:color w:val="000000"/>
              </w:rPr>
              <w:t>20%</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sidRPr="004A54B5">
              <w:rPr>
                <w:b/>
              </w:rPr>
              <w:t>Fitzroy</w:t>
            </w:r>
          </w:p>
        </w:tc>
        <w:tc>
          <w:tcPr>
            <w:tcW w:w="1023"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1336</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4583</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5919</w:t>
            </w:r>
          </w:p>
        </w:tc>
        <w:tc>
          <w:tcPr>
            <w:tcW w:w="1021"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18421</w:t>
            </w:r>
          </w:p>
        </w:tc>
        <w:tc>
          <w:tcPr>
            <w:tcW w:w="1018"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48664</w:t>
            </w:r>
          </w:p>
        </w:tc>
        <w:tc>
          <w:tcPr>
            <w:tcW w:w="960" w:type="dxa"/>
            <w:shd w:val="clear" w:color="auto" w:fill="auto"/>
            <w:noWrap/>
            <w:vAlign w:val="bottom"/>
            <w:hideMark/>
          </w:tcPr>
          <w:p w:rsidR="00344A35" w:rsidRPr="004A54B5" w:rsidRDefault="00344A35" w:rsidP="00344A35">
            <w:pPr>
              <w:jc w:val="right"/>
              <w:rPr>
                <w:rFonts w:ascii="Calibri" w:hAnsi="Calibri"/>
                <w:i/>
                <w:color w:val="000000"/>
              </w:rPr>
            </w:pPr>
            <w:r w:rsidRPr="004A54B5">
              <w:rPr>
                <w:rFonts w:ascii="Calibri" w:hAnsi="Calibri"/>
                <w:i/>
                <w:color w:val="000000"/>
              </w:rPr>
              <w:t>23%</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sidRPr="004A54B5">
              <w:rPr>
                <w:rFonts w:ascii="Calibri" w:hAnsi="Calibri"/>
                <w:b/>
                <w:color w:val="000000"/>
              </w:rPr>
              <w:t>Burnett Mary</w:t>
            </w:r>
          </w:p>
        </w:tc>
        <w:tc>
          <w:tcPr>
            <w:tcW w:w="1023"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154</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599</w:t>
            </w:r>
          </w:p>
        </w:tc>
        <w:tc>
          <w:tcPr>
            <w:tcW w:w="960"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753</w:t>
            </w:r>
          </w:p>
        </w:tc>
        <w:tc>
          <w:tcPr>
            <w:tcW w:w="1021"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3401</w:t>
            </w:r>
          </w:p>
        </w:tc>
        <w:tc>
          <w:tcPr>
            <w:tcW w:w="1018" w:type="dxa"/>
            <w:shd w:val="clear" w:color="auto" w:fill="auto"/>
            <w:noWrap/>
            <w:vAlign w:val="bottom"/>
            <w:hideMark/>
          </w:tcPr>
          <w:p w:rsidR="00344A35" w:rsidRPr="004A54B5" w:rsidRDefault="00344A35" w:rsidP="00344A35">
            <w:pPr>
              <w:jc w:val="right"/>
              <w:rPr>
                <w:rFonts w:ascii="Calibri" w:hAnsi="Calibri"/>
                <w:color w:val="000000"/>
              </w:rPr>
            </w:pPr>
            <w:r w:rsidRPr="004A54B5">
              <w:rPr>
                <w:rFonts w:ascii="Calibri" w:hAnsi="Calibri"/>
                <w:color w:val="000000"/>
              </w:rPr>
              <w:t>33928</w:t>
            </w:r>
          </w:p>
        </w:tc>
        <w:tc>
          <w:tcPr>
            <w:tcW w:w="960" w:type="dxa"/>
            <w:shd w:val="clear" w:color="auto" w:fill="auto"/>
            <w:noWrap/>
            <w:vAlign w:val="bottom"/>
            <w:hideMark/>
          </w:tcPr>
          <w:p w:rsidR="00344A35" w:rsidRPr="004A54B5" w:rsidRDefault="00344A35" w:rsidP="00344A35">
            <w:pPr>
              <w:jc w:val="right"/>
              <w:rPr>
                <w:rFonts w:ascii="Calibri" w:hAnsi="Calibri"/>
                <w:i/>
                <w:color w:val="000000"/>
              </w:rPr>
            </w:pPr>
            <w:r w:rsidRPr="004A54B5">
              <w:rPr>
                <w:rFonts w:ascii="Calibri" w:hAnsi="Calibri"/>
                <w:i/>
                <w:color w:val="000000"/>
              </w:rPr>
              <w:t>20%</w:t>
            </w:r>
          </w:p>
        </w:tc>
      </w:tr>
      <w:tr w:rsidR="00344A35" w:rsidRPr="004A54B5" w:rsidTr="00344A35">
        <w:trPr>
          <w:trHeight w:val="300"/>
        </w:trPr>
        <w:tc>
          <w:tcPr>
            <w:tcW w:w="2534" w:type="dxa"/>
            <w:shd w:val="clear" w:color="auto" w:fill="auto"/>
            <w:noWrap/>
            <w:vAlign w:val="bottom"/>
            <w:hideMark/>
          </w:tcPr>
          <w:p w:rsidR="00344A35" w:rsidRPr="004A54B5" w:rsidRDefault="00344A35" w:rsidP="00344A35">
            <w:pPr>
              <w:rPr>
                <w:rFonts w:ascii="Calibri" w:hAnsi="Calibri"/>
                <w:b/>
                <w:color w:val="000000"/>
              </w:rPr>
            </w:pPr>
            <w:r>
              <w:rPr>
                <w:rFonts w:ascii="Calibri" w:hAnsi="Calibri"/>
                <w:b/>
                <w:color w:val="000000"/>
              </w:rPr>
              <w:t>GBR</w:t>
            </w:r>
          </w:p>
        </w:tc>
        <w:tc>
          <w:tcPr>
            <w:tcW w:w="1023" w:type="dxa"/>
            <w:shd w:val="clear" w:color="auto" w:fill="auto"/>
            <w:noWrap/>
            <w:vAlign w:val="bottom"/>
            <w:hideMark/>
          </w:tcPr>
          <w:p w:rsidR="00344A35" w:rsidRDefault="00344A35" w:rsidP="00344A35">
            <w:pPr>
              <w:jc w:val="right"/>
              <w:rPr>
                <w:rFonts w:ascii="Calibri" w:hAnsi="Calibri"/>
                <w:color w:val="000000"/>
              </w:rPr>
            </w:pPr>
            <w:r>
              <w:rPr>
                <w:rFonts w:ascii="Calibri" w:hAnsi="Calibri"/>
                <w:color w:val="000000"/>
                <w:szCs w:val="22"/>
              </w:rPr>
              <w:t>4621</w:t>
            </w:r>
          </w:p>
        </w:tc>
        <w:tc>
          <w:tcPr>
            <w:tcW w:w="960" w:type="dxa"/>
            <w:shd w:val="clear" w:color="auto" w:fill="auto"/>
            <w:noWrap/>
            <w:vAlign w:val="bottom"/>
            <w:hideMark/>
          </w:tcPr>
          <w:p w:rsidR="00344A35" w:rsidRDefault="00344A35" w:rsidP="00344A35">
            <w:pPr>
              <w:jc w:val="right"/>
              <w:rPr>
                <w:rFonts w:ascii="Calibri" w:hAnsi="Calibri"/>
                <w:color w:val="000000"/>
              </w:rPr>
            </w:pPr>
            <w:r>
              <w:rPr>
                <w:rFonts w:ascii="Calibri" w:hAnsi="Calibri"/>
                <w:color w:val="000000"/>
                <w:szCs w:val="22"/>
              </w:rPr>
              <w:t>16937</w:t>
            </w:r>
          </w:p>
        </w:tc>
        <w:tc>
          <w:tcPr>
            <w:tcW w:w="960" w:type="dxa"/>
            <w:shd w:val="clear" w:color="auto" w:fill="auto"/>
            <w:noWrap/>
            <w:vAlign w:val="bottom"/>
            <w:hideMark/>
          </w:tcPr>
          <w:p w:rsidR="00344A35" w:rsidRDefault="00344A35" w:rsidP="00344A35">
            <w:pPr>
              <w:jc w:val="right"/>
              <w:rPr>
                <w:rFonts w:ascii="Calibri" w:hAnsi="Calibri"/>
                <w:color w:val="000000"/>
              </w:rPr>
            </w:pPr>
            <w:r>
              <w:rPr>
                <w:rFonts w:ascii="Calibri" w:hAnsi="Calibri"/>
                <w:color w:val="000000"/>
                <w:szCs w:val="22"/>
              </w:rPr>
              <w:t>21558</w:t>
            </w:r>
          </w:p>
        </w:tc>
        <w:tc>
          <w:tcPr>
            <w:tcW w:w="1021" w:type="dxa"/>
            <w:shd w:val="clear" w:color="auto" w:fill="auto"/>
            <w:noWrap/>
            <w:vAlign w:val="bottom"/>
            <w:hideMark/>
          </w:tcPr>
          <w:p w:rsidR="00344A35" w:rsidRDefault="00344A35" w:rsidP="00344A35">
            <w:pPr>
              <w:jc w:val="right"/>
              <w:rPr>
                <w:rFonts w:ascii="Calibri" w:hAnsi="Calibri"/>
                <w:color w:val="000000"/>
              </w:rPr>
            </w:pPr>
            <w:r>
              <w:rPr>
                <w:rFonts w:ascii="Calibri" w:hAnsi="Calibri"/>
                <w:color w:val="000000"/>
                <w:szCs w:val="22"/>
              </w:rPr>
              <w:t>60679</w:t>
            </w:r>
          </w:p>
        </w:tc>
        <w:tc>
          <w:tcPr>
            <w:tcW w:w="1018" w:type="dxa"/>
            <w:shd w:val="clear" w:color="auto" w:fill="auto"/>
            <w:noWrap/>
            <w:vAlign w:val="bottom"/>
            <w:hideMark/>
          </w:tcPr>
          <w:p w:rsidR="00344A35" w:rsidRDefault="00344A35" w:rsidP="00344A35">
            <w:pPr>
              <w:jc w:val="right"/>
              <w:rPr>
                <w:rFonts w:ascii="Calibri" w:hAnsi="Calibri"/>
                <w:color w:val="000000"/>
              </w:rPr>
            </w:pPr>
            <w:r>
              <w:rPr>
                <w:rFonts w:ascii="Calibri" w:hAnsi="Calibri"/>
                <w:color w:val="000000"/>
                <w:szCs w:val="22"/>
              </w:rPr>
              <w:t>216982</w:t>
            </w:r>
          </w:p>
        </w:tc>
        <w:tc>
          <w:tcPr>
            <w:tcW w:w="960" w:type="dxa"/>
            <w:shd w:val="clear" w:color="auto" w:fill="auto"/>
            <w:noWrap/>
            <w:vAlign w:val="bottom"/>
            <w:hideMark/>
          </w:tcPr>
          <w:p w:rsidR="00344A35" w:rsidRDefault="00344A35" w:rsidP="00344A35">
            <w:pPr>
              <w:jc w:val="right"/>
              <w:rPr>
                <w:rFonts w:ascii="Calibri" w:hAnsi="Calibri"/>
                <w:color w:val="000000"/>
              </w:rPr>
            </w:pPr>
            <w:r>
              <w:rPr>
                <w:rFonts w:ascii="Calibri" w:hAnsi="Calibri"/>
                <w:color w:val="000000"/>
                <w:szCs w:val="22"/>
              </w:rPr>
              <w:t>21%</w:t>
            </w:r>
          </w:p>
        </w:tc>
      </w:tr>
    </w:tbl>
    <w:p w:rsidR="00344A35" w:rsidRDefault="00344A35" w:rsidP="002E0BD6">
      <w:pPr>
        <w:pStyle w:val="BodyText"/>
      </w:pPr>
      <w:r>
        <w:rPr>
          <w:noProof/>
          <w:lang w:eastAsia="en-AU"/>
        </w:rPr>
        <w:lastRenderedPageBreak/>
        <w:drawing>
          <wp:inline distT="0" distB="0" distL="0" distR="0">
            <wp:extent cx="5759450" cy="8126095"/>
            <wp:effectExtent l="0" t="0" r="6350" b="1905"/>
            <wp:docPr id="5" name="Picture 5" descr="Delineation of the seaward limit of Enclosed Coastal waters for the Cape York region (light blue areas). Regional and cross shelf boundaries as defined by GBRMPA for the MMP 2008/09 reporting are presented as red l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s_2013.CPYK-B09.png"/>
                    <pic:cNvPicPr/>
                  </pic:nvPicPr>
                  <pic:blipFill>
                    <a:blip r:embed="rId22" cstate="email">
                      <a:extLst>
                        <a:ext uri="{28A0092B-C50C-407E-A947-70E740481C1C}">
                          <a14:useLocalDpi xmlns:a14="http://schemas.microsoft.com/office/drawing/2010/main"/>
                        </a:ext>
                      </a:extLst>
                    </a:blip>
                    <a:stretch>
                      <a:fillRect/>
                    </a:stretch>
                  </pic:blipFill>
                  <pic:spPr>
                    <a:xfrm>
                      <a:off x="0" y="0"/>
                      <a:ext cx="5759450" cy="8126095"/>
                    </a:xfrm>
                    <a:prstGeom prst="rect">
                      <a:avLst/>
                    </a:prstGeom>
                  </pic:spPr>
                </pic:pic>
              </a:graphicData>
            </a:graphic>
          </wp:inline>
        </w:drawing>
      </w:r>
    </w:p>
    <w:p w:rsidR="00344A35" w:rsidRDefault="00D64AA0" w:rsidP="002E0BD6">
      <w:pPr>
        <w:pStyle w:val="BodyText"/>
      </w:pPr>
      <w:bookmarkStart w:id="69" w:name="_Ref229921818"/>
      <w:bookmarkStart w:id="70" w:name="_Toc399264990"/>
      <w:r w:rsidRPr="00A40CD0">
        <w:t xml:space="preserve">Figure </w:t>
      </w:r>
      <w:fldSimple w:instr=" SEQ Figure \* ARABIC ">
        <w:r w:rsidR="00B11F3B">
          <w:rPr>
            <w:noProof/>
          </w:rPr>
          <w:t>4</w:t>
        </w:r>
      </w:fldSimple>
      <w:bookmarkEnd w:id="69"/>
      <w:r w:rsidRPr="00A40CD0">
        <w:t xml:space="preserve">. </w:t>
      </w:r>
      <w:r>
        <w:t xml:space="preserve">Delineation of the </w:t>
      </w:r>
      <w:r w:rsidRPr="00B27788">
        <w:t xml:space="preserve">seaward limit </w:t>
      </w:r>
      <w:r>
        <w:t>of Enclosed Coastal waters</w:t>
      </w:r>
      <w:r w:rsidRPr="00A40CD0">
        <w:t xml:space="preserve"> </w:t>
      </w:r>
      <w:r>
        <w:t xml:space="preserve">for the Cape York region (light blue areas). </w:t>
      </w:r>
      <w:r w:rsidRPr="00A40CD0">
        <w:t>Regi</w:t>
      </w:r>
      <w:r>
        <w:t xml:space="preserve">onal and cross shelf boundaries as </w:t>
      </w:r>
      <w:r w:rsidRPr="00A40CD0">
        <w:t>defined by GBRMPA for the MMP 2008/09 reporting</w:t>
      </w:r>
      <w:r>
        <w:t xml:space="preserve"> are presented as red lines.</w:t>
      </w:r>
      <w:bookmarkEnd w:id="70"/>
      <w:r>
        <w:t xml:space="preserve"> </w:t>
      </w:r>
    </w:p>
    <w:p w:rsidR="00344A35" w:rsidRDefault="00344A35" w:rsidP="002E0BD6">
      <w:pPr>
        <w:pStyle w:val="BodyText"/>
      </w:pPr>
      <w:r>
        <w:rPr>
          <w:noProof/>
          <w:lang w:eastAsia="en-AU"/>
        </w:rPr>
        <w:lastRenderedPageBreak/>
        <w:drawing>
          <wp:inline distT="0" distB="0" distL="0" distR="0">
            <wp:extent cx="3888000" cy="7164076"/>
            <wp:effectExtent l="0" t="0" r="0" b="0"/>
            <wp:docPr id="6" name="Picture 6" descr="Delineation of the seaward limit of Enclosed Coastal waters for the Wet Tropics region (light blue areas). Regional and cross shelf boundaries as defined by GBRMPA for the MMP 2008/09 reporting are presented as red l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s_2013.CNRS-B09.png"/>
                    <pic:cNvPicPr/>
                  </pic:nvPicPr>
                  <pic:blipFill>
                    <a:blip r:embed="rId23" cstate="email">
                      <a:extLst>
                        <a:ext uri="{28A0092B-C50C-407E-A947-70E740481C1C}">
                          <a14:useLocalDpi xmlns:a14="http://schemas.microsoft.com/office/drawing/2010/main"/>
                        </a:ext>
                      </a:extLst>
                    </a:blip>
                    <a:stretch>
                      <a:fillRect/>
                    </a:stretch>
                  </pic:blipFill>
                  <pic:spPr>
                    <a:xfrm>
                      <a:off x="0" y="0"/>
                      <a:ext cx="3888000" cy="7164076"/>
                    </a:xfrm>
                    <a:prstGeom prst="rect">
                      <a:avLst/>
                    </a:prstGeom>
                  </pic:spPr>
                </pic:pic>
              </a:graphicData>
            </a:graphic>
          </wp:inline>
        </w:drawing>
      </w:r>
    </w:p>
    <w:p w:rsidR="00D64AA0" w:rsidRDefault="00D64AA0" w:rsidP="002E0BD6">
      <w:pPr>
        <w:pStyle w:val="BodyText"/>
      </w:pPr>
      <w:bookmarkStart w:id="71" w:name="_Ref229921835"/>
      <w:bookmarkStart w:id="72" w:name="_Toc399264991"/>
      <w:r w:rsidRPr="00A40CD0">
        <w:t xml:space="preserve">Figure </w:t>
      </w:r>
      <w:fldSimple w:instr=" SEQ Figure \* ARABIC ">
        <w:r w:rsidR="00B11F3B">
          <w:rPr>
            <w:noProof/>
          </w:rPr>
          <w:t>5</w:t>
        </w:r>
      </w:fldSimple>
      <w:bookmarkEnd w:id="71"/>
      <w:r w:rsidRPr="00A40CD0">
        <w:t xml:space="preserve">. </w:t>
      </w:r>
      <w:r>
        <w:t xml:space="preserve">Delineation of the </w:t>
      </w:r>
      <w:r w:rsidRPr="00B27788">
        <w:t xml:space="preserve">seaward limit </w:t>
      </w:r>
      <w:r>
        <w:t>of Enclosed Coastal waters</w:t>
      </w:r>
      <w:r w:rsidRPr="00A40CD0">
        <w:t xml:space="preserve"> </w:t>
      </w:r>
      <w:r>
        <w:t xml:space="preserve">for the Wet Tropics region (light blue areas). </w:t>
      </w:r>
      <w:r w:rsidRPr="00A40CD0">
        <w:t>Regi</w:t>
      </w:r>
      <w:r>
        <w:t xml:space="preserve">onal and cross shelf boundaries as </w:t>
      </w:r>
      <w:r w:rsidRPr="00A40CD0">
        <w:t>defined by GBRMPA for the MMP 2008/09 reporting</w:t>
      </w:r>
      <w:r>
        <w:t xml:space="preserve"> are presented as red lines.</w:t>
      </w:r>
      <w:bookmarkEnd w:id="72"/>
      <w:r>
        <w:t xml:space="preserve"> </w:t>
      </w:r>
    </w:p>
    <w:p w:rsidR="00344A35" w:rsidRDefault="00344A35" w:rsidP="002E0BD6">
      <w:pPr>
        <w:pStyle w:val="BodyText"/>
      </w:pPr>
    </w:p>
    <w:p w:rsidR="00344A35" w:rsidRDefault="00344A35" w:rsidP="002E0BD6">
      <w:pPr>
        <w:pStyle w:val="BodyText"/>
      </w:pPr>
      <w:r>
        <w:rPr>
          <w:noProof/>
          <w:lang w:eastAsia="en-AU"/>
        </w:rPr>
        <w:lastRenderedPageBreak/>
        <w:drawing>
          <wp:inline distT="0" distB="0" distL="0" distR="0">
            <wp:extent cx="5759450" cy="4371975"/>
            <wp:effectExtent l="0" t="0" r="6350" b="0"/>
            <wp:docPr id="8" name="Picture 8" descr="Delineation of the seaward limit of Enclosed Coastal waters for the Burdekin region (light blue areas). Regional and cross shelf boundaries as defined by GBRMPA for the MMP 2008/09 reporting are presented as red l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s_2013.BDKN-B09.png"/>
                    <pic:cNvPicPr/>
                  </pic:nvPicPr>
                  <pic:blipFill>
                    <a:blip r:embed="rId24" cstate="email">
                      <a:extLst>
                        <a:ext uri="{28A0092B-C50C-407E-A947-70E740481C1C}">
                          <a14:useLocalDpi xmlns:a14="http://schemas.microsoft.com/office/drawing/2010/main"/>
                        </a:ext>
                      </a:extLst>
                    </a:blip>
                    <a:stretch>
                      <a:fillRect/>
                    </a:stretch>
                  </pic:blipFill>
                  <pic:spPr>
                    <a:xfrm>
                      <a:off x="0" y="0"/>
                      <a:ext cx="5759450" cy="4371975"/>
                    </a:xfrm>
                    <a:prstGeom prst="rect">
                      <a:avLst/>
                    </a:prstGeom>
                  </pic:spPr>
                </pic:pic>
              </a:graphicData>
            </a:graphic>
          </wp:inline>
        </w:drawing>
      </w:r>
    </w:p>
    <w:p w:rsidR="00D64AA0" w:rsidRDefault="00D64AA0" w:rsidP="002E0BD6">
      <w:pPr>
        <w:pStyle w:val="BodyText"/>
      </w:pPr>
      <w:bookmarkStart w:id="73" w:name="_Ref229921858"/>
      <w:bookmarkStart w:id="74" w:name="_Toc399264992"/>
      <w:r w:rsidRPr="00A40CD0">
        <w:t xml:space="preserve">Figure </w:t>
      </w:r>
      <w:fldSimple w:instr=" SEQ Figure \* ARABIC ">
        <w:r w:rsidR="00B11F3B">
          <w:rPr>
            <w:noProof/>
          </w:rPr>
          <w:t>6</w:t>
        </w:r>
      </w:fldSimple>
      <w:bookmarkEnd w:id="73"/>
      <w:r w:rsidRPr="00A40CD0">
        <w:t xml:space="preserve">. </w:t>
      </w:r>
      <w:r>
        <w:t xml:space="preserve">Delineation of the </w:t>
      </w:r>
      <w:r w:rsidRPr="00B27788">
        <w:t xml:space="preserve">seaward limit </w:t>
      </w:r>
      <w:r>
        <w:t>of Enclosed Coastal waters</w:t>
      </w:r>
      <w:r w:rsidRPr="00A40CD0">
        <w:t xml:space="preserve"> </w:t>
      </w:r>
      <w:r>
        <w:t>for t</w:t>
      </w:r>
      <w:r w:rsidR="0079416C">
        <w:t>he Bur</w:t>
      </w:r>
      <w:r>
        <w:t>d</w:t>
      </w:r>
      <w:r w:rsidR="0079416C">
        <w:t>e</w:t>
      </w:r>
      <w:r>
        <w:t xml:space="preserve">kin region (light blue areas). </w:t>
      </w:r>
      <w:r w:rsidRPr="00A40CD0">
        <w:t>Regi</w:t>
      </w:r>
      <w:r>
        <w:t xml:space="preserve">onal and cross shelf boundaries as </w:t>
      </w:r>
      <w:r w:rsidRPr="00A40CD0">
        <w:t>defined by GBRMPA for the MMP 2008/09 reporting</w:t>
      </w:r>
      <w:r>
        <w:t xml:space="preserve"> are presented as red lines.</w:t>
      </w:r>
      <w:bookmarkEnd w:id="74"/>
      <w:r>
        <w:t xml:space="preserve"> </w:t>
      </w:r>
    </w:p>
    <w:p w:rsidR="00D64AA0" w:rsidRDefault="00D64AA0" w:rsidP="002E0BD6">
      <w:pPr>
        <w:pStyle w:val="BodyText"/>
      </w:pPr>
    </w:p>
    <w:p w:rsidR="00344A35" w:rsidRDefault="00344A35" w:rsidP="002E0BD6">
      <w:pPr>
        <w:pStyle w:val="BodyText"/>
      </w:pPr>
      <w:r>
        <w:rPr>
          <w:noProof/>
          <w:lang w:eastAsia="en-AU"/>
        </w:rPr>
        <w:lastRenderedPageBreak/>
        <w:drawing>
          <wp:inline distT="0" distB="0" distL="0" distR="0">
            <wp:extent cx="5759450" cy="6035675"/>
            <wp:effectExtent l="0" t="0" r="6350" b="9525"/>
            <wp:docPr id="14" name="Picture 14" descr="Delineation of the seaward limit of Enclosed Coastal waters for the Mackay Whitsunday region (light blue areas). Regional and cross shelf boundaries as defined by GBRMPA for the MMP 2008/09 reporting are presented as red 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s_2013.MCKY-B09.png"/>
                    <pic:cNvPicPr/>
                  </pic:nvPicPr>
                  <pic:blipFill>
                    <a:blip r:embed="rId25" cstate="email">
                      <a:extLst>
                        <a:ext uri="{28A0092B-C50C-407E-A947-70E740481C1C}">
                          <a14:useLocalDpi xmlns:a14="http://schemas.microsoft.com/office/drawing/2010/main"/>
                        </a:ext>
                      </a:extLst>
                    </a:blip>
                    <a:stretch>
                      <a:fillRect/>
                    </a:stretch>
                  </pic:blipFill>
                  <pic:spPr>
                    <a:xfrm>
                      <a:off x="0" y="0"/>
                      <a:ext cx="5759450" cy="6035675"/>
                    </a:xfrm>
                    <a:prstGeom prst="rect">
                      <a:avLst/>
                    </a:prstGeom>
                  </pic:spPr>
                </pic:pic>
              </a:graphicData>
            </a:graphic>
          </wp:inline>
        </w:drawing>
      </w:r>
    </w:p>
    <w:p w:rsidR="00D64AA0" w:rsidRDefault="00D64AA0" w:rsidP="002E0BD6">
      <w:pPr>
        <w:pStyle w:val="BodyText"/>
      </w:pPr>
      <w:bookmarkStart w:id="75" w:name="_Ref229921870"/>
      <w:bookmarkStart w:id="76" w:name="_Toc399264993"/>
      <w:r w:rsidRPr="00A40CD0">
        <w:t xml:space="preserve">Figure </w:t>
      </w:r>
      <w:fldSimple w:instr=" SEQ Figure \* ARABIC ">
        <w:r w:rsidR="00B11F3B">
          <w:rPr>
            <w:noProof/>
          </w:rPr>
          <w:t>7</w:t>
        </w:r>
      </w:fldSimple>
      <w:bookmarkEnd w:id="75"/>
      <w:r w:rsidRPr="00A40CD0">
        <w:t xml:space="preserve">. </w:t>
      </w:r>
      <w:r>
        <w:t xml:space="preserve">Delineation of the </w:t>
      </w:r>
      <w:r w:rsidRPr="00B27788">
        <w:t xml:space="preserve">seaward limit </w:t>
      </w:r>
      <w:r>
        <w:t>of Enclosed Coastal waters</w:t>
      </w:r>
      <w:r w:rsidRPr="00A40CD0">
        <w:t xml:space="preserve"> </w:t>
      </w:r>
      <w:r>
        <w:t xml:space="preserve">for the Mackay Whitsunday region (light blue areas). </w:t>
      </w:r>
      <w:r w:rsidRPr="00A40CD0">
        <w:t>Regi</w:t>
      </w:r>
      <w:r>
        <w:t xml:space="preserve">onal and cross shelf boundaries as </w:t>
      </w:r>
      <w:r w:rsidRPr="00A40CD0">
        <w:t>defined by GBRMPA for the MMP 2008/09 reporting</w:t>
      </w:r>
      <w:r>
        <w:t xml:space="preserve"> are presented as red lines.</w:t>
      </w:r>
      <w:bookmarkEnd w:id="76"/>
      <w:r>
        <w:t xml:space="preserve"> </w:t>
      </w:r>
    </w:p>
    <w:p w:rsidR="00344A35" w:rsidRDefault="00344A35" w:rsidP="002E0BD6">
      <w:pPr>
        <w:pStyle w:val="BodyText"/>
      </w:pPr>
    </w:p>
    <w:p w:rsidR="00344A35" w:rsidRDefault="00344A35" w:rsidP="002E0BD6">
      <w:pPr>
        <w:pStyle w:val="BodyText"/>
      </w:pPr>
      <w:r>
        <w:rPr>
          <w:noProof/>
          <w:lang w:eastAsia="en-AU"/>
        </w:rPr>
        <w:lastRenderedPageBreak/>
        <w:drawing>
          <wp:inline distT="0" distB="0" distL="0" distR="0">
            <wp:extent cx="5759450" cy="6252845"/>
            <wp:effectExtent l="0" t="0" r="6350" b="0"/>
            <wp:docPr id="15" name="Picture 15" descr="Delineation of the seaward limit of Enclosed Coastal waters for the Fitzroy region (light blue areas). Regional and cross shelf boundaries as defined by GBRMPA for the MMP 2008/09 reporting are presented as red l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s_2013.FITZ-B09.png"/>
                    <pic:cNvPicPr/>
                  </pic:nvPicPr>
                  <pic:blipFill>
                    <a:blip r:embed="rId26" cstate="email">
                      <a:extLst>
                        <a:ext uri="{28A0092B-C50C-407E-A947-70E740481C1C}">
                          <a14:useLocalDpi xmlns:a14="http://schemas.microsoft.com/office/drawing/2010/main"/>
                        </a:ext>
                      </a:extLst>
                    </a:blip>
                    <a:stretch>
                      <a:fillRect/>
                    </a:stretch>
                  </pic:blipFill>
                  <pic:spPr>
                    <a:xfrm>
                      <a:off x="0" y="0"/>
                      <a:ext cx="5759450" cy="6252845"/>
                    </a:xfrm>
                    <a:prstGeom prst="rect">
                      <a:avLst/>
                    </a:prstGeom>
                  </pic:spPr>
                </pic:pic>
              </a:graphicData>
            </a:graphic>
          </wp:inline>
        </w:drawing>
      </w:r>
    </w:p>
    <w:p w:rsidR="00D64AA0" w:rsidRDefault="00D64AA0" w:rsidP="002E0BD6">
      <w:pPr>
        <w:pStyle w:val="BodyText"/>
      </w:pPr>
      <w:bookmarkStart w:id="77" w:name="_Ref229921883"/>
      <w:bookmarkStart w:id="78" w:name="_Toc399264994"/>
      <w:r w:rsidRPr="00A40CD0">
        <w:t xml:space="preserve">Figure </w:t>
      </w:r>
      <w:fldSimple w:instr=" SEQ Figure \* ARABIC ">
        <w:r w:rsidR="00B11F3B">
          <w:rPr>
            <w:noProof/>
          </w:rPr>
          <w:t>8</w:t>
        </w:r>
      </w:fldSimple>
      <w:bookmarkEnd w:id="77"/>
      <w:r w:rsidRPr="00A40CD0">
        <w:t xml:space="preserve">. </w:t>
      </w:r>
      <w:r>
        <w:t xml:space="preserve">Delineation of the </w:t>
      </w:r>
      <w:r w:rsidRPr="00B27788">
        <w:t xml:space="preserve">seaward limit </w:t>
      </w:r>
      <w:r>
        <w:t>of Enclosed Coastal waters</w:t>
      </w:r>
      <w:r w:rsidRPr="00A40CD0">
        <w:t xml:space="preserve"> </w:t>
      </w:r>
      <w:r>
        <w:t xml:space="preserve">for the Fitzroy region (light blue areas). </w:t>
      </w:r>
      <w:r w:rsidRPr="00A40CD0">
        <w:t>Regi</w:t>
      </w:r>
      <w:r>
        <w:t xml:space="preserve">onal and cross shelf boundaries as </w:t>
      </w:r>
      <w:r w:rsidRPr="00A40CD0">
        <w:t>defined by GBRMPA for the MMP 2008/09 reporting</w:t>
      </w:r>
      <w:r>
        <w:t xml:space="preserve"> are presented as red lines.</w:t>
      </w:r>
      <w:bookmarkEnd w:id="78"/>
      <w:r>
        <w:t xml:space="preserve"> </w:t>
      </w:r>
    </w:p>
    <w:p w:rsidR="00D64AA0" w:rsidRDefault="00D64AA0" w:rsidP="002E0BD6">
      <w:pPr>
        <w:pStyle w:val="BodyText"/>
      </w:pPr>
    </w:p>
    <w:p w:rsidR="00344A35" w:rsidRDefault="00344A35" w:rsidP="002E0BD6">
      <w:pPr>
        <w:pStyle w:val="BodyText"/>
      </w:pPr>
      <w:r>
        <w:rPr>
          <w:noProof/>
          <w:lang w:eastAsia="en-AU"/>
        </w:rPr>
        <w:lastRenderedPageBreak/>
        <w:drawing>
          <wp:inline distT="0" distB="0" distL="0" distR="0">
            <wp:extent cx="5759450" cy="7586980"/>
            <wp:effectExtent l="0" t="0" r="6350" b="7620"/>
            <wp:docPr id="9" name="Picture 9" descr="Delineation of the seaward limit of Enclosed Coastal waters for the Wet Tropics region (light blue areas). Regional and cross shelf boundaries as defined by GBRMPA for the MMP 2008/09 reporting are presented as red l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s_2013.MABU-B09.png"/>
                    <pic:cNvPicPr/>
                  </pic:nvPicPr>
                  <pic:blipFill>
                    <a:blip r:embed="rId27" cstate="email">
                      <a:extLst>
                        <a:ext uri="{28A0092B-C50C-407E-A947-70E740481C1C}">
                          <a14:useLocalDpi xmlns:a14="http://schemas.microsoft.com/office/drawing/2010/main"/>
                        </a:ext>
                      </a:extLst>
                    </a:blip>
                    <a:stretch>
                      <a:fillRect/>
                    </a:stretch>
                  </pic:blipFill>
                  <pic:spPr>
                    <a:xfrm>
                      <a:off x="0" y="0"/>
                      <a:ext cx="5759450" cy="7586980"/>
                    </a:xfrm>
                    <a:prstGeom prst="rect">
                      <a:avLst/>
                    </a:prstGeom>
                  </pic:spPr>
                </pic:pic>
              </a:graphicData>
            </a:graphic>
          </wp:inline>
        </w:drawing>
      </w:r>
    </w:p>
    <w:p w:rsidR="00D64AA0" w:rsidRDefault="00D64AA0" w:rsidP="002E0BD6">
      <w:pPr>
        <w:pStyle w:val="BodyText"/>
      </w:pPr>
      <w:bookmarkStart w:id="79" w:name="_Ref229921952"/>
      <w:bookmarkStart w:id="80" w:name="_Toc399264995"/>
      <w:r w:rsidRPr="00A40CD0">
        <w:t xml:space="preserve">Figure </w:t>
      </w:r>
      <w:fldSimple w:instr=" SEQ Figure \* ARABIC ">
        <w:r w:rsidR="00B11F3B">
          <w:rPr>
            <w:noProof/>
          </w:rPr>
          <w:t>9</w:t>
        </w:r>
      </w:fldSimple>
      <w:bookmarkEnd w:id="79"/>
      <w:r w:rsidRPr="00A40CD0">
        <w:t xml:space="preserve">. </w:t>
      </w:r>
      <w:r>
        <w:t xml:space="preserve">Delineation of the </w:t>
      </w:r>
      <w:r w:rsidRPr="00B27788">
        <w:t xml:space="preserve">seaward limit </w:t>
      </w:r>
      <w:r>
        <w:t>of Enclosed Coastal waters</w:t>
      </w:r>
      <w:r w:rsidRPr="00A40CD0">
        <w:t xml:space="preserve"> </w:t>
      </w:r>
      <w:r>
        <w:t xml:space="preserve">for the Wet Tropics region (light blue areas). </w:t>
      </w:r>
      <w:r w:rsidRPr="00A40CD0">
        <w:t>Regi</w:t>
      </w:r>
      <w:r>
        <w:t xml:space="preserve">onal and cross shelf boundaries as </w:t>
      </w:r>
      <w:r w:rsidRPr="00A40CD0">
        <w:t>defined by GBRMPA for the MMP 2008/09 reporting</w:t>
      </w:r>
      <w:r>
        <w:t xml:space="preserve"> are presented as red lines.</w:t>
      </w:r>
      <w:bookmarkEnd w:id="80"/>
      <w:r>
        <w:t xml:space="preserve"> </w:t>
      </w:r>
    </w:p>
    <w:p w:rsidR="006837B7" w:rsidRDefault="006837B7" w:rsidP="002E0BD6">
      <w:pPr>
        <w:pStyle w:val="BodyText"/>
      </w:pPr>
    </w:p>
    <w:p w:rsidR="008333B6" w:rsidRDefault="008333B6" w:rsidP="008333B6"/>
    <w:p w:rsidR="008333B6" w:rsidRPr="008333B6" w:rsidRDefault="008333B6" w:rsidP="008333B6"/>
    <w:p w:rsidR="008333B6" w:rsidRDefault="008333B6" w:rsidP="007E294B">
      <w:pPr>
        <w:pStyle w:val="Heading2"/>
      </w:pPr>
      <w:bookmarkStart w:id="81" w:name="_Toc228588178"/>
      <w:bookmarkStart w:id="82" w:name="_Toc399264886"/>
      <w:r>
        <w:lastRenderedPageBreak/>
        <w:t xml:space="preserve">Effect of </w:t>
      </w:r>
      <w:r w:rsidR="00775C7C">
        <w:t xml:space="preserve">proposed </w:t>
      </w:r>
      <w:r>
        <w:t>delineation of the Enclosed Coastal waters assessment of compliance to the Guidelines</w:t>
      </w:r>
      <w:bookmarkEnd w:id="81"/>
      <w:bookmarkEnd w:id="82"/>
    </w:p>
    <w:p w:rsidR="008333B6" w:rsidRPr="008333B6" w:rsidRDefault="00C04387" w:rsidP="002E0BD6">
      <w:pPr>
        <w:pStyle w:val="BodyText"/>
      </w:pPr>
      <w:r>
        <w:t xml:space="preserve">To quantify the effect of </w:t>
      </w:r>
      <w:r w:rsidR="00775C7C">
        <w:t xml:space="preserve">the proposed </w:t>
      </w:r>
      <w:r>
        <w:t>delineation of the Enclosed Coastal waters on assessment of compliance to the Guidelines, f</w:t>
      </w:r>
      <w:r w:rsidR="008333B6" w:rsidRPr="008333B6">
        <w:t>or each of the six reporting region two grap</w:t>
      </w:r>
      <w:r w:rsidR="00756005">
        <w:t xml:space="preserve">hs with the time series of the </w:t>
      </w:r>
      <w:r w:rsidR="00603BF5" w:rsidRPr="00A40CD0">
        <w:t>Paddock to Reef marine water quality index (P2R_WQI) and component scores (P2R_CHL and P2R_TSS)</w:t>
      </w:r>
      <w:r w:rsidR="008333B6" w:rsidRPr="008333B6">
        <w:t xml:space="preserve"> are presented</w:t>
      </w:r>
      <w:r w:rsidR="00603BF5">
        <w:t xml:space="preserve"> in Figures 10 to 15</w:t>
      </w:r>
      <w:r w:rsidR="008333B6" w:rsidRPr="008333B6">
        <w:t>.</w:t>
      </w:r>
      <w:r>
        <w:t xml:space="preserve"> </w:t>
      </w:r>
      <w:r w:rsidR="008333B6" w:rsidRPr="008333B6">
        <w:t>The top graph presents the calculation without the delineation of enclosed coastal waters, i.e. using the same threshold value across the whole coastal region. This is consistent with the previous MMP reports, and is shaded in Purple. Note these calculations differ from the tables in the previous MMP reports due to the changes in the satellite data processing introduced by NASA in June 2012.</w:t>
      </w:r>
      <w:r>
        <w:t xml:space="preserve"> </w:t>
      </w:r>
      <w:r w:rsidR="008333B6" w:rsidRPr="008333B6">
        <w:t xml:space="preserve">The bottom graph presents the calculation performed taking in </w:t>
      </w:r>
      <w:r w:rsidR="00850283">
        <w:t>account the delineation of the Enclosed C</w:t>
      </w:r>
      <w:r w:rsidR="008333B6" w:rsidRPr="008333B6">
        <w:t>oastal waters. The percentage of compliance is still reported</w:t>
      </w:r>
      <w:r w:rsidR="00850283">
        <w:t xml:space="preserve"> as the relative area</w:t>
      </w:r>
      <w:r w:rsidR="008333B6" w:rsidRPr="008333B6">
        <w:t xml:space="preserve"> over the s</w:t>
      </w:r>
      <w:r>
        <w:t>urface area of the whole Inshore</w:t>
      </w:r>
      <w:r w:rsidR="008333B6" w:rsidRPr="008333B6">
        <w:t xml:space="preserve"> region, but pixels in the newly delineated enclosed coastal areas are now compared to the guidelines values for Enclosed</w:t>
      </w:r>
      <w:r>
        <w:t xml:space="preserve"> coastal and only the pixels lyi</w:t>
      </w:r>
      <w:r w:rsidRPr="008333B6">
        <w:t>ng</w:t>
      </w:r>
      <w:r w:rsidR="008333B6" w:rsidRPr="008333B6">
        <w:t xml:space="preserve"> in the Open Coastal are compared with the guideline values for Open coastal waters.</w:t>
      </w:r>
    </w:p>
    <w:p w:rsidR="00443447" w:rsidRDefault="00443447" w:rsidP="002E0BD6">
      <w:pPr>
        <w:pStyle w:val="BodyText"/>
      </w:pPr>
      <w:r w:rsidRPr="00A40CD0">
        <w:t xml:space="preserve">The Guideline trigger values used as threshold levels for the analysis of exceedance </w:t>
      </w:r>
      <w:r>
        <w:t xml:space="preserve">in the </w:t>
      </w:r>
      <w:r w:rsidR="00B35927">
        <w:t>Enclosed Coastal and</w:t>
      </w:r>
      <w:r w:rsidR="003D4FED">
        <w:t xml:space="preserve"> Open Costal waters are substantial</w:t>
      </w:r>
      <w:r w:rsidR="00B35927">
        <w:t>ly different (</w:t>
      </w:r>
      <w:r w:rsidR="00EA2F38">
        <w:fldChar w:fldCharType="begin"/>
      </w:r>
      <w:r>
        <w:instrText xml:space="preserve"> REF _Ref274649249 \h </w:instrText>
      </w:r>
      <w:r w:rsidR="00EA2F38">
        <w:fldChar w:fldCharType="separate"/>
      </w:r>
      <w:r w:rsidR="00B11F3B" w:rsidRPr="00A40CD0">
        <w:t xml:space="preserve">Table </w:t>
      </w:r>
      <w:r w:rsidR="00B11F3B">
        <w:rPr>
          <w:noProof/>
        </w:rPr>
        <w:t>3</w:t>
      </w:r>
      <w:r w:rsidR="00EA2F38">
        <w:fldChar w:fldCharType="end"/>
      </w:r>
      <w:r w:rsidR="00B35927">
        <w:t>)</w:t>
      </w:r>
      <w:r>
        <w:t xml:space="preserve"> The G</w:t>
      </w:r>
      <w:r w:rsidRPr="008333B6">
        <w:t xml:space="preserve">uidelines </w:t>
      </w:r>
      <w:r>
        <w:t xml:space="preserve">trigger </w:t>
      </w:r>
      <w:r w:rsidRPr="008333B6">
        <w:t>value</w:t>
      </w:r>
      <w:r w:rsidR="00B35927">
        <w:t xml:space="preserve">s </w:t>
      </w:r>
      <w:r w:rsidR="00B35927" w:rsidRPr="008333B6">
        <w:t xml:space="preserve">for CHL </w:t>
      </w:r>
      <w:r w:rsidR="00B35927">
        <w:t>are 0.45</w:t>
      </w:r>
      <w:r w:rsidR="00B35927" w:rsidRPr="008333B6">
        <w:t xml:space="preserve"> </w:t>
      </w:r>
      <w:r w:rsidR="00B35927" w:rsidRPr="00A40CD0">
        <w:t>µg L</w:t>
      </w:r>
      <w:r w:rsidR="00B35927" w:rsidRPr="00A40CD0">
        <w:rPr>
          <w:vertAlign w:val="superscript"/>
        </w:rPr>
        <w:t>-1</w:t>
      </w:r>
      <w:r w:rsidR="00B35927">
        <w:t xml:space="preserve"> for Open C</w:t>
      </w:r>
      <w:r w:rsidR="00B35927" w:rsidRPr="008333B6">
        <w:t>oastal</w:t>
      </w:r>
      <w:r w:rsidR="00B35927">
        <w:t xml:space="preserve"> waters</w:t>
      </w:r>
      <w:r w:rsidR="00B35927" w:rsidRPr="008333B6">
        <w:t xml:space="preserve"> </w:t>
      </w:r>
      <w:r w:rsidR="00B35927">
        <w:t xml:space="preserve">and </w:t>
      </w:r>
      <w:r w:rsidRPr="008333B6">
        <w:t xml:space="preserve">2.0 </w:t>
      </w:r>
      <w:r w:rsidRPr="00A40CD0">
        <w:t>µg L</w:t>
      </w:r>
      <w:r w:rsidRPr="00A40CD0">
        <w:rPr>
          <w:vertAlign w:val="superscript"/>
        </w:rPr>
        <w:t>-1</w:t>
      </w:r>
      <w:r>
        <w:t xml:space="preserve"> </w:t>
      </w:r>
      <w:r w:rsidR="00B35927" w:rsidRPr="008333B6">
        <w:t>for</w:t>
      </w:r>
      <w:r w:rsidR="00B35927">
        <w:t xml:space="preserve"> the Enclosed C</w:t>
      </w:r>
      <w:r w:rsidR="00B35927" w:rsidRPr="008333B6">
        <w:t>oastal</w:t>
      </w:r>
      <w:r w:rsidR="00B35927">
        <w:t xml:space="preserve"> waters across the whole GBR. F</w:t>
      </w:r>
      <w:r w:rsidR="00B35927" w:rsidRPr="008333B6">
        <w:t>or TSS</w:t>
      </w:r>
      <w:r w:rsidR="00B35927">
        <w:t xml:space="preserve"> the G</w:t>
      </w:r>
      <w:r w:rsidR="00B35927" w:rsidRPr="008333B6">
        <w:t xml:space="preserve">uidelines </w:t>
      </w:r>
      <w:r w:rsidR="00B35927">
        <w:t xml:space="preserve">trigger </w:t>
      </w:r>
      <w:r w:rsidR="00B35927" w:rsidRPr="008333B6">
        <w:t>value</w:t>
      </w:r>
      <w:r w:rsidR="00B35927">
        <w:t xml:space="preserve">s </w:t>
      </w:r>
      <w:r w:rsidR="00B35927" w:rsidRPr="008333B6">
        <w:t>for</w:t>
      </w:r>
      <w:r w:rsidR="00B35927">
        <w:t xml:space="preserve"> Open C</w:t>
      </w:r>
      <w:r w:rsidR="00B35927" w:rsidRPr="008333B6">
        <w:t>oastal</w:t>
      </w:r>
      <w:r w:rsidR="00B35927">
        <w:t xml:space="preserve"> waters is 2</w:t>
      </w:r>
      <w:r w:rsidR="00B35927" w:rsidRPr="008333B6">
        <w:t xml:space="preserve"> </w:t>
      </w:r>
      <w:r w:rsidR="00B35927" w:rsidRPr="00A40CD0">
        <w:t>mg L</w:t>
      </w:r>
      <w:r w:rsidR="00B35927" w:rsidRPr="00A40CD0">
        <w:rPr>
          <w:vertAlign w:val="superscript"/>
        </w:rPr>
        <w:t>-1</w:t>
      </w:r>
      <w:r w:rsidR="00B35927">
        <w:t xml:space="preserve">, </w:t>
      </w:r>
      <w:r>
        <w:t>while</w:t>
      </w:r>
      <w:r w:rsidR="00B35927">
        <w:t xml:space="preserve"> </w:t>
      </w:r>
      <w:r w:rsidR="00B35927" w:rsidRPr="008333B6">
        <w:t>for</w:t>
      </w:r>
      <w:r w:rsidR="00B35927">
        <w:t xml:space="preserve"> the Enclosed C</w:t>
      </w:r>
      <w:r w:rsidR="00B35927" w:rsidRPr="008333B6">
        <w:t>oastal</w:t>
      </w:r>
      <w:r w:rsidR="00B35927">
        <w:t xml:space="preserve"> waters</w:t>
      </w:r>
      <w:r w:rsidR="00B35927" w:rsidRPr="008333B6">
        <w:t xml:space="preserve"> </w:t>
      </w:r>
      <w:r w:rsidRPr="008333B6">
        <w:t xml:space="preserve">varies </w:t>
      </w:r>
      <w:r w:rsidR="00B35927">
        <w:t>between regions</w:t>
      </w:r>
      <w:r w:rsidRPr="008333B6">
        <w:t xml:space="preserve">. A value of 5 </w:t>
      </w:r>
      <w:r w:rsidRPr="00A40CD0">
        <w:t>mg L</w:t>
      </w:r>
      <w:r w:rsidRPr="00A40CD0">
        <w:rPr>
          <w:vertAlign w:val="superscript"/>
        </w:rPr>
        <w:t>-1</w:t>
      </w:r>
      <w:r w:rsidRPr="008333B6">
        <w:t xml:space="preserve"> was applied to Cape York, Wet Tropics and Mackay Whitsundays, while a value of 15 </w:t>
      </w:r>
      <w:r w:rsidRPr="00A40CD0">
        <w:t>mg L</w:t>
      </w:r>
      <w:r w:rsidRPr="00A40CD0">
        <w:rPr>
          <w:vertAlign w:val="superscript"/>
        </w:rPr>
        <w:t>-1</w:t>
      </w:r>
      <w:r>
        <w:t xml:space="preserve"> </w:t>
      </w:r>
      <w:r w:rsidRPr="008333B6">
        <w:t>was applied to the Burdekin, Fitzroy and Burnett-Mary Regions (Table 3 page 26 of the Guidelines and K. Martin &amp; C. Honchin, pers comm. 18/3/2013).</w:t>
      </w:r>
    </w:p>
    <w:p w:rsidR="00027C87" w:rsidRDefault="008333B6" w:rsidP="002E0BD6">
      <w:pPr>
        <w:pStyle w:val="BodyText"/>
      </w:pPr>
      <w:r w:rsidRPr="008333B6">
        <w:t xml:space="preserve">The time series </w:t>
      </w:r>
      <w:r w:rsidR="00850283">
        <w:t xml:space="preserve">of compliance to the Guidelines </w:t>
      </w:r>
      <w:r w:rsidRPr="008333B6">
        <w:t xml:space="preserve">are </w:t>
      </w:r>
      <w:r w:rsidR="00850283">
        <w:t xml:space="preserve">also </w:t>
      </w:r>
      <w:r w:rsidRPr="008333B6">
        <w:t xml:space="preserve">summarized in the three couples of color-coded tables for </w:t>
      </w:r>
      <w:r w:rsidR="00603BF5" w:rsidRPr="00A40CD0">
        <w:t xml:space="preserve">Paddock to Reef </w:t>
      </w:r>
      <w:r w:rsidR="00603BF5">
        <w:t>component scores and the marine water quality index</w:t>
      </w:r>
      <w:r w:rsidRPr="008333B6">
        <w:t xml:space="preserve">. The </w:t>
      </w:r>
      <w:r w:rsidR="00850283">
        <w:t>top and bottom parts of Tables 6-8</w:t>
      </w:r>
      <w:r w:rsidRPr="008333B6">
        <w:t xml:space="preserve"> provide the summary for top and bottom graphs in </w:t>
      </w:r>
      <w:r w:rsidR="00850283">
        <w:t>Figures 10 to 15</w:t>
      </w:r>
      <w:r w:rsidRPr="008333B6">
        <w:t>.</w:t>
      </w:r>
      <w:r w:rsidR="00027C87">
        <w:t xml:space="preserve"> </w:t>
      </w:r>
    </w:p>
    <w:p w:rsidR="00B11F3B" w:rsidRDefault="008333B6" w:rsidP="008333B6">
      <w:pPr>
        <w:pStyle w:val="Caption"/>
        <w:keepNext/>
      </w:pPr>
      <w:r w:rsidRPr="008333B6">
        <w:t xml:space="preserve">For CHL, the changes introduced by adoption of the delineation of the enclosed coastal waters were </w:t>
      </w:r>
      <w:r w:rsidR="003D4FED">
        <w:t xml:space="preserve">substantial </w:t>
      </w:r>
      <w:r w:rsidR="00347608">
        <w:t>for</w:t>
      </w:r>
      <w:r w:rsidR="00347608" w:rsidRPr="008333B6">
        <w:t xml:space="preserve"> the Cape York Regions (~+22%) </w:t>
      </w:r>
      <w:r w:rsidR="00347608">
        <w:t xml:space="preserve"> and for </w:t>
      </w:r>
      <w:r w:rsidRPr="008333B6">
        <w:t>Mack</w:t>
      </w:r>
      <w:r w:rsidR="00347608">
        <w:t xml:space="preserve">ay and Mary Burnett (~+15%)  </w:t>
      </w:r>
      <w:r w:rsidRPr="008333B6">
        <w:t>while were minimal for Wet tropics, Burdekin and Fitzroy Regions (+2 - 7%) (</w:t>
      </w:r>
      <w:r w:rsidR="00EA2F38">
        <w:fldChar w:fldCharType="begin"/>
      </w:r>
      <w:r w:rsidR="00027C87">
        <w:instrText xml:space="preserve"> REF _Ref229928131 \h </w:instrText>
      </w:r>
      <w:r w:rsidR="00EA2F38">
        <w:fldChar w:fldCharType="separate"/>
      </w:r>
      <w:r w:rsidR="00B11F3B">
        <w:t xml:space="preserve">Table </w:t>
      </w:r>
      <w:r w:rsidR="00B11F3B">
        <w:rPr>
          <w:noProof/>
        </w:rPr>
        <w:t>6</w:t>
      </w:r>
      <w:r w:rsidR="00EA2F38">
        <w:fldChar w:fldCharType="end"/>
      </w:r>
      <w:r w:rsidRPr="008333B6">
        <w:t xml:space="preserve">). </w:t>
      </w:r>
      <w:r w:rsidR="006F70BB">
        <w:t xml:space="preserve"> A marked difference between reporting years 2002/07 and 2007/2012 is still evident, confirming the trends</w:t>
      </w:r>
      <w:r w:rsidR="00347608">
        <w:t xml:space="preserve"> identified in</w:t>
      </w:r>
      <w:r w:rsidR="006F70BB">
        <w:t xml:space="preserve"> previous </w:t>
      </w:r>
      <w:r w:rsidR="00347608">
        <w:t>MMP reports</w:t>
      </w:r>
      <w:r w:rsidR="006F70BB">
        <w:t xml:space="preserve"> whe</w:t>
      </w:r>
      <w:r w:rsidR="00347608">
        <w:t>re P2R_CHL for the whole GBR transitioned from “moderate” to “moderate/poor” as an effect</w:t>
      </w:r>
      <w:r w:rsidR="006F70BB">
        <w:t xml:space="preserve"> of the “wetter” wet seasons</w:t>
      </w:r>
      <w:r w:rsidR="00347608">
        <w:t xml:space="preserve"> (Figure 15)</w:t>
      </w:r>
      <w:r w:rsidR="006F70BB">
        <w:t>.</w:t>
      </w:r>
      <w:r w:rsidR="00347608">
        <w:t xml:space="preserve"> </w:t>
      </w:r>
      <w:r w:rsidR="00027C87">
        <w:t xml:space="preserve"> </w:t>
      </w:r>
      <w:r w:rsidRPr="008333B6">
        <w:t>For TSS, all region</w:t>
      </w:r>
      <w:r w:rsidR="00027C87">
        <w:t>s</w:t>
      </w:r>
      <w:r w:rsidRPr="008333B6">
        <w:t xml:space="preserve"> showed </w:t>
      </w:r>
      <w:r w:rsidR="003D4FED">
        <w:t>substantial</w:t>
      </w:r>
      <w:r w:rsidRPr="008333B6">
        <w:t xml:space="preserve"> increases in compliances (+10 – 30%), particularly the Cape York, Burdekin and Mackay Regions (~+25% in average). This leads to a change of status from “moderate” to “good” for P2R_TSS con</w:t>
      </w:r>
      <w:r w:rsidR="00E71F66">
        <w:t xml:space="preserve">sistently for all regions for </w:t>
      </w:r>
      <w:r w:rsidRPr="008333B6">
        <w:t xml:space="preserve">most </w:t>
      </w:r>
      <w:r w:rsidR="00E71F66">
        <w:t>of the</w:t>
      </w:r>
      <w:r w:rsidRPr="008333B6">
        <w:t xml:space="preserve"> decade (</w:t>
      </w:r>
      <w:r w:rsidR="00EA2F38">
        <w:fldChar w:fldCharType="begin"/>
      </w:r>
      <w:r w:rsidR="00027C87">
        <w:instrText xml:space="preserve"> REF _Ref229928145 \h </w:instrText>
      </w:r>
      <w:r w:rsidR="00EA2F38">
        <w:fldChar w:fldCharType="separate"/>
      </w:r>
    </w:p>
    <w:p w:rsidR="008333B6" w:rsidRPr="008333B6" w:rsidRDefault="00B11F3B" w:rsidP="002E0BD6">
      <w:pPr>
        <w:pStyle w:val="BodyText"/>
      </w:pPr>
      <w:r>
        <w:t xml:space="preserve">Table </w:t>
      </w:r>
      <w:r>
        <w:rPr>
          <w:noProof/>
        </w:rPr>
        <w:t>7</w:t>
      </w:r>
      <w:r w:rsidR="00EA2F38">
        <w:fldChar w:fldCharType="end"/>
      </w:r>
      <w:r w:rsidR="008333B6" w:rsidRPr="008333B6">
        <w:t>).</w:t>
      </w:r>
    </w:p>
    <w:p w:rsidR="00027C87" w:rsidRDefault="00347608" w:rsidP="002E0BD6">
      <w:pPr>
        <w:pStyle w:val="BodyText"/>
      </w:pPr>
      <w:r>
        <w:t xml:space="preserve">As effect of delineation of the Enclosed Coastal waters on assessment of compliance to the Guidelines, the </w:t>
      </w:r>
      <w:r w:rsidRPr="00A40CD0">
        <w:t>Paddock to Reef marine water quality index (P2R_WQI)</w:t>
      </w:r>
      <w:r>
        <w:t xml:space="preserve"> for the GBR overall varied from “poor/moderate” scores when assessing the compliance without accounting for the Enclosed coastal waters to “moderate-good” scores due a variation of 10-15% in the REEG values (</w:t>
      </w:r>
      <w:r w:rsidR="00EA2F38">
        <w:fldChar w:fldCharType="begin"/>
      </w:r>
      <w:r>
        <w:instrText xml:space="preserve"> REF _Ref229928153 \h </w:instrText>
      </w:r>
      <w:r w:rsidR="00EA2F38">
        <w:fldChar w:fldCharType="separate"/>
      </w:r>
      <w:r w:rsidR="00B11F3B">
        <w:t xml:space="preserve">Table </w:t>
      </w:r>
      <w:r w:rsidR="00B11F3B">
        <w:rPr>
          <w:noProof/>
        </w:rPr>
        <w:t>8</w:t>
      </w:r>
      <w:r w:rsidR="00EA2F38">
        <w:fldChar w:fldCharType="end"/>
      </w:r>
      <w:r>
        <w:t>). Nevertheless, reporting season 2010/11 and 2011/12 show lower scores in both assessments, responding consistently to the two very wet seasons. At</w:t>
      </w:r>
      <w:r w:rsidR="00E71F66">
        <w:t xml:space="preserve"> regional level, the most notable</w:t>
      </w:r>
      <w:r>
        <w:t xml:space="preserve"> effect of the delineation</w:t>
      </w:r>
      <w:r w:rsidR="00E71F66">
        <w:t xml:space="preserve"> of the Enclosed Coastal waters</w:t>
      </w:r>
      <w:r>
        <w:t xml:space="preserve"> was observed for th</w:t>
      </w:r>
      <w:r w:rsidR="00E71F66">
        <w:t xml:space="preserve">e Cape York region (Figure 10): </w:t>
      </w:r>
      <w:r>
        <w:t xml:space="preserve">the </w:t>
      </w:r>
      <w:r>
        <w:lastRenderedPageBreak/>
        <w:t xml:space="preserve">P2R_WQI scores increased of ~20% on average leading to a change from </w:t>
      </w:r>
      <w:r w:rsidR="00E71F66">
        <w:t>“poor/moderate” to “moderate-good” for the whole decade.</w:t>
      </w:r>
    </w:p>
    <w:p w:rsidR="00775C7C" w:rsidRDefault="00775C7C" w:rsidP="002E0BD6">
      <w:pPr>
        <w:pStyle w:val="BodyText"/>
      </w:pPr>
      <w:r w:rsidRPr="00775C7C">
        <w:t xml:space="preserve">The proposed delineation </w:t>
      </w:r>
      <w:r>
        <w:t xml:space="preserve">of the Enclosed Coastal waters should be taken </w:t>
      </w:r>
      <w:r w:rsidRPr="00775C7C">
        <w:t xml:space="preserve">in consideration </w:t>
      </w:r>
      <w:r>
        <w:t xml:space="preserve">by GBRMPA together with </w:t>
      </w:r>
      <w:r w:rsidRPr="00775C7C">
        <w:t>other data sources including the Queensland Wetlands 2009 data, depth contours, hydrodynamics and sources of freshwater input to the coast prior to selecting the final water body delineation</w:t>
      </w:r>
      <w:r>
        <w:t xml:space="preserve"> for formal implementation in the Guidelines</w:t>
      </w:r>
      <w:r w:rsidR="00C96201" w:rsidRPr="00C96201">
        <w:t xml:space="preserve"> </w:t>
      </w:r>
      <w:r w:rsidR="00C96201">
        <w:t>and for Paddock to Reef reporting</w:t>
      </w:r>
      <w:r w:rsidRPr="00775C7C">
        <w:t>.</w:t>
      </w:r>
    </w:p>
    <w:p w:rsidR="008333B6" w:rsidRDefault="008333B6" w:rsidP="008333B6">
      <w:pPr>
        <w:pStyle w:val="Caption"/>
        <w:keepNext/>
      </w:pPr>
      <w:bookmarkStart w:id="83" w:name="_Ref229928131"/>
      <w:bookmarkStart w:id="84" w:name="_Toc228588231"/>
      <w:bookmarkStart w:id="85" w:name="_Toc399264935"/>
      <w:r>
        <w:t xml:space="preserve">Table </w:t>
      </w:r>
      <w:r w:rsidR="00730E04">
        <w:fldChar w:fldCharType="begin"/>
      </w:r>
      <w:r w:rsidR="00730E04">
        <w:instrText xml:space="preserve"> SEQ Table \* ARABIC </w:instrText>
      </w:r>
      <w:r w:rsidR="00730E04">
        <w:fldChar w:fldCharType="separate"/>
      </w:r>
      <w:r w:rsidR="00B11F3B">
        <w:rPr>
          <w:noProof/>
        </w:rPr>
        <w:t>6</w:t>
      </w:r>
      <w:r w:rsidR="00730E04">
        <w:rPr>
          <w:noProof/>
        </w:rPr>
        <w:fldChar w:fldCharType="end"/>
      </w:r>
      <w:bookmarkEnd w:id="83"/>
      <w:r>
        <w:t xml:space="preserve"> </w:t>
      </w:r>
      <w:bookmarkEnd w:id="84"/>
      <w:r w:rsidR="00603BF5">
        <w:t xml:space="preserve">Summary table for </w:t>
      </w:r>
      <w:r w:rsidR="00603BF5" w:rsidRPr="00A40CD0">
        <w:t xml:space="preserve">Paddock to </w:t>
      </w:r>
      <w:r w:rsidR="00603BF5">
        <w:t>Reef marine water quality component score based on CHL compliance (</w:t>
      </w:r>
      <w:r w:rsidR="000E29B2">
        <w:t>P2R_CHL</w:t>
      </w:r>
      <w:r w:rsidR="00603BF5">
        <w:t>)</w:t>
      </w:r>
      <w:r w:rsidR="000E29B2">
        <w:t>.</w:t>
      </w:r>
      <w:r w:rsidR="00464039" w:rsidRPr="00464039">
        <w:t xml:space="preserve"> </w:t>
      </w:r>
      <w:r w:rsidR="00464039" w:rsidRPr="009A0213">
        <w:t>Percentage of compliance is reported over the surface area of the whole coastal region</w:t>
      </w:r>
      <w:r w:rsidR="00464039">
        <w:t xml:space="preserve">. </w:t>
      </w:r>
      <w:r w:rsidR="000E29B2">
        <w:t xml:space="preserve"> </w:t>
      </w:r>
      <w:r w:rsidR="00464039" w:rsidRPr="00A40CD0">
        <w:t>Cells are shaded to reflect the colour coding of the P2R reporting sch</w:t>
      </w:r>
      <w:r w:rsidR="00464039">
        <w:t>eme f</w:t>
      </w:r>
      <w:r w:rsidR="00464039" w:rsidRPr="00A40CD0">
        <w:t>r</w:t>
      </w:r>
      <w:r w:rsidR="00464039">
        <w:t>o</w:t>
      </w:r>
      <w:r w:rsidR="00464039" w:rsidRPr="00A40CD0">
        <w:t>m red to green in steps of 20%.</w:t>
      </w:r>
      <w:r w:rsidR="00464039">
        <w:t xml:space="preserve"> </w:t>
      </w:r>
      <w:r w:rsidR="000E29B2" w:rsidRPr="009A0213">
        <w:t xml:space="preserve">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rsidR="000E29B2">
        <w:t>guidelines values for e</w:t>
      </w:r>
      <w:r w:rsidR="000E29B2" w:rsidRPr="009A0213">
        <w:t>nclosed coastal, and only the pixels</w:t>
      </w:r>
      <w:r w:rsidR="000E29B2">
        <w:t xml:space="preserve"> in the open c</w:t>
      </w:r>
      <w:r w:rsidR="000E29B2" w:rsidRPr="009A0213">
        <w:t xml:space="preserve">oastal are compared with the guideline </w:t>
      </w:r>
      <w:r w:rsidR="000E29B2">
        <w:t>values for o</w:t>
      </w:r>
      <w:r w:rsidR="000E29B2" w:rsidRPr="009A0213">
        <w:t>pen</w:t>
      </w:r>
      <w:r w:rsidR="000E29B2">
        <w:t xml:space="preserve"> coastal</w:t>
      </w:r>
      <w:r w:rsidR="000E29B2" w:rsidRPr="009A0213">
        <w:t>.</w:t>
      </w:r>
      <w:bookmarkEnd w:id="85"/>
      <w:r w:rsidR="000E29B2" w:rsidRPr="009A0213">
        <w:t xml:space="preserve"> </w:t>
      </w:r>
    </w:p>
    <w:tbl>
      <w:tblPr>
        <w:tblW w:w="0" w:type="auto"/>
        <w:tblInd w:w="108" w:type="dxa"/>
        <w:tblLook w:val="0000" w:firstRow="0" w:lastRow="0" w:firstColumn="0" w:lastColumn="0" w:noHBand="0" w:noVBand="0"/>
      </w:tblPr>
      <w:tblGrid>
        <w:gridCol w:w="1530"/>
        <w:gridCol w:w="1018"/>
        <w:gridCol w:w="663"/>
        <w:gridCol w:w="663"/>
        <w:gridCol w:w="663"/>
        <w:gridCol w:w="663"/>
        <w:gridCol w:w="663"/>
        <w:gridCol w:w="663"/>
        <w:gridCol w:w="663"/>
        <w:gridCol w:w="663"/>
        <w:gridCol w:w="663"/>
        <w:gridCol w:w="663"/>
      </w:tblGrid>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Pr>
                <w:rFonts w:ascii="Calibri" w:hAnsi="Calibri" w:cs="Calibri"/>
                <w:color w:val="000000"/>
              </w:rPr>
              <w:t>Without EC delineation</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P2R_CHL</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0203</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0304</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0405</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0506</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0607</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0708</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0809</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0910</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1011</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1112</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CPYK</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21</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33</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33</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16</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23</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CNRS</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25</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11</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21</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18</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8</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18</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11</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13</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BDKN</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30</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MCKY</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56</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FITZ</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21</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18</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MABU</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16</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w:t>
            </w:r>
          </w:p>
        </w:tc>
      </w:tr>
      <w:tr w:rsidR="00464039" w:rsidRPr="007C5299" w:rsidTr="00464039">
        <w:trPr>
          <w:trHeight w:val="301"/>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sz w:val="24"/>
              </w:rPr>
            </w:pPr>
            <w:r w:rsidRPr="007C5299">
              <w:rPr>
                <w:rFonts w:ascii="Calibri" w:hAnsi="Calibri" w:cs="Calibri"/>
                <w:color w:val="000000"/>
                <w:sz w:val="24"/>
              </w:rPr>
              <w:t>GBR</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24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27</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464039">
            <w:pPr>
              <w:autoSpaceDE w:val="0"/>
              <w:autoSpaceDN w:val="0"/>
              <w:adjustRightInd w:val="0"/>
              <w:rPr>
                <w:rFonts w:ascii="Calibri" w:hAnsi="Calibri" w:cs="Calibri"/>
                <w:color w:val="000000"/>
              </w:rPr>
            </w:pPr>
            <w:r>
              <w:rPr>
                <w:rFonts w:ascii="Calibri" w:hAnsi="Calibri" w:cs="Calibri"/>
                <w:color w:val="000000"/>
              </w:rPr>
              <w:t xml:space="preserve">With EC delineation </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P2R_CHL</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0203</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0304</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0405</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0506</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0607</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0708</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0809</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0910</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1011</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1112</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CPYK</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47</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CNRS</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27</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14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23</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24</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10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24</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13</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17</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BDKN</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34</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MCKY</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74</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81</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81</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66</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FITZ</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21</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19</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MABU</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31</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21</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15</w:t>
            </w:r>
          </w:p>
        </w:tc>
      </w:tr>
      <w:tr w:rsidR="00464039" w:rsidRPr="00867608" w:rsidTr="00464039">
        <w:trPr>
          <w:trHeight w:val="301"/>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sz w:val="24"/>
              </w:rPr>
            </w:pPr>
            <w:r w:rsidRPr="00867608">
              <w:rPr>
                <w:rFonts w:ascii="Calibri" w:hAnsi="Calibri" w:cs="Calibri"/>
                <w:color w:val="000000"/>
                <w:sz w:val="24"/>
              </w:rPr>
              <w:t>GBR</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49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41</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39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28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32</w:t>
            </w:r>
          </w:p>
        </w:tc>
      </w:tr>
    </w:tbl>
    <w:p w:rsidR="002514E1" w:rsidRDefault="002514E1" w:rsidP="008333B6">
      <w:pPr>
        <w:pStyle w:val="Caption"/>
        <w:keepNext/>
      </w:pPr>
      <w:bookmarkStart w:id="86" w:name="_Ref229928145"/>
      <w:bookmarkStart w:id="87" w:name="_Toc228588232"/>
    </w:p>
    <w:p w:rsidR="008333B6" w:rsidRDefault="008333B6" w:rsidP="008333B6">
      <w:pPr>
        <w:pStyle w:val="Caption"/>
        <w:keepNext/>
      </w:pPr>
      <w:bookmarkStart w:id="88" w:name="_Toc399264936"/>
      <w:r>
        <w:t xml:space="preserve">Table </w:t>
      </w:r>
      <w:r w:rsidR="00730E04">
        <w:fldChar w:fldCharType="begin"/>
      </w:r>
      <w:r w:rsidR="00730E04">
        <w:instrText xml:space="preserve"> SEQ Table \* ARABIC </w:instrText>
      </w:r>
      <w:r w:rsidR="00730E04">
        <w:fldChar w:fldCharType="separate"/>
      </w:r>
      <w:r w:rsidR="00B11F3B">
        <w:rPr>
          <w:noProof/>
        </w:rPr>
        <w:t>7</w:t>
      </w:r>
      <w:r w:rsidR="00730E04">
        <w:rPr>
          <w:noProof/>
        </w:rPr>
        <w:fldChar w:fldCharType="end"/>
      </w:r>
      <w:bookmarkEnd w:id="86"/>
      <w:r>
        <w:t xml:space="preserve"> </w:t>
      </w:r>
      <w:bookmarkEnd w:id="87"/>
      <w:r w:rsidR="000E29B2">
        <w:t xml:space="preserve">Summary table for </w:t>
      </w:r>
      <w:r w:rsidR="00603BF5" w:rsidRPr="00A40CD0">
        <w:t xml:space="preserve">Paddock to </w:t>
      </w:r>
      <w:r w:rsidR="00603BF5">
        <w:t>Reef marine water quality</w:t>
      </w:r>
      <w:r w:rsidR="00603BF5" w:rsidRPr="00A40CD0">
        <w:t xml:space="preserve"> component scores </w:t>
      </w:r>
      <w:r w:rsidR="00603BF5">
        <w:t>based on TSS compliance (</w:t>
      </w:r>
      <w:r w:rsidR="00603BF5" w:rsidRPr="00A40CD0">
        <w:t>P2R_TSS)</w:t>
      </w:r>
      <w:r w:rsidR="000E29B2">
        <w:t>.</w:t>
      </w:r>
      <w:r w:rsidR="00464039">
        <w:t xml:space="preserve"> </w:t>
      </w:r>
      <w:r w:rsidR="00464039" w:rsidRPr="009A0213">
        <w:t>Percentage of compliance is reported over the surface area of the whole coastal region</w:t>
      </w:r>
      <w:r w:rsidR="00464039">
        <w:t xml:space="preserve">. </w:t>
      </w:r>
      <w:r w:rsidR="00464039" w:rsidRPr="00A40CD0">
        <w:t>Cells are shaded to reflect the colour coding of the P2R reporting sch</w:t>
      </w:r>
      <w:r w:rsidR="00464039">
        <w:t>eme f</w:t>
      </w:r>
      <w:r w:rsidR="00464039" w:rsidRPr="00A40CD0">
        <w:t>r</w:t>
      </w:r>
      <w:r w:rsidR="00464039">
        <w:t>o</w:t>
      </w:r>
      <w:r w:rsidR="00464039" w:rsidRPr="00A40CD0">
        <w:t>m red to green in steps of 20%.</w:t>
      </w:r>
      <w:r w:rsidR="000E29B2">
        <w:t xml:space="preserve"> </w:t>
      </w:r>
      <w:r w:rsidR="000E29B2" w:rsidRPr="009A0213">
        <w:t xml:space="preserve">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rsidR="000E29B2">
        <w:t>guidelines values for e</w:t>
      </w:r>
      <w:r w:rsidR="000E29B2" w:rsidRPr="009A0213">
        <w:t>nclosed coastal, and only the pixels</w:t>
      </w:r>
      <w:r w:rsidR="000E29B2">
        <w:t xml:space="preserve"> in the open c</w:t>
      </w:r>
      <w:r w:rsidR="000E29B2" w:rsidRPr="009A0213">
        <w:t xml:space="preserve">oastal are compared with the guideline </w:t>
      </w:r>
      <w:r w:rsidR="000E29B2">
        <w:t>values for o</w:t>
      </w:r>
      <w:r w:rsidR="000E29B2" w:rsidRPr="009A0213">
        <w:t>pen</w:t>
      </w:r>
      <w:r w:rsidR="000E29B2">
        <w:t xml:space="preserve"> coastal</w:t>
      </w:r>
      <w:r w:rsidR="000E29B2" w:rsidRPr="009A0213">
        <w:t>.</w:t>
      </w:r>
      <w:bookmarkEnd w:id="88"/>
      <w:r w:rsidR="000E29B2" w:rsidRPr="009A0213">
        <w:t xml:space="preserve"> </w:t>
      </w:r>
    </w:p>
    <w:tbl>
      <w:tblPr>
        <w:tblW w:w="0" w:type="auto"/>
        <w:tblInd w:w="108" w:type="dxa"/>
        <w:tblLook w:val="0000" w:firstRow="0" w:lastRow="0" w:firstColumn="0" w:lastColumn="0" w:noHBand="0" w:noVBand="0"/>
      </w:tblPr>
      <w:tblGrid>
        <w:gridCol w:w="1346"/>
        <w:gridCol w:w="222"/>
        <w:gridCol w:w="980"/>
        <w:gridCol w:w="663"/>
        <w:gridCol w:w="663"/>
        <w:gridCol w:w="663"/>
        <w:gridCol w:w="663"/>
        <w:gridCol w:w="663"/>
        <w:gridCol w:w="663"/>
        <w:gridCol w:w="663"/>
        <w:gridCol w:w="663"/>
        <w:gridCol w:w="663"/>
        <w:gridCol w:w="663"/>
      </w:tblGrid>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Pr>
                <w:rFonts w:ascii="Calibri" w:hAnsi="Calibri" w:cs="Calibri"/>
                <w:color w:val="000000"/>
              </w:rPr>
              <w:t>Without EC delineation</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P2R_TSS</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0203</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0304</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0405</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0506</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0607</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0708</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0809</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0910</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1011</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1112</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CPYK</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54</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CNRS</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41</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BDKN</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MCKY</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FITZ</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rPr>
            </w:pPr>
            <w:r w:rsidRPr="007C5299">
              <w:rPr>
                <w:rFonts w:ascii="Calibri" w:hAnsi="Calibri" w:cs="Calibri"/>
                <w:color w:val="000000"/>
              </w:rPr>
              <w:t>MABU</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76</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77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E60EC4">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69</w:t>
            </w:r>
          </w:p>
        </w:tc>
      </w:tr>
      <w:tr w:rsidR="00464039" w:rsidRPr="007C5299" w:rsidTr="00464039">
        <w:trPr>
          <w:trHeight w:val="301"/>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E60EC4">
            <w:pPr>
              <w:autoSpaceDE w:val="0"/>
              <w:autoSpaceDN w:val="0"/>
              <w:adjustRightInd w:val="0"/>
              <w:rPr>
                <w:rFonts w:ascii="Calibri" w:hAnsi="Calibri" w:cs="Calibri"/>
                <w:color w:val="000000"/>
                <w:sz w:val="24"/>
              </w:rPr>
            </w:pPr>
            <w:r w:rsidRPr="007C5299">
              <w:rPr>
                <w:rFonts w:ascii="Calibri" w:hAnsi="Calibri" w:cs="Calibri"/>
                <w:color w:val="000000"/>
                <w:sz w:val="24"/>
              </w:rPr>
              <w:t>GBR</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E60EC4">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45</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Pr>
                <w:rFonts w:ascii="Calibri" w:hAnsi="Calibri" w:cs="Calibri"/>
                <w:color w:val="000000"/>
              </w:rPr>
              <w:t xml:space="preserve">With EC delineation </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P2R_TSS</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0203</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0304</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0405</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0506</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0607</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0708</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0809</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0910</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1011</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1112</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CPYK</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76</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66</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76</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CNRS</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57</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BDKN</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71</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74</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65</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MCKY</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60</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FITZ</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rPr>
            </w:pPr>
            <w:r w:rsidRPr="00867608">
              <w:rPr>
                <w:rFonts w:ascii="Calibri" w:hAnsi="Calibri" w:cs="Calibri"/>
                <w:color w:val="000000"/>
              </w:rPr>
              <w:t>MABU</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98</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97</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99</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98</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99</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97</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98</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98</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93</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E60EC4">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92</w:t>
            </w:r>
          </w:p>
        </w:tc>
      </w:tr>
      <w:tr w:rsidR="00464039" w:rsidRPr="00867608" w:rsidTr="00464039">
        <w:trPr>
          <w:trHeight w:val="301"/>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E60EC4">
            <w:pPr>
              <w:autoSpaceDE w:val="0"/>
              <w:autoSpaceDN w:val="0"/>
              <w:adjustRightInd w:val="0"/>
              <w:rPr>
                <w:rFonts w:ascii="Calibri" w:hAnsi="Calibri" w:cs="Calibri"/>
                <w:color w:val="000000"/>
                <w:sz w:val="24"/>
              </w:rPr>
            </w:pPr>
            <w:r w:rsidRPr="00867608">
              <w:rPr>
                <w:rFonts w:ascii="Calibri" w:hAnsi="Calibri" w:cs="Calibri"/>
                <w:color w:val="000000"/>
                <w:sz w:val="24"/>
              </w:rPr>
              <w:t>GBR</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70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66</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E60EC4">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60</w:t>
            </w:r>
          </w:p>
        </w:tc>
      </w:tr>
    </w:tbl>
    <w:p w:rsidR="00EA4362" w:rsidRPr="00EA4362" w:rsidRDefault="00EA4362" w:rsidP="00EA4362"/>
    <w:p w:rsidR="008333B6" w:rsidRDefault="008333B6" w:rsidP="008333B6">
      <w:pPr>
        <w:pStyle w:val="Caption"/>
        <w:keepNext/>
      </w:pPr>
      <w:bookmarkStart w:id="89" w:name="_Ref229928153"/>
      <w:bookmarkStart w:id="90" w:name="_Toc228588233"/>
      <w:bookmarkStart w:id="91" w:name="_Toc399264937"/>
      <w:r>
        <w:t xml:space="preserve">Table </w:t>
      </w:r>
      <w:fldSimple w:instr=" SEQ Table \* ARABIC ">
        <w:r w:rsidR="00B11F3B">
          <w:rPr>
            <w:noProof/>
          </w:rPr>
          <w:t>8</w:t>
        </w:r>
      </w:fldSimple>
      <w:bookmarkEnd w:id="89"/>
      <w:r w:rsidR="000E29B2">
        <w:t xml:space="preserve"> Summary table for </w:t>
      </w:r>
      <w:r w:rsidR="00603BF5" w:rsidRPr="00A40CD0">
        <w:t>Paddock to Reef marine water quality index (P2R_WQI)</w:t>
      </w:r>
      <w:r>
        <w:t xml:space="preserve">. </w:t>
      </w:r>
      <w:bookmarkEnd w:id="90"/>
      <w:r w:rsidR="00464039" w:rsidRPr="009A0213">
        <w:t>Percentage of compliance is reported over the surface area of the whole coastal region</w:t>
      </w:r>
      <w:r w:rsidR="00464039">
        <w:t xml:space="preserve">. </w:t>
      </w:r>
      <w:r w:rsidR="00464039" w:rsidRPr="00A40CD0">
        <w:t>Cells are shaded to reflect the colour coding of the P2R reporting sch</w:t>
      </w:r>
      <w:r w:rsidR="00464039">
        <w:t>eme f</w:t>
      </w:r>
      <w:r w:rsidR="00464039" w:rsidRPr="00A40CD0">
        <w:t>r</w:t>
      </w:r>
      <w:r w:rsidR="00464039">
        <w:t>o</w:t>
      </w:r>
      <w:r w:rsidR="00464039" w:rsidRPr="00A40CD0">
        <w:t>m red to green in steps of 20%.</w:t>
      </w:r>
      <w:r w:rsidR="00464039">
        <w:t xml:space="preserve"> </w:t>
      </w:r>
      <w:r w:rsidR="000E29B2" w:rsidRPr="009A0213">
        <w:t xml:space="preserve">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rsidR="000E29B2">
        <w:t>guidelines values for e</w:t>
      </w:r>
      <w:r w:rsidR="000E29B2" w:rsidRPr="009A0213">
        <w:t>nclosed coastal, and only the pixels</w:t>
      </w:r>
      <w:r w:rsidR="000E29B2">
        <w:t xml:space="preserve"> in the open c</w:t>
      </w:r>
      <w:r w:rsidR="000E29B2" w:rsidRPr="009A0213">
        <w:t xml:space="preserve">oastal are compared with the guideline </w:t>
      </w:r>
      <w:r w:rsidR="000E29B2">
        <w:t>values for o</w:t>
      </w:r>
      <w:r w:rsidR="000E29B2" w:rsidRPr="009A0213">
        <w:t>pen</w:t>
      </w:r>
      <w:r w:rsidR="000E29B2">
        <w:t xml:space="preserve"> coastal</w:t>
      </w:r>
      <w:r w:rsidR="000E29B2" w:rsidRPr="009A0213">
        <w:t>.</w:t>
      </w:r>
      <w:bookmarkEnd w:id="91"/>
      <w:r w:rsidR="000E29B2" w:rsidRPr="009A0213">
        <w:t xml:space="preserve"> </w:t>
      </w:r>
    </w:p>
    <w:tbl>
      <w:tblPr>
        <w:tblW w:w="0" w:type="auto"/>
        <w:tblInd w:w="108" w:type="dxa"/>
        <w:tblLook w:val="0000" w:firstRow="0" w:lastRow="0" w:firstColumn="0" w:lastColumn="0" w:noHBand="0" w:noVBand="0"/>
      </w:tblPr>
      <w:tblGrid>
        <w:gridCol w:w="1478"/>
        <w:gridCol w:w="1070"/>
        <w:gridCol w:w="663"/>
        <w:gridCol w:w="663"/>
        <w:gridCol w:w="663"/>
        <w:gridCol w:w="663"/>
        <w:gridCol w:w="663"/>
        <w:gridCol w:w="663"/>
        <w:gridCol w:w="663"/>
        <w:gridCol w:w="663"/>
        <w:gridCol w:w="663"/>
        <w:gridCol w:w="663"/>
      </w:tblGrid>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Pr>
                <w:rFonts w:ascii="Calibri" w:hAnsi="Calibri" w:cs="Calibri"/>
                <w:color w:val="000000"/>
              </w:rPr>
              <w:t>Without EC delineation</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P2R_WQI</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0203</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0304</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0405</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0506</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0607</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0708</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0809</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0910</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1011</w:t>
            </w:r>
          </w:p>
        </w:tc>
        <w:tc>
          <w:tcPr>
            <w:tcW w:w="0" w:type="auto"/>
            <w:tcBorders>
              <w:top w:val="single" w:sz="2" w:space="0" w:color="000000"/>
              <w:left w:val="single" w:sz="2" w:space="0" w:color="000000"/>
              <w:bottom w:val="single" w:sz="2" w:space="0" w:color="000000"/>
              <w:right w:val="single" w:sz="2" w:space="0" w:color="000000"/>
            </w:tcBorders>
            <w:shd w:val="solid" w:color="CC99FF" w:fill="auto"/>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1112</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CPYK</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33</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CNRS</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c>
          <w:tcPr>
            <w:tcW w:w="0" w:type="auto"/>
            <w:tcBorders>
              <w:top w:val="single" w:sz="2" w:space="0" w:color="000000"/>
              <w:left w:val="single" w:sz="2" w:space="0" w:color="000000"/>
              <w:bottom w:val="single" w:sz="2" w:space="0" w:color="000000"/>
              <w:right w:val="single" w:sz="2" w:space="0" w:color="000000"/>
            </w:tcBorders>
            <w:shd w:val="solid" w:color="FF00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15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33</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25</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27</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BDKN</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41</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36</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MCKY</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FITZ</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39</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32</w:t>
            </w:r>
          </w:p>
        </w:tc>
      </w:tr>
      <w:tr w:rsidR="00464039" w:rsidRPr="007C5299"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rPr>
            </w:pPr>
            <w:r w:rsidRPr="007C5299">
              <w:rPr>
                <w:rFonts w:ascii="Calibri" w:hAnsi="Calibri" w:cs="Calibri"/>
                <w:color w:val="000000"/>
              </w:rPr>
              <w:t>MABU</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36</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color w:val="000000"/>
                <w:sz w:val="18"/>
                <w:szCs w:val="18"/>
              </w:rPr>
            </w:pPr>
            <w:r w:rsidRPr="007C5299">
              <w:rPr>
                <w:rFonts w:ascii="Calibri" w:hAnsi="Calibri" w:cs="Calibri"/>
                <w:color w:val="000000"/>
                <w:sz w:val="18"/>
                <w:szCs w:val="18"/>
              </w:rPr>
              <w:t>35</w:t>
            </w:r>
          </w:p>
        </w:tc>
      </w:tr>
      <w:tr w:rsidR="00464039" w:rsidRPr="007C5299" w:rsidTr="00464039">
        <w:trPr>
          <w:trHeight w:val="301"/>
        </w:trPr>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7C5299" w:rsidRDefault="00464039" w:rsidP="008333B6">
            <w:pPr>
              <w:autoSpaceDE w:val="0"/>
              <w:autoSpaceDN w:val="0"/>
              <w:adjustRightInd w:val="0"/>
              <w:rPr>
                <w:rFonts w:ascii="Calibri" w:hAnsi="Calibri" w:cs="Calibri"/>
                <w:color w:val="000000"/>
                <w:sz w:val="24"/>
              </w:rPr>
            </w:pPr>
            <w:r w:rsidRPr="007C5299">
              <w:rPr>
                <w:rFonts w:ascii="Calibri" w:hAnsi="Calibri" w:cs="Calibri"/>
                <w:color w:val="000000"/>
                <w:sz w:val="24"/>
              </w:rPr>
              <w:t>GBR</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43</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7C5299" w:rsidRDefault="00464039" w:rsidP="008333B6">
            <w:pPr>
              <w:autoSpaceDE w:val="0"/>
              <w:autoSpaceDN w:val="0"/>
              <w:adjustRightInd w:val="0"/>
              <w:jc w:val="center"/>
              <w:rPr>
                <w:rFonts w:ascii="Calibri" w:hAnsi="Calibri" w:cs="Calibri"/>
                <w:b/>
                <w:bCs/>
                <w:color w:val="000000"/>
                <w:sz w:val="24"/>
              </w:rPr>
            </w:pPr>
            <w:r w:rsidRPr="007C5299">
              <w:rPr>
                <w:rFonts w:ascii="Calibri" w:hAnsi="Calibri" w:cs="Calibri"/>
                <w:b/>
                <w:bCs/>
                <w:color w:val="000000"/>
                <w:sz w:val="24"/>
              </w:rPr>
              <w:t>36</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Pr>
                <w:rFonts w:ascii="Calibri" w:hAnsi="Calibri" w:cs="Calibri"/>
                <w:color w:val="000000"/>
              </w:rPr>
              <w:t xml:space="preserve">With EC delineation </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P2R_WQI</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0203</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0304</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0405</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0506</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0607</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0708</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0809</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0910</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1011</w:t>
            </w: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1112</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CPYK</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56</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50</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70</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62</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CNRS</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42</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28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38</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40</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34</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33</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BDKN</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50</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MCKY</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78</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67</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69</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52</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59</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FITZ</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41</w:t>
            </w:r>
          </w:p>
        </w:tc>
        <w:tc>
          <w:tcPr>
            <w:tcW w:w="0" w:type="auto"/>
            <w:tcBorders>
              <w:top w:val="single" w:sz="2" w:space="0" w:color="000000"/>
              <w:left w:val="single" w:sz="2" w:space="0" w:color="000000"/>
              <w:bottom w:val="single" w:sz="2" w:space="0" w:color="000000"/>
              <w:right w:val="single" w:sz="2" w:space="0" w:color="000000"/>
            </w:tcBorders>
            <w:shd w:val="solid" w:color="FF99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38</w:t>
            </w:r>
          </w:p>
        </w:tc>
      </w:tr>
      <w:tr w:rsidR="00464039" w:rsidRPr="00867608" w:rsidTr="00464039">
        <w:trPr>
          <w:trHeight w:val="287"/>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rPr>
            </w:pPr>
            <w:r w:rsidRPr="00867608">
              <w:rPr>
                <w:rFonts w:ascii="Calibri" w:hAnsi="Calibri" w:cs="Calibri"/>
                <w:color w:val="000000"/>
              </w:rPr>
              <w:t>MABU</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73</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76</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83</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81</w:t>
            </w:r>
          </w:p>
        </w:tc>
        <w:tc>
          <w:tcPr>
            <w:tcW w:w="0" w:type="auto"/>
            <w:tcBorders>
              <w:top w:val="single" w:sz="2" w:space="0" w:color="000000"/>
              <w:left w:val="single" w:sz="2" w:space="0" w:color="000000"/>
              <w:bottom w:val="single" w:sz="2" w:space="0" w:color="000000"/>
              <w:right w:val="single" w:sz="2" w:space="0" w:color="000000"/>
            </w:tcBorders>
            <w:shd w:val="solid" w:color="0080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82</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74</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75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64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57</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color w:val="000000"/>
                <w:sz w:val="18"/>
                <w:szCs w:val="18"/>
              </w:rPr>
            </w:pPr>
            <w:r w:rsidRPr="00867608">
              <w:rPr>
                <w:rFonts w:ascii="Calibri" w:hAnsi="Calibri" w:cs="Calibri"/>
                <w:color w:val="000000"/>
                <w:sz w:val="18"/>
                <w:szCs w:val="18"/>
              </w:rPr>
              <w:t>53</w:t>
            </w:r>
          </w:p>
        </w:tc>
      </w:tr>
      <w:tr w:rsidR="00464039" w:rsidRPr="00867608" w:rsidTr="00464039">
        <w:trPr>
          <w:trHeight w:val="301"/>
        </w:trPr>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sz w:val="24"/>
              </w:rPr>
            </w:pPr>
          </w:p>
        </w:tc>
        <w:tc>
          <w:tcPr>
            <w:tcW w:w="0" w:type="auto"/>
            <w:tcBorders>
              <w:top w:val="single" w:sz="2" w:space="0" w:color="000000"/>
              <w:left w:val="single" w:sz="2" w:space="0" w:color="000000"/>
              <w:bottom w:val="single" w:sz="2" w:space="0" w:color="000000"/>
              <w:right w:val="single" w:sz="2" w:space="0" w:color="000000"/>
            </w:tcBorders>
          </w:tcPr>
          <w:p w:rsidR="00464039" w:rsidRPr="00867608" w:rsidRDefault="00464039" w:rsidP="008333B6">
            <w:pPr>
              <w:autoSpaceDE w:val="0"/>
              <w:autoSpaceDN w:val="0"/>
              <w:adjustRightInd w:val="0"/>
              <w:rPr>
                <w:rFonts w:ascii="Calibri" w:hAnsi="Calibri" w:cs="Calibri"/>
                <w:color w:val="000000"/>
                <w:sz w:val="24"/>
              </w:rPr>
            </w:pPr>
            <w:r w:rsidRPr="00867608">
              <w:rPr>
                <w:rFonts w:ascii="Calibri" w:hAnsi="Calibri" w:cs="Calibri"/>
                <w:color w:val="000000"/>
                <w:sz w:val="24"/>
              </w:rPr>
              <w:t>GBR</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59</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55</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61</w:t>
            </w:r>
          </w:p>
        </w:tc>
        <w:tc>
          <w:tcPr>
            <w:tcW w:w="0" w:type="auto"/>
            <w:tcBorders>
              <w:top w:val="single" w:sz="2" w:space="0" w:color="000000"/>
              <w:left w:val="single" w:sz="2" w:space="0" w:color="000000"/>
              <w:bottom w:val="single" w:sz="2" w:space="0" w:color="000000"/>
              <w:right w:val="single" w:sz="2" w:space="0" w:color="000000"/>
            </w:tcBorders>
            <w:shd w:val="solid" w:color="99CC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61</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56</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58</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54</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53</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45</w:t>
            </w:r>
          </w:p>
        </w:tc>
        <w:tc>
          <w:tcPr>
            <w:tcW w:w="0" w:type="auto"/>
            <w:tcBorders>
              <w:top w:val="single" w:sz="2" w:space="0" w:color="000000"/>
              <w:left w:val="single" w:sz="2" w:space="0" w:color="000000"/>
              <w:bottom w:val="single" w:sz="2" w:space="0" w:color="000000"/>
              <w:right w:val="single" w:sz="2" w:space="0" w:color="000000"/>
            </w:tcBorders>
            <w:shd w:val="solid" w:color="FFFF00" w:fill="auto"/>
          </w:tcPr>
          <w:p w:rsidR="00464039" w:rsidRPr="00867608" w:rsidRDefault="00464039" w:rsidP="008333B6">
            <w:pPr>
              <w:autoSpaceDE w:val="0"/>
              <w:autoSpaceDN w:val="0"/>
              <w:adjustRightInd w:val="0"/>
              <w:jc w:val="center"/>
              <w:rPr>
                <w:rFonts w:ascii="Calibri" w:hAnsi="Calibri" w:cs="Calibri"/>
                <w:b/>
                <w:bCs/>
                <w:color w:val="000000"/>
                <w:sz w:val="24"/>
              </w:rPr>
            </w:pPr>
            <w:r w:rsidRPr="00867608">
              <w:rPr>
                <w:rFonts w:ascii="Calibri" w:hAnsi="Calibri" w:cs="Calibri"/>
                <w:b/>
                <w:bCs/>
                <w:color w:val="000000"/>
                <w:sz w:val="24"/>
              </w:rPr>
              <w:t>46</w:t>
            </w:r>
          </w:p>
        </w:tc>
      </w:tr>
    </w:tbl>
    <w:p w:rsidR="008333B6" w:rsidRDefault="008333B6" w:rsidP="008333B6"/>
    <w:p w:rsidR="008333B6" w:rsidRDefault="008333B6" w:rsidP="008333B6">
      <w:r>
        <w:br w:type="page"/>
      </w:r>
    </w:p>
    <w:p w:rsidR="008333B6" w:rsidRDefault="008333B6" w:rsidP="008333B6">
      <w:r w:rsidRPr="00757967">
        <w:rPr>
          <w:noProof/>
        </w:rPr>
        <w:lastRenderedPageBreak/>
        <w:drawing>
          <wp:inline distT="0" distB="0" distL="0" distR="0">
            <wp:extent cx="5943600" cy="3887523"/>
            <wp:effectExtent l="0" t="0" r="0" b="0"/>
            <wp:docPr id="22" name="Picture 2" descr="Comparison of P2R trends in Cape York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a:off x="0" y="0"/>
                      <a:ext cx="5943600" cy="3887523"/>
                    </a:xfrm>
                    <a:prstGeom prst="rect">
                      <a:avLst/>
                    </a:prstGeom>
                    <a:noFill/>
                    <a:ln w="9525">
                      <a:noFill/>
                      <a:miter lim="800000"/>
                      <a:headEnd/>
                      <a:tailEnd/>
                    </a:ln>
                  </pic:spPr>
                </pic:pic>
              </a:graphicData>
            </a:graphic>
          </wp:inline>
        </w:drawing>
      </w:r>
    </w:p>
    <w:p w:rsidR="008333B6" w:rsidRDefault="008333B6" w:rsidP="008333B6">
      <w:pPr>
        <w:keepNext/>
      </w:pPr>
      <w:r w:rsidRPr="00757967">
        <w:rPr>
          <w:noProof/>
        </w:rPr>
        <w:drawing>
          <wp:inline distT="0" distB="0" distL="0" distR="0">
            <wp:extent cx="5943600" cy="3887523"/>
            <wp:effectExtent l="0" t="0" r="0" b="0"/>
            <wp:docPr id="33" name="Picture 1" descr="Comparison of P2R trends in Cape York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5943600" cy="3887523"/>
                    </a:xfrm>
                    <a:prstGeom prst="rect">
                      <a:avLst/>
                    </a:prstGeom>
                    <a:noFill/>
                    <a:ln w="9525">
                      <a:noFill/>
                      <a:miter lim="800000"/>
                      <a:headEnd/>
                      <a:tailEnd/>
                    </a:ln>
                  </pic:spPr>
                </pic:pic>
              </a:graphicData>
            </a:graphic>
          </wp:inline>
        </w:drawing>
      </w:r>
    </w:p>
    <w:p w:rsidR="008333B6" w:rsidRDefault="008333B6" w:rsidP="008333B6">
      <w:pPr>
        <w:pStyle w:val="Caption"/>
        <w:rPr>
          <w:b/>
        </w:rPr>
      </w:pPr>
      <w:bookmarkStart w:id="92" w:name="_Toc228588291"/>
      <w:bookmarkStart w:id="93" w:name="_Toc399264996"/>
      <w:r>
        <w:t xml:space="preserve">Figure </w:t>
      </w:r>
      <w:fldSimple w:instr=" SEQ Figure \* ARABIC ">
        <w:r w:rsidR="00B11F3B">
          <w:rPr>
            <w:noProof/>
          </w:rPr>
          <w:t>10</w:t>
        </w:r>
      </w:fldSimple>
      <w:r>
        <w:t xml:space="preserve">. </w:t>
      </w:r>
      <w:r w:rsidRPr="009A0213">
        <w:t>Comparison of P2R trends in Cape York reporting</w:t>
      </w:r>
      <w:r>
        <w:t xml:space="preserve"> region</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92"/>
      <w:bookmarkEnd w:id="93"/>
    </w:p>
    <w:p w:rsidR="008333B6" w:rsidRDefault="008333B6" w:rsidP="008333B6">
      <w:r w:rsidRPr="009A0213">
        <w:rPr>
          <w:noProof/>
        </w:rPr>
        <w:lastRenderedPageBreak/>
        <w:drawing>
          <wp:inline distT="0" distB="0" distL="0" distR="0">
            <wp:extent cx="5732145" cy="3747265"/>
            <wp:effectExtent l="0" t="0" r="8255" b="12065"/>
            <wp:docPr id="516" name="Picture 3" descr="Comparison of P2R trends in Wet Tropics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5732145" cy="3747265"/>
                    </a:xfrm>
                    <a:prstGeom prst="rect">
                      <a:avLst/>
                    </a:prstGeom>
                    <a:noFill/>
                    <a:ln w="9525">
                      <a:noFill/>
                      <a:miter lim="800000"/>
                      <a:headEnd/>
                      <a:tailEnd/>
                    </a:ln>
                  </pic:spPr>
                </pic:pic>
              </a:graphicData>
            </a:graphic>
          </wp:inline>
        </w:drawing>
      </w:r>
    </w:p>
    <w:p w:rsidR="008333B6" w:rsidRDefault="008333B6" w:rsidP="008333B6">
      <w:r w:rsidRPr="009A0213">
        <w:rPr>
          <w:noProof/>
        </w:rPr>
        <w:drawing>
          <wp:inline distT="0" distB="0" distL="0" distR="0">
            <wp:extent cx="5732145" cy="3749217"/>
            <wp:effectExtent l="0" t="0" r="8255" b="10160"/>
            <wp:docPr id="517" name="Picture 5" descr="Comparison of P2R trends in Wet Tropics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Default="008333B6" w:rsidP="008333B6">
      <w:pPr>
        <w:pStyle w:val="Caption"/>
        <w:rPr>
          <w:b/>
        </w:rPr>
      </w:pPr>
      <w:bookmarkStart w:id="94" w:name="_Toc228588292"/>
      <w:bookmarkStart w:id="95" w:name="_Toc399264997"/>
      <w:r>
        <w:t xml:space="preserve">Figure </w:t>
      </w:r>
      <w:fldSimple w:instr=" SEQ Figure \* ARABIC ">
        <w:r w:rsidR="00B11F3B">
          <w:rPr>
            <w:noProof/>
          </w:rPr>
          <w:t>11</w:t>
        </w:r>
      </w:fldSimple>
      <w:r>
        <w:t xml:space="preserve">. </w:t>
      </w:r>
      <w:r w:rsidRPr="009A0213">
        <w:t xml:space="preserve">Comparison of P2R trends in </w:t>
      </w:r>
      <w:r>
        <w:t>Wet Tropics</w:t>
      </w:r>
      <w:r w:rsidRPr="009A0213">
        <w:t xml:space="preserve"> reporting</w:t>
      </w:r>
      <w:r>
        <w:t xml:space="preserve"> region</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94"/>
      <w:bookmarkEnd w:id="95"/>
    </w:p>
    <w:p w:rsidR="008333B6" w:rsidRDefault="008333B6" w:rsidP="008333B6"/>
    <w:p w:rsidR="008333B6" w:rsidRDefault="008333B6" w:rsidP="008333B6">
      <w:r w:rsidRPr="009A0213">
        <w:rPr>
          <w:noProof/>
        </w:rPr>
        <w:lastRenderedPageBreak/>
        <w:drawing>
          <wp:inline distT="0" distB="0" distL="0" distR="0">
            <wp:extent cx="5732145" cy="3749217"/>
            <wp:effectExtent l="0" t="0" r="8255" b="10160"/>
            <wp:docPr id="518" name="Picture 8" descr="Comparison of P2R trends in Burdekin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Pr="009A0213" w:rsidRDefault="008333B6" w:rsidP="008333B6">
      <w:r w:rsidRPr="00867608">
        <w:rPr>
          <w:noProof/>
        </w:rPr>
        <w:drawing>
          <wp:inline distT="0" distB="0" distL="0" distR="0">
            <wp:extent cx="5732145" cy="3749217"/>
            <wp:effectExtent l="0" t="0" r="8255" b="10160"/>
            <wp:docPr id="519" name="Picture 12" descr="Comparison of P2R trends in Burdekin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Default="008333B6" w:rsidP="008333B6">
      <w:pPr>
        <w:pStyle w:val="Caption"/>
        <w:rPr>
          <w:b/>
        </w:rPr>
      </w:pPr>
      <w:bookmarkStart w:id="96" w:name="_Toc228588293"/>
      <w:bookmarkStart w:id="97" w:name="_Toc399264998"/>
      <w:r>
        <w:t xml:space="preserve">Figure </w:t>
      </w:r>
      <w:fldSimple w:instr=" SEQ Figure \* ARABIC ">
        <w:r w:rsidR="00B11F3B">
          <w:rPr>
            <w:noProof/>
          </w:rPr>
          <w:t>12</w:t>
        </w:r>
      </w:fldSimple>
      <w:r>
        <w:t xml:space="preserve">. </w:t>
      </w:r>
      <w:r w:rsidRPr="009A0213">
        <w:t xml:space="preserve">Comparison of P2R trends in </w:t>
      </w:r>
      <w:r>
        <w:t>Burdekin</w:t>
      </w:r>
      <w:r w:rsidRPr="009A0213">
        <w:t xml:space="preserve"> reporting</w:t>
      </w:r>
      <w:r>
        <w:t xml:space="preserve"> region</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96"/>
      <w:bookmarkEnd w:id="97"/>
    </w:p>
    <w:p w:rsidR="008333B6" w:rsidRDefault="008333B6" w:rsidP="008333B6"/>
    <w:p w:rsidR="008333B6" w:rsidRDefault="008333B6" w:rsidP="008333B6">
      <w:r w:rsidRPr="009A0213">
        <w:rPr>
          <w:noProof/>
        </w:rPr>
        <w:lastRenderedPageBreak/>
        <w:drawing>
          <wp:inline distT="0" distB="0" distL="0" distR="0">
            <wp:extent cx="5732145" cy="3749217"/>
            <wp:effectExtent l="0" t="0" r="8255" b="10160"/>
            <wp:docPr id="520" name="Picture 9" descr="Comparison of P2R trends in Mackay Whitsundays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Pr="009A0213" w:rsidRDefault="008333B6" w:rsidP="008333B6">
      <w:r w:rsidRPr="00867608">
        <w:rPr>
          <w:noProof/>
        </w:rPr>
        <w:drawing>
          <wp:inline distT="0" distB="0" distL="0" distR="0">
            <wp:extent cx="5732145" cy="3749217"/>
            <wp:effectExtent l="0" t="0" r="8255" b="10160"/>
            <wp:docPr id="522" name="Picture 13" descr="Comparison of P2R trends in Mackay Whitsundays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Default="008333B6" w:rsidP="008333B6">
      <w:pPr>
        <w:pStyle w:val="Caption"/>
        <w:rPr>
          <w:b/>
        </w:rPr>
      </w:pPr>
      <w:bookmarkStart w:id="98" w:name="_Toc228588294"/>
      <w:bookmarkStart w:id="99" w:name="_Toc399264999"/>
      <w:r>
        <w:t xml:space="preserve">Figure </w:t>
      </w:r>
      <w:fldSimple w:instr=" SEQ Figure \* ARABIC ">
        <w:r w:rsidR="00B11F3B">
          <w:rPr>
            <w:noProof/>
          </w:rPr>
          <w:t>13</w:t>
        </w:r>
      </w:fldSimple>
      <w:r>
        <w:t xml:space="preserve">. </w:t>
      </w:r>
      <w:r w:rsidRPr="009A0213">
        <w:t xml:space="preserve">Comparison of P2R trends in </w:t>
      </w:r>
      <w:r>
        <w:t>Mackay Whitsundays</w:t>
      </w:r>
      <w:r w:rsidRPr="009A0213">
        <w:t xml:space="preserve"> reporting</w:t>
      </w:r>
      <w:r>
        <w:t xml:space="preserve"> region</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98"/>
      <w:bookmarkEnd w:id="99"/>
    </w:p>
    <w:p w:rsidR="008333B6" w:rsidRDefault="008333B6" w:rsidP="008333B6">
      <w:r w:rsidRPr="009A0213">
        <w:rPr>
          <w:noProof/>
        </w:rPr>
        <w:lastRenderedPageBreak/>
        <w:drawing>
          <wp:inline distT="0" distB="0" distL="0" distR="0">
            <wp:extent cx="5732145" cy="3749217"/>
            <wp:effectExtent l="0" t="0" r="8255" b="10160"/>
            <wp:docPr id="523" name="Picture 6" descr="Comparison of P2R trends in Fitzroy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Pr="009A0213" w:rsidRDefault="008333B6" w:rsidP="008333B6">
      <w:r w:rsidRPr="009A0213">
        <w:rPr>
          <w:noProof/>
        </w:rPr>
        <w:drawing>
          <wp:inline distT="0" distB="0" distL="0" distR="0">
            <wp:extent cx="5732145" cy="3749217"/>
            <wp:effectExtent l="0" t="0" r="8255" b="10160"/>
            <wp:docPr id="524" name="Picture 7" descr="Comparison of P2R trends in Fitzroy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Default="008333B6" w:rsidP="008333B6">
      <w:pPr>
        <w:pStyle w:val="Caption"/>
        <w:rPr>
          <w:b/>
        </w:rPr>
      </w:pPr>
      <w:bookmarkStart w:id="100" w:name="_Toc228588295"/>
      <w:bookmarkStart w:id="101" w:name="_Toc399265000"/>
      <w:r>
        <w:t xml:space="preserve">Figure </w:t>
      </w:r>
      <w:fldSimple w:instr=" SEQ Figure \* ARABIC ">
        <w:r w:rsidR="00B11F3B">
          <w:rPr>
            <w:noProof/>
          </w:rPr>
          <w:t>14</w:t>
        </w:r>
      </w:fldSimple>
      <w:r>
        <w:t xml:space="preserve">. </w:t>
      </w:r>
      <w:r w:rsidRPr="009A0213">
        <w:t xml:space="preserve">Comparison of P2R trends in </w:t>
      </w:r>
      <w:r>
        <w:t>Fitzroy</w:t>
      </w:r>
      <w:r w:rsidRPr="009A0213">
        <w:t xml:space="preserve"> reporting</w:t>
      </w:r>
      <w:r>
        <w:t xml:space="preserve"> region</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100"/>
      <w:bookmarkEnd w:id="101"/>
    </w:p>
    <w:p w:rsidR="008333B6" w:rsidRDefault="008333B6" w:rsidP="008333B6"/>
    <w:p w:rsidR="008333B6" w:rsidRDefault="008333B6" w:rsidP="008333B6">
      <w:r w:rsidRPr="00CF390C">
        <w:rPr>
          <w:noProof/>
        </w:rPr>
        <w:lastRenderedPageBreak/>
        <w:drawing>
          <wp:inline distT="0" distB="0" distL="0" distR="0">
            <wp:extent cx="5732145" cy="3749217"/>
            <wp:effectExtent l="0" t="0" r="8255" b="10160"/>
            <wp:docPr id="525" name="Picture 10" descr="Comparison of P2R trends in Burnett Mary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Pr="00CF390C" w:rsidRDefault="008333B6" w:rsidP="008333B6">
      <w:r w:rsidRPr="00CF390C">
        <w:rPr>
          <w:noProof/>
        </w:rPr>
        <w:drawing>
          <wp:inline distT="0" distB="0" distL="0" distR="0">
            <wp:extent cx="5732145" cy="3749217"/>
            <wp:effectExtent l="0" t="0" r="8255" b="10160"/>
            <wp:docPr id="526" name="Picture 11" descr="Comparison of P2R trends in Burnett Mary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Pr="009A0213" w:rsidRDefault="008333B6" w:rsidP="008333B6">
      <w:pPr>
        <w:pStyle w:val="Caption"/>
        <w:rPr>
          <w:b/>
        </w:rPr>
      </w:pPr>
      <w:bookmarkStart w:id="102" w:name="_Toc228588296"/>
      <w:bookmarkStart w:id="103" w:name="_Toc399265001"/>
      <w:r>
        <w:t xml:space="preserve">Figure </w:t>
      </w:r>
      <w:fldSimple w:instr=" SEQ Figure \* ARABIC ">
        <w:r w:rsidR="00B11F3B">
          <w:rPr>
            <w:noProof/>
          </w:rPr>
          <w:t>15</w:t>
        </w:r>
      </w:fldSimple>
      <w:r>
        <w:t xml:space="preserve">. </w:t>
      </w:r>
      <w:r w:rsidRPr="009A0213">
        <w:t xml:space="preserve">Comparison of P2R trends in </w:t>
      </w:r>
      <w:r>
        <w:t>Burnett Mary</w:t>
      </w:r>
      <w:r w:rsidRPr="009A0213">
        <w:t xml:space="preserve"> reporting region.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102"/>
      <w:bookmarkEnd w:id="103"/>
    </w:p>
    <w:p w:rsidR="008333B6" w:rsidRDefault="008333B6" w:rsidP="008333B6">
      <w:r w:rsidRPr="00867608">
        <w:rPr>
          <w:noProof/>
        </w:rPr>
        <w:lastRenderedPageBreak/>
        <w:drawing>
          <wp:inline distT="0" distB="0" distL="0" distR="0">
            <wp:extent cx="5732145" cy="3749217"/>
            <wp:effectExtent l="0" t="0" r="8255" b="10160"/>
            <wp:docPr id="528" name="Picture 14" descr=". Comparison of P2R trends in the whole GBRWHA.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8333B6" w:rsidRDefault="008333B6" w:rsidP="008333B6">
      <w:r w:rsidRPr="00867608">
        <w:rPr>
          <w:noProof/>
        </w:rPr>
        <w:drawing>
          <wp:inline distT="0" distB="0" distL="0" distR="0">
            <wp:extent cx="5732145" cy="3749217"/>
            <wp:effectExtent l="0" t="0" r="8255" b="10160"/>
            <wp:docPr id="529" name="Picture 15" descr=". Comparison of P2R trends in the whole GBRWHA.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E434FF" w:rsidRPr="00A25B44" w:rsidRDefault="008333B6" w:rsidP="00A25B44">
      <w:pPr>
        <w:pStyle w:val="Caption"/>
        <w:rPr>
          <w:b/>
        </w:rPr>
      </w:pPr>
      <w:bookmarkStart w:id="104" w:name="_Toc228588297"/>
      <w:bookmarkStart w:id="105" w:name="_Toc399265002"/>
      <w:r>
        <w:t xml:space="preserve">Figure </w:t>
      </w:r>
      <w:fldSimple w:instr=" SEQ Figure \* ARABIC ">
        <w:r w:rsidR="00B11F3B">
          <w:rPr>
            <w:noProof/>
          </w:rPr>
          <w:t>16</w:t>
        </w:r>
      </w:fldSimple>
      <w:r>
        <w:t xml:space="preserve">. </w:t>
      </w:r>
      <w:r w:rsidRPr="009A0213">
        <w:t>Comparison of P2R trends in</w:t>
      </w:r>
      <w:r>
        <w:t xml:space="preserve"> the whole GBR</w:t>
      </w:r>
      <w:r w:rsidR="000E29B2">
        <w:t>WHA</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104"/>
      <w:bookmarkEnd w:id="105"/>
    </w:p>
    <w:p w:rsidR="00B25CAA" w:rsidRPr="00A40CD0" w:rsidRDefault="00B25CAA" w:rsidP="00943B50">
      <w:pPr>
        <w:pStyle w:val="Heading1"/>
        <w:numPr>
          <w:ilvl w:val="0"/>
          <w:numId w:val="13"/>
        </w:numPr>
      </w:pPr>
      <w:r w:rsidRPr="00A40CD0">
        <w:br w:type="page"/>
      </w:r>
      <w:bookmarkStart w:id="106" w:name="_Ref303874036"/>
      <w:bookmarkStart w:id="107" w:name="_Ref303954418"/>
      <w:bookmarkStart w:id="108" w:name="_Toc228588180"/>
      <w:bookmarkStart w:id="109" w:name="_Toc399264887"/>
      <w:r w:rsidRPr="00A40CD0">
        <w:lastRenderedPageBreak/>
        <w:t>Results and discussion</w:t>
      </w:r>
      <w:bookmarkEnd w:id="106"/>
      <w:bookmarkEnd w:id="107"/>
      <w:bookmarkEnd w:id="108"/>
      <w:bookmarkEnd w:id="109"/>
    </w:p>
    <w:p w:rsidR="00B25CAA" w:rsidRPr="00A40CD0" w:rsidRDefault="00B25CAA" w:rsidP="002E0BD6">
      <w:pPr>
        <w:pStyle w:val="BodyText"/>
      </w:pPr>
      <w:r w:rsidRPr="00A40CD0">
        <w:t>This section will provide an overview of the satellite- based monitoring results</w:t>
      </w:r>
      <w:r w:rsidRPr="00A40CD0" w:rsidDel="00A137A0">
        <w:t xml:space="preserve"> </w:t>
      </w:r>
      <w:r w:rsidRPr="00A40CD0">
        <w:t xml:space="preserve">- for the whole Great Barrier Reef World Heritage Area (GBRWHA) followed by a detailed regional report for each of the six reporting regions. For each region the wet season freshwater extent was estimated from CDOM maps is correlated </w:t>
      </w:r>
      <w:r w:rsidR="00ED4C2D">
        <w:t xml:space="preserve">with the river discharges. The </w:t>
      </w:r>
      <w:r w:rsidRPr="00A40CD0">
        <w:t>wet and dry season median maps are presented for CHL and TSS (as NAP) as well as the maps that show the number of valid observations (i.e. cloud-free and error free image pixels) used for calculating the median values. In addition to the median maps, the exceedance of the Guidelines was assessed for CHL and TSS over the whole year and the wet and dry seasons.</w:t>
      </w:r>
    </w:p>
    <w:p w:rsidR="00B25CAA" w:rsidRPr="00A40CD0" w:rsidRDefault="00B25CAA" w:rsidP="007E294B">
      <w:pPr>
        <w:pStyle w:val="Heading2"/>
      </w:pPr>
      <w:bookmarkStart w:id="110" w:name="_Toc228588181"/>
      <w:bookmarkStart w:id="111" w:name="_Toc399264888"/>
      <w:r w:rsidRPr="00A40CD0">
        <w:t>Great Barrier Reef wide summary</w:t>
      </w:r>
      <w:bookmarkEnd w:id="110"/>
      <w:bookmarkEnd w:id="111"/>
    </w:p>
    <w:p w:rsidR="009202A6" w:rsidRPr="007E294B" w:rsidRDefault="00B25CAA" w:rsidP="007E294B">
      <w:pPr>
        <w:pStyle w:val="Heading3"/>
      </w:pPr>
      <w:bookmarkStart w:id="112" w:name="_Toc228588182"/>
      <w:bookmarkStart w:id="113" w:name="_Toc399264889"/>
      <w:r w:rsidRPr="007E294B">
        <w:t>Assessment of freshwater extent during the wet season</w:t>
      </w:r>
      <w:bookmarkEnd w:id="112"/>
      <w:bookmarkEnd w:id="113"/>
    </w:p>
    <w:p w:rsidR="00B25CAA" w:rsidRDefault="00B25CAA" w:rsidP="002E0BD6">
      <w:pPr>
        <w:pStyle w:val="BodyText"/>
      </w:pPr>
      <w:r w:rsidRPr="00A40CD0">
        <w:t xml:space="preserve">Wet season flood plume movements across Great Barrier Reef marine waters are a consequence of the volume and duration of river (flood) flows, wind direction and velocity, as well as the local marine currents and tidal dynamics. </w:t>
      </w:r>
    </w:p>
    <w:p w:rsidR="00B25CAA" w:rsidRPr="00A40CD0" w:rsidRDefault="006A6FFD" w:rsidP="002E0BD6">
      <w:pPr>
        <w:pStyle w:val="BodyText"/>
      </w:pPr>
      <w:r>
        <w:t xml:space="preserve">Freshwater discharge </w:t>
      </w:r>
      <w:r w:rsidRPr="00A40CD0">
        <w:t>from the Grea</w:t>
      </w:r>
      <w:r>
        <w:t xml:space="preserve">t Barrier Reef catchments in 2011/12 was </w:t>
      </w:r>
      <w:r w:rsidR="00D629EE">
        <w:t xml:space="preserve">overall </w:t>
      </w:r>
      <w:r>
        <w:t xml:space="preserve">higher than the </w:t>
      </w:r>
      <w:r w:rsidRPr="00A40CD0">
        <w:t>annual median flow</w:t>
      </w:r>
      <w:r>
        <w:t xml:space="preserve">. The flow in the Burdekin and Fitzroy Rivers was almost 3 times </w:t>
      </w:r>
      <w:r w:rsidRPr="00A40CD0">
        <w:t>above the long term median flow</w:t>
      </w:r>
      <w:r w:rsidR="00EA2F38">
        <w:fldChar w:fldCharType="begin"/>
      </w:r>
      <w:r w:rsidR="00AC2F22">
        <w:instrText xml:space="preserve"> ADDIN EN.CITE &lt;EndNote&gt;&lt;Cite&gt;&lt;Author&gt;Schaffelke&lt;/Author&gt;&lt;Year&gt;2012&lt;/Year&gt;&lt;RecNum&gt;4690&lt;/RecNum&gt;&lt;DisplayText&gt;(Schaffelke et al. 2012)&lt;/DisplayText&gt;&lt;record&gt;&lt;rec-number&gt;4690&lt;/rec-number&gt;&lt;foreign-keys&gt;&lt;key app="EN" db-id="z0vwsaa0gfvsr1e2sr7p90rtdtevf52r2we9"&gt;4690&lt;/key&gt;&lt;/foreign-keys&gt;&lt;ref-type name="Report"&gt;27&lt;/ref-type&gt;&lt;contributors&gt;&lt;authors&gt;&lt;author&gt;Schaffelke, B&lt;/author&gt;&lt;author&gt;Carleton, J&lt;/author&gt;&lt;author&gt;Costello, P&lt;/author&gt;&lt;author&gt;Davidson, d&lt;/author&gt;&lt;author&gt;Doyle,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2011/12 –Inshore water quality monitoring&lt;/title&gt;&lt;/titles&gt;&lt;dates&gt;&lt;year&gt;2012&lt;/year&gt;&lt;/dates&gt;&lt;pub-location&gt;Townsville&lt;/pub-location&gt;&lt;publisher&gt;Australian Institute of Marine Science&lt;/publisher&gt;&lt;urls&gt;&lt;/urls&gt;&lt;/record&gt;&lt;/Cite&gt;&lt;/EndNote&gt;</w:instrText>
      </w:r>
      <w:r w:rsidR="00EA2F38">
        <w:fldChar w:fldCharType="separate"/>
      </w:r>
      <w:r w:rsidR="00AC2F22">
        <w:rPr>
          <w:noProof/>
        </w:rPr>
        <w:t>(</w:t>
      </w:r>
      <w:hyperlink w:anchor="_ENREF_42" w:tooltip="Schaffelke, 2012 #4690" w:history="1">
        <w:r w:rsidR="007B7C47">
          <w:rPr>
            <w:noProof/>
          </w:rPr>
          <w:t>Schaffelke et al. 2012</w:t>
        </w:r>
      </w:hyperlink>
      <w:r w:rsidR="00AC2F22">
        <w:rPr>
          <w:noProof/>
        </w:rPr>
        <w:t>)</w:t>
      </w:r>
      <w:r w:rsidR="00EA2F38">
        <w:fldChar w:fldCharType="end"/>
      </w:r>
      <w:r w:rsidR="00216B81">
        <w:t xml:space="preserve">. </w:t>
      </w:r>
      <w:r w:rsidR="00D629EE">
        <w:t>Most of t</w:t>
      </w:r>
      <w:r>
        <w:t>he rivers in the Wet tropics (</w:t>
      </w:r>
      <w:r w:rsidR="00D629EE">
        <w:t xml:space="preserve">Daintree, </w:t>
      </w:r>
      <w:r w:rsidRPr="00A40CD0">
        <w:t>Barron</w:t>
      </w:r>
      <w:r>
        <w:t xml:space="preserve">, </w:t>
      </w:r>
      <w:r w:rsidR="00D629EE">
        <w:t xml:space="preserve">Mulgrave, South Johnstone, Tully and </w:t>
      </w:r>
      <w:r>
        <w:t>Herbert</w:t>
      </w:r>
      <w:r w:rsidR="00D629EE">
        <w:t xml:space="preserve"> rivers</w:t>
      </w:r>
      <w:r>
        <w:t>)</w:t>
      </w:r>
      <w:r w:rsidR="00D629EE">
        <w:t xml:space="preserve"> were just above the median flows</w:t>
      </w:r>
      <w:r>
        <w:t>. In the Mackay Whitsunday region, t</w:t>
      </w:r>
      <w:r w:rsidR="00B25CAA" w:rsidRPr="00A40CD0">
        <w:t xml:space="preserve">he freshwater </w:t>
      </w:r>
      <w:r>
        <w:t>discharge of the Pioneer Rivers was</w:t>
      </w:r>
      <w:r w:rsidRPr="00A40CD0">
        <w:t xml:space="preserve"> more than </w:t>
      </w:r>
      <w:r>
        <w:t>four</w:t>
      </w:r>
      <w:r w:rsidRPr="00A40CD0">
        <w:t xml:space="preserve"> times above median flows </w:t>
      </w:r>
      <w:r>
        <w:t xml:space="preserve">while the </w:t>
      </w:r>
      <w:r w:rsidR="00B25CAA" w:rsidRPr="00A40CD0">
        <w:t>discharge for the Proserpine,</w:t>
      </w:r>
      <w:r>
        <w:t xml:space="preserve"> O’Connell Rivers were more than double than the </w:t>
      </w:r>
      <w:r w:rsidRPr="00A40CD0">
        <w:t>median flows</w:t>
      </w:r>
      <w:r>
        <w:t xml:space="preserve"> </w:t>
      </w:r>
      <w:r w:rsidR="00B25CAA" w:rsidRPr="00A40CD0">
        <w:t>(</w:t>
      </w:r>
      <w:r w:rsidR="008A285B">
        <w:fldChar w:fldCharType="begin"/>
      </w:r>
      <w:r w:rsidR="008A285B">
        <w:instrText xml:space="preserve"> REF _Ref257740941 \h  \* MERGEFORMAT </w:instrText>
      </w:r>
      <w:r w:rsidR="008A285B">
        <w:fldChar w:fldCharType="separate"/>
      </w:r>
      <w:r w:rsidR="00B11F3B" w:rsidRPr="00A40CD0">
        <w:t xml:space="preserve">Figure </w:t>
      </w:r>
      <w:r w:rsidR="00B11F3B">
        <w:t>17</w:t>
      </w:r>
      <w:r w:rsidR="008A285B">
        <w:fldChar w:fldCharType="end"/>
      </w:r>
      <w:r w:rsidR="00B25CAA" w:rsidRPr="00A40CD0">
        <w:t xml:space="preserve">). The Burnett and Mary Rivers flooded over December and January reaching record peak and flow levels </w:t>
      </w:r>
      <w:r w:rsidR="00EA2F38" w:rsidRPr="00A40CD0">
        <w:fldChar w:fldCharType="begin"/>
      </w:r>
      <w:r w:rsidR="00AC2F22">
        <w:instrText xml:space="preserve"> ADDIN EN.CITE &lt;EndNote&gt;&lt;Cite&gt;&lt;Author&gt;Schaffelke&lt;/Author&gt;&lt;Year&gt;2011&lt;/Year&gt;&lt;RecNum&gt;4654&lt;/RecNum&gt;&lt;DisplayText&gt;(Schaffelke et al. 2011)&lt;/DisplayText&gt;&lt;record&gt;&lt;rec-number&gt;4654&lt;/rec-number&gt;&lt;foreign-keys&gt;&lt;key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EA2F38" w:rsidRPr="00A40CD0">
        <w:fldChar w:fldCharType="separate"/>
      </w:r>
      <w:r w:rsidR="00AC2F22">
        <w:rPr>
          <w:noProof/>
        </w:rPr>
        <w:t>(</w:t>
      </w:r>
      <w:hyperlink w:anchor="_ENREF_43" w:tooltip="Schaffelke, 2011 #4654" w:history="1">
        <w:r w:rsidR="007B7C47">
          <w:rPr>
            <w:noProof/>
          </w:rPr>
          <w:t>Schaffelke et al. 2011</w:t>
        </w:r>
      </w:hyperlink>
      <w:r w:rsidR="00AC2F22">
        <w:rPr>
          <w:noProof/>
        </w:rPr>
        <w:t>)</w:t>
      </w:r>
      <w:r w:rsidR="00EA2F38" w:rsidRPr="00A40CD0">
        <w:fldChar w:fldCharType="end"/>
      </w:r>
      <w:r w:rsidR="00B25CAA" w:rsidRPr="00A40CD0">
        <w:t>.</w:t>
      </w:r>
    </w:p>
    <w:p w:rsidR="00B25CAA" w:rsidRPr="00A40CD0" w:rsidRDefault="00B25CAA" w:rsidP="002E0BD6">
      <w:pPr>
        <w:pStyle w:val="BodyText"/>
      </w:pPr>
    </w:p>
    <w:p w:rsidR="00B25CAA" w:rsidRPr="00A40CD0" w:rsidRDefault="00F64937" w:rsidP="002E0BD6">
      <w:pPr>
        <w:pStyle w:val="BodyText"/>
      </w:pPr>
      <w:r w:rsidRPr="00F64937">
        <w:lastRenderedPageBreak/>
        <w:t xml:space="preserve"> </w:t>
      </w:r>
      <w:r w:rsidRPr="00F64937">
        <w:rPr>
          <w:noProof/>
          <w:lang w:eastAsia="en-AU"/>
        </w:rPr>
        <w:drawing>
          <wp:inline distT="0" distB="0" distL="0" distR="0">
            <wp:extent cx="5759450" cy="3765915"/>
            <wp:effectExtent l="0" t="0" r="6350" b="0"/>
            <wp:docPr id="533" name="Picture 67" descr="Comparison of fresh water discharge for 2011/2012 compared to 2010/2011 and the long term median for each reporting region of the GBRWHA. Data are aggregated to the reporting regions from table A1-3 of (Schaffelke et al. 2011) presenting data supplied by the Queensland Department of the Environment and Resource Management for each river. Long-term medians were estimated from annual total flows (October to October), long-term medians are not available for the Cape York and Burnett Mary regions (Schaffelke et a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1"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B25CAA" w:rsidRPr="00A40CD0" w:rsidRDefault="00B25CAA" w:rsidP="004968C5">
      <w:pPr>
        <w:pStyle w:val="Caption"/>
      </w:pPr>
      <w:bookmarkStart w:id="114" w:name="_Ref257740941"/>
      <w:bookmarkStart w:id="115" w:name="_Ref257740940"/>
      <w:bookmarkStart w:id="116" w:name="_Toc228588298"/>
      <w:bookmarkStart w:id="117" w:name="_Toc399265003"/>
      <w:r w:rsidRPr="00A40CD0">
        <w:t xml:space="preserve">Figure </w:t>
      </w:r>
      <w:r w:rsidR="00EA2F38">
        <w:fldChar w:fldCharType="begin"/>
      </w:r>
      <w:r w:rsidR="00933C8B">
        <w:instrText xml:space="preserve"> SEQ Figure \* ARABIC </w:instrText>
      </w:r>
      <w:r w:rsidR="00EA2F38">
        <w:fldChar w:fldCharType="separate"/>
      </w:r>
      <w:r w:rsidR="00B11F3B">
        <w:rPr>
          <w:noProof/>
        </w:rPr>
        <w:t>17</w:t>
      </w:r>
      <w:r w:rsidR="00EA2F38">
        <w:fldChar w:fldCharType="end"/>
      </w:r>
      <w:bookmarkEnd w:id="114"/>
      <w:r w:rsidRPr="00A40CD0">
        <w:t>. Comparison o</w:t>
      </w:r>
      <w:r w:rsidR="00F64937">
        <w:t>f fresh water discharge for 2011/2012</w:t>
      </w:r>
      <w:r w:rsidRPr="00A40CD0">
        <w:t xml:space="preserve"> compared to </w:t>
      </w:r>
      <w:r w:rsidR="00F64937">
        <w:t>2010/2011</w:t>
      </w:r>
      <w:r w:rsidRPr="00A40CD0">
        <w:t xml:space="preserve"> and the long term median for each reporting region of the GBRWHA. Data are aggregated to the reporting regions from table A1-3 of </w:t>
      </w:r>
      <w:r w:rsidR="00EA2F38" w:rsidRPr="00A40CD0">
        <w:fldChar w:fldCharType="begin"/>
      </w:r>
      <w:r w:rsidR="00AC2F22">
        <w:instrText xml:space="preserve"> ADDIN EN.CITE &lt;EndNote&gt;&lt;Cite&gt;&lt;Author&gt;Schaffelke&lt;/Author&gt;&lt;Year&gt;2011&lt;/Year&gt;&lt;RecNum&gt;4654&lt;/RecNum&gt;&lt;DisplayText&gt;(Schaffelke et al. 2011)&lt;/DisplayText&gt;&lt;record&gt;&lt;rec-number&gt;4654&lt;/rec-number&gt;&lt;foreign-keys&gt;&lt;key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EA2F38" w:rsidRPr="00A40CD0">
        <w:fldChar w:fldCharType="separate"/>
      </w:r>
      <w:r w:rsidR="00AC2F22">
        <w:rPr>
          <w:noProof/>
        </w:rPr>
        <w:t>(</w:t>
      </w:r>
      <w:hyperlink w:anchor="_ENREF_43" w:tooltip="Schaffelke, 2011 #4654" w:history="1">
        <w:r w:rsidR="007B7C47">
          <w:rPr>
            <w:noProof/>
          </w:rPr>
          <w:t>Schaffelke et al. 2011</w:t>
        </w:r>
      </w:hyperlink>
      <w:r w:rsidR="00AC2F22">
        <w:rPr>
          <w:noProof/>
        </w:rPr>
        <w:t>)</w:t>
      </w:r>
      <w:r w:rsidR="00EA2F38" w:rsidRPr="00A40CD0">
        <w:fldChar w:fldCharType="end"/>
      </w:r>
      <w:r w:rsidRPr="00A40CD0">
        <w:t xml:space="preserve"> presenting data supplied by the Queensland Department of the Environment and Resource Management for each river. Long-term medians were estimated from annual total flows (October to October), long-term medians </w:t>
      </w:r>
      <w:bookmarkEnd w:id="115"/>
      <w:r w:rsidRPr="00A40CD0">
        <w:t xml:space="preserve">are not available for the Cape York and Burnett Mary regions </w:t>
      </w:r>
      <w:r w:rsidR="00EA2F38" w:rsidRPr="00A40CD0">
        <w:fldChar w:fldCharType="begin"/>
      </w:r>
      <w:r w:rsidR="00AC2F22">
        <w:instrText xml:space="preserve"> ADDIN EN.CITE &lt;EndNote&gt;&lt;Cite&gt;&lt;Author&gt;Schaffelke&lt;/Author&gt;&lt;Year&gt;2011&lt;/Year&gt;&lt;RecNum&gt;4654&lt;/RecNum&gt;&lt;DisplayText&gt;(Schaffelke et al. 2011)&lt;/DisplayText&gt;&lt;record&gt;&lt;rec-number&gt;4654&lt;/rec-number&gt;&lt;foreign-keys&gt;&lt;key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EA2F38" w:rsidRPr="00A40CD0">
        <w:fldChar w:fldCharType="separate"/>
      </w:r>
      <w:r w:rsidR="00AC2F22">
        <w:rPr>
          <w:noProof/>
        </w:rPr>
        <w:t>(</w:t>
      </w:r>
      <w:hyperlink w:anchor="_ENREF_43" w:tooltip="Schaffelke, 2011 #4654" w:history="1">
        <w:r w:rsidR="007B7C47">
          <w:rPr>
            <w:noProof/>
          </w:rPr>
          <w:t>Schaffelke et al. 2011</w:t>
        </w:r>
      </w:hyperlink>
      <w:r w:rsidR="00AC2F22">
        <w:rPr>
          <w:noProof/>
        </w:rPr>
        <w:t>)</w:t>
      </w:r>
      <w:r w:rsidR="00EA2F38" w:rsidRPr="00A40CD0">
        <w:fldChar w:fldCharType="end"/>
      </w:r>
      <w:r w:rsidRPr="00A40CD0">
        <w:t>.</w:t>
      </w:r>
      <w:bookmarkEnd w:id="116"/>
      <w:bookmarkEnd w:id="117"/>
    </w:p>
    <w:p w:rsidR="00B25CAA" w:rsidRPr="00A40CD0" w:rsidRDefault="008A285B" w:rsidP="002E0BD6">
      <w:pPr>
        <w:pStyle w:val="BodyText"/>
      </w:pPr>
      <w:r>
        <w:fldChar w:fldCharType="begin"/>
      </w:r>
      <w:r>
        <w:instrText xml:space="preserve"> REF _Ref257731666 \h  \* MERGEFORMAT </w:instrText>
      </w:r>
      <w:r>
        <w:fldChar w:fldCharType="separate"/>
      </w:r>
      <w:r w:rsidR="00B11F3B" w:rsidRPr="00A40CD0">
        <w:t xml:space="preserve">Figure </w:t>
      </w:r>
      <w:r w:rsidR="00B11F3B">
        <w:t>18</w:t>
      </w:r>
      <w:r>
        <w:fldChar w:fldCharType="end"/>
      </w:r>
      <w:r w:rsidR="00A40CD0">
        <w:t xml:space="preserve"> provides an</w:t>
      </w:r>
      <w:r w:rsidR="00A40CD0" w:rsidRPr="00A40CD0">
        <w:t xml:space="preserve"> overview of the freshwater extent for </w:t>
      </w:r>
      <w:r w:rsidR="00D8717B">
        <w:t>wet season 2011/2012 (November 2011- April 2012)</w:t>
      </w:r>
      <w:r w:rsidR="00A40CD0" w:rsidRPr="00A40CD0">
        <w:t xml:space="preserve"> for the whole</w:t>
      </w:r>
      <w:r w:rsidR="00A40CD0">
        <w:t xml:space="preserve"> </w:t>
      </w:r>
      <w:r w:rsidR="00A40CD0" w:rsidRPr="00A40CD0">
        <w:t xml:space="preserve">GBRWHA. </w:t>
      </w:r>
      <w:r w:rsidR="00B25CAA" w:rsidRPr="00A40CD0">
        <w:t>The freshwater extent was estimated by applying a threshold of 0.24 m</w:t>
      </w:r>
      <w:r w:rsidR="00B25CAA" w:rsidRPr="00A40CD0">
        <w:rPr>
          <w:vertAlign w:val="superscript"/>
        </w:rPr>
        <w:t>-1</w:t>
      </w:r>
      <w:r w:rsidR="00B25CAA" w:rsidRPr="00A40CD0">
        <w:t xml:space="preserve"> for the CDOM seasonal maximum. Detailed maps for each region are presented in the regional reporting sections (</w:t>
      </w:r>
      <w:r>
        <w:fldChar w:fldCharType="begin"/>
      </w:r>
      <w:r>
        <w:instrText xml:space="preserve"> REF _Ref257731716 \h  \* MERGEFORMAT </w:instrText>
      </w:r>
      <w:r>
        <w:fldChar w:fldCharType="separate"/>
      </w:r>
      <w:r w:rsidR="00B11F3B" w:rsidRPr="00A40CD0">
        <w:t xml:space="preserve">Figure </w:t>
      </w:r>
      <w:r w:rsidR="00B11F3B">
        <w:t>29</w:t>
      </w:r>
      <w:r>
        <w:fldChar w:fldCharType="end"/>
      </w:r>
      <w:r w:rsidR="00B25CAA" w:rsidRPr="00A40CD0">
        <w:t xml:space="preserve">, </w:t>
      </w:r>
      <w:r>
        <w:fldChar w:fldCharType="begin"/>
      </w:r>
      <w:r>
        <w:instrText xml:space="preserve"> REF _Ref257731831 \h  \* MERGEFORMAT </w:instrText>
      </w:r>
      <w:r>
        <w:fldChar w:fldCharType="separate"/>
      </w:r>
      <w:r w:rsidR="00B11F3B" w:rsidRPr="00A40CD0">
        <w:t xml:space="preserve">Figure </w:t>
      </w:r>
      <w:r w:rsidR="00B11F3B">
        <w:t>40</w:t>
      </w:r>
      <w:r>
        <w:fldChar w:fldCharType="end"/>
      </w:r>
      <w:r w:rsidR="00B25CAA" w:rsidRPr="00A40CD0">
        <w:t xml:space="preserve">, </w:t>
      </w:r>
      <w:r>
        <w:fldChar w:fldCharType="begin"/>
      </w:r>
      <w:r>
        <w:instrText xml:space="preserve"> REF _Ref257731840 \h  \* MERGEFORMAT </w:instrText>
      </w:r>
      <w:r>
        <w:fldChar w:fldCharType="separate"/>
      </w:r>
      <w:r w:rsidR="00B11F3B" w:rsidRPr="00A40CD0">
        <w:t xml:space="preserve">Figure </w:t>
      </w:r>
      <w:r w:rsidR="00B11F3B">
        <w:t>51</w:t>
      </w:r>
      <w:r>
        <w:fldChar w:fldCharType="end"/>
      </w:r>
      <w:r w:rsidR="00B25CAA" w:rsidRPr="00A40CD0">
        <w:t xml:space="preserve">, </w:t>
      </w:r>
      <w:r>
        <w:fldChar w:fldCharType="begin"/>
      </w:r>
      <w:r>
        <w:instrText xml:space="preserve"> REF _Ref257731739 \h  \* MERGEFORMAT </w:instrText>
      </w:r>
      <w:r>
        <w:fldChar w:fldCharType="separate"/>
      </w:r>
      <w:r w:rsidR="00B11F3B" w:rsidRPr="00A40CD0">
        <w:t xml:space="preserve">Figure </w:t>
      </w:r>
      <w:r w:rsidR="00B11F3B">
        <w:t>62</w:t>
      </w:r>
      <w:r>
        <w:fldChar w:fldCharType="end"/>
      </w:r>
      <w:r w:rsidR="00B25CAA" w:rsidRPr="00A40CD0">
        <w:t xml:space="preserve">, </w:t>
      </w:r>
      <w:r>
        <w:fldChar w:fldCharType="begin"/>
      </w:r>
      <w:r>
        <w:instrText xml:space="preserve"> REF _Ref257731744 \h  \* MERGEFORMAT </w:instrText>
      </w:r>
      <w:r>
        <w:fldChar w:fldCharType="separate"/>
      </w:r>
      <w:r w:rsidR="00B11F3B" w:rsidRPr="00A40CD0">
        <w:t xml:space="preserve">Figure </w:t>
      </w:r>
      <w:r w:rsidR="00B11F3B">
        <w:t>73</w:t>
      </w:r>
      <w:r>
        <w:fldChar w:fldCharType="end"/>
      </w:r>
      <w:r w:rsidR="00B25CAA" w:rsidRPr="00A40CD0">
        <w:t xml:space="preserve">, </w:t>
      </w:r>
      <w:r w:rsidR="00EA2F38">
        <w:fldChar w:fldCharType="begin"/>
      </w:r>
      <w:r w:rsidR="00D90A4A">
        <w:instrText xml:space="preserve"> REF _Ref257731756 \h  \* MERGEFORMAT </w:instrText>
      </w:r>
      <w:r w:rsidR="00EA2F38">
        <w:fldChar w:fldCharType="separate"/>
      </w:r>
      <w:r w:rsidR="00B11F3B" w:rsidRPr="00A40CD0">
        <w:t xml:space="preserve">Figure </w:t>
      </w:r>
      <w:r w:rsidR="00B11F3B">
        <w:t>84</w:t>
      </w:r>
      <w:r w:rsidR="00EA2F38">
        <w:fldChar w:fldCharType="end"/>
      </w:r>
      <w:r w:rsidR="00B25CAA" w:rsidRPr="00A40CD0">
        <w:t>). Flood plumes extended across inshore waters of the southern and northern Great Barrier Reef, but had a more limited influence on far northern Great Barrier Reef waters. The freshwater extent based on the CDOM maximum provides a conservative estimate of the extent as the flood plumes could have extended further in cloudy or overcast days and hence may not been captured with the satellite imagery. The estimated freshwater extent for the whole GBRWHA was highly correlated to the total freshwater discharges (R</w:t>
      </w:r>
      <w:r w:rsidR="00B25CAA" w:rsidRPr="00A40CD0">
        <w:rPr>
          <w:vertAlign w:val="superscript"/>
        </w:rPr>
        <w:t>2</w:t>
      </w:r>
      <w:r w:rsidR="00384E4F">
        <w:t>=0.835</w:t>
      </w:r>
      <w:r w:rsidR="00B25CAA" w:rsidRPr="00A40CD0">
        <w:t xml:space="preserve">, </w:t>
      </w:r>
      <w:r w:rsidR="00EA2F38">
        <w:fldChar w:fldCharType="begin"/>
      </w:r>
      <w:r w:rsidR="00D90A4A">
        <w:instrText xml:space="preserve"> REF _Ref304872973 \h </w:instrText>
      </w:r>
      <w:r w:rsidR="00EA2F38">
        <w:fldChar w:fldCharType="separate"/>
      </w:r>
      <w:r w:rsidR="00B11F3B" w:rsidRPr="00A40CD0">
        <w:t xml:space="preserve">Figure </w:t>
      </w:r>
      <w:r w:rsidR="00B11F3B">
        <w:rPr>
          <w:noProof/>
        </w:rPr>
        <w:t>19</w:t>
      </w:r>
      <w:r w:rsidR="00EA2F38">
        <w:fldChar w:fldCharType="end"/>
      </w:r>
      <w:r w:rsidR="00B25CAA" w:rsidRPr="00A40CD0">
        <w:t>), the freshwater extent for 201</w:t>
      </w:r>
      <w:r w:rsidR="00384E4F">
        <w:t>1/2</w:t>
      </w:r>
      <w:r w:rsidR="00905177">
        <w:t>012 was similar in magnitude to</w:t>
      </w:r>
      <w:r w:rsidR="00384E4F" w:rsidRPr="00A40CD0">
        <w:t xml:space="preserve"> 200</w:t>
      </w:r>
      <w:r w:rsidR="00384E4F">
        <w:t>7-</w:t>
      </w:r>
      <w:r w:rsidR="00384E4F" w:rsidRPr="00A40CD0">
        <w:t>2010</w:t>
      </w:r>
      <w:r w:rsidR="00384E4F">
        <w:t xml:space="preserve"> period as </w:t>
      </w:r>
      <w:r w:rsidR="00B25CAA" w:rsidRPr="00A40CD0">
        <w:t>observed with the MODIS time series. The esti</w:t>
      </w:r>
      <w:r w:rsidR="00384E4F">
        <w:t>mated freshwater extent for 2011/2012 was larger than in 2010/2011</w:t>
      </w:r>
      <w:r w:rsidR="00B25CAA" w:rsidRPr="00A40CD0">
        <w:t xml:space="preserve"> </w:t>
      </w:r>
      <w:r w:rsidR="00384E4F">
        <w:t xml:space="preserve">only </w:t>
      </w:r>
      <w:r w:rsidR="00B25CAA" w:rsidRPr="00A40CD0">
        <w:t xml:space="preserve">for </w:t>
      </w:r>
      <w:r w:rsidR="00384E4F">
        <w:t xml:space="preserve">the Burdekin and Burnett Mary </w:t>
      </w:r>
      <w:r w:rsidR="00905177">
        <w:t xml:space="preserve">regions, while for Fitzroy and the Wet Tropics it was higher than the median extents </w:t>
      </w:r>
      <w:r w:rsidR="00905177" w:rsidRPr="00A40CD0">
        <w:t xml:space="preserve">observed with the MODIS time series </w:t>
      </w:r>
      <w:r w:rsidR="00B25CAA" w:rsidRPr="00A40CD0">
        <w:t>(</w:t>
      </w:r>
      <w:r>
        <w:fldChar w:fldCharType="begin"/>
      </w:r>
      <w:r>
        <w:instrText xml:space="preserve"> REF _Ref257731667 \h  \* MERGEFORMAT </w:instrText>
      </w:r>
      <w:r>
        <w:fldChar w:fldCharType="separate"/>
      </w:r>
      <w:r w:rsidR="00B11F3B" w:rsidRPr="00A40CD0">
        <w:t xml:space="preserve">Figure </w:t>
      </w:r>
      <w:r w:rsidR="00B11F3B">
        <w:t>20</w:t>
      </w:r>
      <w:r>
        <w:fldChar w:fldCharType="end"/>
      </w:r>
      <w:r w:rsidR="00A37237">
        <w:t>). The</w:t>
      </w:r>
      <w:r w:rsidR="00B25CAA" w:rsidRPr="00A40CD0">
        <w:t xml:space="preserve"> </w:t>
      </w:r>
      <w:r w:rsidR="00905177">
        <w:t>spatial variability</w:t>
      </w:r>
      <w:r w:rsidR="00B25CAA" w:rsidRPr="00A40CD0">
        <w:t xml:space="preserve"> of freshwater extent</w:t>
      </w:r>
      <w:r w:rsidR="00D8717B">
        <w:t>s</w:t>
      </w:r>
      <w:r w:rsidR="00905177">
        <w:t xml:space="preserve"> across the regions </w:t>
      </w:r>
      <w:r w:rsidR="00B25CAA" w:rsidRPr="00A40CD0">
        <w:t>reflect</w:t>
      </w:r>
      <w:r w:rsidR="00D8717B">
        <w:t>s</w:t>
      </w:r>
      <w:r w:rsidR="00B25CAA" w:rsidRPr="00A40CD0">
        <w:t xml:space="preserve"> the </w:t>
      </w:r>
      <w:r w:rsidR="00905177">
        <w:t xml:space="preserve">variability in </w:t>
      </w:r>
      <w:r w:rsidR="00B25CAA" w:rsidRPr="00A40CD0">
        <w:t xml:space="preserve">flow conditions </w:t>
      </w:r>
      <w:r w:rsidR="00905177">
        <w:t xml:space="preserve">across the </w:t>
      </w:r>
      <w:r w:rsidR="00B25CAA" w:rsidRPr="00A40CD0">
        <w:t xml:space="preserve">regions </w:t>
      </w:r>
      <w:r w:rsidR="00905177">
        <w:t xml:space="preserve">for the wet season 2011/2012 </w:t>
      </w:r>
      <w:r w:rsidR="00B25CAA" w:rsidRPr="00A40CD0">
        <w:t>(</w:t>
      </w:r>
      <w:r w:rsidR="00EA2F38">
        <w:fldChar w:fldCharType="begin"/>
      </w:r>
      <w:r w:rsidR="00D90A4A">
        <w:instrText xml:space="preserve"> REF _Ref257740941 \h </w:instrText>
      </w:r>
      <w:r w:rsidR="00EA2F38">
        <w:fldChar w:fldCharType="separate"/>
      </w:r>
      <w:r w:rsidR="00B11F3B" w:rsidRPr="00A40CD0">
        <w:t xml:space="preserve">Figure </w:t>
      </w:r>
      <w:r w:rsidR="00B11F3B">
        <w:rPr>
          <w:noProof/>
        </w:rPr>
        <w:t>17</w:t>
      </w:r>
      <w:r w:rsidR="00EA2F38">
        <w:fldChar w:fldCharType="end"/>
      </w:r>
      <w:r w:rsidR="00B25CAA" w:rsidRPr="00A40CD0">
        <w:t xml:space="preserve">). </w:t>
      </w:r>
    </w:p>
    <w:p w:rsidR="00B25CAA" w:rsidRPr="00A40CD0" w:rsidRDefault="008B191C" w:rsidP="002E0BD6">
      <w:pPr>
        <w:pStyle w:val="BodyText"/>
      </w:pPr>
      <w:r>
        <w:rPr>
          <w:noProof/>
          <w:lang w:eastAsia="en-AU"/>
        </w:rPr>
        <w:lastRenderedPageBreak/>
        <w:drawing>
          <wp:inline distT="0" distB="0" distL="0" distR="0">
            <wp:extent cx="5759450" cy="7435850"/>
            <wp:effectExtent l="0" t="0" r="6350" b="6350"/>
            <wp:docPr id="71" name="Picture 71" descr="Overview of the freshwater extent for the wet season 2011/2012 (November 2011- April 2012) for the whole Great Barrier Reef World Heritage Area. Detailed maps for each region are presented in the regional reporting sections (Figure 29, Figure 40, Figure 51, Figure 62, Figure 73, Figure 84). Pixels are mapped in dark red when the CDOM seasonal maximum values for the year exceed the threshold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Y_CDOM_MIM_maxGTtrigger_20111101_20110430.tif"/>
                    <pic:cNvPicPr/>
                  </pic:nvPicPr>
                  <pic:blipFill>
                    <a:blip r:embed="rId42" cstate="email">
                      <a:extLst>
                        <a:ext uri="{28A0092B-C50C-407E-A947-70E740481C1C}">
                          <a14:useLocalDpi xmlns:a14="http://schemas.microsoft.com/office/drawing/2010/main"/>
                        </a:ext>
                      </a:extLst>
                    </a:blip>
                    <a:stretch>
                      <a:fillRect/>
                    </a:stretch>
                  </pic:blipFill>
                  <pic:spPr>
                    <a:xfrm>
                      <a:off x="0" y="0"/>
                      <a:ext cx="5759450" cy="7435850"/>
                    </a:xfrm>
                    <a:prstGeom prst="rect">
                      <a:avLst/>
                    </a:prstGeom>
                  </pic:spPr>
                </pic:pic>
              </a:graphicData>
            </a:graphic>
          </wp:inline>
        </w:drawing>
      </w:r>
    </w:p>
    <w:p w:rsidR="00B25CAA" w:rsidRDefault="00B25CAA" w:rsidP="004F4DDE">
      <w:pPr>
        <w:pStyle w:val="Caption"/>
      </w:pPr>
      <w:bookmarkStart w:id="118" w:name="_Ref257731666"/>
      <w:bookmarkStart w:id="119" w:name="_Toc228588299"/>
      <w:bookmarkStart w:id="120" w:name="_Toc399265004"/>
      <w:r w:rsidRPr="00A40CD0">
        <w:t xml:space="preserve">Figure </w:t>
      </w:r>
      <w:r w:rsidR="00EA2F38">
        <w:fldChar w:fldCharType="begin"/>
      </w:r>
      <w:r w:rsidR="00933C8B">
        <w:instrText xml:space="preserve"> SEQ Figure \* ARABIC </w:instrText>
      </w:r>
      <w:r w:rsidR="00EA2F38">
        <w:fldChar w:fldCharType="separate"/>
      </w:r>
      <w:r w:rsidR="00B11F3B">
        <w:rPr>
          <w:noProof/>
        </w:rPr>
        <w:t>18</w:t>
      </w:r>
      <w:r w:rsidR="00EA2F38">
        <w:fldChar w:fldCharType="end"/>
      </w:r>
      <w:bookmarkEnd w:id="118"/>
      <w:r w:rsidRPr="00A40CD0">
        <w:t>. Overview of the freshwater extent fo</w:t>
      </w:r>
      <w:r w:rsidR="00ED4C2D">
        <w:t>r the wet season 2011/2012 (November 2011</w:t>
      </w:r>
      <w:r w:rsidRPr="00A40CD0">
        <w:t>- April 201</w:t>
      </w:r>
      <w:r w:rsidR="00ED4C2D">
        <w:t>2</w:t>
      </w:r>
      <w:r w:rsidRPr="00A40CD0">
        <w:t>) for the whole Great Barrier Reef World Heritage Area. Detailed maps for each region are presented in the regional reporting sections (</w:t>
      </w:r>
      <w:r w:rsidR="008A285B">
        <w:fldChar w:fldCharType="begin"/>
      </w:r>
      <w:r w:rsidR="008A285B">
        <w:instrText xml:space="preserve"> REF _Ref257731716 \h  \* MERGEFORMAT </w:instrText>
      </w:r>
      <w:r w:rsidR="008A285B">
        <w:fldChar w:fldCharType="separate"/>
      </w:r>
      <w:r w:rsidR="00B11F3B" w:rsidRPr="00A40CD0">
        <w:t xml:space="preserve">Figure </w:t>
      </w:r>
      <w:r w:rsidR="00B11F3B">
        <w:t>29</w:t>
      </w:r>
      <w:r w:rsidR="008A285B">
        <w:fldChar w:fldCharType="end"/>
      </w:r>
      <w:r w:rsidRPr="00A40CD0">
        <w:t xml:space="preserve">, </w:t>
      </w:r>
      <w:r w:rsidR="008A285B">
        <w:fldChar w:fldCharType="begin"/>
      </w:r>
      <w:r w:rsidR="008A285B">
        <w:instrText xml:space="preserve"> REF _Ref257731831 \h  \* MERGEFORMAT </w:instrText>
      </w:r>
      <w:r w:rsidR="008A285B">
        <w:fldChar w:fldCharType="separate"/>
      </w:r>
      <w:r w:rsidR="00B11F3B" w:rsidRPr="00A40CD0">
        <w:t xml:space="preserve">Figure </w:t>
      </w:r>
      <w:r w:rsidR="00B11F3B">
        <w:t>40</w:t>
      </w:r>
      <w:r w:rsidR="008A285B">
        <w:fldChar w:fldCharType="end"/>
      </w:r>
      <w:r w:rsidRPr="00A40CD0">
        <w:t xml:space="preserve">, </w:t>
      </w:r>
      <w:r w:rsidR="008A285B">
        <w:fldChar w:fldCharType="begin"/>
      </w:r>
      <w:r w:rsidR="008A285B">
        <w:instrText xml:space="preserve"> REF _Ref257731840 \h  \* MERGEFORMAT </w:instrText>
      </w:r>
      <w:r w:rsidR="008A285B">
        <w:fldChar w:fldCharType="separate"/>
      </w:r>
      <w:r w:rsidR="00B11F3B" w:rsidRPr="00A40CD0">
        <w:t xml:space="preserve">Figure </w:t>
      </w:r>
      <w:r w:rsidR="00B11F3B">
        <w:t>51</w:t>
      </w:r>
      <w:r w:rsidR="008A285B">
        <w:fldChar w:fldCharType="end"/>
      </w:r>
      <w:r w:rsidRPr="00A40CD0">
        <w:t xml:space="preserve">, </w:t>
      </w:r>
      <w:r w:rsidR="008A285B">
        <w:fldChar w:fldCharType="begin"/>
      </w:r>
      <w:r w:rsidR="008A285B">
        <w:instrText xml:space="preserve"> REF _Ref257731739 \h  \* MERGEFORMAT </w:instrText>
      </w:r>
      <w:r w:rsidR="008A285B">
        <w:fldChar w:fldCharType="separate"/>
      </w:r>
      <w:r w:rsidR="00B11F3B" w:rsidRPr="00A40CD0">
        <w:t xml:space="preserve">Figure </w:t>
      </w:r>
      <w:r w:rsidR="00B11F3B">
        <w:t>62</w:t>
      </w:r>
      <w:r w:rsidR="008A285B">
        <w:fldChar w:fldCharType="end"/>
      </w:r>
      <w:r w:rsidRPr="00A40CD0">
        <w:t xml:space="preserve">, </w:t>
      </w:r>
      <w:r w:rsidR="008A285B">
        <w:fldChar w:fldCharType="begin"/>
      </w:r>
      <w:r w:rsidR="008A285B">
        <w:instrText xml:space="preserve"> REF _Ref257731744 \h  \* MERGEFORMAT </w:instrText>
      </w:r>
      <w:r w:rsidR="008A285B">
        <w:fldChar w:fldCharType="separate"/>
      </w:r>
      <w:r w:rsidR="00B11F3B" w:rsidRPr="00A40CD0">
        <w:t xml:space="preserve">Figure </w:t>
      </w:r>
      <w:r w:rsidR="00B11F3B">
        <w:t>73</w:t>
      </w:r>
      <w:r w:rsidR="008A285B">
        <w:fldChar w:fldCharType="end"/>
      </w:r>
      <w:r w:rsidRPr="00A40CD0">
        <w:t xml:space="preserve">, </w:t>
      </w:r>
      <w:r w:rsidR="00EA2F38">
        <w:fldChar w:fldCharType="begin"/>
      </w:r>
      <w:r w:rsidR="00D90A4A">
        <w:instrText xml:space="preserve"> REF _Ref257731756 \h  \* MERGEFORMAT </w:instrText>
      </w:r>
      <w:r w:rsidR="00EA2F38">
        <w:fldChar w:fldCharType="separate"/>
      </w:r>
      <w:r w:rsidR="00B11F3B" w:rsidRPr="00A40CD0">
        <w:t xml:space="preserve">Figure </w:t>
      </w:r>
      <w:r w:rsidR="00B11F3B">
        <w:t>84</w:t>
      </w:r>
      <w:r w:rsidR="00EA2F38">
        <w:fldChar w:fldCharType="end"/>
      </w:r>
      <w:r w:rsidRPr="00A40CD0">
        <w:t>). Pixels are mapped in dark red when the CDOM seasonal maximum values for the year exceed the threshold of 0.24 m</w:t>
      </w:r>
      <w:r w:rsidRPr="00A40CD0">
        <w:rPr>
          <w:vertAlign w:val="superscript"/>
        </w:rPr>
        <w:t>-1</w:t>
      </w:r>
      <w:r w:rsidRPr="00A40CD0">
        <w:t>.</w:t>
      </w:r>
      <w:bookmarkEnd w:id="119"/>
      <w:bookmarkEnd w:id="120"/>
      <w:r w:rsidRPr="00A40CD0">
        <w:t xml:space="preserve"> </w:t>
      </w:r>
    </w:p>
    <w:p w:rsidR="00384E4F" w:rsidRDefault="00384E4F" w:rsidP="00384E4F"/>
    <w:p w:rsidR="00384E4F" w:rsidRPr="00384E4F" w:rsidRDefault="00384E4F" w:rsidP="00384E4F">
      <w:r w:rsidRPr="00384E4F">
        <w:rPr>
          <w:noProof/>
        </w:rPr>
        <w:lastRenderedPageBreak/>
        <w:drawing>
          <wp:inline distT="0" distB="0" distL="0" distR="0">
            <wp:extent cx="5759450" cy="3756112"/>
            <wp:effectExtent l="0" t="0" r="6350" b="3175"/>
            <wp:docPr id="20" name="Picture 20" descr="Total freshwater discharge and total estimated freshwater extent for the whole GBRWHA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a:off x="0" y="0"/>
                      <a:ext cx="5759450" cy="3756112"/>
                    </a:xfrm>
                    <a:prstGeom prst="rect">
                      <a:avLst/>
                    </a:prstGeom>
                    <a:noFill/>
                    <a:ln w="9525">
                      <a:noFill/>
                      <a:miter lim="800000"/>
                      <a:headEnd/>
                      <a:tailEnd/>
                    </a:ln>
                  </pic:spPr>
                </pic:pic>
              </a:graphicData>
            </a:graphic>
          </wp:inline>
        </w:drawing>
      </w:r>
    </w:p>
    <w:p w:rsidR="00B25CAA" w:rsidRPr="00A40CD0" w:rsidRDefault="00B25CAA" w:rsidP="00AF2DC4">
      <w:pPr>
        <w:pStyle w:val="Caption"/>
      </w:pPr>
      <w:bookmarkStart w:id="121" w:name="_Ref304872973"/>
      <w:bookmarkStart w:id="122" w:name="_Toc228588300"/>
      <w:bookmarkStart w:id="123" w:name="_Toc399265005"/>
      <w:r w:rsidRPr="00A40CD0">
        <w:t xml:space="preserve">Figure </w:t>
      </w:r>
      <w:r w:rsidR="00EA2F38">
        <w:fldChar w:fldCharType="begin"/>
      </w:r>
      <w:r w:rsidR="00933C8B">
        <w:instrText xml:space="preserve"> SEQ Figure \* ARABIC </w:instrText>
      </w:r>
      <w:r w:rsidR="00EA2F38">
        <w:fldChar w:fldCharType="separate"/>
      </w:r>
      <w:r w:rsidR="00B11F3B">
        <w:rPr>
          <w:noProof/>
        </w:rPr>
        <w:t>19</w:t>
      </w:r>
      <w:r w:rsidR="00EA2F38">
        <w:fldChar w:fldCharType="end"/>
      </w:r>
      <w:bookmarkEnd w:id="121"/>
      <w:r w:rsidRPr="00A40CD0">
        <w:t>. Total freshwater discharge and total estimated freshwater extent for the whole GBRWHA based on the CDOM maximum for the wet seasons.</w:t>
      </w:r>
      <w:bookmarkEnd w:id="122"/>
      <w:bookmarkEnd w:id="123"/>
    </w:p>
    <w:p w:rsidR="00722D1E" w:rsidRPr="00A40CD0" w:rsidRDefault="00722D1E" w:rsidP="002E0BD6">
      <w:pPr>
        <w:pStyle w:val="BodyText"/>
      </w:pPr>
      <w:r w:rsidRPr="00722D1E">
        <w:rPr>
          <w:noProof/>
          <w:lang w:eastAsia="en-AU"/>
        </w:rPr>
        <w:drawing>
          <wp:inline distT="0" distB="0" distL="0" distR="0">
            <wp:extent cx="5759450" cy="3765915"/>
            <wp:effectExtent l="0" t="0" r="6350" b="0"/>
            <wp:docPr id="531" name="Picture 65" descr="Comparison of estimated freshwater extent based on the CDOM maximum for the wet seasons 2010/2011 (November 2010- April 2011), 2011/2012 (November 2011- April 2012) and the median extent for the decade for each reporting region of GBRW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124" w:name="_Ref257731667"/>
      <w:bookmarkStart w:id="125" w:name="_Toc228588301"/>
      <w:bookmarkStart w:id="126" w:name="_Toc399265006"/>
      <w:r w:rsidRPr="00A40CD0">
        <w:t xml:space="preserve">Figure </w:t>
      </w:r>
      <w:r w:rsidR="00EA2F38">
        <w:fldChar w:fldCharType="begin"/>
      </w:r>
      <w:r w:rsidR="00933C8B">
        <w:instrText xml:space="preserve"> SEQ Figure \* ARABIC </w:instrText>
      </w:r>
      <w:r w:rsidR="00EA2F38">
        <w:fldChar w:fldCharType="separate"/>
      </w:r>
      <w:r w:rsidR="00B11F3B">
        <w:rPr>
          <w:noProof/>
        </w:rPr>
        <w:t>20</w:t>
      </w:r>
      <w:r w:rsidR="00EA2F38">
        <w:fldChar w:fldCharType="end"/>
      </w:r>
      <w:bookmarkEnd w:id="124"/>
      <w:r w:rsidRPr="00A40CD0">
        <w:t xml:space="preserve">. Comparison of estimated freshwater extent based on the CDOM maximum for </w:t>
      </w:r>
      <w:r w:rsidR="00722D1E">
        <w:t>the wet se</w:t>
      </w:r>
      <w:r w:rsidR="00021727">
        <w:t>a</w:t>
      </w:r>
      <w:r w:rsidR="00722D1E">
        <w:t xml:space="preserve">sons </w:t>
      </w:r>
      <w:r w:rsidR="00722D1E" w:rsidRPr="00A40CD0">
        <w:t>2010/2</w:t>
      </w:r>
      <w:r w:rsidR="00722D1E">
        <w:t>011 (November 2010- April 2011), 2011/2012 (November 2011</w:t>
      </w:r>
      <w:r w:rsidRPr="00A40CD0">
        <w:t>- April 201</w:t>
      </w:r>
      <w:r w:rsidR="00722D1E">
        <w:t>2</w:t>
      </w:r>
      <w:r w:rsidRPr="00A40CD0">
        <w:t xml:space="preserve">) </w:t>
      </w:r>
      <w:r w:rsidR="00722D1E">
        <w:t>and th</w:t>
      </w:r>
      <w:r w:rsidR="00021727">
        <w:t>e m</w:t>
      </w:r>
      <w:r w:rsidR="00722D1E">
        <w:t xml:space="preserve">edian extent for the decade </w:t>
      </w:r>
      <w:r w:rsidRPr="00A40CD0">
        <w:t>for each reporting region of GBRWHA.</w:t>
      </w:r>
      <w:bookmarkEnd w:id="125"/>
      <w:bookmarkEnd w:id="126"/>
    </w:p>
    <w:p w:rsidR="009202A6" w:rsidRPr="007E294B" w:rsidRDefault="00B25CAA" w:rsidP="007E294B">
      <w:pPr>
        <w:pStyle w:val="Heading3"/>
      </w:pPr>
      <w:bookmarkStart w:id="127" w:name="_Toc228588183"/>
      <w:bookmarkStart w:id="128" w:name="_Toc399264890"/>
      <w:r w:rsidRPr="007E294B">
        <w:lastRenderedPageBreak/>
        <w:t>Assessment of the exceedance of water quality guidelines</w:t>
      </w:r>
      <w:bookmarkEnd w:id="127"/>
      <w:bookmarkEnd w:id="128"/>
    </w:p>
    <w:p w:rsidR="00B25CAA" w:rsidRPr="00A40CD0" w:rsidRDefault="00B25CAA" w:rsidP="002E0BD6">
      <w:pPr>
        <w:pStyle w:val="BodyText"/>
      </w:pPr>
      <w:r w:rsidRPr="00A40CD0">
        <w:t xml:space="preserve">The annual median values maps for CHL an TSS for 2010/2011 (1 May 2010 – 30 April 2011) for the whole GBRWHA are presented in </w:t>
      </w:r>
      <w:r w:rsidR="008A285B">
        <w:fldChar w:fldCharType="begin"/>
      </w:r>
      <w:r w:rsidR="008A285B">
        <w:instrText xml:space="preserve"> REF _Ref257731665 \h  \* MERGEFORMAT </w:instrText>
      </w:r>
      <w:r w:rsidR="008A285B">
        <w:fldChar w:fldCharType="separate"/>
      </w:r>
      <w:r w:rsidR="00B11F3B" w:rsidRPr="00A40CD0">
        <w:t xml:space="preserve">Figure </w:t>
      </w:r>
      <w:r w:rsidR="00B11F3B">
        <w:t>21</w:t>
      </w:r>
      <w:r w:rsidR="008A285B">
        <w:fldChar w:fldCharType="end"/>
      </w:r>
      <w:r w:rsidRPr="00A40CD0">
        <w:t xml:space="preserve"> and </w:t>
      </w:r>
      <w:r w:rsidR="00EA2F38">
        <w:fldChar w:fldCharType="begin"/>
      </w:r>
      <w:r w:rsidR="00D90A4A">
        <w:instrText xml:space="preserve"> REF _Ref304883057 \h </w:instrText>
      </w:r>
      <w:r w:rsidR="00EA2F38">
        <w:fldChar w:fldCharType="separate"/>
      </w:r>
      <w:r w:rsidR="00B11F3B" w:rsidRPr="00A40CD0">
        <w:t xml:space="preserve">Figure </w:t>
      </w:r>
      <w:r w:rsidR="00B11F3B">
        <w:rPr>
          <w:noProof/>
        </w:rPr>
        <w:t>22</w:t>
      </w:r>
      <w:r w:rsidR="00EA2F38">
        <w:fldChar w:fldCharType="end"/>
      </w:r>
      <w:r w:rsidRPr="00A40CD0">
        <w:t>.</w:t>
      </w:r>
      <w:r w:rsidRPr="00A40CD0" w:rsidDel="006E3F22">
        <w:t xml:space="preserve"> </w:t>
      </w:r>
      <w:r w:rsidRPr="00A40CD0">
        <w:t>A coastal to offshore gradient in CHL  and  TSS concentration can be observed, with the inshore waters in the Wet Tropics and Burdekin Regions having elevated concentrations of CHL and TSS over the monitoring period (</w:t>
      </w:r>
      <w:r w:rsidR="008A285B">
        <w:fldChar w:fldCharType="begin"/>
      </w:r>
      <w:r w:rsidR="008A285B">
        <w:instrText xml:space="preserve"> REF _Ref257731665 \h  \* MERGEFORMAT </w:instrText>
      </w:r>
      <w:r w:rsidR="008A285B">
        <w:fldChar w:fldCharType="separate"/>
      </w:r>
      <w:r w:rsidR="00B11F3B" w:rsidRPr="00A40CD0">
        <w:t xml:space="preserve">Figure </w:t>
      </w:r>
      <w:r w:rsidR="00B11F3B">
        <w:t>21</w:t>
      </w:r>
      <w:r w:rsidR="008A285B">
        <w:fldChar w:fldCharType="end"/>
      </w:r>
      <w:r w:rsidRPr="00A40CD0">
        <w:t xml:space="preserve"> and </w:t>
      </w:r>
      <w:r w:rsidR="00EA2F38">
        <w:fldChar w:fldCharType="begin"/>
      </w:r>
      <w:r w:rsidR="00D90A4A">
        <w:instrText xml:space="preserve"> REF _Ref304883057 \h </w:instrText>
      </w:r>
      <w:r w:rsidR="00EA2F38">
        <w:fldChar w:fldCharType="separate"/>
      </w:r>
      <w:r w:rsidR="00B11F3B" w:rsidRPr="00A40CD0">
        <w:t xml:space="preserve">Figure </w:t>
      </w:r>
      <w:r w:rsidR="00B11F3B">
        <w:rPr>
          <w:noProof/>
        </w:rPr>
        <w:t>22</w:t>
      </w:r>
      <w:r w:rsidR="00EA2F38">
        <w:fldChar w:fldCharType="end"/>
      </w:r>
      <w:r w:rsidRPr="00A40CD0">
        <w:t xml:space="preserve">). The Guideline annual threshold values for CHL are </w:t>
      </w:r>
      <w:r w:rsidR="00216AC6">
        <w:t>2.0</w:t>
      </w:r>
      <w:r w:rsidR="00216AC6" w:rsidRPr="00A40CD0">
        <w:t xml:space="preserve"> µg L</w:t>
      </w:r>
      <w:r w:rsidR="00216AC6" w:rsidRPr="00A40CD0">
        <w:rPr>
          <w:vertAlign w:val="superscript"/>
        </w:rPr>
        <w:t>-1</w:t>
      </w:r>
      <w:r w:rsidR="00216AC6" w:rsidRPr="00A40CD0">
        <w:t xml:space="preserve"> for </w:t>
      </w:r>
      <w:r w:rsidR="00216AC6">
        <w:t>Enclosed</w:t>
      </w:r>
      <w:r w:rsidR="00216AC6" w:rsidRPr="00A40CD0">
        <w:t xml:space="preserve"> Coastal</w:t>
      </w:r>
      <w:r w:rsidR="00216AC6">
        <w:t xml:space="preserve">, </w:t>
      </w:r>
      <w:r w:rsidRPr="00A40CD0">
        <w:t>0.45 µg L</w:t>
      </w:r>
      <w:r w:rsidRPr="00A40CD0">
        <w:rPr>
          <w:vertAlign w:val="superscript"/>
        </w:rPr>
        <w:t>-1</w:t>
      </w:r>
      <w:r w:rsidRPr="00A40CD0">
        <w:t xml:space="preserve"> for Open Coastal and Midshelf and 0.40 µg L</w:t>
      </w:r>
      <w:r w:rsidRPr="00A40CD0">
        <w:rPr>
          <w:vertAlign w:val="superscript"/>
        </w:rPr>
        <w:t xml:space="preserve">-1  </w:t>
      </w:r>
      <w:r w:rsidRPr="00A40CD0">
        <w:t xml:space="preserve">for Offshore , while for TSS are </w:t>
      </w:r>
      <w:r w:rsidR="00216AC6">
        <w:t>5</w:t>
      </w:r>
      <w:r w:rsidR="00216AC6" w:rsidRPr="00A40CD0">
        <w:t>.0</w:t>
      </w:r>
      <w:r w:rsidR="00216AC6">
        <w:t xml:space="preserve"> (or 15.0)</w:t>
      </w:r>
      <w:r w:rsidR="00216AC6" w:rsidRPr="00A40CD0">
        <w:t xml:space="preserve"> mg L</w:t>
      </w:r>
      <w:r w:rsidR="00216AC6" w:rsidRPr="00A40CD0">
        <w:rPr>
          <w:vertAlign w:val="superscript"/>
        </w:rPr>
        <w:t>-1</w:t>
      </w:r>
      <w:r w:rsidR="00216AC6" w:rsidRPr="00A40CD0">
        <w:t xml:space="preserve">for </w:t>
      </w:r>
      <w:r w:rsidR="00216AC6">
        <w:t>Enclosed</w:t>
      </w:r>
      <w:r w:rsidR="00216AC6" w:rsidRPr="00A40CD0">
        <w:t xml:space="preserve"> Coastal</w:t>
      </w:r>
      <w:r w:rsidR="00216AC6">
        <w:t>,</w:t>
      </w:r>
      <w:r w:rsidR="00216AC6" w:rsidRPr="00A40CD0">
        <w:t xml:space="preserve"> </w:t>
      </w:r>
      <w:r w:rsidRPr="00A40CD0">
        <w:t>2.0 mg L</w:t>
      </w:r>
      <w:r w:rsidRPr="00A40CD0">
        <w:rPr>
          <w:vertAlign w:val="superscript"/>
        </w:rPr>
        <w:t>-1</w:t>
      </w:r>
      <w:r w:rsidRPr="00A40CD0">
        <w:t>for Open Coastal and Midshelf and 0.7 mg L</w:t>
      </w:r>
      <w:r w:rsidRPr="00A40CD0">
        <w:rPr>
          <w:vertAlign w:val="superscript"/>
        </w:rPr>
        <w:t xml:space="preserve">-1 </w:t>
      </w:r>
      <w:r w:rsidRPr="00A40CD0">
        <w:t>for Offshore. Detailed maps for the wet and dry season for each region are presented in the regional reporting sections.</w:t>
      </w:r>
    </w:p>
    <w:p w:rsidR="00216AC6" w:rsidRDefault="008A285B" w:rsidP="002E0BD6">
      <w:pPr>
        <w:pStyle w:val="BodyText"/>
      </w:pPr>
      <w:r>
        <w:fldChar w:fldCharType="begin"/>
      </w:r>
      <w:r>
        <w:instrText xml:space="preserve"> REF _Ref271816044 \h  \* MERGEFORMAT </w:instrText>
      </w:r>
      <w:r>
        <w:fldChar w:fldCharType="separate"/>
      </w:r>
      <w:r w:rsidR="00B11F3B" w:rsidRPr="00A40CD0">
        <w:t xml:space="preserve">Figure </w:t>
      </w:r>
      <w:r w:rsidR="00B11F3B">
        <w:t>23</w:t>
      </w:r>
      <w:r>
        <w:fldChar w:fldCharType="end"/>
      </w:r>
      <w:r w:rsidR="00B25CAA" w:rsidRPr="00A40CD0">
        <w:t xml:space="preserve"> and </w:t>
      </w:r>
      <w:r w:rsidR="00EA2F38">
        <w:fldChar w:fldCharType="begin"/>
      </w:r>
      <w:r w:rsidR="00D90A4A">
        <w:instrText xml:space="preserve"> REF _Ref304882281 \h </w:instrText>
      </w:r>
      <w:r w:rsidR="00EA2F38">
        <w:fldChar w:fldCharType="separate"/>
      </w:r>
      <w:r w:rsidR="00B11F3B" w:rsidRPr="00A40CD0">
        <w:t xml:space="preserve">Figure </w:t>
      </w:r>
      <w:r w:rsidR="00B11F3B">
        <w:rPr>
          <w:noProof/>
        </w:rPr>
        <w:t>24</w:t>
      </w:r>
      <w:r w:rsidR="00EA2F38">
        <w:fldChar w:fldCharType="end"/>
      </w:r>
      <w:r w:rsidR="00B25CAA" w:rsidRPr="00A40CD0">
        <w:t xml:space="preserve"> show the map of </w:t>
      </w:r>
      <w:r w:rsidR="00257617" w:rsidRPr="00A40CD0">
        <w:t xml:space="preserve">EG (i.e. </w:t>
      </w:r>
      <w:r w:rsidR="00B25CAA" w:rsidRPr="00A40CD0">
        <w:t xml:space="preserve">exceedance of the mean annual </w:t>
      </w:r>
      <w:r w:rsidR="00257617" w:rsidRPr="00A40CD0">
        <w:t xml:space="preserve">values) for </w:t>
      </w:r>
      <w:r w:rsidR="00216AC6">
        <w:t>CHL and TSS for the 2011/12 reporting period (1 May 2011 – 30 April 2012</w:t>
      </w:r>
      <w:r w:rsidR="00B25CAA" w:rsidRPr="00A40CD0">
        <w:t>) for the whole GBRWHA.</w:t>
      </w:r>
      <w:r w:rsidR="00216AC6">
        <w:t xml:space="preserve"> </w:t>
      </w:r>
      <w:r w:rsidR="001A6D76">
        <w:t>T</w:t>
      </w:r>
      <w:r w:rsidR="00216AC6" w:rsidRPr="00A40CD0">
        <w:t xml:space="preserve">he REEG values for CHL </w:t>
      </w:r>
      <w:r w:rsidR="00216AC6">
        <w:t xml:space="preserve">and TSS (REEG_CHL, REEG_TSS) </w:t>
      </w:r>
      <w:r w:rsidR="00216AC6" w:rsidRPr="00A40CD0">
        <w:t xml:space="preserve">within each reporting region </w:t>
      </w:r>
      <w:r w:rsidR="001A6D76">
        <w:t xml:space="preserve">are </w:t>
      </w:r>
      <w:r w:rsidR="001A6D76" w:rsidRPr="00A40CD0">
        <w:t xml:space="preserve">presented </w:t>
      </w:r>
      <w:r w:rsidR="001A6D76">
        <w:t xml:space="preserve">in </w:t>
      </w:r>
      <w:r w:rsidR="00EA2F38">
        <w:fldChar w:fldCharType="begin"/>
      </w:r>
      <w:r w:rsidR="001A6D76">
        <w:instrText xml:space="preserve"> REF _Ref271816584 \h </w:instrText>
      </w:r>
      <w:r w:rsidR="00EA2F38">
        <w:fldChar w:fldCharType="separate"/>
      </w:r>
      <w:r w:rsidR="00B11F3B" w:rsidRPr="00A40CD0">
        <w:t xml:space="preserve">Table </w:t>
      </w:r>
      <w:r w:rsidR="00B11F3B">
        <w:rPr>
          <w:noProof/>
        </w:rPr>
        <w:t>9</w:t>
      </w:r>
      <w:r w:rsidR="00EA2F38">
        <w:fldChar w:fldCharType="end"/>
      </w:r>
      <w:r w:rsidR="001A6D76">
        <w:t xml:space="preserve"> separately </w:t>
      </w:r>
      <w:r w:rsidR="00216AC6" w:rsidRPr="00A40CD0">
        <w:t xml:space="preserve">for the </w:t>
      </w:r>
      <w:r w:rsidR="00216AC6">
        <w:t xml:space="preserve">Enclosed Coastal, </w:t>
      </w:r>
      <w:r w:rsidR="00216AC6" w:rsidRPr="00A40CD0">
        <w:t>Open Coastal, Mids</w:t>
      </w:r>
      <w:r w:rsidR="00216AC6">
        <w:t>helf, and Offshore water bodies. For P2R reporting</w:t>
      </w:r>
      <w:r w:rsidR="00216AC6" w:rsidRPr="00A40CD0">
        <w:t xml:space="preserve"> only</w:t>
      </w:r>
      <w:r w:rsidR="001A6D76">
        <w:t xml:space="preserve"> the REEG values for the I</w:t>
      </w:r>
      <w:r w:rsidR="00216AC6">
        <w:t>nshore</w:t>
      </w:r>
      <w:r w:rsidR="00216AC6" w:rsidRPr="00A40CD0">
        <w:t xml:space="preserve"> water body </w:t>
      </w:r>
      <w:r w:rsidR="00216AC6">
        <w:t xml:space="preserve">(i.e. the </w:t>
      </w:r>
      <w:r w:rsidR="001A6D76">
        <w:t xml:space="preserve">combined </w:t>
      </w:r>
      <w:r w:rsidR="00216AC6">
        <w:t xml:space="preserve">Enclosed Coastal and the Open Coastal waters) </w:t>
      </w:r>
      <w:r w:rsidR="00216AC6" w:rsidRPr="00A40CD0">
        <w:t>are considered for the metric calculations</w:t>
      </w:r>
      <w:r w:rsidR="00216AC6">
        <w:t>.</w:t>
      </w:r>
    </w:p>
    <w:p w:rsidR="001A6D76" w:rsidRDefault="00216AC6" w:rsidP="002E0BD6">
      <w:pPr>
        <w:pStyle w:val="BodyText"/>
      </w:pPr>
      <w:r>
        <w:t>T</w:t>
      </w:r>
      <w:r w:rsidRPr="00A40CD0">
        <w:t xml:space="preserve">he </w:t>
      </w:r>
      <w:r>
        <w:t>Enclosed</w:t>
      </w:r>
      <w:r w:rsidRPr="00A40CD0">
        <w:t xml:space="preserve"> Coastal water body shows high areas of CHL EG (REEG_CHL = </w:t>
      </w:r>
      <w:r>
        <w:t>68-89</w:t>
      </w:r>
      <w:r w:rsidRPr="00A40CD0">
        <w:t xml:space="preserve">% of relative area of the water body, </w:t>
      </w:r>
      <w:r w:rsidR="00EA2F38">
        <w:fldChar w:fldCharType="begin"/>
      </w:r>
      <w:r>
        <w:instrText xml:space="preserve"> REF _Ref271816584 \h </w:instrText>
      </w:r>
      <w:r w:rsidR="00EA2F38">
        <w:fldChar w:fldCharType="separate"/>
      </w:r>
      <w:r w:rsidR="00B11F3B" w:rsidRPr="00A40CD0">
        <w:t xml:space="preserve">Table </w:t>
      </w:r>
      <w:r w:rsidR="00B11F3B">
        <w:rPr>
          <w:noProof/>
        </w:rPr>
        <w:t>9</w:t>
      </w:r>
      <w:r w:rsidR="00EA2F38">
        <w:fldChar w:fldCharType="end"/>
      </w:r>
      <w:r w:rsidRPr="00A40CD0">
        <w:t>)</w:t>
      </w:r>
      <w:r>
        <w:t xml:space="preserve"> for the Wet Tropics, Burdekin and Fitzroy reporting regions, while the REEG_CHL for Cape York, Mackay Whitsunday and Burnett Mary ranged 17-29%</w:t>
      </w:r>
      <w:r w:rsidRPr="00A40CD0">
        <w:t>.</w:t>
      </w:r>
      <w:r w:rsidR="005B16B1">
        <w:t xml:space="preserve"> </w:t>
      </w:r>
      <w:r w:rsidR="005B16B1" w:rsidRPr="00A40CD0">
        <w:t xml:space="preserve">For all reporting regions </w:t>
      </w:r>
      <w:r w:rsidR="005B16B1">
        <w:t xml:space="preserve">(with the exception of Mackay Whitsunday) </w:t>
      </w:r>
      <w:r w:rsidR="005B16B1" w:rsidRPr="00A40CD0">
        <w:t xml:space="preserve">the Open Coastal water body shows high areas of CHL EG (REEG_CHL = </w:t>
      </w:r>
      <w:r w:rsidR="005B16B1">
        <w:t>68-99</w:t>
      </w:r>
      <w:r w:rsidR="005B16B1" w:rsidRPr="00A40CD0">
        <w:t xml:space="preserve">% of relative area of the water body, </w:t>
      </w:r>
      <w:r w:rsidR="00EA2F38">
        <w:fldChar w:fldCharType="begin"/>
      </w:r>
      <w:r w:rsidR="005B16B1">
        <w:instrText xml:space="preserve"> REF _Ref271816584 \h </w:instrText>
      </w:r>
      <w:r w:rsidR="00EA2F38">
        <w:fldChar w:fldCharType="separate"/>
      </w:r>
      <w:r w:rsidR="00B11F3B" w:rsidRPr="00A40CD0">
        <w:t xml:space="preserve">Table </w:t>
      </w:r>
      <w:r w:rsidR="00B11F3B">
        <w:rPr>
          <w:noProof/>
        </w:rPr>
        <w:t>9</w:t>
      </w:r>
      <w:r w:rsidR="00EA2F38">
        <w:fldChar w:fldCharType="end"/>
      </w:r>
      <w:r w:rsidR="005B16B1" w:rsidRPr="00A40CD0">
        <w:t>).</w:t>
      </w:r>
      <w:r w:rsidR="005B16B1">
        <w:t xml:space="preserve"> Hence the CHL EG for the Inshore water bodies </w:t>
      </w:r>
      <w:r w:rsidR="005B16B1" w:rsidRPr="00A40CD0">
        <w:t xml:space="preserve">shows high areas of CHL EG </w:t>
      </w:r>
      <w:r w:rsidR="005B16B1">
        <w:t xml:space="preserve">for the Wet Tropics, Fitzroy and Burnett Mary regions  </w:t>
      </w:r>
      <w:r w:rsidR="005B16B1" w:rsidRPr="00A40CD0">
        <w:t xml:space="preserve">(REEG_CHL = </w:t>
      </w:r>
      <w:r w:rsidR="005B16B1">
        <w:t>81-91</w:t>
      </w:r>
      <w:r w:rsidR="005B16B1" w:rsidRPr="00A40CD0">
        <w:t>%)</w:t>
      </w:r>
      <w:r w:rsidR="005B16B1">
        <w:t>, while Cape York, Mackay Whitsunday and Burdekin ranged 41-66%</w:t>
      </w:r>
      <w:r w:rsidR="001A6D76">
        <w:t xml:space="preserve">. </w:t>
      </w:r>
      <w:r>
        <w:t xml:space="preserve">These values were </w:t>
      </w:r>
      <w:r w:rsidR="005B16B1">
        <w:t>overall comparable</w:t>
      </w:r>
      <w:r w:rsidR="001A6D76">
        <w:t xml:space="preserve"> to the previous reporting year</w:t>
      </w:r>
      <w:r>
        <w:t xml:space="preserve"> </w:t>
      </w:r>
      <w:r w:rsidR="005B16B1">
        <w:t>(</w:t>
      </w:r>
      <w:r w:rsidR="00EA2F38">
        <w:fldChar w:fldCharType="begin"/>
      </w:r>
      <w:r>
        <w:instrText xml:space="preserve"> REF _Ref353448575 \h </w:instrText>
      </w:r>
      <w:r w:rsidR="00EA2F38">
        <w:fldChar w:fldCharType="separate"/>
      </w:r>
      <w:r w:rsidR="00B11F3B" w:rsidRPr="00A40CD0">
        <w:t xml:space="preserve">Table </w:t>
      </w:r>
      <w:r w:rsidR="00B11F3B">
        <w:rPr>
          <w:noProof/>
        </w:rPr>
        <w:t>10</w:t>
      </w:r>
      <w:r w:rsidR="00EA2F38">
        <w:fldChar w:fldCharType="end"/>
      </w:r>
      <w:r w:rsidRPr="00A40CD0">
        <w:t>)</w:t>
      </w:r>
    </w:p>
    <w:p w:rsidR="00351B64" w:rsidRPr="00A40CD0" w:rsidRDefault="00B25CAA" w:rsidP="002E0BD6">
      <w:pPr>
        <w:pStyle w:val="BodyText"/>
      </w:pPr>
      <w:r w:rsidRPr="00A40CD0">
        <w:t>For all reporting regions Open Coastal water body shows areas of TSS EG (</w:t>
      </w:r>
      <w:r w:rsidR="00BA5A7D" w:rsidRPr="00A40CD0">
        <w:t>REEG_TSS=</w:t>
      </w:r>
      <w:r w:rsidR="00F73D84">
        <w:t>10-38</w:t>
      </w:r>
      <w:r w:rsidRPr="00A40CD0">
        <w:t xml:space="preserve">% of relative area of the water body, </w:t>
      </w:r>
      <w:r w:rsidR="00EA2F38">
        <w:fldChar w:fldCharType="begin"/>
      </w:r>
      <w:r w:rsidR="00D90A4A">
        <w:instrText xml:space="preserve"> REF _Ref271816584 \h </w:instrText>
      </w:r>
      <w:r w:rsidR="00EA2F38">
        <w:fldChar w:fldCharType="separate"/>
      </w:r>
      <w:r w:rsidR="00B11F3B" w:rsidRPr="00A40CD0">
        <w:t xml:space="preserve">Table </w:t>
      </w:r>
      <w:r w:rsidR="00B11F3B">
        <w:rPr>
          <w:noProof/>
        </w:rPr>
        <w:t>9</w:t>
      </w:r>
      <w:r w:rsidR="00EA2F38">
        <w:fldChar w:fldCharType="end"/>
      </w:r>
      <w:r w:rsidR="00F73D84">
        <w:t>) comparably to</w:t>
      </w:r>
      <w:r w:rsidRPr="00A40CD0">
        <w:t xml:space="preserve"> the previous reporting year</w:t>
      </w:r>
      <w:r w:rsidR="00E670C3">
        <w:t xml:space="preserve"> </w:t>
      </w:r>
      <w:r w:rsidRPr="00A40CD0">
        <w:t>(</w:t>
      </w:r>
      <w:r w:rsidR="00BA5A7D" w:rsidRPr="00A40CD0">
        <w:t>REEG_TSS=</w:t>
      </w:r>
      <w:r w:rsidR="00F73D84">
        <w:t>9-37</w:t>
      </w:r>
      <w:r w:rsidRPr="00A40CD0">
        <w:t xml:space="preserve"> % for 2009/10,</w:t>
      </w:r>
      <w:r w:rsidR="00836B0E">
        <w:t xml:space="preserve"> </w:t>
      </w:r>
      <w:r w:rsidR="00EA2F38">
        <w:fldChar w:fldCharType="begin"/>
      </w:r>
      <w:r w:rsidR="00836B0E">
        <w:instrText xml:space="preserve"> REF _Ref353448575 \h </w:instrText>
      </w:r>
      <w:r w:rsidR="00EA2F38">
        <w:fldChar w:fldCharType="separate"/>
      </w:r>
      <w:r w:rsidR="00B11F3B" w:rsidRPr="00A40CD0">
        <w:t xml:space="preserve">Table </w:t>
      </w:r>
      <w:r w:rsidR="00B11F3B">
        <w:rPr>
          <w:noProof/>
        </w:rPr>
        <w:t>10</w:t>
      </w:r>
      <w:r w:rsidR="00EA2F38">
        <w:fldChar w:fldCharType="end"/>
      </w:r>
      <w:r w:rsidRPr="00A40CD0">
        <w:t xml:space="preserve">). </w:t>
      </w:r>
      <w:r w:rsidR="00F73D84">
        <w:t>In Both years t</w:t>
      </w:r>
      <w:r w:rsidR="00F73D84" w:rsidRPr="00A40CD0">
        <w:t xml:space="preserve">he </w:t>
      </w:r>
      <w:r w:rsidR="00F73D84">
        <w:t>Enclosed Coastal waters showed high values (</w:t>
      </w:r>
      <w:r w:rsidR="00F73D84" w:rsidRPr="00A40CD0">
        <w:t>REEG_TSS=</w:t>
      </w:r>
      <w:r w:rsidR="00F73D84">
        <w:t>56-72</w:t>
      </w:r>
      <w:r w:rsidR="00F73D84" w:rsidRPr="00A40CD0">
        <w:t xml:space="preserve">% of </w:t>
      </w:r>
      <w:r w:rsidR="00F73D84">
        <w:t>relative area of the water body) for the Wet Tropics, Mackay Whitsunday and Fitzroy region. Some</w:t>
      </w:r>
      <w:r w:rsidRPr="00A40CD0">
        <w:t xml:space="preserve"> areas of TSS EG </w:t>
      </w:r>
      <w:r w:rsidR="00F73D84">
        <w:t xml:space="preserve">(TSS_REEG 5-7%) </w:t>
      </w:r>
      <w:r w:rsidRPr="00A40CD0">
        <w:t xml:space="preserve">occurred also in Offshore areas, particularly in the </w:t>
      </w:r>
      <w:r w:rsidR="00F73D84">
        <w:t>C</w:t>
      </w:r>
      <w:r w:rsidR="00845B9B">
        <w:t>a</w:t>
      </w:r>
      <w:r w:rsidR="00F73D84">
        <w:t xml:space="preserve">pe York and </w:t>
      </w:r>
      <w:r w:rsidRPr="00A40CD0">
        <w:t>Mackay-Whitsunday reporting regions</w:t>
      </w:r>
      <w:r w:rsidR="00877F33" w:rsidRPr="00A40CD0">
        <w:t>, consistently with the previous reporting years</w:t>
      </w:r>
      <w:r w:rsidRPr="00A40CD0">
        <w:t xml:space="preserve">. </w:t>
      </w:r>
      <w:r w:rsidR="00877F33" w:rsidRPr="00A40CD0">
        <w:t>These large areas of exceedance of the mean ann</w:t>
      </w:r>
      <w:r w:rsidR="007C3518">
        <w:t>ual TSS values may be due to an</w:t>
      </w:r>
      <w:r w:rsidR="00877F33" w:rsidRPr="00A40CD0">
        <w:t xml:space="preserve"> over-estimate of the mean TSS concentrations in </w:t>
      </w:r>
      <w:r w:rsidR="006C5921" w:rsidRPr="00A40CD0">
        <w:t>Offshore wat</w:t>
      </w:r>
      <w:r w:rsidR="00877F33" w:rsidRPr="00A40CD0">
        <w:t>e</w:t>
      </w:r>
      <w:r w:rsidR="006C5921" w:rsidRPr="00A40CD0">
        <w:t>r</w:t>
      </w:r>
      <w:r w:rsidR="00877F33" w:rsidRPr="00A40CD0">
        <w:t>s or to a low gu</w:t>
      </w:r>
      <w:r w:rsidR="00A40CD0">
        <w:t xml:space="preserve">ideline threshold value. Also, exceedance </w:t>
      </w:r>
      <w:r w:rsidR="007C3518">
        <w:t>o</w:t>
      </w:r>
      <w:r w:rsidR="00A40CD0">
        <w:t xml:space="preserve">f the Guidelines </w:t>
      </w:r>
      <w:r w:rsidRPr="00A40CD0">
        <w:t>in these offshore wate</w:t>
      </w:r>
      <w:r w:rsidR="00A40CD0">
        <w:t>rs may</w:t>
      </w:r>
      <w:r w:rsidRPr="00A40CD0">
        <w:t xml:space="preserve"> not</w:t>
      </w:r>
      <w:r w:rsidR="00A40CD0">
        <w:t xml:space="preserve"> be</w:t>
      </w:r>
      <w:r w:rsidRPr="00A40CD0">
        <w:t xml:space="preserve"> directly related to the land influ</w:t>
      </w:r>
      <w:r w:rsidR="00877F33" w:rsidRPr="00A40CD0">
        <w:t>e</w:t>
      </w:r>
      <w:r w:rsidRPr="00A40CD0">
        <w:t>nce on these waters as</w:t>
      </w:r>
      <w:r w:rsidR="00877F33" w:rsidRPr="00A40CD0">
        <w:t xml:space="preserve"> for large portions of the Offshore areas </w:t>
      </w:r>
      <w:r w:rsidRPr="00A40CD0">
        <w:t>other oceanographic processes, e.g. upwelling events, influence the</w:t>
      </w:r>
      <w:r w:rsidR="00A40CD0">
        <w:t xml:space="preserve"> </w:t>
      </w:r>
      <w:r w:rsidRPr="00A40CD0">
        <w:t>TSS concentrations during the year</w:t>
      </w:r>
      <w:r w:rsidR="009F3E27" w:rsidRPr="00A40CD0">
        <w:t xml:space="preserve"> </w:t>
      </w:r>
      <w:r w:rsidR="00EA2F38" w:rsidRPr="00A40CD0">
        <w:fldChar w:fldCharType="begin">
          <w:fldData xml:space="preserve">PEVuZE5vdGU+PENpdGU+PEF1dGhvcj5Ccm9kaWU8L0F1dGhvcj48WWVhcj4yMDA4PC9ZZWFyPjxS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</w:fldData>
        </w:fldChar>
      </w:r>
      <w:r w:rsidR="00AC2F22">
        <w:instrText xml:space="preserve"> ADDIN EN.CITE </w:instrText>
      </w:r>
      <w:r w:rsidR="00EA2F38">
        <w:fldChar w:fldCharType="begin">
          <w:fldData xml:space="preserve">PEVuZE5vdGU+PENpdGU+PEF1dGhvcj5Ccm9kaWU8L0F1dGhvcj48WWVhcj4yMDA4PC9ZZWFyPjxS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59" w:tooltip="Wooldridge, 2006 #4671" w:history="1">
        <w:r w:rsidR="007B7C47">
          <w:rPr>
            <w:noProof/>
          </w:rPr>
          <w:t>Wooldridge et al. 2006</w:t>
        </w:r>
      </w:hyperlink>
      <w:r w:rsidR="00AC2F22">
        <w:rPr>
          <w:noProof/>
        </w:rPr>
        <w:t xml:space="preserve">, </w:t>
      </w:r>
      <w:hyperlink w:anchor="_ENREF_13" w:tooltip="Brodie, 2008 #4651" w:history="1">
        <w:r w:rsidR="007B7C47">
          <w:rPr>
            <w:noProof/>
          </w:rPr>
          <w:t>Brodie et al. 2008</w:t>
        </w:r>
      </w:hyperlink>
      <w:r w:rsidR="00AC2F22">
        <w:rPr>
          <w:noProof/>
        </w:rPr>
        <w:t>)</w:t>
      </w:r>
      <w:r w:rsidR="00EA2F38" w:rsidRPr="00A40CD0">
        <w:fldChar w:fldCharType="end"/>
      </w:r>
      <w:r w:rsidRPr="00A40CD0">
        <w:t xml:space="preserve">. </w:t>
      </w:r>
    </w:p>
    <w:p w:rsidR="0007494F" w:rsidRPr="00A40CD0" w:rsidRDefault="00B25CAA" w:rsidP="002E0BD6">
      <w:pPr>
        <w:pStyle w:val="BodyText"/>
      </w:pPr>
      <w:r w:rsidRPr="00A40CD0">
        <w:t xml:space="preserve">For </w:t>
      </w:r>
      <w:r w:rsidR="008A285B">
        <w:fldChar w:fldCharType="begin"/>
      </w:r>
      <w:r w:rsidR="008A285B">
        <w:instrText xml:space="preserve"> REF _Ref257731665 \h  \* MERGEFORMAT </w:instrText>
      </w:r>
      <w:r w:rsidR="008A285B">
        <w:fldChar w:fldCharType="separate"/>
      </w:r>
      <w:r w:rsidR="00B11F3B" w:rsidRPr="00A40CD0">
        <w:t xml:space="preserve">Figure </w:t>
      </w:r>
      <w:r w:rsidR="00B11F3B">
        <w:t>21</w:t>
      </w:r>
      <w:r w:rsidR="008A285B">
        <w:fldChar w:fldCharType="end"/>
      </w:r>
      <w:r w:rsidRPr="00A40CD0">
        <w:t xml:space="preserve"> and all subsequent CHL maps the median values were presented instead of the mean values</w:t>
      </w:r>
      <w:r w:rsidR="005950BB">
        <w:t xml:space="preserve">, as medians values are </w:t>
      </w:r>
      <w:r w:rsidR="005950BB" w:rsidRPr="00A40CD0">
        <w:t xml:space="preserve">closer to the modal values </w:t>
      </w:r>
      <w:r w:rsidRPr="00A40CD0">
        <w:t>the arithmetic mean</w:t>
      </w:r>
      <w:r w:rsidR="005950BB">
        <w:t xml:space="preserve"> for GBR waters </w:t>
      </w:r>
      <w:r w:rsidRPr="00A40CD0">
        <w:t>(</w:t>
      </w:r>
      <w:r w:rsidR="005950BB">
        <w:t>Section 3 Brando et al 2011</w:t>
      </w:r>
      <w:r w:rsidR="00EA2F38">
        <w:fldChar w:fldCharType="begin"/>
      </w:r>
      <w:r w:rsidR="00AC2F22">
        <w:instrText xml:space="preserve"> ADDIN EN.CITE &lt;EndNote&gt;&lt;Cite&gt;&lt;Author&gt;Brando&lt;/Author&gt;&lt;Year&gt;2011&lt;/Year&gt;&lt;RecNum&gt;4689&lt;/RecNum&gt;&lt;DisplayText&gt;(Brando et al. 2011)&lt;/DisplayText&gt;&lt;record&gt;&lt;rec-number&gt;4689&lt;/rec-number&gt;&lt;foreign-keys&gt;&lt;key app="EN" db-id="z0vwsaa0gfvsr1e2sr7p90rtdtevf52r2we9"&gt;4689&lt;/key&gt;&lt;/foreign-keys&gt;&lt;ref-type name="Report"&gt;27&lt;/ref-type&gt;&lt;contributors&gt;&lt;authors&gt;&lt;author&gt;Brando, V.E.&lt;/author&gt;&lt;author&gt;Schroeder, T.&lt;/author&gt;&lt;author&gt;Blondeau-Patissier, D.&lt;/author&gt;&lt;author&gt;Clementson, L.&lt;/author&gt;&lt;author&gt;Dekker, A.G.&lt;/author&gt;&lt;/authors&gt;&lt;/contributors&gt;&lt;titles&gt;&lt;title&gt;Reef Rescue Marine Monitoring Program: Using remote sensing for GBR-wide water quality. Final Report for 2010/2011 Activities.&lt;/title&gt;&lt;/titles&gt;&lt;keywords&gt;&lt;keyword&gt;Great Barrier Reef&lt;/keyword&gt;&lt;keyword&gt;Remote Sensing&lt;/keyword&gt;&lt;/keywords&gt;&lt;dates&gt;&lt;year&gt;2011&lt;/year&gt;&lt;/dates&gt;&lt;pub-location&gt;Canberra,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rsidR="00EA2F38">
        <w:fldChar w:fldCharType="separate"/>
      </w:r>
      <w:r w:rsidR="00AC2F22">
        <w:rPr>
          <w:noProof/>
        </w:rPr>
        <w:t>(</w:t>
      </w:r>
      <w:hyperlink w:anchor="_ENREF_9" w:tooltip="Brando, 2011 #4689" w:history="1">
        <w:r w:rsidR="007B7C47">
          <w:rPr>
            <w:noProof/>
          </w:rPr>
          <w:t>Brando et al. 2011</w:t>
        </w:r>
      </w:hyperlink>
      <w:r w:rsidR="00AC2F22">
        <w:rPr>
          <w:noProof/>
        </w:rPr>
        <w:t>)</w:t>
      </w:r>
      <w:r w:rsidR="00EA2F38">
        <w:fldChar w:fldCharType="end"/>
      </w:r>
      <w:r w:rsidRPr="00A40CD0">
        <w:t>). For all the regional reporting the exceedance to both the mean and median values are reported as maps as well as tables. For sake of simplicity and to adhere to t</w:t>
      </w:r>
      <w:r w:rsidR="005950BB">
        <w:t>he letter of the Guidelines, in</w:t>
      </w:r>
      <w:r w:rsidRPr="00A40CD0">
        <w:t xml:space="preserve"> </w:t>
      </w:r>
      <w:r w:rsidR="008A285B">
        <w:fldChar w:fldCharType="begin"/>
      </w:r>
      <w:r w:rsidR="008A285B">
        <w:instrText xml:space="preserve"> REF _Ref271816044 \h  \* MERGEFORMAT </w:instrText>
      </w:r>
      <w:r w:rsidR="008A285B">
        <w:fldChar w:fldCharType="separate"/>
      </w:r>
      <w:r w:rsidR="00B11F3B" w:rsidRPr="00A40CD0">
        <w:t xml:space="preserve">Figure </w:t>
      </w:r>
      <w:r w:rsidR="00B11F3B">
        <w:t>23</w:t>
      </w:r>
      <w:r w:rsidR="008A285B">
        <w:fldChar w:fldCharType="end"/>
      </w:r>
      <w:r w:rsidRPr="00A40CD0">
        <w:t xml:space="preserve">, </w:t>
      </w:r>
      <w:r w:rsidR="00EA2F38">
        <w:fldChar w:fldCharType="begin"/>
      </w:r>
      <w:r w:rsidR="00D90A4A">
        <w:instrText xml:space="preserve"> REF _Ref304882281 \h </w:instrText>
      </w:r>
      <w:r w:rsidR="00EA2F38">
        <w:fldChar w:fldCharType="separate"/>
      </w:r>
      <w:r w:rsidR="00B11F3B" w:rsidRPr="00A40CD0">
        <w:t xml:space="preserve">Figure </w:t>
      </w:r>
      <w:r w:rsidR="00B11F3B">
        <w:rPr>
          <w:noProof/>
        </w:rPr>
        <w:t>24</w:t>
      </w:r>
      <w:r w:rsidR="00EA2F38">
        <w:fldChar w:fldCharType="end"/>
      </w:r>
      <w:r w:rsidRPr="00A40CD0">
        <w:t xml:space="preserve">, </w:t>
      </w:r>
      <w:r w:rsidR="00EA2F38">
        <w:fldChar w:fldCharType="begin"/>
      </w:r>
      <w:r w:rsidR="00D90A4A">
        <w:instrText xml:space="preserve"> REF _Ref271816584 \h </w:instrText>
      </w:r>
      <w:r w:rsidR="00EA2F38">
        <w:fldChar w:fldCharType="separate"/>
      </w:r>
      <w:r w:rsidR="00B11F3B" w:rsidRPr="00A40CD0">
        <w:t xml:space="preserve">Table </w:t>
      </w:r>
      <w:r w:rsidR="00B11F3B">
        <w:rPr>
          <w:noProof/>
        </w:rPr>
        <w:t>9</w:t>
      </w:r>
      <w:r w:rsidR="00EA2F38">
        <w:fldChar w:fldCharType="end"/>
      </w:r>
      <w:r w:rsidRPr="00A40CD0">
        <w:t xml:space="preserve"> and </w:t>
      </w:r>
      <w:bookmarkStart w:id="129" w:name="_Hlt228587923"/>
      <w:r w:rsidR="00EA2F38">
        <w:fldChar w:fldCharType="begin"/>
      </w:r>
      <w:r w:rsidR="00836B0E">
        <w:instrText xml:space="preserve"> REF _Ref353448575 \h </w:instrText>
      </w:r>
      <w:r w:rsidR="00EA2F38">
        <w:fldChar w:fldCharType="separate"/>
      </w:r>
      <w:r w:rsidR="00B11F3B" w:rsidRPr="00A40CD0">
        <w:t xml:space="preserve">Table </w:t>
      </w:r>
      <w:r w:rsidR="00B11F3B">
        <w:rPr>
          <w:noProof/>
        </w:rPr>
        <w:t>10</w:t>
      </w:r>
      <w:r w:rsidR="00EA2F38">
        <w:fldChar w:fldCharType="end"/>
      </w:r>
      <w:bookmarkEnd w:id="129"/>
      <w:r w:rsidR="00836B0E" w:rsidRPr="00A40CD0">
        <w:t>)</w:t>
      </w:r>
      <w:r w:rsidR="00F73D84">
        <w:t xml:space="preserve"> </w:t>
      </w:r>
      <w:r w:rsidRPr="00A40CD0">
        <w:t>only the exceedance to mean values of CHL and TSS are reported</w:t>
      </w:r>
      <w:r w:rsidR="00456997" w:rsidRPr="00A40CD0">
        <w:t>. These values are the</w:t>
      </w:r>
      <w:r w:rsidR="0074281C" w:rsidRPr="00A40CD0">
        <w:t>n</w:t>
      </w:r>
      <w:r w:rsidR="00456997" w:rsidRPr="00A40CD0">
        <w:t xml:space="preserve"> </w:t>
      </w:r>
      <w:r w:rsidR="0007494F" w:rsidRPr="00A40CD0">
        <w:t>used to calculate the P2R marine water quality index (P2R_WQI) and the metric scores for the two component indicators, i.e. P2R_CHL and P2R_TSS</w:t>
      </w:r>
      <w:r w:rsidR="00456997" w:rsidRPr="00A40CD0">
        <w:t xml:space="preserve"> (</w:t>
      </w:r>
      <w:r w:rsidR="00EA2F38">
        <w:fldChar w:fldCharType="begin"/>
      </w:r>
      <w:r w:rsidR="00091872">
        <w:instrText xml:space="preserve"> REF _Ref228585520 \h </w:instrText>
      </w:r>
      <w:r w:rsidR="00EA2F38">
        <w:fldChar w:fldCharType="separate"/>
      </w:r>
      <w:r w:rsidR="00B11F3B" w:rsidRPr="00A40CD0">
        <w:t xml:space="preserve">Table </w:t>
      </w:r>
      <w:r w:rsidR="00B11F3B">
        <w:rPr>
          <w:noProof/>
        </w:rPr>
        <w:t>11</w:t>
      </w:r>
      <w:r w:rsidR="00EA2F38">
        <w:fldChar w:fldCharType="end"/>
      </w:r>
      <w:r w:rsidR="00456997" w:rsidRPr="00A40CD0">
        <w:t xml:space="preserve">), </w:t>
      </w:r>
      <w:r w:rsidR="00A40CD0" w:rsidRPr="00A40CD0">
        <w:t>following</w:t>
      </w:r>
      <w:r w:rsidR="00456997" w:rsidRPr="00A40CD0">
        <w:t xml:space="preserve"> the method outlined in section </w:t>
      </w:r>
      <w:r w:rsidR="00EA2F38">
        <w:fldChar w:fldCharType="begin"/>
      </w:r>
      <w:r w:rsidR="00D90A4A">
        <w:instrText xml:space="preserve"> REF _Ref321304277 \r \h </w:instrText>
      </w:r>
      <w:r w:rsidR="00EA2F38">
        <w:fldChar w:fldCharType="separate"/>
      </w:r>
      <w:r w:rsidR="00B11F3B">
        <w:t>2.2.4</w:t>
      </w:r>
      <w:r w:rsidR="00EA2F38">
        <w:fldChar w:fldCharType="end"/>
      </w:r>
      <w:r w:rsidRPr="00A40CD0">
        <w:t>.</w:t>
      </w:r>
    </w:p>
    <w:p w:rsidR="00351B64" w:rsidRPr="00A40CD0" w:rsidRDefault="0007494F" w:rsidP="002E0BD6">
      <w:pPr>
        <w:pStyle w:val="BodyText"/>
      </w:pPr>
      <w:r w:rsidRPr="00A40CD0">
        <w:lastRenderedPageBreak/>
        <w:t>The marine water quality for this reporting year</w:t>
      </w:r>
      <w:r w:rsidR="00456997" w:rsidRPr="00A40CD0">
        <w:t xml:space="preserve"> for the whole GBR was scored as “</w:t>
      </w:r>
      <w:r w:rsidR="005950BB">
        <w:t>moderate</w:t>
      </w:r>
      <w:r w:rsidR="0074281C" w:rsidRPr="00A40CD0">
        <w:t>”, reflec</w:t>
      </w:r>
      <w:r w:rsidR="00456997" w:rsidRPr="00A40CD0">
        <w:t>ting the</w:t>
      </w:r>
      <w:r w:rsidR="00F73D84">
        <w:t xml:space="preserve"> one</w:t>
      </w:r>
      <w:r w:rsidR="00456997" w:rsidRPr="00A40CD0">
        <w:t xml:space="preserve"> “poor”</w:t>
      </w:r>
      <w:r w:rsidR="00F73D84">
        <w:t xml:space="preserve"> and three</w:t>
      </w:r>
      <w:r w:rsidR="005950BB">
        <w:t xml:space="preserve"> “moderate”</w:t>
      </w:r>
      <w:r w:rsidR="00456997" w:rsidRPr="00A40CD0">
        <w:t xml:space="preserve"> score</w:t>
      </w:r>
      <w:r w:rsidR="005950BB">
        <w:t>s</w:t>
      </w:r>
      <w:r w:rsidRPr="00A40CD0">
        <w:t xml:space="preserve"> </w:t>
      </w:r>
      <w:r w:rsidR="00456997" w:rsidRPr="00A40CD0">
        <w:t xml:space="preserve">for </w:t>
      </w:r>
      <w:r w:rsidR="0074281C" w:rsidRPr="00A40CD0">
        <w:t xml:space="preserve">P2R_WQI </w:t>
      </w:r>
      <w:r w:rsidR="005950BB">
        <w:t xml:space="preserve">in the four </w:t>
      </w:r>
      <w:r w:rsidR="00456997" w:rsidRPr="00A40CD0">
        <w:t>reporting regions</w:t>
      </w:r>
      <w:r w:rsidR="00091872">
        <w:t xml:space="preserve"> that contribute the </w:t>
      </w:r>
      <w:r w:rsidR="005950BB">
        <w:t>whole of GBR score</w:t>
      </w:r>
      <w:r w:rsidR="00456997" w:rsidRPr="00A40CD0">
        <w:t xml:space="preserve"> </w:t>
      </w:r>
      <w:r w:rsidR="00091872" w:rsidRPr="00A40CD0">
        <w:t>(</w:t>
      </w:r>
      <w:r w:rsidR="00EA2F38">
        <w:fldChar w:fldCharType="begin"/>
      </w:r>
      <w:r w:rsidR="00091872">
        <w:instrText xml:space="preserve"> REF _Ref228585520 \h </w:instrText>
      </w:r>
      <w:r w:rsidR="00EA2F38">
        <w:fldChar w:fldCharType="separate"/>
      </w:r>
      <w:r w:rsidR="00B11F3B" w:rsidRPr="00A40CD0">
        <w:t xml:space="preserve">Table </w:t>
      </w:r>
      <w:r w:rsidR="00B11F3B">
        <w:rPr>
          <w:noProof/>
        </w:rPr>
        <w:t>11</w:t>
      </w:r>
      <w:r w:rsidR="00EA2F38">
        <w:fldChar w:fldCharType="end"/>
      </w:r>
      <w:r w:rsidR="005950BB">
        <w:t>, t</w:t>
      </w:r>
      <w:r w:rsidR="005950BB" w:rsidRPr="00A40CD0">
        <w:t xml:space="preserve">he regional scores for Cape York and Burnett Mary are excluded from calculations </w:t>
      </w:r>
      <w:r w:rsidR="005950BB">
        <w:t>of the overall GBR score for the</w:t>
      </w:r>
      <w:r w:rsidR="005950BB" w:rsidRPr="00A40CD0">
        <w:t xml:space="preserve"> metric</w:t>
      </w:r>
      <w:r w:rsidR="005950BB">
        <w:t>s</w:t>
      </w:r>
      <w:r w:rsidR="00456997" w:rsidRPr="00A40CD0">
        <w:t xml:space="preserve">). </w:t>
      </w:r>
      <w:r w:rsidR="00351B64" w:rsidRPr="00A40CD0">
        <w:t>The scores fo</w:t>
      </w:r>
      <w:r w:rsidR="00F73D84">
        <w:t xml:space="preserve">r the two component indicators </w:t>
      </w:r>
      <w:r w:rsidR="00351B64" w:rsidRPr="00A40CD0">
        <w:t>for the whole GBR were “poor” for P2R_CHL and “moderate” for P2R_TSS, reflecting the “very poor” to “</w:t>
      </w:r>
      <w:r w:rsidR="005950BB">
        <w:t>moderate</w:t>
      </w:r>
      <w:r w:rsidR="00351B64" w:rsidRPr="00A40CD0">
        <w:t>” regional scores for P2R_CHL and “</w:t>
      </w:r>
      <w:r w:rsidR="005950BB">
        <w:t>moderate</w:t>
      </w:r>
      <w:r w:rsidR="00351B64" w:rsidRPr="00A40CD0">
        <w:t xml:space="preserve">” to “good” regional scores from P2R_TSS. </w:t>
      </w:r>
      <w:r w:rsidR="00456997" w:rsidRPr="00A40CD0">
        <w:t xml:space="preserve">The marine water quality index was </w:t>
      </w:r>
      <w:r w:rsidR="004734DC">
        <w:t xml:space="preserve">similar to the reporting year 2010/11 and </w:t>
      </w:r>
      <w:r w:rsidR="00456997" w:rsidRPr="00A40CD0">
        <w:t xml:space="preserve">lower than </w:t>
      </w:r>
      <w:r w:rsidR="00351B64" w:rsidRPr="00A40CD0">
        <w:t xml:space="preserve">for </w:t>
      </w:r>
      <w:r w:rsidR="00456997" w:rsidRPr="00A40CD0">
        <w:t>the previous reporting year</w:t>
      </w:r>
      <w:r w:rsidR="004734DC">
        <w:t xml:space="preserve">s </w:t>
      </w:r>
      <w:r w:rsidR="00456997" w:rsidRPr="00A40CD0">
        <w:t>for all regions, as well as the whole GBR</w:t>
      </w:r>
      <w:r w:rsidR="004734DC">
        <w:t xml:space="preserve"> (</w:t>
      </w:r>
      <w:r w:rsidR="00EA2F38">
        <w:fldChar w:fldCharType="begin"/>
      </w:r>
      <w:r w:rsidR="004734DC">
        <w:instrText xml:space="preserve"> REF _Ref228324476 \h </w:instrText>
      </w:r>
      <w:r w:rsidR="00EA2F38">
        <w:fldChar w:fldCharType="separate"/>
      </w:r>
      <w:r w:rsidR="00B11F3B">
        <w:t xml:space="preserve">Figure </w:t>
      </w:r>
      <w:r w:rsidR="00B11F3B">
        <w:rPr>
          <w:noProof/>
        </w:rPr>
        <w:t>25</w:t>
      </w:r>
      <w:r w:rsidR="00EA2F38">
        <w:fldChar w:fldCharType="end"/>
      </w:r>
      <w:r w:rsidR="004734DC">
        <w:t>)</w:t>
      </w:r>
      <w:r w:rsidR="00456997" w:rsidRPr="00A40CD0">
        <w:t>, reflecting the high freshwater discharges from the GBR catchments in 2010/11</w:t>
      </w:r>
      <w:r w:rsidR="004734DC">
        <w:t xml:space="preserve"> and 2011/12</w:t>
      </w:r>
      <w:r w:rsidR="00456997" w:rsidRPr="00A40CD0">
        <w:t xml:space="preserve"> and the associated estimated freshwater plume extent (</w:t>
      </w:r>
      <w:r w:rsidR="008A285B">
        <w:fldChar w:fldCharType="begin"/>
      </w:r>
      <w:r w:rsidR="008A285B">
        <w:instrText xml:space="preserve"> REF _Ref257731667 \h  \* MERGEFORMAT </w:instrText>
      </w:r>
      <w:r w:rsidR="008A285B">
        <w:fldChar w:fldCharType="separate"/>
      </w:r>
      <w:r w:rsidR="00B11F3B" w:rsidRPr="00A40CD0">
        <w:t xml:space="preserve">Figure </w:t>
      </w:r>
      <w:r w:rsidR="00B11F3B">
        <w:t>20</w:t>
      </w:r>
      <w:r w:rsidR="008A285B">
        <w:fldChar w:fldCharType="end"/>
      </w:r>
      <w:r w:rsidR="00456997" w:rsidRPr="00A40CD0">
        <w:t>).</w:t>
      </w:r>
      <w:r w:rsidR="00351B64" w:rsidRPr="00A40CD0">
        <w:t xml:space="preserve"> </w:t>
      </w:r>
    </w:p>
    <w:p w:rsidR="00B25CAA" w:rsidRPr="00A40CD0" w:rsidRDefault="00351B64" w:rsidP="002E0BD6">
      <w:pPr>
        <w:pStyle w:val="BodyText"/>
      </w:pPr>
      <w:r w:rsidRPr="00A40CD0">
        <w:t xml:space="preserve">The assessment </w:t>
      </w:r>
      <w:r w:rsidR="00A40CD0" w:rsidRPr="00A40CD0">
        <w:t>of the</w:t>
      </w:r>
      <w:r w:rsidRPr="00A40CD0">
        <w:t xml:space="preserve"> P2R marine water quality index and the exceedance of the Guidelines is described in detail in the regional reporting sections with maps and tables summarising the exceedance results for CHL and TSS.</w:t>
      </w:r>
    </w:p>
    <w:p w:rsidR="00220B8D" w:rsidRPr="00A40CD0" w:rsidRDefault="00220B8D" w:rsidP="002E0BD6">
      <w:pPr>
        <w:pStyle w:val="BodyText"/>
      </w:pPr>
      <w:r>
        <w:t>As all the results presented in this report supersede the exceedance assessments and the P2R scores presented previous reports, Appendix 3 provides the</w:t>
      </w:r>
      <w:r w:rsidRPr="00A40CD0">
        <w:t xml:space="preserve"> REEG values for CHL and TSS (REEG_CHL, REEG_TSS) presented within each reporting region as separate values for the </w:t>
      </w:r>
      <w:r>
        <w:t xml:space="preserve">newly delineated Enclosed Coastal, as well as the </w:t>
      </w:r>
      <w:r w:rsidRPr="00A40CD0">
        <w:t>Open Coastal,</w:t>
      </w:r>
      <w:r w:rsidR="00173F3E">
        <w:t xml:space="preserve"> </w:t>
      </w:r>
      <w:r w:rsidR="00D65EB0">
        <w:t xml:space="preserve">Inshore </w:t>
      </w:r>
      <w:r w:rsidR="00173F3E">
        <w:t>(</w:t>
      </w:r>
      <w:r w:rsidR="00D65EB0">
        <w:t xml:space="preserve">encompassing both Enclosed Coastal and </w:t>
      </w:r>
      <w:r w:rsidR="00D65EB0" w:rsidRPr="00A40CD0">
        <w:t>Open Coastal</w:t>
      </w:r>
      <w:r w:rsidR="00D65EB0">
        <w:t xml:space="preserve">), </w:t>
      </w:r>
      <w:r w:rsidRPr="00A40CD0">
        <w:t>Mids</w:t>
      </w:r>
      <w:r>
        <w:t>helf, and Offshore water bodies for all reporting years. Also a summary of all P2R scores for all reporting year is provided, based on the REEG values for the Inshore</w:t>
      </w:r>
      <w:r w:rsidRPr="00A40CD0">
        <w:t xml:space="preserve"> water body </w:t>
      </w:r>
      <w:r>
        <w:t>(i.e. the Enclosed Coastal and the Open Coastal waters).</w:t>
      </w:r>
    </w:p>
    <w:p w:rsidR="00220B8D" w:rsidRPr="00A40CD0" w:rsidRDefault="00220B8D" w:rsidP="002E0BD6">
      <w:pPr>
        <w:pStyle w:val="BodyText"/>
      </w:pPr>
    </w:p>
    <w:p w:rsidR="00B25CAA" w:rsidRPr="00A40CD0" w:rsidRDefault="008B191C" w:rsidP="002E0BD6">
      <w:pPr>
        <w:pStyle w:val="BodyText"/>
      </w:pPr>
      <w:r>
        <w:rPr>
          <w:noProof/>
          <w:lang w:eastAsia="en-AU"/>
        </w:rPr>
        <w:lastRenderedPageBreak/>
        <w:drawing>
          <wp:inline distT="0" distB="0" distL="0" distR="0">
            <wp:extent cx="5759450" cy="7435850"/>
            <wp:effectExtent l="0" t="0" r="6350" b="6350"/>
            <wp:docPr id="72" name="Picture 72" descr="Map of the Chlorophyll-a annual median values for the 2010/2011 reporting period (May 2010 – April 2011) for the whole of the Great Barrier Reef World Heritage Area. The &#10;&#10;Guideline values for annual means of Chlorophyll –a are 2.0 µg L-1  for Enclosed Coastal, 0.45 µg L-1 for Open Coastal and Midshelf and 0.40 µg L-1  for Offshor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Y_Chl_MIM_Median_20110501_20120430.tif"/>
                    <pic:cNvPicPr/>
                  </pic:nvPicPr>
                  <pic:blipFill>
                    <a:blip r:embed="rId45" cstate="email">
                      <a:extLst>
                        <a:ext uri="{28A0092B-C50C-407E-A947-70E740481C1C}">
                          <a14:useLocalDpi xmlns:a14="http://schemas.microsoft.com/office/drawing/2010/main"/>
                        </a:ext>
                      </a:extLst>
                    </a:blip>
                    <a:stretch>
                      <a:fillRect/>
                    </a:stretch>
                  </pic:blipFill>
                  <pic:spPr>
                    <a:xfrm>
                      <a:off x="0" y="0"/>
                      <a:ext cx="5759450" cy="7435850"/>
                    </a:xfrm>
                    <a:prstGeom prst="rect">
                      <a:avLst/>
                    </a:prstGeom>
                  </pic:spPr>
                </pic:pic>
              </a:graphicData>
            </a:graphic>
          </wp:inline>
        </w:drawing>
      </w:r>
    </w:p>
    <w:p w:rsidR="00B25CAA" w:rsidRPr="00A40CD0" w:rsidRDefault="00B25CAA" w:rsidP="004F4DDE">
      <w:pPr>
        <w:pStyle w:val="Caption"/>
      </w:pPr>
      <w:bookmarkStart w:id="130" w:name="_Ref257731665"/>
      <w:bookmarkStart w:id="131" w:name="_Toc228588302"/>
      <w:bookmarkStart w:id="132" w:name="_Toc399265007"/>
      <w:r w:rsidRPr="00A40CD0">
        <w:t xml:space="preserve">Figure </w:t>
      </w:r>
      <w:r w:rsidR="00EA2F38">
        <w:fldChar w:fldCharType="begin"/>
      </w:r>
      <w:r w:rsidR="00933C8B">
        <w:instrText xml:space="preserve"> SEQ Figure \* ARABIC </w:instrText>
      </w:r>
      <w:r w:rsidR="00EA2F38">
        <w:fldChar w:fldCharType="separate"/>
      </w:r>
      <w:r w:rsidR="00B11F3B">
        <w:rPr>
          <w:noProof/>
        </w:rPr>
        <w:t>21</w:t>
      </w:r>
      <w:r w:rsidR="00EA2F38">
        <w:fldChar w:fldCharType="end"/>
      </w:r>
      <w:bookmarkEnd w:id="130"/>
      <w:r w:rsidRPr="00A40CD0">
        <w:t xml:space="preserve">. </w:t>
      </w:r>
      <w:bookmarkStart w:id="133" w:name="_Ref257731664"/>
      <w:r w:rsidRPr="00A40CD0">
        <w:t xml:space="preserve">Map of the Chlorophyll-a annual median values for the 2010/2011 reporting period (May 2010 – April 2011) for the whole of the Great Barrier Reef World Heritage Area. </w:t>
      </w:r>
      <w:bookmarkEnd w:id="133"/>
      <w:r w:rsidRPr="00A40CD0">
        <w:t xml:space="preserve">The </w:t>
      </w:r>
      <w:r w:rsidR="00AC30D4" w:rsidRPr="00A40CD0">
        <w:rPr>
          <w:noProof/>
        </w:rPr>
        <w:drawing>
          <wp:anchor distT="0" distB="0" distL="114300" distR="114300" simplePos="0" relativeHeight="251676672" behindDoc="0" locked="0" layoutInCell="1" allowOverlap="1">
            <wp:simplePos x="0" y="0"/>
            <wp:positionH relativeFrom="column">
              <wp:posOffset>5013960</wp:posOffset>
            </wp:positionH>
            <wp:positionV relativeFrom="paragraph">
              <wp:posOffset>-7588250</wp:posOffset>
            </wp:positionV>
            <wp:extent cx="706120" cy="4393565"/>
            <wp:effectExtent l="19050" t="0" r="0" b="0"/>
            <wp:wrapNone/>
            <wp:docPr id="52" name="Picture 163" descr="CPYK-B09_Y_Chl_MIM_Median_20090501_2010043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PYK-B09_Y_Chl_MIM_Median_20090501_20100430.tif"/>
                    <pic:cNvPicPr>
                      <a:picLocks noChangeAspect="1" noChangeArrowheads="1"/>
                    </pic:cNvPicPr>
                  </pic:nvPicPr>
                  <pic:blipFill>
                    <a:blip r:embed="rId46" cstate="email">
                      <a:extLst>
                        <a:ext uri="{28A0092B-C50C-407E-A947-70E740481C1C}">
                          <a14:useLocalDpi xmlns:a14="http://schemas.microsoft.com/office/drawing/2010/main"/>
                        </a:ext>
                      </a:extLst>
                    </a:blip>
                    <a:srcRect/>
                    <a:stretch>
                      <a:fillRect/>
                    </a:stretch>
                  </pic:blipFill>
                  <pic:spPr bwMode="auto">
                    <a:xfrm>
                      <a:off x="0" y="0"/>
                      <a:ext cx="706120" cy="4393565"/>
                    </a:xfrm>
                    <a:prstGeom prst="rect">
                      <a:avLst/>
                    </a:prstGeom>
                    <a:noFill/>
                  </pic:spPr>
                </pic:pic>
              </a:graphicData>
            </a:graphic>
          </wp:anchor>
        </w:drawing>
      </w:r>
      <w:r w:rsidRPr="00A40CD0">
        <w:t xml:space="preserve">Guideline values for annual means of Chlorophyll –a are </w:t>
      </w:r>
      <w:r w:rsidR="00E670C3">
        <w:t>2.0</w:t>
      </w:r>
      <w:r w:rsidR="00E670C3" w:rsidRPr="00E670C3">
        <w:t xml:space="preserve"> </w:t>
      </w:r>
      <w:r w:rsidR="00E670C3" w:rsidRPr="00A40CD0">
        <w:t xml:space="preserve">µg L-1 </w:t>
      </w:r>
      <w:r w:rsidR="00503059">
        <w:t xml:space="preserve"> for Enclose</w:t>
      </w:r>
      <w:r w:rsidR="00E670C3">
        <w:t xml:space="preserve">d Coastal, </w:t>
      </w:r>
      <w:r w:rsidRPr="00A40CD0">
        <w:t>0.45 µg L-1 for Open Coastal and Midshelf and 0.40 µg L</w:t>
      </w:r>
      <w:r w:rsidRPr="00A40CD0">
        <w:rPr>
          <w:vertAlign w:val="superscript"/>
        </w:rPr>
        <w:t>-1</w:t>
      </w:r>
      <w:r w:rsidRPr="00A40CD0">
        <w:t xml:space="preserve">  for Offshore.</w:t>
      </w:r>
      <w:bookmarkEnd w:id="131"/>
      <w:bookmarkEnd w:id="132"/>
    </w:p>
    <w:p w:rsidR="00B25CAA" w:rsidRPr="00A40CD0" w:rsidRDefault="00B25CAA" w:rsidP="002E0BD6">
      <w:pPr>
        <w:pStyle w:val="BodyText"/>
      </w:pPr>
    </w:p>
    <w:p w:rsidR="00B25CAA" w:rsidRPr="00A40CD0" w:rsidRDefault="000305AC" w:rsidP="002E0BD6">
      <w:pPr>
        <w:pStyle w:val="BodyText"/>
      </w:pPr>
      <w:r w:rsidRPr="00A40CD0">
        <w:rPr>
          <w:noProof/>
          <w:lang w:eastAsia="en-AU"/>
        </w:rPr>
        <w:lastRenderedPageBreak/>
        <w:drawing>
          <wp:anchor distT="0" distB="0" distL="114300" distR="114300" simplePos="0" relativeHeight="251678720" behindDoc="0" locked="0" layoutInCell="1" allowOverlap="1">
            <wp:simplePos x="0" y="0"/>
            <wp:positionH relativeFrom="column">
              <wp:posOffset>4749800</wp:posOffset>
            </wp:positionH>
            <wp:positionV relativeFrom="paragraph">
              <wp:posOffset>0</wp:posOffset>
            </wp:positionV>
            <wp:extent cx="634365" cy="4239260"/>
            <wp:effectExtent l="0" t="0" r="635" b="2540"/>
            <wp:wrapNone/>
            <wp:docPr id="78" name="Picture 139" descr="CPYK-B09_Y_Nap_MIM_Median_20101101_2011043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CPYK-B09_Y_Nap_MIM_Median_20101101_20110430.tif"/>
                    <pic:cNvPicPr>
                      <a:picLocks noChangeAspect="1" noChangeArrowheads="1"/>
                    </pic:cNvPicPr>
                  </pic:nvPicPr>
                  <pic:blipFill>
                    <a:blip r:embed="rId47" cstate="email">
                      <a:extLst>
                        <a:ext uri="{28A0092B-C50C-407E-A947-70E740481C1C}">
                          <a14:useLocalDpi xmlns:a14="http://schemas.microsoft.com/office/drawing/2010/main"/>
                        </a:ext>
                      </a:extLst>
                    </a:blip>
                    <a:srcRect/>
                    <a:stretch>
                      <a:fillRect/>
                    </a:stretch>
                  </pic:blipFill>
                  <pic:spPr bwMode="auto">
                    <a:xfrm>
                      <a:off x="0" y="0"/>
                      <a:ext cx="634365" cy="4239260"/>
                    </a:xfrm>
                    <a:prstGeom prst="rect">
                      <a:avLst/>
                    </a:prstGeom>
                    <a:noFill/>
                  </pic:spPr>
                </pic:pic>
              </a:graphicData>
            </a:graphic>
          </wp:anchor>
        </w:drawing>
      </w:r>
      <w:r w:rsidR="008B191C">
        <w:rPr>
          <w:noProof/>
          <w:lang w:eastAsia="en-AU"/>
        </w:rPr>
        <w:drawing>
          <wp:inline distT="0" distB="0" distL="0" distR="0">
            <wp:extent cx="5759450" cy="7435850"/>
            <wp:effectExtent l="0" t="0" r="6350" b="6350"/>
            <wp:docPr id="73" name="Picture 73" descr="Map of annual median values of non-algal particulate matter (as a measure of Total Suspended Solids) for the 2010/2011 reporting period (May 2010 – April 2011) for the whole of the Great Barrier Reef World Heritage Area. The Guideline values for annual means of Total Suspended Solids are 5.0 (or 15.0) mg L-1for Enclosed Coastal, 2.0 mg L-1for Open Coastal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Y_Nap_MIM_Median_20110501_20120430.tif"/>
                    <pic:cNvPicPr/>
                  </pic:nvPicPr>
                  <pic:blipFill>
                    <a:blip r:embed="rId48" cstate="email">
                      <a:extLst>
                        <a:ext uri="{28A0092B-C50C-407E-A947-70E740481C1C}">
                          <a14:useLocalDpi xmlns:a14="http://schemas.microsoft.com/office/drawing/2010/main"/>
                        </a:ext>
                      </a:extLst>
                    </a:blip>
                    <a:stretch>
                      <a:fillRect/>
                    </a:stretch>
                  </pic:blipFill>
                  <pic:spPr>
                    <a:xfrm>
                      <a:off x="0" y="0"/>
                      <a:ext cx="5759450" cy="7435850"/>
                    </a:xfrm>
                    <a:prstGeom prst="rect">
                      <a:avLst/>
                    </a:prstGeom>
                  </pic:spPr>
                </pic:pic>
              </a:graphicData>
            </a:graphic>
          </wp:inline>
        </w:drawing>
      </w:r>
    </w:p>
    <w:p w:rsidR="00B25CAA" w:rsidRPr="00A40CD0" w:rsidRDefault="00B25CAA" w:rsidP="00B5069B">
      <w:pPr>
        <w:pStyle w:val="Caption"/>
      </w:pPr>
      <w:bookmarkStart w:id="134" w:name="_Ref304883057"/>
      <w:bookmarkStart w:id="135" w:name="_Toc228588303"/>
      <w:bookmarkStart w:id="136" w:name="_Toc399265008"/>
      <w:r w:rsidRPr="00A40CD0">
        <w:t xml:space="preserve">Figure </w:t>
      </w:r>
      <w:r w:rsidR="00EA2F38">
        <w:fldChar w:fldCharType="begin"/>
      </w:r>
      <w:r w:rsidR="00933C8B">
        <w:instrText xml:space="preserve"> SEQ Figure \* ARABIC </w:instrText>
      </w:r>
      <w:r w:rsidR="00EA2F38">
        <w:fldChar w:fldCharType="separate"/>
      </w:r>
      <w:r w:rsidR="00B11F3B">
        <w:rPr>
          <w:noProof/>
        </w:rPr>
        <w:t>22</w:t>
      </w:r>
      <w:r w:rsidR="00EA2F38">
        <w:fldChar w:fldCharType="end"/>
      </w:r>
      <w:bookmarkEnd w:id="134"/>
      <w:r w:rsidRPr="00A40CD0">
        <w:t xml:space="preserve">. Map of annual median values of non-algal particulate matter (as a measure of Total Suspended Solids) for the 2010/2011 reporting period (May 2010 – April 2011) for the whole of the Great Barrier Reef World Heritage Area. The Guideline values for annual means of Total Suspended Solids are </w:t>
      </w:r>
      <w:r w:rsidR="00E670C3">
        <w:t>5</w:t>
      </w:r>
      <w:r w:rsidR="00E670C3" w:rsidRPr="00A40CD0">
        <w:t>.0</w:t>
      </w:r>
      <w:r w:rsidR="00E670C3">
        <w:t xml:space="preserve"> (or 15.0)</w:t>
      </w:r>
      <w:r w:rsidR="00E670C3" w:rsidRPr="00A40CD0">
        <w:t xml:space="preserve"> mg L</w:t>
      </w:r>
      <w:r w:rsidR="00E670C3" w:rsidRPr="00A40CD0">
        <w:rPr>
          <w:vertAlign w:val="superscript"/>
        </w:rPr>
        <w:t>-1</w:t>
      </w:r>
      <w:r w:rsidR="00E670C3">
        <w:t>for Enclosed</w:t>
      </w:r>
      <w:r w:rsidR="00E670C3" w:rsidRPr="00A40CD0">
        <w:t xml:space="preserve"> Coastal</w:t>
      </w:r>
      <w:r w:rsidR="00E670C3">
        <w:t>,</w:t>
      </w:r>
      <w:r w:rsidR="00E670C3" w:rsidRPr="00A40CD0">
        <w:t xml:space="preserve"> </w:t>
      </w:r>
      <w:r w:rsidRPr="00A40CD0">
        <w:t>2.0 mg L</w:t>
      </w:r>
      <w:r w:rsidRPr="00A40CD0">
        <w:rPr>
          <w:vertAlign w:val="superscript"/>
        </w:rPr>
        <w:t>-1</w:t>
      </w:r>
      <w:r w:rsidRPr="00A40CD0">
        <w:t>for Open Coastal and Midshelf and 0.7 mg L</w:t>
      </w:r>
      <w:r w:rsidRPr="00A40CD0">
        <w:rPr>
          <w:vertAlign w:val="superscript"/>
        </w:rPr>
        <w:t xml:space="preserve">-1 </w:t>
      </w:r>
      <w:r w:rsidRPr="00A40CD0">
        <w:t>for Offshore.</w:t>
      </w:r>
      <w:bookmarkEnd w:id="135"/>
      <w:bookmarkEnd w:id="136"/>
    </w:p>
    <w:p w:rsidR="00B25CAA" w:rsidRPr="00A40CD0" w:rsidRDefault="008B191C" w:rsidP="002E0BD6">
      <w:pPr>
        <w:pStyle w:val="BodyText"/>
      </w:pPr>
      <w:r>
        <w:rPr>
          <w:noProof/>
          <w:lang w:eastAsia="en-AU"/>
        </w:rPr>
        <w:lastRenderedPageBreak/>
        <w:drawing>
          <wp:inline distT="0" distB="0" distL="0" distR="0">
            <wp:extent cx="5759450" cy="7435850"/>
            <wp:effectExtent l="0" t="0" r="6350" b="6350"/>
            <wp:docPr id="74" name="Picture 74" descr="Collation of the exceedance maps of mean annual Chlorophyll-a for the 2010/2011 reporting period (May 2010 – April 2011) for the whole of the Great Barrier Reef World Heritage Area. Pixels are mapped in dark red when mean values for the year exceed the thresholds. Detailed maps are reported in the regional reporting sections (Figure 33, Figure 44, Figure 55, Figure 66, Figure 77 and Fig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Y_Chl_MIM_meanGTtrigger_20110501_20120430.tif"/>
                    <pic:cNvPicPr/>
                  </pic:nvPicPr>
                  <pic:blipFill>
                    <a:blip r:embed="rId49" cstate="email">
                      <a:extLst>
                        <a:ext uri="{28A0092B-C50C-407E-A947-70E740481C1C}">
                          <a14:useLocalDpi xmlns:a14="http://schemas.microsoft.com/office/drawing/2010/main"/>
                        </a:ext>
                      </a:extLst>
                    </a:blip>
                    <a:stretch>
                      <a:fillRect/>
                    </a:stretch>
                  </pic:blipFill>
                  <pic:spPr>
                    <a:xfrm>
                      <a:off x="0" y="0"/>
                      <a:ext cx="5759450" cy="7435850"/>
                    </a:xfrm>
                    <a:prstGeom prst="rect">
                      <a:avLst/>
                    </a:prstGeom>
                  </pic:spPr>
                </pic:pic>
              </a:graphicData>
            </a:graphic>
          </wp:inline>
        </w:drawing>
      </w:r>
    </w:p>
    <w:p w:rsidR="00B25CAA" w:rsidRPr="00A40CD0" w:rsidRDefault="00B25CAA" w:rsidP="00DE0431">
      <w:pPr>
        <w:pStyle w:val="Caption"/>
      </w:pPr>
      <w:bookmarkStart w:id="137" w:name="_Ref271816044"/>
      <w:bookmarkStart w:id="138" w:name="_Toc228588304"/>
      <w:bookmarkStart w:id="139" w:name="_Toc399265009"/>
      <w:r w:rsidRPr="00A40CD0">
        <w:t xml:space="preserve">Figure </w:t>
      </w:r>
      <w:r w:rsidR="00EA2F38">
        <w:fldChar w:fldCharType="begin"/>
      </w:r>
      <w:r w:rsidR="00933C8B">
        <w:instrText xml:space="preserve"> SEQ Figure \* ARABIC </w:instrText>
      </w:r>
      <w:r w:rsidR="00EA2F38">
        <w:fldChar w:fldCharType="separate"/>
      </w:r>
      <w:r w:rsidR="00B11F3B">
        <w:rPr>
          <w:noProof/>
        </w:rPr>
        <w:t>23</w:t>
      </w:r>
      <w:r w:rsidR="00EA2F38">
        <w:fldChar w:fldCharType="end"/>
      </w:r>
      <w:bookmarkEnd w:id="137"/>
      <w:r w:rsidRPr="00A40CD0">
        <w:t>. Collation of the exceedance maps of mean annual Chlorophyll-a for the 2010/2011 reporting period (May 2010 – April 2011) for the whole of the Great Barrier Reef World Heritage Area. Pixels are mapped in dark red when mean values for the year exceed the thresholds. Detailed maps are reported in the regional reporting sections (</w:t>
      </w:r>
      <w:r w:rsidR="008A285B">
        <w:fldChar w:fldCharType="begin"/>
      </w:r>
      <w:r w:rsidR="008A285B">
        <w:instrText xml:space="preserve"> REF _Ref274065412 \h  \* MERGEFORMAT </w:instrText>
      </w:r>
      <w:r w:rsidR="008A285B">
        <w:fldChar w:fldCharType="separate"/>
      </w:r>
      <w:r w:rsidR="00B11F3B" w:rsidRPr="00A40CD0">
        <w:t xml:space="preserve">Figure </w:t>
      </w:r>
      <w:r w:rsidR="00B11F3B">
        <w:t>33</w:t>
      </w:r>
      <w:r w:rsidR="008A285B">
        <w:fldChar w:fldCharType="end"/>
      </w:r>
      <w:r w:rsidRPr="00A40CD0">
        <w:t xml:space="preserve">, </w:t>
      </w:r>
      <w:r w:rsidR="00EA2F38" w:rsidRPr="00A40CD0">
        <w:fldChar w:fldCharType="begin"/>
      </w:r>
      <w:r w:rsidRPr="00A40CD0">
        <w:instrText xml:space="preserve"> REF _Ref263850323 \h </w:instrText>
      </w:r>
      <w:r w:rsidR="00EA2F38" w:rsidRPr="00A40CD0">
        <w:fldChar w:fldCharType="separate"/>
      </w:r>
      <w:r w:rsidR="00B11F3B" w:rsidRPr="00A40CD0">
        <w:t xml:space="preserve">Figure </w:t>
      </w:r>
      <w:r w:rsidR="00B11F3B">
        <w:rPr>
          <w:noProof/>
        </w:rPr>
        <w:t>44</w:t>
      </w:r>
      <w:r w:rsidR="00EA2F38" w:rsidRPr="00A40CD0">
        <w:fldChar w:fldCharType="end"/>
      </w:r>
      <w:r w:rsidRPr="00A40CD0">
        <w:t xml:space="preserve">, </w:t>
      </w:r>
      <w:r w:rsidR="00EA2F38" w:rsidRPr="00A40CD0">
        <w:fldChar w:fldCharType="begin"/>
      </w:r>
      <w:r w:rsidRPr="00A40CD0">
        <w:instrText xml:space="preserve"> REF _Ref263850004 \h </w:instrText>
      </w:r>
      <w:r w:rsidR="00EA2F38" w:rsidRPr="00A40CD0">
        <w:fldChar w:fldCharType="separate"/>
      </w:r>
      <w:r w:rsidR="00B11F3B" w:rsidRPr="00A40CD0">
        <w:t xml:space="preserve">Figure </w:t>
      </w:r>
      <w:r w:rsidR="00B11F3B">
        <w:rPr>
          <w:noProof/>
        </w:rPr>
        <w:t>55</w:t>
      </w:r>
      <w:r w:rsidR="00EA2F38" w:rsidRPr="00A40CD0">
        <w:fldChar w:fldCharType="end"/>
      </w:r>
      <w:r w:rsidRPr="00A40CD0">
        <w:t xml:space="preserve">, </w:t>
      </w:r>
      <w:r w:rsidR="00EA2F38" w:rsidRPr="00A40CD0">
        <w:fldChar w:fldCharType="begin"/>
      </w:r>
      <w:r w:rsidRPr="00A40CD0">
        <w:instrText xml:space="preserve"> REF _Ref263849521 \h </w:instrText>
      </w:r>
      <w:r w:rsidR="00EA2F38" w:rsidRPr="00A40CD0">
        <w:fldChar w:fldCharType="separate"/>
      </w:r>
      <w:r w:rsidR="00B11F3B" w:rsidRPr="00A40CD0">
        <w:t xml:space="preserve">Figure </w:t>
      </w:r>
      <w:r w:rsidR="00B11F3B">
        <w:rPr>
          <w:noProof/>
        </w:rPr>
        <w:t>66</w:t>
      </w:r>
      <w:r w:rsidR="00EA2F38" w:rsidRPr="00A40CD0">
        <w:fldChar w:fldCharType="end"/>
      </w:r>
      <w:r w:rsidRPr="00A40CD0">
        <w:t xml:space="preserve">, </w:t>
      </w:r>
      <w:r w:rsidR="00EA2F38" w:rsidRPr="00A40CD0">
        <w:fldChar w:fldCharType="begin"/>
      </w:r>
      <w:r w:rsidRPr="00A40CD0">
        <w:instrText xml:space="preserve"> REF _Ref263848588 \h </w:instrText>
      </w:r>
      <w:r w:rsidR="00EA2F38" w:rsidRPr="00A40CD0">
        <w:fldChar w:fldCharType="separate"/>
      </w:r>
      <w:r w:rsidR="00B11F3B" w:rsidRPr="00A40CD0">
        <w:t xml:space="preserve">Figure </w:t>
      </w:r>
      <w:r w:rsidR="00B11F3B">
        <w:rPr>
          <w:noProof/>
        </w:rPr>
        <w:t>77</w:t>
      </w:r>
      <w:r w:rsidR="00EA2F38" w:rsidRPr="00A40CD0">
        <w:fldChar w:fldCharType="end"/>
      </w:r>
      <w:r w:rsidRPr="00A40CD0">
        <w:t xml:space="preserve"> and</w:t>
      </w:r>
      <w:r w:rsidR="00DE0431" w:rsidRPr="00A40CD0">
        <w:t xml:space="preserve"> </w:t>
      </w:r>
      <w:r w:rsidR="00EA2F38" w:rsidRPr="00A40CD0">
        <w:fldChar w:fldCharType="begin"/>
      </w:r>
      <w:r w:rsidR="00DE0431" w:rsidRPr="00A40CD0">
        <w:instrText xml:space="preserve"> REF _Ref321226735 \h </w:instrText>
      </w:r>
      <w:r w:rsidR="00EA2F38" w:rsidRPr="00A40CD0">
        <w:fldChar w:fldCharType="separate"/>
      </w:r>
      <w:r w:rsidR="00B11F3B" w:rsidRPr="00A40CD0">
        <w:t xml:space="preserve">Figure </w:t>
      </w:r>
      <w:r w:rsidR="00B11F3B">
        <w:rPr>
          <w:noProof/>
        </w:rPr>
        <w:t>88</w:t>
      </w:r>
      <w:r w:rsidR="00EA2F38" w:rsidRPr="00A40CD0">
        <w:fldChar w:fldCharType="end"/>
      </w:r>
      <w:r w:rsidR="00DE0431" w:rsidRPr="00A40CD0">
        <w:t>).</w:t>
      </w:r>
      <w:bookmarkEnd w:id="138"/>
      <w:bookmarkEnd w:id="139"/>
    </w:p>
    <w:p w:rsidR="00B25CAA" w:rsidRPr="00A40CD0" w:rsidRDefault="00B25CAA" w:rsidP="002E0BD6">
      <w:pPr>
        <w:pStyle w:val="BodyText"/>
      </w:pPr>
    </w:p>
    <w:p w:rsidR="00B25CAA" w:rsidRPr="00A40CD0" w:rsidRDefault="008B191C" w:rsidP="002E0BD6">
      <w:pPr>
        <w:pStyle w:val="BodyText"/>
      </w:pPr>
      <w:r>
        <w:rPr>
          <w:noProof/>
          <w:lang w:eastAsia="en-AU"/>
        </w:rPr>
        <w:lastRenderedPageBreak/>
        <w:drawing>
          <wp:inline distT="0" distB="0" distL="0" distR="0">
            <wp:extent cx="5759450" cy="7435850"/>
            <wp:effectExtent l="0" t="0" r="6350" b="6350"/>
            <wp:docPr id="75" name="Picture 75" descr="Collation of the exceedance maps of mean annual Total Suspended Solids for the 2010/2011 reporting period (May 2010 – April 2011) for the whole of the Great Barrier Reef World Heritage Area. Pixels are mapped in dark red when mean values for the year exceed the thresholds. Detailed maps are reported in the regional reporting sections (Figure 33, Figure 44, Figure 55, Figure 66, Figure 77 and Fig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Y_Nap_MIM_meanGTtrigger_20110501_20120430.tif"/>
                    <pic:cNvPicPr/>
                  </pic:nvPicPr>
                  <pic:blipFill>
                    <a:blip r:embed="rId50" cstate="email">
                      <a:extLst>
                        <a:ext uri="{28A0092B-C50C-407E-A947-70E740481C1C}">
                          <a14:useLocalDpi xmlns:a14="http://schemas.microsoft.com/office/drawing/2010/main"/>
                        </a:ext>
                      </a:extLst>
                    </a:blip>
                    <a:stretch>
                      <a:fillRect/>
                    </a:stretch>
                  </pic:blipFill>
                  <pic:spPr>
                    <a:xfrm>
                      <a:off x="0" y="0"/>
                      <a:ext cx="5759450" cy="7435850"/>
                    </a:xfrm>
                    <a:prstGeom prst="rect">
                      <a:avLst/>
                    </a:prstGeom>
                  </pic:spPr>
                </pic:pic>
              </a:graphicData>
            </a:graphic>
          </wp:inline>
        </w:drawing>
      </w:r>
    </w:p>
    <w:p w:rsidR="00B25CAA" w:rsidRPr="00A40CD0" w:rsidRDefault="00B25CAA" w:rsidP="00DE0431">
      <w:pPr>
        <w:pStyle w:val="Caption"/>
      </w:pPr>
      <w:bookmarkStart w:id="140" w:name="_Ref304882281"/>
      <w:bookmarkStart w:id="141" w:name="_Toc228588305"/>
      <w:bookmarkStart w:id="142" w:name="_Toc399265010"/>
      <w:r w:rsidRPr="00A40CD0">
        <w:t xml:space="preserve">Figure </w:t>
      </w:r>
      <w:r w:rsidR="00EA2F38">
        <w:fldChar w:fldCharType="begin"/>
      </w:r>
      <w:r w:rsidR="00933C8B">
        <w:instrText xml:space="preserve"> SEQ Figure \* ARABIC </w:instrText>
      </w:r>
      <w:r w:rsidR="00EA2F38">
        <w:fldChar w:fldCharType="separate"/>
      </w:r>
      <w:r w:rsidR="00B11F3B">
        <w:rPr>
          <w:noProof/>
        </w:rPr>
        <w:t>24</w:t>
      </w:r>
      <w:r w:rsidR="00EA2F38">
        <w:fldChar w:fldCharType="end"/>
      </w:r>
      <w:bookmarkEnd w:id="140"/>
      <w:r w:rsidRPr="00A40CD0">
        <w:t>. Collation of the exceedance maps of mean annual Total Suspended Solids for the 2010/2011 reporting period (May 2010 – April 2011) for the whole of the Great Barrier Reef World Heritage Area. Pixels are mapped in dark red when mean values for the year exceed the thresholds. Detailed maps are reported in the regional reporting sections (</w:t>
      </w:r>
      <w:r w:rsidR="008A285B">
        <w:fldChar w:fldCharType="begin"/>
      </w:r>
      <w:r w:rsidR="008A285B">
        <w:instrText xml:space="preserve"> REF _Ref274065412 \h  \* MERGEFORMAT </w:instrText>
      </w:r>
      <w:r w:rsidR="008A285B">
        <w:fldChar w:fldCharType="separate"/>
      </w:r>
      <w:r w:rsidR="00B11F3B" w:rsidRPr="00A40CD0">
        <w:t xml:space="preserve">Figure </w:t>
      </w:r>
      <w:r w:rsidR="00B11F3B">
        <w:t>33</w:t>
      </w:r>
      <w:r w:rsidR="008A285B">
        <w:fldChar w:fldCharType="end"/>
      </w:r>
      <w:r w:rsidRPr="00A40CD0">
        <w:t xml:space="preserve">, </w:t>
      </w:r>
      <w:r w:rsidR="00EA2F38" w:rsidRPr="00A40CD0">
        <w:fldChar w:fldCharType="begin"/>
      </w:r>
      <w:r w:rsidRPr="00A40CD0">
        <w:instrText xml:space="preserve"> REF _Ref263850323 \h </w:instrText>
      </w:r>
      <w:r w:rsidR="00EA2F38" w:rsidRPr="00A40CD0">
        <w:fldChar w:fldCharType="separate"/>
      </w:r>
      <w:r w:rsidR="00B11F3B" w:rsidRPr="00A40CD0">
        <w:t xml:space="preserve">Figure </w:t>
      </w:r>
      <w:r w:rsidR="00B11F3B">
        <w:rPr>
          <w:noProof/>
        </w:rPr>
        <w:t>44</w:t>
      </w:r>
      <w:r w:rsidR="00EA2F38" w:rsidRPr="00A40CD0">
        <w:fldChar w:fldCharType="end"/>
      </w:r>
      <w:r w:rsidRPr="00A40CD0">
        <w:t xml:space="preserve">, </w:t>
      </w:r>
      <w:r w:rsidR="00EA2F38" w:rsidRPr="00A40CD0">
        <w:fldChar w:fldCharType="begin"/>
      </w:r>
      <w:r w:rsidRPr="00A40CD0">
        <w:instrText xml:space="preserve"> REF _Ref263850004 \h </w:instrText>
      </w:r>
      <w:r w:rsidR="00EA2F38" w:rsidRPr="00A40CD0">
        <w:fldChar w:fldCharType="separate"/>
      </w:r>
      <w:r w:rsidR="00B11F3B" w:rsidRPr="00A40CD0">
        <w:t xml:space="preserve">Figure </w:t>
      </w:r>
      <w:r w:rsidR="00B11F3B">
        <w:rPr>
          <w:noProof/>
        </w:rPr>
        <w:t>55</w:t>
      </w:r>
      <w:r w:rsidR="00EA2F38" w:rsidRPr="00A40CD0">
        <w:fldChar w:fldCharType="end"/>
      </w:r>
      <w:r w:rsidRPr="00A40CD0">
        <w:t xml:space="preserve">, </w:t>
      </w:r>
      <w:r w:rsidR="00EA2F38" w:rsidRPr="00A40CD0">
        <w:fldChar w:fldCharType="begin"/>
      </w:r>
      <w:r w:rsidRPr="00A40CD0">
        <w:instrText xml:space="preserve"> REF _Ref263849521 \h </w:instrText>
      </w:r>
      <w:r w:rsidR="00EA2F38" w:rsidRPr="00A40CD0">
        <w:fldChar w:fldCharType="separate"/>
      </w:r>
      <w:r w:rsidR="00B11F3B" w:rsidRPr="00A40CD0">
        <w:t xml:space="preserve">Figure </w:t>
      </w:r>
      <w:r w:rsidR="00B11F3B">
        <w:rPr>
          <w:noProof/>
        </w:rPr>
        <w:t>66</w:t>
      </w:r>
      <w:r w:rsidR="00EA2F38" w:rsidRPr="00A40CD0">
        <w:fldChar w:fldCharType="end"/>
      </w:r>
      <w:r w:rsidRPr="00A40CD0">
        <w:t xml:space="preserve">, </w:t>
      </w:r>
      <w:r w:rsidR="00EA2F38" w:rsidRPr="00A40CD0">
        <w:fldChar w:fldCharType="begin"/>
      </w:r>
      <w:r w:rsidRPr="00A40CD0">
        <w:instrText xml:space="preserve"> REF _Ref263848588 \h </w:instrText>
      </w:r>
      <w:r w:rsidR="00EA2F38" w:rsidRPr="00A40CD0">
        <w:fldChar w:fldCharType="separate"/>
      </w:r>
      <w:r w:rsidR="00B11F3B" w:rsidRPr="00A40CD0">
        <w:t xml:space="preserve">Figure </w:t>
      </w:r>
      <w:r w:rsidR="00B11F3B">
        <w:rPr>
          <w:noProof/>
        </w:rPr>
        <w:t>77</w:t>
      </w:r>
      <w:r w:rsidR="00EA2F38" w:rsidRPr="00A40CD0">
        <w:fldChar w:fldCharType="end"/>
      </w:r>
      <w:r w:rsidRPr="00A40CD0">
        <w:t xml:space="preserve"> and </w:t>
      </w:r>
      <w:r w:rsidR="00EA2F38" w:rsidRPr="00A40CD0">
        <w:fldChar w:fldCharType="begin"/>
      </w:r>
      <w:r w:rsidR="00DE0431" w:rsidRPr="00A40CD0">
        <w:instrText xml:space="preserve"> REF _Ref321226735 \h </w:instrText>
      </w:r>
      <w:r w:rsidR="00EA2F38" w:rsidRPr="00A40CD0">
        <w:fldChar w:fldCharType="separate"/>
      </w:r>
      <w:r w:rsidR="00B11F3B" w:rsidRPr="00A40CD0">
        <w:t xml:space="preserve">Figure </w:t>
      </w:r>
      <w:r w:rsidR="00B11F3B">
        <w:rPr>
          <w:noProof/>
        </w:rPr>
        <w:t>88</w:t>
      </w:r>
      <w:r w:rsidR="00EA2F38" w:rsidRPr="00A40CD0">
        <w:fldChar w:fldCharType="end"/>
      </w:r>
      <w:r w:rsidR="00DE0431" w:rsidRPr="00A40CD0">
        <w:t>).</w:t>
      </w:r>
      <w:bookmarkEnd w:id="141"/>
      <w:bookmarkEnd w:id="142"/>
    </w:p>
    <w:p w:rsidR="00B25CAA" w:rsidRPr="00A40CD0" w:rsidRDefault="00B25CAA" w:rsidP="002E0BD6">
      <w:pPr>
        <w:pStyle w:val="BodyText"/>
      </w:pPr>
    </w:p>
    <w:p w:rsidR="00937D0C" w:rsidRDefault="00B25CAA" w:rsidP="00A642B6">
      <w:pPr>
        <w:pStyle w:val="Caption"/>
      </w:pPr>
      <w:bookmarkStart w:id="143" w:name="_Ref271816584"/>
      <w:bookmarkStart w:id="144" w:name="_Ref271816558"/>
      <w:bookmarkStart w:id="145" w:name="_Toc228588234"/>
      <w:bookmarkStart w:id="146" w:name="_Toc399264938"/>
      <w:r w:rsidRPr="00A40CD0">
        <w:lastRenderedPageBreak/>
        <w:t xml:space="preserve">Table </w:t>
      </w:r>
      <w:r w:rsidR="00EA2F38">
        <w:fldChar w:fldCharType="begin"/>
      </w:r>
      <w:r w:rsidR="00933C8B">
        <w:instrText xml:space="preserve"> SEQ Table \* ARABIC </w:instrText>
      </w:r>
      <w:r w:rsidR="00EA2F38">
        <w:fldChar w:fldCharType="separate"/>
      </w:r>
      <w:r w:rsidR="00B11F3B">
        <w:rPr>
          <w:noProof/>
        </w:rPr>
        <w:t>9</w:t>
      </w:r>
      <w:r w:rsidR="00EA2F38">
        <w:fldChar w:fldCharType="end"/>
      </w:r>
      <w:bookmarkEnd w:id="143"/>
      <w:r w:rsidRPr="00A40CD0">
        <w:t>. Summary of the exceedance of annual mean values of Chlorophyll-a and non-algal particulate matter (as a measure of Total Suspended Solids) for t</w:t>
      </w:r>
      <w:r w:rsidR="00F347A9">
        <w:t>his reporting period (1 May 2011 – 30 April 2012</w:t>
      </w:r>
      <w:r w:rsidRPr="00A40CD0">
        <w:t xml:space="preserve">) for the </w:t>
      </w:r>
      <w:r w:rsidR="006D660F">
        <w:t xml:space="preserve">Enclosed Coastal, </w:t>
      </w:r>
      <w:r w:rsidR="005B16B1">
        <w:t>Open Coastal,</w:t>
      </w:r>
      <w:r w:rsidR="007A6DE9">
        <w:t xml:space="preserve"> </w:t>
      </w:r>
      <w:r w:rsidR="005B16B1">
        <w:t>Inshore,</w:t>
      </w:r>
      <w:r w:rsidR="006D660F">
        <w:t xml:space="preserve"> </w:t>
      </w:r>
      <w:r w:rsidRPr="00A40CD0">
        <w:t>Mid-shelf and Offshore water bodies</w:t>
      </w:r>
      <w:r w:rsidR="006D660F">
        <w:t xml:space="preserve"> (EC, OC, </w:t>
      </w:r>
      <w:r w:rsidR="00193A93" w:rsidRPr="001F085A">
        <w:t>IS</w:t>
      </w:r>
      <w:r w:rsidR="006D660F" w:rsidRPr="002D7D0B">
        <w:t>, MS, OS)</w:t>
      </w:r>
      <w:r w:rsidRPr="002D7D0B">
        <w:t>. Cells are shaded in gray when more than 50% of the area of the water body exceeds the</w:t>
      </w:r>
      <w:r w:rsidRPr="00A40CD0">
        <w:t xml:space="preserve"> Guideline value * Caution should be used when interpreting the results for the Cape York and Burnett Mary regions as limited field information was used for the parameterization and validation on the remote sensing retrievals.</w:t>
      </w:r>
      <w:bookmarkStart w:id="147" w:name="_Ref271816744"/>
      <w:bookmarkStart w:id="148" w:name="_Ref274064504"/>
      <w:bookmarkEnd w:id="144"/>
      <w:bookmarkEnd w:id="145"/>
      <w:bookmarkEnd w:id="146"/>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70667E" w:rsidRPr="00C8171E" w:rsidTr="00B87D9A">
        <w:trPr>
          <w:trHeight w:val="280"/>
        </w:trPr>
        <w:tc>
          <w:tcPr>
            <w:tcW w:w="502" w:type="pct"/>
            <w:shd w:val="clear" w:color="000000" w:fill="FFFFFF"/>
            <w:noWrap/>
            <w:vAlign w:val="bottom"/>
            <w:hideMark/>
          </w:tcPr>
          <w:p w:rsidR="0070667E" w:rsidRPr="00C8171E" w:rsidRDefault="0070667E" w:rsidP="00B87D9A">
            <w:pPr>
              <w:rPr>
                <w:rFonts w:ascii="Times New Roman" w:hAnsi="Times New Roman"/>
              </w:rPr>
            </w:pPr>
          </w:p>
        </w:tc>
        <w:tc>
          <w:tcPr>
            <w:tcW w:w="2243" w:type="pct"/>
            <w:gridSpan w:val="5"/>
            <w:shd w:val="clear" w:color="000000" w:fill="FFFFFF"/>
            <w:noWrap/>
            <w:vAlign w:val="center"/>
            <w:hideMark/>
          </w:tcPr>
          <w:p w:rsidR="0070667E" w:rsidRPr="00C8171E" w:rsidRDefault="0070667E" w:rsidP="00B87D9A">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70667E" w:rsidRPr="00C8171E" w:rsidRDefault="0070667E" w:rsidP="00B87D9A">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1F085A" w:rsidRPr="00C8171E" w:rsidTr="00DD4E4D">
        <w:trPr>
          <w:trHeight w:val="280"/>
        </w:trPr>
        <w:tc>
          <w:tcPr>
            <w:tcW w:w="502" w:type="pct"/>
            <w:shd w:val="clear" w:color="000000" w:fill="FFFFFF"/>
            <w:noWrap/>
            <w:vAlign w:val="bottom"/>
            <w:hideMark/>
          </w:tcPr>
          <w:p w:rsidR="001F085A" w:rsidRPr="00C8171E" w:rsidRDefault="001F085A" w:rsidP="00DD4E4D">
            <w:pPr>
              <w:rPr>
                <w:rFonts w:ascii="Times New Roman" w:hAnsi="Times New Roman"/>
              </w:rPr>
            </w:pPr>
            <w:r>
              <w:rPr>
                <w:rFonts w:ascii="Times New Roman" w:hAnsi="Times New Roman"/>
                <w:szCs w:val="22"/>
              </w:rPr>
              <w:t>1112</w:t>
            </w:r>
          </w:p>
        </w:tc>
        <w:tc>
          <w:tcPr>
            <w:tcW w:w="449"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EC</w:t>
            </w:r>
          </w:p>
        </w:tc>
        <w:tc>
          <w:tcPr>
            <w:tcW w:w="449"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OC</w:t>
            </w:r>
          </w:p>
        </w:tc>
        <w:tc>
          <w:tcPr>
            <w:tcW w:w="449" w:type="pct"/>
            <w:shd w:val="clear" w:color="000000" w:fill="FFFFFF"/>
            <w:noWrap/>
            <w:vAlign w:val="bottom"/>
            <w:hideMark/>
          </w:tcPr>
          <w:p w:rsidR="001F085A" w:rsidRPr="00C8171E" w:rsidRDefault="001F085A" w:rsidP="00DD4E4D">
            <w:pPr>
              <w:rPr>
                <w:rFonts w:ascii="Times New Roman" w:hAnsi="Times New Roman"/>
              </w:rPr>
            </w:pPr>
            <w:r>
              <w:rPr>
                <w:rFonts w:ascii="Times New Roman" w:hAnsi="Times New Roman"/>
                <w:szCs w:val="22"/>
              </w:rPr>
              <w:t>IS</w:t>
            </w:r>
          </w:p>
        </w:tc>
        <w:tc>
          <w:tcPr>
            <w:tcW w:w="449"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MS</w:t>
            </w:r>
          </w:p>
        </w:tc>
        <w:tc>
          <w:tcPr>
            <w:tcW w:w="449"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OS</w:t>
            </w:r>
          </w:p>
        </w:tc>
        <w:tc>
          <w:tcPr>
            <w:tcW w:w="452"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EC</w:t>
            </w:r>
          </w:p>
        </w:tc>
        <w:tc>
          <w:tcPr>
            <w:tcW w:w="452"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OC</w:t>
            </w:r>
          </w:p>
        </w:tc>
        <w:tc>
          <w:tcPr>
            <w:tcW w:w="452" w:type="pct"/>
            <w:shd w:val="clear" w:color="000000" w:fill="FFFFFF"/>
            <w:noWrap/>
            <w:vAlign w:val="bottom"/>
            <w:hideMark/>
          </w:tcPr>
          <w:p w:rsidR="001F085A" w:rsidRPr="00C8171E" w:rsidRDefault="001F085A" w:rsidP="00DD4E4D">
            <w:pPr>
              <w:rPr>
                <w:rFonts w:ascii="Times New Roman" w:hAnsi="Times New Roman"/>
              </w:rPr>
            </w:pPr>
            <w:r>
              <w:rPr>
                <w:rFonts w:ascii="Times New Roman" w:hAnsi="Times New Roman"/>
                <w:szCs w:val="22"/>
              </w:rPr>
              <w:t>IS</w:t>
            </w:r>
          </w:p>
        </w:tc>
        <w:tc>
          <w:tcPr>
            <w:tcW w:w="451"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MS</w:t>
            </w:r>
          </w:p>
        </w:tc>
        <w:tc>
          <w:tcPr>
            <w:tcW w:w="449" w:type="pct"/>
            <w:shd w:val="clear" w:color="000000" w:fill="FFFFFF"/>
            <w:noWrap/>
            <w:vAlign w:val="bottom"/>
            <w:hideMark/>
          </w:tcPr>
          <w:p w:rsidR="001F085A" w:rsidRPr="00C8171E" w:rsidRDefault="001F085A" w:rsidP="00DD4E4D">
            <w:pPr>
              <w:rPr>
                <w:rFonts w:ascii="Times New Roman" w:hAnsi="Times New Roman"/>
              </w:rPr>
            </w:pPr>
            <w:r w:rsidRPr="00C8171E">
              <w:rPr>
                <w:rFonts w:ascii="Times New Roman" w:hAnsi="Times New Roman"/>
                <w:szCs w:val="22"/>
              </w:rPr>
              <w:t>OS</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17</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68</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52</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14</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34</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18</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23</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78</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93</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91</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30</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69</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38</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43</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68</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65</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66</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12</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16</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38</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34</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25</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45</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41</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w:t>
            </w:r>
          </w:p>
        </w:tc>
        <w:tc>
          <w:tcPr>
            <w:tcW w:w="452"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56</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35</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39</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89</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79</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81</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66</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35</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42</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Burnett Mary *</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29</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99</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84</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20</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bl>
    <w:p w:rsidR="0070667E" w:rsidRPr="0070667E" w:rsidRDefault="0070667E" w:rsidP="0070667E"/>
    <w:p w:rsidR="00B25CAA" w:rsidRPr="00A40CD0" w:rsidRDefault="00B25CAA" w:rsidP="004F4DDE">
      <w:pPr>
        <w:pStyle w:val="Caption"/>
      </w:pPr>
      <w:bookmarkStart w:id="149" w:name="_Ref353448575"/>
      <w:bookmarkStart w:id="150" w:name="_Ref353448574"/>
      <w:bookmarkStart w:id="151" w:name="_Toc228588235"/>
      <w:bookmarkStart w:id="152" w:name="_Toc399264939"/>
      <w:r w:rsidRPr="00A40CD0">
        <w:t xml:space="preserve">Table </w:t>
      </w:r>
      <w:r w:rsidR="00EA2F38">
        <w:fldChar w:fldCharType="begin"/>
      </w:r>
      <w:r w:rsidR="00933C8B">
        <w:instrText xml:space="preserve"> SEQ Table \* ARABIC </w:instrText>
      </w:r>
      <w:r w:rsidR="00EA2F38">
        <w:fldChar w:fldCharType="separate"/>
      </w:r>
      <w:r w:rsidR="00B11F3B">
        <w:rPr>
          <w:noProof/>
        </w:rPr>
        <w:t>10</w:t>
      </w:r>
      <w:r w:rsidR="00EA2F38">
        <w:fldChar w:fldCharType="end"/>
      </w:r>
      <w:bookmarkEnd w:id="147"/>
      <w:bookmarkEnd w:id="148"/>
      <w:bookmarkEnd w:id="149"/>
      <w:r w:rsidRPr="00A40CD0">
        <w:t>. Summary of the exceedance of mean annual Chlorophyll-a and non-algal particulate matter (as a measure of Total Suspended Solids) for the previou</w:t>
      </w:r>
      <w:r w:rsidR="00F347A9">
        <w:t>s reporting period (1 May 2010 – 30 April 2011</w:t>
      </w:r>
      <w:r w:rsidRPr="00A40CD0">
        <w:t>) for the Open Coastal, Mid-shelf and Offshore water bodies.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150"/>
      <w:bookmarkEnd w:id="151"/>
      <w:bookmarkEnd w:id="152"/>
    </w:p>
    <w:p w:rsidR="005852B4" w:rsidRDefault="005852B4" w:rsidP="002E0BD6">
      <w:pPr>
        <w:pStyle w:val="BodyText"/>
      </w:pPr>
      <w:bookmarkStart w:id="153" w:name="_Ref321304119"/>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70667E" w:rsidRPr="00C8171E" w:rsidTr="00B87D9A">
        <w:trPr>
          <w:trHeight w:val="280"/>
        </w:trPr>
        <w:tc>
          <w:tcPr>
            <w:tcW w:w="502" w:type="pct"/>
            <w:shd w:val="clear" w:color="000000" w:fill="FFFFFF"/>
            <w:noWrap/>
            <w:vAlign w:val="bottom"/>
            <w:hideMark/>
          </w:tcPr>
          <w:p w:rsidR="0070667E" w:rsidRPr="00C8171E" w:rsidRDefault="0070667E" w:rsidP="00B87D9A">
            <w:pPr>
              <w:rPr>
                <w:rFonts w:ascii="Times New Roman" w:hAnsi="Times New Roman"/>
              </w:rPr>
            </w:pPr>
          </w:p>
        </w:tc>
        <w:tc>
          <w:tcPr>
            <w:tcW w:w="2243" w:type="pct"/>
            <w:gridSpan w:val="5"/>
            <w:shd w:val="clear" w:color="000000" w:fill="FFFFFF"/>
            <w:noWrap/>
            <w:vAlign w:val="center"/>
            <w:hideMark/>
          </w:tcPr>
          <w:p w:rsidR="0070667E" w:rsidRPr="00C8171E" w:rsidRDefault="0070667E" w:rsidP="00B87D9A">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70667E" w:rsidRPr="00C8171E" w:rsidRDefault="0070667E" w:rsidP="00B87D9A">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B87D9A">
        <w:trPr>
          <w:trHeight w:val="280"/>
        </w:trPr>
        <w:tc>
          <w:tcPr>
            <w:tcW w:w="502"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1011</w:t>
            </w:r>
          </w:p>
        </w:tc>
        <w:tc>
          <w:tcPr>
            <w:tcW w:w="449"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EC</w:t>
            </w:r>
          </w:p>
        </w:tc>
        <w:tc>
          <w:tcPr>
            <w:tcW w:w="449"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OC</w:t>
            </w:r>
          </w:p>
        </w:tc>
        <w:tc>
          <w:tcPr>
            <w:tcW w:w="449" w:type="pct"/>
            <w:shd w:val="clear" w:color="000000" w:fill="FFFFFF"/>
            <w:noWrap/>
            <w:vAlign w:val="bottom"/>
            <w:hideMark/>
          </w:tcPr>
          <w:p w:rsidR="00493C95" w:rsidRPr="00C8171E" w:rsidRDefault="00493C95" w:rsidP="00B87D9A">
            <w:pPr>
              <w:rPr>
                <w:rFonts w:ascii="Times New Roman" w:hAnsi="Times New Roman"/>
              </w:rPr>
            </w:pPr>
            <w:r>
              <w:rPr>
                <w:rFonts w:ascii="Times New Roman" w:hAnsi="Times New Roman"/>
                <w:szCs w:val="22"/>
              </w:rPr>
              <w:t>IS</w:t>
            </w:r>
          </w:p>
        </w:tc>
        <w:tc>
          <w:tcPr>
            <w:tcW w:w="449"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MS</w:t>
            </w:r>
          </w:p>
        </w:tc>
        <w:tc>
          <w:tcPr>
            <w:tcW w:w="449"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OS</w:t>
            </w:r>
          </w:p>
        </w:tc>
        <w:tc>
          <w:tcPr>
            <w:tcW w:w="452"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EC</w:t>
            </w:r>
          </w:p>
        </w:tc>
        <w:tc>
          <w:tcPr>
            <w:tcW w:w="452"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OC</w:t>
            </w:r>
          </w:p>
        </w:tc>
        <w:tc>
          <w:tcPr>
            <w:tcW w:w="452" w:type="pct"/>
            <w:shd w:val="clear" w:color="000000" w:fill="FFFFFF"/>
            <w:noWrap/>
            <w:vAlign w:val="bottom"/>
            <w:hideMark/>
          </w:tcPr>
          <w:p w:rsidR="00493C95" w:rsidRPr="00C8171E" w:rsidRDefault="00493C95" w:rsidP="00B87D9A">
            <w:pPr>
              <w:rPr>
                <w:rFonts w:ascii="Times New Roman" w:hAnsi="Times New Roman"/>
              </w:rPr>
            </w:pPr>
            <w:r>
              <w:rPr>
                <w:rFonts w:ascii="Times New Roman" w:hAnsi="Times New Roman"/>
                <w:szCs w:val="22"/>
              </w:rPr>
              <w:t>IS</w:t>
            </w:r>
          </w:p>
        </w:tc>
        <w:tc>
          <w:tcPr>
            <w:tcW w:w="451"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MS</w:t>
            </w:r>
          </w:p>
        </w:tc>
        <w:tc>
          <w:tcPr>
            <w:tcW w:w="449" w:type="pct"/>
            <w:shd w:val="clear" w:color="000000" w:fill="FFFFFF"/>
            <w:noWrap/>
            <w:vAlign w:val="bottom"/>
            <w:hideMark/>
          </w:tcPr>
          <w:p w:rsidR="00493C95" w:rsidRPr="00C8171E" w:rsidRDefault="00493C95" w:rsidP="00B87D9A">
            <w:pPr>
              <w:rPr>
                <w:rFonts w:ascii="Times New Roman" w:hAnsi="Times New Roman"/>
              </w:rPr>
            </w:pPr>
            <w:r w:rsidRPr="00C8171E">
              <w:rPr>
                <w:rFonts w:ascii="Times New Roman" w:hAnsi="Times New Roman"/>
                <w:szCs w:val="22"/>
              </w:rPr>
              <w:t>OS</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78</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61</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25</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45</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26</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32</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76</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94</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92</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32</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w:t>
            </w:r>
          </w:p>
        </w:tc>
        <w:tc>
          <w:tcPr>
            <w:tcW w:w="452"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72</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34</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39</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63</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69</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68</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12</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11</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30</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27</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27</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63</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56</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10</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56</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37</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40</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w:t>
            </w:r>
          </w:p>
        </w:tc>
      </w:tr>
      <w:tr w:rsidR="0070667E" w:rsidRPr="00C8171E" w:rsidTr="00B87D9A">
        <w:trPr>
          <w:trHeight w:val="280"/>
        </w:trPr>
        <w:tc>
          <w:tcPr>
            <w:tcW w:w="502" w:type="pct"/>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86</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76</w:t>
            </w:r>
          </w:p>
        </w:tc>
        <w:tc>
          <w:tcPr>
            <w:tcW w:w="449"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78</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65</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40</w:t>
            </w:r>
          </w:p>
        </w:tc>
        <w:tc>
          <w:tcPr>
            <w:tcW w:w="451"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w:t>
            </w:r>
          </w:p>
        </w:tc>
      </w:tr>
      <w:tr w:rsidR="0070667E" w:rsidRPr="00C8171E" w:rsidTr="00B87D9A">
        <w:trPr>
          <w:trHeight w:val="280"/>
        </w:trPr>
        <w:tc>
          <w:tcPr>
            <w:tcW w:w="502" w:type="pct"/>
            <w:tcBorders>
              <w:bottom w:val="single" w:sz="2" w:space="0" w:color="000000"/>
            </w:tcBorders>
            <w:shd w:val="clear" w:color="auto" w:fill="auto"/>
            <w:noWrap/>
            <w:hideMark/>
          </w:tcPr>
          <w:p w:rsidR="0070667E" w:rsidRPr="00C8171E" w:rsidRDefault="0070667E" w:rsidP="00B87D9A">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24</w:t>
            </w:r>
          </w:p>
        </w:tc>
        <w:tc>
          <w:tcPr>
            <w:tcW w:w="449" w:type="pct"/>
            <w:tcBorders>
              <w:bottom w:val="single" w:sz="2" w:space="0" w:color="000000"/>
            </w:tcBorders>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92</w:t>
            </w:r>
          </w:p>
        </w:tc>
        <w:tc>
          <w:tcPr>
            <w:tcW w:w="449" w:type="pct"/>
            <w:tcBorders>
              <w:bottom w:val="single" w:sz="2" w:space="0" w:color="000000"/>
            </w:tcBorders>
            <w:shd w:val="clear" w:color="000000" w:fill="D9D9D9"/>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78</w:t>
            </w:r>
          </w:p>
        </w:tc>
        <w:tc>
          <w:tcPr>
            <w:tcW w:w="449"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8</w:t>
            </w:r>
          </w:p>
        </w:tc>
        <w:tc>
          <w:tcPr>
            <w:tcW w:w="449"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9</w:t>
            </w:r>
          </w:p>
        </w:tc>
        <w:tc>
          <w:tcPr>
            <w:tcW w:w="452"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7</w:t>
            </w:r>
          </w:p>
        </w:tc>
        <w:tc>
          <w:tcPr>
            <w:tcW w:w="451"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1</w:t>
            </w:r>
          </w:p>
        </w:tc>
        <w:tc>
          <w:tcPr>
            <w:tcW w:w="449" w:type="pct"/>
            <w:tcBorders>
              <w:bottom w:val="single" w:sz="2" w:space="0" w:color="000000"/>
            </w:tcBorders>
            <w:shd w:val="clear" w:color="auto" w:fill="auto"/>
            <w:noWrap/>
            <w:vAlign w:val="bottom"/>
            <w:hideMark/>
          </w:tcPr>
          <w:p w:rsidR="0070667E" w:rsidRPr="00C8171E" w:rsidRDefault="0070667E" w:rsidP="00B87D9A">
            <w:pPr>
              <w:jc w:val="right"/>
              <w:rPr>
                <w:rFonts w:ascii="Times New Roman" w:hAnsi="Times New Roman"/>
              </w:rPr>
            </w:pPr>
            <w:r w:rsidRPr="00C8171E">
              <w:rPr>
                <w:rFonts w:ascii="Times New Roman" w:hAnsi="Times New Roman"/>
                <w:szCs w:val="22"/>
              </w:rPr>
              <w:t>0</w:t>
            </w:r>
          </w:p>
        </w:tc>
      </w:tr>
    </w:tbl>
    <w:p w:rsidR="0070667E" w:rsidRDefault="0070667E" w:rsidP="0070667E">
      <w:pPr>
        <w:pStyle w:val="BodyText1"/>
      </w:pPr>
    </w:p>
    <w:p w:rsidR="0070667E" w:rsidRDefault="0070667E" w:rsidP="0070667E">
      <w:pPr>
        <w:pStyle w:val="BodyText1"/>
      </w:pPr>
    </w:p>
    <w:p w:rsidR="007F28AE" w:rsidRDefault="007F28AE" w:rsidP="002E0BD6">
      <w:pPr>
        <w:pStyle w:val="BodyText"/>
      </w:pPr>
    </w:p>
    <w:p w:rsidR="003554B8" w:rsidRPr="00A40CD0" w:rsidRDefault="003554B8" w:rsidP="003554B8">
      <w:pPr>
        <w:pStyle w:val="Caption"/>
      </w:pPr>
      <w:bookmarkStart w:id="154" w:name="_Ref228585520"/>
      <w:bookmarkStart w:id="155" w:name="_Toc228588236"/>
      <w:bookmarkStart w:id="156" w:name="_Toc399264940"/>
      <w:r w:rsidRPr="00A40CD0">
        <w:t xml:space="preserve">Table </w:t>
      </w:r>
      <w:r w:rsidR="00EA2F38">
        <w:fldChar w:fldCharType="begin"/>
      </w:r>
      <w:r w:rsidR="00933C8B">
        <w:instrText xml:space="preserve"> SEQ Table \* ARABIC </w:instrText>
      </w:r>
      <w:r w:rsidR="00EA2F38">
        <w:fldChar w:fldCharType="separate"/>
      </w:r>
      <w:r w:rsidR="00B11F3B">
        <w:rPr>
          <w:noProof/>
        </w:rPr>
        <w:t>11</w:t>
      </w:r>
      <w:r w:rsidR="00EA2F38">
        <w:fldChar w:fldCharType="end"/>
      </w:r>
      <w:bookmarkEnd w:id="153"/>
      <w:bookmarkEnd w:id="154"/>
      <w:r w:rsidRPr="00A40CD0">
        <w:t xml:space="preserve">. Paddock to Reef marine water quality index </w:t>
      </w:r>
      <w:r w:rsidR="0007494F" w:rsidRPr="00A40CD0">
        <w:t xml:space="preserve">(P2R_WQI) </w:t>
      </w:r>
      <w:r w:rsidRPr="00A40CD0">
        <w:t xml:space="preserve">and component scores </w:t>
      </w:r>
      <w:r w:rsidR="0007494F" w:rsidRPr="00A40CD0">
        <w:t xml:space="preserve">(P2R_CHL and P2R_TSS) </w:t>
      </w:r>
      <w:r w:rsidRPr="00A40CD0">
        <w:t>for t</w:t>
      </w:r>
      <w:r w:rsidR="00F86987">
        <w:t>his reporting period (1 May 2011 – 30 April 2012</w:t>
      </w:r>
      <w:r w:rsidRPr="00A40CD0">
        <w:t>). Cells are shaded to reflect the colour coding of the P2R reporting sch</w:t>
      </w:r>
      <w:r w:rsidR="005D7849">
        <w:t>eme f</w:t>
      </w:r>
      <w:r w:rsidRPr="00A40CD0">
        <w:t>r</w:t>
      </w:r>
      <w:r w:rsidR="005D7849">
        <w:t>o</w:t>
      </w:r>
      <w:r w:rsidRPr="00A40CD0">
        <w:t>m red to green in steps of 20%.* Caution should be used when interpreting the results for the Cape York and Burnett Mary regions as limited field information was used for the parameterization and validation on the remote sensing retrievals.</w:t>
      </w:r>
      <w:r w:rsidR="00715EE6" w:rsidRPr="00715EE6">
        <w:t xml:space="preserve"> </w:t>
      </w:r>
      <w:r w:rsidR="00715EE6">
        <w:t>T</w:t>
      </w:r>
      <w:r w:rsidR="00715EE6" w:rsidRPr="00A40CD0">
        <w:t xml:space="preserve">he regional scores for Cape York and Burnett Mary are excluded from calculations </w:t>
      </w:r>
      <w:r w:rsidR="00715EE6">
        <w:t xml:space="preserve">of the </w:t>
      </w:r>
      <w:r w:rsidR="00715EE6" w:rsidRPr="00A40CD0">
        <w:t>overall GBR score for each metric.</w:t>
      </w:r>
      <w:bookmarkEnd w:id="155"/>
      <w:bookmarkEnd w:id="156"/>
    </w:p>
    <w:tbl>
      <w:tblPr>
        <w:tblW w:w="0" w:type="auto"/>
        <w:tblInd w:w="9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043"/>
        <w:gridCol w:w="1536"/>
        <w:gridCol w:w="1622"/>
        <w:gridCol w:w="1554"/>
      </w:tblGrid>
      <w:tr w:rsidR="00F347A9" w:rsidRPr="00F347A9" w:rsidTr="00F347A9">
        <w:trPr>
          <w:trHeight w:val="300"/>
        </w:trPr>
        <w:tc>
          <w:tcPr>
            <w:tcW w:w="0" w:type="auto"/>
          </w:tcPr>
          <w:p w:rsidR="00F347A9" w:rsidRPr="00F347A9" w:rsidRDefault="00F347A9" w:rsidP="00F347A9">
            <w:pPr>
              <w:rPr>
                <w:rFonts w:ascii="Times New Roman" w:hAnsi="Times New Roman"/>
                <w:color w:val="000000"/>
                <w:lang w:val="en-US" w:eastAsia="en-US"/>
              </w:rPr>
            </w:pPr>
          </w:p>
        </w:tc>
        <w:tc>
          <w:tcPr>
            <w:tcW w:w="0" w:type="auto"/>
            <w:shd w:val="clear" w:color="auto" w:fill="auto"/>
            <w:noWrap/>
            <w:vAlign w:val="bottom"/>
            <w:hideMark/>
          </w:tcPr>
          <w:p w:rsidR="00F347A9" w:rsidRPr="00F347A9" w:rsidRDefault="00F347A9" w:rsidP="00F347A9">
            <w:pPr>
              <w:rPr>
                <w:rFonts w:ascii="Times New Roman" w:hAnsi="Times New Roman"/>
                <w:color w:val="000000"/>
                <w:lang w:val="en-US" w:eastAsia="en-US"/>
              </w:rPr>
            </w:pPr>
            <w:r w:rsidRPr="00F347A9">
              <w:rPr>
                <w:rFonts w:ascii="Times New Roman" w:hAnsi="Times New Roman"/>
                <w:color w:val="000000"/>
                <w:szCs w:val="22"/>
                <w:lang w:val="en-US" w:eastAsia="en-US"/>
              </w:rPr>
              <w:t>P2R_CHL</w:t>
            </w:r>
          </w:p>
        </w:tc>
        <w:tc>
          <w:tcPr>
            <w:tcW w:w="0" w:type="auto"/>
            <w:shd w:val="clear" w:color="auto" w:fill="auto"/>
            <w:noWrap/>
            <w:vAlign w:val="bottom"/>
            <w:hideMark/>
          </w:tcPr>
          <w:p w:rsidR="00F347A9" w:rsidRPr="00F347A9" w:rsidRDefault="00F347A9" w:rsidP="00F347A9">
            <w:pPr>
              <w:rPr>
                <w:rFonts w:ascii="Times New Roman" w:hAnsi="Times New Roman"/>
                <w:color w:val="000000"/>
                <w:lang w:val="en-US" w:eastAsia="en-US"/>
              </w:rPr>
            </w:pPr>
            <w:r w:rsidRPr="00F347A9">
              <w:rPr>
                <w:rFonts w:ascii="Times New Roman" w:hAnsi="Times New Roman"/>
                <w:color w:val="000000"/>
                <w:szCs w:val="22"/>
                <w:lang w:val="en-US" w:eastAsia="en-US"/>
              </w:rPr>
              <w:t>P2R_TSS</w:t>
            </w:r>
          </w:p>
        </w:tc>
        <w:tc>
          <w:tcPr>
            <w:tcW w:w="0" w:type="auto"/>
            <w:shd w:val="clear" w:color="auto" w:fill="auto"/>
            <w:noWrap/>
            <w:vAlign w:val="bottom"/>
            <w:hideMark/>
          </w:tcPr>
          <w:p w:rsidR="00F347A9" w:rsidRPr="00F347A9" w:rsidRDefault="00F347A9" w:rsidP="00F347A9">
            <w:pPr>
              <w:rPr>
                <w:rFonts w:ascii="Times New Roman" w:hAnsi="Times New Roman"/>
                <w:color w:val="000000"/>
                <w:lang w:val="en-US" w:eastAsia="en-US"/>
              </w:rPr>
            </w:pPr>
            <w:r w:rsidRPr="00F347A9">
              <w:rPr>
                <w:rFonts w:ascii="Times New Roman" w:hAnsi="Times New Roman"/>
                <w:color w:val="000000"/>
                <w:szCs w:val="22"/>
                <w:lang w:val="en-US" w:eastAsia="en-US"/>
              </w:rPr>
              <w:t>P2R_WQI</w:t>
            </w:r>
          </w:p>
        </w:tc>
      </w:tr>
      <w:tr w:rsidR="00F347A9" w:rsidRPr="00F347A9" w:rsidTr="00F347A9">
        <w:trPr>
          <w:trHeight w:val="315"/>
        </w:trPr>
        <w:tc>
          <w:tcPr>
            <w:tcW w:w="0" w:type="auto"/>
          </w:tcPr>
          <w:p w:rsidR="00F347A9" w:rsidRPr="00F347A9" w:rsidRDefault="00F347A9" w:rsidP="002E0BD6">
            <w:pPr>
              <w:pStyle w:val="BodyText"/>
            </w:pPr>
            <w:r w:rsidRPr="00F347A9">
              <w:t>Cape York*</w:t>
            </w:r>
          </w:p>
        </w:tc>
        <w:tc>
          <w:tcPr>
            <w:tcW w:w="0" w:type="auto"/>
            <w:shd w:val="clear" w:color="000000" w:fill="FBEF05"/>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47</w:t>
            </w:r>
            <w:r>
              <w:rPr>
                <w:rFonts w:ascii="Times New Roman" w:hAnsi="Times New Roman"/>
                <w:color w:val="000000"/>
                <w:szCs w:val="22"/>
                <w:lang w:val="en-US" w:eastAsia="en-US"/>
              </w:rPr>
              <w:t>)</w:t>
            </w:r>
          </w:p>
        </w:tc>
        <w:tc>
          <w:tcPr>
            <w:tcW w:w="0" w:type="auto"/>
            <w:shd w:val="clear" w:color="000000" w:fill="92D050"/>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Good (</w:t>
            </w:r>
            <w:r w:rsidRPr="00F347A9">
              <w:rPr>
                <w:rFonts w:ascii="Times New Roman" w:hAnsi="Times New Roman"/>
                <w:color w:val="000000"/>
                <w:szCs w:val="22"/>
                <w:lang w:val="en-US" w:eastAsia="en-US"/>
              </w:rPr>
              <w:t>76</w:t>
            </w:r>
            <w:r>
              <w:rPr>
                <w:rFonts w:ascii="Times New Roman" w:hAnsi="Times New Roman"/>
                <w:color w:val="000000"/>
                <w:szCs w:val="22"/>
                <w:lang w:val="en-US" w:eastAsia="en-US"/>
              </w:rPr>
              <w:t>)</w:t>
            </w:r>
          </w:p>
        </w:tc>
        <w:tc>
          <w:tcPr>
            <w:tcW w:w="0" w:type="auto"/>
            <w:shd w:val="clear" w:color="000000" w:fill="92D050"/>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rPr>
              <w:t>Good (</w:t>
            </w:r>
            <w:r w:rsidRPr="00F347A9">
              <w:rPr>
                <w:rFonts w:ascii="Times New Roman" w:hAnsi="Times New Roman"/>
                <w:b/>
                <w:bCs/>
                <w:color w:val="000000"/>
                <w:szCs w:val="22"/>
                <w:lang w:val="en-US" w:eastAsia="en-US"/>
              </w:rPr>
              <w:t>62)</w:t>
            </w:r>
          </w:p>
        </w:tc>
      </w:tr>
      <w:tr w:rsidR="00F347A9" w:rsidRPr="00F347A9" w:rsidTr="00F347A9">
        <w:trPr>
          <w:trHeight w:val="315"/>
        </w:trPr>
        <w:tc>
          <w:tcPr>
            <w:tcW w:w="0" w:type="auto"/>
          </w:tcPr>
          <w:p w:rsidR="00F347A9" w:rsidRPr="00F347A9" w:rsidRDefault="00F347A9" w:rsidP="002E0BD6">
            <w:pPr>
              <w:pStyle w:val="BodyText"/>
            </w:pPr>
            <w:r w:rsidRPr="00F347A9">
              <w:t>Wet Tropics</w:t>
            </w:r>
          </w:p>
        </w:tc>
        <w:tc>
          <w:tcPr>
            <w:tcW w:w="0" w:type="auto"/>
            <w:shd w:val="clear" w:color="000000" w:fill="FF0000"/>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Very poor</w:t>
            </w:r>
            <w:r w:rsidRPr="00715EE6">
              <w:rPr>
                <w:rFonts w:ascii="Times New Roman" w:hAnsi="Times New Roman"/>
                <w:color w:val="000000"/>
                <w:szCs w:val="22"/>
                <w:lang w:val="en-US" w:eastAsia="en-US"/>
              </w:rPr>
              <w:t xml:space="preserve"> </w:t>
            </w:r>
            <w:r>
              <w:rPr>
                <w:rFonts w:ascii="Times New Roman" w:hAnsi="Times New Roman"/>
                <w:color w:val="000000"/>
                <w:szCs w:val="22"/>
                <w:lang w:val="en-US" w:eastAsia="en-US"/>
              </w:rPr>
              <w:t>(</w:t>
            </w:r>
            <w:r w:rsidRPr="00F347A9">
              <w:rPr>
                <w:rFonts w:ascii="Times New Roman" w:hAnsi="Times New Roman"/>
                <w:color w:val="000000"/>
                <w:szCs w:val="22"/>
                <w:lang w:val="en-US" w:eastAsia="en-US"/>
              </w:rPr>
              <w:t>9</w:t>
            </w:r>
            <w:r>
              <w:rPr>
                <w:rFonts w:ascii="Times New Roman" w:hAnsi="Times New Roman"/>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57</w:t>
            </w:r>
            <w:r>
              <w:rPr>
                <w:rFonts w:ascii="Times New Roman" w:hAnsi="Times New Roman"/>
                <w:color w:val="000000"/>
                <w:szCs w:val="22"/>
                <w:lang w:val="en-US" w:eastAsia="en-US"/>
              </w:rPr>
              <w:t>)</w:t>
            </w:r>
          </w:p>
        </w:tc>
        <w:tc>
          <w:tcPr>
            <w:tcW w:w="0" w:type="auto"/>
            <w:shd w:val="clear" w:color="000000" w:fill="FC9804"/>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lang w:val="en-US" w:eastAsia="en-US"/>
              </w:rPr>
              <w:t>Poor (</w:t>
            </w:r>
            <w:r w:rsidRPr="00F347A9">
              <w:rPr>
                <w:rFonts w:ascii="Times New Roman" w:hAnsi="Times New Roman"/>
                <w:b/>
                <w:bCs/>
                <w:color w:val="000000"/>
                <w:szCs w:val="22"/>
                <w:lang w:val="en-US" w:eastAsia="en-US"/>
              </w:rPr>
              <w:t>33)</w:t>
            </w:r>
          </w:p>
        </w:tc>
      </w:tr>
      <w:tr w:rsidR="00F347A9" w:rsidRPr="00F347A9" w:rsidTr="00F347A9">
        <w:trPr>
          <w:trHeight w:val="315"/>
        </w:trPr>
        <w:tc>
          <w:tcPr>
            <w:tcW w:w="0" w:type="auto"/>
          </w:tcPr>
          <w:p w:rsidR="00F347A9" w:rsidRPr="00F347A9" w:rsidRDefault="00F347A9" w:rsidP="002E0BD6">
            <w:pPr>
              <w:pStyle w:val="BodyText"/>
            </w:pPr>
            <w:r w:rsidRPr="00F347A9">
              <w:t>Burdekin</w:t>
            </w:r>
          </w:p>
        </w:tc>
        <w:tc>
          <w:tcPr>
            <w:tcW w:w="0" w:type="auto"/>
            <w:shd w:val="clear" w:color="000000" w:fill="FC9804"/>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lang w:val="en-US" w:eastAsia="en-US"/>
              </w:rPr>
              <w:t>Poor</w:t>
            </w:r>
            <w:r>
              <w:rPr>
                <w:rFonts w:ascii="Times New Roman" w:hAnsi="Times New Roman"/>
                <w:color w:val="000000"/>
                <w:szCs w:val="22"/>
                <w:lang w:val="en-US" w:eastAsia="en-US"/>
              </w:rPr>
              <w:t xml:space="preserve"> </w:t>
            </w:r>
            <w:r w:rsidRPr="00715EE6">
              <w:rPr>
                <w:rFonts w:ascii="Times New Roman" w:hAnsi="Times New Roman"/>
                <w:color w:val="000000"/>
                <w:szCs w:val="22"/>
                <w:lang w:val="en-US" w:eastAsia="en-US"/>
              </w:rPr>
              <w:t>(</w:t>
            </w:r>
            <w:r w:rsidRPr="00F347A9">
              <w:rPr>
                <w:rFonts w:ascii="Times New Roman" w:hAnsi="Times New Roman"/>
                <w:color w:val="000000"/>
                <w:szCs w:val="22"/>
                <w:lang w:val="en-US" w:eastAsia="en-US"/>
              </w:rPr>
              <w:t>34</w:t>
            </w:r>
            <w:r>
              <w:rPr>
                <w:rFonts w:ascii="Times New Roman" w:hAnsi="Times New Roman"/>
                <w:color w:val="000000"/>
                <w:szCs w:val="22"/>
                <w:lang w:val="en-US" w:eastAsia="en-US"/>
              </w:rPr>
              <w:t>)</w:t>
            </w:r>
          </w:p>
        </w:tc>
        <w:tc>
          <w:tcPr>
            <w:tcW w:w="0" w:type="auto"/>
            <w:shd w:val="clear" w:color="000000" w:fill="92D050"/>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Good (</w:t>
            </w:r>
            <w:r w:rsidRPr="00F347A9">
              <w:rPr>
                <w:rFonts w:ascii="Times New Roman" w:hAnsi="Times New Roman"/>
                <w:color w:val="000000"/>
                <w:szCs w:val="22"/>
                <w:lang w:val="en-US" w:eastAsia="en-US"/>
              </w:rPr>
              <w:t>65</w:t>
            </w:r>
            <w:r>
              <w:rPr>
                <w:rFonts w:ascii="Times New Roman" w:hAnsi="Times New Roman"/>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50)</w:t>
            </w:r>
          </w:p>
        </w:tc>
      </w:tr>
      <w:tr w:rsidR="00F347A9" w:rsidRPr="00F347A9" w:rsidTr="00F347A9">
        <w:trPr>
          <w:trHeight w:val="315"/>
        </w:trPr>
        <w:tc>
          <w:tcPr>
            <w:tcW w:w="0" w:type="auto"/>
          </w:tcPr>
          <w:p w:rsidR="00F347A9" w:rsidRPr="00F347A9" w:rsidRDefault="00F347A9" w:rsidP="002E0BD6">
            <w:pPr>
              <w:pStyle w:val="BodyText"/>
            </w:pPr>
            <w:r w:rsidRPr="00F347A9">
              <w:t>Mackay Whitsunday</w:t>
            </w:r>
          </w:p>
        </w:tc>
        <w:tc>
          <w:tcPr>
            <w:tcW w:w="0" w:type="auto"/>
            <w:shd w:val="clear" w:color="000000" w:fill="FBEF05"/>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58</w:t>
            </w:r>
            <w:r>
              <w:rPr>
                <w:rFonts w:ascii="Times New Roman" w:hAnsi="Times New Roman"/>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60</w:t>
            </w:r>
            <w:r>
              <w:rPr>
                <w:rFonts w:ascii="Times New Roman" w:hAnsi="Times New Roman"/>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59)</w:t>
            </w:r>
          </w:p>
        </w:tc>
      </w:tr>
      <w:tr w:rsidR="00F347A9" w:rsidRPr="00F347A9" w:rsidTr="00F347A9">
        <w:trPr>
          <w:trHeight w:val="315"/>
        </w:trPr>
        <w:tc>
          <w:tcPr>
            <w:tcW w:w="0" w:type="auto"/>
          </w:tcPr>
          <w:p w:rsidR="00F347A9" w:rsidRPr="00F347A9" w:rsidRDefault="00F347A9" w:rsidP="002E0BD6">
            <w:pPr>
              <w:pStyle w:val="BodyText"/>
            </w:pPr>
            <w:r w:rsidRPr="00F347A9">
              <w:t>Fitzroy</w:t>
            </w:r>
          </w:p>
        </w:tc>
        <w:tc>
          <w:tcPr>
            <w:tcW w:w="0" w:type="auto"/>
            <w:shd w:val="clear" w:color="000000" w:fill="FF0000"/>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Very poor</w:t>
            </w:r>
            <w:r w:rsidRPr="00715EE6">
              <w:rPr>
                <w:rFonts w:ascii="Times New Roman" w:hAnsi="Times New Roman"/>
                <w:color w:val="000000"/>
                <w:szCs w:val="22"/>
                <w:lang w:val="en-US" w:eastAsia="en-US"/>
              </w:rPr>
              <w:t xml:space="preserve"> </w:t>
            </w:r>
            <w:r>
              <w:rPr>
                <w:rFonts w:ascii="Times New Roman" w:hAnsi="Times New Roman"/>
                <w:color w:val="000000"/>
                <w:szCs w:val="22"/>
                <w:lang w:val="en-US" w:eastAsia="en-US"/>
              </w:rPr>
              <w:t>(</w:t>
            </w:r>
            <w:r w:rsidRPr="00F347A9">
              <w:rPr>
                <w:rFonts w:ascii="Times New Roman" w:hAnsi="Times New Roman"/>
                <w:color w:val="000000"/>
                <w:szCs w:val="22"/>
                <w:lang w:val="en-US" w:eastAsia="en-US"/>
              </w:rPr>
              <w:t>19</w:t>
            </w:r>
            <w:r>
              <w:rPr>
                <w:rFonts w:ascii="Times New Roman" w:hAnsi="Times New Roman"/>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Moderate (</w:t>
            </w:r>
            <w:r w:rsidRPr="00F347A9">
              <w:rPr>
                <w:rFonts w:ascii="Times New Roman" w:hAnsi="Times New Roman"/>
                <w:color w:val="000000"/>
                <w:szCs w:val="22"/>
                <w:lang w:val="en-US" w:eastAsia="en-US"/>
              </w:rPr>
              <w:t>58</w:t>
            </w:r>
            <w:r>
              <w:rPr>
                <w:rFonts w:ascii="Times New Roman" w:hAnsi="Times New Roman"/>
                <w:color w:val="000000"/>
                <w:szCs w:val="22"/>
                <w:lang w:val="en-US" w:eastAsia="en-US"/>
              </w:rPr>
              <w:t>)</w:t>
            </w:r>
          </w:p>
        </w:tc>
        <w:tc>
          <w:tcPr>
            <w:tcW w:w="0" w:type="auto"/>
            <w:shd w:val="clear" w:color="000000" w:fill="FC9804"/>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lang w:val="en-US" w:eastAsia="en-US"/>
              </w:rPr>
              <w:t>Poor (</w:t>
            </w:r>
            <w:r w:rsidRPr="00F347A9">
              <w:rPr>
                <w:rFonts w:ascii="Times New Roman" w:hAnsi="Times New Roman"/>
                <w:b/>
                <w:bCs/>
                <w:color w:val="000000"/>
                <w:szCs w:val="22"/>
                <w:lang w:val="en-US" w:eastAsia="en-US"/>
              </w:rPr>
              <w:t>38)</w:t>
            </w:r>
          </w:p>
        </w:tc>
      </w:tr>
      <w:tr w:rsidR="00F347A9" w:rsidRPr="00F347A9" w:rsidTr="00F347A9">
        <w:trPr>
          <w:trHeight w:val="315"/>
        </w:trPr>
        <w:tc>
          <w:tcPr>
            <w:tcW w:w="0" w:type="auto"/>
          </w:tcPr>
          <w:p w:rsidR="00F347A9" w:rsidRPr="00F347A9" w:rsidRDefault="00F347A9" w:rsidP="002E0BD6">
            <w:pPr>
              <w:pStyle w:val="BodyText"/>
            </w:pPr>
            <w:r w:rsidRPr="00F347A9">
              <w:t>Burnett Mary *</w:t>
            </w:r>
          </w:p>
        </w:tc>
        <w:tc>
          <w:tcPr>
            <w:tcW w:w="0" w:type="auto"/>
            <w:shd w:val="clear" w:color="000000" w:fill="FF0000"/>
            <w:noWrap/>
            <w:vAlign w:val="center"/>
            <w:hideMark/>
          </w:tcPr>
          <w:p w:rsidR="00F347A9" w:rsidRPr="00F347A9" w:rsidRDefault="00F347A9" w:rsidP="00F347A9">
            <w:pPr>
              <w:jc w:val="center"/>
              <w:rPr>
                <w:rFonts w:ascii="Times New Roman" w:hAnsi="Times New Roman"/>
                <w:color w:val="000000"/>
                <w:lang w:val="en-US" w:eastAsia="en-US"/>
              </w:rPr>
            </w:pPr>
            <w:r w:rsidRPr="00715EE6">
              <w:rPr>
                <w:rFonts w:ascii="Times New Roman" w:hAnsi="Times New Roman"/>
                <w:color w:val="000000"/>
                <w:szCs w:val="22"/>
              </w:rPr>
              <w:t>Very poor</w:t>
            </w:r>
            <w:r w:rsidRPr="00715EE6">
              <w:rPr>
                <w:rFonts w:ascii="Times New Roman" w:hAnsi="Times New Roman"/>
                <w:color w:val="000000"/>
                <w:szCs w:val="22"/>
                <w:lang w:val="en-US" w:eastAsia="en-US"/>
              </w:rPr>
              <w:t xml:space="preserve"> </w:t>
            </w:r>
            <w:r>
              <w:rPr>
                <w:rFonts w:ascii="Times New Roman" w:hAnsi="Times New Roman"/>
                <w:color w:val="000000"/>
                <w:szCs w:val="22"/>
                <w:lang w:val="en-US" w:eastAsia="en-US"/>
              </w:rPr>
              <w:t>(</w:t>
            </w:r>
            <w:r w:rsidRPr="00F347A9">
              <w:rPr>
                <w:rFonts w:ascii="Times New Roman" w:hAnsi="Times New Roman"/>
                <w:color w:val="000000"/>
                <w:szCs w:val="22"/>
                <w:lang w:val="en-US" w:eastAsia="en-US"/>
              </w:rPr>
              <w:t>15</w:t>
            </w:r>
            <w:r>
              <w:rPr>
                <w:rFonts w:ascii="Times New Roman" w:hAnsi="Times New Roman"/>
                <w:color w:val="000000"/>
                <w:szCs w:val="22"/>
                <w:lang w:val="en-US" w:eastAsia="en-US"/>
              </w:rPr>
              <w:t>)</w:t>
            </w:r>
          </w:p>
        </w:tc>
        <w:tc>
          <w:tcPr>
            <w:tcW w:w="0" w:type="auto"/>
            <w:shd w:val="clear" w:color="000000" w:fill="00B050"/>
            <w:noWrap/>
            <w:vAlign w:val="center"/>
            <w:hideMark/>
          </w:tcPr>
          <w:p w:rsidR="00F347A9" w:rsidRPr="00F347A9" w:rsidRDefault="00F347A9" w:rsidP="00F347A9">
            <w:pPr>
              <w:jc w:val="center"/>
              <w:rPr>
                <w:rFonts w:ascii="Times New Roman" w:hAnsi="Times New Roman"/>
                <w:color w:val="000000"/>
                <w:lang w:val="en-US" w:eastAsia="en-US"/>
              </w:rPr>
            </w:pPr>
            <w:r>
              <w:rPr>
                <w:rFonts w:ascii="Times New Roman" w:hAnsi="Times New Roman"/>
                <w:color w:val="000000"/>
                <w:szCs w:val="22"/>
              </w:rPr>
              <w:t xml:space="preserve">Very </w:t>
            </w:r>
            <w:r w:rsidRPr="00715EE6">
              <w:rPr>
                <w:rFonts w:ascii="Times New Roman" w:hAnsi="Times New Roman"/>
                <w:color w:val="000000"/>
                <w:szCs w:val="22"/>
              </w:rPr>
              <w:t>Good (</w:t>
            </w:r>
            <w:r w:rsidRPr="00F347A9">
              <w:rPr>
                <w:rFonts w:ascii="Times New Roman" w:hAnsi="Times New Roman"/>
                <w:color w:val="000000"/>
                <w:szCs w:val="22"/>
                <w:lang w:val="en-US" w:eastAsia="en-US"/>
              </w:rPr>
              <w:t>92</w:t>
            </w:r>
            <w:r>
              <w:rPr>
                <w:rFonts w:ascii="Times New Roman" w:hAnsi="Times New Roman"/>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53)</w:t>
            </w:r>
          </w:p>
        </w:tc>
      </w:tr>
      <w:tr w:rsidR="00F347A9" w:rsidRPr="00F347A9" w:rsidTr="00F347A9">
        <w:trPr>
          <w:trHeight w:val="315"/>
        </w:trPr>
        <w:tc>
          <w:tcPr>
            <w:tcW w:w="0" w:type="auto"/>
          </w:tcPr>
          <w:p w:rsidR="00F347A9" w:rsidRPr="00F347A9" w:rsidRDefault="00F347A9" w:rsidP="00F347A9">
            <w:pPr>
              <w:autoSpaceDE w:val="0"/>
              <w:autoSpaceDN w:val="0"/>
              <w:adjustRightInd w:val="0"/>
              <w:rPr>
                <w:rFonts w:ascii="Times New Roman" w:hAnsi="Times New Roman"/>
                <w:b/>
                <w:color w:val="000000"/>
              </w:rPr>
            </w:pPr>
            <w:r w:rsidRPr="00F347A9">
              <w:rPr>
                <w:rFonts w:ascii="Times New Roman" w:hAnsi="Times New Roman"/>
                <w:b/>
                <w:color w:val="000000"/>
                <w:szCs w:val="22"/>
              </w:rPr>
              <w:t>GBR</w:t>
            </w:r>
          </w:p>
        </w:tc>
        <w:tc>
          <w:tcPr>
            <w:tcW w:w="0" w:type="auto"/>
            <w:shd w:val="clear" w:color="000000" w:fill="FC9804"/>
            <w:noWrap/>
            <w:vAlign w:val="center"/>
            <w:hideMark/>
          </w:tcPr>
          <w:p w:rsidR="00F347A9" w:rsidRPr="00F347A9" w:rsidRDefault="00F347A9" w:rsidP="00F347A9">
            <w:pPr>
              <w:jc w:val="center"/>
              <w:rPr>
                <w:rFonts w:ascii="Times New Roman" w:hAnsi="Times New Roman"/>
                <w:b/>
                <w:color w:val="000000"/>
                <w:lang w:val="en-US" w:eastAsia="en-US"/>
              </w:rPr>
            </w:pPr>
            <w:r w:rsidRPr="00F347A9">
              <w:rPr>
                <w:rFonts w:ascii="Times New Roman" w:hAnsi="Times New Roman"/>
                <w:b/>
                <w:color w:val="000000"/>
                <w:szCs w:val="22"/>
                <w:lang w:val="en-US" w:eastAsia="en-US"/>
              </w:rPr>
              <w:t>Poor (32</w:t>
            </w:r>
            <w:r w:rsidR="00937D0C">
              <w:rPr>
                <w:rFonts w:ascii="Times New Roman" w:hAnsi="Times New Roman"/>
                <w:b/>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b/>
                <w:color w:val="000000"/>
                <w:lang w:val="en-US" w:eastAsia="en-US"/>
              </w:rPr>
            </w:pPr>
            <w:r w:rsidRPr="00F347A9">
              <w:rPr>
                <w:rFonts w:ascii="Times New Roman" w:hAnsi="Times New Roman"/>
                <w:b/>
                <w:color w:val="000000"/>
                <w:szCs w:val="22"/>
              </w:rPr>
              <w:t>Moderate (</w:t>
            </w:r>
            <w:r w:rsidRPr="00F347A9">
              <w:rPr>
                <w:rFonts w:ascii="Times New Roman" w:hAnsi="Times New Roman"/>
                <w:b/>
                <w:color w:val="000000"/>
                <w:szCs w:val="22"/>
                <w:lang w:val="en-US" w:eastAsia="en-US"/>
              </w:rPr>
              <w:t>60</w:t>
            </w:r>
            <w:r w:rsidR="00937D0C">
              <w:rPr>
                <w:rFonts w:ascii="Times New Roman" w:hAnsi="Times New Roman"/>
                <w:b/>
                <w:color w:val="000000"/>
                <w:szCs w:val="22"/>
                <w:lang w:val="en-US" w:eastAsia="en-US"/>
              </w:rPr>
              <w:t>)</w:t>
            </w:r>
          </w:p>
        </w:tc>
        <w:tc>
          <w:tcPr>
            <w:tcW w:w="0" w:type="auto"/>
            <w:shd w:val="clear" w:color="000000" w:fill="FBEF05"/>
            <w:noWrap/>
            <w:vAlign w:val="center"/>
            <w:hideMark/>
          </w:tcPr>
          <w:p w:rsidR="00F347A9" w:rsidRPr="00F347A9" w:rsidRDefault="00F347A9" w:rsidP="00F347A9">
            <w:pPr>
              <w:jc w:val="center"/>
              <w:rPr>
                <w:rFonts w:ascii="Times New Roman" w:hAnsi="Times New Roman"/>
                <w:b/>
                <w:bCs/>
                <w:color w:val="000000"/>
                <w:lang w:val="en-US" w:eastAsia="en-US"/>
              </w:rPr>
            </w:pPr>
            <w:r w:rsidRPr="00F347A9">
              <w:rPr>
                <w:rFonts w:ascii="Times New Roman" w:hAnsi="Times New Roman"/>
                <w:b/>
                <w:color w:val="000000"/>
                <w:szCs w:val="22"/>
              </w:rPr>
              <w:t>Moderate (</w:t>
            </w:r>
            <w:r w:rsidRPr="00F347A9">
              <w:rPr>
                <w:rFonts w:ascii="Times New Roman" w:hAnsi="Times New Roman"/>
                <w:b/>
                <w:bCs/>
                <w:color w:val="000000"/>
                <w:szCs w:val="22"/>
                <w:lang w:val="en-US" w:eastAsia="en-US"/>
              </w:rPr>
              <w:t>46)</w:t>
            </w:r>
          </w:p>
        </w:tc>
      </w:tr>
    </w:tbl>
    <w:p w:rsidR="00F347A9" w:rsidRDefault="00F347A9" w:rsidP="003554B8"/>
    <w:p w:rsidR="00F347A9" w:rsidRPr="00A40CD0" w:rsidRDefault="00F347A9" w:rsidP="003554B8"/>
    <w:p w:rsidR="00F86987" w:rsidRDefault="00F86987" w:rsidP="00E129A2">
      <w:pPr>
        <w:ind w:firstLine="720"/>
      </w:pPr>
    </w:p>
    <w:p w:rsidR="00F86987" w:rsidRDefault="00F86987" w:rsidP="00F86987">
      <w:r w:rsidRPr="00867608">
        <w:rPr>
          <w:noProof/>
        </w:rPr>
        <w:drawing>
          <wp:inline distT="0" distB="0" distL="0" distR="0">
            <wp:extent cx="5732145" cy="3749217"/>
            <wp:effectExtent l="0" t="0" r="8255" b="10160"/>
            <wp:docPr id="530" name="Picture 15" descr="Trends in the Paddock to Reef marine water quality index (P2R_WQI) and component scores (P2R_CHL and P2R_TSS) aggregated for the whole GBR. The regional scores for Cape York and Burnett Mary are excluded from calculations of the overall GBR score for the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6A38DA" w:rsidRDefault="00F86987" w:rsidP="000527BF">
      <w:pPr>
        <w:pStyle w:val="Caption"/>
      </w:pPr>
      <w:bookmarkStart w:id="157" w:name="_Ref228324476"/>
      <w:bookmarkStart w:id="158" w:name="_Toc228588306"/>
      <w:bookmarkStart w:id="159" w:name="_Toc399265011"/>
      <w:r>
        <w:t xml:space="preserve">Figure </w:t>
      </w:r>
      <w:fldSimple w:instr=" SEQ Figure \* ARABIC ">
        <w:r w:rsidR="00B11F3B">
          <w:rPr>
            <w:noProof/>
          </w:rPr>
          <w:t>25</w:t>
        </w:r>
      </w:fldSimple>
      <w:bookmarkEnd w:id="157"/>
      <w:r>
        <w:t xml:space="preserve">. </w:t>
      </w:r>
      <w:r w:rsidR="00715EE6">
        <w:t>T</w:t>
      </w:r>
      <w:r w:rsidRPr="009A0213">
        <w:t>rends in</w:t>
      </w:r>
      <w:r>
        <w:t xml:space="preserve"> the </w:t>
      </w:r>
      <w:r w:rsidR="00715EE6" w:rsidRPr="00A40CD0">
        <w:t>Paddock to Reef marine water quality index (P2R_WQI) and component scores (P2R_CHL and P2R_TSS)</w:t>
      </w:r>
      <w:r w:rsidR="00715EE6">
        <w:t xml:space="preserve"> aggregated for the whole GBR</w:t>
      </w:r>
      <w:r w:rsidRPr="009A0213">
        <w:t>.</w:t>
      </w:r>
      <w:r w:rsidR="000527BF">
        <w:t xml:space="preserve"> T</w:t>
      </w:r>
      <w:r w:rsidR="000527BF" w:rsidRPr="00A40CD0">
        <w:t xml:space="preserve">he regional scores for Cape York and Burnett Mary are excluded from calculations </w:t>
      </w:r>
      <w:r w:rsidR="000527BF">
        <w:t xml:space="preserve">of the </w:t>
      </w:r>
      <w:r w:rsidR="00937D0C">
        <w:t>overall GBR score for the</w:t>
      </w:r>
      <w:r w:rsidR="000527BF" w:rsidRPr="00A40CD0">
        <w:t xml:space="preserve"> metric</w:t>
      </w:r>
      <w:r w:rsidR="00937D0C">
        <w:t>s</w:t>
      </w:r>
      <w:r w:rsidR="000527BF" w:rsidRPr="00A40CD0">
        <w:t>.</w:t>
      </w:r>
      <w:bookmarkEnd w:id="158"/>
      <w:bookmarkEnd w:id="159"/>
      <w:r w:rsidR="006A38DA">
        <w:br w:type="page"/>
      </w:r>
    </w:p>
    <w:p w:rsidR="006A38DA" w:rsidRDefault="006A38DA" w:rsidP="006A38DA">
      <w:r w:rsidRPr="00867608">
        <w:rPr>
          <w:noProof/>
        </w:rPr>
        <w:lastRenderedPageBreak/>
        <w:drawing>
          <wp:inline distT="0" distB="0" distL="0" distR="0">
            <wp:extent cx="5732145" cy="3749217"/>
            <wp:effectExtent l="0" t="0" r="8255" b="10160"/>
            <wp:docPr id="1" name="Picture 14" descr="Comparison of P2R trends in the whole GBRWHA.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guidelines values for enclosed coastal, and only the pixels in the open coastal are compared with the guideline values for open coastal. Percentage of compliance is reported over the surface area of the whole coastal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email">
                      <a:extLst>
                        <a:ext uri="{28A0092B-C50C-407E-A947-70E740481C1C}">
                          <a14:useLocalDpi xmlns:a14="http://schemas.microsoft.com/office/drawing/2010/main"/>
                        </a:ext>
                      </a:extLst>
                    </a:blip>
                    <a:srcRect/>
                    <a:stretch>
                      <a:fillRect/>
                    </a:stretch>
                  </pic:blipFill>
                  <pic:spPr bwMode="auto">
                    <a:xfrm>
                      <a:off x="0" y="0"/>
                      <a:ext cx="5732145" cy="3749217"/>
                    </a:xfrm>
                    <a:prstGeom prst="rect">
                      <a:avLst/>
                    </a:prstGeom>
                    <a:noFill/>
                    <a:ln w="9525">
                      <a:noFill/>
                      <a:miter lim="800000"/>
                      <a:headEnd/>
                      <a:tailEnd/>
                    </a:ln>
                  </pic:spPr>
                </pic:pic>
              </a:graphicData>
            </a:graphic>
          </wp:inline>
        </w:drawing>
      </w:r>
    </w:p>
    <w:p w:rsidR="006A38DA" w:rsidRDefault="006A38DA" w:rsidP="006A38DA"/>
    <w:p w:rsidR="006A38DA" w:rsidRPr="00A25B44" w:rsidRDefault="006A38DA" w:rsidP="006A38DA">
      <w:pPr>
        <w:pStyle w:val="Caption"/>
        <w:rPr>
          <w:b/>
        </w:rPr>
      </w:pPr>
      <w:bookmarkStart w:id="160" w:name="_Toc399265012"/>
      <w:r>
        <w:t xml:space="preserve">Figure </w:t>
      </w:r>
      <w:fldSimple w:instr=" SEQ Figure \* ARABIC ">
        <w:r w:rsidR="00B11F3B">
          <w:rPr>
            <w:noProof/>
          </w:rPr>
          <w:t>26</w:t>
        </w:r>
      </w:fldSimple>
      <w:r>
        <w:t xml:space="preserve">. </w:t>
      </w:r>
      <w:r w:rsidRPr="009A0213">
        <w:t>Comparison of P2R trends in</w:t>
      </w:r>
      <w:r>
        <w:t xml:space="preserve"> the whole GBRWHA</w:t>
      </w:r>
      <w:r w:rsidRPr="009A0213">
        <w:t xml:space="preserve">. Top: calculation without the delineation of enclosed coastal waters, i.e. using the same threshold value across the whole coastal region. Bottom calculation performed taking in account the delineation of the enclosed coastal waters, i.e. pixels in the newly delineated enclosed coastal areas are now compared to the </w:t>
      </w:r>
      <w:r>
        <w:t>guidelines values for e</w:t>
      </w:r>
      <w:r w:rsidRPr="009A0213">
        <w:t>nclosed coastal, and only the pixels</w:t>
      </w:r>
      <w:r>
        <w:t xml:space="preserve"> in the open c</w:t>
      </w:r>
      <w:r w:rsidRPr="009A0213">
        <w:t xml:space="preserve">oastal are compared with the guideline </w:t>
      </w:r>
      <w:r>
        <w:t>values for o</w:t>
      </w:r>
      <w:r w:rsidRPr="009A0213">
        <w:t>pen</w:t>
      </w:r>
      <w:r>
        <w:t xml:space="preserve"> coastal</w:t>
      </w:r>
      <w:r w:rsidRPr="009A0213">
        <w:t>. Percentage of compliance is reported over the surface area of the whole coastal region.</w:t>
      </w:r>
      <w:bookmarkEnd w:id="160"/>
    </w:p>
    <w:p w:rsidR="000527BF" w:rsidRPr="00A40CD0" w:rsidRDefault="000527BF" w:rsidP="000527BF">
      <w:pPr>
        <w:pStyle w:val="Caption"/>
      </w:pPr>
    </w:p>
    <w:p w:rsidR="00F86987" w:rsidRPr="00A40CD0" w:rsidRDefault="00F86987" w:rsidP="003554B8"/>
    <w:p w:rsidR="00B25CAA" w:rsidRPr="00A40CD0" w:rsidRDefault="00B25CAA" w:rsidP="007E294B">
      <w:pPr>
        <w:pStyle w:val="Heading2"/>
      </w:pPr>
      <w:r w:rsidRPr="00A40CD0">
        <w:br w:type="page"/>
      </w:r>
      <w:bookmarkStart w:id="161" w:name="_Toc228588184"/>
      <w:bookmarkStart w:id="162" w:name="_Toc399264891"/>
      <w:r w:rsidRPr="00A40CD0">
        <w:lastRenderedPageBreak/>
        <w:t>Regional reports: Cape York region</w:t>
      </w:r>
      <w:bookmarkEnd w:id="161"/>
      <w:bookmarkEnd w:id="162"/>
      <w:r w:rsidRPr="00A40CD0">
        <w:t xml:space="preserve"> </w:t>
      </w:r>
    </w:p>
    <w:p w:rsidR="00B25CAA" w:rsidRPr="00A40CD0" w:rsidRDefault="00B25CAA" w:rsidP="002E0BD6">
      <w:pPr>
        <w:pStyle w:val="BodyText"/>
      </w:pPr>
      <w:r w:rsidRPr="00A40CD0">
        <w:t>Cape York Peninsula is the northernmost extremity of Australia. From its tip at Cape York it extends southward in Queensland for about 800km, widening to its base, which spans 650km from Cairns in the east to the Gilbert River in the west. The largest rivers in the Cape flow into the Gulf of Carpentaria, however there are several large catchments that drain into the GBR. The region has a monsoonal climate with distinct wet and dry seasons with mean annual rainfall ranging from 1715mm in the Starke region to 2159mm near the Lockhart River airport. Most rain falls between December and April</w:t>
      </w:r>
      <w:r w:rsidR="00FD2E6F" w:rsidRP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 The Cape is an area of exceptional conservation value and has cultural value of great significance to both Indigenous and non-Indigenous communities. The majority of the land is relatively undeveloped, therefore water entering the lagoon is perceived to be of a high quality</w:t>
      </w:r>
      <w:r w:rsidR="00FD2E6F" w:rsidRP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w:t>
      </w:r>
    </w:p>
    <w:p w:rsidR="00B25CAA" w:rsidRPr="00A40CD0" w:rsidRDefault="00B25CAA" w:rsidP="002E0BD6">
      <w:pPr>
        <w:pStyle w:val="BodyText"/>
      </w:pPr>
      <w:r w:rsidRPr="00A40CD0">
        <w:t>This system is characterized by shallow and turbid waters (e.g. in Princess Charlotte Bay) and a relatively nar</w:t>
      </w:r>
      <w:r w:rsidR="002129CF">
        <w:t>row coastal water body. The outer boundary for the Open</w:t>
      </w:r>
      <w:r w:rsidRPr="00A40CD0">
        <w:t xml:space="preserve"> Coastal marine water body approximate delineation in the Guidelines for this NRM region is only 6 km from shore </w:t>
      </w:r>
      <w:r w:rsidR="00EA2F38" w:rsidRPr="00A40CD0">
        <w:fldChar w:fldCharType="begin"/>
      </w:r>
      <w:r w:rsidR="00F32695">
        <w:instrText xml:space="preserve"> ADDIN EN.CITE &lt;EndNote&gt;&lt;Cite&gt;&lt;Author&gt;GBRMPA&lt;/Author&gt;&lt;Year&gt;2009&lt;/Year&gt;&lt;RecNum&gt;4612&lt;/RecNum&gt;&lt;Prefix&gt;Table 1 at page 12 of &lt;/Prefix&gt;&lt;DisplayText&gt;(Table 1 at page 12 of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EA2F38" w:rsidRPr="00A40CD0">
        <w:fldChar w:fldCharType="separate"/>
      </w:r>
      <w:r w:rsidR="00F32695">
        <w:rPr>
          <w:noProof/>
        </w:rPr>
        <w:t>(</w:t>
      </w:r>
      <w:hyperlink w:anchor="_ENREF_23" w:tooltip="GBRMPA, 2009 #4612" w:history="1">
        <w:r w:rsidR="007B7C47">
          <w:rPr>
            <w:noProof/>
          </w:rPr>
          <w:t>Table 1 at page 12 of GBRMPA 2009</w:t>
        </w:r>
      </w:hyperlink>
      <w:r w:rsidR="00F32695">
        <w:rPr>
          <w:noProof/>
        </w:rPr>
        <w:t>)</w:t>
      </w:r>
      <w:r w:rsidR="00EA2F38" w:rsidRPr="00A40CD0">
        <w:fldChar w:fldCharType="end"/>
      </w:r>
      <w:r w:rsidR="002129CF">
        <w:t xml:space="preserve">. The Enclosed Coastal </w:t>
      </w:r>
      <w:r w:rsidR="002129CF" w:rsidRPr="00A40CD0">
        <w:t>marine water body</w:t>
      </w:r>
      <w:r w:rsidR="002129CF">
        <w:t xml:space="preserve"> accounts for ~30% of the inshore waters used for P2R reporting and for most of the area in </w:t>
      </w:r>
      <w:r w:rsidR="002129CF" w:rsidRPr="00A40CD0">
        <w:t>Princess Charlotte Bay</w:t>
      </w:r>
      <w:r w:rsidR="002129CF">
        <w:t xml:space="preserve">  </w:t>
      </w:r>
      <w:r w:rsidR="00BB0B57">
        <w:t xml:space="preserve">as well as Shelburne Bay, Temple Bay, Loyds Bay, Bathurst Bay and Ninian Bay </w:t>
      </w:r>
      <w:r w:rsidR="002129CF">
        <w:t>(</w:t>
      </w:r>
      <w:r w:rsidR="00EA2F38">
        <w:fldChar w:fldCharType="begin"/>
      </w:r>
      <w:r w:rsidR="002129CF">
        <w:instrText xml:space="preserve"> REF _Ref353451052 \h </w:instrText>
      </w:r>
      <w:r w:rsidR="00EA2F38">
        <w:fldChar w:fldCharType="separate"/>
      </w:r>
      <w:r w:rsidR="00B11F3B">
        <w:t xml:space="preserve">Table </w:t>
      </w:r>
      <w:r w:rsidR="00B11F3B">
        <w:rPr>
          <w:noProof/>
        </w:rPr>
        <w:t>5</w:t>
      </w:r>
      <w:r w:rsidR="00EA2F38">
        <w:fldChar w:fldCharType="end"/>
      </w:r>
      <w:r w:rsidR="002129CF">
        <w:t>,</w:t>
      </w:r>
      <w:r w:rsidR="00EA2F38">
        <w:fldChar w:fldCharType="begin"/>
      </w:r>
      <w:r w:rsidR="002129CF">
        <w:instrText xml:space="preserve"> REF _Ref247428722 \h </w:instrText>
      </w:r>
      <w:r w:rsidR="00EA2F38">
        <w:fldChar w:fldCharType="separate"/>
      </w:r>
      <w:r w:rsidR="00B11F3B" w:rsidRPr="00A40CD0">
        <w:t xml:space="preserve">Figure </w:t>
      </w:r>
      <w:r w:rsidR="00B11F3B">
        <w:rPr>
          <w:noProof/>
        </w:rPr>
        <w:t>2</w:t>
      </w:r>
      <w:r w:rsidR="00EA2F38">
        <w:fldChar w:fldCharType="end"/>
      </w:r>
      <w:r w:rsidR="002129CF">
        <w:t xml:space="preserve">). </w:t>
      </w:r>
      <w:r w:rsidRPr="00A40CD0">
        <w:t>Caution should be used when interpreting the results for this region as limited field information was used for the parameterization and validation on the remote sensing retrievals.</w:t>
      </w:r>
    </w:p>
    <w:p w:rsidR="009202A6" w:rsidRPr="007E294B" w:rsidRDefault="00B25CAA" w:rsidP="007E294B">
      <w:pPr>
        <w:pStyle w:val="Heading3"/>
      </w:pPr>
      <w:bookmarkStart w:id="163" w:name="_Toc228588185"/>
      <w:bookmarkStart w:id="164" w:name="_Toc399264892"/>
      <w:r w:rsidRPr="007E294B">
        <w:t>Assessment of freshwater extent during the wet season</w:t>
      </w:r>
      <w:bookmarkEnd w:id="163"/>
      <w:bookmarkEnd w:id="164"/>
    </w:p>
    <w:p w:rsidR="00B25CAA" w:rsidRPr="00A40CD0" w:rsidRDefault="00EA2F38" w:rsidP="002E0BD6">
      <w:pPr>
        <w:pStyle w:val="BodyText"/>
      </w:pPr>
      <w:r>
        <w:fldChar w:fldCharType="begin"/>
      </w:r>
      <w:r w:rsidR="00D90A4A">
        <w:instrText xml:space="preserve"> REF _Ref257731716 \h </w:instrText>
      </w:r>
      <w:r>
        <w:fldChar w:fldCharType="separate"/>
      </w:r>
      <w:r w:rsidR="00B11F3B" w:rsidRPr="00A40CD0">
        <w:t xml:space="preserve">Figure </w:t>
      </w:r>
      <w:r w:rsidR="00B11F3B">
        <w:rPr>
          <w:noProof/>
        </w:rPr>
        <w:t>29</w:t>
      </w:r>
      <w:r>
        <w:fldChar w:fldCharType="end"/>
      </w:r>
      <w:r w:rsidR="00B25CAA" w:rsidRPr="00A40CD0">
        <w:t xml:space="preserve"> reports the freshwater extent for </w:t>
      </w:r>
      <w:r w:rsidR="00D8717B">
        <w:t>wet season 2011/2012 (November 2011- April 2012)</w:t>
      </w:r>
      <w:r w:rsidR="00D8717B" w:rsidRPr="00A40CD0">
        <w:t xml:space="preserve"> </w:t>
      </w:r>
      <w:r w:rsidR="00B25CAA" w:rsidRPr="00A40CD0">
        <w:t>for the Cape York region. The freshwater extent was estimated by applying a threshold of 0.24 m</w:t>
      </w:r>
      <w:r w:rsidR="00B25CAA" w:rsidRPr="00A40CD0">
        <w:rPr>
          <w:vertAlign w:val="superscript"/>
        </w:rPr>
        <w:t>-1</w:t>
      </w:r>
      <w:r w:rsidR="00B25CAA" w:rsidRPr="00A40CD0">
        <w:t xml:space="preserve"> for the CDOM seasonal maximum. For the Cape York regi</w:t>
      </w:r>
      <w:r w:rsidR="00F34417">
        <w:t>on the freshwater extent in 2011/2012 was (2038</w:t>
      </w:r>
      <w:r w:rsidR="00F34417" w:rsidRPr="00A40CD0">
        <w:t xml:space="preserve"> km</w:t>
      </w:r>
      <w:r w:rsidR="00F34417" w:rsidRPr="00A40CD0">
        <w:rPr>
          <w:vertAlign w:val="superscript"/>
        </w:rPr>
        <w:t xml:space="preserve">2 </w:t>
      </w:r>
      <w:r w:rsidR="00F34417" w:rsidRPr="00A40CD0">
        <w:t>)</w:t>
      </w:r>
      <w:r w:rsidR="00F34417">
        <w:t xml:space="preserve"> below the median value of the last decade (</w:t>
      </w:r>
      <w:r>
        <w:fldChar w:fldCharType="begin"/>
      </w:r>
      <w:r w:rsidR="00D90A4A">
        <w:instrText xml:space="preserve"> REF _Ref304872974 \h </w:instrText>
      </w:r>
      <w:r>
        <w:fldChar w:fldCharType="separate"/>
      </w:r>
      <w:r w:rsidR="00B11F3B" w:rsidRPr="00A40CD0">
        <w:t xml:space="preserve">Figure </w:t>
      </w:r>
      <w:r w:rsidR="00B11F3B">
        <w:rPr>
          <w:noProof/>
        </w:rPr>
        <w:t>27</w:t>
      </w:r>
      <w:r>
        <w:fldChar w:fldCharType="end"/>
      </w:r>
      <w:r w:rsidR="00F34417">
        <w:t xml:space="preserve">). </w:t>
      </w:r>
      <w:r w:rsidR="00B25CAA" w:rsidRPr="00A40CD0">
        <w:t>The annual flow data for the Normanby Riv</w:t>
      </w:r>
      <w:r w:rsidR="00F34417">
        <w:t>er for this year was the lowest</w:t>
      </w:r>
      <w:r w:rsidR="00B25CAA" w:rsidRPr="00A40CD0">
        <w:t xml:space="preserve"> since the current record started in 2006/07.</w:t>
      </w:r>
    </w:p>
    <w:p w:rsidR="009202A6" w:rsidRPr="007E294B" w:rsidRDefault="00B25CAA" w:rsidP="007E294B">
      <w:pPr>
        <w:pStyle w:val="Heading3"/>
      </w:pPr>
      <w:bookmarkStart w:id="165" w:name="_Toc228588186"/>
      <w:bookmarkStart w:id="166" w:name="_Toc399264893"/>
      <w:r w:rsidRPr="007E294B">
        <w:t>The wet and dry season median maps for Chlorophyll-a and Total Suspended Solids.</w:t>
      </w:r>
      <w:bookmarkEnd w:id="165"/>
      <w:bookmarkEnd w:id="166"/>
    </w:p>
    <w:p w:rsidR="00B25CAA" w:rsidRPr="00A40CD0" w:rsidRDefault="00B25CAA" w:rsidP="002E0BD6">
      <w:pPr>
        <w:pStyle w:val="BodyText"/>
      </w:pPr>
      <w:r w:rsidRPr="00A40CD0">
        <w:t>The wet and dry season CHL median maps of (</w:t>
      </w:r>
      <w:r w:rsidR="00EA2F38">
        <w:fldChar w:fldCharType="begin"/>
      </w:r>
      <w:r w:rsidR="00D90A4A">
        <w:instrText xml:space="preserve"> REF _Ref247857248 \h </w:instrText>
      </w:r>
      <w:r w:rsidR="00EA2F38">
        <w:fldChar w:fldCharType="separate"/>
      </w:r>
      <w:r w:rsidR="00B11F3B" w:rsidRPr="00A40CD0">
        <w:t xml:space="preserve">Figure </w:t>
      </w:r>
      <w:r w:rsidR="00B11F3B">
        <w:rPr>
          <w:noProof/>
        </w:rPr>
        <w:t>30</w:t>
      </w:r>
      <w:r w:rsidR="00EA2F38">
        <w:fldChar w:fldCharType="end"/>
      </w:r>
      <w:r w:rsidRPr="00A40CD0">
        <w:t xml:space="preserve">) for the Cape York region show high CHL  levels near the coast and in the estuary to lower concentrations towards the East. Median CHL values of 0.5 </w:t>
      </w:r>
      <w:r w:rsidRPr="00A40CD0">
        <w:rPr>
          <w:rFonts w:ascii="SymbolProp BT" w:hAnsi="SymbolProp BT"/>
        </w:rPr>
        <w:t></w:t>
      </w:r>
      <w:r w:rsidRPr="00A40CD0">
        <w:t>gL</w:t>
      </w:r>
      <w:r w:rsidRPr="00A40CD0">
        <w:rPr>
          <w:vertAlign w:val="superscript"/>
        </w:rPr>
        <w:t>-1</w:t>
      </w:r>
      <w:r w:rsidRPr="00A40CD0">
        <w:t xml:space="preserve"> extended beyond the coastal to inshore boundary for both seasons. The median values in the Offshore region in the reef matrix ranged from ~0.15-0.5 </w:t>
      </w:r>
      <w:r w:rsidRPr="00A40CD0">
        <w:rPr>
          <w:rFonts w:ascii="SymbolProp BT" w:hAnsi="SymbolProp BT"/>
        </w:rPr>
        <w:t></w:t>
      </w:r>
      <w:r w:rsidRPr="00A40CD0">
        <w:t>gL</w:t>
      </w:r>
      <w:r w:rsidRPr="00A40CD0">
        <w:rPr>
          <w:vertAlign w:val="superscript"/>
        </w:rPr>
        <w:t>-1</w:t>
      </w:r>
      <w:r w:rsidRPr="00A40CD0">
        <w:t>.</w:t>
      </w:r>
    </w:p>
    <w:p w:rsidR="00B25CAA" w:rsidRPr="00A40CD0" w:rsidRDefault="00B25CAA" w:rsidP="002E0BD6">
      <w:pPr>
        <w:pStyle w:val="BodyText"/>
      </w:pPr>
      <w:r w:rsidRPr="00A40CD0">
        <w:t>The wet and dry season median maps of NAP (as a measure of TSS) (</w:t>
      </w:r>
      <w:r w:rsidR="00EA2F38">
        <w:fldChar w:fldCharType="begin"/>
      </w:r>
      <w:r w:rsidR="00D90A4A">
        <w:instrText xml:space="preserve"> REF _Ref247857251 \h </w:instrText>
      </w:r>
      <w:r w:rsidR="00EA2F38">
        <w:fldChar w:fldCharType="separate"/>
      </w:r>
      <w:r w:rsidR="00B11F3B" w:rsidRPr="00A40CD0">
        <w:t xml:space="preserve">Figure </w:t>
      </w:r>
      <w:r w:rsidR="00B11F3B">
        <w:rPr>
          <w:noProof/>
        </w:rPr>
        <w:t>31</w:t>
      </w:r>
      <w:r w:rsidR="00EA2F38">
        <w:fldChar w:fldCharType="end"/>
      </w:r>
      <w:r w:rsidRPr="00A40CD0">
        <w:t xml:space="preserve">) show values higher than 5 </w:t>
      </w:r>
      <w:r w:rsidRPr="00A40CD0">
        <w:rPr>
          <w:rFonts w:ascii="TimesNewRomanPSMT" w:hAnsi="TimesNewRomanPSMT" w:cs="TimesNewRomanPSMT"/>
        </w:rPr>
        <w:t>mg/L in Princess Charlotte Bay in both seasons</w:t>
      </w:r>
      <w:r w:rsidRPr="00A40CD0">
        <w:t>.</w:t>
      </w:r>
    </w:p>
    <w:p w:rsidR="00B25CAA" w:rsidRPr="00A40CD0" w:rsidRDefault="00B25CAA" w:rsidP="002E0BD6">
      <w:pPr>
        <w:pStyle w:val="BodyText"/>
      </w:pPr>
      <w:r w:rsidRPr="00A40CD0">
        <w:t xml:space="preserve">The maps in </w:t>
      </w:r>
      <w:r w:rsidR="00EA2F38">
        <w:fldChar w:fldCharType="begin"/>
      </w:r>
      <w:r w:rsidR="00D90A4A">
        <w:instrText xml:space="preserve"> REF _Ref247857257 \h </w:instrText>
      </w:r>
      <w:r w:rsidR="00EA2F38">
        <w:fldChar w:fldCharType="separate"/>
      </w:r>
      <w:r w:rsidR="00B11F3B" w:rsidRPr="00A40CD0">
        <w:t xml:space="preserve">Figure </w:t>
      </w:r>
      <w:r w:rsidR="00B11F3B">
        <w:rPr>
          <w:noProof/>
        </w:rPr>
        <w:t>32</w:t>
      </w:r>
      <w:r w:rsidR="00EA2F38">
        <w:fldChar w:fldCharType="end"/>
      </w:r>
      <w:r w:rsidRPr="00A40CD0">
        <w:t xml:space="preserve"> depict the number of observations available for calculating the median values for each season on each pixel in the map. The maps show that this amount varies from 15 to 30 observations (out of 180) for the wet season and about 50 (out of 180) for the dry season for each pixel location.</w:t>
      </w:r>
    </w:p>
    <w:p w:rsidR="00B25CAA" w:rsidRPr="00A40CD0" w:rsidRDefault="00C25E68" w:rsidP="002E0BD6">
      <w:pPr>
        <w:pStyle w:val="BodyText"/>
      </w:pPr>
      <w:r w:rsidRPr="00C25E68">
        <w:rPr>
          <w:noProof/>
          <w:lang w:eastAsia="en-AU"/>
        </w:rPr>
        <w:lastRenderedPageBreak/>
        <w:drawing>
          <wp:inline distT="0" distB="0" distL="0" distR="0">
            <wp:extent cx="5759450" cy="3756112"/>
            <wp:effectExtent l="0" t="0" r="6350" b="3175"/>
            <wp:docPr id="27" name="Picture 67" descr="Freshwater discharge and estimated freshwater extent for the Cape York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5759450" cy="3756112"/>
                    </a:xfrm>
                    <a:prstGeom prst="rect">
                      <a:avLst/>
                    </a:prstGeom>
                    <a:noFill/>
                    <a:ln w="9525">
                      <a:noFill/>
                      <a:miter lim="800000"/>
                      <a:headEnd/>
                      <a:tailEnd/>
                    </a:ln>
                  </pic:spPr>
                </pic:pic>
              </a:graphicData>
            </a:graphic>
          </wp:inline>
        </w:drawing>
      </w:r>
    </w:p>
    <w:p w:rsidR="00B25CAA" w:rsidRPr="00A40CD0" w:rsidRDefault="00B25CAA" w:rsidP="002B12EF">
      <w:pPr>
        <w:pStyle w:val="Caption"/>
      </w:pPr>
      <w:bookmarkStart w:id="167" w:name="_Ref304872974"/>
      <w:bookmarkStart w:id="168" w:name="_Toc228588307"/>
      <w:bookmarkStart w:id="169" w:name="_Toc399265013"/>
      <w:r w:rsidRPr="00A40CD0">
        <w:t xml:space="preserve">Figure </w:t>
      </w:r>
      <w:r w:rsidR="00EA2F38">
        <w:fldChar w:fldCharType="begin"/>
      </w:r>
      <w:r w:rsidR="00933C8B">
        <w:instrText xml:space="preserve"> SEQ Figure \* ARABIC </w:instrText>
      </w:r>
      <w:r w:rsidR="00EA2F38">
        <w:fldChar w:fldCharType="separate"/>
      </w:r>
      <w:r w:rsidR="00B11F3B">
        <w:rPr>
          <w:noProof/>
        </w:rPr>
        <w:t>27</w:t>
      </w:r>
      <w:r w:rsidR="00EA2F38">
        <w:fldChar w:fldCharType="end"/>
      </w:r>
      <w:bookmarkEnd w:id="167"/>
      <w:r w:rsidRPr="00A40CD0">
        <w:t>. Freshwater discharge and estimated freshwater extent for the Cape York region based on the CDOM maximum for the wet seasons.</w:t>
      </w:r>
      <w:bookmarkEnd w:id="168"/>
      <w:bookmarkEnd w:id="169"/>
    </w:p>
    <w:p w:rsidR="009202A6" w:rsidRPr="007E294B" w:rsidRDefault="00B25CAA" w:rsidP="007E294B">
      <w:pPr>
        <w:pStyle w:val="Heading3"/>
      </w:pPr>
      <w:bookmarkStart w:id="170" w:name="_Toc228588187"/>
      <w:bookmarkStart w:id="171" w:name="_Toc399264894"/>
      <w:r w:rsidRPr="007E294B">
        <w:t xml:space="preserve">Assessment of the </w:t>
      </w:r>
      <w:r w:rsidR="004A429F" w:rsidRPr="007E294B">
        <w:t xml:space="preserve">marine water quality index and the </w:t>
      </w:r>
      <w:r w:rsidRPr="007E294B">
        <w:t>exceedance of water quality guidelines</w:t>
      </w:r>
      <w:bookmarkEnd w:id="170"/>
      <w:bookmarkEnd w:id="171"/>
    </w:p>
    <w:p w:rsidR="005D23B6" w:rsidRPr="00A40CD0" w:rsidRDefault="004A429F" w:rsidP="002E0BD6">
      <w:pPr>
        <w:pStyle w:val="BodyText"/>
      </w:pPr>
      <w:r w:rsidRPr="00A40CD0">
        <w:t>The marine water quality for this reporting year for the Cape</w:t>
      </w:r>
      <w:r w:rsidR="00F34417">
        <w:t xml:space="preserve"> York region was scored as “good</w:t>
      </w:r>
      <w:r w:rsidRPr="00A40CD0">
        <w:t>”, reflecti</w:t>
      </w:r>
      <w:r w:rsidR="000063E1" w:rsidRPr="00A40CD0">
        <w:t>n</w:t>
      </w:r>
      <w:r w:rsidR="00F34417">
        <w:t>g a “moderate</w:t>
      </w:r>
      <w:r w:rsidRPr="00A40CD0">
        <w:t>” score for P2R_CHL and “</w:t>
      </w:r>
      <w:r w:rsidR="00F34417">
        <w:t>good</w:t>
      </w:r>
      <w:r w:rsidRPr="00A40CD0">
        <w:t>” for P2R_TSS</w:t>
      </w:r>
      <w:r w:rsidR="005D23B6" w:rsidRPr="00A40CD0">
        <w:t xml:space="preserve"> (</w:t>
      </w:r>
      <w:r w:rsidR="00EA2F38">
        <w:fldChar w:fldCharType="begin"/>
      </w:r>
      <w:r w:rsidR="00D90A4A">
        <w:instrText xml:space="preserve"> REF _Ref321309801 \h </w:instrText>
      </w:r>
      <w:r w:rsidR="00EA2F38">
        <w:fldChar w:fldCharType="separate"/>
      </w:r>
      <w:r w:rsidR="00B11F3B" w:rsidRPr="00A40CD0">
        <w:t xml:space="preserve">Figure </w:t>
      </w:r>
      <w:r w:rsidR="00B11F3B">
        <w:rPr>
          <w:noProof/>
        </w:rPr>
        <w:t>28</w:t>
      </w:r>
      <w:r w:rsidR="00EA2F38">
        <w:fldChar w:fldCharType="end"/>
      </w:r>
      <w:r w:rsidR="005D23B6" w:rsidRPr="00A40CD0">
        <w:t>).</w:t>
      </w:r>
      <w:r w:rsidRPr="00A40CD0">
        <w:t xml:space="preserve"> The marine water quality index</w:t>
      </w:r>
      <w:r w:rsidR="00286F43" w:rsidRPr="00A40CD0">
        <w:t xml:space="preserve"> and the componen</w:t>
      </w:r>
      <w:r w:rsidR="000063E1" w:rsidRPr="00A40CD0">
        <w:t>t score</w:t>
      </w:r>
      <w:r w:rsidR="00286F43" w:rsidRPr="00A40CD0">
        <w:t>s</w:t>
      </w:r>
      <w:r w:rsidRPr="00A40CD0">
        <w:t xml:space="preserve"> </w:t>
      </w:r>
      <w:r w:rsidR="000063E1" w:rsidRPr="00A40CD0">
        <w:t>hav</w:t>
      </w:r>
      <w:r w:rsidR="00F34417">
        <w:t>e been oscillating between “moderate</w:t>
      </w:r>
      <w:r w:rsidR="000063E1" w:rsidRPr="00A40CD0">
        <w:t>” and “</w:t>
      </w:r>
      <w:r w:rsidR="00F34417">
        <w:t>good</w:t>
      </w:r>
      <w:r w:rsidR="000063E1" w:rsidRPr="00A40CD0">
        <w:t>” since the 2003/04 reporting season, showing no clear correlation with the</w:t>
      </w:r>
      <w:r w:rsidRPr="00A40CD0">
        <w:t xml:space="preserve"> high freshwater discharges from the </w:t>
      </w:r>
      <w:r w:rsidR="005D23B6" w:rsidRPr="00A40CD0">
        <w:t>Cape York</w:t>
      </w:r>
      <w:r w:rsidRPr="00A40CD0">
        <w:t xml:space="preserve"> catchments and the associated es</w:t>
      </w:r>
      <w:r w:rsidR="000063E1" w:rsidRPr="00A40CD0">
        <w:t xml:space="preserve">timated freshwater plume extents </w:t>
      </w:r>
      <w:r w:rsidRPr="00A40CD0">
        <w:t>(</w:t>
      </w:r>
      <w:r w:rsidR="00EA2F38">
        <w:fldChar w:fldCharType="begin"/>
      </w:r>
      <w:r w:rsidR="00D90A4A">
        <w:instrText xml:space="preserve"> REF _Ref304872974 \h </w:instrText>
      </w:r>
      <w:r w:rsidR="00EA2F38">
        <w:fldChar w:fldCharType="separate"/>
      </w:r>
      <w:r w:rsidR="00B11F3B" w:rsidRPr="00A40CD0">
        <w:t xml:space="preserve">Figure </w:t>
      </w:r>
      <w:r w:rsidR="00B11F3B">
        <w:rPr>
          <w:noProof/>
        </w:rPr>
        <w:t>27</w:t>
      </w:r>
      <w:r w:rsidR="00EA2F38">
        <w:fldChar w:fldCharType="end"/>
      </w:r>
      <w:r w:rsidRPr="00A40CD0">
        <w:t xml:space="preserve">). </w:t>
      </w:r>
    </w:p>
    <w:p w:rsidR="00B25CAA" w:rsidRPr="00A40CD0" w:rsidRDefault="00B25CAA" w:rsidP="002E0BD6">
      <w:pPr>
        <w:pStyle w:val="BodyText"/>
      </w:pPr>
      <w:r w:rsidRPr="00A40CD0">
        <w:t>The exceedance of the Guidelines was assessed for CHL and TSS retrieved from MODIS Aqua using CSIRO’s algorithm. For the Cape York region the annual mean CHL</w:t>
      </w:r>
      <w:r w:rsidR="00A40CD0">
        <w:t xml:space="preserve"> </w:t>
      </w:r>
      <w:r w:rsidRPr="00A40CD0">
        <w:t xml:space="preserve">values of exceeded </w:t>
      </w:r>
      <w:r w:rsidR="0042607F">
        <w:t>the Guidelines threshold values for 17% of the Enclosed</w:t>
      </w:r>
      <w:r w:rsidR="0042607F" w:rsidRPr="00A40CD0">
        <w:t xml:space="preserve"> Coastal area</w:t>
      </w:r>
      <w:r w:rsidR="0042607F">
        <w:t xml:space="preserve">,  68% </w:t>
      </w:r>
      <w:r w:rsidRPr="00A40CD0">
        <w:t xml:space="preserve"> of the Open Coastal area, 13% of the Midshelf and none of the Offshore areas (</w:t>
      </w:r>
      <w:r w:rsidR="008A285B">
        <w:fldChar w:fldCharType="begin"/>
      </w:r>
      <w:r w:rsidR="008A285B">
        <w:instrText xml:space="preserve"> REF _Ref274065412 \h  \* MERGEFORMAT </w:instrText>
      </w:r>
      <w:r w:rsidR="008A285B">
        <w:fldChar w:fldCharType="separate"/>
      </w:r>
      <w:r w:rsidR="00B11F3B" w:rsidRPr="00A40CD0">
        <w:t xml:space="preserve">Figure </w:t>
      </w:r>
      <w:r w:rsidR="00B11F3B">
        <w:t>33</w:t>
      </w:r>
      <w:r w:rsidR="008A285B">
        <w:fldChar w:fldCharType="end"/>
      </w:r>
      <w:r w:rsidRPr="00A40CD0">
        <w:t xml:space="preserve">, </w:t>
      </w:r>
      <w:r w:rsidR="008A285B">
        <w:fldChar w:fldCharType="begin"/>
      </w:r>
      <w:r w:rsidR="008A285B">
        <w:instrText xml:space="preserve"> REF _Ref263851052 \h  \* MERGEFORMAT </w:instrText>
      </w:r>
      <w:r w:rsidR="008A285B">
        <w:fldChar w:fldCharType="separate"/>
      </w:r>
      <w:r w:rsidR="00B11F3B" w:rsidRPr="00A40CD0">
        <w:t xml:space="preserve">Table </w:t>
      </w:r>
      <w:r w:rsidR="00B11F3B">
        <w:t>12</w:t>
      </w:r>
      <w:r w:rsidR="008A285B">
        <w:fldChar w:fldCharType="end"/>
      </w:r>
      <w:r w:rsidRPr="00A40CD0">
        <w:t xml:space="preserve">). The mean CHL values of exceeded </w:t>
      </w:r>
      <w:r w:rsidR="0042607F">
        <w:t>the Guidelines thresholds for 93</w:t>
      </w:r>
      <w:r w:rsidRPr="00A40CD0">
        <w:t>% of the Open Coast</w:t>
      </w:r>
      <w:r w:rsidR="0042607F">
        <w:t>al area in the dry season and 27</w:t>
      </w:r>
      <w:r w:rsidRPr="00A40CD0">
        <w:t>% in the wet season. In the dry season CHL exceeded the Guidelines for 79% of the Midshelf and 17% of the Offshore areas (</w:t>
      </w:r>
      <w:r w:rsidR="008A285B">
        <w:fldChar w:fldCharType="begin"/>
      </w:r>
      <w:r w:rsidR="008A285B">
        <w:instrText xml:space="preserve"> REF _Ref247951264 \h  \* MERGEFORMAT </w:instrText>
      </w:r>
      <w:r w:rsidR="008A285B">
        <w:fldChar w:fldCharType="separate"/>
      </w:r>
      <w:r w:rsidR="00B11F3B" w:rsidRPr="00A40CD0">
        <w:t xml:space="preserve">Figure </w:t>
      </w:r>
      <w:r w:rsidR="00B11F3B">
        <w:t>34</w:t>
      </w:r>
      <w:r w:rsidR="008A285B">
        <w:fldChar w:fldCharType="end"/>
      </w:r>
      <w:r w:rsidRPr="00A40CD0">
        <w:t xml:space="preserve">, </w:t>
      </w:r>
      <w:r w:rsidR="008A285B">
        <w:fldChar w:fldCharType="begin"/>
      </w:r>
      <w:r w:rsidR="008A285B">
        <w:instrText xml:space="preserve"> REF _Ref263852278 \h  \* MERGEFORMAT </w:instrText>
      </w:r>
      <w:r w:rsidR="008A285B">
        <w:fldChar w:fldCharType="separate"/>
      </w:r>
      <w:r w:rsidR="00B11F3B" w:rsidRPr="00A40CD0">
        <w:t xml:space="preserve">Table </w:t>
      </w:r>
      <w:r w:rsidR="00B11F3B">
        <w:t>13</w:t>
      </w:r>
      <w:r w:rsidR="008A285B">
        <w:fldChar w:fldCharType="end"/>
      </w:r>
      <w:r w:rsidRPr="00A40CD0">
        <w:t xml:space="preserve">). Similar exceedance values were obtained if the median was used for the assessment (i.e. when EF was higher than 0.50, </w:t>
      </w:r>
      <w:r w:rsidR="008A285B">
        <w:fldChar w:fldCharType="begin"/>
      </w:r>
      <w:r w:rsidR="008A285B">
        <w:instrText xml:space="preserve"> REF _Ref247857268 \h  \* MERGEFORMAT </w:instrText>
      </w:r>
      <w:r w:rsidR="008A285B">
        <w:fldChar w:fldCharType="separate"/>
      </w:r>
      <w:r w:rsidR="00B11F3B" w:rsidRPr="00A40CD0">
        <w:t xml:space="preserve">Figure </w:t>
      </w:r>
      <w:r w:rsidR="00B11F3B">
        <w:t>35</w:t>
      </w:r>
      <w:r w:rsidR="008A285B">
        <w:fldChar w:fldCharType="end"/>
      </w:r>
      <w:r w:rsidRPr="00A40CD0">
        <w:t xml:space="preserve">, </w:t>
      </w:r>
      <w:r w:rsidR="008A285B">
        <w:fldChar w:fldCharType="begin"/>
      </w:r>
      <w:r w:rsidR="008A285B">
        <w:instrText xml:space="preserve"> REF _Ref263852278 \h  \* MERGEFORMAT </w:instrText>
      </w:r>
      <w:r w:rsidR="008A285B">
        <w:fldChar w:fldCharType="separate"/>
      </w:r>
      <w:r w:rsidR="00B11F3B" w:rsidRPr="00A40CD0">
        <w:t xml:space="preserve">Table </w:t>
      </w:r>
      <w:r w:rsidR="00B11F3B">
        <w:t>13</w:t>
      </w:r>
      <w:r w:rsidR="008A285B">
        <w:fldChar w:fldCharType="end"/>
      </w:r>
      <w:r w:rsidRPr="00A40CD0">
        <w:t>). The EG maps for CHL show that the mean CHL values of exceeded the Guidelines thresholds in the wet season and over the whole year only in river mouths and embayments (</w:t>
      </w:r>
      <w:r w:rsidR="008A285B">
        <w:fldChar w:fldCharType="begin"/>
      </w:r>
      <w:r w:rsidR="008A285B">
        <w:instrText xml:space="preserve"> REF _Ref274065412 \h  \* MERGEFORMAT </w:instrText>
      </w:r>
      <w:r w:rsidR="008A285B">
        <w:fldChar w:fldCharType="separate"/>
      </w:r>
      <w:r w:rsidR="00B11F3B" w:rsidRPr="00A40CD0">
        <w:t xml:space="preserve">Figure </w:t>
      </w:r>
      <w:r w:rsidR="00B11F3B">
        <w:t>33</w:t>
      </w:r>
      <w:r w:rsidR="008A285B">
        <w:fldChar w:fldCharType="end"/>
      </w:r>
      <w:r w:rsidRPr="00A40CD0">
        <w:t xml:space="preserve">, </w:t>
      </w:r>
      <w:r w:rsidR="00EA2F38">
        <w:fldChar w:fldCharType="begin"/>
      </w:r>
      <w:r w:rsidR="00D90A4A">
        <w:instrText xml:space="preserve"> REF _Ref247951264 \h </w:instrText>
      </w:r>
      <w:r w:rsidR="00EA2F38">
        <w:fldChar w:fldCharType="separate"/>
      </w:r>
      <w:r w:rsidR="00B11F3B" w:rsidRPr="00A40CD0">
        <w:t xml:space="preserve">Figure </w:t>
      </w:r>
      <w:r w:rsidR="00B11F3B">
        <w:rPr>
          <w:noProof/>
        </w:rPr>
        <w:t>34</w:t>
      </w:r>
      <w:r w:rsidR="00EA2F38">
        <w:fldChar w:fldCharType="end"/>
      </w:r>
      <w:r w:rsidRPr="00A40CD0">
        <w:t>). In the dry season the mean CHL values exceed in most of the reef matrix and Offshore waters (</w:t>
      </w:r>
      <w:r w:rsidR="00EA2F38">
        <w:fldChar w:fldCharType="begin"/>
      </w:r>
      <w:r w:rsidR="00D90A4A">
        <w:instrText xml:space="preserve"> REF _Ref247951264 \h </w:instrText>
      </w:r>
      <w:r w:rsidR="00EA2F38">
        <w:fldChar w:fldCharType="separate"/>
      </w:r>
      <w:r w:rsidR="00B11F3B" w:rsidRPr="00A40CD0">
        <w:t xml:space="preserve">Figure </w:t>
      </w:r>
      <w:r w:rsidR="00B11F3B">
        <w:rPr>
          <w:noProof/>
        </w:rPr>
        <w:t>34</w:t>
      </w:r>
      <w:r w:rsidR="00EA2F38">
        <w:fldChar w:fldCharType="end"/>
      </w:r>
      <w:r w:rsidRPr="00A40CD0">
        <w:t>), while the EF ranged between 10-25 %, indicating that median CHL values did not exceed the Guidelines (</w:t>
      </w:r>
      <w:r w:rsidR="00EA2F38">
        <w:fldChar w:fldCharType="begin"/>
      </w:r>
      <w:r w:rsidR="00D90A4A">
        <w:instrText xml:space="preserve"> REF _Ref247857268 \h </w:instrText>
      </w:r>
      <w:r w:rsidR="00EA2F38">
        <w:fldChar w:fldCharType="separate"/>
      </w:r>
      <w:r w:rsidR="00B11F3B" w:rsidRPr="00A40CD0">
        <w:t xml:space="preserve">Figure </w:t>
      </w:r>
      <w:r w:rsidR="00B11F3B">
        <w:rPr>
          <w:noProof/>
        </w:rPr>
        <w:t>35</w:t>
      </w:r>
      <w:r w:rsidR="00EA2F38">
        <w:fldChar w:fldCharType="end"/>
      </w:r>
      <w:r w:rsidRPr="00A40CD0">
        <w:t>).</w:t>
      </w:r>
    </w:p>
    <w:p w:rsidR="004A429F" w:rsidRPr="00A40CD0" w:rsidRDefault="0042607F" w:rsidP="002E0BD6">
      <w:pPr>
        <w:pStyle w:val="BodyText"/>
      </w:pPr>
      <w:r w:rsidRPr="0042607F">
        <w:rPr>
          <w:noProof/>
          <w:lang w:eastAsia="en-AU"/>
        </w:rPr>
        <w:lastRenderedPageBreak/>
        <w:drawing>
          <wp:inline distT="0" distB="0" distL="0" distR="0">
            <wp:extent cx="5759450" cy="3525102"/>
            <wp:effectExtent l="0" t="0" r="6350" b="5715"/>
            <wp:docPr id="7" name="Picture 32" descr="Paddock to Reef marine water quality index (P2R_WQI) and component scores (P2R_CHL and P2R_TSS) for the Cape York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a:off x="0" y="0"/>
                      <a:ext cx="5759450" cy="3525102"/>
                    </a:xfrm>
                    <a:prstGeom prst="rect">
                      <a:avLst/>
                    </a:prstGeom>
                    <a:noFill/>
                    <a:ln>
                      <a:noFill/>
                    </a:ln>
                  </pic:spPr>
                </pic:pic>
              </a:graphicData>
            </a:graphic>
          </wp:inline>
        </w:drawing>
      </w:r>
    </w:p>
    <w:p w:rsidR="004A429F" w:rsidRPr="00A40CD0" w:rsidRDefault="004A429F" w:rsidP="004A429F">
      <w:pPr>
        <w:pStyle w:val="Caption"/>
      </w:pPr>
      <w:bookmarkStart w:id="172" w:name="_Ref321309801"/>
      <w:bookmarkStart w:id="173" w:name="_Toc228588308"/>
      <w:bookmarkStart w:id="174" w:name="_Toc399265014"/>
      <w:r w:rsidRPr="00A40CD0">
        <w:t xml:space="preserve">Figure </w:t>
      </w:r>
      <w:r w:rsidR="00EA2F38">
        <w:fldChar w:fldCharType="begin"/>
      </w:r>
      <w:r w:rsidR="00933C8B">
        <w:instrText xml:space="preserve"> SEQ Figure \* ARABIC </w:instrText>
      </w:r>
      <w:r w:rsidR="00EA2F38">
        <w:fldChar w:fldCharType="separate"/>
      </w:r>
      <w:r w:rsidR="00B11F3B">
        <w:rPr>
          <w:noProof/>
        </w:rPr>
        <w:t>28</w:t>
      </w:r>
      <w:r w:rsidR="00EA2F38">
        <w:fldChar w:fldCharType="end"/>
      </w:r>
      <w:bookmarkEnd w:id="172"/>
      <w:r w:rsidRPr="00A40CD0">
        <w:t>. Paddock to Reef marine water quality index (P2R_WQI) and component scores (P2R_CHL and P2R_TSS) for the Cape York region based on the assessment of exceedance to the Guidelines.</w:t>
      </w:r>
      <w:bookmarkEnd w:id="173"/>
      <w:bookmarkEnd w:id="174"/>
    </w:p>
    <w:p w:rsidR="00B25CAA" w:rsidRPr="00A40CD0" w:rsidRDefault="00B25CAA" w:rsidP="002E0BD6">
      <w:pPr>
        <w:pStyle w:val="BodyText"/>
      </w:pPr>
      <w:r w:rsidRPr="00A40CD0">
        <w:t xml:space="preserve">Over the whole year, </w:t>
      </w:r>
      <w:r w:rsidR="00A40CD0" w:rsidRPr="00A40CD0">
        <w:t>exceedance of TSS Guideline values was</w:t>
      </w:r>
      <w:r w:rsidRPr="00A40CD0">
        <w:t xml:space="preserve"> recorded in 58% of Open Coastal, 57% of Midshelf and 21% of Offshore </w:t>
      </w:r>
      <w:r w:rsidR="00A40CD0" w:rsidRPr="00A40CD0">
        <w:t>areas (</w:t>
      </w:r>
      <w:r w:rsidR="008A285B">
        <w:fldChar w:fldCharType="begin"/>
      </w:r>
      <w:r w:rsidR="008A285B">
        <w:instrText xml:space="preserve"> REF _Ref274065412 \h  \* MERGEFORMAT </w:instrText>
      </w:r>
      <w:r w:rsidR="008A285B">
        <w:fldChar w:fldCharType="separate"/>
      </w:r>
      <w:r w:rsidR="00B11F3B" w:rsidRPr="00A40CD0">
        <w:t xml:space="preserve">Figure </w:t>
      </w:r>
      <w:r w:rsidR="00B11F3B">
        <w:t>33</w:t>
      </w:r>
      <w:r w:rsidR="008A285B">
        <w:fldChar w:fldCharType="end"/>
      </w:r>
      <w:r w:rsidRPr="00A40CD0">
        <w:t xml:space="preserve">, </w:t>
      </w:r>
      <w:r w:rsidR="008A285B">
        <w:fldChar w:fldCharType="begin"/>
      </w:r>
      <w:r w:rsidR="008A285B">
        <w:instrText xml:space="preserve"> REF _Ref263851052 \h  \* MERGEFORMAT </w:instrText>
      </w:r>
      <w:r w:rsidR="008A285B">
        <w:fldChar w:fldCharType="separate"/>
      </w:r>
      <w:r w:rsidR="00B11F3B" w:rsidRPr="00A40CD0">
        <w:t xml:space="preserve">Table </w:t>
      </w:r>
      <w:r w:rsidR="00B11F3B">
        <w:t>12</w:t>
      </w:r>
      <w:r w:rsidR="008A285B">
        <w:fldChar w:fldCharType="end"/>
      </w:r>
      <w:r w:rsidRPr="00A40CD0">
        <w:t xml:space="preserve">). The mean values of TSS exceeded the Guidelines values for 76 % of the Open Coastal Area in the dry season and 20 % in the wet season, in the dry season the mean values of TSS also exceeded the Guidelines for 74 % of the Midshelf and 26% of the Offshore area. Almost no exceedance was recorded for the Midshelf and Offshore areas in both seasons if the median was used for the assessment, while the exceedance of the median values for the Open Coastal area were significantly lower than those for the mean values (45% for the dry season and 9% for the wet season, </w:t>
      </w:r>
      <w:r w:rsidR="008A285B">
        <w:fldChar w:fldCharType="begin"/>
      </w:r>
      <w:r w:rsidR="008A285B">
        <w:instrText xml:space="preserve"> REF _Ref247857271 \h  \* MERGEFORMAT </w:instrText>
      </w:r>
      <w:r w:rsidR="008A285B">
        <w:fldChar w:fldCharType="separate"/>
      </w:r>
      <w:r w:rsidR="00B11F3B" w:rsidRPr="00A40CD0">
        <w:t xml:space="preserve">Figure </w:t>
      </w:r>
      <w:r w:rsidR="00B11F3B">
        <w:t>37</w:t>
      </w:r>
      <w:r w:rsidR="008A285B">
        <w:fldChar w:fldCharType="end"/>
      </w:r>
      <w:r w:rsidRPr="00A40CD0">
        <w:t xml:space="preserve">, and </w:t>
      </w:r>
      <w:r w:rsidR="008A285B">
        <w:fldChar w:fldCharType="begin"/>
      </w:r>
      <w:r w:rsidR="008A285B">
        <w:instrText xml:space="preserve"> REF _Ref248509378 \h  \* MERGEFORMAT </w:instrText>
      </w:r>
      <w:r w:rsidR="008A285B">
        <w:fldChar w:fldCharType="separate"/>
      </w:r>
      <w:r w:rsidR="00B11F3B" w:rsidRPr="00A40CD0">
        <w:t xml:space="preserve">Table </w:t>
      </w:r>
      <w:r w:rsidR="00B11F3B">
        <w:t>14</w:t>
      </w:r>
      <w:r w:rsidR="008A285B">
        <w:fldChar w:fldCharType="end"/>
      </w:r>
      <w:r w:rsidRPr="00A40CD0">
        <w:t>).</w:t>
      </w:r>
    </w:p>
    <w:p w:rsidR="00B25CAA" w:rsidRPr="00A40CD0" w:rsidRDefault="00EA2F38" w:rsidP="002E0BD6">
      <w:pPr>
        <w:pStyle w:val="BodyText"/>
      </w:pPr>
      <w:r>
        <w:fldChar w:fldCharType="begin"/>
      </w:r>
      <w:r w:rsidR="00D90A4A">
        <w:instrText xml:space="preserve"> REF _Ref248509379 \h </w:instrText>
      </w:r>
      <w:r>
        <w:fldChar w:fldCharType="separate"/>
      </w:r>
      <w:r w:rsidR="00B11F3B" w:rsidRPr="00A40CD0">
        <w:t xml:space="preserve">Table </w:t>
      </w:r>
      <w:r w:rsidR="00B11F3B">
        <w:rPr>
          <w:noProof/>
        </w:rPr>
        <w:t>15</w:t>
      </w:r>
      <w:r>
        <w:fldChar w:fldCharType="end"/>
      </w:r>
      <w:r w:rsidR="00B25CAA" w:rsidRPr="00A40CD0">
        <w:t xml:space="preserve"> and </w:t>
      </w:r>
      <w:r>
        <w:fldChar w:fldCharType="begin"/>
      </w:r>
      <w:r w:rsidR="00D90A4A">
        <w:instrText xml:space="preserve"> REF _Ref248509380 \h </w:instrText>
      </w:r>
      <w:r>
        <w:fldChar w:fldCharType="separate"/>
      </w:r>
      <w:r w:rsidR="00B11F3B" w:rsidRPr="00A40CD0">
        <w:t xml:space="preserve">Table </w:t>
      </w:r>
      <w:r w:rsidR="00B11F3B">
        <w:rPr>
          <w:noProof/>
        </w:rPr>
        <w:t>16</w:t>
      </w:r>
      <w:r>
        <w:fldChar w:fldCharType="end"/>
      </w:r>
      <w:r w:rsidR="00B25CAA" w:rsidRPr="00A40CD0">
        <w:t xml:space="preserve"> report the summary of exceedance for both variables, providing mean and median concentrations computed on all the valid observations for each water body for each season independently of the location, along with the EF for that period. These metrics are based on a high number </w:t>
      </w:r>
      <w:r w:rsidR="0042607F">
        <w:t>of observations (ranging from 22</w:t>
      </w:r>
      <w:r w:rsidR="00B25CAA" w:rsidRPr="00A40CD0">
        <w:t xml:space="preserve"> thousands valid observations for Open Coastal area in the wet season to almost 1 million for the Offshore area in the dry season). According to these metrics </w:t>
      </w:r>
      <w:r w:rsidR="00341EAA">
        <w:t xml:space="preserve">in the dry season </w:t>
      </w:r>
      <w:r w:rsidR="00B25CAA" w:rsidRPr="00A40CD0">
        <w:t xml:space="preserve">the mean </w:t>
      </w:r>
      <w:r w:rsidR="00341EAA">
        <w:t xml:space="preserve">values </w:t>
      </w:r>
      <w:r w:rsidR="00193A93">
        <w:t>of Chlorophyll</w:t>
      </w:r>
      <w:r w:rsidR="00341EAA">
        <w:t xml:space="preserve"> exceed the Guidelines for the Open Coastal, Inshore and Midshelf waters, while </w:t>
      </w:r>
      <w:r w:rsidR="00B25CAA" w:rsidRPr="00A40CD0">
        <w:t xml:space="preserve">the median values of Chlorophyll-a exceeded the Guidelines values for the Open Coastal </w:t>
      </w:r>
      <w:r w:rsidR="00341EAA">
        <w:t xml:space="preserve">and Inshore </w:t>
      </w:r>
      <w:r w:rsidR="00B25CAA" w:rsidRPr="00A40CD0">
        <w:t>area</w:t>
      </w:r>
      <w:r w:rsidR="00341EAA">
        <w:t>. T</w:t>
      </w:r>
      <w:r w:rsidR="00341EAA" w:rsidRPr="00A40CD0">
        <w:t>he mean values of TSS exceeded the Guidelines values f</w:t>
      </w:r>
      <w:r w:rsidR="00193A93">
        <w:t>or the Open Coastal</w:t>
      </w:r>
      <w:r w:rsidR="00341EAA">
        <w:t xml:space="preserve"> and Inshore </w:t>
      </w:r>
      <w:r w:rsidR="00341EAA" w:rsidRPr="00A40CD0">
        <w:t xml:space="preserve">area </w:t>
      </w:r>
      <w:r w:rsidR="00341EAA">
        <w:t>in the dry season</w:t>
      </w:r>
      <w:r w:rsidR="00341EAA" w:rsidRPr="00A40CD0">
        <w:t>.</w:t>
      </w:r>
      <w:r w:rsidR="00341EAA">
        <w:t xml:space="preserve"> In the wet season only the </w:t>
      </w:r>
      <w:r w:rsidR="00341EAA" w:rsidRPr="00A40CD0">
        <w:t xml:space="preserve">mean </w:t>
      </w:r>
      <w:r w:rsidR="00341EAA">
        <w:t>value of Chlorophyll exceed the Guidelines in both seasons.</w:t>
      </w:r>
    </w:p>
    <w:p w:rsidR="00B25CAA" w:rsidRPr="00A40CD0" w:rsidRDefault="00B25CAA">
      <w:pPr>
        <w:rPr>
          <w:rFonts w:ascii="Times New Roman" w:hAnsi="Times New Roman"/>
          <w:szCs w:val="20"/>
          <w:lang w:eastAsia="en-US"/>
        </w:rPr>
      </w:pPr>
      <w:r w:rsidRPr="00A40CD0">
        <w:br w:type="page"/>
      </w:r>
    </w:p>
    <w:p w:rsidR="00B25CAA" w:rsidRPr="00A40CD0" w:rsidRDefault="00B25CAA" w:rsidP="002E0BD6">
      <w:pPr>
        <w:pStyle w:val="BodyText"/>
      </w:pPr>
      <w:bookmarkStart w:id="175" w:name="_Ref263851052"/>
      <w:bookmarkStart w:id="176" w:name="_Toc228588237"/>
      <w:bookmarkStart w:id="177" w:name="_Toc399264941"/>
      <w:r w:rsidRPr="00A40CD0">
        <w:lastRenderedPageBreak/>
        <w:t xml:space="preserve">Table </w:t>
      </w:r>
      <w:fldSimple w:instr=" SEQ Table \* ARABIC ">
        <w:r w:rsidR="00B11F3B">
          <w:rPr>
            <w:noProof/>
          </w:rPr>
          <w:t>12</w:t>
        </w:r>
      </w:fldSimple>
      <w:bookmarkEnd w:id="175"/>
      <w:r w:rsidRPr="00A40CD0">
        <w:t xml:space="preserve"> Summary of the annual exceedance maps for Chlorophyll-a and Total Suspended Solids for the Cape York region. "Surface Area" is the surface area in square kilometres for each of the three reporting water bodies for this region: (</w:t>
      </w:r>
      <w:r w:rsidR="0042607F">
        <w:t xml:space="preserve">EC: Enclosed Coastal, </w:t>
      </w:r>
      <w:r w:rsidRPr="00A40CD0">
        <w:t>OC: Open Coastal</w:t>
      </w:r>
      <w:r w:rsidRPr="00DE172E">
        <w:t xml:space="preserve">, </w:t>
      </w:r>
      <w:r w:rsidR="0042607F" w:rsidRPr="00DE172E">
        <w:t>IS: Inshore</w:t>
      </w:r>
      <w:r w:rsidR="0042607F" w:rsidRPr="00A40CD0">
        <w:t>,</w:t>
      </w:r>
      <w:r w:rsidR="0042607F">
        <w:t xml:space="preserve"> </w:t>
      </w:r>
      <w:r w:rsidRPr="00A40CD0">
        <w:t>MS: Midshelf, OS: Offshore),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176"/>
      <w:bookmarkEnd w:id="177"/>
    </w:p>
    <w:tbl>
      <w:tblPr>
        <w:tblStyle w:val="TableGrid"/>
        <w:tblW w:w="5000" w:type="pct"/>
        <w:tblLook w:val="04A0" w:firstRow="1" w:lastRow="0" w:firstColumn="1" w:lastColumn="0" w:noHBand="0" w:noVBand="1"/>
      </w:tblPr>
      <w:tblGrid>
        <w:gridCol w:w="1121"/>
        <w:gridCol w:w="1122"/>
        <w:gridCol w:w="1268"/>
        <w:gridCol w:w="1313"/>
        <w:gridCol w:w="1109"/>
        <w:gridCol w:w="1122"/>
        <w:gridCol w:w="1109"/>
        <w:gridCol w:w="1122"/>
      </w:tblGrid>
      <w:tr w:rsidR="00F20F80" w:rsidRPr="009E5DAC" w:rsidTr="003E6AED">
        <w:tc>
          <w:tcPr>
            <w:tcW w:w="604" w:type="pct"/>
          </w:tcPr>
          <w:p w:rsidR="00F20F80" w:rsidRPr="009E5DAC" w:rsidRDefault="00F20F80" w:rsidP="00345D84">
            <w:pPr>
              <w:pStyle w:val="PlainText"/>
              <w:rPr>
                <w:rFonts w:ascii="Times New Roman" w:hAnsi="Times New Roman"/>
                <w:sz w:val="22"/>
                <w:szCs w:val="22"/>
              </w:rPr>
            </w:pPr>
            <w:bookmarkStart w:id="178" w:name="_Ref248509376"/>
          </w:p>
        </w:tc>
        <w:tc>
          <w:tcPr>
            <w:tcW w:w="604" w:type="pct"/>
          </w:tcPr>
          <w:p w:rsidR="00F20F80" w:rsidRPr="009E5DAC" w:rsidRDefault="00F20F80" w:rsidP="00345D84">
            <w:pPr>
              <w:pStyle w:val="PlainText"/>
              <w:rPr>
                <w:rFonts w:ascii="Times New Roman" w:hAnsi="Times New Roman"/>
                <w:sz w:val="22"/>
                <w:szCs w:val="22"/>
              </w:rPr>
            </w:pPr>
          </w:p>
        </w:tc>
        <w:tc>
          <w:tcPr>
            <w:tcW w:w="1390" w:type="pct"/>
            <w:gridSpan w:val="2"/>
          </w:tcPr>
          <w:p w:rsidR="00F20F80" w:rsidRPr="009E5DAC" w:rsidRDefault="00F20F80" w:rsidP="00345D84">
            <w:pPr>
              <w:pStyle w:val="PlainText"/>
              <w:rPr>
                <w:rFonts w:ascii="Times New Roman" w:hAnsi="Times New Roman"/>
                <w:sz w:val="22"/>
                <w:szCs w:val="22"/>
              </w:rPr>
            </w:pPr>
            <w:r w:rsidRPr="009E5DAC">
              <w:rPr>
                <w:rFonts w:ascii="Times New Roman" w:hAnsi="Times New Roman"/>
                <w:sz w:val="22"/>
                <w:szCs w:val="22"/>
              </w:rPr>
              <w:t>01-May-2011_30-Apr-2012</w:t>
            </w:r>
          </w:p>
        </w:tc>
        <w:tc>
          <w:tcPr>
            <w:tcW w:w="1201" w:type="pct"/>
            <w:gridSpan w:val="2"/>
          </w:tcPr>
          <w:p w:rsidR="00F20F80" w:rsidRPr="00A40CD0" w:rsidRDefault="00F20F80" w:rsidP="002E0BD6">
            <w:pPr>
              <w:pStyle w:val="BodyText"/>
            </w:pPr>
            <w:r w:rsidRPr="00A40CD0">
              <w:t>Chlorophyll-a</w:t>
            </w:r>
          </w:p>
        </w:tc>
        <w:tc>
          <w:tcPr>
            <w:tcW w:w="1201" w:type="pct"/>
            <w:gridSpan w:val="2"/>
            <w:vAlign w:val="bottom"/>
          </w:tcPr>
          <w:p w:rsidR="00F20F80" w:rsidRPr="00A40CD0" w:rsidRDefault="00F20F80" w:rsidP="002E0BD6">
            <w:pPr>
              <w:pStyle w:val="BodyText"/>
            </w:pPr>
            <w:r w:rsidRPr="00A40CD0">
              <w:t>Total Suspended Solids</w:t>
            </w:r>
          </w:p>
        </w:tc>
      </w:tr>
      <w:tr w:rsidR="00345D84" w:rsidRPr="009E5DAC" w:rsidTr="00F20F80">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 xml:space="preserve"> </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Surface Area</w:t>
            </w:r>
          </w:p>
        </w:tc>
        <w:tc>
          <w:tcPr>
            <w:tcW w:w="683"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Number valid obs.</w:t>
            </w:r>
          </w:p>
        </w:tc>
        <w:tc>
          <w:tcPr>
            <w:tcW w:w="70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Number total obs.</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Mean &gt; trigger</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Median &gt; trigger</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Mean &gt; trigger</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Median &gt; trigger</w:t>
            </w:r>
          </w:p>
        </w:tc>
      </w:tr>
      <w:tr w:rsidR="00345D84" w:rsidRPr="009E5DAC" w:rsidTr="00F20F80">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EC</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1291</w:t>
            </w:r>
          </w:p>
        </w:tc>
        <w:tc>
          <w:tcPr>
            <w:tcW w:w="683"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48142</w:t>
            </w:r>
          </w:p>
        </w:tc>
        <w:tc>
          <w:tcPr>
            <w:tcW w:w="70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423448</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17%</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11%</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34%</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17%</w:t>
            </w:r>
          </w:p>
        </w:tc>
      </w:tr>
      <w:tr w:rsidR="00345D84" w:rsidRPr="009E5DAC" w:rsidTr="00F20F80">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OC</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3004</w:t>
            </w:r>
          </w:p>
        </w:tc>
        <w:tc>
          <w:tcPr>
            <w:tcW w:w="683"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120868</w:t>
            </w:r>
          </w:p>
        </w:tc>
        <w:tc>
          <w:tcPr>
            <w:tcW w:w="70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985312</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68%</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64%</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19%</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w:t>
            </w:r>
          </w:p>
        </w:tc>
      </w:tr>
      <w:tr w:rsidR="00345D84" w:rsidRPr="009E5DAC" w:rsidTr="00F20F80">
        <w:tc>
          <w:tcPr>
            <w:tcW w:w="604" w:type="pct"/>
          </w:tcPr>
          <w:p w:rsidR="00345D84" w:rsidRPr="009E5DAC" w:rsidRDefault="00193A93" w:rsidP="00345D84">
            <w:pPr>
              <w:pStyle w:val="PlainText"/>
              <w:rPr>
                <w:rFonts w:ascii="Times New Roman" w:hAnsi="Times New Roman"/>
                <w:sz w:val="22"/>
                <w:szCs w:val="22"/>
              </w:rPr>
            </w:pPr>
            <w:r>
              <w:rPr>
                <w:rFonts w:ascii="Times New Roman" w:hAnsi="Times New Roman"/>
                <w:sz w:val="22"/>
                <w:szCs w:val="22"/>
              </w:rPr>
              <w:t>IS</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4295</w:t>
            </w:r>
          </w:p>
        </w:tc>
        <w:tc>
          <w:tcPr>
            <w:tcW w:w="683"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169010</w:t>
            </w:r>
          </w:p>
        </w:tc>
        <w:tc>
          <w:tcPr>
            <w:tcW w:w="70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1408760</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53%</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48%</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24%</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8%</w:t>
            </w:r>
          </w:p>
        </w:tc>
      </w:tr>
      <w:tr w:rsidR="00345D84" w:rsidRPr="009E5DAC" w:rsidTr="00F20F80">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MS</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10544</w:t>
            </w:r>
          </w:p>
        </w:tc>
        <w:tc>
          <w:tcPr>
            <w:tcW w:w="683"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540359</w:t>
            </w:r>
          </w:p>
        </w:tc>
        <w:tc>
          <w:tcPr>
            <w:tcW w:w="70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3458432</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14%</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13%</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w:t>
            </w:r>
          </w:p>
        </w:tc>
      </w:tr>
      <w:tr w:rsidR="00345D84" w:rsidRPr="009E5DAC" w:rsidTr="00F20F80">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OS</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62344</w:t>
            </w:r>
          </w:p>
        </w:tc>
        <w:tc>
          <w:tcPr>
            <w:tcW w:w="683"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2094250</w:t>
            </w:r>
          </w:p>
        </w:tc>
        <w:tc>
          <w:tcPr>
            <w:tcW w:w="70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20448832</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w:t>
            </w:r>
          </w:p>
        </w:tc>
        <w:tc>
          <w:tcPr>
            <w:tcW w:w="597"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w:t>
            </w:r>
          </w:p>
        </w:tc>
        <w:tc>
          <w:tcPr>
            <w:tcW w:w="604" w:type="pct"/>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w:t>
            </w:r>
          </w:p>
        </w:tc>
      </w:tr>
    </w:tbl>
    <w:p w:rsidR="00B25CAA" w:rsidRPr="00A40CD0" w:rsidRDefault="00B25CAA" w:rsidP="0002758C"/>
    <w:p w:rsidR="00B25CAA" w:rsidRPr="00A40CD0" w:rsidRDefault="00B25CAA" w:rsidP="002E0BD6">
      <w:pPr>
        <w:pStyle w:val="BodyText"/>
      </w:pPr>
      <w:bookmarkStart w:id="179" w:name="_Ref263852278"/>
      <w:bookmarkStart w:id="180" w:name="_Toc228588238"/>
      <w:bookmarkStart w:id="181" w:name="_Toc399264942"/>
      <w:r w:rsidRPr="00A40CD0">
        <w:t xml:space="preserve">Table </w:t>
      </w:r>
      <w:fldSimple w:instr=" SEQ Table \* ARABIC ">
        <w:r w:rsidR="00B11F3B">
          <w:rPr>
            <w:noProof/>
          </w:rPr>
          <w:t>13</w:t>
        </w:r>
      </w:fldSimple>
      <w:bookmarkEnd w:id="178"/>
      <w:bookmarkEnd w:id="179"/>
      <w:r w:rsidRPr="00A40CD0">
        <w:t xml:space="preserve"> Summary of the exceedance maps for Chlorophyll-a for the dry and wet season for the Cape York region (</w:t>
      </w:r>
      <w:r w:rsidR="00EA2F38">
        <w:fldChar w:fldCharType="begin"/>
      </w:r>
      <w:r w:rsidR="00D90A4A">
        <w:instrText xml:space="preserve"> REF _Ref247951264 \h </w:instrText>
      </w:r>
      <w:r w:rsidR="00EA2F38">
        <w:fldChar w:fldCharType="separate"/>
      </w:r>
      <w:r w:rsidR="00B11F3B" w:rsidRPr="00A40CD0">
        <w:t xml:space="preserve">Figure </w:t>
      </w:r>
      <w:r w:rsidR="00B11F3B">
        <w:rPr>
          <w:noProof/>
        </w:rPr>
        <w:t>34</w:t>
      </w:r>
      <w:r w:rsidR="00EA2F38">
        <w:fldChar w:fldCharType="end"/>
      </w:r>
      <w:r w:rsidRPr="00A40CD0">
        <w:t xml:space="preserve">, </w:t>
      </w:r>
      <w:r w:rsidR="00EA2F38">
        <w:fldChar w:fldCharType="begin"/>
      </w:r>
      <w:r w:rsidR="00D90A4A">
        <w:instrText xml:space="preserve"> REF _Ref247857268 \h </w:instrText>
      </w:r>
      <w:r w:rsidR="00EA2F38">
        <w:fldChar w:fldCharType="separate"/>
      </w:r>
      <w:r w:rsidR="00B11F3B" w:rsidRPr="00A40CD0">
        <w:t xml:space="preserve">Figure </w:t>
      </w:r>
      <w:r w:rsidR="00B11F3B">
        <w:rPr>
          <w:noProof/>
        </w:rPr>
        <w:t>35</w:t>
      </w:r>
      <w:r w:rsidR="00EA2F38">
        <w:fldChar w:fldCharType="end"/>
      </w:r>
      <w:r w:rsidRPr="00A40CD0">
        <w:t xml:space="preserve">).  Column and row labels are described in the legend of </w:t>
      </w:r>
      <w:r w:rsidR="008A285B">
        <w:fldChar w:fldCharType="begin"/>
      </w:r>
      <w:r w:rsidR="008A285B">
        <w:instrText xml:space="preserve"> REF _Ref263851052 \h  \* MERGEFORMAT </w:instrText>
      </w:r>
      <w:r w:rsidR="008A285B">
        <w:fldChar w:fldCharType="separate"/>
      </w:r>
      <w:r w:rsidR="00B11F3B" w:rsidRPr="00A40CD0">
        <w:t xml:space="preserve">Table </w:t>
      </w:r>
      <w:r w:rsidR="00B11F3B">
        <w:t>12</w:t>
      </w:r>
      <w:r w:rsidR="008A285B">
        <w:fldChar w:fldCharType="end"/>
      </w:r>
      <w:r w:rsidRPr="00A40CD0">
        <w:t>.</w:t>
      </w:r>
      <w:bookmarkEnd w:id="180"/>
      <w:bookmarkEnd w:id="181"/>
    </w:p>
    <w:tbl>
      <w:tblPr>
        <w:tblStyle w:val="TableGrid"/>
        <w:tblW w:w="9453" w:type="dxa"/>
        <w:tblLook w:val="04A0" w:firstRow="1" w:lastRow="0" w:firstColumn="1" w:lastColumn="0" w:noHBand="0" w:noVBand="1"/>
      </w:tblPr>
      <w:tblGrid>
        <w:gridCol w:w="890"/>
        <w:gridCol w:w="899"/>
        <w:gridCol w:w="1060"/>
        <w:gridCol w:w="986"/>
        <w:gridCol w:w="831"/>
        <w:gridCol w:w="900"/>
        <w:gridCol w:w="1060"/>
        <w:gridCol w:w="1096"/>
        <w:gridCol w:w="831"/>
        <w:gridCol w:w="900"/>
      </w:tblGrid>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p>
        </w:tc>
        <w:tc>
          <w:tcPr>
            <w:tcW w:w="899" w:type="dxa"/>
          </w:tcPr>
          <w:p w:rsidR="00345D84" w:rsidRPr="009E5DAC" w:rsidRDefault="00345D84" w:rsidP="00345D84">
            <w:pPr>
              <w:pStyle w:val="PlainText"/>
              <w:rPr>
                <w:rFonts w:ascii="Times New Roman" w:hAnsi="Times New Roman"/>
                <w:sz w:val="22"/>
                <w:szCs w:val="22"/>
              </w:rPr>
            </w:pPr>
          </w:p>
        </w:tc>
        <w:tc>
          <w:tcPr>
            <w:tcW w:w="3777" w:type="dxa"/>
            <w:gridSpan w:val="4"/>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01-May-2011_31-Oct-2011</w:t>
            </w:r>
          </w:p>
        </w:tc>
        <w:tc>
          <w:tcPr>
            <w:tcW w:w="3887" w:type="dxa"/>
            <w:gridSpan w:val="4"/>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01-Nov-2011_30-Apr-2012</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 xml:space="preserve"> </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Number total obs.</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Mean &gt; trigger</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Number valid obs.</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Number total obs.</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Mean &gt; trigger</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Median &gt; trigger</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EC</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1291</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32449</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202687</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33%</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15693</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220761</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8%</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8%</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OC</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3004</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77801</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471628</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93%</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89%</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43067</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513684</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27%</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26%</w:t>
            </w:r>
          </w:p>
        </w:tc>
      </w:tr>
      <w:tr w:rsidR="00345D84" w:rsidRPr="009E5DAC" w:rsidTr="00345D84">
        <w:tc>
          <w:tcPr>
            <w:tcW w:w="890" w:type="dxa"/>
          </w:tcPr>
          <w:p w:rsidR="00345D84" w:rsidRPr="009E5DAC" w:rsidRDefault="00193A93" w:rsidP="00345D84">
            <w:pPr>
              <w:pStyle w:val="PlainText"/>
              <w:rPr>
                <w:rFonts w:ascii="Times New Roman" w:hAnsi="Times New Roman"/>
                <w:sz w:val="22"/>
                <w:szCs w:val="22"/>
              </w:rPr>
            </w:pPr>
            <w:r>
              <w:rPr>
                <w:rFonts w:ascii="Times New Roman" w:hAnsi="Times New Roman"/>
                <w:sz w:val="22"/>
                <w:szCs w:val="22"/>
              </w:rPr>
              <w:t>IS</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4295</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110250</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674315</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75%</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68%</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58760</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734445</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21%</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21%</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MS</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10544</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350984</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1655408</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43%</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37%</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189375</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1803024</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OS</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62344</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1306456</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9788008</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787794</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10660824</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2E0BD6">
      <w:pPr>
        <w:pStyle w:val="BodyText"/>
      </w:pPr>
    </w:p>
    <w:p w:rsidR="00B25CAA" w:rsidRPr="00A40CD0" w:rsidRDefault="00B25CAA" w:rsidP="004F4DDE">
      <w:pPr>
        <w:pStyle w:val="Caption"/>
      </w:pPr>
      <w:bookmarkStart w:id="182" w:name="_Ref248509378"/>
      <w:bookmarkStart w:id="183" w:name="_Toc228588239"/>
      <w:bookmarkStart w:id="184" w:name="_Toc399264943"/>
      <w:r w:rsidRPr="00A40CD0">
        <w:t xml:space="preserve">Table </w:t>
      </w:r>
      <w:fldSimple w:instr=" SEQ Table \* ARABIC ">
        <w:r w:rsidR="00B11F3B">
          <w:rPr>
            <w:noProof/>
          </w:rPr>
          <w:t>14</w:t>
        </w:r>
      </w:fldSimple>
      <w:bookmarkEnd w:id="182"/>
      <w:r w:rsidRPr="00A40CD0">
        <w:t xml:space="preserve"> Summary of the exceedance maps for Non-algal particulate matter (NAP as a measure of TSS)  for the dry and wet season for the Cape York region (</w:t>
      </w:r>
      <w:r w:rsidR="00EA2F38" w:rsidRPr="00A40CD0">
        <w:fldChar w:fldCharType="begin"/>
      </w:r>
      <w:r w:rsidRPr="00A40CD0">
        <w:instrText xml:space="preserve"> REF _Ref247857270 \h </w:instrText>
      </w:r>
      <w:r w:rsidR="00EA2F38" w:rsidRPr="00A40CD0">
        <w:fldChar w:fldCharType="separate"/>
      </w:r>
      <w:r w:rsidR="00B11F3B" w:rsidRPr="00A40CD0">
        <w:t xml:space="preserve">Figure </w:t>
      </w:r>
      <w:r w:rsidR="00B11F3B">
        <w:rPr>
          <w:noProof/>
        </w:rPr>
        <w:t>36</w:t>
      </w:r>
      <w:r w:rsidR="00EA2F38" w:rsidRPr="00A40CD0">
        <w:fldChar w:fldCharType="end"/>
      </w:r>
      <w:r w:rsidRPr="00A40CD0">
        <w:t xml:space="preserve">, </w:t>
      </w:r>
      <w:r w:rsidR="00EA2F38" w:rsidRPr="00A40CD0">
        <w:fldChar w:fldCharType="begin"/>
      </w:r>
      <w:r w:rsidRPr="00A40CD0">
        <w:instrText xml:space="preserve"> REF _Ref247857271 \h </w:instrText>
      </w:r>
      <w:r w:rsidR="00EA2F38" w:rsidRPr="00A40CD0">
        <w:fldChar w:fldCharType="separate"/>
      </w:r>
      <w:r w:rsidR="00B11F3B" w:rsidRPr="00A40CD0">
        <w:t xml:space="preserve">Figure </w:t>
      </w:r>
      <w:r w:rsidR="00B11F3B">
        <w:rPr>
          <w:noProof/>
        </w:rPr>
        <w:t>37</w:t>
      </w:r>
      <w:r w:rsidR="00EA2F38" w:rsidRPr="00A40CD0">
        <w:fldChar w:fldCharType="end"/>
      </w:r>
      <w:r w:rsidRPr="00A40CD0">
        <w:t xml:space="preserve">). Column and row labels are described in the legend of </w:t>
      </w:r>
      <w:r w:rsidR="008A285B">
        <w:fldChar w:fldCharType="begin"/>
      </w:r>
      <w:r w:rsidR="008A285B">
        <w:instrText xml:space="preserve"> REF _Ref263851052 \h  \* MERGEFORMAT </w:instrText>
      </w:r>
      <w:r w:rsidR="008A285B">
        <w:fldChar w:fldCharType="separate"/>
      </w:r>
      <w:r w:rsidR="00B11F3B" w:rsidRPr="00A40CD0">
        <w:t xml:space="preserve">Table </w:t>
      </w:r>
      <w:r w:rsidR="00B11F3B">
        <w:t>12</w:t>
      </w:r>
      <w:r w:rsidR="008A285B">
        <w:fldChar w:fldCharType="end"/>
      </w:r>
      <w:r w:rsidRPr="00A40CD0">
        <w:t>.</w:t>
      </w:r>
      <w:bookmarkEnd w:id="183"/>
      <w:bookmarkEnd w:id="184"/>
    </w:p>
    <w:tbl>
      <w:tblPr>
        <w:tblStyle w:val="TableGrid"/>
        <w:tblW w:w="9453" w:type="dxa"/>
        <w:tblLook w:val="04A0" w:firstRow="1" w:lastRow="0" w:firstColumn="1" w:lastColumn="0" w:noHBand="0" w:noVBand="1"/>
      </w:tblPr>
      <w:tblGrid>
        <w:gridCol w:w="890"/>
        <w:gridCol w:w="899"/>
        <w:gridCol w:w="1060"/>
        <w:gridCol w:w="986"/>
        <w:gridCol w:w="831"/>
        <w:gridCol w:w="900"/>
        <w:gridCol w:w="1060"/>
        <w:gridCol w:w="1096"/>
        <w:gridCol w:w="831"/>
        <w:gridCol w:w="900"/>
      </w:tblGrid>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p>
        </w:tc>
        <w:tc>
          <w:tcPr>
            <w:tcW w:w="899" w:type="dxa"/>
          </w:tcPr>
          <w:p w:rsidR="00345D84" w:rsidRPr="009E5DAC" w:rsidRDefault="00345D84" w:rsidP="00345D84">
            <w:pPr>
              <w:pStyle w:val="PlainText"/>
              <w:rPr>
                <w:rFonts w:ascii="Times New Roman" w:hAnsi="Times New Roman"/>
                <w:sz w:val="22"/>
                <w:szCs w:val="22"/>
              </w:rPr>
            </w:pPr>
          </w:p>
        </w:tc>
        <w:tc>
          <w:tcPr>
            <w:tcW w:w="3777" w:type="dxa"/>
            <w:gridSpan w:val="4"/>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01-May-2011_31-Oct-2011</w:t>
            </w:r>
          </w:p>
        </w:tc>
        <w:tc>
          <w:tcPr>
            <w:tcW w:w="3887" w:type="dxa"/>
            <w:gridSpan w:val="4"/>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01-Nov-2011_30-Apr-2012</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 xml:space="preserve"> </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 xml:space="preserve">Number valid </w:t>
            </w:r>
            <w:r w:rsidRPr="009E5DAC">
              <w:rPr>
                <w:rFonts w:ascii="Times New Roman" w:hAnsi="Times New Roman"/>
                <w:sz w:val="22"/>
                <w:szCs w:val="22"/>
              </w:rPr>
              <w:lastRenderedPageBreak/>
              <w:t>obs.</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 xml:space="preserve">Number total </w:t>
            </w:r>
            <w:r w:rsidRPr="009E5DAC">
              <w:rPr>
                <w:rFonts w:ascii="Times New Roman" w:hAnsi="Times New Roman"/>
                <w:sz w:val="22"/>
                <w:szCs w:val="22"/>
              </w:rPr>
              <w:lastRenderedPageBreak/>
              <w:t>obs.</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 xml:space="preserve">Mean &gt; </w:t>
            </w:r>
            <w:r w:rsidRPr="009E5DAC">
              <w:rPr>
                <w:rFonts w:ascii="Times New Roman" w:hAnsi="Times New Roman"/>
                <w:sz w:val="22"/>
                <w:szCs w:val="22"/>
              </w:rPr>
              <w:lastRenderedPageBreak/>
              <w:t>trigger</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 xml:space="preserve">Median &gt; </w:t>
            </w:r>
            <w:r w:rsidRPr="009E5DAC">
              <w:rPr>
                <w:rFonts w:ascii="Times New Roman" w:hAnsi="Times New Roman"/>
                <w:sz w:val="22"/>
                <w:szCs w:val="22"/>
              </w:rPr>
              <w:lastRenderedPageBreak/>
              <w:t>trigger</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 xml:space="preserve">Number valid </w:t>
            </w:r>
            <w:r w:rsidRPr="009E5DAC">
              <w:rPr>
                <w:rFonts w:ascii="Times New Roman" w:hAnsi="Times New Roman"/>
                <w:sz w:val="22"/>
                <w:szCs w:val="22"/>
              </w:rPr>
              <w:lastRenderedPageBreak/>
              <w:t>obs.</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Number total obs.</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 xml:space="preserve">Mean &gt; </w:t>
            </w:r>
            <w:r w:rsidRPr="009E5DAC">
              <w:rPr>
                <w:rFonts w:ascii="Times New Roman" w:hAnsi="Times New Roman"/>
                <w:sz w:val="22"/>
                <w:szCs w:val="22"/>
              </w:rPr>
              <w:lastRenderedPageBreak/>
              <w:t>trigger</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 xml:space="preserve">Median &gt; </w:t>
            </w:r>
            <w:r w:rsidRPr="009E5DAC">
              <w:rPr>
                <w:rFonts w:ascii="Times New Roman" w:hAnsi="Times New Roman"/>
                <w:sz w:val="22"/>
                <w:szCs w:val="22"/>
              </w:rPr>
              <w:lastRenderedPageBreak/>
              <w:t>trigger</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lastRenderedPageBreak/>
              <w:t>EC</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1291</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32449</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202687</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55%</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31%</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15693</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220761</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11%</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OC</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3004</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77801</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471628</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31%</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43067</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513684</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w:t>
            </w:r>
          </w:p>
        </w:tc>
      </w:tr>
      <w:tr w:rsidR="00345D84" w:rsidRPr="009E5DAC" w:rsidTr="00345D84">
        <w:tc>
          <w:tcPr>
            <w:tcW w:w="890" w:type="dxa"/>
          </w:tcPr>
          <w:p w:rsidR="00345D84" w:rsidRPr="009E5DAC" w:rsidRDefault="00193A93" w:rsidP="00345D84">
            <w:pPr>
              <w:pStyle w:val="PlainText"/>
              <w:rPr>
                <w:rFonts w:ascii="Times New Roman" w:hAnsi="Times New Roman"/>
                <w:sz w:val="22"/>
                <w:szCs w:val="22"/>
              </w:rPr>
            </w:pPr>
            <w:r>
              <w:rPr>
                <w:rFonts w:ascii="Times New Roman" w:hAnsi="Times New Roman"/>
                <w:sz w:val="22"/>
                <w:szCs w:val="22"/>
              </w:rPr>
              <w:t>IS</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4295</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110250</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674315</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39%</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22%</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58760</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734445</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9%</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MS</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10544</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350984</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1655408</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5%</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189375</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1803024</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0%</w:t>
            </w:r>
          </w:p>
        </w:tc>
      </w:tr>
      <w:tr w:rsidR="00345D84" w:rsidRPr="009E5DAC" w:rsidTr="00345D84">
        <w:tc>
          <w:tcPr>
            <w:tcW w:w="89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OS</w:t>
            </w:r>
          </w:p>
        </w:tc>
        <w:tc>
          <w:tcPr>
            <w:tcW w:w="899"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62344</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1306456</w:t>
            </w:r>
          </w:p>
        </w:tc>
        <w:tc>
          <w:tcPr>
            <w:tcW w:w="98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9788008</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10%</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8%</w:t>
            </w:r>
          </w:p>
        </w:tc>
        <w:tc>
          <w:tcPr>
            <w:tcW w:w="106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787794</w:t>
            </w:r>
          </w:p>
        </w:tc>
        <w:tc>
          <w:tcPr>
            <w:tcW w:w="1096"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10660824</w:t>
            </w:r>
          </w:p>
        </w:tc>
        <w:tc>
          <w:tcPr>
            <w:tcW w:w="831"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3%</w:t>
            </w:r>
          </w:p>
        </w:tc>
        <w:tc>
          <w:tcPr>
            <w:tcW w:w="900" w:type="dxa"/>
          </w:tcPr>
          <w:p w:rsidR="00345D84" w:rsidRPr="009E5DAC" w:rsidRDefault="00345D84" w:rsidP="00345D84">
            <w:pPr>
              <w:pStyle w:val="PlainText"/>
              <w:rPr>
                <w:rFonts w:ascii="Times New Roman" w:hAnsi="Times New Roman"/>
                <w:sz w:val="22"/>
                <w:szCs w:val="22"/>
              </w:rPr>
            </w:pPr>
            <w:r w:rsidRPr="009E5DAC">
              <w:rPr>
                <w:rFonts w:ascii="Times New Roman" w:hAnsi="Times New Roman"/>
                <w:sz w:val="22"/>
                <w:szCs w:val="22"/>
              </w:rPr>
              <w:t>2%</w:t>
            </w:r>
          </w:p>
        </w:tc>
      </w:tr>
    </w:tbl>
    <w:p w:rsidR="00B25CAA" w:rsidRPr="00A40CD0" w:rsidRDefault="00B25CAA" w:rsidP="002E0BD6">
      <w:pPr>
        <w:pStyle w:val="BodyText"/>
      </w:pPr>
    </w:p>
    <w:p w:rsidR="00B25CAA" w:rsidRPr="00A40CD0" w:rsidRDefault="00B25CAA" w:rsidP="002E0BD6">
      <w:pPr>
        <w:pStyle w:val="BodyText"/>
      </w:pPr>
    </w:p>
    <w:p w:rsidR="00B25CAA" w:rsidRPr="00A40CD0" w:rsidRDefault="00B25CAA" w:rsidP="002E0BD6">
      <w:pPr>
        <w:pStyle w:val="BodyText"/>
      </w:pPr>
      <w:bookmarkStart w:id="185" w:name="_Ref248509379"/>
      <w:bookmarkStart w:id="186" w:name="_Toc228588240"/>
      <w:bookmarkStart w:id="187" w:name="_Toc399264944"/>
      <w:r w:rsidRPr="00A40CD0">
        <w:t xml:space="preserve">Table </w:t>
      </w:r>
      <w:fldSimple w:instr=" SEQ Table \* ARABIC ">
        <w:r w:rsidR="00B11F3B">
          <w:rPr>
            <w:noProof/>
          </w:rPr>
          <w:t>15</w:t>
        </w:r>
      </w:fldSimple>
      <w:bookmarkEnd w:id="185"/>
      <w:r w:rsidRPr="00A40CD0">
        <w:t xml:space="preserve">. Summary of Chlorophyll-a exceedance for the dry and wet season for the Cape York region. “Number valid obs." is the number of pixels with valid observations (i.e. cloud-free and error-free pixels) for each of the three reporting water bodies </w:t>
      </w:r>
      <w:r w:rsidR="00193A93">
        <w:t xml:space="preserve">for this region: (EC: Enclosed Coastal, OC: Open Coastal, </w:t>
      </w:r>
      <w:r w:rsidR="00135A64">
        <w:t>MS: Midshelf, OS: Offshore),</w:t>
      </w:r>
      <w:r w:rsidRPr="00A40CD0">
        <w:t xml:space="preserve"> "Number total obs." provides the total number of observations. Mean and median are presented in red and bold if they exceed the trigger value in the Guidelines. The seasonally adjusted Guideline values for Chlorophyll –a for the dry/wet season are </w:t>
      </w:r>
      <w:r w:rsidR="00AF0243">
        <w:t>1.4/2.8</w:t>
      </w:r>
      <w:r w:rsidR="00AF0243" w:rsidRPr="00A40CD0">
        <w:t xml:space="preserve"> µg L</w:t>
      </w:r>
      <w:r w:rsidR="00AF0243" w:rsidRPr="00A40CD0">
        <w:rPr>
          <w:vertAlign w:val="superscript"/>
        </w:rPr>
        <w:t>-1</w:t>
      </w:r>
      <w:r w:rsidR="00AF0243" w:rsidRPr="00A40CD0">
        <w:t xml:space="preserve"> for </w:t>
      </w:r>
      <w:r w:rsidR="00AF0243">
        <w:t>Enclosed</w:t>
      </w:r>
      <w:r w:rsidR="00AF0243" w:rsidRPr="00A40CD0">
        <w:t xml:space="preserve"> Coastal</w:t>
      </w:r>
      <w:r w:rsidR="00AF0243">
        <w:t>,</w:t>
      </w:r>
      <w:r w:rsidR="00AF0243" w:rsidRPr="00A40CD0">
        <w:t xml:space="preserve"> </w:t>
      </w:r>
      <w:r w:rsidRPr="00A40CD0">
        <w:t>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186"/>
      <w:bookmarkEnd w:id="187"/>
    </w:p>
    <w:tbl>
      <w:tblPr>
        <w:tblStyle w:val="TableGrid"/>
        <w:tblW w:w="9453" w:type="dxa"/>
        <w:tblLook w:val="04A0" w:firstRow="1" w:lastRow="0" w:firstColumn="1" w:lastColumn="0" w:noHBand="0" w:noVBand="1"/>
      </w:tblPr>
      <w:tblGrid>
        <w:gridCol w:w="877"/>
        <w:gridCol w:w="986"/>
        <w:gridCol w:w="986"/>
        <w:gridCol w:w="717"/>
        <w:gridCol w:w="889"/>
        <w:gridCol w:w="620"/>
        <w:gridCol w:w="1056"/>
        <w:gridCol w:w="1096"/>
        <w:gridCol w:w="717"/>
        <w:gridCol w:w="889"/>
        <w:gridCol w:w="620"/>
      </w:tblGrid>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p>
        </w:tc>
        <w:tc>
          <w:tcPr>
            <w:tcW w:w="4198"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378"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32449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202687</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0.86</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19%</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15693</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220761</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1.06</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77801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471628</w:t>
            </w:r>
          </w:p>
        </w:tc>
        <w:tc>
          <w:tcPr>
            <w:tcW w:w="717" w:type="dxa"/>
          </w:tcPr>
          <w:p w:rsidR="00EC0426" w:rsidRPr="00453395" w:rsidRDefault="00EC0426" w:rsidP="00EC0426">
            <w:pPr>
              <w:pStyle w:val="PlainText"/>
              <w:rPr>
                <w:rFonts w:ascii="Times New Roman" w:hAnsi="Times New Roman"/>
                <w:b/>
                <w:color w:val="FF0000"/>
                <w:sz w:val="22"/>
                <w:szCs w:val="22"/>
              </w:rPr>
            </w:pPr>
            <w:r w:rsidRPr="00453395">
              <w:rPr>
                <w:rFonts w:ascii="Times New Roman" w:hAnsi="Times New Roman"/>
                <w:b/>
                <w:color w:val="FF0000"/>
                <w:sz w:val="22"/>
                <w:szCs w:val="22"/>
              </w:rPr>
              <w:t>0.54</w:t>
            </w:r>
          </w:p>
        </w:tc>
        <w:tc>
          <w:tcPr>
            <w:tcW w:w="889" w:type="dxa"/>
          </w:tcPr>
          <w:p w:rsidR="00EC0426" w:rsidRPr="00453395" w:rsidRDefault="00EC0426" w:rsidP="00EC0426">
            <w:pPr>
              <w:pStyle w:val="PlainText"/>
              <w:rPr>
                <w:rFonts w:ascii="Times New Roman" w:hAnsi="Times New Roman"/>
                <w:b/>
                <w:color w:val="FF0000"/>
                <w:sz w:val="22"/>
                <w:szCs w:val="22"/>
              </w:rPr>
            </w:pPr>
            <w:r w:rsidRPr="00453395">
              <w:rPr>
                <w:rFonts w:ascii="Times New Roman" w:hAnsi="Times New Roman"/>
                <w:b/>
                <w:color w:val="FF0000"/>
                <w:sz w:val="22"/>
                <w:szCs w:val="22"/>
              </w:rPr>
              <w:t>0.47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78%</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43067</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513684</w:t>
            </w:r>
          </w:p>
        </w:tc>
        <w:tc>
          <w:tcPr>
            <w:tcW w:w="717" w:type="dxa"/>
          </w:tcPr>
          <w:p w:rsidR="00EC0426" w:rsidRPr="00453395" w:rsidRDefault="00EC0426" w:rsidP="00EC0426">
            <w:pPr>
              <w:pStyle w:val="PlainText"/>
              <w:rPr>
                <w:rFonts w:ascii="Times New Roman" w:hAnsi="Times New Roman"/>
                <w:b/>
                <w:color w:val="FF0000"/>
                <w:sz w:val="22"/>
                <w:szCs w:val="22"/>
              </w:rPr>
            </w:pPr>
            <w:r w:rsidRPr="00453395">
              <w:rPr>
                <w:rFonts w:ascii="Times New Roman" w:hAnsi="Times New Roman"/>
                <w:b/>
                <w:color w:val="FF0000"/>
                <w:sz w:val="22"/>
                <w:szCs w:val="22"/>
              </w:rPr>
              <w:t>0.57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350984</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1655408</w:t>
            </w:r>
          </w:p>
        </w:tc>
        <w:tc>
          <w:tcPr>
            <w:tcW w:w="717" w:type="dxa"/>
          </w:tcPr>
          <w:p w:rsidR="00EC0426" w:rsidRPr="00453395" w:rsidRDefault="00EC0426" w:rsidP="00EC0426">
            <w:pPr>
              <w:pStyle w:val="PlainText"/>
              <w:rPr>
                <w:rFonts w:ascii="Times New Roman" w:hAnsi="Times New Roman"/>
                <w:b/>
                <w:color w:val="FF0000"/>
                <w:sz w:val="22"/>
                <w:szCs w:val="22"/>
              </w:rPr>
            </w:pPr>
            <w:r w:rsidRPr="00453395">
              <w:rPr>
                <w:rFonts w:ascii="Times New Roman" w:hAnsi="Times New Roman"/>
                <w:b/>
                <w:color w:val="FF0000"/>
                <w:sz w:val="22"/>
                <w:szCs w:val="22"/>
              </w:rPr>
              <w:t>0.33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189375</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1803024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1306456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9788008</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787794</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10660824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w:t>
            </w:r>
          </w:p>
        </w:tc>
      </w:tr>
    </w:tbl>
    <w:p w:rsidR="00B25CAA" w:rsidRPr="00A40CD0" w:rsidRDefault="00B25CAA" w:rsidP="002E0BD6">
      <w:pPr>
        <w:pStyle w:val="BodyText"/>
      </w:pPr>
    </w:p>
    <w:p w:rsidR="00B25CAA" w:rsidRPr="00A40CD0" w:rsidRDefault="00B25CAA" w:rsidP="002E0BD6">
      <w:pPr>
        <w:pStyle w:val="BodyText"/>
      </w:pPr>
      <w:bookmarkStart w:id="188" w:name="_Ref248509380"/>
      <w:bookmarkStart w:id="189" w:name="_Toc228588241"/>
      <w:bookmarkStart w:id="190" w:name="_Toc399264945"/>
      <w:r w:rsidRPr="00A40CD0">
        <w:t xml:space="preserve">Table </w:t>
      </w:r>
      <w:fldSimple w:instr=" SEQ Table \* ARABIC ">
        <w:r w:rsidR="00B11F3B">
          <w:rPr>
            <w:noProof/>
          </w:rPr>
          <w:t>16</w:t>
        </w:r>
      </w:fldSimple>
      <w:bookmarkEnd w:id="188"/>
      <w:r w:rsidRPr="00A40CD0">
        <w:t xml:space="preserve"> Summary of Non-algal particulate matter (NAP as a measure of TSS) exceedance for the dry and wet season for the Cape York region. Column and row labels are described in the legend of </w:t>
      </w:r>
      <w:r w:rsidR="00EA2F38">
        <w:fldChar w:fldCharType="begin"/>
      </w:r>
      <w:r w:rsidR="00D90A4A">
        <w:instrText xml:space="preserve"> REF _Ref248509379 \h </w:instrText>
      </w:r>
      <w:r w:rsidR="00EA2F38">
        <w:fldChar w:fldCharType="separate"/>
      </w:r>
      <w:r w:rsidR="00B11F3B" w:rsidRPr="00A40CD0">
        <w:t xml:space="preserve">Table </w:t>
      </w:r>
      <w:r w:rsidR="00B11F3B">
        <w:rPr>
          <w:noProof/>
        </w:rPr>
        <w:t>15</w:t>
      </w:r>
      <w:r w:rsidR="00EA2F38">
        <w:fldChar w:fldCharType="end"/>
      </w:r>
      <w:r w:rsidRPr="00A40CD0">
        <w:t xml:space="preserve">. Mean and median are presented in red and bold if they exceed the trigger value in the Guidelines. The seasonally adjusted Guideline values for TSS for the dry/wet season means are </w:t>
      </w:r>
      <w:r w:rsidR="00AF0243">
        <w:t>4/6</w:t>
      </w:r>
      <w:r w:rsidR="00AF0243" w:rsidRPr="00A40CD0">
        <w:t xml:space="preserve"> mg L</w:t>
      </w:r>
      <w:r w:rsidR="00AF0243" w:rsidRPr="00A40CD0">
        <w:rPr>
          <w:vertAlign w:val="superscript"/>
        </w:rPr>
        <w:t>-1</w:t>
      </w:r>
      <w:r w:rsidR="00AF0243" w:rsidRPr="00A40CD0">
        <w:t xml:space="preserve"> for </w:t>
      </w:r>
      <w:r w:rsidR="00AF0243">
        <w:t>Enclosed</w:t>
      </w:r>
      <w:r w:rsidR="00AF0243" w:rsidRPr="00A40CD0">
        <w:t xml:space="preserve"> Coastal</w:t>
      </w:r>
      <w:r w:rsidR="00AF0243">
        <w:t>,</w:t>
      </w:r>
      <w:r w:rsidR="00AF0243" w:rsidRPr="00A40CD0">
        <w:t xml:space="preserve"> </w:t>
      </w:r>
      <w:r w:rsidRPr="00A40CD0">
        <w:t>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189"/>
      <w:bookmarkEnd w:id="190"/>
    </w:p>
    <w:tbl>
      <w:tblPr>
        <w:tblStyle w:val="TableGrid"/>
        <w:tblW w:w="9453" w:type="dxa"/>
        <w:tblLook w:val="04A0" w:firstRow="1" w:lastRow="0" w:firstColumn="1" w:lastColumn="0" w:noHBand="0" w:noVBand="1"/>
      </w:tblPr>
      <w:tblGrid>
        <w:gridCol w:w="877"/>
        <w:gridCol w:w="986"/>
        <w:gridCol w:w="986"/>
        <w:gridCol w:w="717"/>
        <w:gridCol w:w="889"/>
        <w:gridCol w:w="620"/>
        <w:gridCol w:w="1056"/>
        <w:gridCol w:w="1096"/>
        <w:gridCol w:w="717"/>
        <w:gridCol w:w="889"/>
        <w:gridCol w:w="620"/>
      </w:tblGrid>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p>
        </w:tc>
        <w:tc>
          <w:tcPr>
            <w:tcW w:w="4198"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378"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32449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202687</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5.01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2.52</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15693</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220761</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1.91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lastRenderedPageBreak/>
              <w:t>OC</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77801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471628</w:t>
            </w:r>
          </w:p>
        </w:tc>
        <w:tc>
          <w:tcPr>
            <w:tcW w:w="717"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1.65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0.97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27%</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43067</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513684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0.89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350984</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1655408</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0.84</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189375</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1803024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0.99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0.67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w:t>
            </w:r>
          </w:p>
        </w:tc>
      </w:tr>
      <w:tr w:rsidR="00EC0426" w:rsidRPr="00453395" w:rsidTr="00EC0426">
        <w:tc>
          <w:tcPr>
            <w:tcW w:w="87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1306456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9788008</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w:t>
            </w:r>
          </w:p>
        </w:tc>
        <w:tc>
          <w:tcPr>
            <w:tcW w:w="105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787794</w:t>
            </w:r>
          </w:p>
        </w:tc>
        <w:tc>
          <w:tcPr>
            <w:tcW w:w="109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10660824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0.16</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w:t>
            </w:r>
          </w:p>
        </w:tc>
      </w:tr>
    </w:tbl>
    <w:p w:rsidR="00B25CAA" w:rsidRPr="00A40CD0" w:rsidRDefault="00B25CAA" w:rsidP="002E0BD6">
      <w:pPr>
        <w:pStyle w:val="BodyText"/>
      </w:pPr>
    </w:p>
    <w:p w:rsidR="00B25CAA" w:rsidRPr="00A40CD0" w:rsidRDefault="00B25CAA" w:rsidP="002E0BD6">
      <w:pPr>
        <w:pStyle w:val="BodyText"/>
      </w:pPr>
    </w:p>
    <w:p w:rsidR="00B25CAA" w:rsidRPr="00A40CD0" w:rsidRDefault="00B25CAA" w:rsidP="002E0BD6">
      <w:pPr>
        <w:pStyle w:val="BodyText"/>
        <w:sectPr w:rsidR="00B25CAA" w:rsidRPr="00A40CD0" w:rsidSect="00A12779">
          <w:headerReference w:type="first" r:id="rId53"/>
          <w:footerReference w:type="first" r:id="rId54"/>
          <w:pgSz w:w="11906" w:h="16838" w:code="9"/>
          <w:pgMar w:top="1418" w:right="1418" w:bottom="1418" w:left="1418" w:header="567" w:footer="737" w:gutter="0"/>
          <w:cols w:space="708"/>
          <w:titlePg/>
          <w:docGrid w:linePitch="360"/>
        </w:sectPr>
      </w:pPr>
    </w:p>
    <w:p w:rsidR="00B25CAA" w:rsidRPr="00A40CD0" w:rsidRDefault="00374EBD" w:rsidP="00944D55">
      <w:r>
        <w:rPr>
          <w:noProof/>
        </w:rPr>
        <w:lastRenderedPageBreak/>
        <w:drawing>
          <wp:inline distT="0" distB="0" distL="0" distR="0">
            <wp:extent cx="4022756" cy="4914900"/>
            <wp:effectExtent l="0" t="0" r="0" b="0"/>
            <wp:docPr id="543" name="Picture 542" descr="Map of freshwater extent for the wet season for the Cape York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DOM_MIM_Maximum_20111101_20120430.tif"/>
                    <pic:cNvPicPr/>
                  </pic:nvPicPr>
                  <pic:blipFill>
                    <a:blip r:embed="rId55" cstate="email">
                      <a:extLst>
                        <a:ext uri="{28A0092B-C50C-407E-A947-70E740481C1C}">
                          <a14:useLocalDpi xmlns:a14="http://schemas.microsoft.com/office/drawing/2010/main"/>
                        </a:ext>
                      </a:extLst>
                    </a:blip>
                    <a:stretch>
                      <a:fillRect/>
                    </a:stretch>
                  </pic:blipFill>
                  <pic:spPr>
                    <a:xfrm>
                      <a:off x="0" y="0"/>
                      <a:ext cx="4022756" cy="4914900"/>
                    </a:xfrm>
                    <a:prstGeom prst="rect">
                      <a:avLst/>
                    </a:prstGeom>
                  </pic:spPr>
                </pic:pic>
              </a:graphicData>
            </a:graphic>
          </wp:inline>
        </w:drawing>
      </w:r>
      <w:r w:rsidR="00D3208E">
        <w:t xml:space="preserve"> </w:t>
      </w:r>
      <w:r w:rsidR="00D3208E">
        <w:rPr>
          <w:noProof/>
        </w:rPr>
        <w:drawing>
          <wp:inline distT="0" distB="0" distL="0" distR="0">
            <wp:extent cx="4022914" cy="4914900"/>
            <wp:effectExtent l="0" t="0" r="0" b="0"/>
            <wp:docPr id="534" name="Picture 533" descr="Map of freshwater extent for the wet season for the Cape York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DOM_MIM_maxGTtrigger_20111101_20120430.tif"/>
                    <pic:cNvPicPr/>
                  </pic:nvPicPr>
                  <pic:blipFill>
                    <a:blip r:embed="rId56" cstate="email">
                      <a:extLst>
                        <a:ext uri="{28A0092B-C50C-407E-A947-70E740481C1C}">
                          <a14:useLocalDpi xmlns:a14="http://schemas.microsoft.com/office/drawing/2010/main"/>
                        </a:ext>
                      </a:extLst>
                    </a:blip>
                    <a:stretch>
                      <a:fillRect/>
                    </a:stretch>
                  </pic:blipFill>
                  <pic:spPr>
                    <a:xfrm>
                      <a:off x="0" y="0"/>
                      <a:ext cx="4022914" cy="4914900"/>
                    </a:xfrm>
                    <a:prstGeom prst="rect">
                      <a:avLst/>
                    </a:prstGeom>
                  </pic:spPr>
                </pic:pic>
              </a:graphicData>
            </a:graphic>
          </wp:inline>
        </w:drawing>
      </w:r>
    </w:p>
    <w:p w:rsidR="00B25CAA" w:rsidRPr="00A40CD0" w:rsidRDefault="00B25CAA" w:rsidP="00C90FDB">
      <w:pPr>
        <w:pStyle w:val="Caption"/>
      </w:pPr>
      <w:bookmarkStart w:id="191" w:name="_Ref257731716"/>
      <w:bookmarkStart w:id="192" w:name="_Toc228588309"/>
      <w:bookmarkStart w:id="193" w:name="_Toc399265015"/>
      <w:r w:rsidRPr="00A40CD0">
        <w:t xml:space="preserve">Figure </w:t>
      </w:r>
      <w:r w:rsidR="00EA2F38">
        <w:fldChar w:fldCharType="begin"/>
      </w:r>
      <w:r w:rsidR="00933C8B">
        <w:instrText xml:space="preserve"> SEQ Figure \* ARABIC </w:instrText>
      </w:r>
      <w:r w:rsidR="00EA2F38">
        <w:fldChar w:fldCharType="separate"/>
      </w:r>
      <w:r w:rsidR="00B11F3B">
        <w:rPr>
          <w:noProof/>
        </w:rPr>
        <w:t>29</w:t>
      </w:r>
      <w:r w:rsidR="00EA2F38">
        <w:fldChar w:fldCharType="end"/>
      </w:r>
      <w:bookmarkEnd w:id="191"/>
      <w:r w:rsidRPr="00A40CD0">
        <w:t xml:space="preserve">. Map of freshwater extent for the wet season for the Cape York region. The first map presents the maximum value of CDOM for </w:t>
      </w:r>
      <w:r w:rsidR="00D3208E">
        <w:t>the wet season 2011/2012 (November 2011 - April 2012)</w:t>
      </w:r>
      <w:r w:rsidRPr="00A40CD0">
        <w:t>, while the second map presents freshwater extent estimated with a threshold for the CDOM seasonal maximum of 0.24 m</w:t>
      </w:r>
      <w:r w:rsidRPr="00A40CD0">
        <w:rPr>
          <w:vertAlign w:val="superscript"/>
        </w:rPr>
        <w:t>-1</w:t>
      </w:r>
      <w:r w:rsidRPr="00A40CD0">
        <w:t>.</w:t>
      </w:r>
      <w:bookmarkEnd w:id="192"/>
      <w:bookmarkEnd w:id="193"/>
      <w:r w:rsidRPr="00A40CD0">
        <w:t xml:space="preserve"> </w:t>
      </w:r>
    </w:p>
    <w:p w:rsidR="00B25CAA" w:rsidRPr="00A40CD0" w:rsidRDefault="00C01E2E" w:rsidP="002E0BD6">
      <w:pPr>
        <w:pStyle w:val="BodyText"/>
      </w:pPr>
      <w:r>
        <w:rPr>
          <w:noProof/>
          <w:lang w:eastAsia="en-AU"/>
        </w:rPr>
        <w:lastRenderedPageBreak/>
        <w:drawing>
          <wp:inline distT="0" distB="0" distL="0" distR="0">
            <wp:extent cx="4020713" cy="4914900"/>
            <wp:effectExtent l="0" t="0" r="0" b="0"/>
            <wp:docPr id="288" name="Picture 287" descr="Chlorophyll-a median maps for the dry and wet season for the Cape York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Median_20110501_20111031.tif"/>
                    <pic:cNvPicPr/>
                  </pic:nvPicPr>
                  <pic:blipFill>
                    <a:blip r:embed="rId57"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lang w:eastAsia="en-AU"/>
        </w:rPr>
        <w:drawing>
          <wp:inline distT="0" distB="0" distL="0" distR="0">
            <wp:extent cx="4020713" cy="4914900"/>
            <wp:effectExtent l="0" t="0" r="0" b="0"/>
            <wp:docPr id="289" name="Picture 288" descr="Chlorophyll-a median maps for the dry and wet season for the Cape York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Median_20111101_20120430.tif"/>
                    <pic:cNvPicPr/>
                  </pic:nvPicPr>
                  <pic:blipFill>
                    <a:blip r:embed="rId58"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4F4DDE">
      <w:pPr>
        <w:pStyle w:val="Caption"/>
      </w:pPr>
      <w:bookmarkStart w:id="194" w:name="_Ref247857248"/>
      <w:bookmarkStart w:id="195" w:name="_Toc228588310"/>
      <w:bookmarkStart w:id="196" w:name="_Toc399265016"/>
      <w:r w:rsidRPr="00A40CD0">
        <w:t xml:space="preserve">Figure </w:t>
      </w:r>
      <w:r w:rsidR="00EA2F38">
        <w:fldChar w:fldCharType="begin"/>
      </w:r>
      <w:r w:rsidR="00933C8B">
        <w:instrText xml:space="preserve"> SEQ Figure \* ARABIC </w:instrText>
      </w:r>
      <w:r w:rsidR="00EA2F38">
        <w:fldChar w:fldCharType="separate"/>
      </w:r>
      <w:r w:rsidR="00B11F3B">
        <w:rPr>
          <w:noProof/>
        </w:rPr>
        <w:t>30</w:t>
      </w:r>
      <w:r w:rsidR="00EA2F38">
        <w:fldChar w:fldCharType="end"/>
      </w:r>
      <w:bookmarkEnd w:id="194"/>
      <w:r w:rsidRPr="00A40CD0">
        <w:t xml:space="preserve">. Chlorophyll-a median maps for the dry and wet season for the Cape York region. The first map presents the median for </w:t>
      </w:r>
      <w:r w:rsidR="00D3208E">
        <w:t>the dry season 2011 (May - October)</w:t>
      </w:r>
      <w:r w:rsidRPr="00A40CD0">
        <w:t xml:space="preserve">, while the second map presents the median for </w:t>
      </w:r>
      <w:r w:rsidR="00D3208E">
        <w:t>the wet season 2011/2012 (November 2011 - April 2012)</w:t>
      </w:r>
      <w:bookmarkStart w:id="197" w:name="OLE_LINK12"/>
      <w:bookmarkStart w:id="198" w:name="OLE_LINK13"/>
      <w:r w:rsidRPr="00A40CD0">
        <w:t>.</w:t>
      </w:r>
      <w:bookmarkEnd w:id="195"/>
      <w:bookmarkEnd w:id="196"/>
      <w:r w:rsidRPr="00A40CD0">
        <w:t xml:space="preserve"> </w:t>
      </w:r>
      <w:bookmarkEnd w:id="197"/>
      <w:bookmarkEnd w:id="198"/>
    </w:p>
    <w:p w:rsidR="00B25CAA" w:rsidRPr="00A40CD0" w:rsidRDefault="00D3208E" w:rsidP="00CD1717">
      <w:r>
        <w:rPr>
          <w:noProof/>
        </w:rPr>
        <w:lastRenderedPageBreak/>
        <w:drawing>
          <wp:inline distT="0" distB="0" distL="0" distR="0">
            <wp:extent cx="4022914" cy="4914900"/>
            <wp:effectExtent l="0" t="0" r="0" b="0"/>
            <wp:docPr id="537" name="Picture 536" descr="Non-algal particulate matter (NAP as a measure of TSS)  median maps for the dry and wet season for the Cape York region. The first map presents the median for the dry season 2010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Median_20110501_20111031.tif"/>
                    <pic:cNvPicPr/>
                  </pic:nvPicPr>
                  <pic:blipFill>
                    <a:blip r:embed="rId59" cstate="email">
                      <a:extLst>
                        <a:ext uri="{28A0092B-C50C-407E-A947-70E740481C1C}">
                          <a14:useLocalDpi xmlns:a14="http://schemas.microsoft.com/office/drawing/2010/main"/>
                        </a:ext>
                      </a:extLst>
                    </a:blip>
                    <a:stretch>
                      <a:fillRect/>
                    </a:stretch>
                  </pic:blipFill>
                  <pic:spPr>
                    <a:xfrm>
                      <a:off x="0" y="0"/>
                      <a:ext cx="4022914" cy="4914900"/>
                    </a:xfrm>
                    <a:prstGeom prst="rect">
                      <a:avLst/>
                    </a:prstGeom>
                  </pic:spPr>
                </pic:pic>
              </a:graphicData>
            </a:graphic>
          </wp:inline>
        </w:drawing>
      </w:r>
      <w:r>
        <w:rPr>
          <w:noProof/>
        </w:rPr>
        <w:drawing>
          <wp:inline distT="0" distB="0" distL="0" distR="0">
            <wp:extent cx="4022914" cy="4914900"/>
            <wp:effectExtent l="0" t="0" r="0" b="0"/>
            <wp:docPr id="538" name="Picture 537" descr="Non-algal particulate matter (NAP as a measure of TSS)  median maps for the dry and wet season for the Cape York region. The first map presents the median for the dry season 2010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Median_20111101_20120430.tif"/>
                    <pic:cNvPicPr/>
                  </pic:nvPicPr>
                  <pic:blipFill>
                    <a:blip r:embed="rId60" cstate="email">
                      <a:extLst>
                        <a:ext uri="{28A0092B-C50C-407E-A947-70E740481C1C}">
                          <a14:useLocalDpi xmlns:a14="http://schemas.microsoft.com/office/drawing/2010/main"/>
                        </a:ext>
                      </a:extLst>
                    </a:blip>
                    <a:stretch>
                      <a:fillRect/>
                    </a:stretch>
                  </pic:blipFill>
                  <pic:spPr>
                    <a:xfrm>
                      <a:off x="0" y="0"/>
                      <a:ext cx="4022914" cy="4914900"/>
                    </a:xfrm>
                    <a:prstGeom prst="rect">
                      <a:avLst/>
                    </a:prstGeom>
                  </pic:spPr>
                </pic:pic>
              </a:graphicData>
            </a:graphic>
          </wp:inline>
        </w:drawing>
      </w:r>
    </w:p>
    <w:p w:rsidR="00B25CAA" w:rsidRPr="00A40CD0" w:rsidRDefault="00B25CAA" w:rsidP="004F4DDE">
      <w:pPr>
        <w:pStyle w:val="Caption"/>
      </w:pPr>
      <w:bookmarkStart w:id="199" w:name="_Ref247857251"/>
      <w:bookmarkStart w:id="200" w:name="_Toc228588311"/>
      <w:bookmarkStart w:id="201" w:name="_Toc399265017"/>
      <w:r w:rsidRPr="00A40CD0">
        <w:t xml:space="preserve">Figure </w:t>
      </w:r>
      <w:r w:rsidR="00EA2F38">
        <w:fldChar w:fldCharType="begin"/>
      </w:r>
      <w:r w:rsidR="00933C8B">
        <w:instrText xml:space="preserve"> SEQ Figure \* ARABIC </w:instrText>
      </w:r>
      <w:r w:rsidR="00EA2F38">
        <w:fldChar w:fldCharType="separate"/>
      </w:r>
      <w:r w:rsidR="00B11F3B">
        <w:rPr>
          <w:noProof/>
        </w:rPr>
        <w:t>31</w:t>
      </w:r>
      <w:r w:rsidR="00EA2F38">
        <w:fldChar w:fldCharType="end"/>
      </w:r>
      <w:bookmarkEnd w:id="199"/>
      <w:r w:rsidRPr="00A40CD0">
        <w:t xml:space="preserve">. Non-algal particulate matter (NAP as a measure of TSS)  median maps for the dry and wet season for the Cape York region. The first map presents the median for the dry season 2010 (May - October), while the second map presents the median for </w:t>
      </w:r>
      <w:r w:rsidR="00D3208E">
        <w:t>the wet season 2011/2012 (November 2011 - April 2012)</w:t>
      </w:r>
      <w:r w:rsidRPr="00A40CD0">
        <w:t>.</w:t>
      </w:r>
      <w:bookmarkEnd w:id="200"/>
      <w:bookmarkEnd w:id="201"/>
      <w:r w:rsidRPr="00A40CD0">
        <w:t xml:space="preserve"> </w:t>
      </w:r>
    </w:p>
    <w:p w:rsidR="00B25CAA" w:rsidRPr="00A40CD0" w:rsidRDefault="00B25CAA" w:rsidP="00CD1717">
      <w:pPr>
        <w:rPr>
          <w:b/>
        </w:rPr>
      </w:pPr>
    </w:p>
    <w:p w:rsidR="00B25CAA" w:rsidRPr="00A40CD0" w:rsidRDefault="00C01E2E" w:rsidP="00DD34CF">
      <w:r>
        <w:rPr>
          <w:noProof/>
        </w:rPr>
        <w:lastRenderedPageBreak/>
        <w:drawing>
          <wp:inline distT="0" distB="0" distL="0" distR="0">
            <wp:extent cx="4020713" cy="4914900"/>
            <wp:effectExtent l="0" t="0" r="0" b="0"/>
            <wp:docPr id="290" name="Picture 289" descr="Number of observations used to calculate the median maps (Figure 30 - Figure 31) for the dry and wet season for the Cape York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n_valid_20110501_20111031.tif"/>
                    <pic:cNvPicPr/>
                  </pic:nvPicPr>
                  <pic:blipFill>
                    <a:blip r:embed="rId61"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rPr>
        <w:drawing>
          <wp:inline distT="0" distB="0" distL="0" distR="0">
            <wp:extent cx="4020713" cy="4914900"/>
            <wp:effectExtent l="0" t="0" r="0" b="0"/>
            <wp:docPr id="291" name="Picture 290" descr="Number of observations used to calculate the median maps (Figure 30 - Figure 31) for the dry and wet season for the Cape York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n_valid_20111101_20120430.tif"/>
                    <pic:cNvPicPr/>
                  </pic:nvPicPr>
                  <pic:blipFill>
                    <a:blip r:embed="rId62"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4F4DDE">
      <w:pPr>
        <w:pStyle w:val="Caption"/>
      </w:pPr>
      <w:bookmarkStart w:id="202" w:name="_Ref247857257"/>
      <w:bookmarkStart w:id="203" w:name="_Toc228588312"/>
      <w:bookmarkStart w:id="204" w:name="_Toc399265018"/>
      <w:r w:rsidRPr="00A40CD0">
        <w:t xml:space="preserve">Figure </w:t>
      </w:r>
      <w:r w:rsidR="00EA2F38">
        <w:fldChar w:fldCharType="begin"/>
      </w:r>
      <w:r w:rsidR="00933C8B">
        <w:instrText xml:space="preserve"> SEQ Figure \* ARABIC </w:instrText>
      </w:r>
      <w:r w:rsidR="00EA2F38">
        <w:fldChar w:fldCharType="separate"/>
      </w:r>
      <w:r w:rsidR="00B11F3B">
        <w:rPr>
          <w:noProof/>
        </w:rPr>
        <w:t>32</w:t>
      </w:r>
      <w:r w:rsidR="00EA2F38">
        <w:fldChar w:fldCharType="end"/>
      </w:r>
      <w:bookmarkEnd w:id="202"/>
      <w:r w:rsidRPr="00A40CD0">
        <w:t>. Number of observations used to calculate the median maps (</w:t>
      </w:r>
      <w:r w:rsidR="00EA2F38" w:rsidRPr="00A40CD0">
        <w:fldChar w:fldCharType="begin"/>
      </w:r>
      <w:r w:rsidRPr="00A40CD0">
        <w:instrText xml:space="preserve"> REF _Ref247857248 \h </w:instrText>
      </w:r>
      <w:r w:rsidR="00EA2F38" w:rsidRPr="00A40CD0">
        <w:fldChar w:fldCharType="separate"/>
      </w:r>
      <w:r w:rsidR="00B11F3B" w:rsidRPr="00A40CD0">
        <w:t xml:space="preserve">Figure </w:t>
      </w:r>
      <w:r w:rsidR="00B11F3B">
        <w:rPr>
          <w:noProof/>
        </w:rPr>
        <w:t>30</w:t>
      </w:r>
      <w:r w:rsidR="00EA2F38" w:rsidRPr="00A40CD0">
        <w:fldChar w:fldCharType="end"/>
      </w:r>
      <w:r w:rsidRPr="00A40CD0">
        <w:t xml:space="preserve"> - </w:t>
      </w:r>
      <w:r w:rsidR="00EA2F38" w:rsidRPr="00A40CD0">
        <w:fldChar w:fldCharType="begin"/>
      </w:r>
      <w:r w:rsidR="00585682" w:rsidRPr="00A40CD0">
        <w:instrText xml:space="preserve"> REF _Ref247857251 \h </w:instrText>
      </w:r>
      <w:r w:rsidR="00EA2F38" w:rsidRPr="00A40CD0">
        <w:fldChar w:fldCharType="separate"/>
      </w:r>
      <w:r w:rsidR="00B11F3B" w:rsidRPr="00A40CD0">
        <w:t xml:space="preserve">Figure </w:t>
      </w:r>
      <w:r w:rsidR="00B11F3B">
        <w:rPr>
          <w:noProof/>
        </w:rPr>
        <w:t>31</w:t>
      </w:r>
      <w:r w:rsidR="00EA2F38" w:rsidRPr="00A40CD0">
        <w:fldChar w:fldCharType="end"/>
      </w:r>
      <w:r w:rsidRPr="00A40CD0">
        <w:t xml:space="preserve">) for the dry and wet season for the Cape York region. The first map presents the number of observations available for analysis in </w:t>
      </w:r>
      <w:r w:rsidR="00D3208E">
        <w:t>the dry season 2011 (May - October)</w:t>
      </w:r>
      <w:r w:rsidRPr="00A40CD0">
        <w:t xml:space="preserve">, while the second map presents the number of observations available for analysis in </w:t>
      </w:r>
      <w:r w:rsidR="00D3208E">
        <w:t>the wet season 2011/2012 (November 2011 - April 2012)</w:t>
      </w:r>
      <w:r w:rsidRPr="00A40CD0">
        <w:t>.</w:t>
      </w:r>
      <w:bookmarkEnd w:id="203"/>
      <w:bookmarkEnd w:id="204"/>
      <w:r w:rsidRPr="00A40CD0">
        <w:t xml:space="preserve">  </w:t>
      </w:r>
    </w:p>
    <w:p w:rsidR="00B25CAA" w:rsidRPr="00A40CD0" w:rsidRDefault="00C01E2E" w:rsidP="002E0BD6">
      <w:pPr>
        <w:pStyle w:val="BodyText"/>
      </w:pPr>
      <w:bookmarkStart w:id="205" w:name="_Ref263851025"/>
      <w:bookmarkStart w:id="206" w:name="_Ref247857267"/>
      <w:r>
        <w:rPr>
          <w:noProof/>
          <w:lang w:eastAsia="en-AU"/>
        </w:rPr>
        <w:lastRenderedPageBreak/>
        <w:drawing>
          <wp:inline distT="0" distB="0" distL="0" distR="0">
            <wp:extent cx="4020713" cy="4914900"/>
            <wp:effectExtent l="0" t="0" r="0" b="0"/>
            <wp:docPr id="299" name="Picture 298" descr="Exceedance maps for the Cape York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meanGTtrigger_20110501_20120430.tif"/>
                    <pic:cNvPicPr/>
                  </pic:nvPicPr>
                  <pic:blipFill>
                    <a:blip r:embed="rId63"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lang w:eastAsia="en-AU"/>
        </w:rPr>
        <w:drawing>
          <wp:inline distT="0" distB="0" distL="0" distR="0">
            <wp:extent cx="4020713" cy="4914900"/>
            <wp:effectExtent l="0" t="0" r="0" b="0"/>
            <wp:docPr id="300" name="Picture 299" descr="Exceedance maps for the Cape York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meanGTtrigger_20110501_20120430.tif"/>
                    <pic:cNvPicPr/>
                  </pic:nvPicPr>
                  <pic:blipFill>
                    <a:blip r:embed="rId64"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B45CE0">
      <w:pPr>
        <w:pStyle w:val="Caption"/>
      </w:pPr>
      <w:bookmarkStart w:id="207" w:name="_Ref274065412"/>
      <w:bookmarkStart w:id="208" w:name="_Toc228588313"/>
      <w:bookmarkStart w:id="209" w:name="_Toc399265019"/>
      <w:r w:rsidRPr="00A40CD0">
        <w:t xml:space="preserve">Figure </w:t>
      </w:r>
      <w:r w:rsidR="00EA2F38">
        <w:fldChar w:fldCharType="begin"/>
      </w:r>
      <w:r w:rsidR="00933C8B">
        <w:instrText xml:space="preserve"> SEQ Figure \* ARABIC </w:instrText>
      </w:r>
      <w:r w:rsidR="00EA2F38">
        <w:fldChar w:fldCharType="separate"/>
      </w:r>
      <w:r w:rsidR="00B11F3B">
        <w:rPr>
          <w:noProof/>
        </w:rPr>
        <w:t>33</w:t>
      </w:r>
      <w:r w:rsidR="00EA2F38">
        <w:fldChar w:fldCharType="end"/>
      </w:r>
      <w:bookmarkEnd w:id="205"/>
      <w:bookmarkEnd w:id="207"/>
      <w:r w:rsidRPr="00A40CD0">
        <w:t xml:space="preserve">. Exceedance maps for the Cape York region </w:t>
      </w:r>
      <w:r w:rsidR="00656260">
        <w:t>for the reporting year 2011/12 (May 2011 –April 2012)</w:t>
      </w:r>
      <w:r w:rsidRPr="00A40CD0">
        <w:t>. The first map presents the Chlorophyll-a exceedance map, while the second map presents the Non-algal particulate matter (NAP as a measure of TSS) exceedance map. The Guideline values for annual means of Chlorophyll–a are 0.45 µg L</w:t>
      </w:r>
      <w:r w:rsidRPr="00A40CD0">
        <w:rPr>
          <w:vertAlign w:val="superscript"/>
        </w:rPr>
        <w:t>-1</w:t>
      </w:r>
      <w:r w:rsidRPr="00A40CD0">
        <w:t xml:space="preserve"> 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208"/>
      <w:bookmarkEnd w:id="209"/>
    </w:p>
    <w:p w:rsidR="00B25CAA" w:rsidRPr="00A40CD0" w:rsidRDefault="00C01E2E" w:rsidP="00A65D97">
      <w:r>
        <w:rPr>
          <w:noProof/>
        </w:rPr>
        <w:lastRenderedPageBreak/>
        <w:drawing>
          <wp:inline distT="0" distB="0" distL="0" distR="0">
            <wp:extent cx="4020713" cy="4914900"/>
            <wp:effectExtent l="0" t="0" r="0" b="0"/>
            <wp:docPr id="297" name="Picture 296" descr="Chlorophyll-a exceedance maps for the dry and wet season for the Cape York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meanGTtrigger_20110501_20111031.tif"/>
                    <pic:cNvPicPr/>
                  </pic:nvPicPr>
                  <pic:blipFill>
                    <a:blip r:embed="rId65"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rPr>
        <w:drawing>
          <wp:inline distT="0" distB="0" distL="0" distR="0">
            <wp:extent cx="4020713" cy="4914900"/>
            <wp:effectExtent l="0" t="0" r="0" b="0"/>
            <wp:docPr id="298" name="Picture 297" descr="Chlorophyll-a exceedance maps for the dry and wet season for the Cape York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meanGTtrigger_20111101_20120430.tif"/>
                    <pic:cNvPicPr/>
                  </pic:nvPicPr>
                  <pic:blipFill>
                    <a:blip r:embed="rId66"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856778">
      <w:pPr>
        <w:pStyle w:val="Caption"/>
      </w:pPr>
      <w:bookmarkStart w:id="210" w:name="_Ref247951264"/>
      <w:bookmarkStart w:id="211" w:name="_Toc228588314"/>
      <w:bookmarkStart w:id="212" w:name="_Toc399265020"/>
      <w:r w:rsidRPr="00A40CD0">
        <w:t xml:space="preserve">Figure </w:t>
      </w:r>
      <w:r w:rsidR="00EA2F38">
        <w:fldChar w:fldCharType="begin"/>
      </w:r>
      <w:r w:rsidR="00933C8B">
        <w:instrText xml:space="preserve"> SEQ Figure \* ARABIC </w:instrText>
      </w:r>
      <w:r w:rsidR="00EA2F38">
        <w:fldChar w:fldCharType="separate"/>
      </w:r>
      <w:r w:rsidR="00B11F3B">
        <w:rPr>
          <w:noProof/>
        </w:rPr>
        <w:t>34</w:t>
      </w:r>
      <w:r w:rsidR="00EA2F38">
        <w:fldChar w:fldCharType="end"/>
      </w:r>
      <w:bookmarkEnd w:id="206"/>
      <w:bookmarkEnd w:id="210"/>
      <w:r w:rsidRPr="00A40CD0">
        <w:t xml:space="preserve">. Chlorophyll-a exceedance maps for the dry and wet season for the Cape York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Chlorophyll–a for the dry/wet season are 0.32/0.63 µg L-1 for Open Coastal and Midshelf and 0.28/0.56 µg L-1 for Offshore.</w:t>
      </w:r>
      <w:bookmarkEnd w:id="211"/>
      <w:bookmarkEnd w:id="212"/>
      <w:r w:rsidRPr="00A40CD0">
        <w:t xml:space="preserve"> </w:t>
      </w:r>
    </w:p>
    <w:p w:rsidR="00B25CAA" w:rsidRPr="00A40CD0" w:rsidRDefault="00C01E2E" w:rsidP="00047350">
      <w:r>
        <w:rPr>
          <w:noProof/>
        </w:rPr>
        <w:lastRenderedPageBreak/>
        <w:drawing>
          <wp:inline distT="0" distB="0" distL="0" distR="0">
            <wp:extent cx="4020713" cy="4914900"/>
            <wp:effectExtent l="0" t="0" r="0" b="0"/>
            <wp:docPr id="301" name="Picture 300" descr="Chlorophyll-a exceedance frequency maps for the dry and wet season for the Cape York region. The first map presents the exceedance frequency for the dry season 2011 (May - October), while the second map presents the exceedance frequency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RelNonCompliantDays_20110501_20111031.tif"/>
                    <pic:cNvPicPr/>
                  </pic:nvPicPr>
                  <pic:blipFill>
                    <a:blip r:embed="rId67"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rPr>
        <w:drawing>
          <wp:inline distT="0" distB="0" distL="0" distR="0">
            <wp:extent cx="4020713" cy="4914900"/>
            <wp:effectExtent l="0" t="0" r="0" b="0"/>
            <wp:docPr id="302" name="Picture 301" descr="Chlorophyll-a exceedance frequency maps for the dry and wet season for the Cape York region. The first map presents the exceedance frequency for the dry season 2011 (May - October), while the second map presents the exceedance frequency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Chl_MIM_RelNonCompliantDays_20111101_20120430.tif"/>
                    <pic:cNvPicPr/>
                  </pic:nvPicPr>
                  <pic:blipFill>
                    <a:blip r:embed="rId68"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4F4DDE">
      <w:pPr>
        <w:pStyle w:val="Caption"/>
      </w:pPr>
      <w:bookmarkStart w:id="213" w:name="_Ref247857268"/>
      <w:bookmarkStart w:id="214" w:name="_Toc228588315"/>
      <w:bookmarkStart w:id="215" w:name="_Toc399265021"/>
      <w:r w:rsidRPr="00A40CD0">
        <w:t xml:space="preserve">Figure </w:t>
      </w:r>
      <w:r w:rsidR="00EA2F38">
        <w:fldChar w:fldCharType="begin"/>
      </w:r>
      <w:r w:rsidR="00933C8B">
        <w:instrText xml:space="preserve"> SEQ Figure \* ARABIC </w:instrText>
      </w:r>
      <w:r w:rsidR="00EA2F38">
        <w:fldChar w:fldCharType="separate"/>
      </w:r>
      <w:r w:rsidR="00B11F3B">
        <w:rPr>
          <w:noProof/>
        </w:rPr>
        <w:t>35</w:t>
      </w:r>
      <w:r w:rsidR="00EA2F38">
        <w:fldChar w:fldCharType="end"/>
      </w:r>
      <w:bookmarkEnd w:id="213"/>
      <w:r w:rsidRPr="00A40CD0">
        <w:t xml:space="preserve">. Chlorophyll-a exceedance frequency maps for the dry and wet season for the Cape York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Chlorophyll –a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14"/>
      <w:bookmarkEnd w:id="215"/>
      <w:r w:rsidRPr="00A40CD0">
        <w:t xml:space="preserve"> </w:t>
      </w:r>
    </w:p>
    <w:p w:rsidR="00B25CAA" w:rsidRPr="00A40CD0" w:rsidRDefault="00C01E2E" w:rsidP="00047350">
      <w:r>
        <w:rPr>
          <w:noProof/>
        </w:rPr>
        <w:lastRenderedPageBreak/>
        <w:drawing>
          <wp:inline distT="0" distB="0" distL="0" distR="0">
            <wp:extent cx="4020713" cy="4914900"/>
            <wp:effectExtent l="0" t="0" r="0" b="0"/>
            <wp:docPr id="303" name="Picture 302" descr="Non-algal particulate matter (NAP as a measure of TSS)  exceedance maps for the dry and wet season for the Cape York.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meanGTtrigger_20110501_20111031.tif"/>
                    <pic:cNvPicPr/>
                  </pic:nvPicPr>
                  <pic:blipFill>
                    <a:blip r:embed="rId69"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rPr>
        <w:drawing>
          <wp:inline distT="0" distB="0" distL="0" distR="0">
            <wp:extent cx="4020713" cy="4914900"/>
            <wp:effectExtent l="0" t="0" r="0" b="0"/>
            <wp:docPr id="304" name="Picture 303" descr="Non-algal particulate matter (NAP as a measure of TSS)  exceedance maps for the dry and wet season for the Cape York.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meanGTtrigger_20111101_20120430.tif"/>
                    <pic:cNvPicPr/>
                  </pic:nvPicPr>
                  <pic:blipFill>
                    <a:blip r:embed="rId70"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4F4DDE">
      <w:pPr>
        <w:pStyle w:val="Caption"/>
      </w:pPr>
      <w:bookmarkStart w:id="216" w:name="_Ref247857270"/>
      <w:bookmarkStart w:id="217" w:name="_Toc228588316"/>
      <w:bookmarkStart w:id="218" w:name="_Toc399265022"/>
      <w:r w:rsidRPr="00A40CD0">
        <w:t xml:space="preserve">Figure </w:t>
      </w:r>
      <w:r w:rsidR="00EA2F38">
        <w:fldChar w:fldCharType="begin"/>
      </w:r>
      <w:r w:rsidR="00933C8B">
        <w:instrText xml:space="preserve"> SEQ Figure \* ARABIC </w:instrText>
      </w:r>
      <w:r w:rsidR="00EA2F38">
        <w:fldChar w:fldCharType="separate"/>
      </w:r>
      <w:r w:rsidR="00B11F3B">
        <w:rPr>
          <w:noProof/>
        </w:rPr>
        <w:t>36</w:t>
      </w:r>
      <w:r w:rsidR="00EA2F38">
        <w:fldChar w:fldCharType="end"/>
      </w:r>
      <w:bookmarkEnd w:id="216"/>
      <w:r w:rsidRPr="00A40CD0">
        <w:t xml:space="preserve">. Non-algal particulate matter (NAP as a measure of TSS)  exceedance maps for the dry and wet season for the Cape York.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17"/>
      <w:bookmarkEnd w:id="218"/>
      <w:r w:rsidRPr="00A40CD0">
        <w:t xml:space="preserve"> </w:t>
      </w:r>
    </w:p>
    <w:p w:rsidR="00B25CAA" w:rsidRPr="00A40CD0" w:rsidRDefault="00C01E2E" w:rsidP="00047350">
      <w:r>
        <w:rPr>
          <w:noProof/>
        </w:rPr>
        <w:lastRenderedPageBreak/>
        <w:drawing>
          <wp:inline distT="0" distB="0" distL="0" distR="0">
            <wp:extent cx="4020713" cy="4914900"/>
            <wp:effectExtent l="0" t="0" r="0" b="0"/>
            <wp:docPr id="305" name="Picture 304" descr="Non-algal particulate matter (NAP as a measure of TSS)  exceedance frequency maps for the dry and wet season for the Cape York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RelNonCompliantDays_20110501_20111031.tif"/>
                    <pic:cNvPicPr/>
                  </pic:nvPicPr>
                  <pic:blipFill>
                    <a:blip r:embed="rId71"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r>
        <w:rPr>
          <w:noProof/>
        </w:rPr>
        <w:drawing>
          <wp:inline distT="0" distB="0" distL="0" distR="0">
            <wp:extent cx="4020713" cy="4914900"/>
            <wp:effectExtent l="0" t="0" r="0" b="0"/>
            <wp:docPr id="306" name="Picture 305" descr="Non-algal particulate matter (NAP as a measure of TSS)  exceedance frequency maps for the dry and wet season for the Cape York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YK-B09_Y_Nap_MIM_RelNonCompliantDays_20111101_20120430.tif"/>
                    <pic:cNvPicPr/>
                  </pic:nvPicPr>
                  <pic:blipFill>
                    <a:blip r:embed="rId72" cstate="email">
                      <a:extLst>
                        <a:ext uri="{28A0092B-C50C-407E-A947-70E740481C1C}">
                          <a14:useLocalDpi xmlns:a14="http://schemas.microsoft.com/office/drawing/2010/main"/>
                        </a:ext>
                      </a:extLst>
                    </a:blip>
                    <a:stretch>
                      <a:fillRect/>
                    </a:stretch>
                  </pic:blipFill>
                  <pic:spPr>
                    <a:xfrm>
                      <a:off x="0" y="0"/>
                      <a:ext cx="4020713" cy="4914900"/>
                    </a:xfrm>
                    <a:prstGeom prst="rect">
                      <a:avLst/>
                    </a:prstGeom>
                  </pic:spPr>
                </pic:pic>
              </a:graphicData>
            </a:graphic>
          </wp:inline>
        </w:drawing>
      </w:r>
    </w:p>
    <w:p w:rsidR="00B25CAA" w:rsidRPr="00A40CD0" w:rsidRDefault="00B25CAA" w:rsidP="004F4DDE">
      <w:pPr>
        <w:pStyle w:val="Caption"/>
      </w:pPr>
      <w:bookmarkStart w:id="219" w:name="_Ref247857271"/>
      <w:bookmarkStart w:id="220" w:name="_Toc228588317"/>
      <w:bookmarkStart w:id="221" w:name="_Toc399265023"/>
      <w:r w:rsidRPr="00A40CD0">
        <w:t xml:space="preserve">Figure </w:t>
      </w:r>
      <w:r w:rsidR="00EA2F38">
        <w:fldChar w:fldCharType="begin"/>
      </w:r>
      <w:r w:rsidR="00933C8B">
        <w:instrText xml:space="preserve"> SEQ Figure \* ARABIC </w:instrText>
      </w:r>
      <w:r w:rsidR="00EA2F38">
        <w:fldChar w:fldCharType="separate"/>
      </w:r>
      <w:r w:rsidR="00B11F3B">
        <w:rPr>
          <w:noProof/>
        </w:rPr>
        <w:t>37</w:t>
      </w:r>
      <w:r w:rsidR="00EA2F38">
        <w:fldChar w:fldCharType="end"/>
      </w:r>
      <w:bookmarkEnd w:id="219"/>
      <w:r w:rsidRPr="00A40CD0">
        <w:t xml:space="preserve">. Non-algal particulate matter (NAP as a measure of TSS)  exceedance frequency maps for the dry and wet season for the Cape York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20"/>
      <w:bookmarkEnd w:id="221"/>
      <w:r w:rsidRPr="00A40CD0">
        <w:t xml:space="preserve">  </w:t>
      </w:r>
    </w:p>
    <w:p w:rsidR="00B25CAA" w:rsidRPr="00A40CD0" w:rsidRDefault="00B25CAA" w:rsidP="00CD1717">
      <w:pPr>
        <w:sectPr w:rsidR="00B25CAA" w:rsidRPr="00A40CD0" w:rsidSect="00A12779">
          <w:footerReference w:type="even" r:id="rId73"/>
          <w:footerReference w:type="default" r:id="rId74"/>
          <w:footerReference w:type="first" r:id="rId75"/>
          <w:pgSz w:w="16838" w:h="11906" w:orient="landscape" w:code="9"/>
          <w:pgMar w:top="1418" w:right="1418" w:bottom="1418" w:left="1418" w:header="567" w:footer="737" w:gutter="0"/>
          <w:cols w:space="708"/>
          <w:docGrid w:linePitch="360"/>
        </w:sectPr>
      </w:pPr>
    </w:p>
    <w:p w:rsidR="00B25CAA" w:rsidRPr="00A40CD0" w:rsidRDefault="00B25CAA" w:rsidP="007E294B">
      <w:pPr>
        <w:pStyle w:val="Heading2"/>
      </w:pPr>
      <w:bookmarkStart w:id="222" w:name="_Toc228588188"/>
      <w:bookmarkStart w:id="223" w:name="_Toc399264895"/>
      <w:r w:rsidRPr="00A40CD0">
        <w:lastRenderedPageBreak/>
        <w:t>Regional reports: Wet Tropics region</w:t>
      </w:r>
      <w:bookmarkEnd w:id="222"/>
      <w:bookmarkEnd w:id="223"/>
    </w:p>
    <w:p w:rsidR="00B25CAA" w:rsidRPr="00A40CD0" w:rsidRDefault="00B25CAA" w:rsidP="002E0BD6">
      <w:pPr>
        <w:pStyle w:val="BodyText"/>
      </w:pPr>
      <w:r w:rsidRPr="00A40CD0">
        <w:t>Land use practices within the wet tropics catchment include primary production such as sugar cane and banana farming, dairying, beef, cropping and tropical horticulture. Other uses within the region include fisheries, mining, and tourism</w:t>
      </w:r>
      <w:r w:rsid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 Declining water quality, due to sedimentation combined with other forms of pollutants, the disturbance of acid sulphate soils, and point source pollution have been identified as a major concern to the health of coastal and marine ecosystems. Major environmental controls on GBR water quality in the wet tropics include pulsed terrigenous runoff, salinity and temperature extremes</w:t>
      </w:r>
      <w:r w:rsidR="00FD2E6F" w:rsidRP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w:t>
      </w:r>
      <w:r w:rsidR="002129CF">
        <w:t xml:space="preserve"> The Enclosed Coastal </w:t>
      </w:r>
      <w:r w:rsidR="002129CF" w:rsidRPr="00A40CD0">
        <w:t>marine water body</w:t>
      </w:r>
      <w:r w:rsidR="002129CF">
        <w:t xml:space="preserve"> accounts for ~15% of the inshore waters used for P2R reporting</w:t>
      </w:r>
      <w:r w:rsidR="0067284B">
        <w:t xml:space="preserve">. The </w:t>
      </w:r>
      <w:r w:rsidR="0067284B" w:rsidRPr="00B27788">
        <w:t xml:space="preserve">enclosed waters </w:t>
      </w:r>
      <w:r w:rsidR="0067284B">
        <w:t>included the Mossman- Daintree, Barron and Herbert River estuary mouths. In Rockingham</w:t>
      </w:r>
      <w:r w:rsidR="0067284B" w:rsidRPr="00A40CD0">
        <w:t xml:space="preserve"> Bay</w:t>
      </w:r>
      <w:r w:rsidR="0067284B">
        <w:t xml:space="preserve"> the </w:t>
      </w:r>
      <w:r w:rsidR="0067284B" w:rsidRPr="00B27788">
        <w:t>seaward limit of the enclosed coastal water</w:t>
      </w:r>
      <w:r w:rsidR="0067284B">
        <w:t>s coincides with the outer boundary for the Open</w:t>
      </w:r>
      <w:r w:rsidR="0067284B" w:rsidRPr="00A40CD0">
        <w:t xml:space="preserve"> Coastal</w:t>
      </w:r>
      <w:r w:rsidR="0067284B">
        <w:t xml:space="preserve"> waters in front of the Tully and Murray river mouths.</w:t>
      </w:r>
      <w:r w:rsidR="002129CF">
        <w:t xml:space="preserve"> and for most of the area in </w:t>
      </w:r>
      <w:r w:rsidR="002129CF" w:rsidRPr="00A40CD0">
        <w:t>Princess Charlotte Bay</w:t>
      </w:r>
      <w:r w:rsidR="002129CF">
        <w:t xml:space="preserve"> (</w:t>
      </w:r>
      <w:r w:rsidR="00EA2F38">
        <w:fldChar w:fldCharType="begin"/>
      </w:r>
      <w:r w:rsidR="002129CF">
        <w:instrText xml:space="preserve"> REF _Ref353451052 \h </w:instrText>
      </w:r>
      <w:r w:rsidR="00EA2F38">
        <w:fldChar w:fldCharType="separate"/>
      </w:r>
      <w:r w:rsidR="00B11F3B">
        <w:t xml:space="preserve">Table </w:t>
      </w:r>
      <w:r w:rsidR="00B11F3B">
        <w:rPr>
          <w:noProof/>
        </w:rPr>
        <w:t>5</w:t>
      </w:r>
      <w:r w:rsidR="00EA2F38">
        <w:fldChar w:fldCharType="end"/>
      </w:r>
      <w:r w:rsidR="002129CF">
        <w:t>,</w:t>
      </w:r>
      <w:r w:rsidR="00EA2F38">
        <w:fldChar w:fldCharType="begin"/>
      </w:r>
      <w:r w:rsidR="002129CF">
        <w:instrText xml:space="preserve"> REF _Ref247428722 \h </w:instrText>
      </w:r>
      <w:r w:rsidR="00EA2F38">
        <w:fldChar w:fldCharType="separate"/>
      </w:r>
      <w:r w:rsidR="00B11F3B" w:rsidRPr="00A40CD0">
        <w:t xml:space="preserve">Figure </w:t>
      </w:r>
      <w:r w:rsidR="00B11F3B">
        <w:rPr>
          <w:noProof/>
        </w:rPr>
        <w:t>2</w:t>
      </w:r>
      <w:r w:rsidR="00EA2F38">
        <w:fldChar w:fldCharType="end"/>
      </w:r>
      <w:r w:rsidR="002129CF">
        <w:t>).</w:t>
      </w:r>
    </w:p>
    <w:p w:rsidR="009202A6" w:rsidRPr="007E294B" w:rsidRDefault="00B25CAA" w:rsidP="007E294B">
      <w:pPr>
        <w:pStyle w:val="Heading3"/>
      </w:pPr>
      <w:bookmarkStart w:id="224" w:name="_Toc228588189"/>
      <w:bookmarkStart w:id="225" w:name="_Toc399264896"/>
      <w:r w:rsidRPr="007E294B">
        <w:t>Assessment of freshwater extent during the wet season</w:t>
      </w:r>
      <w:bookmarkEnd w:id="224"/>
      <w:bookmarkEnd w:id="225"/>
    </w:p>
    <w:p w:rsidR="00B25CAA" w:rsidRPr="00A40CD0" w:rsidRDefault="00EA2F38" w:rsidP="002E0BD6">
      <w:pPr>
        <w:pStyle w:val="BodyText"/>
      </w:pPr>
      <w:r>
        <w:fldChar w:fldCharType="begin"/>
      </w:r>
      <w:r w:rsidR="00D90A4A">
        <w:instrText xml:space="preserve"> REF _Ref257731831 \h </w:instrText>
      </w:r>
      <w:r>
        <w:fldChar w:fldCharType="separate"/>
      </w:r>
      <w:r w:rsidR="00B11F3B" w:rsidRPr="00A40CD0">
        <w:t xml:space="preserve">Figure </w:t>
      </w:r>
      <w:r w:rsidR="00B11F3B">
        <w:rPr>
          <w:noProof/>
        </w:rPr>
        <w:t>40</w:t>
      </w:r>
      <w:r>
        <w:fldChar w:fldCharType="end"/>
      </w:r>
      <w:r w:rsidR="00B25CAA" w:rsidRPr="00A40CD0">
        <w:t xml:space="preserve"> reports the freshwater extent for </w:t>
      </w:r>
      <w:r w:rsidR="00D8717B">
        <w:t>wet season 2011/2012 (November 2011- April 2012)</w:t>
      </w:r>
      <w:r w:rsidR="00B25CAA" w:rsidRPr="00A40CD0">
        <w:t xml:space="preserve"> for the Wet Tropics region. The freshwater extent was estimated by applying a threshold of 0.24 m</w:t>
      </w:r>
      <w:r w:rsidR="00B25CAA" w:rsidRPr="00A40CD0">
        <w:rPr>
          <w:vertAlign w:val="superscript"/>
        </w:rPr>
        <w:t xml:space="preserve">-1 </w:t>
      </w:r>
      <w:r w:rsidR="00B25CAA" w:rsidRPr="00A40CD0">
        <w:t xml:space="preserve">for the CDOM seasonal maximum. For the Wet Tropics region the freshwater extent for the </w:t>
      </w:r>
      <w:r w:rsidR="00D8717B">
        <w:t>wet season 2011/2012 (November 2011- April 2012)</w:t>
      </w:r>
      <w:r w:rsidR="00AA24B0">
        <w:t xml:space="preserve"> was 2747</w:t>
      </w:r>
      <w:r w:rsidR="00B25CAA" w:rsidRPr="00A40CD0">
        <w:t xml:space="preserve"> km</w:t>
      </w:r>
      <w:r w:rsidR="00B25CAA" w:rsidRPr="00A40CD0">
        <w:rPr>
          <w:vertAlign w:val="superscript"/>
        </w:rPr>
        <w:t>2</w:t>
      </w:r>
      <w:r w:rsidR="00B25CAA" w:rsidRPr="00A40CD0">
        <w:t>,</w:t>
      </w:r>
      <w:r w:rsidR="00AA24B0">
        <w:t xml:space="preserve"> </w:t>
      </w:r>
      <w:r w:rsidR="002C55BD">
        <w:t>a value</w:t>
      </w:r>
      <w:r w:rsidR="00AA24B0">
        <w:t xml:space="preserve"> higher than the median extent of the last decade</w:t>
      </w:r>
      <w:r w:rsidR="00B25CAA" w:rsidRPr="00A40CD0">
        <w:t xml:space="preserve"> </w:t>
      </w:r>
      <w:r w:rsidR="00D629EE">
        <w:t xml:space="preserve">and </w:t>
      </w:r>
      <w:r w:rsidR="00AA24B0">
        <w:t>comparable to the 277</w:t>
      </w:r>
      <w:r w:rsidR="00B25CAA" w:rsidRPr="00A40CD0">
        <w:t>9 km</w:t>
      </w:r>
      <w:r w:rsidR="00B25CAA" w:rsidRPr="00A40CD0">
        <w:rPr>
          <w:vertAlign w:val="superscript"/>
        </w:rPr>
        <w:t>2</w:t>
      </w:r>
      <w:r w:rsidR="00B25CAA" w:rsidRPr="00A40CD0">
        <w:t xml:space="preserve"> of the wet season 2008/2009 (</w:t>
      </w:r>
      <w:r>
        <w:fldChar w:fldCharType="begin"/>
      </w:r>
      <w:r w:rsidR="00D90A4A">
        <w:instrText xml:space="preserve"> REF _Ref304873948 \h </w:instrText>
      </w:r>
      <w:r>
        <w:fldChar w:fldCharType="separate"/>
      </w:r>
      <w:r w:rsidR="00B11F3B" w:rsidRPr="00A40CD0">
        <w:t xml:space="preserve">Figure </w:t>
      </w:r>
      <w:r w:rsidR="00B11F3B">
        <w:rPr>
          <w:noProof/>
        </w:rPr>
        <w:t>38</w:t>
      </w:r>
      <w:r>
        <w:fldChar w:fldCharType="end"/>
      </w:r>
      <w:r w:rsidR="00B25CAA" w:rsidRPr="00A40CD0">
        <w:t xml:space="preserve">). </w:t>
      </w:r>
      <w:r w:rsidR="002C55BD">
        <w:t xml:space="preserve">In 2011/12 </w:t>
      </w:r>
      <w:r w:rsidR="00D629EE">
        <w:t xml:space="preserve">Most of the rivers in the Wet tropics (Daintree, </w:t>
      </w:r>
      <w:r w:rsidR="00D629EE" w:rsidRPr="00A40CD0">
        <w:t>Barron</w:t>
      </w:r>
      <w:r w:rsidR="00D629EE">
        <w:t xml:space="preserve">, Mulgrave, South Johnstone, Tully and Herbert rivers) were just above the median flows. </w:t>
      </w:r>
      <w:r w:rsidR="00B25CAA" w:rsidRPr="00A40CD0">
        <w:t xml:space="preserve">The freshwater extent </w:t>
      </w:r>
      <w:r w:rsidR="00D629EE">
        <w:t xml:space="preserve">responded to </w:t>
      </w:r>
      <w:r w:rsidR="00B25CAA" w:rsidRPr="00A40CD0">
        <w:t>the freshwater discharge (</w:t>
      </w:r>
      <w:r>
        <w:fldChar w:fldCharType="begin"/>
      </w:r>
      <w:r w:rsidR="00D90A4A">
        <w:instrText xml:space="preserve"> REF _Ref304873948 \h </w:instrText>
      </w:r>
      <w:r>
        <w:fldChar w:fldCharType="separate"/>
      </w:r>
      <w:r w:rsidR="00B11F3B" w:rsidRPr="00A40CD0">
        <w:t xml:space="preserve">Figure </w:t>
      </w:r>
      <w:r w:rsidR="00B11F3B">
        <w:rPr>
          <w:noProof/>
        </w:rPr>
        <w:t>38</w:t>
      </w:r>
      <w:r>
        <w:fldChar w:fldCharType="end"/>
      </w:r>
      <w:r w:rsidR="00B25CAA" w:rsidRPr="00A40CD0">
        <w:t xml:space="preserve">): </w:t>
      </w:r>
      <w:r w:rsidR="00D629EE">
        <w:t xml:space="preserve"> in 20</w:t>
      </w:r>
      <w:r w:rsidR="002C55BD">
        <w:t>10/11</w:t>
      </w:r>
      <w:r w:rsidR="00D629EE">
        <w:t xml:space="preserve"> </w:t>
      </w:r>
      <w:r w:rsidR="00B25CAA" w:rsidRPr="00A40CD0">
        <w:t>the flow conditions in the Daintree and Barron Rivers were more than twice above median levels while the freshwater discharge for the Herbert was more than three times above median flows</w:t>
      </w:r>
      <w:r w:rsidR="00D629EE">
        <w:t>, as t</w:t>
      </w:r>
      <w:r w:rsidR="00D629EE" w:rsidRPr="00A40CD0">
        <w:t xml:space="preserve">he Wet Tropics region was affected </w:t>
      </w:r>
      <w:r w:rsidR="00D629EE">
        <w:t xml:space="preserve">by </w:t>
      </w:r>
      <w:r w:rsidR="00D629EE" w:rsidRPr="00A40CD0">
        <w:t>the impact of the Category 5 Tropical Cyclone Yasi in February 2011 and associated flooding</w:t>
      </w:r>
      <w:r w:rsidR="00B25CAA" w:rsidRPr="00A40CD0">
        <w:t xml:space="preserve"> (</w:t>
      </w:r>
      <w:r w:rsidR="008A285B">
        <w:fldChar w:fldCharType="begin"/>
      </w:r>
      <w:r w:rsidR="008A285B">
        <w:instrText xml:space="preserve"> REF _Ref257740941 \h  \* MERGEFORMAT </w:instrText>
      </w:r>
      <w:r w:rsidR="008A285B">
        <w:fldChar w:fldCharType="separate"/>
      </w:r>
      <w:r w:rsidR="00B11F3B" w:rsidRPr="00A40CD0">
        <w:t xml:space="preserve">Figure </w:t>
      </w:r>
      <w:r w:rsidR="00B11F3B">
        <w:t>17</w:t>
      </w:r>
      <w:r w:rsidR="008A285B">
        <w:fldChar w:fldCharType="end"/>
      </w:r>
      <w:r w:rsidR="00B25CAA" w:rsidRPr="00A40CD0">
        <w:t>). A lower f</w:t>
      </w:r>
      <w:r w:rsidR="00D629EE">
        <w:t>reshwater extent in 2009/10 (231</w:t>
      </w:r>
      <w:r w:rsidR="00B25CAA" w:rsidRPr="00A40CD0">
        <w:t>9 km</w:t>
      </w:r>
      <w:r w:rsidR="00B25CAA" w:rsidRPr="00A40CD0">
        <w:rPr>
          <w:vertAlign w:val="superscript"/>
        </w:rPr>
        <w:t>2</w:t>
      </w:r>
      <w:r w:rsidR="00B25CAA" w:rsidRPr="00A40CD0">
        <w:t xml:space="preserve">) was due to the to the flow conditions in the Russell, Johnstone, Tully and Herbert Rivers below median levels (0.6 – 0.8 times median levels, </w:t>
      </w:r>
      <w:r>
        <w:fldChar w:fldCharType="begin"/>
      </w:r>
      <w:r w:rsidR="00D90A4A">
        <w:instrText xml:space="preserve"> REF _Ref257740941 \h </w:instrText>
      </w:r>
      <w:r>
        <w:fldChar w:fldCharType="separate"/>
      </w:r>
      <w:r w:rsidR="00B11F3B" w:rsidRPr="00A40CD0">
        <w:t xml:space="preserve">Figure </w:t>
      </w:r>
      <w:r w:rsidR="00B11F3B">
        <w:rPr>
          <w:noProof/>
        </w:rPr>
        <w:t>17</w:t>
      </w:r>
      <w:r>
        <w:fldChar w:fldCharType="end"/>
      </w:r>
      <w:r w:rsidR="00B25CAA" w:rsidRPr="00A40CD0">
        <w:t>)..</w:t>
      </w:r>
    </w:p>
    <w:p w:rsidR="00B25CAA" w:rsidRPr="00A40CD0" w:rsidRDefault="00C25E68" w:rsidP="002E0BD6">
      <w:pPr>
        <w:pStyle w:val="BodyText"/>
      </w:pPr>
      <w:r w:rsidRPr="00C25E68">
        <w:rPr>
          <w:noProof/>
          <w:lang w:eastAsia="en-AU"/>
        </w:rPr>
        <w:lastRenderedPageBreak/>
        <w:drawing>
          <wp:inline distT="0" distB="0" distL="0" distR="0">
            <wp:extent cx="5759450" cy="3756112"/>
            <wp:effectExtent l="0" t="0" r="6350" b="3175"/>
            <wp:docPr id="29" name="Picture 69" descr="Freshwater discharge and estimated freshwater extent for the Wet Tropics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6" cstate="email">
                      <a:extLst>
                        <a:ext uri="{28A0092B-C50C-407E-A947-70E740481C1C}">
                          <a14:useLocalDpi xmlns:a14="http://schemas.microsoft.com/office/drawing/2010/main"/>
                        </a:ext>
                      </a:extLst>
                    </a:blip>
                    <a:srcRect/>
                    <a:stretch>
                      <a:fillRect/>
                    </a:stretch>
                  </pic:blipFill>
                  <pic:spPr bwMode="auto">
                    <a:xfrm>
                      <a:off x="0" y="0"/>
                      <a:ext cx="5759450" cy="3756112"/>
                    </a:xfrm>
                    <a:prstGeom prst="rect">
                      <a:avLst/>
                    </a:prstGeom>
                    <a:noFill/>
                    <a:ln w="9525">
                      <a:noFill/>
                      <a:miter lim="800000"/>
                      <a:headEnd/>
                      <a:tailEnd/>
                    </a:ln>
                  </pic:spPr>
                </pic:pic>
              </a:graphicData>
            </a:graphic>
          </wp:inline>
        </w:drawing>
      </w:r>
    </w:p>
    <w:p w:rsidR="00B25CAA" w:rsidRPr="00A40CD0" w:rsidRDefault="00B25CAA" w:rsidP="003810CB">
      <w:pPr>
        <w:pStyle w:val="Caption"/>
      </w:pPr>
      <w:bookmarkStart w:id="226" w:name="_Ref304873948"/>
      <w:bookmarkStart w:id="227" w:name="_Toc228588318"/>
      <w:bookmarkStart w:id="228" w:name="_Toc399265024"/>
      <w:r w:rsidRPr="00A40CD0">
        <w:t xml:space="preserve">Figure </w:t>
      </w:r>
      <w:r w:rsidR="00EA2F38">
        <w:fldChar w:fldCharType="begin"/>
      </w:r>
      <w:r w:rsidR="00933C8B">
        <w:instrText xml:space="preserve"> SEQ Figure \* ARABIC </w:instrText>
      </w:r>
      <w:r w:rsidR="00EA2F38">
        <w:fldChar w:fldCharType="separate"/>
      </w:r>
      <w:r w:rsidR="00B11F3B">
        <w:rPr>
          <w:noProof/>
        </w:rPr>
        <w:t>38</w:t>
      </w:r>
      <w:r w:rsidR="00EA2F38">
        <w:fldChar w:fldCharType="end"/>
      </w:r>
      <w:bookmarkEnd w:id="226"/>
      <w:r w:rsidRPr="00A40CD0">
        <w:t>. Freshwater discharge and estimated freshwater extent for the Wet Tropics region based on the CDOM maximum for the wet seasons.</w:t>
      </w:r>
      <w:bookmarkEnd w:id="227"/>
      <w:bookmarkEnd w:id="228"/>
    </w:p>
    <w:p w:rsidR="00B25CAA" w:rsidRPr="00A40CD0" w:rsidRDefault="00B25CAA" w:rsidP="002E0BD6">
      <w:pPr>
        <w:pStyle w:val="BodyText"/>
      </w:pPr>
      <w:r w:rsidRPr="00A40CD0">
        <w:t>The estimated freshwater extended in the Midshelf water bodies reaching the reef matrix to the East of port Douglas and Innisfail (</w:t>
      </w:r>
      <w:r w:rsidR="00EA2F38">
        <w:fldChar w:fldCharType="begin"/>
      </w:r>
      <w:r w:rsidR="00D90A4A">
        <w:instrText xml:space="preserve"> REF _Ref257731831 \h </w:instrText>
      </w:r>
      <w:r w:rsidR="00EA2F38">
        <w:fldChar w:fldCharType="separate"/>
      </w:r>
      <w:r w:rsidR="00B11F3B" w:rsidRPr="00A40CD0">
        <w:t xml:space="preserve">Figure </w:t>
      </w:r>
      <w:r w:rsidR="00B11F3B">
        <w:rPr>
          <w:noProof/>
        </w:rPr>
        <w:t>40</w:t>
      </w:r>
      <w:r w:rsidR="00EA2F38">
        <w:fldChar w:fldCharType="end"/>
      </w:r>
      <w:r w:rsidRPr="00A40CD0">
        <w:t xml:space="preserve">). The high concentration of CDOM in these areas is patchy and it provides conservative estimate of the freshwater extent as flood plumes could have extended further in cloudy or overcast days and hence may not been captured with the satellite imagery. </w:t>
      </w:r>
    </w:p>
    <w:p w:rsidR="00B25CAA" w:rsidRPr="00A40CD0" w:rsidRDefault="00B25CAA" w:rsidP="002E0BD6">
      <w:pPr>
        <w:pStyle w:val="BodyText"/>
      </w:pPr>
      <w:r w:rsidRPr="00A40CD0">
        <w:t>Some of the CDOM and freshwater extent reported for this region (</w:t>
      </w:r>
      <w:r w:rsidR="00EA2F38">
        <w:fldChar w:fldCharType="begin"/>
      </w:r>
      <w:r w:rsidR="00D90A4A">
        <w:instrText xml:space="preserve"> REF _Ref257731831 \h </w:instrText>
      </w:r>
      <w:r w:rsidR="00EA2F38">
        <w:fldChar w:fldCharType="separate"/>
      </w:r>
      <w:r w:rsidR="00B11F3B" w:rsidRPr="00A40CD0">
        <w:t xml:space="preserve">Figure </w:t>
      </w:r>
      <w:r w:rsidR="00B11F3B">
        <w:rPr>
          <w:noProof/>
        </w:rPr>
        <w:t>40</w:t>
      </w:r>
      <w:r w:rsidR="00EA2F38">
        <w:fldChar w:fldCharType="end"/>
      </w:r>
      <w:r w:rsidRPr="00A40CD0">
        <w:t xml:space="preserve">), in particular to the East  of the </w:t>
      </w:r>
      <w:r w:rsidR="00A40CD0" w:rsidRPr="00A40CD0">
        <w:t>Herbert</w:t>
      </w:r>
      <w:r w:rsidRPr="00A40CD0">
        <w:t xml:space="preserve"> River and </w:t>
      </w:r>
      <w:r w:rsidR="00A40CD0" w:rsidRPr="00A40CD0">
        <w:t>Hinchinbrook</w:t>
      </w:r>
      <w:r w:rsidRPr="00A40CD0">
        <w:t xml:space="preserve"> Island where CDOM absorption were higher than 0.50 m</w:t>
      </w:r>
      <w:r w:rsidRPr="00A40CD0">
        <w:rPr>
          <w:vertAlign w:val="superscript"/>
        </w:rPr>
        <w:t>-1</w:t>
      </w:r>
      <w:r w:rsidRPr="00A40CD0">
        <w:t xml:space="preserve">  are probably associated with the Burdekin River flows and discharge that were more than five times above the m</w:t>
      </w:r>
      <w:r w:rsidR="00A40CD0">
        <w:t xml:space="preserve">edian values. Also some of the </w:t>
      </w:r>
      <w:r w:rsidRPr="00A40CD0">
        <w:t>disc</w:t>
      </w:r>
      <w:r w:rsidR="00A40CD0">
        <w:t xml:space="preserve">harge due to the Herbert River </w:t>
      </w:r>
      <w:r w:rsidRPr="00A40CD0">
        <w:t xml:space="preserve">is possibly accounted for in the Burdekin Region. These difficulties in clearly associating the sources of freshwater </w:t>
      </w:r>
      <w:r w:rsidR="00A40CD0" w:rsidRPr="00A40CD0">
        <w:t>discharge</w:t>
      </w:r>
      <w:r w:rsidRPr="00A40CD0">
        <w:t xml:space="preserve"> with the </w:t>
      </w:r>
      <w:r w:rsidR="00A40CD0">
        <w:t xml:space="preserve">estimated freshwater extent </w:t>
      </w:r>
      <w:r w:rsidRPr="00A40CD0">
        <w:t>are due to local hydrodynamics</w:t>
      </w:r>
      <w:r w:rsidR="00A40CD0">
        <w:t>,</w:t>
      </w:r>
      <w:r w:rsidRPr="00A40CD0">
        <w:t xml:space="preserve"> as well as the nature of the marine boundaries for the reporting regions.</w:t>
      </w:r>
    </w:p>
    <w:p w:rsidR="009202A6" w:rsidRPr="007E294B" w:rsidRDefault="00B25CAA" w:rsidP="007E294B">
      <w:pPr>
        <w:pStyle w:val="Heading3"/>
      </w:pPr>
      <w:bookmarkStart w:id="229" w:name="_Toc228588190"/>
      <w:bookmarkStart w:id="230" w:name="_Toc399264897"/>
      <w:r w:rsidRPr="007E294B">
        <w:t>The wet and dry season median maps for Chlorophyll-a and Total Suspended Solids.</w:t>
      </w:r>
      <w:bookmarkEnd w:id="229"/>
      <w:bookmarkEnd w:id="230"/>
    </w:p>
    <w:p w:rsidR="00B25CAA" w:rsidRPr="00A40CD0" w:rsidRDefault="00B25CAA" w:rsidP="002E0BD6">
      <w:pPr>
        <w:pStyle w:val="BodyText"/>
      </w:pPr>
      <w:r w:rsidRPr="00A40CD0">
        <w:t>The wet and dry season CHL median maps of (</w:t>
      </w:r>
      <w:r w:rsidR="00EA2F38">
        <w:fldChar w:fldCharType="begin"/>
      </w:r>
      <w:r w:rsidR="00D90A4A">
        <w:instrText xml:space="preserve"> REF _Ref247857091 \h </w:instrText>
      </w:r>
      <w:r w:rsidR="00EA2F38">
        <w:fldChar w:fldCharType="separate"/>
      </w:r>
      <w:r w:rsidR="00B11F3B" w:rsidRPr="00A40CD0">
        <w:t xml:space="preserve">Figure </w:t>
      </w:r>
      <w:r w:rsidR="00B11F3B">
        <w:rPr>
          <w:noProof/>
        </w:rPr>
        <w:t>41</w:t>
      </w:r>
      <w:r w:rsidR="00EA2F38">
        <w:fldChar w:fldCharType="end"/>
      </w:r>
      <w:r w:rsidRPr="00A40CD0">
        <w:t xml:space="preserve">) for the Wet Tropics region show high CHL </w:t>
      </w:r>
      <w:r w:rsidR="00A40CD0" w:rsidRPr="00A40CD0">
        <w:t>concentrations</w:t>
      </w:r>
      <w:r w:rsidRPr="00A40CD0">
        <w:t xml:space="preserve"> near the coast and in the estuary to lower concentrations towards the East. Median CHL values of up-to 0.5 </w:t>
      </w:r>
      <w:r w:rsidRPr="00A40CD0">
        <w:rPr>
          <w:rFonts w:ascii="SymbolProp BT" w:hAnsi="SymbolProp BT"/>
        </w:rPr>
        <w:t></w:t>
      </w:r>
      <w:r w:rsidRPr="00A40CD0">
        <w:t>gL</w:t>
      </w:r>
      <w:r w:rsidRPr="00A40CD0">
        <w:rPr>
          <w:vertAlign w:val="superscript"/>
        </w:rPr>
        <w:t>-1</w:t>
      </w:r>
      <w:r w:rsidRPr="00A40CD0">
        <w:t xml:space="preserve"> extended beyond the coastal to inshore boundary for the dry season, while the wet season showed values up to 1.0 </w:t>
      </w:r>
      <w:r w:rsidRPr="00A40CD0">
        <w:rPr>
          <w:rFonts w:ascii="SymbolProp BT" w:hAnsi="SymbolProp BT"/>
        </w:rPr>
        <w:t></w:t>
      </w:r>
      <w:r w:rsidRPr="00A40CD0">
        <w:t>gL</w:t>
      </w:r>
      <w:r w:rsidRPr="00A40CD0">
        <w:rPr>
          <w:vertAlign w:val="superscript"/>
        </w:rPr>
        <w:t>-1</w:t>
      </w:r>
      <w:r w:rsidRPr="00A40CD0">
        <w:t xml:space="preserve"> beyond </w:t>
      </w:r>
      <w:r w:rsidR="00A40CD0" w:rsidRPr="00A40CD0">
        <w:t>the coastal</w:t>
      </w:r>
      <w:r w:rsidRPr="00A40CD0">
        <w:t xml:space="preserve"> to inshore boundary and ranges of 0.4-0.6 </w:t>
      </w:r>
      <w:r w:rsidRPr="00A40CD0">
        <w:rPr>
          <w:rFonts w:ascii="SymbolProp BT" w:hAnsi="SymbolProp BT"/>
        </w:rPr>
        <w:t></w:t>
      </w:r>
      <w:r w:rsidRPr="00A40CD0">
        <w:t>gL</w:t>
      </w:r>
      <w:r w:rsidRPr="00A40CD0">
        <w:rPr>
          <w:vertAlign w:val="superscript"/>
        </w:rPr>
        <w:t>-1</w:t>
      </w:r>
      <w:r w:rsidRPr="00A40CD0">
        <w:t xml:space="preserve"> in the Midshelf. The median CHL values in the offshore region in the reef matrix ranged between 0.15-0.25 </w:t>
      </w:r>
      <w:r w:rsidRPr="00A40CD0">
        <w:rPr>
          <w:rFonts w:ascii="SymbolProp BT" w:hAnsi="SymbolProp BT"/>
        </w:rPr>
        <w:t></w:t>
      </w:r>
      <w:r w:rsidRPr="00A40CD0">
        <w:t>gL</w:t>
      </w:r>
      <w:r w:rsidRPr="00A40CD0">
        <w:rPr>
          <w:vertAlign w:val="superscript"/>
        </w:rPr>
        <w:t>-1</w:t>
      </w:r>
      <w:r w:rsidRPr="00A40CD0">
        <w:t>.</w:t>
      </w:r>
    </w:p>
    <w:p w:rsidR="00B25CAA" w:rsidRPr="00A40CD0" w:rsidRDefault="00B25CAA" w:rsidP="002E0BD6">
      <w:pPr>
        <w:pStyle w:val="BodyText"/>
      </w:pPr>
      <w:r w:rsidRPr="00A40CD0">
        <w:t>The wet and dry season median maps of non-algal particulate matter (as a measure of TSS) (</w:t>
      </w:r>
      <w:r w:rsidR="00EA2F38">
        <w:fldChar w:fldCharType="begin"/>
      </w:r>
      <w:r w:rsidR="00D90A4A">
        <w:instrText xml:space="preserve"> REF _Ref247857150 \h </w:instrText>
      </w:r>
      <w:r w:rsidR="00EA2F38">
        <w:fldChar w:fldCharType="separate"/>
      </w:r>
      <w:r w:rsidR="00B11F3B" w:rsidRPr="00A40CD0">
        <w:t xml:space="preserve">Figure </w:t>
      </w:r>
      <w:r w:rsidR="00B11F3B">
        <w:rPr>
          <w:noProof/>
        </w:rPr>
        <w:t>42</w:t>
      </w:r>
      <w:r w:rsidR="00EA2F38">
        <w:fldChar w:fldCharType="end"/>
      </w:r>
      <w:r w:rsidRPr="00A40CD0">
        <w:t>) for the Wet Tropics region show values higher than 3 mgL</w:t>
      </w:r>
      <w:r w:rsidRPr="00A40CD0">
        <w:rPr>
          <w:vertAlign w:val="superscript"/>
        </w:rPr>
        <w:t>-1</w:t>
      </w:r>
      <w:r w:rsidRPr="00A40CD0">
        <w:t xml:space="preserve"> in Rockingham Bay and Halifax Bay.</w:t>
      </w:r>
    </w:p>
    <w:p w:rsidR="00B25CAA" w:rsidRPr="00A40CD0" w:rsidRDefault="00B25CAA" w:rsidP="002E0BD6">
      <w:pPr>
        <w:pStyle w:val="BodyText"/>
      </w:pPr>
      <w:r w:rsidRPr="00A40CD0">
        <w:lastRenderedPageBreak/>
        <w:t>The number of image observations available for calculating the median values varies from 20 to 30 observations for the wet season and 40-50 for the dry season for each pixel location  (</w:t>
      </w:r>
      <w:r w:rsidR="00EA2F38">
        <w:fldChar w:fldCharType="begin"/>
      </w:r>
      <w:r w:rsidR="00D90A4A">
        <w:instrText xml:space="preserve"> REF _Ref247857154 \h </w:instrText>
      </w:r>
      <w:r w:rsidR="00EA2F38">
        <w:fldChar w:fldCharType="separate"/>
      </w:r>
      <w:r w:rsidR="00B11F3B" w:rsidRPr="00A40CD0">
        <w:t xml:space="preserve">Figure </w:t>
      </w:r>
      <w:r w:rsidR="00B11F3B">
        <w:rPr>
          <w:noProof/>
        </w:rPr>
        <w:t>43</w:t>
      </w:r>
      <w:r w:rsidR="00EA2F38">
        <w:fldChar w:fldCharType="end"/>
      </w:r>
      <w:r w:rsidRPr="00A40CD0">
        <w:t>) .</w:t>
      </w:r>
    </w:p>
    <w:p w:rsidR="009202A6" w:rsidRPr="007E294B" w:rsidRDefault="000063E1" w:rsidP="007E294B">
      <w:pPr>
        <w:pStyle w:val="Heading3"/>
      </w:pPr>
      <w:bookmarkStart w:id="231" w:name="_Toc228588191"/>
      <w:bookmarkStart w:id="232" w:name="_Toc399264898"/>
      <w:r w:rsidRPr="007E294B">
        <w:t>Assessment of the marine water quality index and the exceedance of water quality guidelines</w:t>
      </w:r>
      <w:bookmarkEnd w:id="231"/>
      <w:bookmarkEnd w:id="232"/>
    </w:p>
    <w:p w:rsidR="000063E1" w:rsidRDefault="000063E1" w:rsidP="002E0BD6">
      <w:pPr>
        <w:pStyle w:val="BodyText"/>
      </w:pPr>
      <w:r w:rsidRPr="00A40CD0">
        <w:t>The marine water quality for this reporting year for the Wet Tropics region was scored as “poor”, reflecting a “</w:t>
      </w:r>
      <w:r w:rsidR="00F52891" w:rsidRPr="00A40CD0">
        <w:t xml:space="preserve">very </w:t>
      </w:r>
      <w:r w:rsidRPr="00A40CD0">
        <w:t>poor” score for P2R_CHL and “</w:t>
      </w:r>
      <w:r w:rsidR="00F52891" w:rsidRPr="00A40CD0">
        <w:t>good</w:t>
      </w:r>
      <w:r w:rsidRPr="00A40CD0">
        <w:t>” for P2R_TSS (</w:t>
      </w:r>
      <w:r w:rsidR="00EA2F38">
        <w:fldChar w:fldCharType="begin"/>
      </w:r>
      <w:r w:rsidR="00D90A4A">
        <w:instrText xml:space="preserve"> REF _Ref321323848 \h </w:instrText>
      </w:r>
      <w:r w:rsidR="00EA2F38">
        <w:fldChar w:fldCharType="separate"/>
      </w:r>
      <w:r w:rsidR="00B11F3B" w:rsidRPr="00A40CD0">
        <w:t xml:space="preserve">Figure </w:t>
      </w:r>
      <w:r w:rsidR="00B11F3B">
        <w:rPr>
          <w:noProof/>
        </w:rPr>
        <w:t>39</w:t>
      </w:r>
      <w:r w:rsidR="00EA2F38">
        <w:fldChar w:fldCharType="end"/>
      </w:r>
      <w:r w:rsidRPr="00A40CD0">
        <w:t xml:space="preserve">). The marine water quality index </w:t>
      </w:r>
      <w:r w:rsidR="00F52891" w:rsidRPr="00A40CD0">
        <w:t>has</w:t>
      </w:r>
      <w:r w:rsidRPr="00A40CD0">
        <w:t xml:space="preserve"> been oscillating between “poor” and “moderate” sinc</w:t>
      </w:r>
      <w:r w:rsidR="00F52891" w:rsidRPr="00A40CD0">
        <w:t>e the 2003/04 reporting season. The component scores show opposite behaviours, w</w:t>
      </w:r>
      <w:r w:rsidR="005D7849">
        <w:t>ith P2R_CHL showing a decline f</w:t>
      </w:r>
      <w:r w:rsidR="00F52891" w:rsidRPr="00A40CD0">
        <w:t>r</w:t>
      </w:r>
      <w:r w:rsidR="005D7849">
        <w:t>o</w:t>
      </w:r>
      <w:r w:rsidR="00F52891" w:rsidRPr="00A40CD0">
        <w:t>m “poor” to very poor for 2003/04 to-date, while P2R_TSS showing an increase in scores from “</w:t>
      </w:r>
      <w:r w:rsidR="009C6556" w:rsidRPr="00A40CD0">
        <w:t>moderate” in 2004/05</w:t>
      </w:r>
      <w:r w:rsidR="00F52891" w:rsidRPr="00A40CD0">
        <w:t xml:space="preserve"> – 2006/07 to “</w:t>
      </w:r>
      <w:r w:rsidR="009C6556" w:rsidRPr="00A40CD0">
        <w:t>good</w:t>
      </w:r>
      <w:r w:rsidR="00F52891" w:rsidRPr="00A40CD0">
        <w:t>”</w:t>
      </w:r>
      <w:r w:rsidR="009C6556" w:rsidRPr="00A40CD0">
        <w:t xml:space="preserve"> </w:t>
      </w:r>
      <w:r w:rsidR="00AA24B0">
        <w:t>for the previous</w:t>
      </w:r>
      <w:r w:rsidR="00F52891" w:rsidRPr="00A40CD0">
        <w:t xml:space="preserve"> four reporting years</w:t>
      </w:r>
      <w:r w:rsidR="00AA24B0">
        <w:t>, returning to “moderate” in 2011/12</w:t>
      </w:r>
      <w:r w:rsidR="00F52891" w:rsidRPr="00A40CD0">
        <w:t xml:space="preserve">. </w:t>
      </w:r>
      <w:r w:rsidR="009C6556" w:rsidRPr="00A40CD0">
        <w:t xml:space="preserve">The P2R_CHL scores seem to respond to the higher freshwater discharges in the last four years and the associated estimated freshwater plume extents </w:t>
      </w:r>
      <w:r w:rsidRPr="00A40CD0">
        <w:t>(</w:t>
      </w:r>
      <w:r w:rsidR="00EA2F38">
        <w:fldChar w:fldCharType="begin"/>
      </w:r>
      <w:r w:rsidR="00D90A4A">
        <w:instrText xml:space="preserve"> REF _Ref304873948 \h </w:instrText>
      </w:r>
      <w:r w:rsidR="00EA2F38">
        <w:fldChar w:fldCharType="separate"/>
      </w:r>
      <w:r w:rsidR="00B11F3B" w:rsidRPr="00A40CD0">
        <w:t xml:space="preserve">Figure </w:t>
      </w:r>
      <w:r w:rsidR="00B11F3B">
        <w:rPr>
          <w:noProof/>
        </w:rPr>
        <w:t>38</w:t>
      </w:r>
      <w:r w:rsidR="00EA2F38">
        <w:fldChar w:fldCharType="end"/>
      </w:r>
      <w:r w:rsidRPr="00A40CD0">
        <w:t xml:space="preserve">). </w:t>
      </w:r>
    </w:p>
    <w:p w:rsidR="00B25CAA" w:rsidRPr="00A40CD0" w:rsidRDefault="007E7CDF" w:rsidP="002E0BD6">
      <w:pPr>
        <w:pStyle w:val="BodyText"/>
      </w:pPr>
      <w:r>
        <w:t xml:space="preserve">The Enclosed Coastal </w:t>
      </w:r>
      <w:r w:rsidRPr="00A40CD0">
        <w:t>marine water body</w:t>
      </w:r>
      <w:r>
        <w:t xml:space="preserve"> accounts for ~15% of the inshore waters used for P2R reporting</w:t>
      </w:r>
      <w:r w:rsidR="00756005">
        <w:t>, in front of the Barron and Herbert River mouths</w:t>
      </w:r>
      <w:r>
        <w:t xml:space="preserve"> and for most of the area in Rockingham</w:t>
      </w:r>
      <w:r w:rsidRPr="00A40CD0">
        <w:t xml:space="preserve"> Bay</w:t>
      </w:r>
      <w:r>
        <w:t xml:space="preserve"> (</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w:t>
      </w:r>
      <w:r w:rsidR="00AA24B0">
        <w:t xml:space="preserve"> </w:t>
      </w:r>
      <w:r w:rsidR="00EA2F38">
        <w:fldChar w:fldCharType="begin"/>
      </w:r>
      <w:r>
        <w:instrText xml:space="preserve"> REF _Ref247428722 \h </w:instrText>
      </w:r>
      <w:r w:rsidR="00EA2F38">
        <w:fldChar w:fldCharType="separate"/>
      </w:r>
      <w:r w:rsidR="00B11F3B" w:rsidRPr="00A40CD0">
        <w:t xml:space="preserve">Figure </w:t>
      </w:r>
      <w:r w:rsidR="00B11F3B">
        <w:rPr>
          <w:noProof/>
        </w:rPr>
        <w:t>2</w:t>
      </w:r>
      <w:r w:rsidR="00EA2F38">
        <w:fldChar w:fldCharType="end"/>
      </w:r>
      <w:r w:rsidR="00AC3EFC">
        <w:t xml:space="preserve">). </w:t>
      </w:r>
      <w:r w:rsidR="00B25CAA" w:rsidRPr="00A40CD0">
        <w:t>The annual mean CHL values exc</w:t>
      </w:r>
      <w:r w:rsidR="00AA24B0">
        <w:t xml:space="preserve">eeded the guideline value </w:t>
      </w:r>
      <w:r w:rsidR="00B25CAA" w:rsidRPr="00A40CD0">
        <w:t xml:space="preserve">for </w:t>
      </w:r>
      <w:r w:rsidR="00AA24B0">
        <w:t>79</w:t>
      </w:r>
      <w:r w:rsidR="00AA24B0" w:rsidRPr="00A40CD0">
        <w:t xml:space="preserve">% of the </w:t>
      </w:r>
      <w:r w:rsidR="00AA24B0">
        <w:t>Enclosed</w:t>
      </w:r>
      <w:r w:rsidR="00AA24B0" w:rsidRPr="00A40CD0">
        <w:t xml:space="preserve"> Coastal</w:t>
      </w:r>
      <w:r w:rsidR="00AA24B0">
        <w:t xml:space="preserve"> area, </w:t>
      </w:r>
      <w:r w:rsidR="00B25CAA" w:rsidRPr="00A40CD0">
        <w:t>93% of the Open Coastal</w:t>
      </w:r>
      <w:r w:rsidR="00AA24B0">
        <w:t xml:space="preserve"> area, 31% of the Midshelf and 1</w:t>
      </w:r>
      <w:r w:rsidR="00B25CAA" w:rsidRPr="00A40CD0">
        <w:t>% of the Offshore areas (</w:t>
      </w:r>
      <w:r w:rsidR="00EA2F38">
        <w:fldChar w:fldCharType="begin"/>
      </w:r>
      <w:r w:rsidR="00D90A4A">
        <w:instrText xml:space="preserve"> REF _Ref263850323 \h </w:instrText>
      </w:r>
      <w:r w:rsidR="00EA2F38">
        <w:fldChar w:fldCharType="separate"/>
      </w:r>
      <w:r w:rsidR="00B11F3B" w:rsidRPr="00A40CD0">
        <w:t xml:space="preserve">Figure </w:t>
      </w:r>
      <w:r w:rsidR="00B11F3B">
        <w:rPr>
          <w:noProof/>
        </w:rPr>
        <w:t>44</w:t>
      </w:r>
      <w:r w:rsidR="00EA2F38">
        <w:fldChar w:fldCharType="end"/>
      </w:r>
      <w:r w:rsidR="00B25CAA" w:rsidRPr="00A40CD0">
        <w:t xml:space="preserve">, </w:t>
      </w:r>
      <w:r w:rsidR="00EA2F38">
        <w:fldChar w:fldCharType="begin"/>
      </w:r>
      <w:r w:rsidR="00D90A4A">
        <w:instrText xml:space="preserve"> REF _Ref257738565 \h </w:instrText>
      </w:r>
      <w:r w:rsidR="00EA2F38">
        <w:fldChar w:fldCharType="separate"/>
      </w:r>
      <w:r w:rsidR="00B11F3B" w:rsidRPr="00A40CD0">
        <w:t xml:space="preserve">Table </w:t>
      </w:r>
      <w:r w:rsidR="00B11F3B">
        <w:rPr>
          <w:noProof/>
        </w:rPr>
        <w:t>17</w:t>
      </w:r>
      <w:r w:rsidR="00EA2F38">
        <w:fldChar w:fldCharType="end"/>
      </w:r>
      <w:r w:rsidR="00B25CAA" w:rsidRPr="00A40CD0">
        <w:t>). The spatial patterns in EG are affected by the coastal to offshore gradients that can be observed in the median maps (</w:t>
      </w:r>
      <w:r w:rsidR="00EA2F38">
        <w:fldChar w:fldCharType="begin"/>
      </w:r>
      <w:r w:rsidR="00D90A4A">
        <w:instrText xml:space="preserve"> REF _Ref247857091 \h </w:instrText>
      </w:r>
      <w:r w:rsidR="00EA2F38">
        <w:fldChar w:fldCharType="separate"/>
      </w:r>
      <w:r w:rsidR="00B11F3B" w:rsidRPr="00A40CD0">
        <w:t xml:space="preserve">Figure </w:t>
      </w:r>
      <w:r w:rsidR="00B11F3B">
        <w:rPr>
          <w:noProof/>
        </w:rPr>
        <w:t>41</w:t>
      </w:r>
      <w:r w:rsidR="00EA2F38">
        <w:fldChar w:fldCharType="end"/>
      </w:r>
      <w:r w:rsidR="00B25CAA" w:rsidRPr="00A40CD0">
        <w:t xml:space="preserve">, </w:t>
      </w:r>
      <w:r w:rsidR="00EA2F38">
        <w:fldChar w:fldCharType="begin"/>
      </w:r>
      <w:r w:rsidR="00D90A4A">
        <w:instrText xml:space="preserve"> REF _Ref247857150 \h </w:instrText>
      </w:r>
      <w:r w:rsidR="00EA2F38">
        <w:fldChar w:fldCharType="separate"/>
      </w:r>
      <w:r w:rsidR="00B11F3B" w:rsidRPr="00A40CD0">
        <w:t xml:space="preserve">Figure </w:t>
      </w:r>
      <w:r w:rsidR="00B11F3B">
        <w:rPr>
          <w:noProof/>
        </w:rPr>
        <w:t>42</w:t>
      </w:r>
      <w:r w:rsidR="00EA2F38">
        <w:fldChar w:fldCharType="end"/>
      </w:r>
      <w:r w:rsidR="00B25CAA" w:rsidRPr="00A40CD0">
        <w:t xml:space="preserve">) and by the changes in trigger values between the </w:t>
      </w:r>
      <w:r w:rsidR="007151F0">
        <w:t>Enclosed</w:t>
      </w:r>
      <w:r w:rsidR="007151F0" w:rsidRPr="00A40CD0">
        <w:t xml:space="preserve"> Coastal</w:t>
      </w:r>
      <w:r w:rsidR="007151F0">
        <w:t xml:space="preserve"> and Open Coastal areas as well as between the </w:t>
      </w:r>
      <w:r w:rsidR="00B25CAA" w:rsidRPr="00A40CD0">
        <w:t xml:space="preserve">Midshelf and Offshore areas. The mean CHL values of exceeded the Guidelines values for </w:t>
      </w:r>
      <w:r w:rsidR="007151F0">
        <w:t>98-</w:t>
      </w:r>
      <w:r w:rsidR="00B25CAA" w:rsidRPr="00A40CD0">
        <w:t xml:space="preserve">99% of the </w:t>
      </w:r>
      <w:r w:rsidR="007151F0">
        <w:t xml:space="preserve">Enclosed Coastal and </w:t>
      </w:r>
      <w:r w:rsidR="00B25CAA" w:rsidRPr="00A40CD0">
        <w:t>Open Coastal area</w:t>
      </w:r>
      <w:r w:rsidR="007151F0">
        <w:t>s</w:t>
      </w:r>
      <w:r w:rsidR="00B25CAA" w:rsidRPr="00A40CD0">
        <w:t xml:space="preserve"> in the dry season and </w:t>
      </w:r>
      <w:r w:rsidR="007151F0">
        <w:t>51-60</w:t>
      </w:r>
      <w:r w:rsidR="00B25CAA" w:rsidRPr="00A40CD0">
        <w:t xml:space="preserve"> % in the wet season, in correspondence to the river mouths: Mossman –Daintree, Barron, Russell-Mulgrave, Johnstone, Tully, Murray and Herbert rivers and Hinchinbrook Channel (</w:t>
      </w:r>
      <w:r w:rsidR="00EA2F38">
        <w:fldChar w:fldCharType="begin"/>
      </w:r>
      <w:r w:rsidR="00D90A4A">
        <w:instrText xml:space="preserve"> REF _Ref247857196 \h </w:instrText>
      </w:r>
      <w:r w:rsidR="00EA2F38">
        <w:fldChar w:fldCharType="separate"/>
      </w:r>
      <w:r w:rsidR="00B11F3B" w:rsidRPr="00A40CD0">
        <w:t xml:space="preserve">Figure </w:t>
      </w:r>
      <w:r w:rsidR="00B11F3B">
        <w:rPr>
          <w:noProof/>
        </w:rPr>
        <w:t>45</w:t>
      </w:r>
      <w:r w:rsidR="00EA2F38">
        <w:fldChar w:fldCharType="end"/>
      </w:r>
      <w:r w:rsidR="00B25CAA" w:rsidRPr="00A40CD0">
        <w:t>). In the dry season CH</w:t>
      </w:r>
      <w:r w:rsidR="007151F0">
        <w:t xml:space="preserve">L exceeded the Guidelines for 56 % of the Midshelf and </w:t>
      </w:r>
      <w:r w:rsidR="00B25CAA" w:rsidRPr="00A40CD0">
        <w:t>2% of the Offshore areas mainly waters within and around the reef matrix  (</w:t>
      </w:r>
      <w:r w:rsidR="00EA2F38">
        <w:fldChar w:fldCharType="begin"/>
      </w:r>
      <w:r w:rsidR="00D90A4A">
        <w:instrText xml:space="preserve"> REF _Ref247857196 \h </w:instrText>
      </w:r>
      <w:r w:rsidR="00EA2F38">
        <w:fldChar w:fldCharType="separate"/>
      </w:r>
      <w:r w:rsidR="00B11F3B" w:rsidRPr="00A40CD0">
        <w:t xml:space="preserve">Figure </w:t>
      </w:r>
      <w:r w:rsidR="00B11F3B">
        <w:rPr>
          <w:noProof/>
        </w:rPr>
        <w:t>45</w:t>
      </w:r>
      <w:r w:rsidR="00EA2F38">
        <w:fldChar w:fldCharType="end"/>
      </w:r>
      <w:r w:rsidR="00B25CAA" w:rsidRPr="00A40CD0">
        <w:t xml:space="preserve">, </w:t>
      </w:r>
      <w:r w:rsidR="00EA2F38">
        <w:fldChar w:fldCharType="begin"/>
      </w:r>
      <w:r w:rsidR="00D90A4A">
        <w:instrText xml:space="preserve"> REF _Ref257738603 \h </w:instrText>
      </w:r>
      <w:r w:rsidR="00EA2F38">
        <w:fldChar w:fldCharType="separate"/>
      </w:r>
      <w:r w:rsidR="00B11F3B" w:rsidRPr="00A40CD0">
        <w:t xml:space="preserve">Table </w:t>
      </w:r>
      <w:r w:rsidR="00B11F3B">
        <w:rPr>
          <w:noProof/>
        </w:rPr>
        <w:t>18</w:t>
      </w:r>
      <w:r w:rsidR="00EA2F38">
        <w:fldChar w:fldCharType="end"/>
      </w:r>
      <w:r w:rsidR="00B25CAA" w:rsidRPr="00A40CD0">
        <w:t xml:space="preserve">). Similar exceedance values were retrieved if the median was used for the assessment (i.e. when EF values were higher than 0.50 in </w:t>
      </w:r>
      <w:r w:rsidR="00EA2F38">
        <w:fldChar w:fldCharType="begin"/>
      </w:r>
      <w:r w:rsidR="00D90A4A">
        <w:instrText xml:space="preserve"> REF _Ref247857198 \h </w:instrText>
      </w:r>
      <w:r w:rsidR="00EA2F38">
        <w:fldChar w:fldCharType="separate"/>
      </w:r>
      <w:r w:rsidR="00B11F3B" w:rsidRPr="00A40CD0">
        <w:t xml:space="preserve">Figure </w:t>
      </w:r>
      <w:r w:rsidR="00B11F3B">
        <w:rPr>
          <w:noProof/>
        </w:rPr>
        <w:t>46</w:t>
      </w:r>
      <w:r w:rsidR="00EA2F38">
        <w:fldChar w:fldCharType="end"/>
      </w:r>
      <w:r w:rsidR="00B25CAA" w:rsidRPr="00A40CD0">
        <w:t xml:space="preserve">, </w:t>
      </w:r>
      <w:r w:rsidR="00EA2F38">
        <w:fldChar w:fldCharType="begin"/>
      </w:r>
      <w:r w:rsidR="00D90A4A">
        <w:instrText xml:space="preserve"> REF _Ref257738565 \h </w:instrText>
      </w:r>
      <w:r w:rsidR="00EA2F38">
        <w:fldChar w:fldCharType="separate"/>
      </w:r>
      <w:r w:rsidR="00B11F3B" w:rsidRPr="00A40CD0">
        <w:t xml:space="preserve">Table </w:t>
      </w:r>
      <w:r w:rsidR="00B11F3B">
        <w:rPr>
          <w:noProof/>
        </w:rPr>
        <w:t>17</w:t>
      </w:r>
      <w:r w:rsidR="00EA2F38">
        <w:fldChar w:fldCharType="end"/>
      </w:r>
      <w:r w:rsidR="00B25CAA" w:rsidRPr="00A40CD0">
        <w:t xml:space="preserve">, </w:t>
      </w:r>
      <w:r w:rsidR="00EA2F38">
        <w:fldChar w:fldCharType="begin"/>
      </w:r>
      <w:r w:rsidR="00D90A4A">
        <w:instrText xml:space="preserve"> REF _Ref257738603 \h </w:instrText>
      </w:r>
      <w:r w:rsidR="00EA2F38">
        <w:fldChar w:fldCharType="separate"/>
      </w:r>
      <w:r w:rsidR="00B11F3B" w:rsidRPr="00A40CD0">
        <w:t xml:space="preserve">Table </w:t>
      </w:r>
      <w:r w:rsidR="00B11F3B">
        <w:rPr>
          <w:noProof/>
        </w:rPr>
        <w:t>18</w:t>
      </w:r>
      <w:r w:rsidR="00EA2F38">
        <w:fldChar w:fldCharType="end"/>
      </w:r>
      <w:r w:rsidR="00B25CAA" w:rsidRPr="00A40CD0">
        <w:t>).</w:t>
      </w:r>
    </w:p>
    <w:p w:rsidR="00AC316A" w:rsidRPr="00A40CD0" w:rsidRDefault="009C6556" w:rsidP="002E0BD6">
      <w:pPr>
        <w:pStyle w:val="BodyText"/>
      </w:pPr>
      <w:r w:rsidRPr="00A40CD0">
        <w:t xml:space="preserve">The </w:t>
      </w:r>
      <w:r w:rsidR="007151F0">
        <w:t>annual REEG for TSS extend reached 69% in the Enclosed Coastal 39</w:t>
      </w:r>
      <w:r w:rsidRPr="00A40CD0">
        <w:t>% of the Open Co</w:t>
      </w:r>
      <w:r w:rsidR="007151F0">
        <w:t>astal, 7% of the Midshelf and 1</w:t>
      </w:r>
      <w:r w:rsidRPr="00A40CD0">
        <w:t>% of Offshore areas (</w:t>
      </w:r>
      <w:r w:rsidR="00EA2F38">
        <w:fldChar w:fldCharType="begin"/>
      </w:r>
      <w:r w:rsidR="00D90A4A">
        <w:instrText xml:space="preserve"> REF _Ref263850323 \h </w:instrText>
      </w:r>
      <w:r w:rsidR="00EA2F38">
        <w:fldChar w:fldCharType="separate"/>
      </w:r>
      <w:r w:rsidR="00B11F3B" w:rsidRPr="00A40CD0">
        <w:t xml:space="preserve">Figure </w:t>
      </w:r>
      <w:r w:rsidR="00B11F3B">
        <w:rPr>
          <w:noProof/>
        </w:rPr>
        <w:t>44</w:t>
      </w:r>
      <w:r w:rsidR="00EA2F38">
        <w:fldChar w:fldCharType="end"/>
      </w:r>
      <w:r w:rsidRPr="00A40CD0">
        <w:t xml:space="preserve">, </w:t>
      </w:r>
      <w:r w:rsidR="00EA2F38">
        <w:fldChar w:fldCharType="begin"/>
      </w:r>
      <w:r w:rsidR="00D90A4A">
        <w:instrText xml:space="preserve"> REF _Ref257738565 \h </w:instrText>
      </w:r>
      <w:r w:rsidR="00EA2F38">
        <w:fldChar w:fldCharType="separate"/>
      </w:r>
      <w:r w:rsidR="00B11F3B" w:rsidRPr="00A40CD0">
        <w:t xml:space="preserve">Table </w:t>
      </w:r>
      <w:r w:rsidR="00B11F3B">
        <w:rPr>
          <w:noProof/>
        </w:rPr>
        <w:t>17</w:t>
      </w:r>
      <w:r w:rsidR="00EA2F38">
        <w:fldChar w:fldCharType="end"/>
      </w:r>
      <w:r w:rsidRPr="00A40CD0">
        <w:t>).  The seasonal mean TSS values excee</w:t>
      </w:r>
      <w:r w:rsidR="007151F0">
        <w:t>ded the Guidelines values for 75 % of Enclosed Coastal and  56</w:t>
      </w:r>
      <w:r w:rsidRPr="00A40CD0">
        <w:t>% of the Open Coast</w:t>
      </w:r>
      <w:r w:rsidR="007151F0">
        <w:t>al Area in the dry season and 55% and 9</w:t>
      </w:r>
      <w:r w:rsidRPr="00A40CD0">
        <w:t xml:space="preserve"> % in the wet season, in the dry season the mean values of TSS als</w:t>
      </w:r>
      <w:r w:rsidR="007151F0">
        <w:t>o exceeded the Guidelines for 10</w:t>
      </w:r>
      <w:r w:rsidRPr="00A40CD0">
        <w:t xml:space="preserve"> % of the Midshelf and</w:t>
      </w:r>
      <w:r w:rsidR="007151F0">
        <w:t xml:space="preserve"> 6</w:t>
      </w:r>
      <w:r w:rsidR="00AC316A">
        <w:t xml:space="preserve">% of the Offshore area. </w:t>
      </w:r>
      <w:r w:rsidR="00AC316A" w:rsidRPr="00A40CD0">
        <w:t xml:space="preserve">Almost no exceedance was recorded for the Midshelf and Offshore areas in both seasons and over the year if the median was used for the assessment (REEF50), while the exceedance of the median values for the </w:t>
      </w:r>
      <w:r w:rsidR="00500622">
        <w:t>inshore</w:t>
      </w:r>
      <w:r w:rsidR="00AC316A" w:rsidRPr="00A40CD0">
        <w:t xml:space="preserve"> area were lower t</w:t>
      </w:r>
      <w:r w:rsidR="00AC316A">
        <w:t>han those for the mean values (15</w:t>
      </w:r>
      <w:r w:rsidR="00AC316A" w:rsidRPr="00A40CD0">
        <w:t>% for the</w:t>
      </w:r>
      <w:r w:rsidR="00500622">
        <w:t xml:space="preserve"> whole year, 31</w:t>
      </w:r>
      <w:r w:rsidR="00AC316A">
        <w:t>% for the dry season</w:t>
      </w:r>
      <w:r w:rsidR="00500622">
        <w:t xml:space="preserve"> and 10</w:t>
      </w:r>
      <w:r w:rsidR="00AC316A" w:rsidRPr="00A40CD0">
        <w:t xml:space="preserve">% for the wet season, </w:t>
      </w:r>
      <w:r w:rsidR="00EA2F38">
        <w:fldChar w:fldCharType="begin"/>
      </w:r>
      <w:r w:rsidR="00AC316A">
        <w:instrText xml:space="preserve"> REF _Ref247857201 \h </w:instrText>
      </w:r>
      <w:r w:rsidR="00EA2F38">
        <w:fldChar w:fldCharType="separate"/>
      </w:r>
      <w:r w:rsidR="00B11F3B" w:rsidRPr="00A40CD0">
        <w:t xml:space="preserve">Figure </w:t>
      </w:r>
      <w:r w:rsidR="00B11F3B">
        <w:rPr>
          <w:noProof/>
        </w:rPr>
        <w:t>48</w:t>
      </w:r>
      <w:r w:rsidR="00EA2F38">
        <w:fldChar w:fldCharType="end"/>
      </w:r>
      <w:r w:rsidR="00AC316A" w:rsidRPr="00A40CD0">
        <w:t xml:space="preserve">, and </w:t>
      </w:r>
      <w:r w:rsidR="00EA2F38">
        <w:fldChar w:fldCharType="begin"/>
      </w:r>
      <w:r w:rsidR="00AC316A">
        <w:instrText xml:space="preserve"> REF _Ref248507515 \h </w:instrText>
      </w:r>
      <w:r w:rsidR="00EA2F38">
        <w:fldChar w:fldCharType="separate"/>
      </w:r>
      <w:r w:rsidR="00B11F3B" w:rsidRPr="00A40CD0">
        <w:t xml:space="preserve">Table </w:t>
      </w:r>
      <w:r w:rsidR="00B11F3B">
        <w:rPr>
          <w:noProof/>
        </w:rPr>
        <w:t>19</w:t>
      </w:r>
      <w:r w:rsidR="00EA2F38">
        <w:fldChar w:fldCharType="end"/>
      </w:r>
      <w:r w:rsidR="00AC316A" w:rsidRPr="00A40CD0">
        <w:t>).</w:t>
      </w:r>
    </w:p>
    <w:p w:rsidR="009C6556" w:rsidRPr="00A40CD0" w:rsidRDefault="009C6556" w:rsidP="002E0BD6">
      <w:pPr>
        <w:pStyle w:val="BodyText"/>
      </w:pPr>
      <w:r w:rsidRPr="00A40CD0">
        <w:t xml:space="preserve">The </w:t>
      </w:r>
      <w:r w:rsidR="00A40CD0" w:rsidRPr="00A40CD0">
        <w:t>exceedance</w:t>
      </w:r>
      <w:r w:rsidRPr="00A40CD0">
        <w:t xml:space="preserve"> for the annual mean, as well as in the seasonally adjusted mean values of </w:t>
      </w:r>
      <w:r w:rsidR="007151F0">
        <w:t xml:space="preserve">CHL and </w:t>
      </w:r>
      <w:r w:rsidRPr="00A40CD0">
        <w:t xml:space="preserve">TSS in the Offshore water body occurred </w:t>
      </w:r>
      <w:r w:rsidR="00A40CD0" w:rsidRPr="00A40CD0">
        <w:t>consistently</w:t>
      </w:r>
      <w:r w:rsidRPr="00A40CD0">
        <w:t xml:space="preserve"> between the Midshelf to Offshore boundary</w:t>
      </w:r>
      <w:r w:rsidR="007151F0">
        <w:t xml:space="preserve"> (</w:t>
      </w:r>
      <w:r w:rsidR="00AC316A">
        <w:t>particularly</w:t>
      </w:r>
      <w:r w:rsidR="007151F0">
        <w:t xml:space="preserve"> to the North-East </w:t>
      </w:r>
      <w:r w:rsidR="00AC316A">
        <w:t xml:space="preserve">and South- East </w:t>
      </w:r>
      <w:r w:rsidR="007151F0">
        <w:t xml:space="preserve">of </w:t>
      </w:r>
      <w:r w:rsidR="00AC316A">
        <w:t>Hinchinbrook Island</w:t>
      </w:r>
      <w:r w:rsidR="007151F0">
        <w:t>)</w:t>
      </w:r>
      <w:r w:rsidRPr="00A40CD0">
        <w:t xml:space="preserve"> and the whole Reef Matrix, due to the steep change in Guidelines trigger values across the Midshelf to Offshore boundary (from 2.0 to 0.7 mg L</w:t>
      </w:r>
      <w:r w:rsidRPr="00A40CD0">
        <w:rPr>
          <w:vertAlign w:val="superscript"/>
        </w:rPr>
        <w:t>-1</w:t>
      </w:r>
      <w:r w:rsidRPr="00A40CD0">
        <w:t xml:space="preserve"> for the annual means and from 1.6/2.4 to 0.6/0.8 mg L</w:t>
      </w:r>
      <w:r w:rsidRPr="00A40CD0">
        <w:rPr>
          <w:vertAlign w:val="superscript"/>
        </w:rPr>
        <w:t>-1</w:t>
      </w:r>
      <w:r w:rsidRPr="00A40CD0">
        <w:t xml:space="preserve"> for the seasonally adjusted values, </w:t>
      </w:r>
      <w:r w:rsidR="00EA2F38">
        <w:fldChar w:fldCharType="begin"/>
      </w:r>
      <w:r w:rsidR="00D90A4A">
        <w:instrText xml:space="preserve"> REF _Ref274649249 \h </w:instrText>
      </w:r>
      <w:r w:rsidR="00EA2F38">
        <w:fldChar w:fldCharType="separate"/>
      </w:r>
      <w:r w:rsidR="00B11F3B" w:rsidRPr="00A40CD0">
        <w:t xml:space="preserve">Table </w:t>
      </w:r>
      <w:r w:rsidR="00B11F3B">
        <w:rPr>
          <w:noProof/>
        </w:rPr>
        <w:t>3</w:t>
      </w:r>
      <w:r w:rsidR="00EA2F38">
        <w:fldChar w:fldCharType="end"/>
      </w:r>
      <w:r w:rsidRPr="00A40CD0">
        <w:t xml:space="preserve"> and </w:t>
      </w:r>
      <w:r w:rsidR="00EA2F38">
        <w:fldChar w:fldCharType="begin"/>
      </w:r>
      <w:r w:rsidR="00D90A4A">
        <w:instrText xml:space="preserve"> REF _Ref302490860 \h </w:instrText>
      </w:r>
      <w:r w:rsidR="00EA2F38">
        <w:fldChar w:fldCharType="separate"/>
      </w:r>
      <w:r w:rsidR="00B11F3B" w:rsidRPr="00A40CD0">
        <w:t xml:space="preserve">Table </w:t>
      </w:r>
      <w:r w:rsidR="00B11F3B">
        <w:rPr>
          <w:noProof/>
        </w:rPr>
        <w:t>4</w:t>
      </w:r>
      <w:r w:rsidR="00EA2F38">
        <w:fldChar w:fldCharType="end"/>
      </w:r>
      <w:r w:rsidRPr="00A40CD0">
        <w:t>)</w:t>
      </w:r>
      <w:r w:rsidR="00AC316A">
        <w:t>.</w:t>
      </w:r>
    </w:p>
    <w:p w:rsidR="009C6556" w:rsidRPr="00A40CD0" w:rsidRDefault="009C6556" w:rsidP="002E0BD6">
      <w:pPr>
        <w:pStyle w:val="BodyText"/>
      </w:pPr>
    </w:p>
    <w:p w:rsidR="000063E1" w:rsidRPr="00A40CD0" w:rsidRDefault="00AA24B0" w:rsidP="002E0BD6">
      <w:pPr>
        <w:pStyle w:val="BodyText"/>
      </w:pPr>
      <w:r w:rsidRPr="00AA24B0">
        <w:rPr>
          <w:noProof/>
          <w:lang w:eastAsia="en-AU"/>
        </w:rPr>
        <w:lastRenderedPageBreak/>
        <w:drawing>
          <wp:inline distT="0" distB="0" distL="0" distR="0">
            <wp:extent cx="5759450" cy="3525102"/>
            <wp:effectExtent l="0" t="0" r="6350" b="5715"/>
            <wp:docPr id="41" name="Picture 41" descr="Paddock to Reef marine water quality index (P2R_WQI) and component scores (P2R_CHL and P2R_TSS) for the Wet Tropics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7" cstate="email">
                      <a:extLst>
                        <a:ext uri="{28A0092B-C50C-407E-A947-70E740481C1C}">
                          <a14:useLocalDpi xmlns:a14="http://schemas.microsoft.com/office/drawing/2010/main"/>
                        </a:ext>
                      </a:extLst>
                    </a:blip>
                    <a:srcRect/>
                    <a:stretch>
                      <a:fillRect/>
                    </a:stretch>
                  </pic:blipFill>
                  <pic:spPr bwMode="auto">
                    <a:xfrm>
                      <a:off x="0" y="0"/>
                      <a:ext cx="5759450" cy="3525102"/>
                    </a:xfrm>
                    <a:prstGeom prst="rect">
                      <a:avLst/>
                    </a:prstGeom>
                    <a:noFill/>
                    <a:ln>
                      <a:noFill/>
                    </a:ln>
                  </pic:spPr>
                </pic:pic>
              </a:graphicData>
            </a:graphic>
          </wp:inline>
        </w:drawing>
      </w:r>
    </w:p>
    <w:p w:rsidR="000063E1" w:rsidRPr="00A40CD0" w:rsidRDefault="000063E1" w:rsidP="000063E1">
      <w:pPr>
        <w:pStyle w:val="Caption"/>
      </w:pPr>
      <w:bookmarkStart w:id="233" w:name="_Ref321323848"/>
      <w:bookmarkStart w:id="234" w:name="_Toc228588319"/>
      <w:bookmarkStart w:id="235" w:name="_Toc399265025"/>
      <w:r w:rsidRPr="00A40CD0">
        <w:t xml:space="preserve">Figure </w:t>
      </w:r>
      <w:r w:rsidR="00EA2F38">
        <w:fldChar w:fldCharType="begin"/>
      </w:r>
      <w:r w:rsidR="00933C8B">
        <w:instrText xml:space="preserve"> SEQ Figure \* ARABIC </w:instrText>
      </w:r>
      <w:r w:rsidR="00EA2F38">
        <w:fldChar w:fldCharType="separate"/>
      </w:r>
      <w:r w:rsidR="00B11F3B">
        <w:rPr>
          <w:noProof/>
        </w:rPr>
        <w:t>39</w:t>
      </w:r>
      <w:r w:rsidR="00EA2F38">
        <w:fldChar w:fldCharType="end"/>
      </w:r>
      <w:bookmarkEnd w:id="233"/>
      <w:r w:rsidRPr="00A40CD0">
        <w:t>. Paddock to Reef marine water quality index (P2R_WQI) and component scores (P2R_CHL and P2R_TSS) for the Wet Tropics region based on the assessment of exceedance to the Guidelines.</w:t>
      </w:r>
      <w:bookmarkEnd w:id="234"/>
      <w:bookmarkEnd w:id="235"/>
    </w:p>
    <w:p w:rsidR="000063E1" w:rsidRPr="00A40CD0" w:rsidRDefault="000063E1" w:rsidP="002E0BD6">
      <w:pPr>
        <w:pStyle w:val="BodyText"/>
      </w:pPr>
    </w:p>
    <w:p w:rsidR="00B25CAA" w:rsidRPr="00A40CD0" w:rsidRDefault="00EA2F38" w:rsidP="002E0BD6">
      <w:pPr>
        <w:pStyle w:val="BodyText"/>
      </w:pPr>
      <w:r>
        <w:fldChar w:fldCharType="begin"/>
      </w:r>
      <w:r w:rsidR="00D90A4A">
        <w:instrText xml:space="preserve"> REF _Ref248507516 \h </w:instrText>
      </w:r>
      <w:r>
        <w:fldChar w:fldCharType="separate"/>
      </w:r>
      <w:r w:rsidR="00B11F3B" w:rsidRPr="00A40CD0">
        <w:t xml:space="preserve">Table </w:t>
      </w:r>
      <w:r w:rsidR="00B11F3B">
        <w:rPr>
          <w:noProof/>
        </w:rPr>
        <w:t>20</w:t>
      </w:r>
      <w:r>
        <w:fldChar w:fldCharType="end"/>
      </w:r>
      <w:r w:rsidR="00B25CAA" w:rsidRPr="00A40CD0">
        <w:t xml:space="preserve"> and </w:t>
      </w:r>
      <w:r>
        <w:fldChar w:fldCharType="begin"/>
      </w:r>
      <w:r w:rsidR="00D90A4A">
        <w:instrText xml:space="preserve"> REF _Ref248507517 \h </w:instrText>
      </w:r>
      <w:r>
        <w:fldChar w:fldCharType="separate"/>
      </w:r>
      <w:r w:rsidR="00B11F3B" w:rsidRPr="00A40CD0">
        <w:t xml:space="preserve">Table </w:t>
      </w:r>
      <w:r w:rsidR="00B11F3B">
        <w:rPr>
          <w:noProof/>
        </w:rPr>
        <w:t>21</w:t>
      </w:r>
      <w:r>
        <w:fldChar w:fldCharType="end"/>
      </w:r>
      <w:r w:rsidR="00B25CAA" w:rsidRPr="00A40CD0">
        <w:t xml:space="preserve"> report the summary of exceedance for both variables, providing mean and median concentrations computed on all the valid observations for each water body for each season, along with the EF for that period. These metrics are based on a high number</w:t>
      </w:r>
      <w:r w:rsidR="00500622">
        <w:t xml:space="preserve"> of observations (ranging from </w:t>
      </w:r>
      <w:r w:rsidR="00B25CAA" w:rsidRPr="00A40CD0">
        <w:t xml:space="preserve">5 thousand valid observations for </w:t>
      </w:r>
      <w:r w:rsidR="00500622">
        <w:t xml:space="preserve">Enclosed </w:t>
      </w:r>
      <w:r w:rsidR="00B25CAA" w:rsidRPr="00A40CD0">
        <w:t xml:space="preserve">Coastal area in the wet season to over 460 thousand for the Offshore area in the dry season). </w:t>
      </w:r>
      <w:r w:rsidR="00500622">
        <w:t xml:space="preserve">According to these metrics </w:t>
      </w:r>
      <w:r w:rsidR="00B25CAA" w:rsidRPr="00A40CD0">
        <w:t xml:space="preserve">the mean and the median CHL values exceeded the Guidelines values for the </w:t>
      </w:r>
      <w:r w:rsidR="00500622">
        <w:t xml:space="preserve">Enclosed Coastal, </w:t>
      </w:r>
      <w:r w:rsidR="00B25CAA" w:rsidRPr="00A40CD0">
        <w:t>Open Coastal area</w:t>
      </w:r>
      <w:r w:rsidR="00500622">
        <w:t>s</w:t>
      </w:r>
      <w:r w:rsidR="00B25CAA" w:rsidRPr="00A40CD0">
        <w:t xml:space="preserve"> in both seasons and in Midshelf for the dry season, while the mean TSS values exceeded the</w:t>
      </w:r>
      <w:r w:rsidR="00135A64">
        <w:t xml:space="preserve"> Guidelines values only </w:t>
      </w:r>
      <w:r w:rsidR="00B25CAA" w:rsidRPr="00A40CD0">
        <w:t>for the Open Coastal area in the dry season. The mean and median values for the TSS concentration differed substantially (for all water bodies and seasons). The mean values were ~ 2-3 times higher than medians.</w:t>
      </w:r>
    </w:p>
    <w:p w:rsidR="00B25CAA" w:rsidRPr="00A40CD0" w:rsidRDefault="00B25CAA" w:rsidP="002E0BD6">
      <w:pPr>
        <w:pStyle w:val="BodyText"/>
      </w:pPr>
      <w:r w:rsidRPr="00A40CD0">
        <w:br w:type="page"/>
      </w:r>
    </w:p>
    <w:p w:rsidR="00B25CAA" w:rsidRPr="00A40CD0" w:rsidRDefault="00B25CAA" w:rsidP="004F4DDE">
      <w:pPr>
        <w:pStyle w:val="Caption"/>
      </w:pPr>
      <w:bookmarkStart w:id="236" w:name="_Ref257738565"/>
      <w:bookmarkStart w:id="237" w:name="_Toc228588242"/>
      <w:bookmarkStart w:id="238" w:name="_Toc399264946"/>
      <w:bookmarkStart w:id="239" w:name="_Ref248507513"/>
      <w:r w:rsidRPr="00A40CD0">
        <w:lastRenderedPageBreak/>
        <w:t xml:space="preserve">Table </w:t>
      </w:r>
      <w:fldSimple w:instr=" SEQ Table \* ARABIC ">
        <w:r w:rsidR="00B11F3B">
          <w:rPr>
            <w:noProof/>
          </w:rPr>
          <w:t>17</w:t>
        </w:r>
      </w:fldSimple>
      <w:bookmarkEnd w:id="236"/>
      <w:r w:rsidRPr="00A40CD0">
        <w:t xml:space="preserve"> Summary of the annual exceedance maps for Chlorophyll-a and Total Suspended Solids for the Wet Tropics region. "Surface Area" is the surface area in square kilometres for each of the three reporting water bodies </w:t>
      </w:r>
      <w:r w:rsidR="00193A93">
        <w:t xml:space="preserve">for this region: (EC: Enclosed Coastal, OC: Open Coastal, IS: Inshore, MS: Midshelf, OS: Offshore), </w:t>
      </w:r>
      <w:r w:rsidRPr="00A40CD0">
        <w:t>,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237"/>
      <w:bookmarkEnd w:id="238"/>
    </w:p>
    <w:tbl>
      <w:tblPr>
        <w:tblStyle w:val="TableGrid"/>
        <w:tblW w:w="5000" w:type="pct"/>
        <w:tblLook w:val="04A0" w:firstRow="1" w:lastRow="0" w:firstColumn="1" w:lastColumn="0" w:noHBand="0" w:noVBand="1"/>
      </w:tblPr>
      <w:tblGrid>
        <w:gridCol w:w="928"/>
        <w:gridCol w:w="1099"/>
        <w:gridCol w:w="1534"/>
        <w:gridCol w:w="1192"/>
        <w:gridCol w:w="1129"/>
        <w:gridCol w:w="1138"/>
        <w:gridCol w:w="1129"/>
        <w:gridCol w:w="1137"/>
      </w:tblGrid>
      <w:tr w:rsidR="00F20F80" w:rsidRPr="00A40CD0" w:rsidTr="00F20F80">
        <w:tc>
          <w:tcPr>
            <w:tcW w:w="499" w:type="pct"/>
          </w:tcPr>
          <w:p w:rsidR="00F20F80" w:rsidRPr="009E5DAC" w:rsidRDefault="00F20F80" w:rsidP="003E6AED">
            <w:pPr>
              <w:pStyle w:val="PlainText"/>
              <w:rPr>
                <w:rFonts w:ascii="Times New Roman" w:hAnsi="Times New Roman"/>
                <w:sz w:val="22"/>
                <w:szCs w:val="22"/>
              </w:rPr>
            </w:pPr>
          </w:p>
        </w:tc>
        <w:tc>
          <w:tcPr>
            <w:tcW w:w="592" w:type="pct"/>
          </w:tcPr>
          <w:p w:rsidR="00F20F80" w:rsidRPr="009E5DAC" w:rsidRDefault="00F20F80" w:rsidP="003E6AED">
            <w:pPr>
              <w:pStyle w:val="PlainText"/>
              <w:rPr>
                <w:rFonts w:ascii="Times New Roman" w:hAnsi="Times New Roman"/>
                <w:sz w:val="22"/>
                <w:szCs w:val="22"/>
              </w:rPr>
            </w:pPr>
          </w:p>
        </w:tc>
        <w:tc>
          <w:tcPr>
            <w:tcW w:w="1468" w:type="pct"/>
            <w:gridSpan w:val="2"/>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01-May-2011_30-Apr-2012</w:t>
            </w:r>
          </w:p>
        </w:tc>
        <w:tc>
          <w:tcPr>
            <w:tcW w:w="1221" w:type="pct"/>
            <w:gridSpan w:val="2"/>
          </w:tcPr>
          <w:p w:rsidR="00F20F80" w:rsidRPr="00A40CD0" w:rsidRDefault="00F20F80" w:rsidP="002E0BD6">
            <w:pPr>
              <w:pStyle w:val="BodyText"/>
            </w:pPr>
            <w:r w:rsidRPr="00A40CD0">
              <w:t>Chlorophyll-a</w:t>
            </w:r>
          </w:p>
        </w:tc>
        <w:tc>
          <w:tcPr>
            <w:tcW w:w="1221" w:type="pct"/>
            <w:gridSpan w:val="2"/>
            <w:vAlign w:val="bottom"/>
          </w:tcPr>
          <w:p w:rsidR="00F20F80" w:rsidRPr="00A40CD0" w:rsidRDefault="00F20F80" w:rsidP="002E0BD6">
            <w:pPr>
              <w:pStyle w:val="BodyText"/>
            </w:pPr>
            <w:r w:rsidRPr="00A40CD0">
              <w:t>Total Suspended Solids</w:t>
            </w:r>
          </w:p>
        </w:tc>
      </w:tr>
      <w:tr w:rsidR="00F20F80" w:rsidRPr="009E5DAC" w:rsidTr="00F20F80">
        <w:tc>
          <w:tcPr>
            <w:tcW w:w="49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59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826"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64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49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59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307</w:t>
            </w:r>
          </w:p>
        </w:tc>
        <w:tc>
          <w:tcPr>
            <w:tcW w:w="826"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13558</w:t>
            </w:r>
          </w:p>
        </w:tc>
        <w:tc>
          <w:tcPr>
            <w:tcW w:w="64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100389</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79%</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43%</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69%</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38%</w:t>
            </w:r>
          </w:p>
        </w:tc>
      </w:tr>
      <w:tr w:rsidR="00F20F80" w:rsidRPr="009E5DAC" w:rsidTr="00F20F80">
        <w:tc>
          <w:tcPr>
            <w:tcW w:w="49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59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1737</w:t>
            </w:r>
          </w:p>
        </w:tc>
        <w:tc>
          <w:tcPr>
            <w:tcW w:w="826"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105009</w:t>
            </w:r>
          </w:p>
        </w:tc>
        <w:tc>
          <w:tcPr>
            <w:tcW w:w="64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567999</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93%</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92%</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w:t>
            </w:r>
          </w:p>
        </w:tc>
      </w:tr>
      <w:tr w:rsidR="00F20F80" w:rsidRPr="009E5DAC" w:rsidTr="00F20F80">
        <w:tc>
          <w:tcPr>
            <w:tcW w:w="499" w:type="pct"/>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59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2044</w:t>
            </w:r>
          </w:p>
        </w:tc>
        <w:tc>
          <w:tcPr>
            <w:tcW w:w="826"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118567</w:t>
            </w:r>
          </w:p>
        </w:tc>
        <w:tc>
          <w:tcPr>
            <w:tcW w:w="64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668388</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91%</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84%</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43%</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r>
      <w:tr w:rsidR="00F20F80" w:rsidRPr="009E5DAC" w:rsidTr="00F20F80">
        <w:tc>
          <w:tcPr>
            <w:tcW w:w="49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59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5859</w:t>
            </w:r>
          </w:p>
        </w:tc>
        <w:tc>
          <w:tcPr>
            <w:tcW w:w="826"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385403</w:t>
            </w:r>
          </w:p>
        </w:tc>
        <w:tc>
          <w:tcPr>
            <w:tcW w:w="64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1915893</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31%</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28%</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r>
      <w:tr w:rsidR="00F20F80" w:rsidRPr="009E5DAC" w:rsidTr="00F20F80">
        <w:tc>
          <w:tcPr>
            <w:tcW w:w="49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59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19906</w:t>
            </w:r>
          </w:p>
        </w:tc>
        <w:tc>
          <w:tcPr>
            <w:tcW w:w="826"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909151</w:t>
            </w:r>
          </w:p>
        </w:tc>
        <w:tc>
          <w:tcPr>
            <w:tcW w:w="64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6509262</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60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613"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9836A5"/>
    <w:p w:rsidR="00B25CAA" w:rsidRDefault="00B25CAA" w:rsidP="002E0BD6">
      <w:pPr>
        <w:pStyle w:val="BodyText"/>
      </w:pPr>
      <w:bookmarkStart w:id="240" w:name="_Ref257738603"/>
      <w:bookmarkStart w:id="241" w:name="_Toc228588243"/>
      <w:bookmarkStart w:id="242" w:name="_Toc399264947"/>
      <w:r w:rsidRPr="00A40CD0">
        <w:t xml:space="preserve">Table </w:t>
      </w:r>
      <w:fldSimple w:instr=" SEQ Table \* ARABIC ">
        <w:r w:rsidR="00B11F3B">
          <w:rPr>
            <w:noProof/>
          </w:rPr>
          <w:t>18</w:t>
        </w:r>
      </w:fldSimple>
      <w:bookmarkEnd w:id="239"/>
      <w:bookmarkEnd w:id="240"/>
      <w:r w:rsidRPr="00A40CD0">
        <w:t xml:space="preserve"> Summary of the exceedance maps for Chlorophyll-a for the dry and wet season for the Wet Tropics region (</w:t>
      </w:r>
      <w:r w:rsidR="008A285B">
        <w:fldChar w:fldCharType="begin"/>
      </w:r>
      <w:r w:rsidR="008A285B">
        <w:instrText xml:space="preserve"> REF _Ref247857196 \h  \* MERGEFORMAT </w:instrText>
      </w:r>
      <w:r w:rsidR="008A285B">
        <w:fldChar w:fldCharType="separate"/>
      </w:r>
      <w:r w:rsidR="00B11F3B" w:rsidRPr="00A40CD0">
        <w:t xml:space="preserve">Figure </w:t>
      </w:r>
      <w:r w:rsidR="00B11F3B">
        <w:t>45</w:t>
      </w:r>
      <w:r w:rsidR="008A285B">
        <w:fldChar w:fldCharType="end"/>
      </w:r>
      <w:r w:rsidRPr="00A40CD0">
        <w:t xml:space="preserve">, </w:t>
      </w:r>
      <w:r w:rsidR="008A285B">
        <w:fldChar w:fldCharType="begin"/>
      </w:r>
      <w:r w:rsidR="008A285B">
        <w:instrText xml:space="preserve"> REF _Ref247857198 \h  \* MERGEFORMAT </w:instrText>
      </w:r>
      <w:r w:rsidR="008A285B">
        <w:fldChar w:fldCharType="separate"/>
      </w:r>
      <w:r w:rsidR="00B11F3B" w:rsidRPr="00A40CD0">
        <w:t xml:space="preserve">Figure </w:t>
      </w:r>
      <w:r w:rsidR="00B11F3B">
        <w:t>46</w:t>
      </w:r>
      <w:r w:rsidR="008A285B">
        <w:fldChar w:fldCharType="end"/>
      </w:r>
      <w:r w:rsidRPr="00A40CD0">
        <w:t xml:space="preserve">).  Column and row  labels are described in the legend of </w:t>
      </w:r>
      <w:r w:rsidR="00EA2F38">
        <w:fldChar w:fldCharType="begin"/>
      </w:r>
      <w:r w:rsidR="00D90A4A">
        <w:instrText xml:space="preserve"> REF _Ref257738565 \h </w:instrText>
      </w:r>
      <w:r w:rsidR="00EA2F38">
        <w:fldChar w:fldCharType="separate"/>
      </w:r>
      <w:r w:rsidR="00B11F3B" w:rsidRPr="00A40CD0">
        <w:t xml:space="preserve">Table </w:t>
      </w:r>
      <w:r w:rsidR="00B11F3B">
        <w:rPr>
          <w:noProof/>
        </w:rPr>
        <w:t>17</w:t>
      </w:r>
      <w:r w:rsidR="00EA2F38">
        <w:fldChar w:fldCharType="end"/>
      </w:r>
      <w:r w:rsidRPr="00A40CD0">
        <w:t>.</w:t>
      </w:r>
      <w:bookmarkEnd w:id="241"/>
      <w:bookmarkEnd w:id="242"/>
    </w:p>
    <w:tbl>
      <w:tblPr>
        <w:tblStyle w:val="TableGrid"/>
        <w:tblW w:w="5000" w:type="pct"/>
        <w:tblLook w:val="04A0" w:firstRow="1" w:lastRow="0" w:firstColumn="1" w:lastColumn="0" w:noHBand="0" w:noVBand="1"/>
      </w:tblPr>
      <w:tblGrid>
        <w:gridCol w:w="686"/>
        <w:gridCol w:w="1044"/>
        <w:gridCol w:w="1034"/>
        <w:gridCol w:w="986"/>
        <w:gridCol w:w="851"/>
        <w:gridCol w:w="908"/>
        <w:gridCol w:w="1034"/>
        <w:gridCol w:w="986"/>
        <w:gridCol w:w="851"/>
        <w:gridCol w:w="906"/>
      </w:tblGrid>
      <w:tr w:rsidR="00F20F80" w:rsidRPr="009E5DAC" w:rsidTr="00F20F80">
        <w:tc>
          <w:tcPr>
            <w:tcW w:w="369" w:type="pct"/>
          </w:tcPr>
          <w:p w:rsidR="00F20F80" w:rsidRPr="009E5DAC" w:rsidRDefault="00F20F80" w:rsidP="003E6AED">
            <w:pPr>
              <w:pStyle w:val="PlainText"/>
              <w:rPr>
                <w:rFonts w:ascii="Times New Roman" w:hAnsi="Times New Roman"/>
                <w:sz w:val="22"/>
                <w:szCs w:val="22"/>
              </w:rPr>
            </w:pPr>
          </w:p>
        </w:tc>
        <w:tc>
          <w:tcPr>
            <w:tcW w:w="562" w:type="pct"/>
          </w:tcPr>
          <w:p w:rsidR="00F20F80" w:rsidRPr="009E5DAC" w:rsidRDefault="00F20F80" w:rsidP="003E6AED">
            <w:pPr>
              <w:pStyle w:val="PlainText"/>
              <w:rPr>
                <w:rFonts w:ascii="Times New Roman" w:hAnsi="Times New Roman"/>
                <w:sz w:val="22"/>
                <w:szCs w:val="22"/>
              </w:rPr>
            </w:pPr>
          </w:p>
        </w:tc>
        <w:tc>
          <w:tcPr>
            <w:tcW w:w="2034" w:type="pct"/>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2034" w:type="pct"/>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F20F80">
        <w:tc>
          <w:tcPr>
            <w:tcW w:w="36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56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36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56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307</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8922</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48199</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98%</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68%</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4636</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52190</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51%</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w:t>
            </w:r>
          </w:p>
        </w:tc>
      </w:tr>
      <w:tr w:rsidR="00F20F80" w:rsidRPr="009E5DAC" w:rsidTr="00F20F80">
        <w:tc>
          <w:tcPr>
            <w:tcW w:w="36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56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1737</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68006</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272709</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37003</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295290</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52%</w:t>
            </w:r>
          </w:p>
        </w:tc>
      </w:tr>
      <w:tr w:rsidR="00F20F80" w:rsidRPr="009E5DAC" w:rsidTr="00F20F80">
        <w:tc>
          <w:tcPr>
            <w:tcW w:w="369" w:type="pct"/>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56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2044</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76928</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320908</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94%</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41639</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347480</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50%</w:t>
            </w:r>
          </w:p>
        </w:tc>
      </w:tr>
      <w:tr w:rsidR="00F20F80" w:rsidRPr="009E5DAC" w:rsidTr="00F20F80">
        <w:tc>
          <w:tcPr>
            <w:tcW w:w="36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56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5859</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247415</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919863</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50%</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137988</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996030</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r>
      <w:tr w:rsidR="00F20F80" w:rsidRPr="009E5DAC" w:rsidTr="00F20F80">
        <w:tc>
          <w:tcPr>
            <w:tcW w:w="36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562"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19906</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586618</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3125242</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c>
          <w:tcPr>
            <w:tcW w:w="557"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322533</w:t>
            </w:r>
          </w:p>
        </w:tc>
        <w:tc>
          <w:tcPr>
            <w:tcW w:w="531"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3384020</w:t>
            </w:r>
          </w:p>
        </w:tc>
        <w:tc>
          <w:tcPr>
            <w:tcW w:w="458"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489" w:type="pct"/>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Default="00B25CAA"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Pr="00A40CD0" w:rsidRDefault="000672E5" w:rsidP="002E0BD6">
      <w:pPr>
        <w:pStyle w:val="BodyText"/>
      </w:pPr>
    </w:p>
    <w:p w:rsidR="00B25CAA" w:rsidRPr="00A40CD0" w:rsidRDefault="00B25CAA" w:rsidP="002E0BD6">
      <w:pPr>
        <w:pStyle w:val="BodyText"/>
      </w:pPr>
      <w:bookmarkStart w:id="243" w:name="_Ref248507515"/>
      <w:bookmarkStart w:id="244" w:name="_Toc228588244"/>
      <w:bookmarkStart w:id="245" w:name="_Toc399264948"/>
      <w:r w:rsidRPr="00A40CD0">
        <w:lastRenderedPageBreak/>
        <w:t xml:space="preserve">Table </w:t>
      </w:r>
      <w:fldSimple w:instr=" SEQ Table \* ARABIC ">
        <w:r w:rsidR="00B11F3B">
          <w:rPr>
            <w:noProof/>
          </w:rPr>
          <w:t>19</w:t>
        </w:r>
      </w:fldSimple>
      <w:bookmarkEnd w:id="243"/>
      <w:r w:rsidRPr="00A40CD0">
        <w:t xml:space="preserve"> Summary of the exceedance maps for Non-algal particulate matter (NAP as a measure of TSS)  for the dry and wet season for the Wet Tropics region (</w:t>
      </w:r>
      <w:r w:rsidR="00EA2F38">
        <w:fldChar w:fldCharType="begin"/>
      </w:r>
      <w:r w:rsidR="00D90A4A">
        <w:instrText xml:space="preserve"> REF _Ref247857200 \h </w:instrText>
      </w:r>
      <w:r w:rsidR="00EA2F38">
        <w:fldChar w:fldCharType="separate"/>
      </w:r>
      <w:r w:rsidR="00B11F3B" w:rsidRPr="00A40CD0">
        <w:t xml:space="preserve">Figure </w:t>
      </w:r>
      <w:r w:rsidR="00B11F3B">
        <w:rPr>
          <w:noProof/>
        </w:rPr>
        <w:t>47</w:t>
      </w:r>
      <w:r w:rsidR="00EA2F38">
        <w:fldChar w:fldCharType="end"/>
      </w:r>
      <w:r w:rsidRPr="00A40CD0">
        <w:t xml:space="preserve">, </w:t>
      </w:r>
      <w:r w:rsidR="00EA2F38">
        <w:fldChar w:fldCharType="begin"/>
      </w:r>
      <w:r w:rsidR="00D90A4A">
        <w:instrText xml:space="preserve"> REF _Ref247857201 \h </w:instrText>
      </w:r>
      <w:r w:rsidR="00EA2F38">
        <w:fldChar w:fldCharType="separate"/>
      </w:r>
      <w:r w:rsidR="00B11F3B" w:rsidRPr="00A40CD0">
        <w:t xml:space="preserve">Figure </w:t>
      </w:r>
      <w:r w:rsidR="00B11F3B">
        <w:rPr>
          <w:noProof/>
        </w:rPr>
        <w:t>48</w:t>
      </w:r>
      <w:r w:rsidR="00EA2F38">
        <w:fldChar w:fldCharType="end"/>
      </w:r>
      <w:r w:rsidRPr="00A40CD0">
        <w:t xml:space="preserve">).  Column and row  labels are described in the legend of </w:t>
      </w:r>
      <w:r w:rsidR="00EA2F38">
        <w:fldChar w:fldCharType="begin"/>
      </w:r>
      <w:r w:rsidR="00D90A4A">
        <w:instrText xml:space="preserve"> REF _Ref257738565 \h </w:instrText>
      </w:r>
      <w:r w:rsidR="00EA2F38">
        <w:fldChar w:fldCharType="separate"/>
      </w:r>
      <w:r w:rsidR="00B11F3B" w:rsidRPr="00A40CD0">
        <w:t xml:space="preserve">Table </w:t>
      </w:r>
      <w:r w:rsidR="00B11F3B">
        <w:rPr>
          <w:noProof/>
        </w:rPr>
        <w:t>17</w:t>
      </w:r>
      <w:r w:rsidR="00EA2F38">
        <w:fldChar w:fldCharType="end"/>
      </w:r>
      <w:r w:rsidRPr="00A40CD0">
        <w:t>.</w:t>
      </w:r>
      <w:bookmarkEnd w:id="244"/>
      <w:bookmarkEnd w:id="245"/>
    </w:p>
    <w:tbl>
      <w:tblPr>
        <w:tblStyle w:val="TableGrid"/>
        <w:tblW w:w="0" w:type="auto"/>
        <w:tblLook w:val="04A0" w:firstRow="1" w:lastRow="0" w:firstColumn="1" w:lastColumn="0" w:noHBand="0" w:noVBand="1"/>
      </w:tblPr>
      <w:tblGrid>
        <w:gridCol w:w="822"/>
        <w:gridCol w:w="908"/>
        <w:gridCol w:w="1034"/>
        <w:gridCol w:w="986"/>
        <w:gridCol w:w="850"/>
        <w:gridCol w:w="908"/>
        <w:gridCol w:w="1034"/>
        <w:gridCol w:w="986"/>
        <w:gridCol w:w="850"/>
        <w:gridCol w:w="908"/>
      </w:tblGrid>
      <w:tr w:rsidR="00F20F80" w:rsidRPr="009E5DAC" w:rsidTr="003E6AED">
        <w:tc>
          <w:tcPr>
            <w:tcW w:w="897" w:type="dxa"/>
          </w:tcPr>
          <w:p w:rsidR="00F20F80" w:rsidRPr="009E5DAC" w:rsidRDefault="00F20F80" w:rsidP="003E6AED">
            <w:pPr>
              <w:pStyle w:val="PlainText"/>
              <w:rPr>
                <w:rFonts w:ascii="Times New Roman" w:hAnsi="Times New Roman"/>
                <w:sz w:val="22"/>
                <w:szCs w:val="22"/>
              </w:rPr>
            </w:pPr>
          </w:p>
        </w:tc>
        <w:tc>
          <w:tcPr>
            <w:tcW w:w="912" w:type="dxa"/>
          </w:tcPr>
          <w:p w:rsidR="00F20F80" w:rsidRPr="009E5DAC" w:rsidRDefault="00F20F80" w:rsidP="003E6AED">
            <w:pPr>
              <w:pStyle w:val="PlainText"/>
              <w:rPr>
                <w:rFonts w:ascii="Times New Roman" w:hAnsi="Times New Roman"/>
                <w:sz w:val="22"/>
                <w:szCs w:val="22"/>
              </w:rPr>
            </w:pPr>
          </w:p>
        </w:tc>
        <w:tc>
          <w:tcPr>
            <w:tcW w:w="3822"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822"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3E6AED">
        <w:tc>
          <w:tcPr>
            <w:tcW w:w="89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1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89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1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307</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8922</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48199</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4636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52190</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55%</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36%</w:t>
            </w:r>
          </w:p>
        </w:tc>
      </w:tr>
      <w:tr w:rsidR="00F20F80" w:rsidRPr="009E5DAC" w:rsidTr="003E6AED">
        <w:tc>
          <w:tcPr>
            <w:tcW w:w="89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1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1737</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68006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272709</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37003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295290</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w:t>
            </w:r>
          </w:p>
        </w:tc>
      </w:tr>
      <w:tr w:rsidR="00F20F80" w:rsidRPr="009E5DAC" w:rsidTr="003E6AED">
        <w:tc>
          <w:tcPr>
            <w:tcW w:w="897"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1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2044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76928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320908</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41639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347480</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16%</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w:t>
            </w:r>
          </w:p>
        </w:tc>
      </w:tr>
      <w:tr w:rsidR="00F20F80" w:rsidRPr="009E5DAC" w:rsidTr="003E6AED">
        <w:tc>
          <w:tcPr>
            <w:tcW w:w="89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1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5859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247415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919863</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137988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996030</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r>
      <w:tr w:rsidR="00F20F80" w:rsidRPr="009E5DAC" w:rsidTr="003E6AED">
        <w:tc>
          <w:tcPr>
            <w:tcW w:w="89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1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19906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586618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3125242</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322533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3384020</w:t>
            </w:r>
          </w:p>
        </w:tc>
        <w:tc>
          <w:tcPr>
            <w:tcW w:w="86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13"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2E0BD6">
      <w:pPr>
        <w:pStyle w:val="BodyText"/>
      </w:pPr>
    </w:p>
    <w:p w:rsidR="00B25CAA" w:rsidRPr="00A40CD0" w:rsidRDefault="00B25CAA" w:rsidP="002E0BD6">
      <w:pPr>
        <w:pStyle w:val="BodyText"/>
      </w:pPr>
      <w:r w:rsidRPr="00A40CD0">
        <w:br w:type="page"/>
      </w:r>
      <w:bookmarkStart w:id="246" w:name="_Ref248507516"/>
      <w:bookmarkStart w:id="247" w:name="_Toc228588245"/>
      <w:bookmarkStart w:id="248" w:name="_Toc399264949"/>
      <w:r w:rsidRPr="00A40CD0">
        <w:lastRenderedPageBreak/>
        <w:t xml:space="preserve">Table </w:t>
      </w:r>
      <w:fldSimple w:instr=" SEQ Table \* ARABIC ">
        <w:r w:rsidR="00B11F3B">
          <w:rPr>
            <w:noProof/>
          </w:rPr>
          <w:t>20</w:t>
        </w:r>
      </w:fldSimple>
      <w:bookmarkEnd w:id="246"/>
      <w:r w:rsidRPr="00A40CD0">
        <w:t xml:space="preserve">. Summary of Chlorophyll-a exceedance for the dry and wet season for the Wet Tropics region. "Surface Area" is the surface area in square kilometres for each of the three reporting water bodies </w:t>
      </w:r>
      <w:r w:rsidR="00193A93">
        <w:t xml:space="preserve">for this region: (EC: Enclosed Coastal, OC: Open Coastal, MS: Midshelf, OS: Offshore), </w:t>
      </w:r>
      <w:r w:rsidRPr="00A40CD0">
        <w:t xml:space="preserve">, “Number valid obs." is the number of pixels with valid observations (i.e. cloud-free and error-free pixels), "Number total obs." provides the total number of observations. Mean and median are presented in red and bold if they exceed the trigger value in the Guidelines. The seasonally adjusted Guideline values for  Chlorophyll –a for the dry/wet season are </w:t>
      </w:r>
      <w:r w:rsidR="00AF0243">
        <w:t>1.4/2.8</w:t>
      </w:r>
      <w:r w:rsidR="00AF0243" w:rsidRPr="00A40CD0">
        <w:t xml:space="preserve"> µg L</w:t>
      </w:r>
      <w:r w:rsidR="00AF0243" w:rsidRPr="00A40CD0">
        <w:rPr>
          <w:vertAlign w:val="superscript"/>
        </w:rPr>
        <w:t>-1</w:t>
      </w:r>
      <w:r w:rsidR="00AF0243" w:rsidRPr="00A40CD0">
        <w:t xml:space="preserve"> for </w:t>
      </w:r>
      <w:r w:rsidR="00AF0243">
        <w:t>Enclosed</w:t>
      </w:r>
      <w:r w:rsidR="00AF0243" w:rsidRPr="00A40CD0">
        <w:t xml:space="preserve"> Coastal</w:t>
      </w:r>
      <w:r w:rsidR="00AF0243">
        <w:t>,</w:t>
      </w:r>
      <w:r w:rsidR="00AF0243" w:rsidRPr="00A40CD0">
        <w:t xml:space="preserve"> </w:t>
      </w:r>
      <w:r w:rsidRPr="00A40CD0">
        <w:t>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47"/>
      <w:bookmarkEnd w:id="248"/>
    </w:p>
    <w:tbl>
      <w:tblPr>
        <w:tblStyle w:val="TableGrid"/>
        <w:tblW w:w="9453" w:type="dxa"/>
        <w:tblLook w:val="04A0" w:firstRow="1" w:lastRow="0" w:firstColumn="1" w:lastColumn="0" w:noHBand="0" w:noVBand="1"/>
      </w:tblPr>
      <w:tblGrid>
        <w:gridCol w:w="865"/>
        <w:gridCol w:w="1060"/>
        <w:gridCol w:w="986"/>
        <w:gridCol w:w="725"/>
        <w:gridCol w:w="889"/>
        <w:gridCol w:w="634"/>
        <w:gridCol w:w="1060"/>
        <w:gridCol w:w="986"/>
        <w:gridCol w:w="725"/>
        <w:gridCol w:w="889"/>
        <w:gridCol w:w="634"/>
      </w:tblGrid>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p>
        </w:tc>
        <w:tc>
          <w:tcPr>
            <w:tcW w:w="4294"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294"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8922</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48199</w:t>
            </w:r>
          </w:p>
        </w:tc>
        <w:tc>
          <w:tcPr>
            <w:tcW w:w="725"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2.61</w:t>
            </w:r>
          </w:p>
        </w:tc>
        <w:tc>
          <w:tcPr>
            <w:tcW w:w="889"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1.67</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60%</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4636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52190</w:t>
            </w:r>
          </w:p>
        </w:tc>
        <w:tc>
          <w:tcPr>
            <w:tcW w:w="725"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3.07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2.09</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38%</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68006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272709</w:t>
            </w:r>
          </w:p>
        </w:tc>
        <w:tc>
          <w:tcPr>
            <w:tcW w:w="725"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0.82</w:t>
            </w:r>
          </w:p>
        </w:tc>
        <w:tc>
          <w:tcPr>
            <w:tcW w:w="889"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0.59</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92%</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37003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295290</w:t>
            </w:r>
          </w:p>
        </w:tc>
        <w:tc>
          <w:tcPr>
            <w:tcW w:w="725"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0.79</w:t>
            </w:r>
          </w:p>
        </w:tc>
        <w:tc>
          <w:tcPr>
            <w:tcW w:w="889"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0.68</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53%</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247415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919863</w:t>
            </w:r>
          </w:p>
        </w:tc>
        <w:tc>
          <w:tcPr>
            <w:tcW w:w="725"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0.42</w:t>
            </w:r>
          </w:p>
        </w:tc>
        <w:tc>
          <w:tcPr>
            <w:tcW w:w="889"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0.35</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57%</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137988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996030</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0.42</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27%</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586618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3125242</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15%</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322533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3384020</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0.22</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0.17</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w:t>
            </w:r>
          </w:p>
        </w:tc>
      </w:tr>
    </w:tbl>
    <w:p w:rsidR="00B25CAA" w:rsidRPr="00A40CD0" w:rsidRDefault="00B25CAA" w:rsidP="002E0BD6">
      <w:pPr>
        <w:pStyle w:val="BodyText"/>
      </w:pPr>
    </w:p>
    <w:p w:rsidR="00B25CAA" w:rsidRPr="00A40CD0" w:rsidRDefault="00B25CAA" w:rsidP="002E0BD6">
      <w:pPr>
        <w:pStyle w:val="BodyText"/>
      </w:pPr>
      <w:bookmarkStart w:id="249" w:name="_Ref248507517"/>
      <w:bookmarkStart w:id="250" w:name="_Toc228588246"/>
      <w:bookmarkStart w:id="251" w:name="_Toc399264950"/>
      <w:r w:rsidRPr="00A40CD0">
        <w:t xml:space="preserve">Table </w:t>
      </w:r>
      <w:fldSimple w:instr=" SEQ Table \* ARABIC ">
        <w:r w:rsidR="00B11F3B">
          <w:rPr>
            <w:noProof/>
          </w:rPr>
          <w:t>21</w:t>
        </w:r>
      </w:fldSimple>
      <w:bookmarkEnd w:id="249"/>
      <w:r w:rsidRPr="00A40CD0">
        <w:t xml:space="preserve"> Summary of Non-algal particulate matter (NAP as a measure of TSS) exceedance for the dry and wet season for the Wet </w:t>
      </w:r>
      <w:r w:rsidR="00AF0243">
        <w:t xml:space="preserve">Tropics region. Column and row </w:t>
      </w:r>
      <w:r w:rsidRPr="00A40CD0">
        <w:t xml:space="preserve">labels are described in the legend </w:t>
      </w:r>
      <w:r w:rsidR="00EA2F38">
        <w:fldChar w:fldCharType="begin"/>
      </w:r>
      <w:r w:rsidR="00D90A4A">
        <w:instrText xml:space="preserve"> REF _Ref248507516 \h </w:instrText>
      </w:r>
      <w:r w:rsidR="00EA2F38">
        <w:fldChar w:fldCharType="separate"/>
      </w:r>
      <w:r w:rsidR="00B11F3B" w:rsidRPr="00A40CD0">
        <w:t xml:space="preserve">Table </w:t>
      </w:r>
      <w:r w:rsidR="00B11F3B">
        <w:rPr>
          <w:noProof/>
        </w:rPr>
        <w:t>20</w:t>
      </w:r>
      <w:r w:rsidR="00EA2F38">
        <w:fldChar w:fldCharType="end"/>
      </w:r>
      <w:r w:rsidRPr="00A40CD0">
        <w:t xml:space="preserve">. Mean and median are presented in red and bold if they exceed the trigger value in the Guidelines. The seasonally adjusted Guideline values for TSS for the dry/wet season means are </w:t>
      </w:r>
      <w:r w:rsidR="00AF0243">
        <w:t>4/6</w:t>
      </w:r>
      <w:r w:rsidR="00AF0243" w:rsidRPr="00A40CD0">
        <w:t xml:space="preserve"> mg L</w:t>
      </w:r>
      <w:r w:rsidR="00AF0243" w:rsidRPr="00A40CD0">
        <w:rPr>
          <w:vertAlign w:val="superscript"/>
        </w:rPr>
        <w:t>-1</w:t>
      </w:r>
      <w:r w:rsidR="00AF0243" w:rsidRPr="00A40CD0">
        <w:t xml:space="preserve"> for </w:t>
      </w:r>
      <w:r w:rsidR="00AF0243">
        <w:t>Enclosed</w:t>
      </w:r>
      <w:r w:rsidR="00AF0243" w:rsidRPr="00A40CD0">
        <w:t xml:space="preserve"> Coastal</w:t>
      </w:r>
      <w:r w:rsidR="00AF0243">
        <w:t>,</w:t>
      </w:r>
      <w:r w:rsidR="00AF0243" w:rsidRPr="00A40CD0">
        <w:t xml:space="preserve"> </w:t>
      </w:r>
      <w:r w:rsidRPr="00A40CD0">
        <w:t>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50"/>
      <w:bookmarkEnd w:id="251"/>
    </w:p>
    <w:tbl>
      <w:tblPr>
        <w:tblStyle w:val="TableGrid"/>
        <w:tblW w:w="9453" w:type="dxa"/>
        <w:tblLook w:val="04A0" w:firstRow="1" w:lastRow="0" w:firstColumn="1" w:lastColumn="0" w:noHBand="0" w:noVBand="1"/>
      </w:tblPr>
      <w:tblGrid>
        <w:gridCol w:w="865"/>
        <w:gridCol w:w="1060"/>
        <w:gridCol w:w="986"/>
        <w:gridCol w:w="725"/>
        <w:gridCol w:w="889"/>
        <w:gridCol w:w="634"/>
        <w:gridCol w:w="1060"/>
        <w:gridCol w:w="986"/>
        <w:gridCol w:w="725"/>
        <w:gridCol w:w="889"/>
        <w:gridCol w:w="634"/>
      </w:tblGrid>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p>
        </w:tc>
        <w:tc>
          <w:tcPr>
            <w:tcW w:w="4294"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294"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8922</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48199</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7.13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4.01</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4636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52190</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7.21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4.50</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68006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272709</w:t>
            </w:r>
          </w:p>
        </w:tc>
        <w:tc>
          <w:tcPr>
            <w:tcW w:w="725"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2.47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1.16</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38%</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37003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295290</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0.83</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247415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919863</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0.65</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137988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996030</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0.82</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0.40</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w:t>
            </w:r>
          </w:p>
        </w:tc>
      </w:tr>
      <w:tr w:rsidR="00EC0426" w:rsidRPr="00453395" w:rsidTr="00EC0426">
        <w:tc>
          <w:tcPr>
            <w:tcW w:w="86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586618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3125242</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0.14</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322533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3384020</w:t>
            </w:r>
          </w:p>
        </w:tc>
        <w:tc>
          <w:tcPr>
            <w:tcW w:w="72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0.20</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63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w:t>
            </w:r>
          </w:p>
        </w:tc>
      </w:tr>
    </w:tbl>
    <w:p w:rsidR="00B25CAA" w:rsidRDefault="00B25CAA" w:rsidP="002E0BD6">
      <w:pPr>
        <w:pStyle w:val="BodyText"/>
      </w:pPr>
    </w:p>
    <w:p w:rsidR="00EC0426" w:rsidRPr="00A40CD0" w:rsidRDefault="00EC0426" w:rsidP="002E0BD6">
      <w:pPr>
        <w:pStyle w:val="BodyText"/>
      </w:pPr>
    </w:p>
    <w:p w:rsidR="00B25CAA" w:rsidRPr="00A40CD0" w:rsidRDefault="00B25CAA" w:rsidP="002E0BD6">
      <w:pPr>
        <w:pStyle w:val="BodyText"/>
        <w:sectPr w:rsidR="00B25CAA" w:rsidRPr="00A40CD0" w:rsidSect="000672E5">
          <w:footerReference w:type="even" r:id="rId78"/>
          <w:footerReference w:type="default" r:id="rId79"/>
          <w:headerReference w:type="first" r:id="rId80"/>
          <w:footerReference w:type="first" r:id="rId81"/>
          <w:pgSz w:w="11906" w:h="16838" w:code="9"/>
          <w:pgMar w:top="1418" w:right="1418" w:bottom="1418" w:left="1418" w:header="567" w:footer="737" w:gutter="0"/>
          <w:cols w:space="708"/>
          <w:docGrid w:linePitch="360"/>
        </w:sectPr>
      </w:pPr>
    </w:p>
    <w:p w:rsidR="00B25CAA" w:rsidRPr="00A40CD0" w:rsidRDefault="00B56CC3" w:rsidP="00B22764">
      <w:r>
        <w:rPr>
          <w:noProof/>
        </w:rPr>
        <w:lastRenderedPageBreak/>
        <w:drawing>
          <wp:inline distT="0" distB="0" distL="0" distR="0">
            <wp:extent cx="3348000" cy="4920817"/>
            <wp:effectExtent l="0" t="0" r="5080" b="6985"/>
            <wp:docPr id="53" name="Picture 53" descr="Map of freshwater extent for the wet season for the Wet Tropics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DOM_MIM_Maximum_20111101_20120430.tif"/>
                    <pic:cNvPicPr/>
                  </pic:nvPicPr>
                  <pic:blipFill>
                    <a:blip r:embed="rId82" cstate="email">
                      <a:extLst>
                        <a:ext uri="{28A0092B-C50C-407E-A947-70E740481C1C}">
                          <a14:useLocalDpi xmlns:a14="http://schemas.microsoft.com/office/drawing/2010/main"/>
                        </a:ext>
                      </a:extLst>
                    </a:blip>
                    <a:stretch>
                      <a:fillRect/>
                    </a:stretch>
                  </pic:blipFill>
                  <pic:spPr>
                    <a:xfrm>
                      <a:off x="0" y="0"/>
                      <a:ext cx="3348000" cy="4920817"/>
                    </a:xfrm>
                    <a:prstGeom prst="rect">
                      <a:avLst/>
                    </a:prstGeom>
                  </pic:spPr>
                </pic:pic>
              </a:graphicData>
            </a:graphic>
          </wp:inline>
        </w:drawing>
      </w:r>
      <w:r>
        <w:rPr>
          <w:noProof/>
        </w:rPr>
        <w:drawing>
          <wp:inline distT="0" distB="0" distL="0" distR="0">
            <wp:extent cx="3348000" cy="4920817"/>
            <wp:effectExtent l="0" t="0" r="5080" b="6985"/>
            <wp:docPr id="83" name="Picture 83" descr="Map of freshwater extent for the wet season for the Wet Tropics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DOM_MIM_maxGTtrigger_20111101_20120430.tif"/>
                    <pic:cNvPicPr/>
                  </pic:nvPicPr>
                  <pic:blipFill>
                    <a:blip r:embed="rId83" cstate="email">
                      <a:extLst>
                        <a:ext uri="{28A0092B-C50C-407E-A947-70E740481C1C}">
                          <a14:useLocalDpi xmlns:a14="http://schemas.microsoft.com/office/drawing/2010/main"/>
                        </a:ext>
                      </a:extLst>
                    </a:blip>
                    <a:stretch>
                      <a:fillRect/>
                    </a:stretch>
                  </pic:blipFill>
                  <pic:spPr>
                    <a:xfrm>
                      <a:off x="0" y="0"/>
                      <a:ext cx="3348000" cy="4920817"/>
                    </a:xfrm>
                    <a:prstGeom prst="rect">
                      <a:avLst/>
                    </a:prstGeom>
                  </pic:spPr>
                </pic:pic>
              </a:graphicData>
            </a:graphic>
          </wp:inline>
        </w:drawing>
      </w:r>
    </w:p>
    <w:p w:rsidR="00B25CAA" w:rsidRPr="00A40CD0" w:rsidRDefault="00B25CAA" w:rsidP="00B22764">
      <w:pPr>
        <w:pStyle w:val="Caption"/>
      </w:pPr>
      <w:bookmarkStart w:id="252" w:name="_Ref257731831"/>
      <w:bookmarkStart w:id="253" w:name="_Toc228588320"/>
      <w:bookmarkStart w:id="254" w:name="_Toc399265026"/>
      <w:r w:rsidRPr="00A40CD0">
        <w:t xml:space="preserve">Figure </w:t>
      </w:r>
      <w:r w:rsidR="00EA2F38">
        <w:fldChar w:fldCharType="begin"/>
      </w:r>
      <w:r w:rsidR="00933C8B">
        <w:instrText xml:space="preserve"> SEQ Figure \* ARABIC </w:instrText>
      </w:r>
      <w:r w:rsidR="00EA2F38">
        <w:fldChar w:fldCharType="separate"/>
      </w:r>
      <w:r w:rsidR="00B11F3B">
        <w:rPr>
          <w:noProof/>
        </w:rPr>
        <w:t>40</w:t>
      </w:r>
      <w:r w:rsidR="00EA2F38">
        <w:fldChar w:fldCharType="end"/>
      </w:r>
      <w:bookmarkEnd w:id="252"/>
      <w:r w:rsidRPr="00A40CD0">
        <w:t xml:space="preserve">. Map of freshwater extent for the wet season for the Wet Tropics </w:t>
      </w:r>
      <w:r w:rsidR="00A40CD0" w:rsidRPr="00A40CD0">
        <w:t>region. The</w:t>
      </w:r>
      <w:r w:rsidRPr="00A40CD0">
        <w:t xml:space="preserve"> first map presents the maximum value of CDOM for </w:t>
      </w:r>
      <w:r w:rsidR="00D3208E">
        <w:t>the wet season 2011/2012 (November 2011 - April 2012)</w:t>
      </w:r>
      <w:r w:rsidRPr="00A40CD0">
        <w:t>, while the second map presents freshwater extent estimated with a threshold for the CDOM seasonal maximum of 0.24 m</w:t>
      </w:r>
      <w:r w:rsidRPr="00A40CD0">
        <w:rPr>
          <w:vertAlign w:val="superscript"/>
        </w:rPr>
        <w:t>-1</w:t>
      </w:r>
      <w:r w:rsidRPr="00A40CD0">
        <w:t>.</w:t>
      </w:r>
      <w:bookmarkEnd w:id="253"/>
      <w:bookmarkEnd w:id="254"/>
      <w:r w:rsidRPr="00A40CD0">
        <w:t xml:space="preserve"> </w:t>
      </w:r>
    </w:p>
    <w:p w:rsidR="00B25CAA" w:rsidRPr="00A40CD0" w:rsidRDefault="008C5725" w:rsidP="002E0BD6">
      <w:pPr>
        <w:pStyle w:val="BodyText"/>
      </w:pPr>
      <w:r>
        <w:rPr>
          <w:noProof/>
          <w:lang w:eastAsia="en-AU"/>
        </w:rPr>
        <w:lastRenderedPageBreak/>
        <w:drawing>
          <wp:inline distT="0" distB="0" distL="0" distR="0">
            <wp:extent cx="3355609" cy="4932000"/>
            <wp:effectExtent l="0" t="0" r="0" b="0"/>
            <wp:docPr id="18" name="Picture 18" descr="Chlorophyll-a median maps for the dry and wet season for the Wet Tropics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Median_20110501_20111031.tif"/>
                    <pic:cNvPicPr/>
                  </pic:nvPicPr>
                  <pic:blipFill>
                    <a:blip r:embed="rId84"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lang w:eastAsia="en-AU"/>
        </w:rPr>
        <w:drawing>
          <wp:inline distT="0" distB="0" distL="0" distR="0">
            <wp:extent cx="3355609" cy="4932000"/>
            <wp:effectExtent l="0" t="0" r="0" b="0"/>
            <wp:docPr id="12" name="Picture 12" descr="Chlorophyll-a median maps for the dry and wet season for the Wet Tropics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Median_20111101_20120430.tif"/>
                    <pic:cNvPicPr/>
                  </pic:nvPicPr>
                  <pic:blipFill>
                    <a:blip r:embed="rId85"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4F4DDE">
      <w:pPr>
        <w:pStyle w:val="Caption"/>
      </w:pPr>
      <w:bookmarkStart w:id="255" w:name="_Ref247857091"/>
      <w:bookmarkStart w:id="256" w:name="_Toc228588321"/>
      <w:bookmarkStart w:id="257" w:name="_Toc399265027"/>
      <w:r w:rsidRPr="00A40CD0">
        <w:t xml:space="preserve">Figure </w:t>
      </w:r>
      <w:r w:rsidR="00EA2F38">
        <w:fldChar w:fldCharType="begin"/>
      </w:r>
      <w:r w:rsidR="00933C8B">
        <w:instrText xml:space="preserve"> SEQ Figure \* ARABIC </w:instrText>
      </w:r>
      <w:r w:rsidR="00EA2F38">
        <w:fldChar w:fldCharType="separate"/>
      </w:r>
      <w:r w:rsidR="00B11F3B">
        <w:rPr>
          <w:noProof/>
        </w:rPr>
        <w:t>41</w:t>
      </w:r>
      <w:r w:rsidR="00EA2F38">
        <w:fldChar w:fldCharType="end"/>
      </w:r>
      <w:bookmarkEnd w:id="255"/>
      <w:r w:rsidRPr="00A40CD0">
        <w:t xml:space="preserve">. Chlorophyll-a median maps for the dry and wet season for the Wet Tropics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256"/>
      <w:bookmarkEnd w:id="257"/>
      <w:r w:rsidRPr="00A40CD0">
        <w:t xml:space="preserve"> </w:t>
      </w:r>
    </w:p>
    <w:p w:rsidR="00B25CAA" w:rsidRPr="00A40CD0" w:rsidRDefault="00DB310C" w:rsidP="00CD1717">
      <w:r>
        <w:rPr>
          <w:noProof/>
        </w:rPr>
        <w:lastRenderedPageBreak/>
        <w:drawing>
          <wp:inline distT="0" distB="0" distL="0" distR="0">
            <wp:extent cx="3355609" cy="4932000"/>
            <wp:effectExtent l="0" t="0" r="0" b="0"/>
            <wp:docPr id="31" name="Picture 31" descr="Non-algal particulate matter (NAP as a measure of TSS) median maps for the dry and wet season for the Wet Tropics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Nap_MIM_Median_20110501_20111031.tif"/>
                    <pic:cNvPicPr/>
                  </pic:nvPicPr>
                  <pic:blipFill>
                    <a:blip r:embed="rId86"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4909" cy="4930970"/>
            <wp:effectExtent l="0" t="0" r="0" b="0"/>
            <wp:docPr id="21" name="Picture 21" descr="Non-algal particulate matter (NAP as a measure of TSS) median maps for the dry and wet season for the Wet Tropics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Nap_MIM_Median_20111101_20120430.tif"/>
                    <pic:cNvPicPr/>
                  </pic:nvPicPr>
                  <pic:blipFill>
                    <a:blip r:embed="rId87" cstate="email">
                      <a:extLst>
                        <a:ext uri="{28A0092B-C50C-407E-A947-70E740481C1C}">
                          <a14:useLocalDpi xmlns:a14="http://schemas.microsoft.com/office/drawing/2010/main"/>
                        </a:ext>
                      </a:extLst>
                    </a:blip>
                    <a:stretch>
                      <a:fillRect/>
                    </a:stretch>
                  </pic:blipFill>
                  <pic:spPr>
                    <a:xfrm>
                      <a:off x="0" y="0"/>
                      <a:ext cx="3354909" cy="4930970"/>
                    </a:xfrm>
                    <a:prstGeom prst="rect">
                      <a:avLst/>
                    </a:prstGeom>
                  </pic:spPr>
                </pic:pic>
              </a:graphicData>
            </a:graphic>
          </wp:inline>
        </w:drawing>
      </w:r>
    </w:p>
    <w:p w:rsidR="00B25CAA" w:rsidRPr="00A40CD0" w:rsidRDefault="00B25CAA" w:rsidP="004F4DDE">
      <w:pPr>
        <w:pStyle w:val="Caption"/>
      </w:pPr>
      <w:bookmarkStart w:id="258" w:name="_Ref247857150"/>
      <w:bookmarkStart w:id="259" w:name="_Toc228588322"/>
      <w:bookmarkStart w:id="260" w:name="_Toc399265028"/>
      <w:r w:rsidRPr="00A40CD0">
        <w:t xml:space="preserve">Figure </w:t>
      </w:r>
      <w:r w:rsidR="00EA2F38">
        <w:fldChar w:fldCharType="begin"/>
      </w:r>
      <w:r w:rsidR="00933C8B">
        <w:instrText xml:space="preserve"> SEQ Figure \* ARABIC </w:instrText>
      </w:r>
      <w:r w:rsidR="00EA2F38">
        <w:fldChar w:fldCharType="separate"/>
      </w:r>
      <w:r w:rsidR="00B11F3B">
        <w:rPr>
          <w:noProof/>
        </w:rPr>
        <w:t>42</w:t>
      </w:r>
      <w:r w:rsidR="00EA2F38">
        <w:fldChar w:fldCharType="end"/>
      </w:r>
      <w:bookmarkEnd w:id="258"/>
      <w:r w:rsidRPr="00A40CD0">
        <w:t xml:space="preserve">. Non-algal particulate matter (NAP as a measure of TSS) median maps for the dry and wet season for the Wet Tropics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259"/>
      <w:bookmarkEnd w:id="260"/>
      <w:r w:rsidRPr="00A40CD0">
        <w:t xml:space="preserve"> </w:t>
      </w:r>
    </w:p>
    <w:p w:rsidR="00B25CAA" w:rsidRPr="00A40CD0" w:rsidRDefault="00DB310C" w:rsidP="00CD1717">
      <w:r>
        <w:rPr>
          <w:noProof/>
        </w:rPr>
        <w:lastRenderedPageBreak/>
        <w:drawing>
          <wp:inline distT="0" distB="0" distL="0" distR="0">
            <wp:extent cx="3355609" cy="4932000"/>
            <wp:effectExtent l="0" t="0" r="0" b="0"/>
            <wp:docPr id="34" name="Picture 34" descr="Number of observations used to calculate the median maps (Figure 41 - Figure 42) for the dry and wet season for the Wet Tropics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n_valid_20110501_20111031.tif"/>
                    <pic:cNvPicPr/>
                  </pic:nvPicPr>
                  <pic:blipFill>
                    <a:blip r:embed="rId88"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5609" cy="4932000"/>
            <wp:effectExtent l="0" t="0" r="0" b="0"/>
            <wp:docPr id="36" name="Picture 36" descr="Number of observations used to calculate the median maps (Figure 41 - Figure 42) for the dry and wet season for the Wet Tropics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n_valid_20111101_20120430.tif"/>
                    <pic:cNvPicPr/>
                  </pic:nvPicPr>
                  <pic:blipFill>
                    <a:blip r:embed="rId89"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4F4DDE">
      <w:pPr>
        <w:pStyle w:val="Caption"/>
      </w:pPr>
      <w:bookmarkStart w:id="261" w:name="_Ref247857154"/>
      <w:bookmarkStart w:id="262" w:name="_Toc228588323"/>
      <w:bookmarkStart w:id="263" w:name="_Toc399265029"/>
      <w:r w:rsidRPr="00A40CD0">
        <w:t xml:space="preserve">Figure </w:t>
      </w:r>
      <w:r w:rsidR="00EA2F38">
        <w:fldChar w:fldCharType="begin"/>
      </w:r>
      <w:r w:rsidR="00933C8B">
        <w:instrText xml:space="preserve"> SEQ Figure \* ARABIC </w:instrText>
      </w:r>
      <w:r w:rsidR="00EA2F38">
        <w:fldChar w:fldCharType="separate"/>
      </w:r>
      <w:r w:rsidR="00B11F3B">
        <w:rPr>
          <w:noProof/>
        </w:rPr>
        <w:t>43</w:t>
      </w:r>
      <w:r w:rsidR="00EA2F38">
        <w:fldChar w:fldCharType="end"/>
      </w:r>
      <w:bookmarkEnd w:id="261"/>
      <w:r w:rsidRPr="00A40CD0">
        <w:t>. Number of observations used to calculate the median maps (</w:t>
      </w:r>
      <w:r w:rsidR="00EA2F38" w:rsidRPr="00A40CD0">
        <w:fldChar w:fldCharType="begin"/>
      </w:r>
      <w:r w:rsidRPr="00A40CD0">
        <w:instrText xml:space="preserve"> REF _Ref247857091 \h </w:instrText>
      </w:r>
      <w:r w:rsidR="00EA2F38" w:rsidRPr="00A40CD0">
        <w:fldChar w:fldCharType="separate"/>
      </w:r>
      <w:r w:rsidR="00B11F3B" w:rsidRPr="00A40CD0">
        <w:t xml:space="preserve">Figure </w:t>
      </w:r>
      <w:r w:rsidR="00B11F3B">
        <w:rPr>
          <w:noProof/>
        </w:rPr>
        <w:t>41</w:t>
      </w:r>
      <w:r w:rsidR="00EA2F38" w:rsidRPr="00A40CD0">
        <w:fldChar w:fldCharType="end"/>
      </w:r>
      <w:r w:rsidR="00585682" w:rsidRPr="00A40CD0">
        <w:t xml:space="preserve"> </w:t>
      </w:r>
      <w:r w:rsidRPr="00A40CD0">
        <w:t>-</w:t>
      </w:r>
      <w:r w:rsidR="00585682" w:rsidRPr="00A40CD0">
        <w:t xml:space="preserve"> </w:t>
      </w:r>
      <w:r w:rsidR="00EA2F38" w:rsidRPr="00A40CD0">
        <w:fldChar w:fldCharType="begin"/>
      </w:r>
      <w:r w:rsidR="00585682" w:rsidRPr="00A40CD0">
        <w:instrText xml:space="preserve"> REF _Ref247857150 \h </w:instrText>
      </w:r>
      <w:r w:rsidR="00EA2F38" w:rsidRPr="00A40CD0">
        <w:fldChar w:fldCharType="separate"/>
      </w:r>
      <w:r w:rsidR="00B11F3B" w:rsidRPr="00A40CD0">
        <w:t xml:space="preserve">Figure </w:t>
      </w:r>
      <w:r w:rsidR="00B11F3B">
        <w:rPr>
          <w:noProof/>
        </w:rPr>
        <w:t>42</w:t>
      </w:r>
      <w:r w:rsidR="00EA2F38" w:rsidRPr="00A40CD0">
        <w:fldChar w:fldCharType="end"/>
      </w:r>
      <w:r w:rsidRPr="00A40CD0">
        <w:t xml:space="preserve">) for the dry and wet season for the Wet Tropics region. The first map presents the number of observations available for analysis in </w:t>
      </w:r>
      <w:r w:rsidR="00D3208E">
        <w:t>the dry season 2011 (May - October)</w:t>
      </w:r>
      <w:r w:rsidRPr="00A40CD0">
        <w:t xml:space="preserve">, while the second map presents the number of observations available for analysis in </w:t>
      </w:r>
      <w:r w:rsidR="00D3208E">
        <w:t>the wet season 2011/2012 (November 2011 - April 2012)</w:t>
      </w:r>
      <w:r w:rsidRPr="00A40CD0">
        <w:t>.</w:t>
      </w:r>
      <w:bookmarkEnd w:id="262"/>
      <w:bookmarkEnd w:id="263"/>
      <w:r w:rsidRPr="00A40CD0">
        <w:t xml:space="preserve"> </w:t>
      </w:r>
    </w:p>
    <w:p w:rsidR="00B25CAA" w:rsidRPr="00A40CD0" w:rsidRDefault="00687396" w:rsidP="006C3F8A">
      <w:r>
        <w:rPr>
          <w:noProof/>
        </w:rPr>
        <w:lastRenderedPageBreak/>
        <w:drawing>
          <wp:inline distT="0" distB="0" distL="0" distR="0">
            <wp:extent cx="3355609" cy="4932000"/>
            <wp:effectExtent l="0" t="0" r="0" b="0"/>
            <wp:docPr id="39" name="Picture 39" descr="Exceedance maps for the Wet Tropics region for the whole year (May 2011 –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meanGTtrigger_20110501_20120430.tif"/>
                    <pic:cNvPicPr/>
                  </pic:nvPicPr>
                  <pic:blipFill>
                    <a:blip r:embed="rId90"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5609" cy="4932000"/>
            <wp:effectExtent l="0" t="0" r="0" b="0"/>
            <wp:docPr id="40" name="Picture 40" descr="Exceedance maps for the Wet Tropics region for the whole year (May 2011 –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Nap_MIM_meanGTtrigger_20110501_20120430.tif"/>
                    <pic:cNvPicPr/>
                  </pic:nvPicPr>
                  <pic:blipFill>
                    <a:blip r:embed="rId91"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6C3F8A">
      <w:pPr>
        <w:pStyle w:val="Caption"/>
      </w:pPr>
      <w:bookmarkStart w:id="264" w:name="_Ref263850323"/>
      <w:bookmarkStart w:id="265" w:name="_Toc228588324"/>
      <w:bookmarkStart w:id="266" w:name="_Toc399265030"/>
      <w:r w:rsidRPr="00A40CD0">
        <w:t xml:space="preserve">Figure </w:t>
      </w:r>
      <w:r w:rsidR="00EA2F38">
        <w:fldChar w:fldCharType="begin"/>
      </w:r>
      <w:r w:rsidR="00933C8B">
        <w:instrText xml:space="preserve"> SEQ Figure \* ARABIC </w:instrText>
      </w:r>
      <w:r w:rsidR="00EA2F38">
        <w:fldChar w:fldCharType="separate"/>
      </w:r>
      <w:r w:rsidR="00B11F3B">
        <w:rPr>
          <w:noProof/>
        </w:rPr>
        <w:t>44</w:t>
      </w:r>
      <w:r w:rsidR="00EA2F38">
        <w:fldChar w:fldCharType="end"/>
      </w:r>
      <w:bookmarkEnd w:id="264"/>
      <w:r w:rsidRPr="00A40CD0">
        <w:t xml:space="preserve">. Exceedance maps for the Wet Tropics region </w:t>
      </w:r>
      <w:r w:rsidR="00687396" w:rsidRPr="00A40CD0">
        <w:t>for the whole year (May 20</w:t>
      </w:r>
      <w:r w:rsidR="00687396">
        <w:t>11</w:t>
      </w:r>
      <w:r w:rsidR="00687396" w:rsidRPr="00A40CD0">
        <w:t xml:space="preserve"> –</w:t>
      </w:r>
      <w:r w:rsidR="00687396">
        <w:t xml:space="preserve"> </w:t>
      </w:r>
      <w:r w:rsidR="00687396" w:rsidRPr="00A40CD0">
        <w:t>April 201</w:t>
      </w:r>
      <w:r w:rsidR="00687396">
        <w:t>2</w:t>
      </w:r>
      <w:r w:rsidR="00687396" w:rsidRPr="00A40CD0">
        <w:t>)</w:t>
      </w:r>
      <w:r w:rsidRPr="00A40CD0">
        <w:t>. The first map presents the Chlorophyll-a exceedance map, while the second map presents the non-algal particulate matter (NAP as a measure of TSS) exceedance map. The Guideline values for annual means of Chlorophyll–a are 0.45 µg L</w:t>
      </w:r>
      <w:r w:rsidRPr="00A40CD0">
        <w:rPr>
          <w:vertAlign w:val="superscript"/>
        </w:rPr>
        <w:t>-1</w:t>
      </w:r>
      <w:r w:rsidR="0031353D" w:rsidRPr="00A40CD0">
        <w:t xml:space="preserve"> </w:t>
      </w:r>
      <w:r w:rsidRPr="00A40CD0">
        <w:t>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265"/>
      <w:bookmarkEnd w:id="266"/>
    </w:p>
    <w:p w:rsidR="00B25CAA" w:rsidRPr="00A40CD0" w:rsidRDefault="00430B93" w:rsidP="00CD1717">
      <w:r>
        <w:rPr>
          <w:noProof/>
        </w:rPr>
        <w:lastRenderedPageBreak/>
        <w:drawing>
          <wp:inline distT="0" distB="0" distL="0" distR="0">
            <wp:extent cx="3355609" cy="4932000"/>
            <wp:effectExtent l="0" t="0" r="0" b="0"/>
            <wp:docPr id="47" name="Picture 47" descr="Chlorophyll-a exceedance maps for the dry and wet season for the Wet Tropics region. The first map presents the exceedance for the dry season 2011 (May - October), while the second map presents the exceedance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meanGTtrigger_20110501_20111031.tif"/>
                    <pic:cNvPicPr/>
                  </pic:nvPicPr>
                  <pic:blipFill>
                    <a:blip r:embed="rId92"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5609" cy="4932000"/>
            <wp:effectExtent l="0" t="0" r="0" b="0"/>
            <wp:docPr id="46" name="Picture 46" descr="Chlorophyll-a exceedance maps for the dry and wet season for the Wet Tropics region. The first map presents the exceedance for the dry season 2011 (May - October), while the second map presents the exceedance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meanGTtrigger_20111101_20120430.tif"/>
                    <pic:cNvPicPr/>
                  </pic:nvPicPr>
                  <pic:blipFill>
                    <a:blip r:embed="rId93"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4F4DDE">
      <w:pPr>
        <w:pStyle w:val="Caption"/>
      </w:pPr>
      <w:bookmarkStart w:id="267" w:name="_Ref247857196"/>
      <w:bookmarkStart w:id="268" w:name="_Toc228588325"/>
      <w:bookmarkStart w:id="269" w:name="_Toc399265031"/>
      <w:r w:rsidRPr="00A40CD0">
        <w:t xml:space="preserve">Figure </w:t>
      </w:r>
      <w:r w:rsidR="00EA2F38">
        <w:fldChar w:fldCharType="begin"/>
      </w:r>
      <w:r w:rsidR="00933C8B">
        <w:instrText xml:space="preserve"> SEQ Figure \* ARABIC </w:instrText>
      </w:r>
      <w:r w:rsidR="00EA2F38">
        <w:fldChar w:fldCharType="separate"/>
      </w:r>
      <w:r w:rsidR="00B11F3B">
        <w:rPr>
          <w:noProof/>
        </w:rPr>
        <w:t>45</w:t>
      </w:r>
      <w:r w:rsidR="00EA2F38">
        <w:fldChar w:fldCharType="end"/>
      </w:r>
      <w:bookmarkEnd w:id="267"/>
      <w:r w:rsidRPr="00A40CD0">
        <w:t xml:space="preserve">. Chlorophyll-a exceedance maps for the dry and wet season for the Wet Tropics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Chlorophyll –a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68"/>
      <w:bookmarkEnd w:id="269"/>
      <w:r w:rsidRPr="00A40CD0">
        <w:t xml:space="preserve"> </w:t>
      </w:r>
    </w:p>
    <w:p w:rsidR="00B25CAA" w:rsidRPr="00A40CD0" w:rsidRDefault="009C4E74" w:rsidP="00AE2FE2">
      <w:r>
        <w:rPr>
          <w:noProof/>
        </w:rPr>
        <w:lastRenderedPageBreak/>
        <w:drawing>
          <wp:inline distT="0" distB="0" distL="0" distR="0">
            <wp:extent cx="3355609" cy="4932000"/>
            <wp:effectExtent l="0" t="0" r="0" b="0"/>
            <wp:docPr id="48" name="Picture 48" descr="Chlorophyll-a exceedance frequency maps for the dry and wet season for the Wet Tropics region. The first map presents the exceedance frequency for the dry season 2011 (May - October), while the second map presents the exceedance frequency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RelNonCompliantDays_20110501_20111031.tif"/>
                    <pic:cNvPicPr/>
                  </pic:nvPicPr>
                  <pic:blipFill>
                    <a:blip r:embed="rId94"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5609" cy="4932000"/>
            <wp:effectExtent l="0" t="0" r="0" b="0"/>
            <wp:docPr id="49" name="Picture 49" descr="Chlorophyll-a exceedance frequency maps for the dry and wet season for the Wet Tropics region. The first map presents the exceedance frequency for the dry season 2011 (May - October), while the second map presents the exceedance frequency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RelNonCompliantDays_20111101_20120430.tif"/>
                    <pic:cNvPicPr/>
                  </pic:nvPicPr>
                  <pic:blipFill>
                    <a:blip r:embed="rId95"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4F4DDE">
      <w:pPr>
        <w:pStyle w:val="Caption"/>
      </w:pPr>
      <w:bookmarkStart w:id="270" w:name="_Ref247857198"/>
      <w:bookmarkStart w:id="271" w:name="_Toc228588326"/>
      <w:bookmarkStart w:id="272" w:name="_Toc399265032"/>
      <w:r w:rsidRPr="00A40CD0">
        <w:t xml:space="preserve">Figure </w:t>
      </w:r>
      <w:r w:rsidR="00EA2F38">
        <w:fldChar w:fldCharType="begin"/>
      </w:r>
      <w:r w:rsidR="00933C8B">
        <w:instrText xml:space="preserve"> SEQ Figure \* ARABIC </w:instrText>
      </w:r>
      <w:r w:rsidR="00EA2F38">
        <w:fldChar w:fldCharType="separate"/>
      </w:r>
      <w:r w:rsidR="00B11F3B">
        <w:rPr>
          <w:noProof/>
        </w:rPr>
        <w:t>46</w:t>
      </w:r>
      <w:r w:rsidR="00EA2F38">
        <w:fldChar w:fldCharType="end"/>
      </w:r>
      <w:bookmarkEnd w:id="270"/>
      <w:r w:rsidRPr="00A40CD0">
        <w:t xml:space="preserve">. Chlorophyll-a exceedance frequency maps for the dry and wet season for the Wet Tropics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Chlorophyll –a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271"/>
      <w:bookmarkEnd w:id="272"/>
      <w:r w:rsidRPr="00A40CD0">
        <w:t xml:space="preserve"> </w:t>
      </w:r>
    </w:p>
    <w:p w:rsidR="00B25CAA" w:rsidRPr="00A40CD0" w:rsidRDefault="009C4E74" w:rsidP="00AE2FE2">
      <w:r>
        <w:rPr>
          <w:noProof/>
        </w:rPr>
        <w:lastRenderedPageBreak/>
        <w:drawing>
          <wp:inline distT="0" distB="0" distL="0" distR="0">
            <wp:extent cx="3355609" cy="4932000"/>
            <wp:effectExtent l="0" t="0" r="0" b="0"/>
            <wp:docPr id="50" name="Picture 50" descr="Non-algal particulate matter (NAP as a measure of TSS) exceedance maps for the dry and wet season for the Wet Tropics region.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Nap_MIM_meanGTtrigger_20110501_20111031.tif"/>
                    <pic:cNvPicPr/>
                  </pic:nvPicPr>
                  <pic:blipFill>
                    <a:blip r:embed="rId96"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5609" cy="4932000"/>
            <wp:effectExtent l="0" t="0" r="0" b="0"/>
            <wp:docPr id="51" name="Picture 51" descr="Non-algal particulate matter (NAP as a measure of TSS) exceedance maps for the dry and wet season for the Wet Tropics region.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Nap_MIM_meanGTtrigger_20111101_20120430.tif"/>
                    <pic:cNvPicPr/>
                  </pic:nvPicPr>
                  <pic:blipFill>
                    <a:blip r:embed="rId97"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4F4DDE">
      <w:pPr>
        <w:pStyle w:val="Caption"/>
      </w:pPr>
      <w:bookmarkStart w:id="273" w:name="_Ref247857200"/>
      <w:bookmarkStart w:id="274" w:name="_Toc228588327"/>
      <w:bookmarkStart w:id="275" w:name="_Toc399265033"/>
      <w:r w:rsidRPr="00A40CD0">
        <w:t xml:space="preserve">Figure </w:t>
      </w:r>
      <w:r w:rsidR="00EA2F38">
        <w:fldChar w:fldCharType="begin"/>
      </w:r>
      <w:r w:rsidR="00933C8B">
        <w:instrText xml:space="preserve"> SEQ Figure \* ARABIC </w:instrText>
      </w:r>
      <w:r w:rsidR="00EA2F38">
        <w:fldChar w:fldCharType="separate"/>
      </w:r>
      <w:r w:rsidR="00B11F3B">
        <w:rPr>
          <w:noProof/>
        </w:rPr>
        <w:t>47</w:t>
      </w:r>
      <w:r w:rsidR="00EA2F38">
        <w:fldChar w:fldCharType="end"/>
      </w:r>
      <w:bookmarkEnd w:id="273"/>
      <w:r w:rsidRPr="00A40CD0">
        <w:t xml:space="preserve">. Non-algal particulate matter (NAP as a measure of TSS) exceedance maps for the dry and wet season for the Wet Tropics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74"/>
      <w:bookmarkEnd w:id="275"/>
    </w:p>
    <w:p w:rsidR="00B25CAA" w:rsidRPr="00A40CD0" w:rsidRDefault="00016856" w:rsidP="00AE2FE2">
      <w:r>
        <w:rPr>
          <w:noProof/>
        </w:rPr>
        <w:lastRenderedPageBreak/>
        <w:drawing>
          <wp:inline distT="0" distB="0" distL="0" distR="0">
            <wp:extent cx="3355609" cy="4932000"/>
            <wp:effectExtent l="0" t="0" r="0" b="0"/>
            <wp:docPr id="10" name="Picture 10" descr="Non-algal particulate matter (NAP as a measure of TSS) exceedance frequency maps for the dry and wet season for the Wet Tropics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RelNonCompliantDays_20110501_20111031.tif"/>
                    <pic:cNvPicPr/>
                  </pic:nvPicPr>
                  <pic:blipFill>
                    <a:blip r:embed="rId94"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r>
        <w:rPr>
          <w:noProof/>
        </w:rPr>
        <w:drawing>
          <wp:inline distT="0" distB="0" distL="0" distR="0">
            <wp:extent cx="3355609" cy="4932000"/>
            <wp:effectExtent l="0" t="0" r="0" b="0"/>
            <wp:docPr id="13" name="Picture 13" descr="Non-algal particulate matter (NAP as a measure of TSS) exceedance frequency maps for the dry and wet season for the Wet Tropics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NRS-B09_Y_Chl_MIM_RelNonCompliantDays_20111101_20120430.tif"/>
                    <pic:cNvPicPr/>
                  </pic:nvPicPr>
                  <pic:blipFill>
                    <a:blip r:embed="rId95" cstate="email">
                      <a:extLst>
                        <a:ext uri="{28A0092B-C50C-407E-A947-70E740481C1C}">
                          <a14:useLocalDpi xmlns:a14="http://schemas.microsoft.com/office/drawing/2010/main"/>
                        </a:ext>
                      </a:extLst>
                    </a:blip>
                    <a:stretch>
                      <a:fillRect/>
                    </a:stretch>
                  </pic:blipFill>
                  <pic:spPr>
                    <a:xfrm>
                      <a:off x="0" y="0"/>
                      <a:ext cx="3355609" cy="4932000"/>
                    </a:xfrm>
                    <a:prstGeom prst="rect">
                      <a:avLst/>
                    </a:prstGeom>
                  </pic:spPr>
                </pic:pic>
              </a:graphicData>
            </a:graphic>
          </wp:inline>
        </w:drawing>
      </w:r>
    </w:p>
    <w:p w:rsidR="00B25CAA" w:rsidRPr="00A40CD0" w:rsidRDefault="00B25CAA" w:rsidP="00B22764">
      <w:pPr>
        <w:pStyle w:val="Caption"/>
      </w:pPr>
      <w:bookmarkStart w:id="276" w:name="_Ref247857201"/>
      <w:bookmarkStart w:id="277" w:name="_Toc228588328"/>
      <w:bookmarkStart w:id="278" w:name="_Toc399265034"/>
      <w:r w:rsidRPr="00A40CD0">
        <w:t xml:space="preserve">Figure </w:t>
      </w:r>
      <w:r w:rsidR="00EA2F38">
        <w:fldChar w:fldCharType="begin"/>
      </w:r>
      <w:r w:rsidR="00933C8B">
        <w:instrText xml:space="preserve"> SEQ Figure \* ARABIC </w:instrText>
      </w:r>
      <w:r w:rsidR="00EA2F38">
        <w:fldChar w:fldCharType="separate"/>
      </w:r>
      <w:r w:rsidR="00B11F3B">
        <w:rPr>
          <w:noProof/>
        </w:rPr>
        <w:t>48</w:t>
      </w:r>
      <w:r w:rsidR="00EA2F38">
        <w:fldChar w:fldCharType="end"/>
      </w:r>
      <w:bookmarkEnd w:id="276"/>
      <w:r w:rsidRPr="00A40CD0">
        <w:t xml:space="preserve">. Non-algal particulate matter (NAP as a measure of TSS) exceedance frequency maps for the dry and wet season for the Wet Tropics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277"/>
      <w:bookmarkEnd w:id="278"/>
    </w:p>
    <w:p w:rsidR="00B25CAA" w:rsidRPr="00A40CD0" w:rsidRDefault="00B25CAA" w:rsidP="002E0BD6">
      <w:pPr>
        <w:pStyle w:val="BodyText"/>
        <w:sectPr w:rsidR="00B25CAA" w:rsidRPr="00A40CD0" w:rsidSect="00A12779">
          <w:footerReference w:type="default" r:id="rId98"/>
          <w:footerReference w:type="first" r:id="rId99"/>
          <w:pgSz w:w="16838" w:h="11906" w:orient="landscape" w:code="9"/>
          <w:pgMar w:top="1418" w:right="1418" w:bottom="1418" w:left="1418" w:header="567" w:footer="737" w:gutter="0"/>
          <w:cols w:space="708"/>
          <w:docGrid w:linePitch="360"/>
        </w:sectPr>
      </w:pPr>
    </w:p>
    <w:p w:rsidR="00B25CAA" w:rsidRPr="00A40CD0" w:rsidRDefault="00B25CAA" w:rsidP="007E294B">
      <w:pPr>
        <w:pStyle w:val="Heading2"/>
      </w:pPr>
      <w:bookmarkStart w:id="279" w:name="_Toc228588192"/>
      <w:bookmarkStart w:id="280" w:name="_Toc399264899"/>
      <w:r w:rsidRPr="00A40CD0">
        <w:lastRenderedPageBreak/>
        <w:t>Regional reports: Burdekin region</w:t>
      </w:r>
      <w:bookmarkEnd w:id="279"/>
      <w:bookmarkEnd w:id="280"/>
    </w:p>
    <w:p w:rsidR="00B25CAA" w:rsidRPr="00A40CD0" w:rsidRDefault="00B25CAA" w:rsidP="002E0BD6">
      <w:pPr>
        <w:pStyle w:val="BodyText"/>
      </w:pPr>
      <w:r w:rsidRPr="00A40CD0">
        <w:t>The Burdekin Dry Tropics region includes an aggregation of the Black, Burdekin, Don, Haughton and Ross River catchments and includes several smaller coastal catchments, all of which empty into the GBR lagoon. Because of its geographical location, rainfall in the region is lower than other regions within tropical Queensland, though there is considerable variation year to year with 75% of the annual rainfall received during December to March</w:t>
      </w:r>
      <w:r w:rsid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w:t>
      </w:r>
    </w:p>
    <w:p w:rsidR="009202A6" w:rsidRPr="007E294B" w:rsidRDefault="00B25CAA" w:rsidP="007E294B">
      <w:pPr>
        <w:pStyle w:val="Heading3"/>
      </w:pPr>
      <w:bookmarkStart w:id="281" w:name="_Toc228588193"/>
      <w:bookmarkStart w:id="282" w:name="_Toc399264900"/>
      <w:r w:rsidRPr="007E294B">
        <w:t>Assessment of freshwater extent during the wet season</w:t>
      </w:r>
      <w:bookmarkEnd w:id="281"/>
      <w:bookmarkEnd w:id="282"/>
    </w:p>
    <w:p w:rsidR="00B25CAA" w:rsidRPr="00A40CD0" w:rsidRDefault="00EA2F38" w:rsidP="002E0BD6">
      <w:pPr>
        <w:pStyle w:val="BodyText"/>
      </w:pPr>
      <w:r>
        <w:fldChar w:fldCharType="begin"/>
      </w:r>
      <w:r w:rsidR="00D90A4A">
        <w:instrText xml:space="preserve"> REF _Ref257731840 \h </w:instrText>
      </w:r>
      <w:r>
        <w:fldChar w:fldCharType="separate"/>
      </w:r>
      <w:r w:rsidR="00B11F3B" w:rsidRPr="00A40CD0">
        <w:t xml:space="preserve">Figure </w:t>
      </w:r>
      <w:r w:rsidR="00B11F3B">
        <w:rPr>
          <w:noProof/>
        </w:rPr>
        <w:t>51</w:t>
      </w:r>
      <w:r>
        <w:fldChar w:fldCharType="end"/>
      </w:r>
      <w:r w:rsidR="00B25CAA" w:rsidRPr="00A40CD0">
        <w:t xml:space="preserve"> reports the freshwater extent for </w:t>
      </w:r>
      <w:r w:rsidR="00D8717B">
        <w:t>wet season 2011/2012 (November 2011- April 2012)</w:t>
      </w:r>
      <w:r w:rsidR="00B25CAA" w:rsidRPr="00A40CD0">
        <w:t xml:space="preserve"> for the Burdekin region. The freshwater extent was estimated by applying a threshold of 0.24 m</w:t>
      </w:r>
      <w:r w:rsidR="00B25CAA" w:rsidRPr="00A40CD0">
        <w:rPr>
          <w:vertAlign w:val="superscript"/>
        </w:rPr>
        <w:t xml:space="preserve">-1 </w:t>
      </w:r>
      <w:r w:rsidR="00B25CAA" w:rsidRPr="00A40CD0">
        <w:t xml:space="preserve">for the CDOM seasonal maximum. For the Burdekin region the freshwater extent for the </w:t>
      </w:r>
      <w:r w:rsidR="00D8717B">
        <w:t>wet season 2011/2012 (November 2011- April 2012)</w:t>
      </w:r>
      <w:r w:rsidR="00500622">
        <w:t xml:space="preserve"> was 5020</w:t>
      </w:r>
      <w:r w:rsidR="00B25CAA" w:rsidRPr="00A40CD0">
        <w:t xml:space="preserve"> km</w:t>
      </w:r>
      <w:r w:rsidR="00B25CAA" w:rsidRPr="00A40CD0">
        <w:rPr>
          <w:vertAlign w:val="superscript"/>
        </w:rPr>
        <w:t>2</w:t>
      </w:r>
      <w:r w:rsidR="00B25CAA" w:rsidRPr="00A40CD0">
        <w:t xml:space="preserve"> </w:t>
      </w:r>
      <w:r w:rsidR="002C55BD">
        <w:t xml:space="preserve">following a river flow almost three times above median flows </w:t>
      </w:r>
      <w:r w:rsidR="00B25CAA" w:rsidRPr="00A40CD0">
        <w:t>(</w:t>
      </w:r>
      <w:r>
        <w:fldChar w:fldCharType="begin"/>
      </w:r>
      <w:r w:rsidR="00D90A4A">
        <w:instrText xml:space="preserve"> REF _Ref304874046 \h </w:instrText>
      </w:r>
      <w:r>
        <w:fldChar w:fldCharType="separate"/>
      </w:r>
      <w:r w:rsidR="00B11F3B" w:rsidRPr="00A40CD0">
        <w:t xml:space="preserve">Figure </w:t>
      </w:r>
      <w:r w:rsidR="00B11F3B">
        <w:rPr>
          <w:noProof/>
        </w:rPr>
        <w:t>49</w:t>
      </w:r>
      <w:r>
        <w:fldChar w:fldCharType="end"/>
      </w:r>
      <w:r w:rsidR="002C55BD">
        <w:t>). The freshwater extent was well</w:t>
      </w:r>
      <w:r w:rsidR="00B25CAA" w:rsidRPr="00A40CD0">
        <w:t xml:space="preserve"> correlated with the freshwater discharge (R</w:t>
      </w:r>
      <w:r w:rsidR="00B25CAA" w:rsidRPr="00A40CD0">
        <w:rPr>
          <w:vertAlign w:val="superscript"/>
        </w:rPr>
        <w:t>2</w:t>
      </w:r>
      <w:r w:rsidR="00500622">
        <w:t>=0.624</w:t>
      </w:r>
      <w:r w:rsidR="00B25CAA" w:rsidRPr="00A40CD0">
        <w:t xml:space="preserve">, </w:t>
      </w:r>
      <w:r>
        <w:fldChar w:fldCharType="begin"/>
      </w:r>
      <w:r w:rsidR="00D90A4A">
        <w:instrText xml:space="preserve"> REF _Ref304874046 \h </w:instrText>
      </w:r>
      <w:r>
        <w:fldChar w:fldCharType="separate"/>
      </w:r>
      <w:r w:rsidR="00B11F3B" w:rsidRPr="00A40CD0">
        <w:t xml:space="preserve">Figure </w:t>
      </w:r>
      <w:r w:rsidR="00B11F3B">
        <w:rPr>
          <w:noProof/>
        </w:rPr>
        <w:t>49</w:t>
      </w:r>
      <w:r>
        <w:fldChar w:fldCharType="end"/>
      </w:r>
      <w:r w:rsidR="00B25CAA" w:rsidRPr="00A40CD0">
        <w:t>):</w:t>
      </w:r>
      <w:r w:rsidR="006A6FFD">
        <w:t xml:space="preserve"> in 2009/10 a lower extent (3035</w:t>
      </w:r>
      <w:r w:rsidR="00B25CAA" w:rsidRPr="00A40CD0">
        <w:t xml:space="preserve"> km</w:t>
      </w:r>
      <w:r w:rsidR="00B25CAA" w:rsidRPr="00A40CD0">
        <w:rPr>
          <w:vertAlign w:val="superscript"/>
        </w:rPr>
        <w:t>2</w:t>
      </w:r>
      <w:r w:rsidR="00B25CAA" w:rsidRPr="00A40CD0">
        <w:t>) reflected the freshwater discharge from the Burdekin River that was sightly above the median values</w:t>
      </w:r>
      <w:r w:rsidR="00500622">
        <w:t xml:space="preserve"> (~1.3) while </w:t>
      </w:r>
      <w:r w:rsidR="002C55BD">
        <w:t xml:space="preserve">for the wet seasons </w:t>
      </w:r>
      <w:r w:rsidR="002C55BD" w:rsidRPr="00A40CD0">
        <w:t>2008/2009</w:t>
      </w:r>
      <w:r w:rsidR="002C55BD">
        <w:t xml:space="preserve"> and 2010/2011 (7402 and 4912</w:t>
      </w:r>
      <w:r w:rsidR="002C55BD" w:rsidRPr="00A40CD0">
        <w:t xml:space="preserve"> km</w:t>
      </w:r>
      <w:r w:rsidR="002C55BD" w:rsidRPr="00A40CD0">
        <w:rPr>
          <w:vertAlign w:val="superscript"/>
        </w:rPr>
        <w:t>2</w:t>
      </w:r>
      <w:r w:rsidR="002C55BD">
        <w:t xml:space="preserve">) </w:t>
      </w:r>
      <w:r w:rsidR="00500622">
        <w:t xml:space="preserve">the flows </w:t>
      </w:r>
      <w:r w:rsidR="00B25CAA" w:rsidRPr="00A40CD0">
        <w:t>were more than five times the annual median flow</w:t>
      </w:r>
      <w:r w:rsidR="006A6FFD">
        <w:t xml:space="preserve"> </w:t>
      </w:r>
      <w:r w:rsidR="00B25CAA" w:rsidRPr="00A40CD0">
        <w:t>(</w:t>
      </w:r>
      <w:r>
        <w:fldChar w:fldCharType="begin"/>
      </w:r>
      <w:r w:rsidR="00D90A4A">
        <w:instrText xml:space="preserve"> REF _Ref257740941 \h </w:instrText>
      </w:r>
      <w:r>
        <w:fldChar w:fldCharType="separate"/>
      </w:r>
      <w:r w:rsidR="00B11F3B" w:rsidRPr="00A40CD0">
        <w:t xml:space="preserve">Figure </w:t>
      </w:r>
      <w:r w:rsidR="00B11F3B">
        <w:rPr>
          <w:noProof/>
        </w:rPr>
        <w:t>17</w:t>
      </w:r>
      <w:r>
        <w:fldChar w:fldCharType="end"/>
      </w:r>
      <w:r w:rsidR="00B25CAA" w:rsidRPr="00A40CD0">
        <w:t xml:space="preserve">). </w:t>
      </w:r>
      <w:r w:rsidR="00500622">
        <w:t xml:space="preserve"> In 2010/11 t</w:t>
      </w:r>
      <w:r w:rsidR="00B25CAA" w:rsidRPr="00A40CD0">
        <w:t>he Burdekin region was also affected by TC Yasi strong winds, large rainfalls and associated flooding</w:t>
      </w:r>
      <w:r w:rsidR="00500622">
        <w:t>.</w:t>
      </w:r>
    </w:p>
    <w:p w:rsidR="00B25CAA" w:rsidRPr="00A40CD0" w:rsidRDefault="00B25CAA" w:rsidP="002E0BD6">
      <w:pPr>
        <w:pStyle w:val="BodyText"/>
      </w:pPr>
    </w:p>
    <w:p w:rsidR="00B25CAA" w:rsidRPr="00A40CD0" w:rsidRDefault="004A2575" w:rsidP="002E0BD6">
      <w:pPr>
        <w:pStyle w:val="BodyText"/>
      </w:pPr>
      <w:r w:rsidRPr="004A2575">
        <w:rPr>
          <w:noProof/>
          <w:lang w:eastAsia="en-AU"/>
        </w:rPr>
        <w:drawing>
          <wp:inline distT="0" distB="0" distL="0" distR="0">
            <wp:extent cx="5759450" cy="3756112"/>
            <wp:effectExtent l="0" t="0" r="6350" b="3175"/>
            <wp:docPr id="532" name="Picture 84" descr="Freshwater discharge and estimated freshwater extent for the Burdekin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00" cstate="email">
                      <a:extLst>
                        <a:ext uri="{28A0092B-C50C-407E-A947-70E740481C1C}">
                          <a14:useLocalDpi xmlns:a14="http://schemas.microsoft.com/office/drawing/2010/main"/>
                        </a:ext>
                      </a:extLst>
                    </a:blip>
                    <a:srcRect/>
                    <a:stretch>
                      <a:fillRect/>
                    </a:stretch>
                  </pic:blipFill>
                  <pic:spPr bwMode="auto">
                    <a:xfrm>
                      <a:off x="0" y="0"/>
                      <a:ext cx="5759450" cy="3756112"/>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283" w:name="_Ref304874046"/>
      <w:bookmarkStart w:id="284" w:name="_Toc228588329"/>
      <w:bookmarkStart w:id="285" w:name="_Toc399265035"/>
      <w:r w:rsidRPr="00A40CD0">
        <w:t xml:space="preserve">Figure </w:t>
      </w:r>
      <w:r w:rsidR="00EA2F38">
        <w:fldChar w:fldCharType="begin"/>
      </w:r>
      <w:r w:rsidR="00933C8B">
        <w:instrText xml:space="preserve"> SEQ Figure \* ARABIC </w:instrText>
      </w:r>
      <w:r w:rsidR="00EA2F38">
        <w:fldChar w:fldCharType="separate"/>
      </w:r>
      <w:r w:rsidR="00B11F3B">
        <w:rPr>
          <w:noProof/>
        </w:rPr>
        <w:t>49</w:t>
      </w:r>
      <w:r w:rsidR="00EA2F38">
        <w:fldChar w:fldCharType="end"/>
      </w:r>
      <w:bookmarkEnd w:id="283"/>
      <w:r w:rsidRPr="00A40CD0">
        <w:t>. Freshwater discharge and estimated freshwater extent for the Burdekin region based on the CDOM maximum for the wet seasons.</w:t>
      </w:r>
      <w:bookmarkEnd w:id="284"/>
      <w:bookmarkEnd w:id="285"/>
    </w:p>
    <w:p w:rsidR="00B25CAA" w:rsidRPr="00A40CD0" w:rsidRDefault="00B25CAA" w:rsidP="002E0BD6">
      <w:pPr>
        <w:pStyle w:val="BodyText"/>
      </w:pPr>
    </w:p>
    <w:p w:rsidR="009202A6" w:rsidRPr="007E294B" w:rsidRDefault="00B25CAA" w:rsidP="007E294B">
      <w:pPr>
        <w:pStyle w:val="Heading3"/>
      </w:pPr>
      <w:bookmarkStart w:id="286" w:name="_Toc228588194"/>
      <w:bookmarkStart w:id="287" w:name="_Toc399264901"/>
      <w:r w:rsidRPr="007E294B">
        <w:lastRenderedPageBreak/>
        <w:t>The wet and dry season median maps for chlorophyll-a and Total Suspended Solids.</w:t>
      </w:r>
      <w:bookmarkEnd w:id="286"/>
      <w:bookmarkEnd w:id="287"/>
    </w:p>
    <w:p w:rsidR="00B25CAA" w:rsidRPr="00A40CD0" w:rsidRDefault="00B25CAA" w:rsidP="002E0BD6">
      <w:pPr>
        <w:pStyle w:val="BodyText"/>
      </w:pPr>
      <w:r w:rsidRPr="00A40CD0">
        <w:t>The wet and dry season CHL median maps of (</w:t>
      </w:r>
      <w:r w:rsidR="00EA2F38">
        <w:fldChar w:fldCharType="begin"/>
      </w:r>
      <w:r w:rsidR="00D90A4A">
        <w:instrText xml:space="preserve"> REF _Ref272127285 \h </w:instrText>
      </w:r>
      <w:r w:rsidR="00EA2F38">
        <w:fldChar w:fldCharType="separate"/>
      </w:r>
      <w:r w:rsidR="00B11F3B" w:rsidRPr="00A40CD0">
        <w:t xml:space="preserve">Figure </w:t>
      </w:r>
      <w:r w:rsidR="00B11F3B">
        <w:rPr>
          <w:noProof/>
        </w:rPr>
        <w:t>52</w:t>
      </w:r>
      <w:r w:rsidR="00EA2F38">
        <w:fldChar w:fldCharType="end"/>
      </w:r>
      <w:r w:rsidRPr="00A40CD0">
        <w:t xml:space="preserve">) for the Burdekin region show high CHL concentrations near the coast and in the estuary to lower concentrations towards the East. Median CHL values up to 0.5 </w:t>
      </w:r>
      <w:r w:rsidRPr="00A40CD0">
        <w:rPr>
          <w:rFonts w:ascii="SymbolProp BT" w:hAnsi="SymbolProp BT"/>
        </w:rPr>
        <w:t></w:t>
      </w:r>
      <w:r w:rsidRPr="00A40CD0">
        <w:t>gL</w:t>
      </w:r>
      <w:r w:rsidRPr="00A40CD0">
        <w:rPr>
          <w:vertAlign w:val="superscript"/>
        </w:rPr>
        <w:t>-1</w:t>
      </w:r>
      <w:r w:rsidRPr="00A40CD0">
        <w:t xml:space="preserve"> extended beyond the coastal to inshore boundary for both seasons. The wet seas</w:t>
      </w:r>
      <w:r w:rsidR="00A40CD0">
        <w:t xml:space="preserve">on values were higher than 1.0 </w:t>
      </w:r>
      <w:r w:rsidRPr="00A40CD0">
        <w:rPr>
          <w:rFonts w:ascii="SymbolProp BT" w:hAnsi="SymbolProp BT"/>
        </w:rPr>
        <w:t></w:t>
      </w:r>
      <w:r w:rsidRPr="00A40CD0">
        <w:t>gL</w:t>
      </w:r>
      <w:r w:rsidRPr="00A40CD0">
        <w:rPr>
          <w:vertAlign w:val="superscript"/>
        </w:rPr>
        <w:t>-1</w:t>
      </w:r>
      <w:r w:rsidRPr="00A40CD0">
        <w:t xml:space="preserve"> for a coastal band ~10 km wide from Cape Upstart to Halifax </w:t>
      </w:r>
      <w:r w:rsidR="00A40CD0" w:rsidRPr="00A40CD0">
        <w:t>Bay. The</w:t>
      </w:r>
      <w:r w:rsidRPr="00A40CD0">
        <w:t xml:space="preserve"> median values in the Offshore region in the reef matrix ranged from ~0.15-0.25 </w:t>
      </w:r>
      <w:r w:rsidRPr="00A40CD0">
        <w:rPr>
          <w:rFonts w:ascii="SymbolProp BT" w:hAnsi="SymbolProp BT"/>
        </w:rPr>
        <w:t></w:t>
      </w:r>
      <w:r w:rsidRPr="00A40CD0">
        <w:t>gL</w:t>
      </w:r>
      <w:r w:rsidRPr="00A40CD0">
        <w:rPr>
          <w:vertAlign w:val="superscript"/>
        </w:rPr>
        <w:t>-1</w:t>
      </w:r>
      <w:r w:rsidRPr="00A40CD0">
        <w:t xml:space="preserve">. </w:t>
      </w:r>
    </w:p>
    <w:p w:rsidR="00B25CAA" w:rsidRPr="00A40CD0" w:rsidRDefault="00B25CAA" w:rsidP="002E0BD6">
      <w:pPr>
        <w:pStyle w:val="BodyText"/>
      </w:pPr>
      <w:r w:rsidRPr="00A40CD0">
        <w:t>The wet and dry season median maps of non-algal particulate matter (as a measure of Total Suspended Solids) show a similar pattern, with  values higher than 1.5 mgL</w:t>
      </w:r>
      <w:r w:rsidRPr="00A40CD0">
        <w:rPr>
          <w:vertAlign w:val="superscript"/>
        </w:rPr>
        <w:t>-1</w:t>
      </w:r>
      <w:r w:rsidRPr="00A40CD0">
        <w:t xml:space="preserve"> in all the open Coastal area in the wet season (</w:t>
      </w:r>
      <w:r w:rsidR="00EA2F38">
        <w:fldChar w:fldCharType="begin"/>
      </w:r>
      <w:r w:rsidR="00D90A4A">
        <w:instrText xml:space="preserve"> REF _Ref214352788 \h </w:instrText>
      </w:r>
      <w:r w:rsidR="00EA2F38">
        <w:fldChar w:fldCharType="separate"/>
      </w:r>
      <w:r w:rsidR="00B11F3B" w:rsidRPr="00A40CD0">
        <w:t xml:space="preserve">Figure </w:t>
      </w:r>
      <w:r w:rsidR="00B11F3B">
        <w:rPr>
          <w:noProof/>
        </w:rPr>
        <w:t>53</w:t>
      </w:r>
      <w:r w:rsidR="00EA2F38">
        <w:fldChar w:fldCharType="end"/>
      </w:r>
      <w:r w:rsidRPr="00A40CD0">
        <w:t xml:space="preserve">). The maps in </w:t>
      </w:r>
      <w:r w:rsidR="00EA2F38">
        <w:fldChar w:fldCharType="begin"/>
      </w:r>
      <w:r w:rsidR="00D90A4A">
        <w:instrText xml:space="preserve"> REF _Ref247624378 \h </w:instrText>
      </w:r>
      <w:r w:rsidR="00EA2F38">
        <w:fldChar w:fldCharType="separate"/>
      </w:r>
      <w:r w:rsidR="00B11F3B" w:rsidRPr="00A40CD0">
        <w:t xml:space="preserve">Figure </w:t>
      </w:r>
      <w:r w:rsidR="00B11F3B">
        <w:rPr>
          <w:noProof/>
        </w:rPr>
        <w:t>54</w:t>
      </w:r>
      <w:r w:rsidR="00EA2F38">
        <w:fldChar w:fldCharType="end"/>
      </w:r>
      <w:r w:rsidRPr="00A40CD0">
        <w:t xml:space="preserve"> depict the number of image observations available for calculating the median values for each season. This amount varies from 30 to 40 observations for the wet season and about 90 for the dry season for each pixel location.</w:t>
      </w:r>
    </w:p>
    <w:p w:rsidR="009202A6" w:rsidRPr="007E294B" w:rsidRDefault="00F60C84" w:rsidP="007E294B">
      <w:pPr>
        <w:pStyle w:val="Heading3"/>
      </w:pPr>
      <w:bookmarkStart w:id="288" w:name="_Toc228588195"/>
      <w:bookmarkStart w:id="289" w:name="_Toc399264902"/>
      <w:r w:rsidRPr="007E294B">
        <w:t>Assessment of the marine water quality index and the exceedance of water quality guidelines</w:t>
      </w:r>
      <w:bookmarkEnd w:id="288"/>
      <w:bookmarkEnd w:id="289"/>
    </w:p>
    <w:p w:rsidR="00F60C84" w:rsidRDefault="00F60C84" w:rsidP="002E0BD6">
      <w:pPr>
        <w:pStyle w:val="BodyText"/>
      </w:pPr>
      <w:r w:rsidRPr="00A40CD0">
        <w:t>The marine water quality for this reporting year for the Burdekin region was scor</w:t>
      </w:r>
      <w:r w:rsidR="00C57998">
        <w:t>ed as “moderate”, reflecting a “poor</w:t>
      </w:r>
      <w:r w:rsidRPr="00A40CD0">
        <w:t>” score for P2R_CHL and “</w:t>
      </w:r>
      <w:r w:rsidR="00C57998">
        <w:t>good</w:t>
      </w:r>
      <w:r w:rsidRPr="00A40CD0">
        <w:t>” for P2R_TSS (</w:t>
      </w:r>
      <w:r w:rsidR="00EA2F38">
        <w:fldChar w:fldCharType="begin"/>
      </w:r>
      <w:r w:rsidR="00D90A4A">
        <w:instrText xml:space="preserve"> REF _Ref321323233 \h </w:instrText>
      </w:r>
      <w:r w:rsidR="00EA2F38">
        <w:fldChar w:fldCharType="separate"/>
      </w:r>
      <w:r w:rsidR="00B11F3B" w:rsidRPr="00A40CD0">
        <w:t xml:space="preserve">Figure </w:t>
      </w:r>
      <w:r w:rsidR="00B11F3B">
        <w:rPr>
          <w:noProof/>
        </w:rPr>
        <w:t>50</w:t>
      </w:r>
      <w:r w:rsidR="00EA2F38">
        <w:fldChar w:fldCharType="end"/>
      </w:r>
      <w:r w:rsidRPr="00A40CD0">
        <w:t xml:space="preserve">). The marine water </w:t>
      </w:r>
      <w:r w:rsidR="00C57998">
        <w:t>quality index has been consistently “</w:t>
      </w:r>
      <w:r w:rsidRPr="00A40CD0">
        <w:t>moderate</w:t>
      </w:r>
      <w:r w:rsidR="00C57998">
        <w:t>”</w:t>
      </w:r>
      <w:r w:rsidRPr="00A40CD0">
        <w:t xml:space="preserve"> </w:t>
      </w:r>
      <w:r w:rsidR="00C57998">
        <w:t>from 2002/03 to date</w:t>
      </w:r>
      <w:r w:rsidRPr="00A40CD0">
        <w:t xml:space="preserve">. </w:t>
      </w:r>
      <w:r w:rsidR="00F52891" w:rsidRPr="00A40CD0">
        <w:t>The</w:t>
      </w:r>
      <w:r w:rsidRPr="00A40CD0">
        <w:t xml:space="preserve"> component scores </w:t>
      </w:r>
      <w:r w:rsidR="00F52891" w:rsidRPr="00A40CD0">
        <w:t>show opposite behaviours, with P2R_CHL showin</w:t>
      </w:r>
      <w:r w:rsidR="005D7849">
        <w:t>g a decline f</w:t>
      </w:r>
      <w:r w:rsidR="00F52891" w:rsidRPr="00A40CD0">
        <w:t>r</w:t>
      </w:r>
      <w:r w:rsidR="005D7849">
        <w:t>o</w:t>
      </w:r>
      <w:r w:rsidR="00F52891" w:rsidRPr="00A40CD0">
        <w:t xml:space="preserve">m “moderate” in 2003/04 – 2006/07 to </w:t>
      </w:r>
      <w:r w:rsidRPr="00A40CD0">
        <w:t xml:space="preserve">“poor” </w:t>
      </w:r>
      <w:r w:rsidR="00F52891" w:rsidRPr="00A40CD0">
        <w:t>in 2007/08 t</w:t>
      </w:r>
      <w:r w:rsidR="00C57998">
        <w:t xml:space="preserve">o-date, while P2R_TSS showing a consistent </w:t>
      </w:r>
      <w:r w:rsidR="00F52891" w:rsidRPr="00A40CD0">
        <w:t xml:space="preserve">scores </w:t>
      </w:r>
      <w:r w:rsidR="00C57998">
        <w:t xml:space="preserve">of </w:t>
      </w:r>
      <w:r w:rsidR="00C57998" w:rsidRPr="00A40CD0">
        <w:t xml:space="preserve"> </w:t>
      </w:r>
      <w:r w:rsidR="009C6556" w:rsidRPr="00A40CD0">
        <w:t>“</w:t>
      </w:r>
      <w:r w:rsidR="00F52891" w:rsidRPr="00A40CD0">
        <w:t>good</w:t>
      </w:r>
      <w:r w:rsidR="009C6556" w:rsidRPr="00A40CD0">
        <w:t>”</w:t>
      </w:r>
      <w:r w:rsidR="00F52891" w:rsidRPr="00A40CD0">
        <w:t xml:space="preserve"> for </w:t>
      </w:r>
      <w:r w:rsidR="00C57998">
        <w:t xml:space="preserve">all </w:t>
      </w:r>
      <w:r w:rsidR="00F52891" w:rsidRPr="00A40CD0">
        <w:t>reporting years. The P2R_CHL scores</w:t>
      </w:r>
      <w:r w:rsidRPr="00A40CD0">
        <w:t xml:space="preserve"> </w:t>
      </w:r>
      <w:r w:rsidR="00F52891" w:rsidRPr="00A40CD0">
        <w:t xml:space="preserve">seem to respond to </w:t>
      </w:r>
      <w:r w:rsidRPr="00A40CD0">
        <w:t>the high</w:t>
      </w:r>
      <w:r w:rsidR="00F52891" w:rsidRPr="00A40CD0">
        <w:t>er</w:t>
      </w:r>
      <w:r w:rsidRPr="00A40CD0">
        <w:t xml:space="preserve"> freshwater discharges from the </w:t>
      </w:r>
      <w:r w:rsidR="00F52891" w:rsidRPr="00A40CD0">
        <w:t>Bur</w:t>
      </w:r>
      <w:r w:rsidRPr="00A40CD0">
        <w:t>d</w:t>
      </w:r>
      <w:r w:rsidR="00F52891" w:rsidRPr="00A40CD0">
        <w:t>e</w:t>
      </w:r>
      <w:r w:rsidRPr="00A40CD0">
        <w:t xml:space="preserve">kin River </w:t>
      </w:r>
      <w:r w:rsidR="00C57998">
        <w:t>in the last five</w:t>
      </w:r>
      <w:r w:rsidR="00F52891" w:rsidRPr="00A40CD0">
        <w:t xml:space="preserve"> years </w:t>
      </w:r>
      <w:r w:rsidRPr="00A40CD0">
        <w:t>and the associated estimated freshwater plume extents (</w:t>
      </w:r>
      <w:r w:rsidR="00EA2F38">
        <w:fldChar w:fldCharType="begin"/>
      </w:r>
      <w:r w:rsidR="00D90A4A">
        <w:instrText xml:space="preserve"> REF _Ref304874046 \h </w:instrText>
      </w:r>
      <w:r w:rsidR="00EA2F38">
        <w:fldChar w:fldCharType="separate"/>
      </w:r>
      <w:r w:rsidR="00B11F3B" w:rsidRPr="00A40CD0">
        <w:t xml:space="preserve">Figure </w:t>
      </w:r>
      <w:r w:rsidR="00B11F3B">
        <w:rPr>
          <w:noProof/>
        </w:rPr>
        <w:t>49</w:t>
      </w:r>
      <w:r w:rsidR="00EA2F38">
        <w:fldChar w:fldCharType="end"/>
      </w:r>
      <w:r w:rsidRPr="00A40CD0">
        <w:t>).</w:t>
      </w:r>
    </w:p>
    <w:p w:rsidR="007E7CDF" w:rsidRPr="00A40CD0" w:rsidRDefault="007E7CDF" w:rsidP="002E0BD6">
      <w:pPr>
        <w:pStyle w:val="BodyText"/>
      </w:pPr>
      <w:r>
        <w:t xml:space="preserve">The Enclosed Coastal </w:t>
      </w:r>
      <w:r w:rsidRPr="00A40CD0">
        <w:t>marine water body</w:t>
      </w:r>
      <w:r>
        <w:t xml:space="preserve"> accounts for ~15% of the inshore waters used for P2R reporting and for most of the area in</w:t>
      </w:r>
      <w:r w:rsidR="00712AF1">
        <w:t xml:space="preserve"> Cleveland Bay, Bowling Green Bay and in front of the mouth of the Burdekin River</w:t>
      </w:r>
      <w:r>
        <w:t xml:space="preserve"> (</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w:t>
      </w:r>
      <w:r w:rsidR="00712AF1">
        <w:t xml:space="preserve"> </w:t>
      </w:r>
      <w:r w:rsidR="00EA2F38">
        <w:fldChar w:fldCharType="begin"/>
      </w:r>
      <w:r>
        <w:instrText xml:space="preserve"> REF _Ref247428722 \h </w:instrText>
      </w:r>
      <w:r w:rsidR="00EA2F38">
        <w:fldChar w:fldCharType="separate"/>
      </w:r>
      <w:r w:rsidR="00B11F3B" w:rsidRPr="00A40CD0">
        <w:t xml:space="preserve">Figure </w:t>
      </w:r>
      <w:r w:rsidR="00B11F3B">
        <w:rPr>
          <w:noProof/>
        </w:rPr>
        <w:t>2</w:t>
      </w:r>
      <w:r w:rsidR="00EA2F38">
        <w:fldChar w:fldCharType="end"/>
      </w:r>
      <w:r>
        <w:t>).</w:t>
      </w:r>
    </w:p>
    <w:p w:rsidR="00F52891" w:rsidRPr="00A40CD0" w:rsidRDefault="00F52891" w:rsidP="002E0BD6">
      <w:pPr>
        <w:pStyle w:val="BodyText"/>
      </w:pPr>
      <w:r w:rsidRPr="00A40CD0">
        <w:t>The annual mean CHL values exceeded the guideline value (</w:t>
      </w:r>
      <w:r w:rsidR="000459C5">
        <w:t xml:space="preserve">2.0 and </w:t>
      </w:r>
      <w:r w:rsidRPr="00A40CD0">
        <w:t xml:space="preserve">0.45 </w:t>
      </w:r>
      <w:r w:rsidRPr="00A40CD0">
        <w:rPr>
          <w:rFonts w:ascii="SymbolProp BT" w:hAnsi="SymbolProp BT"/>
        </w:rPr>
        <w:t></w:t>
      </w:r>
      <w:r w:rsidRPr="00A40CD0">
        <w:t xml:space="preserve">g/L) </w:t>
      </w:r>
      <w:r w:rsidR="00756005">
        <w:t>in 69</w:t>
      </w:r>
      <w:r w:rsidR="000459C5">
        <w:t>% of the Enclosed Coastal waters</w:t>
      </w:r>
      <w:r w:rsidR="00756005">
        <w:t>, in 6</w:t>
      </w:r>
      <w:r w:rsidR="000459C5">
        <w:t>6%</w:t>
      </w:r>
      <w:r w:rsidR="00756005">
        <w:t xml:space="preserve"> of the Open Coastal area and 12</w:t>
      </w:r>
      <w:r w:rsidRPr="00A40CD0">
        <w:t>% of the Midshelf areas (</w:t>
      </w:r>
      <w:r w:rsidR="00EA2F38">
        <w:fldChar w:fldCharType="begin"/>
      </w:r>
      <w:r w:rsidR="00D90A4A">
        <w:instrText xml:space="preserve"> REF _Ref263850004 \h </w:instrText>
      </w:r>
      <w:r w:rsidR="00EA2F38">
        <w:fldChar w:fldCharType="separate"/>
      </w:r>
      <w:r w:rsidR="00B11F3B" w:rsidRPr="00A40CD0">
        <w:t xml:space="preserve">Figure </w:t>
      </w:r>
      <w:r w:rsidR="00B11F3B">
        <w:rPr>
          <w:noProof/>
        </w:rPr>
        <w:t>55</w:t>
      </w:r>
      <w:r w:rsidR="00EA2F38">
        <w:fldChar w:fldCharType="end"/>
      </w:r>
      <w:r w:rsidRPr="00A40CD0">
        <w:t>,</w:t>
      </w:r>
      <w:r w:rsidR="00EA2F38">
        <w:fldChar w:fldCharType="begin"/>
      </w:r>
      <w:r w:rsidR="00D90A4A">
        <w:instrText xml:space="preserve"> REF _Ref263850036 \h </w:instrText>
      </w:r>
      <w:r w:rsidR="00EA2F38">
        <w:fldChar w:fldCharType="separate"/>
      </w:r>
      <w:r w:rsidR="00B11F3B" w:rsidRPr="00A40CD0">
        <w:t xml:space="preserve">Table </w:t>
      </w:r>
      <w:r w:rsidR="00B11F3B">
        <w:rPr>
          <w:noProof/>
        </w:rPr>
        <w:t>22</w:t>
      </w:r>
      <w:r w:rsidR="00EA2F38">
        <w:fldChar w:fldCharType="end"/>
      </w:r>
      <w:r w:rsidRPr="00A40CD0">
        <w:t>). The mean CHL concentrations excee</w:t>
      </w:r>
      <w:r w:rsidR="00756005">
        <w:t>ded the Guidelines values for 97</w:t>
      </w:r>
      <w:r w:rsidRPr="00A40CD0">
        <w:t xml:space="preserve">% of the </w:t>
      </w:r>
      <w:r w:rsidR="00756005">
        <w:t>E</w:t>
      </w:r>
      <w:r w:rsidR="00990751">
        <w:t>n</w:t>
      </w:r>
      <w:r w:rsidR="00756005">
        <w:t xml:space="preserve">closed Coastal and 76% of </w:t>
      </w:r>
      <w:r w:rsidRPr="00A40CD0">
        <w:t xml:space="preserve">Open Coastal Area in the dry season and </w:t>
      </w:r>
      <w:r w:rsidR="00756005">
        <w:t>41 and 59</w:t>
      </w:r>
      <w:r w:rsidRPr="00A40CD0">
        <w:t xml:space="preserve"> % in the wet season. In the dry season CHL also exceeded the Guidelines for </w:t>
      </w:r>
      <w:r w:rsidR="00756005">
        <w:t>15</w:t>
      </w:r>
      <w:r w:rsidRPr="00A40CD0">
        <w:t xml:space="preserve"> % of the Midshelf and </w:t>
      </w:r>
      <w:r w:rsidR="00756005">
        <w:t>1</w:t>
      </w:r>
      <w:r w:rsidRPr="00A40CD0">
        <w:t>% of the Offshore areas (</w:t>
      </w:r>
      <w:r w:rsidR="00EA2F38">
        <w:fldChar w:fldCharType="begin"/>
      </w:r>
      <w:r w:rsidR="00D90A4A">
        <w:instrText xml:space="preserve"> REF _Ref247857424 \h </w:instrText>
      </w:r>
      <w:r w:rsidR="00EA2F38">
        <w:fldChar w:fldCharType="separate"/>
      </w:r>
      <w:r w:rsidR="00B11F3B" w:rsidRPr="00A40CD0">
        <w:t xml:space="preserve">Figure </w:t>
      </w:r>
      <w:r w:rsidR="00B11F3B">
        <w:rPr>
          <w:noProof/>
        </w:rPr>
        <w:t>56</w:t>
      </w:r>
      <w:r w:rsidR="00EA2F38">
        <w:fldChar w:fldCharType="end"/>
      </w:r>
      <w:r w:rsidRPr="00A40CD0">
        <w:t>,</w:t>
      </w:r>
      <w:bookmarkStart w:id="290" w:name="OLE_LINK10"/>
      <w:bookmarkStart w:id="291" w:name="OLE_LINK11"/>
      <w:r w:rsidRPr="00A40CD0">
        <w:t xml:space="preserve"> </w:t>
      </w:r>
      <w:r w:rsidR="00EA2F38">
        <w:fldChar w:fldCharType="begin"/>
      </w:r>
      <w:r w:rsidR="00D90A4A">
        <w:instrText xml:space="preserve"> REF _Ref276385375 \h </w:instrText>
      </w:r>
      <w:r w:rsidR="00EA2F38">
        <w:fldChar w:fldCharType="separate"/>
      </w:r>
      <w:r w:rsidR="00B11F3B" w:rsidRPr="00A40CD0">
        <w:t xml:space="preserve">Table </w:t>
      </w:r>
      <w:r w:rsidR="00B11F3B">
        <w:rPr>
          <w:noProof/>
        </w:rPr>
        <w:t>23</w:t>
      </w:r>
      <w:r w:rsidR="00EA2F38">
        <w:fldChar w:fldCharType="end"/>
      </w:r>
      <w:r w:rsidRPr="00A40CD0">
        <w:t>)</w:t>
      </w:r>
      <w:bookmarkEnd w:id="290"/>
      <w:bookmarkEnd w:id="291"/>
      <w:r w:rsidRPr="00A40CD0">
        <w:t xml:space="preserve">. Similar exceedance values were retrieved if the median was used for the assessment (i.e. when EF was higher than 0.50 in </w:t>
      </w:r>
      <w:r w:rsidR="00EA2F38">
        <w:fldChar w:fldCharType="begin"/>
      </w:r>
      <w:r w:rsidR="00D90A4A">
        <w:instrText xml:space="preserve"> REF _Ref247857425 \h </w:instrText>
      </w:r>
      <w:r w:rsidR="00EA2F38">
        <w:fldChar w:fldCharType="separate"/>
      </w:r>
      <w:r w:rsidR="00B11F3B" w:rsidRPr="00A40CD0">
        <w:t xml:space="preserve">Figure </w:t>
      </w:r>
      <w:r w:rsidR="00B11F3B">
        <w:rPr>
          <w:noProof/>
        </w:rPr>
        <w:t>57</w:t>
      </w:r>
      <w:r w:rsidR="00EA2F38">
        <w:fldChar w:fldCharType="end"/>
      </w:r>
      <w:r w:rsidRPr="00A40CD0">
        <w:t xml:space="preserve">, </w:t>
      </w:r>
      <w:r w:rsidR="00EA2F38">
        <w:fldChar w:fldCharType="begin"/>
      </w:r>
      <w:r w:rsidR="00D90A4A">
        <w:instrText xml:space="preserve"> REF _Ref276385375 \h </w:instrText>
      </w:r>
      <w:r w:rsidR="00EA2F38">
        <w:fldChar w:fldCharType="separate"/>
      </w:r>
      <w:r w:rsidR="00B11F3B" w:rsidRPr="00A40CD0">
        <w:t xml:space="preserve">Table </w:t>
      </w:r>
      <w:r w:rsidR="00B11F3B">
        <w:rPr>
          <w:noProof/>
        </w:rPr>
        <w:t>23</w:t>
      </w:r>
      <w:r w:rsidR="00EA2F38">
        <w:fldChar w:fldCharType="end"/>
      </w:r>
      <w:r w:rsidRPr="00A40CD0">
        <w:t>).</w:t>
      </w:r>
    </w:p>
    <w:p w:rsidR="00F52891" w:rsidRPr="00A40CD0" w:rsidRDefault="00990751" w:rsidP="002E0BD6">
      <w:pPr>
        <w:pStyle w:val="BodyText"/>
      </w:pPr>
      <w:r w:rsidRPr="00A40CD0">
        <w:t>The annua</w:t>
      </w:r>
      <w:r>
        <w:t>l EG for TSS were recorded in 17</w:t>
      </w:r>
      <w:r w:rsidRPr="00A40CD0">
        <w:t xml:space="preserve">% of the </w:t>
      </w:r>
      <w:r>
        <w:t xml:space="preserve">Enclosed Coastal and 38 % of the </w:t>
      </w:r>
      <w:r w:rsidRPr="00A40CD0">
        <w:t>Open Coastal areas (</w:t>
      </w:r>
      <w:r w:rsidR="00EA2F38">
        <w:fldChar w:fldCharType="begin"/>
      </w:r>
      <w:r>
        <w:instrText xml:space="preserve"> REF _Ref263850004 \h </w:instrText>
      </w:r>
      <w:r w:rsidR="00EA2F38">
        <w:fldChar w:fldCharType="separate"/>
      </w:r>
      <w:r w:rsidR="00B11F3B" w:rsidRPr="00A40CD0">
        <w:t xml:space="preserve">Figure </w:t>
      </w:r>
      <w:r w:rsidR="00B11F3B">
        <w:rPr>
          <w:noProof/>
        </w:rPr>
        <w:t>55</w:t>
      </w:r>
      <w:r w:rsidR="00EA2F38">
        <w:fldChar w:fldCharType="end"/>
      </w:r>
      <w:r w:rsidRPr="00A40CD0">
        <w:t xml:space="preserve">, </w:t>
      </w:r>
      <w:r w:rsidR="00EA2F38">
        <w:fldChar w:fldCharType="begin"/>
      </w:r>
      <w:r>
        <w:instrText xml:space="preserve"> REF _Ref263850036 \h </w:instrText>
      </w:r>
      <w:r w:rsidR="00EA2F38">
        <w:fldChar w:fldCharType="separate"/>
      </w:r>
      <w:r w:rsidR="00B11F3B" w:rsidRPr="00A40CD0">
        <w:t xml:space="preserve">Table </w:t>
      </w:r>
      <w:r w:rsidR="00B11F3B">
        <w:rPr>
          <w:noProof/>
        </w:rPr>
        <w:t>22</w:t>
      </w:r>
      <w:r w:rsidR="00EA2F38">
        <w:fldChar w:fldCharType="end"/>
      </w:r>
      <w:r w:rsidRPr="00A40CD0">
        <w:t xml:space="preserve">). </w:t>
      </w:r>
      <w:r w:rsidR="00F52891" w:rsidRPr="00A40CD0">
        <w:t>The mean values of TSS exceeded the Guid</w:t>
      </w:r>
      <w:r>
        <w:t>elines values for 43</w:t>
      </w:r>
      <w:r w:rsidR="00F52891" w:rsidRPr="00A40CD0">
        <w:t xml:space="preserve">% of the </w:t>
      </w:r>
      <w:r>
        <w:t>Inshore waters</w:t>
      </w:r>
      <w:r w:rsidR="00F52891" w:rsidRPr="00A40CD0">
        <w:t xml:space="preserve"> in the dry season and </w:t>
      </w:r>
      <w:r>
        <w:t>17</w:t>
      </w:r>
      <w:r w:rsidR="00F52891" w:rsidRPr="00A40CD0">
        <w:t>% in the wet season (</w:t>
      </w:r>
      <w:r w:rsidR="00EA2F38">
        <w:fldChar w:fldCharType="begin"/>
      </w:r>
      <w:r w:rsidR="00D90A4A">
        <w:instrText xml:space="preserve"> REF _Ref247857427 \h </w:instrText>
      </w:r>
      <w:r w:rsidR="00EA2F38">
        <w:fldChar w:fldCharType="separate"/>
      </w:r>
      <w:r w:rsidR="00B11F3B" w:rsidRPr="00A40CD0">
        <w:t xml:space="preserve">Figure </w:t>
      </w:r>
      <w:r w:rsidR="00B11F3B">
        <w:rPr>
          <w:noProof/>
        </w:rPr>
        <w:t>58</w:t>
      </w:r>
      <w:r w:rsidR="00EA2F38">
        <w:fldChar w:fldCharType="end"/>
      </w:r>
      <w:r w:rsidR="00F52891" w:rsidRPr="00A40CD0">
        <w:t xml:space="preserve"> and </w:t>
      </w:r>
      <w:r w:rsidR="00EA2F38">
        <w:fldChar w:fldCharType="begin"/>
      </w:r>
      <w:r w:rsidR="00D90A4A">
        <w:instrText xml:space="preserve"> REF _Ref258851753 \h </w:instrText>
      </w:r>
      <w:r w:rsidR="00EA2F38">
        <w:fldChar w:fldCharType="separate"/>
      </w:r>
      <w:r w:rsidR="00B11F3B" w:rsidRPr="00A40CD0">
        <w:t xml:space="preserve">Table </w:t>
      </w:r>
      <w:r w:rsidR="00B11F3B">
        <w:rPr>
          <w:noProof/>
        </w:rPr>
        <w:t>24</w:t>
      </w:r>
      <w:r w:rsidR="00EA2F38">
        <w:fldChar w:fldCharType="end"/>
      </w:r>
      <w:r w:rsidR="00F52891" w:rsidRPr="00A40CD0">
        <w:t>). No exceedance was recorded for the</w:t>
      </w:r>
      <w:r>
        <w:t xml:space="preserve"> Midshelf and Offshore areas for the whole year and </w:t>
      </w:r>
      <w:r w:rsidR="00F52891" w:rsidRPr="00A40CD0">
        <w:t xml:space="preserve">both seasons if the </w:t>
      </w:r>
      <w:r>
        <w:t xml:space="preserve">mean or the </w:t>
      </w:r>
      <w:r w:rsidR="00F52891" w:rsidRPr="00A40CD0">
        <w:t>medi</w:t>
      </w:r>
      <w:r>
        <w:t>an was used for the assessment. T</w:t>
      </w:r>
      <w:r w:rsidR="00F52891" w:rsidRPr="00A40CD0">
        <w:t>he exceedance of the median values for the Open Coastal A</w:t>
      </w:r>
      <w:r>
        <w:t>rea were significantly lower (35% for the dry season and 7</w:t>
      </w:r>
      <w:r w:rsidR="00F52891" w:rsidRPr="00A40CD0">
        <w:t xml:space="preserve">% for the wet season, </w:t>
      </w:r>
      <w:r w:rsidR="00EA2F38">
        <w:fldChar w:fldCharType="begin"/>
      </w:r>
      <w:r w:rsidR="00D90A4A">
        <w:instrText xml:space="preserve"> REF _Ref247857430 \h </w:instrText>
      </w:r>
      <w:r w:rsidR="00EA2F38">
        <w:fldChar w:fldCharType="separate"/>
      </w:r>
      <w:r w:rsidR="00B11F3B" w:rsidRPr="00A40CD0">
        <w:t xml:space="preserve">Figure </w:t>
      </w:r>
      <w:r w:rsidR="00B11F3B">
        <w:rPr>
          <w:noProof/>
        </w:rPr>
        <w:t>59</w:t>
      </w:r>
      <w:r w:rsidR="00EA2F38">
        <w:fldChar w:fldCharType="end"/>
      </w:r>
      <w:r w:rsidR="00F52891" w:rsidRPr="00A40CD0">
        <w:t xml:space="preserve">, and </w:t>
      </w:r>
      <w:r w:rsidR="00EA2F38">
        <w:fldChar w:fldCharType="begin"/>
      </w:r>
      <w:r w:rsidR="00D90A4A">
        <w:instrText xml:space="preserve"> REF _Ref258851753 \h </w:instrText>
      </w:r>
      <w:r w:rsidR="00EA2F38">
        <w:fldChar w:fldCharType="separate"/>
      </w:r>
      <w:r w:rsidR="00B11F3B" w:rsidRPr="00A40CD0">
        <w:t xml:space="preserve">Table </w:t>
      </w:r>
      <w:r w:rsidR="00B11F3B">
        <w:rPr>
          <w:noProof/>
        </w:rPr>
        <w:t>24</w:t>
      </w:r>
      <w:r w:rsidR="00EA2F38">
        <w:fldChar w:fldCharType="end"/>
      </w:r>
      <w:r w:rsidR="00F52891" w:rsidRPr="00A40CD0">
        <w:t>).</w:t>
      </w:r>
    </w:p>
    <w:p w:rsidR="00F52891" w:rsidRPr="00A40CD0" w:rsidRDefault="00F52891" w:rsidP="002E0BD6">
      <w:pPr>
        <w:pStyle w:val="BodyText"/>
      </w:pPr>
    </w:p>
    <w:p w:rsidR="00C908C7" w:rsidRPr="00A40CD0" w:rsidRDefault="00C25E68" w:rsidP="002E0BD6">
      <w:pPr>
        <w:pStyle w:val="BodyText"/>
      </w:pPr>
      <w:r w:rsidRPr="00C25E68">
        <w:rPr>
          <w:noProof/>
          <w:lang w:eastAsia="en-AU"/>
        </w:rPr>
        <w:lastRenderedPageBreak/>
        <w:drawing>
          <wp:inline distT="0" distB="0" distL="0" distR="0">
            <wp:extent cx="5759450" cy="3765915"/>
            <wp:effectExtent l="0" t="0" r="6350" b="0"/>
            <wp:docPr id="32" name="Picture 72" descr="Paddock to Reef marine water quality index (P2R_WQI) and component scores (P2R_CHL and P2R_TSS) for the Burdekin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01"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C908C7" w:rsidRPr="00A40CD0" w:rsidRDefault="00C908C7" w:rsidP="00C908C7">
      <w:pPr>
        <w:pStyle w:val="Caption"/>
      </w:pPr>
      <w:bookmarkStart w:id="292" w:name="_Ref321323233"/>
      <w:bookmarkStart w:id="293" w:name="_Toc228588330"/>
      <w:bookmarkStart w:id="294" w:name="_Toc399265036"/>
      <w:r w:rsidRPr="00A40CD0">
        <w:t xml:space="preserve">Figure </w:t>
      </w:r>
      <w:r w:rsidR="00EA2F38">
        <w:fldChar w:fldCharType="begin"/>
      </w:r>
      <w:r w:rsidR="00933C8B">
        <w:instrText xml:space="preserve"> SEQ Figure \* ARABIC </w:instrText>
      </w:r>
      <w:r w:rsidR="00EA2F38">
        <w:fldChar w:fldCharType="separate"/>
      </w:r>
      <w:r w:rsidR="00B11F3B">
        <w:rPr>
          <w:noProof/>
        </w:rPr>
        <w:t>50</w:t>
      </w:r>
      <w:r w:rsidR="00EA2F38">
        <w:fldChar w:fldCharType="end"/>
      </w:r>
      <w:bookmarkEnd w:id="292"/>
      <w:r w:rsidRPr="00A40CD0">
        <w:t>. Paddock to Reef marine water quality index (P2R_WQI) and component scores (P2R_CHL and P2R_TSS) for the Burdekin region based on the assessment of exceedance to the Guidelines.</w:t>
      </w:r>
      <w:bookmarkEnd w:id="293"/>
      <w:bookmarkEnd w:id="294"/>
    </w:p>
    <w:p w:rsidR="00C908C7" w:rsidRPr="00A40CD0" w:rsidRDefault="00C908C7" w:rsidP="002E0BD6">
      <w:pPr>
        <w:pStyle w:val="BodyText"/>
      </w:pPr>
    </w:p>
    <w:p w:rsidR="00B25CAA" w:rsidRPr="00A40CD0" w:rsidRDefault="00EA2F38" w:rsidP="002E0BD6">
      <w:pPr>
        <w:pStyle w:val="BodyText"/>
      </w:pPr>
      <w:r>
        <w:fldChar w:fldCharType="begin"/>
      </w:r>
      <w:r w:rsidR="00D90A4A">
        <w:instrText xml:space="preserve"> REF _Ref258851754 \h </w:instrText>
      </w:r>
      <w:r>
        <w:fldChar w:fldCharType="separate"/>
      </w:r>
      <w:r w:rsidR="00B11F3B" w:rsidRPr="00A40CD0">
        <w:t xml:space="preserve">Table </w:t>
      </w:r>
      <w:r w:rsidR="00B11F3B">
        <w:rPr>
          <w:noProof/>
        </w:rPr>
        <w:t>25</w:t>
      </w:r>
      <w:r>
        <w:fldChar w:fldCharType="end"/>
      </w:r>
      <w:r w:rsidR="00B25CAA" w:rsidRPr="00A40CD0">
        <w:t xml:space="preserve"> and </w:t>
      </w:r>
      <w:r>
        <w:fldChar w:fldCharType="begin"/>
      </w:r>
      <w:r w:rsidR="00D90A4A">
        <w:instrText xml:space="preserve"> REF _Ref247951868 \h </w:instrText>
      </w:r>
      <w:r>
        <w:fldChar w:fldCharType="separate"/>
      </w:r>
      <w:r w:rsidR="00B11F3B" w:rsidRPr="00A40CD0">
        <w:t xml:space="preserve">Table </w:t>
      </w:r>
      <w:r w:rsidR="00B11F3B">
        <w:rPr>
          <w:noProof/>
        </w:rPr>
        <w:t>26</w:t>
      </w:r>
      <w:r>
        <w:fldChar w:fldCharType="end"/>
      </w:r>
      <w:r w:rsidR="00B25CAA" w:rsidRPr="00A40CD0">
        <w:t xml:space="preserve"> report the Summary of exceedance for both variables, providing mean and median concentrations computed on all the valid observations for each water body for each season, along with the EF for that period. These metrics are based on a high number of observations (ranging from 85 thousands valid observations for Open Coastal in the wet season to over 750 thousands for the Offshore are in the dry season). According to these metrics both the mean and the median CHL values of exceeded the Guidelines values for the Open Coastal area in both seasons and for the Midshelf in the dry season only. For TSS only the mean values in the Open Coastal area in the dry season exceeded the trigger value. The mean and median values for the TSS concentration differed substantially (for all water bodies and seasons). The mean values were ~ 2-3 times higher than medians.</w:t>
      </w:r>
    </w:p>
    <w:p w:rsidR="00B25CAA" w:rsidRPr="00A40CD0" w:rsidRDefault="00B25CAA">
      <w:pPr>
        <w:rPr>
          <w:rFonts w:ascii="Times New Roman" w:hAnsi="Times New Roman"/>
          <w:szCs w:val="20"/>
          <w:lang w:eastAsia="en-US"/>
        </w:rPr>
      </w:pPr>
      <w:r w:rsidRPr="00A40CD0">
        <w:br w:type="page"/>
      </w:r>
    </w:p>
    <w:p w:rsidR="00B25CAA" w:rsidRPr="00A40CD0" w:rsidRDefault="00B25CAA" w:rsidP="004F4DDE">
      <w:pPr>
        <w:pStyle w:val="Caption"/>
      </w:pPr>
      <w:bookmarkStart w:id="295" w:name="_Ref263850036"/>
      <w:bookmarkStart w:id="296" w:name="_Toc228588247"/>
      <w:bookmarkStart w:id="297" w:name="_Toc399264951"/>
      <w:r w:rsidRPr="00A40CD0">
        <w:lastRenderedPageBreak/>
        <w:t xml:space="preserve">Table </w:t>
      </w:r>
      <w:fldSimple w:instr=" SEQ Table \* ARABIC ">
        <w:r w:rsidR="00B11F3B">
          <w:rPr>
            <w:noProof/>
          </w:rPr>
          <w:t>22</w:t>
        </w:r>
      </w:fldSimple>
      <w:bookmarkEnd w:id="295"/>
      <w:r w:rsidRPr="00A40CD0">
        <w:t xml:space="preserve"> Summary of the annual exceedance maps for Chlorophyll-a and Total Suspended Solids for the Burdekin region. "Surface Area" is the surface area in square kilometres for each of the three reporting water bodies </w:t>
      </w:r>
      <w:r w:rsidR="00193A93">
        <w:t xml:space="preserve">for this region: (EC: Enclosed Coastal, OC: Open Coastal, IS: Inshore, MS: Midshelf, OS: Offshore), </w:t>
      </w:r>
      <w:r w:rsidRPr="00A40CD0">
        <w:t>,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296"/>
      <w:bookmarkEnd w:id="297"/>
    </w:p>
    <w:tbl>
      <w:tblPr>
        <w:tblStyle w:val="TableGrid"/>
        <w:tblW w:w="0" w:type="auto"/>
        <w:tblLook w:val="04A0" w:firstRow="1" w:lastRow="0" w:firstColumn="1" w:lastColumn="0" w:noHBand="0" w:noVBand="1"/>
      </w:tblPr>
      <w:tblGrid>
        <w:gridCol w:w="535"/>
        <w:gridCol w:w="1118"/>
        <w:gridCol w:w="1396"/>
        <w:gridCol w:w="1373"/>
        <w:gridCol w:w="1153"/>
        <w:gridCol w:w="1279"/>
        <w:gridCol w:w="1153"/>
        <w:gridCol w:w="1279"/>
      </w:tblGrid>
      <w:tr w:rsidR="00F20F80" w:rsidRPr="00F20F80" w:rsidTr="00F20F80">
        <w:tc>
          <w:tcPr>
            <w:tcW w:w="0" w:type="auto"/>
          </w:tcPr>
          <w:p w:rsidR="00F20F80" w:rsidRPr="00F20F80" w:rsidRDefault="00F20F80" w:rsidP="003E6AED">
            <w:pPr>
              <w:pStyle w:val="PlainText"/>
              <w:rPr>
                <w:rFonts w:ascii="Times New Roman" w:hAnsi="Times New Roman"/>
                <w:sz w:val="22"/>
                <w:szCs w:val="22"/>
              </w:rPr>
            </w:pPr>
            <w:bookmarkStart w:id="298" w:name="_Ref247951864"/>
            <w:bookmarkStart w:id="299" w:name="_Ref258851752"/>
            <w:bookmarkStart w:id="300" w:name="_Ref247951829"/>
          </w:p>
        </w:tc>
        <w:tc>
          <w:tcPr>
            <w:tcW w:w="0" w:type="auto"/>
          </w:tcPr>
          <w:p w:rsidR="00F20F80" w:rsidRPr="00F20F80" w:rsidRDefault="00F20F80" w:rsidP="003E6AED">
            <w:pPr>
              <w:pStyle w:val="PlainText"/>
              <w:rPr>
                <w:rFonts w:ascii="Times New Roman" w:hAnsi="Times New Roman"/>
                <w:sz w:val="22"/>
                <w:szCs w:val="22"/>
              </w:rPr>
            </w:pPr>
          </w:p>
        </w:tc>
        <w:tc>
          <w:tcPr>
            <w:tcW w:w="0" w:type="auto"/>
            <w:gridSpan w:val="2"/>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01-May-2011_30-Apr-2012</w:t>
            </w:r>
          </w:p>
        </w:tc>
        <w:tc>
          <w:tcPr>
            <w:tcW w:w="0" w:type="auto"/>
            <w:gridSpan w:val="2"/>
          </w:tcPr>
          <w:p w:rsidR="00F20F80" w:rsidRPr="00F20F80" w:rsidRDefault="00F20F80" w:rsidP="002E0BD6">
            <w:pPr>
              <w:pStyle w:val="BodyText"/>
            </w:pPr>
            <w:r w:rsidRPr="00F20F80">
              <w:t>Chlorophyll-a</w:t>
            </w:r>
          </w:p>
        </w:tc>
        <w:tc>
          <w:tcPr>
            <w:tcW w:w="0" w:type="auto"/>
            <w:gridSpan w:val="2"/>
            <w:vAlign w:val="bottom"/>
          </w:tcPr>
          <w:p w:rsidR="00F20F80" w:rsidRPr="00F20F80" w:rsidRDefault="00F20F80" w:rsidP="002E0BD6">
            <w:pPr>
              <w:pStyle w:val="BodyText"/>
            </w:pPr>
            <w:r w:rsidRPr="00F20F80">
              <w:t>Total Suspended Solids</w:t>
            </w:r>
          </w:p>
        </w:tc>
      </w:tr>
      <w:tr w:rsidR="00F20F80" w:rsidRPr="00F20F80" w:rsidTr="00F20F80">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 xml:space="preserve"> </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Surface Area</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Number valid obs.</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Number total obs.</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Mean &gt; trigger</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Median &gt; trigger</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Mean &gt; trigger</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Median &gt; trigger</w:t>
            </w:r>
          </w:p>
        </w:tc>
      </w:tr>
      <w:tr w:rsidR="00F20F80" w:rsidRPr="00F20F80" w:rsidTr="00F20F80">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EC</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608</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36599</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214016</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69%</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46%</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17%</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10%</w:t>
            </w:r>
          </w:p>
        </w:tc>
      </w:tr>
      <w:tr w:rsidR="00F20F80" w:rsidRPr="00F20F80" w:rsidTr="00F20F80">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OC</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3363</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283155</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1183776</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66%</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59%</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38%</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17%</w:t>
            </w:r>
          </w:p>
        </w:tc>
      </w:tr>
      <w:tr w:rsidR="00F20F80" w:rsidRPr="00F20F80" w:rsidTr="00F20F80">
        <w:tc>
          <w:tcPr>
            <w:tcW w:w="0" w:type="auto"/>
          </w:tcPr>
          <w:p w:rsidR="00F20F80" w:rsidRPr="00F20F80" w:rsidRDefault="00193A93" w:rsidP="003E6AED">
            <w:pPr>
              <w:pStyle w:val="PlainText"/>
              <w:rPr>
                <w:rFonts w:ascii="Times New Roman" w:hAnsi="Times New Roman"/>
                <w:sz w:val="22"/>
                <w:szCs w:val="22"/>
              </w:rPr>
            </w:pPr>
            <w:r>
              <w:rPr>
                <w:rFonts w:ascii="Times New Roman" w:hAnsi="Times New Roman"/>
                <w:sz w:val="22"/>
                <w:szCs w:val="22"/>
              </w:rPr>
              <w:t>IS</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3971</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319754</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1397792</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66%</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57%</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35%</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16%</w:t>
            </w:r>
          </w:p>
        </w:tc>
      </w:tr>
      <w:tr w:rsidR="00F20F80" w:rsidRPr="00F20F80" w:rsidTr="00F20F80">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MS</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11065</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775959</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3894880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12%</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9%</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w:t>
            </w:r>
          </w:p>
        </w:tc>
      </w:tr>
      <w:tr w:rsidR="00F20F80" w:rsidRPr="00F20F80" w:rsidTr="00F20F80">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OS</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26560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1345345</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9349120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w:t>
            </w:r>
          </w:p>
        </w:tc>
        <w:tc>
          <w:tcPr>
            <w:tcW w:w="0" w:type="auto"/>
          </w:tcPr>
          <w:p w:rsidR="00F20F80" w:rsidRPr="00F20F80" w:rsidRDefault="00F20F80" w:rsidP="003E6AED">
            <w:pPr>
              <w:pStyle w:val="PlainText"/>
              <w:rPr>
                <w:rFonts w:ascii="Times New Roman" w:hAnsi="Times New Roman"/>
                <w:sz w:val="22"/>
                <w:szCs w:val="22"/>
              </w:rPr>
            </w:pPr>
            <w:r w:rsidRPr="00F20F80">
              <w:rPr>
                <w:rFonts w:ascii="Times New Roman" w:hAnsi="Times New Roman"/>
                <w:sz w:val="22"/>
                <w:szCs w:val="22"/>
              </w:rPr>
              <w:t>0%</w:t>
            </w:r>
          </w:p>
        </w:tc>
      </w:tr>
    </w:tbl>
    <w:p w:rsidR="00B25CAA" w:rsidRPr="00A40CD0" w:rsidRDefault="00B25CAA" w:rsidP="002E0BD6">
      <w:pPr>
        <w:pStyle w:val="BodyText"/>
      </w:pPr>
    </w:p>
    <w:p w:rsidR="00B25CAA" w:rsidRPr="00A40CD0" w:rsidRDefault="00B25CAA" w:rsidP="004F4DDE">
      <w:pPr>
        <w:pStyle w:val="Caption"/>
      </w:pPr>
      <w:bookmarkStart w:id="301" w:name="_Ref276385375"/>
      <w:bookmarkStart w:id="302" w:name="_Toc228588248"/>
      <w:bookmarkStart w:id="303" w:name="_Toc399264952"/>
      <w:r w:rsidRPr="00A40CD0">
        <w:t xml:space="preserve">Table </w:t>
      </w:r>
      <w:fldSimple w:instr=" SEQ Table \* ARABIC ">
        <w:r w:rsidR="00B11F3B">
          <w:rPr>
            <w:noProof/>
          </w:rPr>
          <w:t>23</w:t>
        </w:r>
      </w:fldSimple>
      <w:bookmarkEnd w:id="298"/>
      <w:bookmarkEnd w:id="299"/>
      <w:bookmarkEnd w:id="301"/>
      <w:r w:rsidRPr="00A40CD0">
        <w:t xml:space="preserve"> Summary of the exceedance maps for Chlorophyll-a for the dry and wet season for the Burdekin region (</w:t>
      </w:r>
      <w:r w:rsidR="008A285B">
        <w:fldChar w:fldCharType="begin"/>
      </w:r>
      <w:r w:rsidR="008A285B">
        <w:instrText xml:space="preserve"> REF _Ref247857424 \h  \* MERGEFORMAT </w:instrText>
      </w:r>
      <w:r w:rsidR="008A285B">
        <w:fldChar w:fldCharType="separate"/>
      </w:r>
      <w:r w:rsidR="00B11F3B" w:rsidRPr="00A40CD0">
        <w:t xml:space="preserve">Figure </w:t>
      </w:r>
      <w:r w:rsidR="00B11F3B">
        <w:t>56</w:t>
      </w:r>
      <w:r w:rsidR="008A285B">
        <w:fldChar w:fldCharType="end"/>
      </w:r>
      <w:r w:rsidRPr="00A40CD0">
        <w:t xml:space="preserve">, </w:t>
      </w:r>
      <w:r w:rsidR="008A285B">
        <w:fldChar w:fldCharType="begin"/>
      </w:r>
      <w:r w:rsidR="008A285B">
        <w:instrText xml:space="preserve"> REF _Ref247857425 \h  \* MERGEFORMAT </w:instrText>
      </w:r>
      <w:r w:rsidR="008A285B">
        <w:fldChar w:fldCharType="separate"/>
      </w:r>
      <w:r w:rsidR="00B11F3B" w:rsidRPr="00A40CD0">
        <w:t xml:space="preserve">Figure </w:t>
      </w:r>
      <w:r w:rsidR="00B11F3B">
        <w:t>57</w:t>
      </w:r>
      <w:r w:rsidR="008A285B">
        <w:fldChar w:fldCharType="end"/>
      </w:r>
      <w:r w:rsidRPr="00A40CD0">
        <w:t xml:space="preserve">). </w:t>
      </w:r>
      <w:bookmarkEnd w:id="300"/>
      <w:r w:rsidRPr="00A40CD0">
        <w:t xml:space="preserve"> Column and row labels are described in the legend of </w:t>
      </w:r>
      <w:r w:rsidR="00EA2F38" w:rsidRPr="00A40CD0">
        <w:fldChar w:fldCharType="begin"/>
      </w:r>
      <w:r w:rsidRPr="00A40CD0">
        <w:instrText xml:space="preserve"> REF _Ref263850036 \h </w:instrText>
      </w:r>
      <w:r w:rsidR="00EA2F38" w:rsidRPr="00A40CD0">
        <w:fldChar w:fldCharType="separate"/>
      </w:r>
      <w:r w:rsidR="00B11F3B" w:rsidRPr="00A40CD0">
        <w:t xml:space="preserve">Table </w:t>
      </w:r>
      <w:r w:rsidR="00B11F3B">
        <w:rPr>
          <w:noProof/>
        </w:rPr>
        <w:t>22</w:t>
      </w:r>
      <w:r w:rsidR="00EA2F38" w:rsidRPr="00A40CD0">
        <w:fldChar w:fldCharType="end"/>
      </w:r>
      <w:r w:rsidRPr="00A40CD0">
        <w:t>.</w:t>
      </w:r>
      <w:bookmarkEnd w:id="302"/>
      <w:bookmarkEnd w:id="303"/>
    </w:p>
    <w:tbl>
      <w:tblPr>
        <w:tblStyle w:val="TableGrid"/>
        <w:tblW w:w="0" w:type="auto"/>
        <w:tblLook w:val="04A0" w:firstRow="1" w:lastRow="0" w:firstColumn="1" w:lastColumn="0" w:noHBand="0" w:noVBand="1"/>
      </w:tblPr>
      <w:tblGrid>
        <w:gridCol w:w="843"/>
        <w:gridCol w:w="905"/>
        <w:gridCol w:w="1034"/>
        <w:gridCol w:w="986"/>
        <w:gridCol w:w="843"/>
        <w:gridCol w:w="905"/>
        <w:gridCol w:w="1034"/>
        <w:gridCol w:w="986"/>
        <w:gridCol w:w="844"/>
        <w:gridCol w:w="906"/>
      </w:tblGrid>
      <w:tr w:rsidR="00F20F80" w:rsidRPr="009E5DAC" w:rsidTr="003E6AED">
        <w:tc>
          <w:tcPr>
            <w:tcW w:w="924" w:type="dxa"/>
          </w:tcPr>
          <w:p w:rsidR="00F20F80" w:rsidRPr="009E5DAC" w:rsidRDefault="00F20F80" w:rsidP="003E6AED">
            <w:pPr>
              <w:pStyle w:val="PlainText"/>
              <w:rPr>
                <w:rFonts w:ascii="Times New Roman" w:hAnsi="Times New Roman"/>
                <w:sz w:val="22"/>
                <w:szCs w:val="22"/>
              </w:rPr>
            </w:pPr>
            <w:bookmarkStart w:id="304" w:name="_Ref247951865"/>
            <w:bookmarkStart w:id="305" w:name="_Ref247951831"/>
          </w:p>
        </w:tc>
        <w:tc>
          <w:tcPr>
            <w:tcW w:w="909" w:type="dxa"/>
          </w:tcPr>
          <w:p w:rsidR="00F20F80" w:rsidRPr="009E5DAC" w:rsidRDefault="00F20F80" w:rsidP="003E6AED">
            <w:pPr>
              <w:pStyle w:val="PlainText"/>
              <w:rPr>
                <w:rFonts w:ascii="Times New Roman" w:hAnsi="Times New Roman"/>
                <w:sz w:val="22"/>
                <w:szCs w:val="22"/>
              </w:rPr>
            </w:pPr>
          </w:p>
        </w:tc>
        <w:tc>
          <w:tcPr>
            <w:tcW w:w="3809"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811"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3E6AED">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24698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102752</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97%</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11901</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111264</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31%</w:t>
            </w:r>
          </w:p>
        </w:tc>
      </w:tr>
      <w:tr w:rsidR="00F20F80" w:rsidRPr="009E5DAC" w:rsidTr="003E6AED">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3363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189107</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568347</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76%</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94048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615429</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62%</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w:t>
            </w:r>
          </w:p>
        </w:tc>
      </w:tr>
      <w:tr w:rsidR="00F20F80" w:rsidRPr="009E5DAC" w:rsidTr="003E6AED">
        <w:tc>
          <w:tcPr>
            <w:tcW w:w="924"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3971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213805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671099</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79%</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105949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726693</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46%</w:t>
            </w:r>
          </w:p>
        </w:tc>
      </w:tr>
      <w:tr w:rsidR="00F20F80" w:rsidRPr="009E5DAC" w:rsidTr="003E6AED">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11065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520485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1869985</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255474</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2024895</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r>
      <w:tr w:rsidR="00F20F80" w:rsidRPr="009E5DAC" w:rsidTr="003E6AED">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26560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865080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4488640</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480265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4860480</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AE3814" w:rsidRDefault="00AE3814" w:rsidP="002E0BD6">
      <w:pPr>
        <w:pStyle w:val="BodyText"/>
      </w:pPr>
    </w:p>
    <w:p w:rsidR="00AE3814" w:rsidRDefault="00AE3814">
      <w:pPr>
        <w:rPr>
          <w:rFonts w:ascii="Times New Roman" w:hAnsi="Times New Roman"/>
          <w:szCs w:val="22"/>
          <w:lang w:eastAsia="en-US"/>
        </w:rPr>
      </w:pPr>
      <w:r>
        <w:br w:type="page"/>
      </w:r>
    </w:p>
    <w:p w:rsidR="00B25CAA" w:rsidRPr="00A40CD0" w:rsidRDefault="00B25CAA" w:rsidP="002E0BD6">
      <w:pPr>
        <w:pStyle w:val="BodyText"/>
      </w:pPr>
    </w:p>
    <w:p w:rsidR="00B25CAA" w:rsidRPr="00A40CD0" w:rsidRDefault="00B25CAA" w:rsidP="004F4DDE">
      <w:pPr>
        <w:pStyle w:val="Caption"/>
      </w:pPr>
      <w:bookmarkStart w:id="306" w:name="_Ref258851753"/>
      <w:bookmarkStart w:id="307" w:name="_Toc228588249"/>
      <w:bookmarkStart w:id="308" w:name="_Toc399264953"/>
      <w:r w:rsidRPr="00A40CD0">
        <w:t xml:space="preserve">Table </w:t>
      </w:r>
      <w:fldSimple w:instr=" SEQ Table \* ARABIC ">
        <w:r w:rsidR="00B11F3B">
          <w:rPr>
            <w:noProof/>
          </w:rPr>
          <w:t>24</w:t>
        </w:r>
      </w:fldSimple>
      <w:bookmarkEnd w:id="304"/>
      <w:bookmarkEnd w:id="306"/>
      <w:r w:rsidRPr="00A40CD0">
        <w:t xml:space="preserve"> Summary of the exceedance maps for Non-algal particulate matter (NAP as a measure of TSS) for the dry and wet season for the Burdekin region (</w:t>
      </w:r>
      <w:bookmarkEnd w:id="305"/>
      <w:r w:rsidR="00EA2F38" w:rsidRPr="00A40CD0">
        <w:fldChar w:fldCharType="begin"/>
      </w:r>
      <w:r w:rsidRPr="00A40CD0">
        <w:instrText xml:space="preserve"> REF _Ref247857427 \h </w:instrText>
      </w:r>
      <w:r w:rsidR="00EA2F38" w:rsidRPr="00A40CD0">
        <w:fldChar w:fldCharType="separate"/>
      </w:r>
      <w:r w:rsidR="00B11F3B" w:rsidRPr="00A40CD0">
        <w:t xml:space="preserve">Figure </w:t>
      </w:r>
      <w:r w:rsidR="00B11F3B">
        <w:rPr>
          <w:noProof/>
        </w:rPr>
        <w:t>58</w:t>
      </w:r>
      <w:r w:rsidR="00EA2F38" w:rsidRPr="00A40CD0">
        <w:fldChar w:fldCharType="end"/>
      </w:r>
      <w:r w:rsidRPr="00A40CD0">
        <w:t xml:space="preserve">, </w:t>
      </w:r>
      <w:r w:rsidR="00EA2F38" w:rsidRPr="00A40CD0">
        <w:fldChar w:fldCharType="begin"/>
      </w:r>
      <w:r w:rsidRPr="00A40CD0">
        <w:instrText xml:space="preserve"> REF _Ref247857430 \h </w:instrText>
      </w:r>
      <w:r w:rsidR="00EA2F38" w:rsidRPr="00A40CD0">
        <w:fldChar w:fldCharType="separate"/>
      </w:r>
      <w:r w:rsidR="00B11F3B" w:rsidRPr="00A40CD0">
        <w:t xml:space="preserve">Figure </w:t>
      </w:r>
      <w:r w:rsidR="00B11F3B">
        <w:rPr>
          <w:noProof/>
        </w:rPr>
        <w:t>59</w:t>
      </w:r>
      <w:r w:rsidR="00EA2F38" w:rsidRPr="00A40CD0">
        <w:fldChar w:fldCharType="end"/>
      </w:r>
      <w:r w:rsidRPr="00A40CD0">
        <w:t xml:space="preserve">). Column and row labels are described in the legend of </w:t>
      </w:r>
      <w:r w:rsidR="00EA2F38" w:rsidRPr="00A40CD0">
        <w:fldChar w:fldCharType="begin"/>
      </w:r>
      <w:r w:rsidRPr="00A40CD0">
        <w:instrText xml:space="preserve"> REF _Ref263850036 \h </w:instrText>
      </w:r>
      <w:r w:rsidR="00EA2F38" w:rsidRPr="00A40CD0">
        <w:fldChar w:fldCharType="separate"/>
      </w:r>
      <w:r w:rsidR="00B11F3B" w:rsidRPr="00A40CD0">
        <w:t xml:space="preserve">Table </w:t>
      </w:r>
      <w:r w:rsidR="00B11F3B">
        <w:rPr>
          <w:noProof/>
        </w:rPr>
        <w:t>22</w:t>
      </w:r>
      <w:r w:rsidR="00EA2F38" w:rsidRPr="00A40CD0">
        <w:fldChar w:fldCharType="end"/>
      </w:r>
      <w:r w:rsidRPr="00A40CD0">
        <w:t>.</w:t>
      </w:r>
      <w:bookmarkEnd w:id="307"/>
      <w:bookmarkEnd w:id="308"/>
    </w:p>
    <w:tbl>
      <w:tblPr>
        <w:tblStyle w:val="TableGrid"/>
        <w:tblW w:w="9453" w:type="dxa"/>
        <w:tblLook w:val="04A0" w:firstRow="1" w:lastRow="0" w:firstColumn="1" w:lastColumn="0" w:noHBand="0" w:noVBand="1"/>
      </w:tblPr>
      <w:tblGrid>
        <w:gridCol w:w="924"/>
        <w:gridCol w:w="909"/>
        <w:gridCol w:w="1060"/>
        <w:gridCol w:w="986"/>
        <w:gridCol w:w="854"/>
        <w:gridCol w:w="909"/>
        <w:gridCol w:w="1060"/>
        <w:gridCol w:w="986"/>
        <w:gridCol w:w="855"/>
        <w:gridCol w:w="910"/>
      </w:tblGrid>
      <w:tr w:rsidR="00F20F80" w:rsidRPr="009E5DAC" w:rsidTr="00F20F80">
        <w:tc>
          <w:tcPr>
            <w:tcW w:w="924" w:type="dxa"/>
          </w:tcPr>
          <w:p w:rsidR="00F20F80" w:rsidRPr="009E5DAC" w:rsidRDefault="00F20F80" w:rsidP="003E6AED">
            <w:pPr>
              <w:pStyle w:val="PlainText"/>
              <w:rPr>
                <w:rFonts w:ascii="Times New Roman" w:hAnsi="Times New Roman"/>
                <w:sz w:val="22"/>
                <w:szCs w:val="22"/>
              </w:rPr>
            </w:pPr>
          </w:p>
        </w:tc>
        <w:tc>
          <w:tcPr>
            <w:tcW w:w="909" w:type="dxa"/>
          </w:tcPr>
          <w:p w:rsidR="00F20F80" w:rsidRPr="009E5DAC" w:rsidRDefault="00F20F80" w:rsidP="003E6AED">
            <w:pPr>
              <w:pStyle w:val="PlainText"/>
              <w:rPr>
                <w:rFonts w:ascii="Times New Roman" w:hAnsi="Times New Roman"/>
                <w:sz w:val="22"/>
                <w:szCs w:val="22"/>
              </w:rPr>
            </w:pPr>
          </w:p>
        </w:tc>
        <w:tc>
          <w:tcPr>
            <w:tcW w:w="3809"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811"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F20F80">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24698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102752</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11901</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111264</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r>
      <w:tr w:rsidR="00F20F80" w:rsidRPr="009E5DAC" w:rsidTr="00F20F80">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3363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189107</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568347</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94048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615429</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w:t>
            </w:r>
          </w:p>
        </w:tc>
      </w:tr>
      <w:tr w:rsidR="00F20F80" w:rsidRPr="009E5DAC" w:rsidTr="00F20F80">
        <w:tc>
          <w:tcPr>
            <w:tcW w:w="924"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3971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213805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671099</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43%</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105949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726693</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w:t>
            </w:r>
          </w:p>
        </w:tc>
      </w:tr>
      <w:tr w:rsidR="00F20F80" w:rsidRPr="009E5DAC" w:rsidTr="00F20F80">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11065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520485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1869985</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255474</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2024895</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r w:rsidR="00F20F80" w:rsidRPr="009E5DAC" w:rsidTr="00F20F80">
        <w:tc>
          <w:tcPr>
            <w:tcW w:w="92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26560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865080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4488640</w:t>
            </w:r>
          </w:p>
        </w:tc>
        <w:tc>
          <w:tcPr>
            <w:tcW w:w="854"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480265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4860480</w:t>
            </w:r>
          </w:p>
        </w:tc>
        <w:tc>
          <w:tcPr>
            <w:tcW w:w="85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1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7C03A5"/>
    <w:p w:rsidR="00B25CAA" w:rsidRPr="00A40CD0" w:rsidRDefault="00B25CAA" w:rsidP="007C03A5">
      <w:r w:rsidRPr="00A40CD0">
        <w:br w:type="page"/>
      </w:r>
      <w:bookmarkStart w:id="309" w:name="_Ref247951866"/>
      <w:bookmarkStart w:id="310" w:name="_Ref247951832"/>
    </w:p>
    <w:p w:rsidR="00B25CAA" w:rsidRPr="00A40CD0" w:rsidRDefault="00B25CAA" w:rsidP="002E0BD6">
      <w:pPr>
        <w:pStyle w:val="BodyText"/>
      </w:pPr>
      <w:bookmarkStart w:id="311" w:name="_Ref258851754"/>
      <w:bookmarkStart w:id="312" w:name="_Toc228588250"/>
      <w:bookmarkStart w:id="313" w:name="_Toc399264954"/>
      <w:r w:rsidRPr="00A40CD0">
        <w:lastRenderedPageBreak/>
        <w:t xml:space="preserve">Table </w:t>
      </w:r>
      <w:fldSimple w:instr=" SEQ Table \* ARABIC ">
        <w:r w:rsidR="00B11F3B">
          <w:rPr>
            <w:noProof/>
          </w:rPr>
          <w:t>25</w:t>
        </w:r>
      </w:fldSimple>
      <w:bookmarkEnd w:id="309"/>
      <w:bookmarkEnd w:id="311"/>
      <w:r w:rsidRPr="00A40CD0">
        <w:t xml:space="preserve">. Summary of Chlorophyll-a exceedance for the dry and wet season for the Burdekin region. </w:t>
      </w:r>
      <w:bookmarkEnd w:id="310"/>
      <w:r w:rsidRPr="00A40CD0">
        <w:t xml:space="preserve">“Number valid obs." is the number of pixels with valid observations (i.e. cloud-free and error-free pixels) for each of the three reporting water bodies </w:t>
      </w:r>
      <w:r w:rsidR="00193A93">
        <w:t xml:space="preserve">for this region: (EC: Enclosed Coastal, OC: Open Coastal, </w:t>
      </w:r>
      <w:r w:rsidR="00990751">
        <w:t>MS: Midshelf, OS: Offshore)</w:t>
      </w:r>
      <w:r w:rsidRPr="00A40CD0">
        <w:t xml:space="preserve">, "Number total obs." provides the total number of observations. Mean and median are presented in red and bold if they exceed the trigger value in the Guidelines. The seasonally adjusted Guideline values for Chlorophyll–a for the dry/wet season are </w:t>
      </w:r>
      <w:r w:rsidR="00AF0243">
        <w:t>1.4/2.8</w:t>
      </w:r>
      <w:r w:rsidR="00ED4010" w:rsidRPr="00A40CD0">
        <w:t xml:space="preserve"> µg L</w:t>
      </w:r>
      <w:r w:rsidR="00ED4010" w:rsidRPr="00A40CD0">
        <w:rPr>
          <w:vertAlign w:val="superscript"/>
        </w:rPr>
        <w:t>-1</w:t>
      </w:r>
      <w:r w:rsidR="00ED4010">
        <w:t xml:space="preserve"> for Enclosed</w:t>
      </w:r>
      <w:r w:rsidR="00ED4010" w:rsidRPr="00A40CD0">
        <w:t xml:space="preserve"> Coastal</w:t>
      </w:r>
      <w:r w:rsidR="00ED4010">
        <w:t>,</w:t>
      </w:r>
      <w:r w:rsidR="00ED4010" w:rsidRPr="00A40CD0">
        <w:t xml:space="preserve"> </w:t>
      </w:r>
      <w:r w:rsidRPr="00A40CD0">
        <w:t>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12"/>
      <w:bookmarkEnd w:id="313"/>
    </w:p>
    <w:tbl>
      <w:tblPr>
        <w:tblStyle w:val="TableGrid"/>
        <w:tblW w:w="0" w:type="auto"/>
        <w:tblLook w:val="04A0" w:firstRow="1" w:lastRow="0" w:firstColumn="1" w:lastColumn="0" w:noHBand="0" w:noVBand="1"/>
      </w:tblPr>
      <w:tblGrid>
        <w:gridCol w:w="913"/>
        <w:gridCol w:w="974"/>
        <w:gridCol w:w="986"/>
        <w:gridCol w:w="717"/>
        <w:gridCol w:w="889"/>
        <w:gridCol w:w="620"/>
        <w:gridCol w:w="975"/>
        <w:gridCol w:w="986"/>
        <w:gridCol w:w="717"/>
        <w:gridCol w:w="889"/>
        <w:gridCol w:w="620"/>
      </w:tblGrid>
      <w:tr w:rsidR="00EC0426" w:rsidRPr="00453395" w:rsidTr="00EC0426">
        <w:tc>
          <w:tcPr>
            <w:tcW w:w="913" w:type="dxa"/>
          </w:tcPr>
          <w:p w:rsidR="00EC0426" w:rsidRPr="00453395" w:rsidRDefault="00EC0426" w:rsidP="00EC0426">
            <w:pPr>
              <w:pStyle w:val="PlainText"/>
              <w:rPr>
                <w:rFonts w:ascii="Times New Roman" w:hAnsi="Times New Roman"/>
                <w:sz w:val="22"/>
                <w:szCs w:val="22"/>
              </w:rPr>
            </w:pPr>
          </w:p>
        </w:tc>
        <w:tc>
          <w:tcPr>
            <w:tcW w:w="4186"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187"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24698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102752</w:t>
            </w:r>
          </w:p>
        </w:tc>
        <w:tc>
          <w:tcPr>
            <w:tcW w:w="717"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2.64</w:t>
            </w:r>
          </w:p>
        </w:tc>
        <w:tc>
          <w:tcPr>
            <w:tcW w:w="889"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1.77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57%</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11901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111264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1.78</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30%</w:t>
            </w:r>
          </w:p>
        </w:tc>
      </w:tr>
      <w:tr w:rsidR="00EC0426" w:rsidRPr="00453395" w:rsidTr="00EC0426">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189107</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568347</w:t>
            </w:r>
          </w:p>
        </w:tc>
        <w:tc>
          <w:tcPr>
            <w:tcW w:w="717"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0.64</w:t>
            </w:r>
          </w:p>
        </w:tc>
        <w:tc>
          <w:tcPr>
            <w:tcW w:w="889"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0.49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73%</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94048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615429</w:t>
            </w:r>
          </w:p>
        </w:tc>
        <w:tc>
          <w:tcPr>
            <w:tcW w:w="717"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0.81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45%</w:t>
            </w:r>
          </w:p>
        </w:tc>
      </w:tr>
      <w:tr w:rsidR="00EC0426" w:rsidRPr="00453395" w:rsidTr="00EC0426">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520485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1869985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28%</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255474</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2024895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w:t>
            </w:r>
          </w:p>
        </w:tc>
      </w:tr>
      <w:tr w:rsidR="00EC0426" w:rsidRPr="00453395" w:rsidTr="00EC0426">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865080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4488640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480265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4860480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w:t>
            </w:r>
          </w:p>
        </w:tc>
      </w:tr>
    </w:tbl>
    <w:p w:rsidR="00B25CAA" w:rsidRPr="00A40CD0" w:rsidRDefault="00B25CAA" w:rsidP="002E0BD6">
      <w:pPr>
        <w:pStyle w:val="BodyText"/>
      </w:pPr>
    </w:p>
    <w:p w:rsidR="00EC0426" w:rsidRPr="00453395" w:rsidRDefault="00B25CAA" w:rsidP="002E0BD6">
      <w:pPr>
        <w:pStyle w:val="BodyText"/>
      </w:pPr>
      <w:bookmarkStart w:id="314" w:name="_Ref247951868"/>
      <w:bookmarkStart w:id="315" w:name="_Ref247951834"/>
      <w:bookmarkStart w:id="316" w:name="_Toc228588251"/>
      <w:bookmarkStart w:id="317" w:name="_Toc399264955"/>
      <w:r w:rsidRPr="00A40CD0">
        <w:t xml:space="preserve">Table </w:t>
      </w:r>
      <w:fldSimple w:instr=" SEQ Table \* ARABIC ">
        <w:r w:rsidR="00B11F3B">
          <w:rPr>
            <w:noProof/>
          </w:rPr>
          <w:t>26</w:t>
        </w:r>
      </w:fldSimple>
      <w:bookmarkEnd w:id="314"/>
      <w:r w:rsidRPr="00A40CD0">
        <w:t xml:space="preserve"> Summary of Non-algal particulate matter (NAP as a measure of TSS) exceedance for the dry and wet season for the Burdekin region. </w:t>
      </w:r>
      <w:bookmarkEnd w:id="315"/>
      <w:r w:rsidR="00340EB2">
        <w:t xml:space="preserve">Column and row </w:t>
      </w:r>
      <w:r w:rsidRPr="00A40CD0">
        <w:t xml:space="preserve">labels are described in the legend </w:t>
      </w:r>
      <w:r w:rsidR="00EA2F38">
        <w:fldChar w:fldCharType="begin"/>
      </w:r>
      <w:r w:rsidR="00D90A4A">
        <w:instrText xml:space="preserve"> REF _Ref258851754 \h </w:instrText>
      </w:r>
      <w:r w:rsidR="00EA2F38">
        <w:fldChar w:fldCharType="separate"/>
      </w:r>
      <w:r w:rsidR="00B11F3B" w:rsidRPr="00A40CD0">
        <w:t xml:space="preserve">Table </w:t>
      </w:r>
      <w:r w:rsidR="00B11F3B">
        <w:rPr>
          <w:noProof/>
        </w:rPr>
        <w:t>25</w:t>
      </w:r>
      <w:r w:rsidR="00EA2F38">
        <w:fldChar w:fldCharType="end"/>
      </w:r>
      <w:r w:rsidRPr="00A40CD0">
        <w:t>. Mean and median are presented in red and bold if they exceed the trigger value in the Guidelines. The seasonally adjusted Guideline values for TSS for the dry/wet season means are</w:t>
      </w:r>
      <w:r w:rsidR="003F7602">
        <w:t xml:space="preserve"> 12/18</w:t>
      </w:r>
      <w:r w:rsidR="003F7602" w:rsidRPr="00A40CD0">
        <w:t xml:space="preserve"> mg L</w:t>
      </w:r>
      <w:r w:rsidR="003F7602" w:rsidRPr="00A40CD0">
        <w:rPr>
          <w:vertAlign w:val="superscript"/>
        </w:rPr>
        <w:t>-1</w:t>
      </w:r>
      <w:r w:rsidR="003F7602" w:rsidRPr="00A40CD0">
        <w:t xml:space="preserve"> for </w:t>
      </w:r>
      <w:r w:rsidR="003F7602">
        <w:t>Enclose</w:t>
      </w:r>
      <w:r w:rsidR="00AE3814">
        <w:t>d</w:t>
      </w:r>
      <w:r w:rsidR="003F7602" w:rsidRPr="00A40CD0">
        <w:t xml:space="preserve"> Coastal</w:t>
      </w:r>
      <w:r w:rsidR="00EC419B">
        <w:t>,</w:t>
      </w:r>
      <w:r w:rsidRPr="00A40CD0">
        <w:t xml:space="preserv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16"/>
      <w:bookmarkEnd w:id="317"/>
    </w:p>
    <w:tbl>
      <w:tblPr>
        <w:tblStyle w:val="TableGrid"/>
        <w:tblW w:w="0" w:type="auto"/>
        <w:tblLook w:val="04A0" w:firstRow="1" w:lastRow="0" w:firstColumn="1" w:lastColumn="0" w:noHBand="0" w:noVBand="1"/>
      </w:tblPr>
      <w:tblGrid>
        <w:gridCol w:w="913"/>
        <w:gridCol w:w="974"/>
        <w:gridCol w:w="986"/>
        <w:gridCol w:w="717"/>
        <w:gridCol w:w="889"/>
        <w:gridCol w:w="620"/>
        <w:gridCol w:w="975"/>
        <w:gridCol w:w="986"/>
        <w:gridCol w:w="717"/>
        <w:gridCol w:w="889"/>
        <w:gridCol w:w="620"/>
      </w:tblGrid>
      <w:tr w:rsidR="00EC0426" w:rsidRPr="00453395" w:rsidTr="00135A64">
        <w:tc>
          <w:tcPr>
            <w:tcW w:w="913" w:type="dxa"/>
          </w:tcPr>
          <w:p w:rsidR="00EC0426" w:rsidRPr="00453395" w:rsidRDefault="00EC0426" w:rsidP="00EC0426">
            <w:pPr>
              <w:pStyle w:val="PlainText"/>
              <w:rPr>
                <w:rFonts w:ascii="Times New Roman" w:hAnsi="Times New Roman"/>
                <w:sz w:val="22"/>
                <w:szCs w:val="22"/>
              </w:rPr>
            </w:pPr>
          </w:p>
        </w:tc>
        <w:tc>
          <w:tcPr>
            <w:tcW w:w="4186"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187"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135A64">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135A64">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24698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102752</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10.37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7.77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36%</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11901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111264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8.74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6.02</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w:t>
            </w:r>
          </w:p>
        </w:tc>
      </w:tr>
      <w:tr w:rsidR="00EC0426" w:rsidRPr="00453395" w:rsidTr="00135A64">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189107</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568347</w:t>
            </w:r>
          </w:p>
        </w:tc>
        <w:tc>
          <w:tcPr>
            <w:tcW w:w="717" w:type="dxa"/>
          </w:tcPr>
          <w:p w:rsidR="00EC0426" w:rsidRPr="00AB4A50" w:rsidRDefault="00EC0426" w:rsidP="00EC0426">
            <w:pPr>
              <w:pStyle w:val="PlainText"/>
              <w:rPr>
                <w:rFonts w:ascii="Times New Roman" w:hAnsi="Times New Roman"/>
                <w:b/>
                <w:color w:val="FF0000"/>
                <w:sz w:val="22"/>
                <w:szCs w:val="22"/>
              </w:rPr>
            </w:pPr>
            <w:r w:rsidRPr="00AB4A50">
              <w:rPr>
                <w:rFonts w:ascii="Times New Roman" w:hAnsi="Times New Roman"/>
                <w:b/>
                <w:color w:val="FF0000"/>
                <w:sz w:val="22"/>
                <w:szCs w:val="22"/>
              </w:rPr>
              <w:t>2.35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34%</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94048</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615429</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1.75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w:t>
            </w:r>
          </w:p>
        </w:tc>
      </w:tr>
      <w:tr w:rsidR="00EC0426" w:rsidRPr="00453395" w:rsidTr="00135A64">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520485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1869985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0.46</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255474</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2024895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w:t>
            </w:r>
          </w:p>
        </w:tc>
      </w:tr>
      <w:tr w:rsidR="00EC0426" w:rsidRPr="00453395" w:rsidTr="00135A64">
        <w:tc>
          <w:tcPr>
            <w:tcW w:w="91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974"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865080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4488640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0.12</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w:t>
            </w:r>
          </w:p>
        </w:tc>
        <w:tc>
          <w:tcPr>
            <w:tcW w:w="975"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480265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4860480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0.13</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w:t>
            </w:r>
          </w:p>
        </w:tc>
      </w:tr>
    </w:tbl>
    <w:p w:rsidR="00B25CAA" w:rsidRPr="00A40CD0" w:rsidRDefault="00B25CAA" w:rsidP="002E0BD6">
      <w:pPr>
        <w:pStyle w:val="BodyText"/>
      </w:pPr>
    </w:p>
    <w:p w:rsidR="00B25CAA" w:rsidRPr="00A40CD0" w:rsidRDefault="00B25CAA" w:rsidP="002E0BD6">
      <w:pPr>
        <w:pStyle w:val="BodyText"/>
      </w:pPr>
      <w:r w:rsidRPr="00A40CD0">
        <w:br w:type="page"/>
      </w:r>
    </w:p>
    <w:p w:rsidR="00B25CAA" w:rsidRDefault="009C4E74" w:rsidP="00B22764">
      <w:pPr>
        <w:rPr>
          <w:lang w:eastAsia="en-US"/>
        </w:rPr>
      </w:pPr>
      <w:bookmarkStart w:id="318" w:name="_Ref214352765"/>
      <w:r>
        <w:rPr>
          <w:noProof/>
        </w:rPr>
        <w:lastRenderedPageBreak/>
        <w:drawing>
          <wp:inline distT="0" distB="0" distL="0" distR="0">
            <wp:extent cx="5759450" cy="3896360"/>
            <wp:effectExtent l="0" t="0" r="6350" b="0"/>
            <wp:docPr id="54" name="Picture 54" descr="Map of freshwater extent for the wet season for the Burdekin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DOM_MIM_Maximum_20111101_20120430.tif"/>
                    <pic:cNvPicPr/>
                  </pic:nvPicPr>
                  <pic:blipFill>
                    <a:blip r:embed="rId102"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9C4E74" w:rsidRPr="00A40CD0" w:rsidRDefault="009C4E74" w:rsidP="00B22764">
      <w:pPr>
        <w:rPr>
          <w:lang w:eastAsia="en-US"/>
        </w:rPr>
      </w:pPr>
      <w:r>
        <w:rPr>
          <w:noProof/>
        </w:rPr>
        <w:drawing>
          <wp:inline distT="0" distB="0" distL="0" distR="0">
            <wp:extent cx="5759450" cy="3896360"/>
            <wp:effectExtent l="0" t="0" r="6350" b="0"/>
            <wp:docPr id="55" name="Picture 55" descr="Map of freshwater extent for the wet season for the Burdekin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DOM_MIM_maxGTtrigger_20111101_20120430.tif"/>
                    <pic:cNvPicPr/>
                  </pic:nvPicPr>
                  <pic:blipFill>
                    <a:blip r:embed="rId103"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B22764">
      <w:pPr>
        <w:pStyle w:val="Caption"/>
      </w:pPr>
      <w:bookmarkStart w:id="319" w:name="_Ref257731840"/>
      <w:bookmarkStart w:id="320" w:name="_Toc228588331"/>
      <w:bookmarkStart w:id="321" w:name="_Toc399265037"/>
      <w:r w:rsidRPr="00A40CD0">
        <w:t xml:space="preserve">Figure </w:t>
      </w:r>
      <w:r w:rsidR="00EA2F38">
        <w:fldChar w:fldCharType="begin"/>
      </w:r>
      <w:r w:rsidR="00933C8B">
        <w:instrText xml:space="preserve"> SEQ Figure \* ARABIC </w:instrText>
      </w:r>
      <w:r w:rsidR="00EA2F38">
        <w:fldChar w:fldCharType="separate"/>
      </w:r>
      <w:r w:rsidR="00B11F3B">
        <w:rPr>
          <w:noProof/>
        </w:rPr>
        <w:t>51</w:t>
      </w:r>
      <w:r w:rsidR="00EA2F38">
        <w:fldChar w:fldCharType="end"/>
      </w:r>
      <w:bookmarkEnd w:id="319"/>
      <w:r w:rsidRPr="00A40CD0">
        <w:t xml:space="preserve">. Map of freshwater extent for the wet season for the Burdekin region. The first map presents the maximum value of CDOM for </w:t>
      </w:r>
      <w:r w:rsidR="00D3208E">
        <w:t>the wet season 2011/2012 (November 2011 - April 2012)</w:t>
      </w:r>
      <w:r w:rsidRPr="00A40CD0">
        <w:t>, while the second map presents freshwater extent estimated with a threshold for the CDOM seasonal maximum of 0.24 m</w:t>
      </w:r>
      <w:r w:rsidRPr="00A40CD0">
        <w:rPr>
          <w:vertAlign w:val="superscript"/>
        </w:rPr>
        <w:t>-1</w:t>
      </w:r>
      <w:r w:rsidRPr="00A40CD0">
        <w:t>.</w:t>
      </w:r>
      <w:bookmarkEnd w:id="320"/>
      <w:bookmarkEnd w:id="321"/>
      <w:r w:rsidRPr="00A40CD0">
        <w:t xml:space="preserve"> </w:t>
      </w:r>
    </w:p>
    <w:p w:rsidR="00B25CAA" w:rsidRPr="00A40CD0" w:rsidRDefault="00B25CAA" w:rsidP="006C5256"/>
    <w:p w:rsidR="00B25CAA" w:rsidRPr="00A40CD0" w:rsidRDefault="009C4E74" w:rsidP="00811CF5">
      <w:r>
        <w:rPr>
          <w:noProof/>
        </w:rPr>
        <w:lastRenderedPageBreak/>
        <w:drawing>
          <wp:inline distT="0" distB="0" distL="0" distR="0">
            <wp:extent cx="5759450" cy="3896360"/>
            <wp:effectExtent l="0" t="0" r="6350" b="0"/>
            <wp:docPr id="56" name="Picture 56" descr="Chlorophyll-a median maps for the dry and wet season for the Burdekin region. The first map presents the median for the dry season 2011 (May - October), while the second map presents the median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Median_20110501_20111031.tif"/>
                    <pic:cNvPicPr/>
                  </pic:nvPicPr>
                  <pic:blipFill>
                    <a:blip r:embed="rId104"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r>
        <w:rPr>
          <w:noProof/>
        </w:rPr>
        <w:drawing>
          <wp:inline distT="0" distB="0" distL="0" distR="0">
            <wp:extent cx="5759450" cy="3896360"/>
            <wp:effectExtent l="0" t="0" r="6350" b="0"/>
            <wp:docPr id="57" name="Picture 57" descr="Chlorophyll-a median maps for the dry and wet season for the Burdekin region. The first map presents the median for the dry season 2011 (May - October), while the second map presents the median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Median_20111101_20120430.tif"/>
                    <pic:cNvPicPr/>
                  </pic:nvPicPr>
                  <pic:blipFill>
                    <a:blip r:embed="rId105"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4F4DDE">
      <w:pPr>
        <w:pStyle w:val="Caption"/>
      </w:pPr>
      <w:bookmarkStart w:id="322" w:name="_Ref272127285"/>
      <w:bookmarkStart w:id="323" w:name="_Toc228588332"/>
      <w:bookmarkStart w:id="324" w:name="_Toc399265038"/>
      <w:r w:rsidRPr="00A40CD0">
        <w:t xml:space="preserve">Figure </w:t>
      </w:r>
      <w:r w:rsidR="00EA2F38">
        <w:fldChar w:fldCharType="begin"/>
      </w:r>
      <w:r w:rsidR="00933C8B">
        <w:instrText xml:space="preserve"> SEQ Figure \* ARABIC </w:instrText>
      </w:r>
      <w:r w:rsidR="00EA2F38">
        <w:fldChar w:fldCharType="separate"/>
      </w:r>
      <w:r w:rsidR="00B11F3B">
        <w:rPr>
          <w:noProof/>
        </w:rPr>
        <w:t>52</w:t>
      </w:r>
      <w:r w:rsidR="00EA2F38">
        <w:fldChar w:fldCharType="end"/>
      </w:r>
      <w:bookmarkEnd w:id="318"/>
      <w:bookmarkEnd w:id="322"/>
      <w:r w:rsidRPr="00A40CD0">
        <w:t xml:space="preserve">. Chlorophyll-a median maps for the dry and wet season for the Burdekin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23"/>
      <w:bookmarkEnd w:id="324"/>
    </w:p>
    <w:p w:rsidR="00B25CAA" w:rsidRPr="00A40CD0" w:rsidRDefault="00B25CAA" w:rsidP="00191E00"/>
    <w:p w:rsidR="00B25CAA" w:rsidRPr="00A40CD0" w:rsidRDefault="009C4E74" w:rsidP="000F21DC">
      <w:r>
        <w:rPr>
          <w:noProof/>
        </w:rPr>
        <w:drawing>
          <wp:inline distT="0" distB="0" distL="0" distR="0">
            <wp:extent cx="5759450" cy="3896360"/>
            <wp:effectExtent l="0" t="0" r="6350" b="0"/>
            <wp:docPr id="58" name="Picture 58" descr="Non-algal particulate matter (NAP as a measure of TSS) median maps for the dry and wet season for the Burdekin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dian_20110501_20111031.tif"/>
                    <pic:cNvPicPr/>
                  </pic:nvPicPr>
                  <pic:blipFill>
                    <a:blip r:embed="rId106"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r>
        <w:rPr>
          <w:noProof/>
        </w:rPr>
        <w:drawing>
          <wp:inline distT="0" distB="0" distL="0" distR="0">
            <wp:extent cx="5759450" cy="3896360"/>
            <wp:effectExtent l="0" t="0" r="6350" b="0"/>
            <wp:docPr id="59" name="Picture 59" descr="Non-algal particulate matter (NAP as a measure of TSS) median maps for the dry and wet season for the Burdekin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dian_20111101_20120430.tif"/>
                    <pic:cNvPicPr/>
                  </pic:nvPicPr>
                  <pic:blipFill>
                    <a:blip r:embed="rId107"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4F4DDE">
      <w:pPr>
        <w:pStyle w:val="Caption"/>
      </w:pPr>
      <w:bookmarkStart w:id="325" w:name="_Ref214352788"/>
      <w:bookmarkStart w:id="326" w:name="_Toc228588333"/>
      <w:bookmarkStart w:id="327" w:name="_Toc399265039"/>
      <w:r w:rsidRPr="00A40CD0">
        <w:t xml:space="preserve">Figure </w:t>
      </w:r>
      <w:r w:rsidR="00EA2F38">
        <w:fldChar w:fldCharType="begin"/>
      </w:r>
      <w:r w:rsidR="00933C8B">
        <w:instrText xml:space="preserve"> SEQ Figure \* ARABIC </w:instrText>
      </w:r>
      <w:r w:rsidR="00EA2F38">
        <w:fldChar w:fldCharType="separate"/>
      </w:r>
      <w:r w:rsidR="00B11F3B">
        <w:rPr>
          <w:noProof/>
        </w:rPr>
        <w:t>53</w:t>
      </w:r>
      <w:r w:rsidR="00EA2F38">
        <w:fldChar w:fldCharType="end"/>
      </w:r>
      <w:bookmarkEnd w:id="325"/>
      <w:r w:rsidRPr="00A40CD0">
        <w:t>. Non-algal particulate matter (NAP as a measure of TSS</w:t>
      </w:r>
      <w:bookmarkStart w:id="328" w:name="_Ref214353229"/>
      <w:r w:rsidRPr="00A40CD0">
        <w:t xml:space="preserve">) median maps for the dry and wet season for the Burdekin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326"/>
      <w:bookmarkEnd w:id="327"/>
      <w:r w:rsidRPr="00A40CD0">
        <w:t xml:space="preserve"> </w:t>
      </w:r>
    </w:p>
    <w:bookmarkEnd w:id="328"/>
    <w:p w:rsidR="00B25CAA" w:rsidRPr="00A40CD0" w:rsidRDefault="009C4E74" w:rsidP="00CA3233">
      <w:r>
        <w:rPr>
          <w:noProof/>
        </w:rPr>
        <w:lastRenderedPageBreak/>
        <w:drawing>
          <wp:inline distT="0" distB="0" distL="0" distR="0">
            <wp:extent cx="5759450" cy="3896360"/>
            <wp:effectExtent l="0" t="0" r="6350" b="0"/>
            <wp:docPr id="60" name="Picture 60" descr="Number of observations used to calculate the median maps (Figure 52 - Figure 53) for the dry and wet season for the Burdekin region. The first map presents the number of observations available for analysis in the dry season 2011 (May - October), while the second map presents the number of observations available for analysis in the wet season 2011/2012 (November 2011 -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n_valid_20110501_20111031.tif"/>
                    <pic:cNvPicPr/>
                  </pic:nvPicPr>
                  <pic:blipFill>
                    <a:blip r:embed="rId108"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r>
        <w:rPr>
          <w:noProof/>
        </w:rPr>
        <w:drawing>
          <wp:inline distT="0" distB="0" distL="0" distR="0">
            <wp:extent cx="5759450" cy="3896360"/>
            <wp:effectExtent l="0" t="0" r="6350" b="0"/>
            <wp:docPr id="61" name="Picture 61" descr="Number of observations used to calculate the median maps (Figure 52 - Figure 53) for the dry and wet season for the Burdekin region. The first map presents the number of observations available for analysis in the dry season 2011 (May - October), while the second map presents the number of observations available for analysis in the wet season 2011/2012 (November 2011 -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n_valid_20111101_20120430.tif"/>
                    <pic:cNvPicPr/>
                  </pic:nvPicPr>
                  <pic:blipFill>
                    <a:blip r:embed="rId109"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DD34CF">
      <w:bookmarkStart w:id="329" w:name="_Ref214353266"/>
    </w:p>
    <w:p w:rsidR="00B25CAA" w:rsidRPr="00A40CD0" w:rsidRDefault="00B25CAA" w:rsidP="004F4DDE">
      <w:pPr>
        <w:pStyle w:val="Caption"/>
      </w:pPr>
      <w:bookmarkStart w:id="330" w:name="_Ref247624378"/>
      <w:bookmarkStart w:id="331" w:name="_Toc228588334"/>
      <w:bookmarkStart w:id="332" w:name="_Toc399265040"/>
      <w:r w:rsidRPr="00A40CD0">
        <w:t xml:space="preserve">Figure </w:t>
      </w:r>
      <w:r w:rsidR="00EA2F38">
        <w:fldChar w:fldCharType="begin"/>
      </w:r>
      <w:r w:rsidR="00933C8B">
        <w:instrText xml:space="preserve"> SEQ Figure \* ARABIC </w:instrText>
      </w:r>
      <w:r w:rsidR="00EA2F38">
        <w:fldChar w:fldCharType="separate"/>
      </w:r>
      <w:r w:rsidR="00B11F3B">
        <w:rPr>
          <w:noProof/>
        </w:rPr>
        <w:t>54</w:t>
      </w:r>
      <w:r w:rsidR="00EA2F38">
        <w:fldChar w:fldCharType="end"/>
      </w:r>
      <w:bookmarkEnd w:id="329"/>
      <w:bookmarkEnd w:id="330"/>
      <w:r w:rsidRPr="00A40CD0">
        <w:t>. Number of observations used to calculate the median maps (</w:t>
      </w:r>
      <w:r w:rsidR="00EA2F38" w:rsidRPr="00A40CD0">
        <w:fldChar w:fldCharType="begin"/>
      </w:r>
      <w:r w:rsidRPr="00A40CD0">
        <w:instrText xml:space="preserve"> REF _Ref272127285 \h </w:instrText>
      </w:r>
      <w:r w:rsidR="00EA2F38" w:rsidRPr="00A40CD0">
        <w:fldChar w:fldCharType="separate"/>
      </w:r>
      <w:r w:rsidR="00B11F3B" w:rsidRPr="00A40CD0">
        <w:t xml:space="preserve">Figure </w:t>
      </w:r>
      <w:r w:rsidR="00B11F3B">
        <w:rPr>
          <w:noProof/>
        </w:rPr>
        <w:t>52</w:t>
      </w:r>
      <w:r w:rsidR="00EA2F38" w:rsidRPr="00A40CD0">
        <w:fldChar w:fldCharType="end"/>
      </w:r>
      <w:r w:rsidR="00585682" w:rsidRPr="00A40CD0">
        <w:t xml:space="preserve"> </w:t>
      </w:r>
      <w:r w:rsidRPr="00A40CD0">
        <w:t xml:space="preserve">- </w:t>
      </w:r>
      <w:r w:rsidR="00EA2F38" w:rsidRPr="00A40CD0">
        <w:fldChar w:fldCharType="begin"/>
      </w:r>
      <w:r w:rsidR="00585682" w:rsidRPr="00A40CD0">
        <w:instrText xml:space="preserve"> REF _Ref214352788 \h </w:instrText>
      </w:r>
      <w:r w:rsidR="00EA2F38" w:rsidRPr="00A40CD0">
        <w:fldChar w:fldCharType="separate"/>
      </w:r>
      <w:r w:rsidR="00B11F3B" w:rsidRPr="00A40CD0">
        <w:t xml:space="preserve">Figure </w:t>
      </w:r>
      <w:r w:rsidR="00B11F3B">
        <w:rPr>
          <w:noProof/>
        </w:rPr>
        <w:t>53</w:t>
      </w:r>
      <w:r w:rsidR="00EA2F38" w:rsidRPr="00A40CD0">
        <w:fldChar w:fldCharType="end"/>
      </w:r>
      <w:r w:rsidRPr="00A40CD0">
        <w:t xml:space="preserve">) for the dry and wet season for the Burdekin region. The first map presents the number of observations available for analysis in </w:t>
      </w:r>
      <w:r w:rsidR="00D3208E">
        <w:t>the dry season 2011 (May - October)</w:t>
      </w:r>
      <w:r w:rsidRPr="00A40CD0">
        <w:t xml:space="preserve">, while the second map presents the number of observations available for analysis in </w:t>
      </w:r>
      <w:r w:rsidR="00D3208E">
        <w:t>the wet season 2011/2012 (November 2011 - April 2012)</w:t>
      </w:r>
      <w:r w:rsidRPr="00A40CD0">
        <w:t>.</w:t>
      </w:r>
      <w:bookmarkEnd w:id="331"/>
      <w:bookmarkEnd w:id="332"/>
    </w:p>
    <w:p w:rsidR="00B25CAA" w:rsidRDefault="009C4E74" w:rsidP="007E5857">
      <w:bookmarkStart w:id="333" w:name="_Toc242849276"/>
      <w:bookmarkStart w:id="334" w:name="_Toc244950255"/>
      <w:r>
        <w:rPr>
          <w:noProof/>
        </w:rPr>
        <w:lastRenderedPageBreak/>
        <w:drawing>
          <wp:inline distT="0" distB="0" distL="0" distR="0">
            <wp:extent cx="5759450" cy="3896360"/>
            <wp:effectExtent l="0" t="0" r="6350" b="0"/>
            <wp:docPr id="62" name="Picture 62" descr="Exceedance maps for the Burdekin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meanGTtrigger_20110501_20120430.tif"/>
                    <pic:cNvPicPr/>
                  </pic:nvPicPr>
                  <pic:blipFill>
                    <a:blip r:embed="rId110"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9C4E74" w:rsidRPr="00A40CD0" w:rsidRDefault="009C4E74" w:rsidP="007E5857">
      <w:r>
        <w:rPr>
          <w:noProof/>
        </w:rPr>
        <w:drawing>
          <wp:inline distT="0" distB="0" distL="0" distR="0">
            <wp:extent cx="5759450" cy="3896360"/>
            <wp:effectExtent l="0" t="0" r="6350" b="0"/>
            <wp:docPr id="63" name="Picture 63" descr="Exceedance maps for the Burdekin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anGTtrigger_20110501_20120430.tif"/>
                    <pic:cNvPicPr/>
                  </pic:nvPicPr>
                  <pic:blipFill>
                    <a:blip r:embed="rId111"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7E5857">
      <w:pPr>
        <w:pStyle w:val="Caption"/>
      </w:pPr>
      <w:bookmarkStart w:id="335" w:name="_Ref263850004"/>
      <w:bookmarkStart w:id="336" w:name="_Toc228588335"/>
      <w:bookmarkStart w:id="337" w:name="_Toc399265041"/>
      <w:r w:rsidRPr="00A40CD0">
        <w:t xml:space="preserve">Figure </w:t>
      </w:r>
      <w:r w:rsidR="00EA2F38">
        <w:fldChar w:fldCharType="begin"/>
      </w:r>
      <w:r w:rsidR="00933C8B">
        <w:instrText xml:space="preserve"> SEQ Figure \* ARABIC </w:instrText>
      </w:r>
      <w:r w:rsidR="00EA2F38">
        <w:fldChar w:fldCharType="separate"/>
      </w:r>
      <w:r w:rsidR="00B11F3B">
        <w:rPr>
          <w:noProof/>
        </w:rPr>
        <w:t>55</w:t>
      </w:r>
      <w:r w:rsidR="00EA2F38">
        <w:fldChar w:fldCharType="end"/>
      </w:r>
      <w:bookmarkEnd w:id="335"/>
      <w:r w:rsidRPr="00A40CD0">
        <w:t xml:space="preserve">. Exceedance maps for the Burdekin region </w:t>
      </w:r>
      <w:r w:rsidR="00656260">
        <w:t>for the reporting year 2011/12 (May 2011 –April 2012)</w:t>
      </w:r>
      <w:r w:rsidRPr="00A40CD0">
        <w:t>. The first map presents the</w:t>
      </w:r>
      <w:r w:rsidR="0031353D" w:rsidRPr="00A40CD0">
        <w:t xml:space="preserve"> </w:t>
      </w:r>
      <w:r w:rsidRPr="00A40CD0">
        <w:t>Chlorophyll-a exceedance map, while the second map presents the Non-algal particulate matter (NAP as a measure of TSS) exceedance map. The Guideline values for annual means of Chlorophyll–a</w:t>
      </w:r>
      <w:r w:rsidR="0031353D" w:rsidRPr="00A40CD0">
        <w:t xml:space="preserve"> a</w:t>
      </w:r>
      <w:r w:rsidRPr="00A40CD0">
        <w:t>re 0.45 µg L</w:t>
      </w:r>
      <w:r w:rsidRPr="00A40CD0">
        <w:rPr>
          <w:vertAlign w:val="superscript"/>
        </w:rPr>
        <w:t>-1</w:t>
      </w:r>
      <w:r w:rsidR="0031353D" w:rsidRPr="00A40CD0">
        <w:t xml:space="preserve"> </w:t>
      </w:r>
      <w:r w:rsidRPr="00A40CD0">
        <w:t>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336"/>
      <w:bookmarkEnd w:id="337"/>
    </w:p>
    <w:p w:rsidR="00B25CAA" w:rsidRPr="00A40CD0" w:rsidRDefault="009C4E74" w:rsidP="002E0BD6">
      <w:pPr>
        <w:pStyle w:val="BodyText"/>
      </w:pPr>
      <w:r>
        <w:rPr>
          <w:noProof/>
          <w:lang w:eastAsia="en-AU"/>
        </w:rPr>
        <w:lastRenderedPageBreak/>
        <w:drawing>
          <wp:inline distT="0" distB="0" distL="0" distR="0">
            <wp:extent cx="5759450" cy="3896360"/>
            <wp:effectExtent l="0" t="0" r="6350" b="0"/>
            <wp:docPr id="536" name="Picture 536" descr="Chlorophyll-a exceedance maps for the dry and wet season for the Burdekin region. The first map presents the exceedance for the dry season 2011 (May - October), while the second map presents the exceedance for the wet season 2011/2012 (November 2011 - April 2012). The seasonally adjusted Guideline values for Chlorophyll –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meanGTtrigger_20110501_20111031.tif"/>
                    <pic:cNvPicPr/>
                  </pic:nvPicPr>
                  <pic:blipFill>
                    <a:blip r:embed="rId112"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r>
        <w:rPr>
          <w:noProof/>
          <w:lang w:eastAsia="en-AU"/>
        </w:rPr>
        <w:drawing>
          <wp:inline distT="0" distB="0" distL="0" distR="0">
            <wp:extent cx="5759450" cy="3896360"/>
            <wp:effectExtent l="0" t="0" r="6350" b="0"/>
            <wp:docPr id="535" name="Picture 535" descr="Chlorophyll-a exceedance maps for the dry and wet season for the Burdekin region. The first map presents the exceedance for the dry season 2011 (May - October), while the second map presents the exceedance for the wet season 2011/2012 (November 2011 - April 2012). The seasonally adjusted Guideline values for Chlorophyll –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meanGTtrigger_20111101_20120430.tif"/>
                    <pic:cNvPicPr/>
                  </pic:nvPicPr>
                  <pic:blipFill>
                    <a:blip r:embed="rId113"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4F4DDE">
      <w:pPr>
        <w:pStyle w:val="Caption"/>
      </w:pPr>
      <w:bookmarkStart w:id="338" w:name="_Ref247857424"/>
      <w:bookmarkStart w:id="339" w:name="_Toc228588336"/>
      <w:bookmarkStart w:id="340" w:name="_Toc399265042"/>
      <w:r w:rsidRPr="00A40CD0">
        <w:t xml:space="preserve">Figure </w:t>
      </w:r>
      <w:r w:rsidR="00EA2F38">
        <w:fldChar w:fldCharType="begin"/>
      </w:r>
      <w:r w:rsidR="00933C8B">
        <w:instrText xml:space="preserve"> SEQ Figure \* ARABIC </w:instrText>
      </w:r>
      <w:r w:rsidR="00EA2F38">
        <w:fldChar w:fldCharType="separate"/>
      </w:r>
      <w:r w:rsidR="00B11F3B">
        <w:rPr>
          <w:noProof/>
        </w:rPr>
        <w:t>56</w:t>
      </w:r>
      <w:r w:rsidR="00EA2F38">
        <w:fldChar w:fldCharType="end"/>
      </w:r>
      <w:bookmarkEnd w:id="338"/>
      <w:r w:rsidRPr="00A40CD0">
        <w:t xml:space="preserve">. Chlorophyll-a exceedance maps for the dry and wet season for the Burdekin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Chlorophyll –a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39"/>
      <w:bookmarkEnd w:id="340"/>
    </w:p>
    <w:p w:rsidR="00B25CAA" w:rsidRPr="00A40CD0" w:rsidRDefault="00B25CAA" w:rsidP="00DB3EF7"/>
    <w:p w:rsidR="00B25CAA" w:rsidRPr="00A40CD0" w:rsidRDefault="009C4E74" w:rsidP="00DB3EF7">
      <w:r>
        <w:rPr>
          <w:noProof/>
        </w:rPr>
        <w:drawing>
          <wp:inline distT="0" distB="0" distL="0" distR="0">
            <wp:extent cx="5759450" cy="3896360"/>
            <wp:effectExtent l="0" t="0" r="6350" b="0"/>
            <wp:docPr id="539" name="Picture 539" descr="Figure 57. Chlorophyll-a exceedance frequency maps for the dry and wet season for the Burdekin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RelNonCompliantDays_20110501_20111031.tif"/>
                    <pic:cNvPicPr/>
                  </pic:nvPicPr>
                  <pic:blipFill>
                    <a:blip r:embed="rId114"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r>
        <w:rPr>
          <w:noProof/>
        </w:rPr>
        <w:drawing>
          <wp:inline distT="0" distB="0" distL="0" distR="0">
            <wp:extent cx="5759450" cy="3896360"/>
            <wp:effectExtent l="0" t="0" r="6350" b="0"/>
            <wp:docPr id="540" name="Picture 540" descr="Figure 57. Chlorophyll-a exceedance frequency maps for the dry and wet season for the Burdekin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Chl_MIM_RelNonCompliantDays_20111101_20120430.tif"/>
                    <pic:cNvPicPr/>
                  </pic:nvPicPr>
                  <pic:blipFill>
                    <a:blip r:embed="rId115"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4F4DDE">
      <w:pPr>
        <w:pStyle w:val="Caption"/>
      </w:pPr>
      <w:bookmarkStart w:id="341" w:name="_Ref247857425"/>
      <w:bookmarkStart w:id="342" w:name="_Toc228588337"/>
      <w:bookmarkStart w:id="343" w:name="_Toc399265043"/>
      <w:r w:rsidRPr="00A40CD0">
        <w:t xml:space="preserve">Figure </w:t>
      </w:r>
      <w:r w:rsidR="00EA2F38">
        <w:fldChar w:fldCharType="begin"/>
      </w:r>
      <w:r w:rsidR="00933C8B">
        <w:instrText xml:space="preserve"> SEQ Figure \* ARABIC </w:instrText>
      </w:r>
      <w:r w:rsidR="00EA2F38">
        <w:fldChar w:fldCharType="separate"/>
      </w:r>
      <w:r w:rsidR="00B11F3B">
        <w:rPr>
          <w:noProof/>
        </w:rPr>
        <w:t>57</w:t>
      </w:r>
      <w:r w:rsidR="00EA2F38">
        <w:fldChar w:fldCharType="end"/>
      </w:r>
      <w:bookmarkEnd w:id="341"/>
      <w:r w:rsidRPr="00A40CD0">
        <w:t xml:space="preserve">. Chlorophyll-a exceedance frequency maps for the dry and wet season for the Burdekin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42"/>
      <w:bookmarkEnd w:id="343"/>
    </w:p>
    <w:p w:rsidR="00B25CAA" w:rsidRDefault="000A07C6" w:rsidP="00F72C63">
      <w:r>
        <w:rPr>
          <w:noProof/>
        </w:rPr>
        <w:lastRenderedPageBreak/>
        <w:drawing>
          <wp:inline distT="0" distB="0" distL="0" distR="0">
            <wp:extent cx="5759450" cy="3896360"/>
            <wp:effectExtent l="0" t="0" r="6350" b="0"/>
            <wp:docPr id="541" name="Picture 541" descr="Non-algal particulate matter (NAP as a measure of TSS) exceedance maps for the dry and wet season for the Burdekin region.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anGTtrigger_20110501_20111031.tif"/>
                    <pic:cNvPicPr/>
                  </pic:nvPicPr>
                  <pic:blipFill>
                    <a:blip r:embed="rId116"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0A07C6" w:rsidRPr="00A40CD0" w:rsidRDefault="000A07C6" w:rsidP="00F72C63">
      <w:r>
        <w:rPr>
          <w:noProof/>
        </w:rPr>
        <w:drawing>
          <wp:inline distT="0" distB="0" distL="0" distR="0">
            <wp:extent cx="5759450" cy="3896360"/>
            <wp:effectExtent l="0" t="0" r="6350" b="0"/>
            <wp:docPr id="542" name="Picture 542" descr="Non-algal particulate matter (NAP as a measure of TSS) exceedance maps for the dry and wet season for the Burdekin region.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dianGTtrigger_20111101_20120430.tif"/>
                    <pic:cNvPicPr/>
                  </pic:nvPicPr>
                  <pic:blipFill>
                    <a:blip r:embed="rId117"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4F4DDE">
      <w:pPr>
        <w:pStyle w:val="Caption"/>
      </w:pPr>
      <w:bookmarkStart w:id="344" w:name="_Ref247857427"/>
      <w:bookmarkStart w:id="345" w:name="_Toc228588338"/>
      <w:bookmarkStart w:id="346" w:name="_Toc399265044"/>
      <w:r w:rsidRPr="00A40CD0">
        <w:t xml:space="preserve">Figure </w:t>
      </w:r>
      <w:r w:rsidR="00EA2F38">
        <w:fldChar w:fldCharType="begin"/>
      </w:r>
      <w:r w:rsidR="00933C8B">
        <w:instrText xml:space="preserve"> SEQ Figure \* ARABIC </w:instrText>
      </w:r>
      <w:r w:rsidR="00EA2F38">
        <w:fldChar w:fldCharType="separate"/>
      </w:r>
      <w:r w:rsidR="00B11F3B">
        <w:rPr>
          <w:noProof/>
        </w:rPr>
        <w:t>58</w:t>
      </w:r>
      <w:r w:rsidR="00EA2F38">
        <w:fldChar w:fldCharType="end"/>
      </w:r>
      <w:bookmarkEnd w:id="344"/>
      <w:r w:rsidRPr="00A40CD0">
        <w:t xml:space="preserve">. Non-algal particulate matter (NAP as a measure of TSS) exceedance maps for the dry and wet season for the Burdekin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45"/>
      <w:bookmarkEnd w:id="346"/>
    </w:p>
    <w:p w:rsidR="00B25CAA" w:rsidRPr="00A40CD0" w:rsidRDefault="000A07C6" w:rsidP="00DB3EF7">
      <w:r>
        <w:rPr>
          <w:noProof/>
        </w:rPr>
        <w:lastRenderedPageBreak/>
        <w:drawing>
          <wp:inline distT="0" distB="0" distL="0" distR="0">
            <wp:extent cx="5759450" cy="3896360"/>
            <wp:effectExtent l="0" t="0" r="6350" b="0"/>
            <wp:docPr id="64" name="Picture 64" descr="Non-algal particulate matter (NAP as a measure of TSS) exceedance frequency maps for the dry and wet season for the Burdekin region. The first map presents the exceedance frequency for the dry season 2011 (May - October), while the second map presents the exceedance frequency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anGTtrigger_20110501_20111031.tif"/>
                    <pic:cNvPicPr/>
                  </pic:nvPicPr>
                  <pic:blipFill>
                    <a:blip r:embed="rId116"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r w:rsidR="00B25CAA" w:rsidRPr="00A40CD0">
        <w:t xml:space="preserve"> </w:t>
      </w:r>
      <w:r>
        <w:rPr>
          <w:noProof/>
        </w:rPr>
        <w:drawing>
          <wp:inline distT="0" distB="0" distL="0" distR="0">
            <wp:extent cx="5759450" cy="3896360"/>
            <wp:effectExtent l="0" t="0" r="6350" b="0"/>
            <wp:docPr id="65" name="Picture 65" descr="Non-algal particulate matter (NAP as a measure of TSS) exceedance frequency maps for the dry and wet season for the Burdekin region. The first map presents the exceedance frequency for the dry season 2011 (May - October), while the second map presents the exceedance frequency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KN-B09_Y_Nap_MIM_meanGTtrigger_20111101_20120430.tif"/>
                    <pic:cNvPicPr/>
                  </pic:nvPicPr>
                  <pic:blipFill>
                    <a:blip r:embed="rId118" cstate="email">
                      <a:extLst>
                        <a:ext uri="{28A0092B-C50C-407E-A947-70E740481C1C}">
                          <a14:useLocalDpi xmlns:a14="http://schemas.microsoft.com/office/drawing/2010/main"/>
                        </a:ext>
                      </a:extLst>
                    </a:blip>
                    <a:stretch>
                      <a:fillRect/>
                    </a:stretch>
                  </pic:blipFill>
                  <pic:spPr>
                    <a:xfrm>
                      <a:off x="0" y="0"/>
                      <a:ext cx="5759450" cy="3896360"/>
                    </a:xfrm>
                    <a:prstGeom prst="rect">
                      <a:avLst/>
                    </a:prstGeom>
                  </pic:spPr>
                </pic:pic>
              </a:graphicData>
            </a:graphic>
          </wp:inline>
        </w:drawing>
      </w:r>
    </w:p>
    <w:p w:rsidR="00B25CAA" w:rsidRPr="00A40CD0" w:rsidRDefault="00B25CAA" w:rsidP="004F4DDE">
      <w:pPr>
        <w:pStyle w:val="Caption"/>
      </w:pPr>
      <w:bookmarkStart w:id="347" w:name="_Ref247857430"/>
      <w:bookmarkStart w:id="348" w:name="_Toc228588339"/>
      <w:bookmarkStart w:id="349" w:name="_Toc399265045"/>
      <w:r w:rsidRPr="00A40CD0">
        <w:t xml:space="preserve">Figure </w:t>
      </w:r>
      <w:r w:rsidR="00EA2F38">
        <w:fldChar w:fldCharType="begin"/>
      </w:r>
      <w:r w:rsidR="00933C8B">
        <w:instrText xml:space="preserve"> SEQ Figure \* ARABIC </w:instrText>
      </w:r>
      <w:r w:rsidR="00EA2F38">
        <w:fldChar w:fldCharType="separate"/>
      </w:r>
      <w:r w:rsidR="00B11F3B">
        <w:rPr>
          <w:noProof/>
        </w:rPr>
        <w:t>59</w:t>
      </w:r>
      <w:r w:rsidR="00EA2F38">
        <w:fldChar w:fldCharType="end"/>
      </w:r>
      <w:bookmarkEnd w:id="347"/>
      <w:r w:rsidRPr="00A40CD0">
        <w:t xml:space="preserve">. Non-algal particulate matter (NAP as a measure of TSS) exceedance frequency maps for the dry and wet season for the Burdekin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w:t>
      </w:r>
      <w:bookmarkEnd w:id="348"/>
      <w:bookmarkEnd w:id="349"/>
      <w:r w:rsidRPr="00A40CD0">
        <w:t xml:space="preserve"> </w:t>
      </w:r>
    </w:p>
    <w:p w:rsidR="00B25CAA" w:rsidRPr="00A40CD0" w:rsidRDefault="00B25CAA" w:rsidP="007E294B">
      <w:pPr>
        <w:pStyle w:val="Heading2"/>
      </w:pPr>
      <w:bookmarkStart w:id="350" w:name="_Toc228588196"/>
      <w:bookmarkStart w:id="351" w:name="_Toc399264903"/>
      <w:r w:rsidRPr="00A40CD0">
        <w:lastRenderedPageBreak/>
        <w:t>Regional reports: Mackay Whitsunday region</w:t>
      </w:r>
      <w:bookmarkEnd w:id="333"/>
      <w:bookmarkEnd w:id="334"/>
      <w:bookmarkEnd w:id="350"/>
      <w:bookmarkEnd w:id="351"/>
    </w:p>
    <w:p w:rsidR="00B25CAA" w:rsidRPr="00A40CD0" w:rsidRDefault="00B25CAA" w:rsidP="002E0BD6">
      <w:pPr>
        <w:pStyle w:val="BodyText"/>
      </w:pPr>
      <w:r w:rsidRPr="00A40CD0">
        <w:t>The Mackay Whitsunday Region is located in the central section of the GBR and comprises three major river catchments, the Proserpine, O’Connell (both flowing into Repulse Bay) and Pioneer catchments. The climate in this region is wet or mixed wet and dry and the catchment land use is dominated by agriculture such as grazing and cropping (mainly sugarcane on coastal plains), and minor urbanisation</w:t>
      </w:r>
      <w:r w:rsid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 The adjacent coastal and inshore marine areas have a large number of high continental islands with well-developed fringing reefs.</w:t>
      </w:r>
    </w:p>
    <w:p w:rsidR="009202A6" w:rsidRPr="007E294B" w:rsidRDefault="00B25CAA" w:rsidP="007E294B">
      <w:pPr>
        <w:pStyle w:val="Heading3"/>
      </w:pPr>
      <w:bookmarkStart w:id="352" w:name="_Toc228588197"/>
      <w:bookmarkStart w:id="353" w:name="_Toc399264904"/>
      <w:r w:rsidRPr="007E294B">
        <w:t>Assessment of freshwater extent during the wet season</w:t>
      </w:r>
      <w:bookmarkEnd w:id="352"/>
      <w:bookmarkEnd w:id="353"/>
    </w:p>
    <w:p w:rsidR="00B25CAA" w:rsidRPr="00A40CD0" w:rsidRDefault="00EA2F38" w:rsidP="002E0BD6">
      <w:pPr>
        <w:pStyle w:val="BodyText"/>
      </w:pPr>
      <w:r>
        <w:fldChar w:fldCharType="begin"/>
      </w:r>
      <w:r w:rsidR="00D90A4A">
        <w:instrText xml:space="preserve"> REF _Ref257731739 \h </w:instrText>
      </w:r>
      <w:r>
        <w:fldChar w:fldCharType="separate"/>
      </w:r>
      <w:r w:rsidR="00B11F3B" w:rsidRPr="00A40CD0">
        <w:t xml:space="preserve">Figure </w:t>
      </w:r>
      <w:r w:rsidR="00B11F3B">
        <w:rPr>
          <w:noProof/>
        </w:rPr>
        <w:t>62</w:t>
      </w:r>
      <w:r>
        <w:fldChar w:fldCharType="end"/>
      </w:r>
      <w:r w:rsidR="00B25CAA" w:rsidRPr="00A40CD0">
        <w:t xml:space="preserve"> reports the freshwater extent for </w:t>
      </w:r>
      <w:r w:rsidR="00D8717B">
        <w:t>wet season 2011/2012 (November 2011- April 2012)</w:t>
      </w:r>
      <w:r w:rsidR="00B25CAA" w:rsidRPr="00A40CD0">
        <w:t xml:space="preserve"> for the Mackay Whitsunday region. The freshwater extent was estimated by applying a threshold of 0.24 m</w:t>
      </w:r>
      <w:r w:rsidR="00B25CAA" w:rsidRPr="00A40CD0">
        <w:rPr>
          <w:vertAlign w:val="superscript"/>
        </w:rPr>
        <w:t>-1</w:t>
      </w:r>
      <w:r w:rsidR="00B25CAA" w:rsidRPr="00A40CD0">
        <w:t xml:space="preserve"> for the CDOM seasonal maximum. For the Mackay-Whitsunday region the freshwater extent for the </w:t>
      </w:r>
      <w:r w:rsidR="00D8717B">
        <w:t>wet season 2011/2012 (November 2011- April 2012)</w:t>
      </w:r>
      <w:r w:rsidR="00CC4A61">
        <w:t xml:space="preserve"> was 2793</w:t>
      </w:r>
      <w:r w:rsidR="00B25CAA" w:rsidRPr="00A40CD0">
        <w:t xml:space="preserve"> km</w:t>
      </w:r>
      <w:r w:rsidR="00B25CAA" w:rsidRPr="00A40CD0">
        <w:rPr>
          <w:vertAlign w:val="superscript"/>
        </w:rPr>
        <w:t>2</w:t>
      </w:r>
      <w:r w:rsidR="00B25CAA" w:rsidRPr="00A40CD0">
        <w:t xml:space="preserve">, </w:t>
      </w:r>
      <w:r w:rsidR="00CC4A61">
        <w:t>3522</w:t>
      </w:r>
      <w:r w:rsidR="00B25CAA" w:rsidRPr="00A40CD0">
        <w:t>km</w:t>
      </w:r>
      <w:r w:rsidR="00B25CAA" w:rsidRPr="00A40CD0">
        <w:rPr>
          <w:vertAlign w:val="superscript"/>
        </w:rPr>
        <w:t>2</w:t>
      </w:r>
      <w:r w:rsidR="00CC4A61">
        <w:t xml:space="preserve"> for 2010/11</w:t>
      </w:r>
      <w:r w:rsidR="00B25CAA" w:rsidRPr="00A40CD0">
        <w:t xml:space="preserve"> while in</w:t>
      </w:r>
      <w:r w:rsidR="00CC4A61">
        <w:t xml:space="preserve"> the wet season 2009/2010 was 4281</w:t>
      </w:r>
      <w:r w:rsidR="00B25CAA" w:rsidRPr="00A40CD0">
        <w:t xml:space="preserve"> km</w:t>
      </w:r>
      <w:r w:rsidR="00B25CAA" w:rsidRPr="00A40CD0">
        <w:rPr>
          <w:vertAlign w:val="superscript"/>
        </w:rPr>
        <w:t>2</w:t>
      </w:r>
      <w:r w:rsidR="00B25CAA" w:rsidRPr="00A40CD0">
        <w:t xml:space="preserve"> (</w:t>
      </w:r>
      <w:r>
        <w:fldChar w:fldCharType="begin"/>
      </w:r>
      <w:r w:rsidR="00D90A4A">
        <w:instrText xml:space="preserve"> REF _Ref304874168 \h </w:instrText>
      </w:r>
      <w:r>
        <w:fldChar w:fldCharType="separate"/>
      </w:r>
      <w:r w:rsidR="00B11F3B" w:rsidRPr="00A40CD0">
        <w:t xml:space="preserve">Figure </w:t>
      </w:r>
      <w:r w:rsidR="00B11F3B">
        <w:rPr>
          <w:noProof/>
        </w:rPr>
        <w:t>60</w:t>
      </w:r>
      <w:r>
        <w:fldChar w:fldCharType="end"/>
      </w:r>
      <w:r w:rsidR="00B25CAA" w:rsidRPr="00A40CD0">
        <w:t>). Th</w:t>
      </w:r>
      <w:r w:rsidR="00CF2D10">
        <w:t>e larger freshwater extents for</w:t>
      </w:r>
      <w:r w:rsidR="00B25CAA" w:rsidRPr="00A40CD0">
        <w:t xml:space="preserve"> 2010/2011 and 2009/10 correlates with a freshwater discharge for the Proserpine, O’Connell, Pioneer and Plane Rivers above median flows for both years (R</w:t>
      </w:r>
      <w:r w:rsidR="00B25CAA" w:rsidRPr="00A40CD0">
        <w:rPr>
          <w:vertAlign w:val="superscript"/>
        </w:rPr>
        <w:t>2</w:t>
      </w:r>
      <w:r w:rsidR="00B25CAA" w:rsidRPr="00A40CD0">
        <w:t xml:space="preserve">=0.591, </w:t>
      </w:r>
      <w:r>
        <w:fldChar w:fldCharType="begin"/>
      </w:r>
      <w:r w:rsidR="00D90A4A">
        <w:instrText xml:space="preserve"> REF _Ref304874168 \h </w:instrText>
      </w:r>
      <w:r>
        <w:fldChar w:fldCharType="separate"/>
      </w:r>
      <w:r w:rsidR="00B11F3B" w:rsidRPr="00A40CD0">
        <w:t xml:space="preserve">Figure </w:t>
      </w:r>
      <w:r w:rsidR="00B11F3B">
        <w:rPr>
          <w:noProof/>
        </w:rPr>
        <w:t>60</w:t>
      </w:r>
      <w:r>
        <w:fldChar w:fldCharType="end"/>
      </w:r>
      <w:r w:rsidR="00B25CAA" w:rsidRPr="00A40CD0">
        <w:t xml:space="preserve">, </w:t>
      </w:r>
      <w:r>
        <w:fldChar w:fldCharType="begin"/>
      </w:r>
      <w:r w:rsidR="00D90A4A">
        <w:instrText xml:space="preserve"> REF _Ref257740941 \h </w:instrText>
      </w:r>
      <w:r>
        <w:fldChar w:fldCharType="separate"/>
      </w:r>
      <w:r w:rsidR="00B11F3B" w:rsidRPr="00A40CD0">
        <w:t xml:space="preserve">Figure </w:t>
      </w:r>
      <w:r w:rsidR="00B11F3B">
        <w:rPr>
          <w:noProof/>
        </w:rPr>
        <w:t>17</w:t>
      </w:r>
      <w:r>
        <w:fldChar w:fldCharType="end"/>
      </w:r>
      <w:r w:rsidR="00B25CAA" w:rsidRPr="00A40CD0">
        <w:t>). High CDOM values and associated estimat</w:t>
      </w:r>
      <w:r w:rsidR="00F60C84" w:rsidRPr="00A40CD0">
        <w:t>e</w:t>
      </w:r>
      <w:r w:rsidR="00B25CAA" w:rsidRPr="00A40CD0">
        <w:t>d freshwater extent</w:t>
      </w:r>
      <w:r w:rsidR="00CF2D10">
        <w:t>s</w:t>
      </w:r>
      <w:r w:rsidR="00B25CAA" w:rsidRPr="00A40CD0">
        <w:t xml:space="preserve"> in the Souther</w:t>
      </w:r>
      <w:r w:rsidR="00F60C84" w:rsidRPr="00A40CD0">
        <w:t>n</w:t>
      </w:r>
      <w:r w:rsidR="00B25CAA" w:rsidRPr="00A40CD0">
        <w:t xml:space="preserve"> part on this reporting region </w:t>
      </w:r>
      <w:r w:rsidR="00CF2D10">
        <w:t xml:space="preserve">are most likely due to the </w:t>
      </w:r>
      <w:r w:rsidR="00B25CAA" w:rsidRPr="00A40CD0">
        <w:t>flood event</w:t>
      </w:r>
      <w:r w:rsidR="00CF2D10">
        <w:t xml:space="preserve">s </w:t>
      </w:r>
      <w:r w:rsidR="00B25CAA" w:rsidRPr="00A40CD0">
        <w:t>occurr</w:t>
      </w:r>
      <w:r w:rsidR="00CF2D10">
        <w:t>ing</w:t>
      </w:r>
      <w:r w:rsidR="00B25CAA" w:rsidRPr="00A40CD0">
        <w:t xml:space="preserve"> in the Fitzroy River.</w:t>
      </w:r>
    </w:p>
    <w:p w:rsidR="00B25CAA" w:rsidRPr="00A40CD0" w:rsidRDefault="004A2575" w:rsidP="002E0BD6">
      <w:pPr>
        <w:pStyle w:val="BodyText"/>
      </w:pPr>
      <w:r w:rsidRPr="004A2575">
        <w:rPr>
          <w:noProof/>
          <w:lang w:eastAsia="en-AU"/>
        </w:rPr>
        <w:drawing>
          <wp:inline distT="0" distB="0" distL="0" distR="0">
            <wp:extent cx="5759450" cy="3756112"/>
            <wp:effectExtent l="0" t="0" r="6350" b="3175"/>
            <wp:docPr id="512" name="Picture 83" descr="Freshwater discharge and estimated freshwater extent for the Mackay Whitsunday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19" cstate="email">
                      <a:extLst>
                        <a:ext uri="{28A0092B-C50C-407E-A947-70E740481C1C}">
                          <a14:useLocalDpi xmlns:a14="http://schemas.microsoft.com/office/drawing/2010/main"/>
                        </a:ext>
                      </a:extLst>
                    </a:blip>
                    <a:srcRect/>
                    <a:stretch>
                      <a:fillRect/>
                    </a:stretch>
                  </pic:blipFill>
                  <pic:spPr bwMode="auto">
                    <a:xfrm>
                      <a:off x="0" y="0"/>
                      <a:ext cx="5759450" cy="3756112"/>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354" w:name="_Ref304874168"/>
      <w:bookmarkStart w:id="355" w:name="_Toc228588340"/>
      <w:bookmarkStart w:id="356" w:name="_Toc399265046"/>
      <w:r w:rsidRPr="00A40CD0">
        <w:t xml:space="preserve">Figure </w:t>
      </w:r>
      <w:r w:rsidR="00EA2F38">
        <w:fldChar w:fldCharType="begin"/>
      </w:r>
      <w:r w:rsidR="00933C8B">
        <w:instrText xml:space="preserve"> SEQ Figure \* ARABIC </w:instrText>
      </w:r>
      <w:r w:rsidR="00EA2F38">
        <w:fldChar w:fldCharType="separate"/>
      </w:r>
      <w:r w:rsidR="00B11F3B">
        <w:rPr>
          <w:noProof/>
        </w:rPr>
        <w:t>60</w:t>
      </w:r>
      <w:r w:rsidR="00EA2F38">
        <w:fldChar w:fldCharType="end"/>
      </w:r>
      <w:bookmarkEnd w:id="354"/>
      <w:r w:rsidRPr="00A40CD0">
        <w:t>. Freshwater discharge and estimated freshwater extent for the Mackay Whitsunday region based on the CDOM maximum for the wet seasons.</w:t>
      </w:r>
      <w:bookmarkEnd w:id="355"/>
      <w:bookmarkEnd w:id="356"/>
    </w:p>
    <w:p w:rsidR="00B25CAA" w:rsidRPr="00A40CD0" w:rsidRDefault="00B25CAA" w:rsidP="002E0BD6">
      <w:pPr>
        <w:pStyle w:val="BodyText"/>
      </w:pPr>
    </w:p>
    <w:p w:rsidR="009202A6" w:rsidRPr="007E294B" w:rsidRDefault="00B25CAA" w:rsidP="007E294B">
      <w:pPr>
        <w:pStyle w:val="Heading3"/>
      </w:pPr>
      <w:bookmarkStart w:id="357" w:name="_Toc228588198"/>
      <w:bookmarkStart w:id="358" w:name="_Toc399264905"/>
      <w:r w:rsidRPr="007E294B">
        <w:lastRenderedPageBreak/>
        <w:t>The wet and dry season median maps for Chlorophyll-a and Total Suspended Solids.</w:t>
      </w:r>
      <w:bookmarkEnd w:id="357"/>
      <w:bookmarkEnd w:id="358"/>
    </w:p>
    <w:p w:rsidR="00B25CAA" w:rsidRPr="00A40CD0" w:rsidRDefault="00B25CAA" w:rsidP="002E0BD6">
      <w:pPr>
        <w:pStyle w:val="BodyText"/>
      </w:pPr>
      <w:r w:rsidRPr="00A40CD0">
        <w:t>The wet and dry season CHL median maps (</w:t>
      </w:r>
      <w:r w:rsidR="00EA2F38">
        <w:fldChar w:fldCharType="begin"/>
      </w:r>
      <w:r w:rsidR="00D90A4A">
        <w:instrText xml:space="preserve"> REF _Ref247857037 \h </w:instrText>
      </w:r>
      <w:r w:rsidR="00EA2F38">
        <w:fldChar w:fldCharType="separate"/>
      </w:r>
      <w:r w:rsidR="00B11F3B" w:rsidRPr="00A40CD0">
        <w:t xml:space="preserve">Figure </w:t>
      </w:r>
      <w:r w:rsidR="00B11F3B">
        <w:rPr>
          <w:noProof/>
        </w:rPr>
        <w:t>63</w:t>
      </w:r>
      <w:r w:rsidR="00EA2F38">
        <w:fldChar w:fldCharType="end"/>
      </w:r>
      <w:r w:rsidRPr="00A40CD0">
        <w:t>) for the Mackay Whitsunday region show high CHL median concentrations near the coast and in the estuary to lower concentrations towards the East. Median CHL</w:t>
      </w:r>
      <w:r w:rsidR="00A40CD0">
        <w:t xml:space="preserve"> </w:t>
      </w:r>
      <w:r w:rsidRPr="00A40CD0">
        <w:t xml:space="preserve">values </w:t>
      </w:r>
      <w:r w:rsidR="00A40CD0">
        <w:t xml:space="preserve">ranging from 0.4 </w:t>
      </w:r>
      <w:r w:rsidRPr="00A40CD0">
        <w:t xml:space="preserve">to 0.5 </w:t>
      </w:r>
      <w:r w:rsidRPr="00A40CD0">
        <w:rPr>
          <w:rFonts w:ascii="SymbolProp BT" w:hAnsi="SymbolProp BT"/>
        </w:rPr>
        <w:t></w:t>
      </w:r>
      <w:r w:rsidRPr="00A40CD0">
        <w:t>gL</w:t>
      </w:r>
      <w:r w:rsidRPr="00A40CD0">
        <w:rPr>
          <w:vertAlign w:val="superscript"/>
        </w:rPr>
        <w:t>-1</w:t>
      </w:r>
      <w:r w:rsidRPr="00A40CD0">
        <w:t xml:space="preserve"> extended beyond the coastal to inshore boundary for both seasons. The median values in the Offshore region in the reef matrix ranged from ~0.15-0.25 </w:t>
      </w:r>
      <w:r w:rsidRPr="00A40CD0">
        <w:rPr>
          <w:rFonts w:ascii="SymbolProp BT" w:hAnsi="SymbolProp BT"/>
        </w:rPr>
        <w:t></w:t>
      </w:r>
      <w:r w:rsidRPr="00A40CD0">
        <w:t>gL</w:t>
      </w:r>
      <w:r w:rsidRPr="00A40CD0">
        <w:rPr>
          <w:vertAlign w:val="superscript"/>
        </w:rPr>
        <w:t>-1</w:t>
      </w:r>
      <w:r w:rsidRPr="00A40CD0">
        <w:t xml:space="preserve">. In the Midshelf and Offshore areas a ~50 km wide band of waters on the western side of the reef matrix showed higher values in the dry season  (~0.4 </w:t>
      </w:r>
      <w:r w:rsidRPr="00A40CD0">
        <w:rPr>
          <w:rFonts w:ascii="SymbolProp BT" w:hAnsi="SymbolProp BT"/>
        </w:rPr>
        <w:t></w:t>
      </w:r>
      <w:r w:rsidRPr="00A40CD0">
        <w:t>gL</w:t>
      </w:r>
      <w:r w:rsidRPr="00A40CD0">
        <w:rPr>
          <w:vertAlign w:val="superscript"/>
        </w:rPr>
        <w:t>-1</w:t>
      </w:r>
      <w:r w:rsidRPr="00A40CD0">
        <w:t xml:space="preserve">) than in the wet season (~0.3 </w:t>
      </w:r>
      <w:r w:rsidRPr="00A40CD0">
        <w:rPr>
          <w:rFonts w:ascii="SymbolProp BT" w:hAnsi="SymbolProp BT"/>
        </w:rPr>
        <w:t></w:t>
      </w:r>
      <w:r w:rsidRPr="00A40CD0">
        <w:t>gL</w:t>
      </w:r>
      <w:r w:rsidRPr="00A40CD0">
        <w:rPr>
          <w:vertAlign w:val="superscript"/>
        </w:rPr>
        <w:t>-1</w:t>
      </w:r>
      <w:r w:rsidRPr="00A40CD0">
        <w:t xml:space="preserve">). </w:t>
      </w:r>
    </w:p>
    <w:p w:rsidR="00B25CAA" w:rsidRPr="00A40CD0" w:rsidRDefault="00B25CAA" w:rsidP="002E0BD6">
      <w:pPr>
        <w:pStyle w:val="BodyText"/>
      </w:pPr>
      <w:r w:rsidRPr="00A40CD0">
        <w:t>The wet and dry season median NAP maps (as a measure of Total Suspended Solids) (</w:t>
      </w:r>
      <w:r w:rsidR="00EA2F38">
        <w:fldChar w:fldCharType="begin"/>
      </w:r>
      <w:r w:rsidR="00D90A4A">
        <w:instrText xml:space="preserve"> REF _Ref247857459 \h </w:instrText>
      </w:r>
      <w:r w:rsidR="00EA2F38">
        <w:fldChar w:fldCharType="separate"/>
      </w:r>
      <w:r w:rsidR="00B11F3B" w:rsidRPr="00A40CD0">
        <w:t xml:space="preserve">Figure </w:t>
      </w:r>
      <w:r w:rsidR="00B11F3B">
        <w:rPr>
          <w:noProof/>
        </w:rPr>
        <w:t>64</w:t>
      </w:r>
      <w:r w:rsidR="00EA2F38">
        <w:fldChar w:fldCharType="end"/>
      </w:r>
      <w:r w:rsidRPr="00A40CD0">
        <w:t>) for the Mackay Whitsunday region show a coastal band ~5-10 km wide  with values higher than 1.5-2.0 mgL</w:t>
      </w:r>
      <w:r w:rsidRPr="00A40CD0">
        <w:rPr>
          <w:vertAlign w:val="superscript"/>
        </w:rPr>
        <w:t>-1</w:t>
      </w:r>
      <w:r w:rsidRPr="00A40CD0">
        <w:t xml:space="preserve"> in the dry season and 2.5-3.0 mgL</w:t>
      </w:r>
      <w:r w:rsidRPr="00A40CD0">
        <w:rPr>
          <w:vertAlign w:val="superscript"/>
        </w:rPr>
        <w:t>-1</w:t>
      </w:r>
      <w:r w:rsidRPr="00A40CD0">
        <w:t xml:space="preserve"> in wet season. The high concentrations shown in Broad Sound and Shoalwater Bay are likely to be overestimated. The accuracy of the retrieval from MODIS imagery in these shallow and turbid waters systems cannot be assessed as there is no data available for parameterization and validation. The number of observations per each location available for calculating the median values varies from 30 to 40 observations for the wet season and about 50-70  for the dry season for each pixel location (</w:t>
      </w:r>
      <w:r w:rsidR="00EA2F38">
        <w:fldChar w:fldCharType="begin"/>
      </w:r>
      <w:r w:rsidR="00D90A4A">
        <w:instrText xml:space="preserve"> REF _Ref247953232 \h </w:instrText>
      </w:r>
      <w:r w:rsidR="00EA2F38">
        <w:fldChar w:fldCharType="separate"/>
      </w:r>
      <w:r w:rsidR="00B11F3B" w:rsidRPr="00A40CD0">
        <w:t xml:space="preserve">Figure </w:t>
      </w:r>
      <w:r w:rsidR="00B11F3B">
        <w:rPr>
          <w:noProof/>
        </w:rPr>
        <w:t>65</w:t>
      </w:r>
      <w:r w:rsidR="00EA2F38">
        <w:fldChar w:fldCharType="end"/>
      </w:r>
      <w:r w:rsidRPr="00A40CD0">
        <w:t>).</w:t>
      </w:r>
    </w:p>
    <w:p w:rsidR="009202A6" w:rsidRPr="007E294B" w:rsidRDefault="000B4CCB" w:rsidP="007E294B">
      <w:pPr>
        <w:pStyle w:val="Heading3"/>
      </w:pPr>
      <w:bookmarkStart w:id="359" w:name="_Toc228588199"/>
      <w:bookmarkStart w:id="360" w:name="_Toc399264906"/>
      <w:r w:rsidRPr="007E294B">
        <w:t>Assessment of the marine water quality index and the exceedance of water quality guidelines</w:t>
      </w:r>
      <w:bookmarkEnd w:id="359"/>
      <w:bookmarkEnd w:id="360"/>
    </w:p>
    <w:p w:rsidR="000B4CCB" w:rsidRDefault="000B4CCB" w:rsidP="002E0BD6">
      <w:pPr>
        <w:pStyle w:val="BodyText"/>
      </w:pPr>
      <w:r w:rsidRPr="00A40CD0">
        <w:t>The marine water quality for this reporting year for the Mackay Whitsunda</w:t>
      </w:r>
      <w:r w:rsidR="003B0DFD" w:rsidRPr="00A40CD0">
        <w:t>y</w:t>
      </w:r>
      <w:r w:rsidRPr="00A40CD0">
        <w:t xml:space="preserve"> region was scored as “</w:t>
      </w:r>
      <w:r w:rsidR="005E1E63">
        <w:t>moderate</w:t>
      </w:r>
      <w:r w:rsidRPr="00A40CD0">
        <w:t>”, reflecting a “</w:t>
      </w:r>
      <w:r w:rsidR="005E1E63">
        <w:t>moderate</w:t>
      </w:r>
      <w:r w:rsidRPr="00A40CD0">
        <w:t>” score for P2R_CHL and P2R_TSS (</w:t>
      </w:r>
      <w:r w:rsidR="00EA2F38">
        <w:fldChar w:fldCharType="begin"/>
      </w:r>
      <w:r w:rsidR="00D90A4A">
        <w:instrText xml:space="preserve"> REF _Ref321323035 \h </w:instrText>
      </w:r>
      <w:r w:rsidR="00EA2F38">
        <w:fldChar w:fldCharType="separate"/>
      </w:r>
      <w:r w:rsidR="00B11F3B" w:rsidRPr="00A40CD0">
        <w:t xml:space="preserve">Figure </w:t>
      </w:r>
      <w:r w:rsidR="00B11F3B">
        <w:rPr>
          <w:noProof/>
        </w:rPr>
        <w:t>61</w:t>
      </w:r>
      <w:r w:rsidR="00EA2F38">
        <w:fldChar w:fldCharType="end"/>
      </w:r>
      <w:r w:rsidRPr="00A40CD0">
        <w:t xml:space="preserve">). The marine water quality </w:t>
      </w:r>
      <w:r w:rsidR="00A40CD0" w:rsidRPr="00A40CD0">
        <w:t>index has</w:t>
      </w:r>
      <w:r w:rsidRPr="00A40CD0">
        <w:t xml:space="preserve"> been oscillating </w:t>
      </w:r>
      <w:r w:rsidR="005E1E63">
        <w:t xml:space="preserve">in the </w:t>
      </w:r>
      <w:r w:rsidRPr="00A40CD0">
        <w:t>“</w:t>
      </w:r>
      <w:r w:rsidR="005E1E63">
        <w:t>good</w:t>
      </w:r>
      <w:r w:rsidRPr="00A40CD0">
        <w:t xml:space="preserve">” </w:t>
      </w:r>
      <w:r w:rsidR="004F473C">
        <w:t>score band from</w:t>
      </w:r>
      <w:r w:rsidRPr="00A40CD0">
        <w:t xml:space="preserve"> </w:t>
      </w:r>
      <w:r w:rsidR="004F473C">
        <w:t xml:space="preserve">the </w:t>
      </w:r>
      <w:r w:rsidRPr="00A40CD0">
        <w:t>2002/03</w:t>
      </w:r>
      <w:r w:rsidR="004F473C">
        <w:t xml:space="preserve"> to 2009/10</w:t>
      </w:r>
      <w:r w:rsidRPr="00A40CD0">
        <w:t xml:space="preserve"> reporting season</w:t>
      </w:r>
      <w:r w:rsidR="004F473C">
        <w:t>s</w:t>
      </w:r>
      <w:r w:rsidRPr="00A40CD0">
        <w:t xml:space="preserve">. The P2R_CHL scores were </w:t>
      </w:r>
      <w:r w:rsidR="00CE1ABF" w:rsidRPr="00A40CD0">
        <w:t>“</w:t>
      </w:r>
      <w:r w:rsidRPr="00A40CD0">
        <w:t>good</w:t>
      </w:r>
      <w:r w:rsidR="00CE1ABF" w:rsidRPr="00A40CD0">
        <w:t xml:space="preserve">” between the </w:t>
      </w:r>
      <w:r w:rsidR="004F473C">
        <w:t>2002/03</w:t>
      </w:r>
      <w:r w:rsidRPr="00A40CD0">
        <w:t xml:space="preserve"> and the 2009/10 reporting seasons, while </w:t>
      </w:r>
      <w:r w:rsidR="003B0DFD" w:rsidRPr="00A40CD0">
        <w:t xml:space="preserve">the </w:t>
      </w:r>
      <w:r w:rsidRPr="00A40CD0">
        <w:t>P2R_TSS</w:t>
      </w:r>
      <w:r w:rsidR="003B0DFD" w:rsidRPr="00A40CD0">
        <w:t xml:space="preserve"> scores were “</w:t>
      </w:r>
      <w:r w:rsidR="004F473C">
        <w:t>good</w:t>
      </w:r>
      <w:r w:rsidR="003B0DFD" w:rsidRPr="00A40CD0">
        <w:t>”</w:t>
      </w:r>
      <w:r w:rsidR="004F473C">
        <w:t xml:space="preserve"> from 2002/03 and the 2009/10</w:t>
      </w:r>
      <w:r w:rsidR="00CE1ABF" w:rsidRPr="00A40CD0">
        <w:t>.</w:t>
      </w:r>
      <w:r w:rsidR="00F60C84" w:rsidRPr="00A40CD0">
        <w:t xml:space="preserve"> For the Mackay Whitsunday region, there was </w:t>
      </w:r>
      <w:r w:rsidR="004F473C">
        <w:t>some</w:t>
      </w:r>
      <w:r w:rsidRPr="00A40CD0">
        <w:t xml:space="preserve"> correlation </w:t>
      </w:r>
      <w:r w:rsidR="00A40CD0" w:rsidRPr="00A40CD0">
        <w:t>between</w:t>
      </w:r>
      <w:r w:rsidR="00F60C84" w:rsidRPr="00A40CD0">
        <w:t xml:space="preserve"> the </w:t>
      </w:r>
      <w:r w:rsidR="004F473C">
        <w:t xml:space="preserve">decrease in the </w:t>
      </w:r>
      <w:r w:rsidR="00F60C84" w:rsidRPr="00A40CD0">
        <w:t>m</w:t>
      </w:r>
      <w:r w:rsidR="004F473C">
        <w:t xml:space="preserve">arine water quality index as well as </w:t>
      </w:r>
      <w:r w:rsidR="00F60C84" w:rsidRPr="00A40CD0">
        <w:t xml:space="preserve">the component scores </w:t>
      </w:r>
      <w:r w:rsidR="004F473C">
        <w:t>for the last five years</w:t>
      </w:r>
      <w:r w:rsidR="004F473C" w:rsidRPr="00A40CD0">
        <w:t xml:space="preserve"> </w:t>
      </w:r>
      <w:r w:rsidRPr="00A40CD0">
        <w:t>with the freshwater discharges from the</w:t>
      </w:r>
      <w:r w:rsidR="00F60C84" w:rsidRPr="00A40CD0">
        <w:t xml:space="preserve"> Proserpine, O’Connell and Pioneer catchments</w:t>
      </w:r>
      <w:r w:rsidRPr="00A40CD0">
        <w:t xml:space="preserve"> and the associated est</w:t>
      </w:r>
      <w:r w:rsidR="004F473C">
        <w:t>imated freshwater plume extents</w:t>
      </w:r>
      <w:r w:rsidR="004F473C" w:rsidRPr="00A40CD0">
        <w:t xml:space="preserve"> </w:t>
      </w:r>
      <w:r w:rsidRPr="00A40CD0">
        <w:t>(</w:t>
      </w:r>
      <w:r w:rsidR="00EA2F38">
        <w:fldChar w:fldCharType="begin"/>
      </w:r>
      <w:r w:rsidR="00D90A4A">
        <w:instrText xml:space="preserve"> REF _Ref304874168 \h </w:instrText>
      </w:r>
      <w:r w:rsidR="00EA2F38">
        <w:fldChar w:fldCharType="separate"/>
      </w:r>
      <w:r w:rsidR="00B11F3B" w:rsidRPr="00A40CD0">
        <w:t xml:space="preserve">Figure </w:t>
      </w:r>
      <w:r w:rsidR="00B11F3B">
        <w:rPr>
          <w:noProof/>
        </w:rPr>
        <w:t>60</w:t>
      </w:r>
      <w:r w:rsidR="00EA2F38">
        <w:fldChar w:fldCharType="end"/>
      </w:r>
      <w:r w:rsidRPr="00A40CD0">
        <w:t xml:space="preserve">). </w:t>
      </w:r>
    </w:p>
    <w:p w:rsidR="007E7CDF" w:rsidRPr="00A40CD0" w:rsidRDefault="007E7CDF" w:rsidP="002E0BD6">
      <w:pPr>
        <w:pStyle w:val="BodyText"/>
      </w:pPr>
      <w:r>
        <w:t xml:space="preserve">The Enclosed Coastal </w:t>
      </w:r>
      <w:r w:rsidRPr="00A40CD0">
        <w:t>marine water body</w:t>
      </w:r>
      <w:r>
        <w:t xml:space="preserve"> accounts for ~20% of the inshore waters used for P2R reporting and for most of the area in</w:t>
      </w:r>
      <w:r w:rsidR="00612B8B">
        <w:t xml:space="preserve"> </w:t>
      </w:r>
      <w:r w:rsidR="0067284B">
        <w:t>Port of Bowen</w:t>
      </w:r>
      <w:r w:rsidR="00612B8B">
        <w:t>, Repulse Bay and Broad</w:t>
      </w:r>
      <w:r w:rsidR="008E5912">
        <w:t xml:space="preserve"> </w:t>
      </w:r>
      <w:r w:rsidR="00612B8B">
        <w:t>Sound</w:t>
      </w:r>
      <w:r w:rsidR="008E5912">
        <w:t xml:space="preserve"> </w:t>
      </w:r>
      <w:r>
        <w:t>(</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w:t>
      </w:r>
      <w:r w:rsidR="008E5912">
        <w:t xml:space="preserve"> </w:t>
      </w:r>
      <w:r w:rsidR="00EA2F38">
        <w:fldChar w:fldCharType="begin"/>
      </w:r>
      <w:r>
        <w:instrText xml:space="preserve"> REF _Ref247428722 \h </w:instrText>
      </w:r>
      <w:r w:rsidR="00EA2F38">
        <w:fldChar w:fldCharType="separate"/>
      </w:r>
      <w:r w:rsidR="00B11F3B" w:rsidRPr="00A40CD0">
        <w:t xml:space="preserve">Figure </w:t>
      </w:r>
      <w:r w:rsidR="00B11F3B">
        <w:rPr>
          <w:noProof/>
        </w:rPr>
        <w:t>2</w:t>
      </w:r>
      <w:r w:rsidR="00EA2F38">
        <w:fldChar w:fldCharType="end"/>
      </w:r>
      <w:r>
        <w:t>).</w:t>
      </w:r>
      <w:r w:rsidR="00815190">
        <w:t xml:space="preserve"> </w:t>
      </w:r>
      <w:r w:rsidR="0064693C">
        <w:t xml:space="preserve"> In this water body, t</w:t>
      </w:r>
      <w:r w:rsidR="00815190">
        <w:t xml:space="preserve">he </w:t>
      </w:r>
      <w:r w:rsidR="0064693C" w:rsidRPr="00A40CD0">
        <w:t>annual mean CHL</w:t>
      </w:r>
      <w:r w:rsidR="0064693C">
        <w:t xml:space="preserve"> </w:t>
      </w:r>
      <w:r w:rsidR="0064693C" w:rsidRPr="00A40CD0">
        <w:t>values exceeded the guideline value</w:t>
      </w:r>
      <w:r w:rsidR="0064693C">
        <w:t xml:space="preserve"> (2.0</w:t>
      </w:r>
      <w:r w:rsidR="0064693C" w:rsidRPr="00A40CD0">
        <w:t xml:space="preserve"> </w:t>
      </w:r>
      <w:r w:rsidR="0064693C" w:rsidRPr="00A40CD0">
        <w:rPr>
          <w:rFonts w:ascii="SymbolProp BT" w:hAnsi="SymbolProp BT"/>
        </w:rPr>
        <w:t></w:t>
      </w:r>
      <w:r w:rsidR="0064693C" w:rsidRPr="00A40CD0">
        <w:t>gL</w:t>
      </w:r>
      <w:r w:rsidR="0064693C" w:rsidRPr="00A40CD0">
        <w:rPr>
          <w:vertAlign w:val="superscript"/>
        </w:rPr>
        <w:t>-1</w:t>
      </w:r>
      <w:r w:rsidR="0064693C" w:rsidRPr="00A40CD0">
        <w:t>)</w:t>
      </w:r>
      <w:r w:rsidR="0064693C">
        <w:t xml:space="preserve"> for 26%, while the seasonal means exceeded for 38% and 21 % per the dry and wet season respectively. For TSS in 57% of the Enclosed coastal area exceedance were recorded, while the seasonal means exceeded for 63% and 50 % per the dry and wet season respectively.</w:t>
      </w:r>
    </w:p>
    <w:p w:rsidR="00B25CAA" w:rsidRPr="00A40CD0" w:rsidRDefault="00B25CAA" w:rsidP="002E0BD6">
      <w:pPr>
        <w:pStyle w:val="BodyText"/>
      </w:pPr>
      <w:r w:rsidRPr="00A40CD0">
        <w:t xml:space="preserve">For the Mackay Whitsunday region the annual mean </w:t>
      </w:r>
      <w:r w:rsidR="00A40CD0" w:rsidRPr="00A40CD0">
        <w:t>CHL</w:t>
      </w:r>
      <w:r w:rsidR="00A40CD0">
        <w:t xml:space="preserve"> </w:t>
      </w:r>
      <w:r w:rsidR="00A40CD0" w:rsidRPr="00A40CD0">
        <w:t>values</w:t>
      </w:r>
      <w:r w:rsidRPr="00A40CD0">
        <w:t xml:space="preserve"> exceeded the guideline value (0.45 </w:t>
      </w:r>
      <w:r w:rsidR="00A40CD0" w:rsidRPr="00A40CD0">
        <w:rPr>
          <w:rFonts w:ascii="SymbolProp BT" w:hAnsi="SymbolProp BT"/>
        </w:rPr>
        <w:t></w:t>
      </w:r>
      <w:r w:rsidR="00A40CD0" w:rsidRPr="00A40CD0">
        <w:t>gL</w:t>
      </w:r>
      <w:r w:rsidR="00A40CD0" w:rsidRPr="00A40CD0">
        <w:rPr>
          <w:vertAlign w:val="superscript"/>
        </w:rPr>
        <w:t>-1</w:t>
      </w:r>
      <w:r w:rsidR="0064693C">
        <w:t>) for 46 % of the Open Coastal area and 6</w:t>
      </w:r>
      <w:r w:rsidRPr="00A40CD0">
        <w:t>% of the Midshelf areas (</w:t>
      </w:r>
      <w:r w:rsidR="00EA2F38">
        <w:fldChar w:fldCharType="begin"/>
      </w:r>
      <w:r w:rsidR="00D90A4A">
        <w:instrText xml:space="preserve"> REF _Ref263849521 \h </w:instrText>
      </w:r>
      <w:r w:rsidR="00EA2F38">
        <w:fldChar w:fldCharType="separate"/>
      </w:r>
      <w:r w:rsidR="00B11F3B" w:rsidRPr="00A40CD0">
        <w:t xml:space="preserve">Figure </w:t>
      </w:r>
      <w:r w:rsidR="00B11F3B">
        <w:rPr>
          <w:noProof/>
        </w:rPr>
        <w:t>66</w:t>
      </w:r>
      <w:r w:rsidR="00EA2F38">
        <w:fldChar w:fldCharType="end"/>
      </w:r>
      <w:r w:rsidRPr="00A40CD0">
        <w:t xml:space="preserve">, </w:t>
      </w:r>
      <w:r w:rsidR="00EA2F38">
        <w:fldChar w:fldCharType="begin"/>
      </w:r>
      <w:r w:rsidR="00D90A4A">
        <w:instrText xml:space="preserve"> REF _Ref258848325 \h </w:instrText>
      </w:r>
      <w:r w:rsidR="00EA2F38">
        <w:fldChar w:fldCharType="separate"/>
      </w:r>
      <w:r w:rsidR="00B11F3B" w:rsidRPr="00A40CD0">
        <w:t xml:space="preserve">Table </w:t>
      </w:r>
      <w:r w:rsidR="00B11F3B">
        <w:rPr>
          <w:noProof/>
        </w:rPr>
        <w:t>27</w:t>
      </w:r>
      <w:r w:rsidR="00EA2F38">
        <w:fldChar w:fldCharType="end"/>
      </w:r>
      <w:r w:rsidRPr="00A40CD0">
        <w:t>). The mean CHL values excee</w:t>
      </w:r>
      <w:r w:rsidR="0074361A">
        <w:t>ded the Guidelines values for 90</w:t>
      </w:r>
      <w:r w:rsidRPr="00A40CD0">
        <w:t>% of the Open Coast</w:t>
      </w:r>
      <w:r w:rsidR="0074361A">
        <w:t>al area in the dry season and 28</w:t>
      </w:r>
      <w:r w:rsidRPr="00A40CD0">
        <w:t xml:space="preserve"> % in the wet season. The mean CHL values exceeded the Guidelines in the wet season only in a ~5-km wide coastal band extending to ~10 km, corresponding to the river mouths of Proserpine, O’Connell, Pioneer and Plane River</w:t>
      </w:r>
      <w:r w:rsidR="0074361A">
        <w:t xml:space="preserve">s. In the dry season EG for CHL was observed </w:t>
      </w:r>
      <w:r w:rsidRPr="00A40CD0">
        <w:t xml:space="preserve">for </w:t>
      </w:r>
      <w:r w:rsidR="0074361A">
        <w:t>24 % of the Midshelf close to the Open Coastal/Midshelf boundary and for 22</w:t>
      </w:r>
      <w:r w:rsidRPr="00A40CD0">
        <w:t xml:space="preserve">% of the Offshore areas </w:t>
      </w:r>
      <w:r w:rsidR="0074361A">
        <w:t xml:space="preserve">within the Reef matrix </w:t>
      </w:r>
      <w:r w:rsidRPr="00A40CD0">
        <w:t>(</w:t>
      </w:r>
      <w:r w:rsidR="00EA2F38">
        <w:fldChar w:fldCharType="begin"/>
      </w:r>
      <w:r w:rsidR="00D90A4A">
        <w:instrText xml:space="preserve"> REF _Ref247953242 \h </w:instrText>
      </w:r>
      <w:r w:rsidR="00EA2F38">
        <w:fldChar w:fldCharType="separate"/>
      </w:r>
      <w:r w:rsidR="00B11F3B" w:rsidRPr="00A40CD0">
        <w:t xml:space="preserve">Figure </w:t>
      </w:r>
      <w:r w:rsidR="00B11F3B">
        <w:rPr>
          <w:noProof/>
        </w:rPr>
        <w:t>67</w:t>
      </w:r>
      <w:r w:rsidR="00EA2F38">
        <w:fldChar w:fldCharType="end"/>
      </w:r>
      <w:r w:rsidRPr="00A40CD0">
        <w:t xml:space="preserve">, </w:t>
      </w:r>
      <w:r w:rsidR="00EA2F38">
        <w:fldChar w:fldCharType="begin"/>
      </w:r>
      <w:r w:rsidR="00D90A4A">
        <w:instrText xml:space="preserve"> REF _Ref263854436 \h </w:instrText>
      </w:r>
      <w:r w:rsidR="00EA2F38">
        <w:fldChar w:fldCharType="separate"/>
      </w:r>
      <w:r w:rsidR="00B11F3B" w:rsidRPr="00A40CD0">
        <w:t xml:space="preserve">Table </w:t>
      </w:r>
      <w:r w:rsidR="00B11F3B">
        <w:rPr>
          <w:noProof/>
        </w:rPr>
        <w:t>28</w:t>
      </w:r>
      <w:r w:rsidR="00EA2F38">
        <w:fldChar w:fldCharType="end"/>
      </w:r>
      <w:r w:rsidRPr="00A40CD0">
        <w:t xml:space="preserve">). Similar exceedance values were retrieved if the median was used for the assessment (i.e. for EF &gt; 0.50 in </w:t>
      </w:r>
      <w:r w:rsidR="00EA2F38">
        <w:fldChar w:fldCharType="begin"/>
      </w:r>
      <w:r w:rsidR="00D90A4A">
        <w:instrText xml:space="preserve"> REF _Ref247857467 \h </w:instrText>
      </w:r>
      <w:r w:rsidR="00EA2F38">
        <w:fldChar w:fldCharType="separate"/>
      </w:r>
      <w:r w:rsidR="00B11F3B" w:rsidRPr="00A40CD0">
        <w:t xml:space="preserve">Figure </w:t>
      </w:r>
      <w:r w:rsidR="00B11F3B">
        <w:rPr>
          <w:noProof/>
        </w:rPr>
        <w:t>68</w:t>
      </w:r>
      <w:r w:rsidR="00EA2F38">
        <w:fldChar w:fldCharType="end"/>
      </w:r>
      <w:r w:rsidRPr="00A40CD0">
        <w:t xml:space="preserve">, </w:t>
      </w:r>
      <w:r w:rsidR="00EA2F38">
        <w:fldChar w:fldCharType="begin"/>
      </w:r>
      <w:r w:rsidR="00D90A4A">
        <w:instrText xml:space="preserve"> REF _Ref258848325 \h </w:instrText>
      </w:r>
      <w:r w:rsidR="00EA2F38">
        <w:fldChar w:fldCharType="separate"/>
      </w:r>
      <w:r w:rsidR="00B11F3B" w:rsidRPr="00A40CD0">
        <w:t xml:space="preserve">Table </w:t>
      </w:r>
      <w:r w:rsidR="00B11F3B">
        <w:rPr>
          <w:noProof/>
        </w:rPr>
        <w:t>27</w:t>
      </w:r>
      <w:r w:rsidR="00EA2F38">
        <w:fldChar w:fldCharType="end"/>
      </w:r>
      <w:r w:rsidRPr="00A40CD0">
        <w:t xml:space="preserve">, </w:t>
      </w:r>
      <w:bookmarkStart w:id="361" w:name="OLE_LINK6"/>
      <w:bookmarkStart w:id="362" w:name="OLE_LINK7"/>
      <w:r w:rsidR="00EA2F38" w:rsidRPr="00A40CD0">
        <w:fldChar w:fldCharType="begin"/>
      </w:r>
      <w:r w:rsidRPr="00A40CD0">
        <w:instrText xml:space="preserve"> REF _Ref263854436 \h </w:instrText>
      </w:r>
      <w:r w:rsidR="00EA2F38" w:rsidRPr="00A40CD0">
        <w:fldChar w:fldCharType="separate"/>
      </w:r>
      <w:r w:rsidR="00B11F3B" w:rsidRPr="00A40CD0">
        <w:t xml:space="preserve">Table </w:t>
      </w:r>
      <w:r w:rsidR="00B11F3B">
        <w:rPr>
          <w:noProof/>
        </w:rPr>
        <w:t>28</w:t>
      </w:r>
      <w:r w:rsidR="00EA2F38" w:rsidRPr="00A40CD0">
        <w:fldChar w:fldCharType="end"/>
      </w:r>
      <w:bookmarkEnd w:id="361"/>
      <w:bookmarkEnd w:id="362"/>
      <w:r w:rsidRPr="00A40CD0">
        <w:t>).</w:t>
      </w:r>
    </w:p>
    <w:p w:rsidR="00C908C7" w:rsidRPr="00A40CD0" w:rsidRDefault="00C908C7" w:rsidP="002E0BD6">
      <w:pPr>
        <w:pStyle w:val="BodyText"/>
      </w:pPr>
    </w:p>
    <w:p w:rsidR="00C908C7" w:rsidRPr="00A40CD0" w:rsidRDefault="004F473C" w:rsidP="002E0BD6">
      <w:pPr>
        <w:pStyle w:val="BodyText"/>
      </w:pPr>
      <w:r w:rsidRPr="004F473C">
        <w:rPr>
          <w:noProof/>
          <w:lang w:eastAsia="en-AU"/>
        </w:rPr>
        <w:lastRenderedPageBreak/>
        <w:drawing>
          <wp:inline distT="0" distB="0" distL="0" distR="0">
            <wp:extent cx="5759450" cy="3525102"/>
            <wp:effectExtent l="0" t="0" r="6350" b="5715"/>
            <wp:docPr id="19" name="Picture 20" descr="Paddock to Reef marine water quality index (P2R_WQI) and component scores (P2R_CHL and P2R_TSS) for the Mackay Whitsunday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0" cstate="email">
                      <a:extLst>
                        <a:ext uri="{28A0092B-C50C-407E-A947-70E740481C1C}">
                          <a14:useLocalDpi xmlns:a14="http://schemas.microsoft.com/office/drawing/2010/main"/>
                        </a:ext>
                      </a:extLst>
                    </a:blip>
                    <a:srcRect/>
                    <a:stretch>
                      <a:fillRect/>
                    </a:stretch>
                  </pic:blipFill>
                  <pic:spPr bwMode="auto">
                    <a:xfrm>
                      <a:off x="0" y="0"/>
                      <a:ext cx="5759450" cy="3525102"/>
                    </a:xfrm>
                    <a:prstGeom prst="rect">
                      <a:avLst/>
                    </a:prstGeom>
                    <a:noFill/>
                    <a:ln>
                      <a:noFill/>
                    </a:ln>
                  </pic:spPr>
                </pic:pic>
              </a:graphicData>
            </a:graphic>
          </wp:inline>
        </w:drawing>
      </w:r>
    </w:p>
    <w:p w:rsidR="00C908C7" w:rsidRPr="00A40CD0" w:rsidRDefault="00C908C7" w:rsidP="00057673">
      <w:pPr>
        <w:pStyle w:val="Caption"/>
      </w:pPr>
      <w:bookmarkStart w:id="363" w:name="_Ref321323035"/>
      <w:bookmarkStart w:id="364" w:name="_Toc228588341"/>
      <w:bookmarkStart w:id="365" w:name="_Toc399265047"/>
      <w:r w:rsidRPr="00A40CD0">
        <w:t xml:space="preserve">Figure </w:t>
      </w:r>
      <w:r w:rsidR="00EA2F38">
        <w:fldChar w:fldCharType="begin"/>
      </w:r>
      <w:r w:rsidR="00933C8B">
        <w:instrText xml:space="preserve"> SEQ Figure \* ARABIC </w:instrText>
      </w:r>
      <w:r w:rsidR="00EA2F38">
        <w:fldChar w:fldCharType="separate"/>
      </w:r>
      <w:r w:rsidR="00B11F3B">
        <w:rPr>
          <w:noProof/>
        </w:rPr>
        <w:t>61</w:t>
      </w:r>
      <w:r w:rsidR="00EA2F38">
        <w:fldChar w:fldCharType="end"/>
      </w:r>
      <w:bookmarkEnd w:id="363"/>
      <w:r w:rsidRPr="00A40CD0">
        <w:t>. Paddock to Reef marine water quality index (P2R_WQI) and component scores (P2R_CHL and P2R_TSS) for the Mackay Whitsunday region based on the assessment of exceedance to the Guidelines.</w:t>
      </w:r>
      <w:bookmarkEnd w:id="364"/>
      <w:bookmarkEnd w:id="365"/>
    </w:p>
    <w:p w:rsidR="00B803C4" w:rsidRDefault="00B25CAA" w:rsidP="002E0BD6">
      <w:pPr>
        <w:pStyle w:val="BodyText"/>
      </w:pPr>
      <w:r w:rsidRPr="00A40CD0">
        <w:t>The mean values of TSS excee</w:t>
      </w:r>
      <w:r w:rsidR="0051502F">
        <w:t>ded the Guidelines values for 55</w:t>
      </w:r>
      <w:r w:rsidRPr="00A40CD0">
        <w:t xml:space="preserve"> % of the Open Coast</w:t>
      </w:r>
      <w:r w:rsidR="0051502F">
        <w:t>al area in the dry season and 26</w:t>
      </w:r>
      <w:r w:rsidRPr="00A40CD0">
        <w:t xml:space="preserve"> % in the wet season, </w:t>
      </w:r>
      <w:r w:rsidR="0051502F">
        <w:t xml:space="preserve">and </w:t>
      </w:r>
      <w:r w:rsidRPr="00A40CD0">
        <w:t xml:space="preserve">for </w:t>
      </w:r>
      <w:r w:rsidR="0051502F">
        <w:t>6-14</w:t>
      </w:r>
      <w:r w:rsidRPr="00A40CD0">
        <w:t xml:space="preserve">% of the Midshelf </w:t>
      </w:r>
      <w:r w:rsidR="0051502F">
        <w:t xml:space="preserve">and </w:t>
      </w:r>
      <w:r w:rsidRPr="00A40CD0">
        <w:t>Offshore area</w:t>
      </w:r>
      <w:r w:rsidR="0051502F">
        <w:t>s</w:t>
      </w:r>
      <w:r w:rsidRPr="00A40CD0">
        <w:t xml:space="preserve"> in the dry </w:t>
      </w:r>
      <w:r w:rsidR="0051502F">
        <w:t xml:space="preserve">and wet </w:t>
      </w:r>
      <w:r w:rsidRPr="00A40CD0">
        <w:t>season</w:t>
      </w:r>
      <w:r w:rsidR="0051502F">
        <w:t>s</w:t>
      </w:r>
      <w:r w:rsidRPr="00A40CD0">
        <w:t>. The estimated exceedance for the all areas was significantly lower for the median values that those for the mean values (</w:t>
      </w:r>
      <w:r w:rsidR="00EA2F38">
        <w:fldChar w:fldCharType="begin"/>
      </w:r>
      <w:r w:rsidR="00D90A4A">
        <w:instrText xml:space="preserve"> REF _Ref247857469 \h </w:instrText>
      </w:r>
      <w:r w:rsidR="00EA2F38">
        <w:fldChar w:fldCharType="separate"/>
      </w:r>
      <w:r w:rsidR="00B11F3B" w:rsidRPr="00A40CD0">
        <w:t xml:space="preserve">Figure </w:t>
      </w:r>
      <w:r w:rsidR="00B11F3B">
        <w:rPr>
          <w:noProof/>
        </w:rPr>
        <w:t>70</w:t>
      </w:r>
      <w:r w:rsidR="00EA2F38">
        <w:fldChar w:fldCharType="end"/>
      </w:r>
      <w:r w:rsidRPr="00A40CD0">
        <w:t xml:space="preserve">, and </w:t>
      </w:r>
      <w:r w:rsidR="00EA2F38">
        <w:fldChar w:fldCharType="begin"/>
      </w:r>
      <w:r w:rsidR="00D90A4A">
        <w:instrText xml:space="preserve"> REF _Ref248512138 \h </w:instrText>
      </w:r>
      <w:r w:rsidR="00EA2F38">
        <w:fldChar w:fldCharType="separate"/>
      </w:r>
      <w:r w:rsidR="00B11F3B" w:rsidRPr="00A40CD0">
        <w:t xml:space="preserve">Table </w:t>
      </w:r>
      <w:r w:rsidR="00B11F3B">
        <w:rPr>
          <w:noProof/>
        </w:rPr>
        <w:t>29</w:t>
      </w:r>
      <w:r w:rsidR="00EA2F38">
        <w:fldChar w:fldCharType="end"/>
      </w:r>
      <w:r w:rsidRPr="00A40CD0">
        <w:t xml:space="preserve">). Over the whole year, EG was recorded for TSS in </w:t>
      </w:r>
      <w:r w:rsidR="0074361A">
        <w:t>35% of the Open Coastal, 40% of the Midshelf and 8</w:t>
      </w:r>
      <w:r w:rsidRPr="00A40CD0">
        <w:t>% of Offshore areas (</w:t>
      </w:r>
      <w:r w:rsidR="00EA2F38">
        <w:fldChar w:fldCharType="begin"/>
      </w:r>
      <w:r w:rsidR="00D90A4A">
        <w:instrText xml:space="preserve"> REF _Ref263849521 \h </w:instrText>
      </w:r>
      <w:r w:rsidR="00EA2F38">
        <w:fldChar w:fldCharType="separate"/>
      </w:r>
      <w:r w:rsidR="00B11F3B" w:rsidRPr="00A40CD0">
        <w:t xml:space="preserve">Figure </w:t>
      </w:r>
      <w:r w:rsidR="00B11F3B">
        <w:rPr>
          <w:noProof/>
        </w:rPr>
        <w:t>66</w:t>
      </w:r>
      <w:r w:rsidR="00EA2F38">
        <w:fldChar w:fldCharType="end"/>
      </w:r>
      <w:r w:rsidRPr="00A40CD0">
        <w:t xml:space="preserve">, </w:t>
      </w:r>
      <w:r w:rsidR="00EA2F38">
        <w:fldChar w:fldCharType="begin"/>
      </w:r>
      <w:r w:rsidR="00D90A4A">
        <w:instrText xml:space="preserve"> REF _Ref258848325 \h </w:instrText>
      </w:r>
      <w:r w:rsidR="00EA2F38">
        <w:fldChar w:fldCharType="separate"/>
      </w:r>
      <w:r w:rsidR="00B11F3B" w:rsidRPr="00A40CD0">
        <w:t xml:space="preserve">Table </w:t>
      </w:r>
      <w:r w:rsidR="00B11F3B">
        <w:rPr>
          <w:noProof/>
        </w:rPr>
        <w:t>27</w:t>
      </w:r>
      <w:r w:rsidR="00EA2F38">
        <w:fldChar w:fldCharType="end"/>
      </w:r>
      <w:r w:rsidRPr="00A40CD0">
        <w:t>). The spatial patterns in exceedance</w:t>
      </w:r>
      <w:r w:rsidR="0051502F">
        <w:t xml:space="preserve"> </w:t>
      </w:r>
      <w:r w:rsidR="00642F43">
        <w:t xml:space="preserve">in </w:t>
      </w:r>
      <w:r w:rsidR="00EA2F38">
        <w:fldChar w:fldCharType="begin"/>
      </w:r>
      <w:r w:rsidR="0051502F">
        <w:instrText xml:space="preserve"> REF _Ref263849521 \h </w:instrText>
      </w:r>
      <w:r w:rsidR="00EA2F38">
        <w:fldChar w:fldCharType="separate"/>
      </w:r>
      <w:r w:rsidR="00B11F3B" w:rsidRPr="00A40CD0">
        <w:t xml:space="preserve">Figure </w:t>
      </w:r>
      <w:r w:rsidR="00B11F3B">
        <w:rPr>
          <w:noProof/>
        </w:rPr>
        <w:t>66</w:t>
      </w:r>
      <w:r w:rsidR="00EA2F38">
        <w:fldChar w:fldCharType="end"/>
      </w:r>
      <w:r w:rsidR="0051502F">
        <w:t xml:space="preserve"> </w:t>
      </w:r>
      <w:r w:rsidR="00642F43">
        <w:t xml:space="preserve">and </w:t>
      </w:r>
      <w:r w:rsidR="00EA2F38">
        <w:fldChar w:fldCharType="begin"/>
      </w:r>
      <w:r w:rsidR="00642F43">
        <w:instrText xml:space="preserve"> REF _Ref247857468 \h </w:instrText>
      </w:r>
      <w:r w:rsidR="00EA2F38">
        <w:fldChar w:fldCharType="separate"/>
      </w:r>
      <w:r w:rsidR="00B11F3B" w:rsidRPr="00A40CD0">
        <w:t xml:space="preserve">Figure </w:t>
      </w:r>
      <w:r w:rsidR="00B11F3B">
        <w:rPr>
          <w:noProof/>
        </w:rPr>
        <w:t>69</w:t>
      </w:r>
      <w:r w:rsidR="00EA2F38">
        <w:fldChar w:fldCharType="end"/>
      </w:r>
      <w:r w:rsidRPr="00A40CD0">
        <w:t xml:space="preserve"> were affected by the coastal to offshore gradients that can be observed in the median maps (</w:t>
      </w:r>
      <w:r w:rsidR="008A285B">
        <w:fldChar w:fldCharType="begin"/>
      </w:r>
      <w:r w:rsidR="008A285B">
        <w:instrText xml:space="preserve"> REF _Ref247857037 \h  \* MERGEFORMAT </w:instrText>
      </w:r>
      <w:r w:rsidR="008A285B">
        <w:fldChar w:fldCharType="separate"/>
      </w:r>
      <w:r w:rsidR="00B11F3B" w:rsidRPr="00A40CD0">
        <w:t xml:space="preserve">Figure </w:t>
      </w:r>
      <w:r w:rsidR="00B11F3B">
        <w:t>63</w:t>
      </w:r>
      <w:r w:rsidR="008A285B">
        <w:fldChar w:fldCharType="end"/>
      </w:r>
      <w:r w:rsidRPr="00A40CD0">
        <w:t xml:space="preserve">, </w:t>
      </w:r>
      <w:r w:rsidR="008A285B">
        <w:fldChar w:fldCharType="begin"/>
      </w:r>
      <w:r w:rsidR="008A285B">
        <w:instrText xml:space="preserve"> REF _Ref247857459 \h  \* MERGEFORMAT </w:instrText>
      </w:r>
      <w:r w:rsidR="008A285B">
        <w:fldChar w:fldCharType="separate"/>
      </w:r>
      <w:r w:rsidR="00B11F3B" w:rsidRPr="00A40CD0">
        <w:t xml:space="preserve">Figure </w:t>
      </w:r>
      <w:r w:rsidR="00B11F3B">
        <w:t>64</w:t>
      </w:r>
      <w:r w:rsidR="008A285B">
        <w:fldChar w:fldCharType="end"/>
      </w:r>
      <w:r w:rsidRPr="00A40CD0">
        <w:t xml:space="preserve">) and by the steep changes in trigger values between the Midshelf and Offshore areas </w:t>
      </w:r>
      <w:r w:rsidR="0051502F">
        <w:t>(</w:t>
      </w:r>
      <w:r w:rsidR="00EA2F38">
        <w:fldChar w:fldCharType="begin"/>
      </w:r>
      <w:r w:rsidR="00D90A4A">
        <w:instrText xml:space="preserve"> REF _Ref274649249 \h </w:instrText>
      </w:r>
      <w:r w:rsidR="00EA2F38">
        <w:fldChar w:fldCharType="separate"/>
      </w:r>
      <w:r w:rsidR="00B11F3B" w:rsidRPr="00A40CD0">
        <w:t xml:space="preserve">Table </w:t>
      </w:r>
      <w:r w:rsidR="00B11F3B">
        <w:rPr>
          <w:noProof/>
        </w:rPr>
        <w:t>3</w:t>
      </w:r>
      <w:r w:rsidR="00EA2F38">
        <w:fldChar w:fldCharType="end"/>
      </w:r>
      <w:r w:rsidRPr="00A40CD0">
        <w:t xml:space="preserve"> and </w:t>
      </w:r>
      <w:r w:rsidR="00EA2F38">
        <w:fldChar w:fldCharType="begin"/>
      </w:r>
      <w:r w:rsidR="00D90A4A">
        <w:instrText xml:space="preserve"> REF _Ref302490860 \h </w:instrText>
      </w:r>
      <w:r w:rsidR="00EA2F38">
        <w:fldChar w:fldCharType="separate"/>
      </w:r>
      <w:r w:rsidR="00B11F3B" w:rsidRPr="00A40CD0">
        <w:t xml:space="preserve">Table </w:t>
      </w:r>
      <w:r w:rsidR="00B11F3B">
        <w:rPr>
          <w:noProof/>
        </w:rPr>
        <w:t>4</w:t>
      </w:r>
      <w:r w:rsidR="00EA2F38">
        <w:fldChar w:fldCharType="end"/>
      </w:r>
      <w:r w:rsidRPr="00A40CD0">
        <w:t>).</w:t>
      </w:r>
    </w:p>
    <w:p w:rsidR="00B25CAA" w:rsidRPr="00A40CD0" w:rsidRDefault="00EA2F38" w:rsidP="002E0BD6">
      <w:pPr>
        <w:pStyle w:val="BodyText"/>
      </w:pPr>
      <w:r>
        <w:fldChar w:fldCharType="begin"/>
      </w:r>
      <w:r w:rsidR="00057673">
        <w:instrText xml:space="preserve"> REF _Ref273087690 \h </w:instrText>
      </w:r>
      <w:r>
        <w:fldChar w:fldCharType="separate"/>
      </w:r>
      <w:r w:rsidR="00B11F3B" w:rsidRPr="00A40CD0">
        <w:t xml:space="preserve">Table </w:t>
      </w:r>
      <w:r w:rsidR="00B11F3B">
        <w:rPr>
          <w:noProof/>
        </w:rPr>
        <w:t>30</w:t>
      </w:r>
      <w:r>
        <w:fldChar w:fldCharType="end"/>
      </w:r>
      <w:r w:rsidR="00057673">
        <w:t xml:space="preserve"> </w:t>
      </w:r>
      <w:r w:rsidR="00B25CAA" w:rsidRPr="00A40CD0">
        <w:t xml:space="preserve">and </w:t>
      </w:r>
      <w:r>
        <w:fldChar w:fldCharType="begin"/>
      </w:r>
      <w:r w:rsidR="00D90A4A">
        <w:instrText xml:space="preserve"> REF _Ref248512142 \h </w:instrText>
      </w:r>
      <w:r>
        <w:fldChar w:fldCharType="separate"/>
      </w:r>
      <w:r w:rsidR="00B11F3B" w:rsidRPr="00A40CD0">
        <w:t xml:space="preserve">Table </w:t>
      </w:r>
      <w:r w:rsidR="00B11F3B">
        <w:rPr>
          <w:noProof/>
        </w:rPr>
        <w:t>31</w:t>
      </w:r>
      <w:r>
        <w:fldChar w:fldCharType="end"/>
      </w:r>
      <w:r w:rsidR="00B25CAA" w:rsidRPr="00A40CD0">
        <w:t xml:space="preserve"> report the Summary of exceedance for both variables, providing mean and median concentrations computed on all the valid observations for each water body for each season, along wi</w:t>
      </w:r>
      <w:r w:rsidR="00A85B63">
        <w:t>th the EF</w:t>
      </w:r>
      <w:r w:rsidR="00B25CAA" w:rsidRPr="00A40CD0">
        <w:t xml:space="preserve"> for that period. These metrics are based on a high number of observations (ranging from 90 thousand valid observations for Open Coastal area in the wet season to over 1.1 million for the Offshore area in the dry season). According to these metrics both the mean and the median CHL values exceeded the Guidelines values for the Open Coastal area in both seasons, while the mean TSS concentrations exceeded the Guidelines values for the Open Coastal area and Offshore area in both seasons. The mean and median values for the TSS concentration differed substantially (for all water bodies and seasons). The mean values were ~ 2-3 times higher than medians.</w:t>
      </w:r>
    </w:p>
    <w:p w:rsidR="00B25CAA" w:rsidRPr="00A40CD0" w:rsidRDefault="00B25CAA" w:rsidP="00CD6152"/>
    <w:p w:rsidR="00B25CAA" w:rsidRPr="00A40CD0" w:rsidRDefault="00B25CAA" w:rsidP="00CD6152">
      <w:r w:rsidRPr="00A40CD0">
        <w:br w:type="page"/>
      </w:r>
    </w:p>
    <w:p w:rsidR="00B25CAA" w:rsidRPr="00A40CD0" w:rsidRDefault="00B25CAA" w:rsidP="002E0BD6">
      <w:pPr>
        <w:pStyle w:val="BodyText"/>
      </w:pPr>
      <w:bookmarkStart w:id="366" w:name="_Ref258848325"/>
      <w:bookmarkStart w:id="367" w:name="_Toc228588252"/>
      <w:bookmarkStart w:id="368" w:name="_Toc399264956"/>
      <w:bookmarkStart w:id="369" w:name="_Ref248512137"/>
      <w:r w:rsidRPr="00A40CD0">
        <w:lastRenderedPageBreak/>
        <w:t xml:space="preserve">Table </w:t>
      </w:r>
      <w:fldSimple w:instr=" SEQ Table \* ARABIC ">
        <w:r w:rsidR="00B11F3B">
          <w:rPr>
            <w:noProof/>
          </w:rPr>
          <w:t>27</w:t>
        </w:r>
      </w:fldSimple>
      <w:bookmarkEnd w:id="366"/>
      <w:r w:rsidRPr="00A40CD0">
        <w:t xml:space="preserve"> Summary of the annual exceedance maps for Chlorophyll-a and Total Suspended Solids for the Mackay-Whitsunday region. "Surface Area" is the surface area in square kilometres for each of the three reporting water bodies </w:t>
      </w:r>
      <w:r w:rsidR="00193A93">
        <w:t xml:space="preserve">for this region: (EC: Enclosed Coastal, OC: Open Coastal, IS: Inshore, MS: Midshelf, OS: Offshore), </w:t>
      </w:r>
      <w:r w:rsidRPr="00A40CD0">
        <w:t>,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367"/>
      <w:bookmarkEnd w:id="368"/>
    </w:p>
    <w:tbl>
      <w:tblPr>
        <w:tblStyle w:val="TableGrid"/>
        <w:tblW w:w="0" w:type="auto"/>
        <w:tblLook w:val="04A0" w:firstRow="1" w:lastRow="0" w:firstColumn="1" w:lastColumn="0" w:noHBand="0" w:noVBand="1"/>
      </w:tblPr>
      <w:tblGrid>
        <w:gridCol w:w="535"/>
        <w:gridCol w:w="1118"/>
        <w:gridCol w:w="1396"/>
        <w:gridCol w:w="1373"/>
        <w:gridCol w:w="1153"/>
        <w:gridCol w:w="1279"/>
        <w:gridCol w:w="1153"/>
        <w:gridCol w:w="1279"/>
      </w:tblGrid>
      <w:tr w:rsidR="00F20F80" w:rsidRPr="009E5DAC" w:rsidTr="00F20F80">
        <w:tc>
          <w:tcPr>
            <w:tcW w:w="0" w:type="auto"/>
          </w:tcPr>
          <w:p w:rsidR="00F20F80" w:rsidRPr="009E5DAC" w:rsidRDefault="002E2342" w:rsidP="003E6AED">
            <w:pPr>
              <w:pStyle w:val="PlainText"/>
              <w:rPr>
                <w:rFonts w:ascii="Times New Roman" w:hAnsi="Times New Roman"/>
                <w:sz w:val="22"/>
                <w:szCs w:val="22"/>
              </w:rPr>
            </w:pPr>
            <w:bookmarkStart w:id="370" w:name="_Ref258848328"/>
            <w:r>
              <w:rPr>
                <w:rFonts w:ascii="Times New Roman" w:hAnsi="Times New Roman"/>
                <w:sz w:val="22"/>
                <w:szCs w:val="22"/>
              </w:rPr>
              <w:t>-</w:t>
            </w:r>
          </w:p>
        </w:tc>
        <w:tc>
          <w:tcPr>
            <w:tcW w:w="0" w:type="auto"/>
          </w:tcPr>
          <w:p w:rsidR="00F20F80" w:rsidRPr="009E5DAC" w:rsidRDefault="00F20F80" w:rsidP="003E6AED">
            <w:pPr>
              <w:pStyle w:val="PlainText"/>
              <w:rPr>
                <w:rFonts w:ascii="Times New Roman" w:hAnsi="Times New Roman"/>
                <w:sz w:val="22"/>
                <w:szCs w:val="22"/>
              </w:rPr>
            </w:pPr>
          </w:p>
        </w:tc>
        <w:tc>
          <w:tcPr>
            <w:tcW w:w="0" w:type="auto"/>
            <w:gridSpan w:val="2"/>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01-May-2011_30-Apr-2012</w:t>
            </w:r>
          </w:p>
        </w:tc>
        <w:tc>
          <w:tcPr>
            <w:tcW w:w="0" w:type="auto"/>
            <w:gridSpan w:val="2"/>
          </w:tcPr>
          <w:p w:rsidR="00F20F80" w:rsidRPr="00A40CD0" w:rsidRDefault="00F20F80" w:rsidP="002E0BD6">
            <w:pPr>
              <w:pStyle w:val="BodyText"/>
            </w:pPr>
            <w:r w:rsidRPr="00A40CD0">
              <w:t>Chlorophyll-a</w:t>
            </w:r>
          </w:p>
        </w:tc>
        <w:tc>
          <w:tcPr>
            <w:tcW w:w="0" w:type="auto"/>
            <w:gridSpan w:val="2"/>
            <w:vAlign w:val="bottom"/>
          </w:tcPr>
          <w:p w:rsidR="00F20F80" w:rsidRPr="00A40CD0" w:rsidRDefault="00F20F80" w:rsidP="002E0BD6">
            <w:pPr>
              <w:pStyle w:val="BodyText"/>
            </w:pPr>
            <w:r w:rsidRPr="00A40CD0">
              <w:t>Total Suspended Solids</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925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60113</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324675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57%</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3651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296878</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1281501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r>
      <w:tr w:rsidR="00F20F80" w:rsidRPr="009E5DAC" w:rsidTr="00F20F80">
        <w:tc>
          <w:tcPr>
            <w:tcW w:w="0" w:type="auto"/>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4576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356991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1606176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42%</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19%</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11389</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827097</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3997539</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25580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1582624</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8978580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r>
    </w:tbl>
    <w:p w:rsidR="00B25CAA" w:rsidRPr="00A40CD0" w:rsidRDefault="00B25CAA" w:rsidP="00175941"/>
    <w:p w:rsidR="00B25CAA" w:rsidRPr="00A40CD0" w:rsidRDefault="00B25CAA" w:rsidP="002E0BD6">
      <w:pPr>
        <w:pStyle w:val="BodyText"/>
      </w:pPr>
      <w:bookmarkStart w:id="371" w:name="_Ref263854436"/>
      <w:bookmarkStart w:id="372" w:name="_Toc228588253"/>
      <w:bookmarkStart w:id="373" w:name="_Toc399264957"/>
      <w:r w:rsidRPr="00A40CD0">
        <w:t xml:space="preserve">Table </w:t>
      </w:r>
      <w:fldSimple w:instr=" SEQ Table \* ARABIC ">
        <w:r w:rsidR="00B11F3B">
          <w:rPr>
            <w:noProof/>
          </w:rPr>
          <w:t>28</w:t>
        </w:r>
      </w:fldSimple>
      <w:bookmarkEnd w:id="369"/>
      <w:bookmarkEnd w:id="370"/>
      <w:bookmarkEnd w:id="371"/>
      <w:r w:rsidRPr="00A40CD0">
        <w:t>. Summary of the exceedance maps for Chlorophyll-a for the dry and wet season for the Mackay Whitsunday region (</w:t>
      </w:r>
      <w:r w:rsidR="008A285B">
        <w:fldChar w:fldCharType="begin"/>
      </w:r>
      <w:r w:rsidR="008A285B">
        <w:instrText xml:space="preserve"> REF _Ref247953242 \h  \* MERGEFORMAT </w:instrText>
      </w:r>
      <w:r w:rsidR="008A285B">
        <w:fldChar w:fldCharType="separate"/>
      </w:r>
      <w:r w:rsidR="00B11F3B" w:rsidRPr="00A40CD0">
        <w:t xml:space="preserve">Figure </w:t>
      </w:r>
      <w:r w:rsidR="00B11F3B">
        <w:t>67</w:t>
      </w:r>
      <w:r w:rsidR="008A285B">
        <w:fldChar w:fldCharType="end"/>
      </w:r>
      <w:r w:rsidRPr="00A40CD0">
        <w:t xml:space="preserve">, </w:t>
      </w:r>
      <w:r w:rsidR="00EA2F38">
        <w:fldChar w:fldCharType="begin"/>
      </w:r>
      <w:r w:rsidR="00D90A4A">
        <w:instrText xml:space="preserve"> REF _Ref247857467 \h </w:instrText>
      </w:r>
      <w:r w:rsidR="00EA2F38">
        <w:fldChar w:fldCharType="separate"/>
      </w:r>
      <w:r w:rsidR="00B11F3B" w:rsidRPr="00A40CD0">
        <w:t xml:space="preserve">Figure </w:t>
      </w:r>
      <w:r w:rsidR="00B11F3B">
        <w:rPr>
          <w:noProof/>
        </w:rPr>
        <w:t>68</w:t>
      </w:r>
      <w:r w:rsidR="00EA2F38">
        <w:fldChar w:fldCharType="end"/>
      </w:r>
      <w:r w:rsidRPr="00A40CD0">
        <w:t xml:space="preserve">). Column and row labels are described in the legend of </w:t>
      </w:r>
      <w:r w:rsidR="00EA2F38">
        <w:fldChar w:fldCharType="begin"/>
      </w:r>
      <w:r w:rsidR="00D90A4A">
        <w:instrText xml:space="preserve"> REF _Ref258848325 \h </w:instrText>
      </w:r>
      <w:r w:rsidR="00EA2F38">
        <w:fldChar w:fldCharType="separate"/>
      </w:r>
      <w:r w:rsidR="00B11F3B" w:rsidRPr="00A40CD0">
        <w:t xml:space="preserve">Table </w:t>
      </w:r>
      <w:r w:rsidR="00B11F3B">
        <w:rPr>
          <w:noProof/>
        </w:rPr>
        <w:t>27</w:t>
      </w:r>
      <w:r w:rsidR="00EA2F38">
        <w:fldChar w:fldCharType="end"/>
      </w:r>
      <w:r w:rsidRPr="00A40CD0">
        <w:t>.</w:t>
      </w:r>
      <w:bookmarkEnd w:id="372"/>
      <w:bookmarkEnd w:id="373"/>
    </w:p>
    <w:tbl>
      <w:tblPr>
        <w:tblStyle w:val="TableGrid"/>
        <w:tblW w:w="0" w:type="auto"/>
        <w:tblLook w:val="04A0" w:firstRow="1" w:lastRow="0" w:firstColumn="1" w:lastColumn="0" w:noHBand="0" w:noVBand="1"/>
      </w:tblPr>
      <w:tblGrid>
        <w:gridCol w:w="950"/>
        <w:gridCol w:w="896"/>
        <w:gridCol w:w="1023"/>
        <w:gridCol w:w="986"/>
        <w:gridCol w:w="825"/>
        <w:gridCol w:w="898"/>
        <w:gridCol w:w="999"/>
        <w:gridCol w:w="986"/>
        <w:gridCol w:w="825"/>
        <w:gridCol w:w="898"/>
      </w:tblGrid>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MCKY-B09</w:t>
            </w:r>
          </w:p>
        </w:tc>
        <w:tc>
          <w:tcPr>
            <w:tcW w:w="905" w:type="dxa"/>
          </w:tcPr>
          <w:p w:rsidR="00F20F80" w:rsidRPr="009E5DAC" w:rsidRDefault="00F20F80" w:rsidP="003E6AED">
            <w:pPr>
              <w:pStyle w:val="PlainText"/>
              <w:rPr>
                <w:rFonts w:ascii="Times New Roman" w:hAnsi="Times New Roman"/>
                <w:sz w:val="22"/>
                <w:szCs w:val="22"/>
              </w:rPr>
            </w:pPr>
          </w:p>
        </w:tc>
        <w:tc>
          <w:tcPr>
            <w:tcW w:w="3798"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799"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925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41970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152625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38%</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18143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172050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3651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203029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602415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93849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679086</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28%</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22%</w:t>
            </w:r>
          </w:p>
        </w:tc>
      </w:tr>
      <w:tr w:rsidR="00F20F80" w:rsidRPr="009E5DAC" w:rsidTr="003E6AED">
        <w:tc>
          <w:tcPr>
            <w:tcW w:w="951"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4576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244999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755040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111992</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851136</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11389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568500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1879185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258597</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2118354</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25580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1028995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4220700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22%</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553629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4757880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Default="00B25CAA" w:rsidP="002E0BD6">
      <w:pPr>
        <w:pStyle w:val="BodyText"/>
      </w:pPr>
    </w:p>
    <w:p w:rsidR="000672E5" w:rsidRDefault="000672E5" w:rsidP="002E0BD6">
      <w:pPr>
        <w:pStyle w:val="BodyText"/>
      </w:pPr>
    </w:p>
    <w:p w:rsidR="000672E5" w:rsidRDefault="000672E5" w:rsidP="002E0BD6">
      <w:pPr>
        <w:pStyle w:val="BodyText"/>
      </w:pPr>
    </w:p>
    <w:p w:rsidR="000672E5" w:rsidRPr="00A40CD0" w:rsidRDefault="000672E5" w:rsidP="002E0BD6">
      <w:pPr>
        <w:pStyle w:val="BodyText"/>
      </w:pPr>
    </w:p>
    <w:p w:rsidR="00B25CAA" w:rsidRPr="00A40CD0" w:rsidRDefault="00B25CAA" w:rsidP="002E0BD6">
      <w:pPr>
        <w:pStyle w:val="BodyText"/>
      </w:pPr>
      <w:bookmarkStart w:id="374" w:name="_Ref248512138"/>
      <w:bookmarkStart w:id="375" w:name="_Toc228588254"/>
      <w:bookmarkStart w:id="376" w:name="_Toc399264958"/>
      <w:r w:rsidRPr="00A40CD0">
        <w:lastRenderedPageBreak/>
        <w:t xml:space="preserve">Table </w:t>
      </w:r>
      <w:fldSimple w:instr=" SEQ Table \* ARABIC ">
        <w:r w:rsidR="00B11F3B">
          <w:rPr>
            <w:noProof/>
          </w:rPr>
          <w:t>29</w:t>
        </w:r>
      </w:fldSimple>
      <w:bookmarkEnd w:id="374"/>
      <w:r w:rsidRPr="00A40CD0">
        <w:t>. Summary of the exceedance maps for Non-algal particulate matter (NAP as a measure of TSS)  for the dry and wet season for the Mackay Whitsunday region (</w:t>
      </w:r>
      <w:r w:rsidR="00EA2F38">
        <w:fldChar w:fldCharType="begin"/>
      </w:r>
      <w:r w:rsidR="00D90A4A">
        <w:instrText xml:space="preserve"> REF _Ref247857468 \h </w:instrText>
      </w:r>
      <w:r w:rsidR="00EA2F38">
        <w:fldChar w:fldCharType="separate"/>
      </w:r>
      <w:r w:rsidR="00B11F3B" w:rsidRPr="00A40CD0">
        <w:t xml:space="preserve">Figure </w:t>
      </w:r>
      <w:r w:rsidR="00B11F3B">
        <w:rPr>
          <w:noProof/>
        </w:rPr>
        <w:t>69</w:t>
      </w:r>
      <w:r w:rsidR="00EA2F38">
        <w:fldChar w:fldCharType="end"/>
      </w:r>
      <w:r w:rsidRPr="00A40CD0">
        <w:t xml:space="preserve">, </w:t>
      </w:r>
      <w:r w:rsidR="00EA2F38">
        <w:fldChar w:fldCharType="begin"/>
      </w:r>
      <w:r w:rsidR="00D90A4A">
        <w:instrText xml:space="preserve"> REF _Ref247857469 \h </w:instrText>
      </w:r>
      <w:r w:rsidR="00EA2F38">
        <w:fldChar w:fldCharType="separate"/>
      </w:r>
      <w:r w:rsidR="00B11F3B" w:rsidRPr="00A40CD0">
        <w:t xml:space="preserve">Figure </w:t>
      </w:r>
      <w:r w:rsidR="00B11F3B">
        <w:rPr>
          <w:noProof/>
        </w:rPr>
        <w:t>70</w:t>
      </w:r>
      <w:r w:rsidR="00EA2F38">
        <w:fldChar w:fldCharType="end"/>
      </w:r>
      <w:r w:rsidRPr="00A40CD0">
        <w:t xml:space="preserve">). Column and row labels are described in the legend of </w:t>
      </w:r>
      <w:r w:rsidR="00EA2F38">
        <w:fldChar w:fldCharType="begin"/>
      </w:r>
      <w:r w:rsidR="00D90A4A">
        <w:instrText xml:space="preserve"> REF _Ref258848325 \h </w:instrText>
      </w:r>
      <w:r w:rsidR="00EA2F38">
        <w:fldChar w:fldCharType="separate"/>
      </w:r>
      <w:r w:rsidR="00B11F3B" w:rsidRPr="00A40CD0">
        <w:t xml:space="preserve">Table </w:t>
      </w:r>
      <w:r w:rsidR="00B11F3B">
        <w:rPr>
          <w:noProof/>
        </w:rPr>
        <w:t>27</w:t>
      </w:r>
      <w:r w:rsidR="00EA2F38">
        <w:fldChar w:fldCharType="end"/>
      </w:r>
      <w:r w:rsidRPr="00A40CD0">
        <w:t>.</w:t>
      </w:r>
      <w:bookmarkEnd w:id="375"/>
      <w:bookmarkEnd w:id="376"/>
    </w:p>
    <w:tbl>
      <w:tblPr>
        <w:tblStyle w:val="TableGrid"/>
        <w:tblW w:w="0" w:type="auto"/>
        <w:tblLook w:val="04A0" w:firstRow="1" w:lastRow="0" w:firstColumn="1" w:lastColumn="0" w:noHBand="0" w:noVBand="1"/>
      </w:tblPr>
      <w:tblGrid>
        <w:gridCol w:w="859"/>
        <w:gridCol w:w="901"/>
        <w:gridCol w:w="1044"/>
        <w:gridCol w:w="986"/>
        <w:gridCol w:w="836"/>
        <w:gridCol w:w="902"/>
        <w:gridCol w:w="1033"/>
        <w:gridCol w:w="986"/>
        <w:gridCol w:w="837"/>
        <w:gridCol w:w="902"/>
      </w:tblGrid>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bookmarkStart w:id="377" w:name="_Ref248512139"/>
          </w:p>
        </w:tc>
        <w:tc>
          <w:tcPr>
            <w:tcW w:w="905" w:type="dxa"/>
          </w:tcPr>
          <w:p w:rsidR="00F20F80" w:rsidRPr="009E5DAC" w:rsidRDefault="00F20F80" w:rsidP="003E6AED">
            <w:pPr>
              <w:pStyle w:val="PlainText"/>
              <w:rPr>
                <w:rFonts w:ascii="Times New Roman" w:hAnsi="Times New Roman"/>
                <w:sz w:val="22"/>
                <w:szCs w:val="22"/>
              </w:rPr>
            </w:pPr>
          </w:p>
        </w:tc>
        <w:tc>
          <w:tcPr>
            <w:tcW w:w="3798"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799"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925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41970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152625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63%</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18143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172050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3651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203029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602415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55%</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93849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679086</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w:t>
            </w:r>
          </w:p>
        </w:tc>
      </w:tr>
      <w:tr w:rsidR="00F20F80" w:rsidRPr="009E5DAC" w:rsidTr="003E6AED">
        <w:tc>
          <w:tcPr>
            <w:tcW w:w="951"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4576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244999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755040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27%</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111992</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851136</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31%</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11389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568500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1879185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258597</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2118354</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25580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1028995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4220700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553629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4757880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r>
    </w:tbl>
    <w:p w:rsidR="00B25CAA" w:rsidRDefault="00B25CAA"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Pr="00A40CD0" w:rsidRDefault="000672E5" w:rsidP="002E0BD6">
      <w:pPr>
        <w:pStyle w:val="BodyText"/>
      </w:pPr>
    </w:p>
    <w:p w:rsidR="00B25CAA" w:rsidRPr="00A40CD0" w:rsidRDefault="00B25CAA" w:rsidP="002E0BD6">
      <w:pPr>
        <w:pStyle w:val="BodyText"/>
      </w:pPr>
      <w:bookmarkStart w:id="378" w:name="_Ref273087690"/>
      <w:bookmarkStart w:id="379" w:name="_Toc228588255"/>
      <w:bookmarkStart w:id="380" w:name="_Toc399264959"/>
      <w:r w:rsidRPr="00A40CD0">
        <w:lastRenderedPageBreak/>
        <w:t xml:space="preserve">Table </w:t>
      </w:r>
      <w:fldSimple w:instr=" SEQ Table \* ARABIC ">
        <w:r w:rsidR="00B11F3B">
          <w:rPr>
            <w:noProof/>
          </w:rPr>
          <w:t>30</w:t>
        </w:r>
      </w:fldSimple>
      <w:bookmarkEnd w:id="377"/>
      <w:bookmarkEnd w:id="378"/>
      <w:r w:rsidRPr="00A40CD0">
        <w:t xml:space="preserve">. Summary of Chlorophyll-a exceedance for the dry and wet season for the Mackay Whitsunday region. “Number valid obs." is the number of pixels with valid observations (i.e. cloud-free and error-free pixels) for each of the three reporting water bodies </w:t>
      </w:r>
      <w:r w:rsidR="00193A93">
        <w:t xml:space="preserve">for this region: (EC: Enclosed Coastal, OC: Open Coastal,  MS: Midshelf, OS: Offshore), </w:t>
      </w:r>
      <w:r w:rsidRPr="00A40CD0">
        <w:t xml:space="preserve">, "Number total obs." provides the total number of observations. Mean and median are presented in red and bold if they exceed the trigger value in the Guidelines. The seasonally adjusted Guideline values for Chlorophyll-a for the dry/wet season are </w:t>
      </w:r>
      <w:r w:rsidR="00AF0243">
        <w:t>1.4/2.8</w:t>
      </w:r>
      <w:r w:rsidR="00AF0243" w:rsidRPr="00A40CD0">
        <w:t xml:space="preserve"> µg L</w:t>
      </w:r>
      <w:r w:rsidR="00AF0243" w:rsidRPr="00A40CD0">
        <w:rPr>
          <w:vertAlign w:val="superscript"/>
        </w:rPr>
        <w:t>-1</w:t>
      </w:r>
      <w:r w:rsidR="00AF0243" w:rsidRPr="00A40CD0">
        <w:t xml:space="preserve"> for </w:t>
      </w:r>
      <w:r w:rsidR="00AF0243">
        <w:t>Enclosed</w:t>
      </w:r>
      <w:r w:rsidR="00AF0243" w:rsidRPr="00A40CD0">
        <w:t xml:space="preserve"> Coastal</w:t>
      </w:r>
      <w:r w:rsidR="00AF0243">
        <w:t>,</w:t>
      </w:r>
      <w:r w:rsidR="00AF0243" w:rsidRPr="00A40CD0">
        <w:t xml:space="preserve"> </w:t>
      </w:r>
      <w:r w:rsidRPr="00A40CD0">
        <w:t>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79"/>
      <w:bookmarkEnd w:id="380"/>
    </w:p>
    <w:tbl>
      <w:tblPr>
        <w:tblStyle w:val="TableGrid"/>
        <w:tblW w:w="9453" w:type="dxa"/>
        <w:tblLook w:val="04A0" w:firstRow="1" w:lastRow="0" w:firstColumn="1" w:lastColumn="0" w:noHBand="0" w:noVBand="1"/>
      </w:tblPr>
      <w:tblGrid>
        <w:gridCol w:w="950"/>
        <w:gridCol w:w="1019"/>
        <w:gridCol w:w="986"/>
        <w:gridCol w:w="717"/>
        <w:gridCol w:w="889"/>
        <w:gridCol w:w="620"/>
        <w:gridCol w:w="1060"/>
        <w:gridCol w:w="986"/>
        <w:gridCol w:w="717"/>
        <w:gridCol w:w="889"/>
        <w:gridCol w:w="620"/>
      </w:tblGrid>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p>
        </w:tc>
        <w:tc>
          <w:tcPr>
            <w:tcW w:w="4231"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272"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41970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152625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0.72</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18143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172050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1.61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0.94</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16%</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203029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602415</w:t>
            </w:r>
          </w:p>
        </w:tc>
        <w:tc>
          <w:tcPr>
            <w:tcW w:w="717"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0.44</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0.39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64%</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93849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679086</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568500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1879185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0.24</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34%</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258597</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2118354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1028995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4220700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33%</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553629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4757880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w:t>
            </w:r>
          </w:p>
        </w:tc>
      </w:tr>
    </w:tbl>
    <w:p w:rsidR="00B25CAA" w:rsidRPr="00A40CD0" w:rsidRDefault="00B25CAA" w:rsidP="002E0BD6">
      <w:pPr>
        <w:pStyle w:val="BodyText"/>
      </w:pPr>
    </w:p>
    <w:p w:rsidR="00B25CAA" w:rsidRPr="00A40CD0" w:rsidRDefault="00B25CAA" w:rsidP="004F4DDE">
      <w:pPr>
        <w:pStyle w:val="Caption"/>
      </w:pPr>
      <w:bookmarkStart w:id="381" w:name="_Ref248512142"/>
      <w:bookmarkStart w:id="382" w:name="_Toc228588256"/>
      <w:bookmarkStart w:id="383" w:name="_Toc399264960"/>
      <w:r w:rsidRPr="00A40CD0">
        <w:t xml:space="preserve">Table </w:t>
      </w:r>
      <w:r w:rsidR="00EA2F38">
        <w:fldChar w:fldCharType="begin"/>
      </w:r>
      <w:r w:rsidR="00933C8B">
        <w:instrText xml:space="preserve"> SEQ Table \* ARABIC </w:instrText>
      </w:r>
      <w:r w:rsidR="00EA2F38">
        <w:fldChar w:fldCharType="separate"/>
      </w:r>
      <w:r w:rsidR="00B11F3B">
        <w:rPr>
          <w:noProof/>
        </w:rPr>
        <w:t>31</w:t>
      </w:r>
      <w:r w:rsidR="00EA2F38">
        <w:fldChar w:fldCharType="end"/>
      </w:r>
      <w:bookmarkEnd w:id="381"/>
      <w:r w:rsidRPr="00A40CD0">
        <w:t>. Summary of Non-algal particulate matter (NAP as a measure of TSS) exceedance for the dry and wet season for the Mackay Whitsunday region. Column and row labels are described in the legend Table 23. Mean and median are presented in red and bold if they exceed the trigger value in the Guidelines. The seasonally adjusted Guideline values for TSS for the dry/wet season means are</w:t>
      </w:r>
      <w:r w:rsidR="00EC419B">
        <w:t xml:space="preserve"> 4/6</w:t>
      </w:r>
      <w:r w:rsidR="00EC419B" w:rsidRPr="00A40CD0">
        <w:t xml:space="preserve"> mg L</w:t>
      </w:r>
      <w:r w:rsidR="00EC419B" w:rsidRPr="00A40CD0">
        <w:rPr>
          <w:vertAlign w:val="superscript"/>
        </w:rPr>
        <w:t>-1</w:t>
      </w:r>
      <w:r w:rsidR="00EC419B" w:rsidRPr="00A40CD0">
        <w:t xml:space="preserve"> for </w:t>
      </w:r>
      <w:r w:rsidR="00EC419B">
        <w:t>Enclosed</w:t>
      </w:r>
      <w:r w:rsidR="00EC419B" w:rsidRPr="00A40CD0">
        <w:t xml:space="preserve"> Coastal</w:t>
      </w:r>
      <w:r w:rsidR="00EC419B">
        <w:t>,</w:t>
      </w:r>
      <w:r w:rsidR="00EC419B" w:rsidRPr="00A40CD0">
        <w:t xml:space="preserve"> </w:t>
      </w:r>
      <w:r w:rsidRPr="00A40CD0">
        <w:t>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382"/>
      <w:bookmarkEnd w:id="383"/>
    </w:p>
    <w:tbl>
      <w:tblPr>
        <w:tblStyle w:val="TableGrid"/>
        <w:tblW w:w="0" w:type="auto"/>
        <w:tblLook w:val="04A0" w:firstRow="1" w:lastRow="0" w:firstColumn="1" w:lastColumn="0" w:noHBand="0" w:noVBand="1"/>
      </w:tblPr>
      <w:tblGrid>
        <w:gridCol w:w="939"/>
        <w:gridCol w:w="986"/>
        <w:gridCol w:w="986"/>
        <w:gridCol w:w="717"/>
        <w:gridCol w:w="889"/>
        <w:gridCol w:w="620"/>
        <w:gridCol w:w="937"/>
        <w:gridCol w:w="986"/>
        <w:gridCol w:w="717"/>
        <w:gridCol w:w="889"/>
        <w:gridCol w:w="620"/>
      </w:tblGrid>
      <w:tr w:rsidR="00EC0426" w:rsidRPr="00453395" w:rsidTr="004E6BD5">
        <w:tc>
          <w:tcPr>
            <w:tcW w:w="939" w:type="dxa"/>
          </w:tcPr>
          <w:p w:rsidR="00EC0426" w:rsidRPr="00453395" w:rsidRDefault="00EC0426" w:rsidP="00EC0426">
            <w:pPr>
              <w:pStyle w:val="PlainText"/>
              <w:rPr>
                <w:rFonts w:ascii="Times New Roman" w:hAnsi="Times New Roman"/>
                <w:sz w:val="22"/>
                <w:szCs w:val="22"/>
              </w:rPr>
            </w:pPr>
          </w:p>
        </w:tc>
        <w:tc>
          <w:tcPr>
            <w:tcW w:w="4198"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149"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4E6BD5">
        <w:tc>
          <w:tcPr>
            <w:tcW w:w="93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93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4E6BD5">
        <w:tc>
          <w:tcPr>
            <w:tcW w:w="93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41970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152625</w:t>
            </w:r>
          </w:p>
        </w:tc>
        <w:tc>
          <w:tcPr>
            <w:tcW w:w="717" w:type="dxa"/>
          </w:tcPr>
          <w:p w:rsidR="00EC0426" w:rsidRPr="00453395" w:rsidRDefault="00EC0426" w:rsidP="00EC0426">
            <w:pPr>
              <w:pStyle w:val="PlainText"/>
              <w:rPr>
                <w:rFonts w:ascii="Times New Roman" w:hAnsi="Times New Roman"/>
                <w:sz w:val="22"/>
                <w:szCs w:val="22"/>
              </w:rPr>
            </w:pPr>
            <w:r w:rsidRPr="00B803C4">
              <w:rPr>
                <w:rFonts w:ascii="Times New Roman" w:hAnsi="Times New Roman"/>
                <w:b/>
                <w:color w:val="FF0000"/>
                <w:sz w:val="22"/>
                <w:szCs w:val="22"/>
              </w:rPr>
              <w:t>6.55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2.66</w:t>
            </w:r>
          </w:p>
        </w:tc>
        <w:tc>
          <w:tcPr>
            <w:tcW w:w="620" w:type="dxa"/>
          </w:tcPr>
          <w:p w:rsidR="00EC0426" w:rsidRPr="00453395" w:rsidRDefault="00716080" w:rsidP="00EC0426">
            <w:pPr>
              <w:pStyle w:val="PlainText"/>
              <w:rPr>
                <w:rFonts w:ascii="Times New Roman" w:hAnsi="Times New Roman"/>
                <w:sz w:val="22"/>
                <w:szCs w:val="22"/>
              </w:rPr>
            </w:pPr>
            <w:r>
              <w:rPr>
                <w:rFonts w:ascii="Times New Roman" w:hAnsi="Times New Roman"/>
                <w:sz w:val="22"/>
                <w:szCs w:val="22"/>
              </w:rPr>
              <w:t>40</w:t>
            </w:r>
            <w:r w:rsidR="00EC0426" w:rsidRPr="00453395">
              <w:rPr>
                <w:rFonts w:ascii="Times New Roman" w:hAnsi="Times New Roman"/>
                <w:sz w:val="22"/>
                <w:szCs w:val="22"/>
              </w:rPr>
              <w:t>%</w:t>
            </w:r>
          </w:p>
        </w:tc>
        <w:tc>
          <w:tcPr>
            <w:tcW w:w="93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18143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172050</w:t>
            </w:r>
          </w:p>
        </w:tc>
        <w:tc>
          <w:tcPr>
            <w:tcW w:w="717" w:type="dxa"/>
          </w:tcPr>
          <w:p w:rsidR="00EC0426" w:rsidRPr="00453395" w:rsidRDefault="00EC0426" w:rsidP="00EC0426">
            <w:pPr>
              <w:pStyle w:val="PlainText"/>
              <w:rPr>
                <w:rFonts w:ascii="Times New Roman" w:hAnsi="Times New Roman"/>
                <w:sz w:val="22"/>
                <w:szCs w:val="22"/>
              </w:rPr>
            </w:pPr>
            <w:r w:rsidRPr="00B803C4">
              <w:rPr>
                <w:rFonts w:ascii="Times New Roman" w:hAnsi="Times New Roman"/>
                <w:b/>
                <w:color w:val="FF0000"/>
                <w:sz w:val="22"/>
                <w:szCs w:val="22"/>
              </w:rPr>
              <w:t>6.14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2.62</w:t>
            </w:r>
          </w:p>
        </w:tc>
        <w:tc>
          <w:tcPr>
            <w:tcW w:w="620" w:type="dxa"/>
          </w:tcPr>
          <w:p w:rsidR="00EC0426" w:rsidRPr="00453395" w:rsidRDefault="00716080" w:rsidP="00EC0426">
            <w:pPr>
              <w:pStyle w:val="PlainText"/>
              <w:rPr>
                <w:rFonts w:ascii="Times New Roman" w:hAnsi="Times New Roman"/>
                <w:sz w:val="22"/>
                <w:szCs w:val="22"/>
              </w:rPr>
            </w:pPr>
            <w:r>
              <w:rPr>
                <w:rFonts w:ascii="Times New Roman" w:hAnsi="Times New Roman"/>
                <w:sz w:val="22"/>
                <w:szCs w:val="22"/>
              </w:rPr>
              <w:t>27</w:t>
            </w:r>
            <w:r w:rsidR="00EC0426" w:rsidRPr="00453395">
              <w:rPr>
                <w:rFonts w:ascii="Times New Roman" w:hAnsi="Times New Roman"/>
                <w:sz w:val="22"/>
                <w:szCs w:val="22"/>
              </w:rPr>
              <w:t>%</w:t>
            </w:r>
          </w:p>
        </w:tc>
      </w:tr>
      <w:tr w:rsidR="00EC0426" w:rsidRPr="00453395" w:rsidTr="004E6BD5">
        <w:tc>
          <w:tcPr>
            <w:tcW w:w="93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203029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602415</w:t>
            </w:r>
          </w:p>
        </w:tc>
        <w:tc>
          <w:tcPr>
            <w:tcW w:w="717"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2.23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36%</w:t>
            </w:r>
          </w:p>
        </w:tc>
        <w:tc>
          <w:tcPr>
            <w:tcW w:w="93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93849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679086</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22%</w:t>
            </w:r>
          </w:p>
        </w:tc>
      </w:tr>
      <w:tr w:rsidR="00EC0426" w:rsidRPr="00453395" w:rsidTr="004E6BD5">
        <w:tc>
          <w:tcPr>
            <w:tcW w:w="93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568500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1879185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1.47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0.95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22%</w:t>
            </w:r>
          </w:p>
        </w:tc>
        <w:tc>
          <w:tcPr>
            <w:tcW w:w="93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258597</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2118354</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1.30</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0.76</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14%</w:t>
            </w:r>
          </w:p>
        </w:tc>
      </w:tr>
      <w:tr w:rsidR="00EC0426" w:rsidRPr="00453395" w:rsidTr="004E6BD5">
        <w:tc>
          <w:tcPr>
            <w:tcW w:w="93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1028995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4220700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0.30</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12%</w:t>
            </w:r>
          </w:p>
        </w:tc>
        <w:tc>
          <w:tcPr>
            <w:tcW w:w="93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553629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4757880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w:t>
            </w:r>
          </w:p>
        </w:tc>
      </w:tr>
    </w:tbl>
    <w:p w:rsidR="00B25CAA" w:rsidRPr="00A40CD0" w:rsidRDefault="00B25CAA" w:rsidP="000F21DC"/>
    <w:p w:rsidR="00B25CAA" w:rsidRPr="00A40CD0" w:rsidRDefault="00E01220" w:rsidP="00387EC7">
      <w:pPr>
        <w:pStyle w:val="Caption"/>
      </w:pPr>
      <w:r>
        <w:rPr>
          <w:noProof/>
        </w:rPr>
        <w:lastRenderedPageBreak/>
        <w:drawing>
          <wp:inline distT="0" distB="0" distL="0" distR="0">
            <wp:extent cx="4323727" cy="3960000"/>
            <wp:effectExtent l="0" t="0" r="0" b="2540"/>
            <wp:docPr id="292" name="Picture 292" descr="Map of freshwater extent for the wet season for the Mackay Whitsunday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DOM_MIM_Maximum_20111101_20120430.tif"/>
                    <pic:cNvPicPr/>
                  </pic:nvPicPr>
                  <pic:blipFill>
                    <a:blip r:embed="rId121"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293" name="Picture 293" descr="Map of freshwater extent for the wet season for the Mackay Whitsunday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DOM_MIM_maxGTtrigger_20111101_20120430.tif"/>
                    <pic:cNvPicPr/>
                  </pic:nvPicPr>
                  <pic:blipFill>
                    <a:blip r:embed="rId122"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387EC7">
      <w:pPr>
        <w:pStyle w:val="Caption"/>
      </w:pPr>
      <w:bookmarkStart w:id="384" w:name="_Ref257731739"/>
      <w:bookmarkStart w:id="385" w:name="_Toc228588342"/>
      <w:bookmarkStart w:id="386" w:name="_Toc399265048"/>
      <w:r w:rsidRPr="00A40CD0">
        <w:t xml:space="preserve">Figure </w:t>
      </w:r>
      <w:r w:rsidR="00EA2F38">
        <w:fldChar w:fldCharType="begin"/>
      </w:r>
      <w:r w:rsidR="00933C8B">
        <w:instrText xml:space="preserve"> SEQ Figure \* ARABIC </w:instrText>
      </w:r>
      <w:r w:rsidR="00EA2F38">
        <w:fldChar w:fldCharType="separate"/>
      </w:r>
      <w:r w:rsidR="00B11F3B">
        <w:rPr>
          <w:noProof/>
        </w:rPr>
        <w:t>62</w:t>
      </w:r>
      <w:r w:rsidR="00EA2F38">
        <w:fldChar w:fldCharType="end"/>
      </w:r>
      <w:bookmarkEnd w:id="384"/>
      <w:r w:rsidRPr="00A40CD0">
        <w:t xml:space="preserve">. Map of freshwater extent for the wet season for the Mackay Whitsunday region. The first map presents the maximum value of CDOM for </w:t>
      </w:r>
      <w:r w:rsidR="00D3208E">
        <w:t>the wet season 2011/2012 (November 2011 - April 2012)</w:t>
      </w:r>
      <w:r w:rsidRPr="00A40CD0">
        <w:t>, while the second map presents freshwater extent estimated with a threshold for the CDOM seasonal maximum of 0.24 m</w:t>
      </w:r>
      <w:r w:rsidRPr="00A40CD0">
        <w:rPr>
          <w:vertAlign w:val="superscript"/>
        </w:rPr>
        <w:t>-1</w:t>
      </w:r>
      <w:r w:rsidRPr="00A40CD0">
        <w:t>.</w:t>
      </w:r>
      <w:bookmarkEnd w:id="385"/>
      <w:bookmarkEnd w:id="386"/>
      <w:r w:rsidRPr="00A40CD0">
        <w:t xml:space="preserve"> </w:t>
      </w:r>
    </w:p>
    <w:p w:rsidR="00B25CAA" w:rsidRPr="00A40CD0" w:rsidRDefault="00E01220" w:rsidP="000F21DC">
      <w:r>
        <w:rPr>
          <w:noProof/>
        </w:rPr>
        <w:lastRenderedPageBreak/>
        <w:drawing>
          <wp:inline distT="0" distB="0" distL="0" distR="0">
            <wp:extent cx="3960000" cy="3626871"/>
            <wp:effectExtent l="0" t="0" r="2540" b="5715"/>
            <wp:docPr id="294" name="Picture 294" descr="Chlorophyll-a median maps for the dry and wet season for the Mackay Whitsunday region. The first map presents the median for the dry season 2011 (May - October), while the second map presents the median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Median_20110501_20111031.tif"/>
                    <pic:cNvPicPr/>
                  </pic:nvPicPr>
                  <pic:blipFill>
                    <a:blip r:embed="rId123" cstate="email">
                      <a:extLst>
                        <a:ext uri="{28A0092B-C50C-407E-A947-70E740481C1C}">
                          <a14:useLocalDpi xmlns:a14="http://schemas.microsoft.com/office/drawing/2010/main"/>
                        </a:ext>
                      </a:extLst>
                    </a:blip>
                    <a:stretch>
                      <a:fillRect/>
                    </a:stretch>
                  </pic:blipFill>
                  <pic:spPr>
                    <a:xfrm>
                      <a:off x="0" y="0"/>
                      <a:ext cx="3960000" cy="3626871"/>
                    </a:xfrm>
                    <a:prstGeom prst="rect">
                      <a:avLst/>
                    </a:prstGeom>
                  </pic:spPr>
                </pic:pic>
              </a:graphicData>
            </a:graphic>
          </wp:inline>
        </w:drawing>
      </w:r>
      <w:r>
        <w:rPr>
          <w:noProof/>
        </w:rPr>
        <w:drawing>
          <wp:inline distT="0" distB="0" distL="0" distR="0">
            <wp:extent cx="3960000" cy="3626871"/>
            <wp:effectExtent l="0" t="0" r="2540" b="5715"/>
            <wp:docPr id="295" name="Picture 295" descr="Chlorophyll-a median maps for the dry and wet season for the Mackay Whitsunday region. The first map presents the median for the dry season 2011 (May - October), while the second map presents the median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Median_20111101_20120430.tif"/>
                    <pic:cNvPicPr/>
                  </pic:nvPicPr>
                  <pic:blipFill>
                    <a:blip r:embed="rId124" cstate="email">
                      <a:extLst>
                        <a:ext uri="{28A0092B-C50C-407E-A947-70E740481C1C}">
                          <a14:useLocalDpi xmlns:a14="http://schemas.microsoft.com/office/drawing/2010/main"/>
                        </a:ext>
                      </a:extLst>
                    </a:blip>
                    <a:stretch>
                      <a:fillRect/>
                    </a:stretch>
                  </pic:blipFill>
                  <pic:spPr>
                    <a:xfrm>
                      <a:off x="0" y="0"/>
                      <a:ext cx="3960000" cy="3626871"/>
                    </a:xfrm>
                    <a:prstGeom prst="rect">
                      <a:avLst/>
                    </a:prstGeom>
                  </pic:spPr>
                </pic:pic>
              </a:graphicData>
            </a:graphic>
          </wp:inline>
        </w:drawing>
      </w:r>
    </w:p>
    <w:p w:rsidR="00B25CAA" w:rsidRPr="00A40CD0" w:rsidRDefault="00B25CAA" w:rsidP="004F4DDE">
      <w:pPr>
        <w:pStyle w:val="Caption"/>
      </w:pPr>
      <w:bookmarkStart w:id="387" w:name="_Ref247857037"/>
      <w:bookmarkStart w:id="388" w:name="_Toc228588343"/>
      <w:bookmarkStart w:id="389" w:name="_Toc399265049"/>
      <w:r w:rsidRPr="00A40CD0">
        <w:t xml:space="preserve">Figure </w:t>
      </w:r>
      <w:r w:rsidR="00EA2F38">
        <w:fldChar w:fldCharType="begin"/>
      </w:r>
      <w:r w:rsidR="00933C8B">
        <w:instrText xml:space="preserve"> SEQ Figure \* ARABIC </w:instrText>
      </w:r>
      <w:r w:rsidR="00EA2F38">
        <w:fldChar w:fldCharType="separate"/>
      </w:r>
      <w:r w:rsidR="00B11F3B">
        <w:rPr>
          <w:noProof/>
        </w:rPr>
        <w:t>63</w:t>
      </w:r>
      <w:r w:rsidR="00EA2F38">
        <w:fldChar w:fldCharType="end"/>
      </w:r>
      <w:bookmarkEnd w:id="387"/>
      <w:r w:rsidRPr="00A40CD0">
        <w:t xml:space="preserve">. Chlorophyll-a median maps for the dry and wet season for the Mackay Whitsunday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388"/>
      <w:bookmarkEnd w:id="389"/>
    </w:p>
    <w:p w:rsidR="00B25CAA" w:rsidRPr="00A40CD0" w:rsidRDefault="00B25CAA" w:rsidP="00CD1717"/>
    <w:p w:rsidR="00B25CAA" w:rsidRPr="00A40CD0" w:rsidRDefault="00E01220" w:rsidP="00CD1717">
      <w:r>
        <w:rPr>
          <w:noProof/>
        </w:rPr>
        <w:lastRenderedPageBreak/>
        <w:drawing>
          <wp:inline distT="0" distB="0" distL="0" distR="0">
            <wp:extent cx="4323727" cy="3960000"/>
            <wp:effectExtent l="0" t="0" r="0" b="2540"/>
            <wp:docPr id="296" name="Picture 296" descr="Non-algal particulate matter (NAP as a measure of TSS) median maps for the dry and wet season for the Mackay Whitsunda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Median_20110501_20111031.tif"/>
                    <pic:cNvPicPr/>
                  </pic:nvPicPr>
                  <pic:blipFill>
                    <a:blip r:embed="rId125"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307" name="Picture 307" descr="Non-algal particulate matter (NAP as a measure of TSS) median maps for the dry and wet season for the Mackay Whitsunda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Median_20111101_20120430.tif"/>
                    <pic:cNvPicPr/>
                  </pic:nvPicPr>
                  <pic:blipFill>
                    <a:blip r:embed="rId126"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4F4DDE">
      <w:pPr>
        <w:pStyle w:val="Caption"/>
      </w:pPr>
      <w:bookmarkStart w:id="390" w:name="_Ref247857459"/>
      <w:bookmarkStart w:id="391" w:name="_Toc228588344"/>
      <w:bookmarkStart w:id="392" w:name="_Toc399265050"/>
      <w:r w:rsidRPr="00A40CD0">
        <w:t xml:space="preserve">Figure </w:t>
      </w:r>
      <w:r w:rsidR="00EA2F38">
        <w:fldChar w:fldCharType="begin"/>
      </w:r>
      <w:r w:rsidR="00933C8B">
        <w:instrText xml:space="preserve"> SEQ Figure \* ARABIC </w:instrText>
      </w:r>
      <w:r w:rsidR="00EA2F38">
        <w:fldChar w:fldCharType="separate"/>
      </w:r>
      <w:r w:rsidR="00B11F3B">
        <w:rPr>
          <w:noProof/>
        </w:rPr>
        <w:t>64</w:t>
      </w:r>
      <w:r w:rsidR="00EA2F38">
        <w:fldChar w:fldCharType="end"/>
      </w:r>
      <w:bookmarkEnd w:id="390"/>
      <w:r w:rsidRPr="00A40CD0">
        <w:t xml:space="preserve">. Non-algal particulate matter (NAP as a measure of TSS) median maps for the dry and wet season for the Mackay Whitsunday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391"/>
      <w:bookmarkEnd w:id="392"/>
      <w:r w:rsidRPr="00A40CD0">
        <w:t xml:space="preserve"> </w:t>
      </w:r>
    </w:p>
    <w:p w:rsidR="00B25CAA" w:rsidRPr="00A40CD0" w:rsidRDefault="00E01220" w:rsidP="00FB1BAF">
      <w:bookmarkStart w:id="393" w:name="_Ref247857464"/>
      <w:r>
        <w:rPr>
          <w:noProof/>
        </w:rPr>
        <w:lastRenderedPageBreak/>
        <w:drawing>
          <wp:inline distT="0" distB="0" distL="0" distR="0">
            <wp:extent cx="4323727" cy="3960000"/>
            <wp:effectExtent l="0" t="0" r="0" b="2540"/>
            <wp:docPr id="308" name="Picture 308" descr="Number of observations used to calculate the median maps (Figure 63 - Figure 64) for the dry and wet season for the Mackay Whitsunday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n_valid_20110501_20111031.tif"/>
                    <pic:cNvPicPr/>
                  </pic:nvPicPr>
                  <pic:blipFill>
                    <a:blip r:embed="rId127"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309" name="Picture 309" descr="Number of observations used to calculate the median maps (Figure 63 - Figure 64) for the dry and wet season for the Mackay Whitsunday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n_valid_20111101_20120430.tif"/>
                    <pic:cNvPicPr/>
                  </pic:nvPicPr>
                  <pic:blipFill>
                    <a:blip r:embed="rId128"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4F4DDE">
      <w:pPr>
        <w:pStyle w:val="Caption"/>
      </w:pPr>
      <w:bookmarkStart w:id="394" w:name="_Ref247953232"/>
      <w:bookmarkStart w:id="395" w:name="_Toc228588345"/>
      <w:bookmarkStart w:id="396" w:name="_Toc399265051"/>
      <w:r w:rsidRPr="00A40CD0">
        <w:t xml:space="preserve">Figure </w:t>
      </w:r>
      <w:r w:rsidR="00EA2F38">
        <w:fldChar w:fldCharType="begin"/>
      </w:r>
      <w:r w:rsidR="00933C8B">
        <w:instrText xml:space="preserve"> SEQ Figure \* ARABIC </w:instrText>
      </w:r>
      <w:r w:rsidR="00EA2F38">
        <w:fldChar w:fldCharType="separate"/>
      </w:r>
      <w:r w:rsidR="00B11F3B">
        <w:rPr>
          <w:noProof/>
        </w:rPr>
        <w:t>65</w:t>
      </w:r>
      <w:r w:rsidR="00EA2F38">
        <w:fldChar w:fldCharType="end"/>
      </w:r>
      <w:bookmarkEnd w:id="393"/>
      <w:bookmarkEnd w:id="394"/>
      <w:r w:rsidRPr="00A40CD0">
        <w:t>. Number of observations used to calculate the median maps (</w:t>
      </w:r>
      <w:r w:rsidR="00EA2F38" w:rsidRPr="00A40CD0">
        <w:fldChar w:fldCharType="begin"/>
      </w:r>
      <w:r w:rsidRPr="00A40CD0">
        <w:instrText xml:space="preserve"> REF _Ref247857037 \h </w:instrText>
      </w:r>
      <w:r w:rsidR="00EA2F38" w:rsidRPr="00A40CD0">
        <w:fldChar w:fldCharType="separate"/>
      </w:r>
      <w:r w:rsidR="00B11F3B" w:rsidRPr="00A40CD0">
        <w:t xml:space="preserve">Figure </w:t>
      </w:r>
      <w:r w:rsidR="00B11F3B">
        <w:rPr>
          <w:noProof/>
        </w:rPr>
        <w:t>63</w:t>
      </w:r>
      <w:r w:rsidR="00EA2F38" w:rsidRPr="00A40CD0">
        <w:fldChar w:fldCharType="end"/>
      </w:r>
      <w:r w:rsidRPr="00A40CD0">
        <w:t xml:space="preserve"> -</w:t>
      </w:r>
      <w:r w:rsidR="00FB0BB9" w:rsidRPr="00A40CD0">
        <w:t xml:space="preserve"> </w:t>
      </w:r>
      <w:r w:rsidR="00EA2F38" w:rsidRPr="00A40CD0">
        <w:fldChar w:fldCharType="begin"/>
      </w:r>
      <w:r w:rsidR="00FB0BB9" w:rsidRPr="00A40CD0">
        <w:instrText xml:space="preserve"> REF _Ref247857459 \h </w:instrText>
      </w:r>
      <w:r w:rsidR="00EA2F38" w:rsidRPr="00A40CD0">
        <w:fldChar w:fldCharType="separate"/>
      </w:r>
      <w:r w:rsidR="00B11F3B" w:rsidRPr="00A40CD0">
        <w:t xml:space="preserve">Figure </w:t>
      </w:r>
      <w:r w:rsidR="00B11F3B">
        <w:rPr>
          <w:noProof/>
        </w:rPr>
        <w:t>64</w:t>
      </w:r>
      <w:r w:rsidR="00EA2F38" w:rsidRPr="00A40CD0">
        <w:fldChar w:fldCharType="end"/>
      </w:r>
      <w:r w:rsidRPr="00A40CD0">
        <w:t xml:space="preserve">) for the dry and wet season for the Mackay Whitsunday region. The first map presents the number of observations available for analysis in </w:t>
      </w:r>
      <w:r w:rsidR="00D3208E">
        <w:t>the dry season 2011 (May - October)</w:t>
      </w:r>
      <w:r w:rsidRPr="00A40CD0">
        <w:t xml:space="preserve">, while the second map presents the number of observations available for analysis in </w:t>
      </w:r>
      <w:r w:rsidR="00D3208E">
        <w:t>the wet season 2011/2012 (November 2011 - April 2012)</w:t>
      </w:r>
      <w:r w:rsidRPr="00A40CD0">
        <w:t>.</w:t>
      </w:r>
      <w:bookmarkEnd w:id="395"/>
      <w:bookmarkEnd w:id="396"/>
      <w:r w:rsidRPr="00A40CD0">
        <w:t xml:space="preserve"> </w:t>
      </w:r>
    </w:p>
    <w:p w:rsidR="00B25CAA" w:rsidRPr="00A40CD0" w:rsidRDefault="00E01220" w:rsidP="00EF4ECA">
      <w:pPr>
        <w:pStyle w:val="Caption"/>
      </w:pPr>
      <w:bookmarkStart w:id="397" w:name="_Ref247857466"/>
      <w:r>
        <w:rPr>
          <w:noProof/>
        </w:rPr>
        <w:lastRenderedPageBreak/>
        <w:drawing>
          <wp:inline distT="0" distB="0" distL="0" distR="0">
            <wp:extent cx="4323727" cy="3960000"/>
            <wp:effectExtent l="0" t="0" r="0" b="2540"/>
            <wp:docPr id="311" name="Picture 311" descr="Exceedance maps for the Mackay Whitsunday region for the reporting year 2011/12 (May 2011 –April 2012). The first map presents the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meanGTtrigger_20110501_20120430.tif"/>
                    <pic:cNvPicPr/>
                  </pic:nvPicPr>
                  <pic:blipFill>
                    <a:blip r:embed="rId129"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310" name="Picture 310" descr="Exceedance maps for the Mackay Whitsunday region for the reporting year 2011/12 (May 2011 –April 2012). The first map presents the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meanGTtrigger_20110501_20120430.tif"/>
                    <pic:cNvPicPr/>
                  </pic:nvPicPr>
                  <pic:blipFill>
                    <a:blip r:embed="rId130"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EF4ECA">
      <w:pPr>
        <w:pStyle w:val="Caption"/>
      </w:pPr>
      <w:bookmarkStart w:id="398" w:name="_Ref263849521"/>
      <w:bookmarkStart w:id="399" w:name="_Toc228588346"/>
      <w:bookmarkStart w:id="400" w:name="_Toc399265052"/>
      <w:r w:rsidRPr="00A40CD0">
        <w:t xml:space="preserve">Figure </w:t>
      </w:r>
      <w:r w:rsidR="00EA2F38">
        <w:fldChar w:fldCharType="begin"/>
      </w:r>
      <w:r w:rsidR="00933C8B">
        <w:instrText xml:space="preserve"> SEQ Figure \* ARABIC </w:instrText>
      </w:r>
      <w:r w:rsidR="00EA2F38">
        <w:fldChar w:fldCharType="separate"/>
      </w:r>
      <w:r w:rsidR="00B11F3B">
        <w:rPr>
          <w:noProof/>
        </w:rPr>
        <w:t>66</w:t>
      </w:r>
      <w:r w:rsidR="00EA2F38">
        <w:fldChar w:fldCharType="end"/>
      </w:r>
      <w:bookmarkEnd w:id="398"/>
      <w:r w:rsidRPr="00A40CD0">
        <w:t xml:space="preserve">. Exceedance maps for the Mackay Whitsunday region </w:t>
      </w:r>
      <w:r w:rsidR="00656260">
        <w:t>for the reporting year 2011/12 (May 2011 –April 2012)</w:t>
      </w:r>
      <w:r w:rsidRPr="00A40CD0">
        <w:t>. The first map presents the exceedance map, while the second map presents the Non-algal particulate matter (NAP as a measure of TSS) exceedance map. The Guideline values for annual means of Chlorophyll-a</w:t>
      </w:r>
      <w:r w:rsidRPr="00A40CD0" w:rsidDel="00D3372F">
        <w:t xml:space="preserve"> </w:t>
      </w:r>
      <w:r w:rsidRPr="00A40CD0">
        <w:t>are 0.45 µg L</w:t>
      </w:r>
      <w:r w:rsidRPr="00A40CD0">
        <w:rPr>
          <w:vertAlign w:val="superscript"/>
        </w:rPr>
        <w:t xml:space="preserve">-1 </w:t>
      </w:r>
      <w:r w:rsidRPr="00A40CD0">
        <w:t>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399"/>
      <w:bookmarkEnd w:id="400"/>
    </w:p>
    <w:p w:rsidR="00B25CAA" w:rsidRDefault="00E609E7" w:rsidP="00D403D2">
      <w:r>
        <w:rPr>
          <w:noProof/>
        </w:rPr>
        <w:lastRenderedPageBreak/>
        <w:drawing>
          <wp:inline distT="0" distB="0" distL="0" distR="0">
            <wp:extent cx="4323727" cy="3960000"/>
            <wp:effectExtent l="0" t="0" r="0" b="2540"/>
            <wp:docPr id="312" name="Picture 312" descr="Chlorophyll-a exceedance maps for the dry and wet season for the Mackay Whitsunday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meanGTtrigger_20110501_20111031.tif"/>
                    <pic:cNvPicPr/>
                  </pic:nvPicPr>
                  <pic:blipFill>
                    <a:blip r:embed="rId131"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E609E7" w:rsidRPr="00A40CD0" w:rsidRDefault="00E609E7" w:rsidP="00D403D2">
      <w:r>
        <w:rPr>
          <w:noProof/>
        </w:rPr>
        <w:drawing>
          <wp:inline distT="0" distB="0" distL="0" distR="0">
            <wp:extent cx="4323727" cy="3960000"/>
            <wp:effectExtent l="0" t="0" r="0" b="2540"/>
            <wp:docPr id="313" name="Picture 313" descr="Chlorophyll-a exceedance maps for the dry and wet season for the Mackay Whitsunday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meanGTtrigger_20111101_20120430.tif"/>
                    <pic:cNvPicPr/>
                  </pic:nvPicPr>
                  <pic:blipFill>
                    <a:blip r:embed="rId132"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4F4DDE">
      <w:pPr>
        <w:pStyle w:val="Caption"/>
      </w:pPr>
      <w:bookmarkStart w:id="401" w:name="_Ref247953242"/>
      <w:bookmarkStart w:id="402" w:name="_Toc228588347"/>
      <w:bookmarkStart w:id="403" w:name="_Toc399265053"/>
      <w:r w:rsidRPr="00A40CD0">
        <w:t xml:space="preserve">Figure </w:t>
      </w:r>
      <w:r w:rsidR="00EA2F38">
        <w:fldChar w:fldCharType="begin"/>
      </w:r>
      <w:r w:rsidR="00933C8B">
        <w:instrText xml:space="preserve"> SEQ Figure \* ARABIC </w:instrText>
      </w:r>
      <w:r w:rsidR="00EA2F38">
        <w:fldChar w:fldCharType="separate"/>
      </w:r>
      <w:r w:rsidR="00B11F3B">
        <w:rPr>
          <w:noProof/>
        </w:rPr>
        <w:t>67</w:t>
      </w:r>
      <w:r w:rsidR="00EA2F38">
        <w:fldChar w:fldCharType="end"/>
      </w:r>
      <w:bookmarkEnd w:id="397"/>
      <w:bookmarkEnd w:id="401"/>
      <w:r w:rsidRPr="00A40CD0">
        <w:t xml:space="preserve">. Chlorophyll-a exceedance maps for the dry and wet season for the Mackay Whitsunday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02"/>
      <w:bookmarkEnd w:id="403"/>
    </w:p>
    <w:p w:rsidR="00B25CAA" w:rsidRPr="00A40CD0" w:rsidRDefault="00E609E7" w:rsidP="00D403D2">
      <w:r>
        <w:rPr>
          <w:noProof/>
        </w:rPr>
        <w:lastRenderedPageBreak/>
        <w:drawing>
          <wp:inline distT="0" distB="0" distL="0" distR="0">
            <wp:extent cx="4323727" cy="3960000"/>
            <wp:effectExtent l="0" t="0" r="0" b="2540"/>
            <wp:docPr id="314" name="Picture 314" descr="Chlorophyll-a exceedance frequency maps for the dry and wet season for the Mackay Whitsunday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RelNonCompliantDays_20110501_20111031.tif"/>
                    <pic:cNvPicPr/>
                  </pic:nvPicPr>
                  <pic:blipFill>
                    <a:blip r:embed="rId133"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315" name="Picture 315" descr="Chlorophyll-a exceedance frequency maps for the dry and wet season for the Mackay Whitsunday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1 for Open Coastal and Midshelf and 0.28/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Chl_MIM_RelNonCompliantDays_20111101_20120430.tif"/>
                    <pic:cNvPicPr/>
                  </pic:nvPicPr>
                  <pic:blipFill>
                    <a:blip r:embed="rId134"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4F4DDE">
      <w:pPr>
        <w:pStyle w:val="Caption"/>
      </w:pPr>
      <w:bookmarkStart w:id="404" w:name="_Ref247857467"/>
      <w:bookmarkStart w:id="405" w:name="_Toc228588348"/>
      <w:bookmarkStart w:id="406" w:name="_Toc399265054"/>
      <w:r w:rsidRPr="00A40CD0">
        <w:t xml:space="preserve">Figure </w:t>
      </w:r>
      <w:r w:rsidR="00EA2F38">
        <w:fldChar w:fldCharType="begin"/>
      </w:r>
      <w:r w:rsidR="00933C8B">
        <w:instrText xml:space="preserve"> SEQ Figure \* ARABIC </w:instrText>
      </w:r>
      <w:r w:rsidR="00EA2F38">
        <w:fldChar w:fldCharType="separate"/>
      </w:r>
      <w:r w:rsidR="00B11F3B">
        <w:rPr>
          <w:noProof/>
        </w:rPr>
        <w:t>68</w:t>
      </w:r>
      <w:r w:rsidR="00EA2F38">
        <w:fldChar w:fldCharType="end"/>
      </w:r>
      <w:bookmarkEnd w:id="404"/>
      <w:r w:rsidRPr="00A40CD0">
        <w:t xml:space="preserve">. Chlorophyll-a exceedance frequency maps for the dry and wet season for the Mackay Whitsunday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05"/>
      <w:bookmarkEnd w:id="406"/>
    </w:p>
    <w:p w:rsidR="00B25CAA" w:rsidRPr="00A40CD0" w:rsidRDefault="00E609E7" w:rsidP="00AE2FE2">
      <w:r>
        <w:rPr>
          <w:noProof/>
        </w:rPr>
        <w:lastRenderedPageBreak/>
        <w:drawing>
          <wp:inline distT="0" distB="0" distL="0" distR="0">
            <wp:extent cx="4323727" cy="3960000"/>
            <wp:effectExtent l="0" t="0" r="0" b="2540"/>
            <wp:docPr id="316" name="Picture 316" descr="Non-algal particulate matter (NAP as a measure of TSS) exceedance maps for the dry and wet season for the Mackay Whitsunday region. The first map presents the exceedance for the dry season 2011 (May - October), while the second map presents the exceedance for the wet season 2011/2012 (November 2011 -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meanGTtrigger_20110501_20111031.tif"/>
                    <pic:cNvPicPr/>
                  </pic:nvPicPr>
                  <pic:blipFill>
                    <a:blip r:embed="rId135"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317" name="Picture 317" descr="Non-algal particulate matter (NAP as a measure of TSS) exceedance maps for the dry and wet season for the Mackay Whitsunday region. The first map presents the exceedance for the dry season 2011 (May - October), while the second map presents the exceedance for the wet season 2011/2012 (November 2011 - Apri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medianGTtrigger_20111101_20120430.tif"/>
                    <pic:cNvPicPr/>
                  </pic:nvPicPr>
                  <pic:blipFill>
                    <a:blip r:embed="rId136"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4F4DDE">
      <w:pPr>
        <w:pStyle w:val="Caption"/>
      </w:pPr>
      <w:bookmarkStart w:id="407" w:name="_Ref247857468"/>
      <w:bookmarkStart w:id="408" w:name="_Toc228588349"/>
      <w:bookmarkStart w:id="409" w:name="_Toc399265055"/>
      <w:r w:rsidRPr="00A40CD0">
        <w:t xml:space="preserve">Figure </w:t>
      </w:r>
      <w:r w:rsidR="00EA2F38">
        <w:fldChar w:fldCharType="begin"/>
      </w:r>
      <w:r w:rsidR="00933C8B">
        <w:instrText xml:space="preserve"> SEQ Figure \* ARABIC </w:instrText>
      </w:r>
      <w:r w:rsidR="00EA2F38">
        <w:fldChar w:fldCharType="separate"/>
      </w:r>
      <w:r w:rsidR="00B11F3B">
        <w:rPr>
          <w:noProof/>
        </w:rPr>
        <w:t>69</w:t>
      </w:r>
      <w:r w:rsidR="00EA2F38">
        <w:fldChar w:fldCharType="end"/>
      </w:r>
      <w:bookmarkEnd w:id="407"/>
      <w:r w:rsidRPr="00A40CD0">
        <w:t xml:space="preserve">. Non-algal particulate matter (NAP as a measure of TSS) exceedance maps for the dry and wet season for the Mackay Whitsunday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w:t>
      </w:r>
      <w:bookmarkEnd w:id="408"/>
      <w:bookmarkEnd w:id="409"/>
    </w:p>
    <w:p w:rsidR="00B25CAA" w:rsidRPr="00A40CD0" w:rsidRDefault="00E609E7" w:rsidP="00AE2FE2">
      <w:r>
        <w:rPr>
          <w:noProof/>
        </w:rPr>
        <w:lastRenderedPageBreak/>
        <w:drawing>
          <wp:inline distT="0" distB="0" distL="0" distR="0">
            <wp:extent cx="4323727" cy="3960000"/>
            <wp:effectExtent l="0" t="0" r="0" b="2540"/>
            <wp:docPr id="318" name="Picture 318" descr="Non-algal particulate matter (NAP as a measure of TSS)  exceedance frequency maps for the dry and wet season for the Mackay Whitsunday region. The first map presents the exceedance frequency for the dry season 2011 (May - October), while the second map presents the exceedance frequency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RelNonCompliantDays_20110501_20111031.tif"/>
                    <pic:cNvPicPr/>
                  </pic:nvPicPr>
                  <pic:blipFill>
                    <a:blip r:embed="rId137"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r>
        <w:rPr>
          <w:noProof/>
        </w:rPr>
        <w:drawing>
          <wp:inline distT="0" distB="0" distL="0" distR="0">
            <wp:extent cx="4323727" cy="3960000"/>
            <wp:effectExtent l="0" t="0" r="0" b="2540"/>
            <wp:docPr id="319" name="Picture 319" descr="Non-algal particulate matter (NAP as a measure of TSS)  exceedance frequency maps for the dry and wet season for the Mackay Whitsunday region. The first map presents the exceedance frequency for the dry season 2011 (May - October), while the second map presents the exceedance frequency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CKY-B09_Y_Nap_MIM_RelNonCompliantDays_20111101_20120430.tif"/>
                    <pic:cNvPicPr/>
                  </pic:nvPicPr>
                  <pic:blipFill>
                    <a:blip r:embed="rId138" cstate="email">
                      <a:extLst>
                        <a:ext uri="{28A0092B-C50C-407E-A947-70E740481C1C}">
                          <a14:useLocalDpi xmlns:a14="http://schemas.microsoft.com/office/drawing/2010/main"/>
                        </a:ext>
                      </a:extLst>
                    </a:blip>
                    <a:stretch>
                      <a:fillRect/>
                    </a:stretch>
                  </pic:blipFill>
                  <pic:spPr>
                    <a:xfrm>
                      <a:off x="0" y="0"/>
                      <a:ext cx="4323727" cy="3960000"/>
                    </a:xfrm>
                    <a:prstGeom prst="rect">
                      <a:avLst/>
                    </a:prstGeom>
                  </pic:spPr>
                </pic:pic>
              </a:graphicData>
            </a:graphic>
          </wp:inline>
        </w:drawing>
      </w:r>
    </w:p>
    <w:p w:rsidR="00B25CAA" w:rsidRPr="00A40CD0" w:rsidRDefault="00B25CAA" w:rsidP="004F4DDE">
      <w:pPr>
        <w:pStyle w:val="Caption"/>
      </w:pPr>
      <w:bookmarkStart w:id="410" w:name="_Ref247857469"/>
      <w:bookmarkStart w:id="411" w:name="_Toc228588350"/>
      <w:bookmarkStart w:id="412" w:name="_Toc399265056"/>
      <w:r w:rsidRPr="00A40CD0">
        <w:t xml:space="preserve">Figure </w:t>
      </w:r>
      <w:r w:rsidR="00EA2F38">
        <w:fldChar w:fldCharType="begin"/>
      </w:r>
      <w:r w:rsidR="00933C8B">
        <w:instrText xml:space="preserve"> SEQ Figure \* ARABIC </w:instrText>
      </w:r>
      <w:r w:rsidR="00EA2F38">
        <w:fldChar w:fldCharType="separate"/>
      </w:r>
      <w:r w:rsidR="00B11F3B">
        <w:rPr>
          <w:noProof/>
        </w:rPr>
        <w:t>70</w:t>
      </w:r>
      <w:r w:rsidR="00EA2F38">
        <w:fldChar w:fldCharType="end"/>
      </w:r>
      <w:bookmarkEnd w:id="410"/>
      <w:r w:rsidRPr="00A40CD0">
        <w:t xml:space="preserve">. Non-algal particulate matter (NAP as a measure of TSS)  exceedance frequency maps for the dry and wet season for the Mackay Whitsunday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w:t>
      </w:r>
      <w:bookmarkEnd w:id="411"/>
      <w:bookmarkEnd w:id="412"/>
      <w:r w:rsidRPr="00A40CD0">
        <w:t xml:space="preserve"> </w:t>
      </w:r>
    </w:p>
    <w:p w:rsidR="00B25CAA" w:rsidRPr="00A40CD0" w:rsidRDefault="00B25CAA" w:rsidP="007E294B">
      <w:pPr>
        <w:pStyle w:val="Heading2"/>
      </w:pPr>
      <w:bookmarkStart w:id="413" w:name="_Toc242849277"/>
      <w:bookmarkStart w:id="414" w:name="_Toc244950260"/>
      <w:bookmarkStart w:id="415" w:name="_Toc228588200"/>
      <w:bookmarkStart w:id="416" w:name="_Toc399264907"/>
      <w:r w:rsidRPr="00A40CD0">
        <w:lastRenderedPageBreak/>
        <w:t>Regional reports: Fitzroy Region</w:t>
      </w:r>
      <w:bookmarkEnd w:id="413"/>
      <w:bookmarkEnd w:id="414"/>
      <w:bookmarkEnd w:id="415"/>
      <w:bookmarkEnd w:id="416"/>
    </w:p>
    <w:p w:rsidR="00B25CAA" w:rsidRPr="00A40CD0" w:rsidRDefault="00B25CAA" w:rsidP="002E0BD6">
      <w:pPr>
        <w:pStyle w:val="BodyText"/>
      </w:pPr>
      <w:r w:rsidRPr="00A40CD0">
        <w:t>The Fitzroy Region is one of the two large dry tropical catchment regions in the GBR Region with cattle grazing as the primary land use (Brodie et al. 2003). Fluctuations in climate and cattle numbers greatly affect the state and nature of vegetation cover, and therefore, the susceptibility of soils to erosion, which leads to runoff of suspended sediments and associated nutrients</w:t>
      </w:r>
      <w:r w:rsidR="00FD2E6F" w:rsidRPr="00FD2E6F">
        <w:t xml:space="preserve"> </w:t>
      </w:r>
      <w:r w:rsidR="00EA2F38">
        <w:fldChar w:fldCharType="begin"/>
      </w:r>
      <w:r w:rsidR="00AC2F2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EA2F38">
        <w:fldChar w:fldCharType="separate"/>
      </w:r>
      <w:r w:rsidR="00AC2F22">
        <w:rPr>
          <w:noProof/>
        </w:rPr>
        <w:t>(</w:t>
      </w:r>
      <w:hyperlink w:anchor="_ENREF_32" w:tooltip="Johnson, 2011 #4687" w:history="1">
        <w:r w:rsidR="007B7C47">
          <w:rPr>
            <w:noProof/>
          </w:rPr>
          <w:t>Johnson et al. 2011</w:t>
        </w:r>
      </w:hyperlink>
      <w:r w:rsidR="00AC2F22">
        <w:rPr>
          <w:noProof/>
        </w:rPr>
        <w:t>)</w:t>
      </w:r>
      <w:r w:rsidR="00EA2F38">
        <w:fldChar w:fldCharType="end"/>
      </w:r>
      <w:r w:rsidRPr="00A40CD0">
        <w:t>.</w:t>
      </w:r>
      <w:r w:rsidR="002F6DB0">
        <w:t xml:space="preserve"> </w:t>
      </w:r>
      <w:r w:rsidRPr="00A40CD0">
        <w:t>The main river system influencing the region is the Fitzroy River. A strong gradient in water quality exists between the reefs in this region with increasing distance from both the coast and Fitzroy river mouth.</w:t>
      </w:r>
    </w:p>
    <w:p w:rsidR="009202A6" w:rsidRPr="007E294B" w:rsidRDefault="00B25CAA" w:rsidP="007E294B">
      <w:pPr>
        <w:pStyle w:val="Heading3"/>
      </w:pPr>
      <w:bookmarkStart w:id="417" w:name="_Toc228588201"/>
      <w:bookmarkStart w:id="418" w:name="_Toc399264908"/>
      <w:r w:rsidRPr="007E294B">
        <w:t>Assessment of freshwater extent during the wet season</w:t>
      </w:r>
      <w:bookmarkEnd w:id="417"/>
      <w:bookmarkEnd w:id="418"/>
    </w:p>
    <w:p w:rsidR="00B25CAA" w:rsidRPr="00A40CD0" w:rsidRDefault="000B31AF" w:rsidP="002E0BD6">
      <w:pPr>
        <w:pStyle w:val="BodyText"/>
      </w:pPr>
      <w:r>
        <w:t>T</w:t>
      </w:r>
      <w:r w:rsidR="00B25CAA" w:rsidRPr="00A40CD0">
        <w:t>his y</w:t>
      </w:r>
      <w:r w:rsidR="004E6BD5">
        <w:t xml:space="preserve">ear’s freshwater discharge </w:t>
      </w:r>
      <w:r>
        <w:t xml:space="preserve">for the Fitzroy River </w:t>
      </w:r>
      <w:r w:rsidR="004E6BD5">
        <w:t xml:space="preserve">was </w:t>
      </w:r>
      <w:r>
        <w:t xml:space="preserve">almost 3 times above the long term median flow </w:t>
      </w:r>
      <w:r w:rsidR="00B25CAA" w:rsidRPr="00A40CD0">
        <w:t>slightly larger than the 1991 floods and three times flows of the 2007/08 and 2009/10 wet seasons (</w:t>
      </w:r>
      <w:r w:rsidR="008A285B">
        <w:fldChar w:fldCharType="begin"/>
      </w:r>
      <w:r w:rsidR="008A285B">
        <w:instrText xml:space="preserve"> REF _Ref257740941 \h  \* MERGEFORMAT </w:instrText>
      </w:r>
      <w:r w:rsidR="008A285B">
        <w:fldChar w:fldCharType="separate"/>
      </w:r>
      <w:r w:rsidR="00B11F3B" w:rsidRPr="00A40CD0">
        <w:t xml:space="preserve">Figure </w:t>
      </w:r>
      <w:r w:rsidR="00B11F3B">
        <w:t>17</w:t>
      </w:r>
      <w:r w:rsidR="008A285B">
        <w:fldChar w:fldCharType="end"/>
      </w:r>
      <w:r w:rsidR="00B25CAA" w:rsidRPr="00A40CD0">
        <w:t>).</w:t>
      </w:r>
      <w:r>
        <w:t xml:space="preserve"> </w:t>
      </w:r>
      <w:r w:rsidR="00B25CAA" w:rsidRPr="00A40CD0">
        <w:t>The estimated freshwater extent for the whole was highly correlated to the total freshwater discharges (R</w:t>
      </w:r>
      <w:r w:rsidR="00B25CAA" w:rsidRPr="00A40CD0">
        <w:rPr>
          <w:vertAlign w:val="superscript"/>
        </w:rPr>
        <w:t>2</w:t>
      </w:r>
      <w:r w:rsidR="00113991">
        <w:t>=0.725</w:t>
      </w:r>
      <w:r w:rsidR="00B25CAA" w:rsidRPr="00A40CD0">
        <w:t xml:space="preserve">, </w:t>
      </w:r>
      <w:r w:rsidR="00EA2F38">
        <w:fldChar w:fldCharType="begin"/>
      </w:r>
      <w:r w:rsidR="00D90A4A">
        <w:instrText xml:space="preserve"> REF _Ref304874386 \h </w:instrText>
      </w:r>
      <w:r w:rsidR="00EA2F38">
        <w:fldChar w:fldCharType="separate"/>
      </w:r>
      <w:r w:rsidR="00B11F3B" w:rsidRPr="00A40CD0">
        <w:t xml:space="preserve">Figure </w:t>
      </w:r>
      <w:r w:rsidR="00B11F3B">
        <w:rPr>
          <w:noProof/>
        </w:rPr>
        <w:t>71</w:t>
      </w:r>
      <w:r w:rsidR="00EA2F38">
        <w:fldChar w:fldCharType="end"/>
      </w:r>
      <w:r w:rsidR="00B25CAA" w:rsidRPr="00A40CD0">
        <w:t xml:space="preserve">): the estimated freshwater extent was </w:t>
      </w:r>
      <w:r>
        <w:t>6399</w:t>
      </w:r>
      <w:r w:rsidR="00B25CAA" w:rsidRPr="00A40CD0">
        <w:t xml:space="preserve"> km</w:t>
      </w:r>
      <w:r w:rsidR="00B25CAA" w:rsidRPr="00A40CD0">
        <w:rPr>
          <w:vertAlign w:val="superscript"/>
        </w:rPr>
        <w:t>2</w:t>
      </w:r>
      <w:r w:rsidR="00B25CAA" w:rsidRPr="00A40CD0">
        <w:t xml:space="preserve">, </w:t>
      </w:r>
      <w:r w:rsidR="009B4F2F">
        <w:t>7978</w:t>
      </w:r>
      <w:r w:rsidR="00B25CAA" w:rsidRPr="00A40CD0">
        <w:t xml:space="preserve"> km</w:t>
      </w:r>
      <w:r w:rsidR="00B25CAA" w:rsidRPr="00A40CD0">
        <w:rPr>
          <w:vertAlign w:val="superscript"/>
        </w:rPr>
        <w:t>2</w:t>
      </w:r>
      <w:r w:rsidR="009B4F2F">
        <w:t xml:space="preserve"> for the wet season 2010/11, while in the wet season 2009/10</w:t>
      </w:r>
      <w:r w:rsidR="00B25CAA" w:rsidRPr="00A40CD0">
        <w:t xml:space="preserve"> was </w:t>
      </w:r>
      <w:r w:rsidR="009B4F2F">
        <w:t>6555</w:t>
      </w:r>
      <w:r w:rsidR="00B25CAA" w:rsidRPr="00A40CD0">
        <w:t xml:space="preserve"> km</w:t>
      </w:r>
      <w:r w:rsidR="00B25CAA" w:rsidRPr="00A40CD0">
        <w:rPr>
          <w:vertAlign w:val="superscript"/>
        </w:rPr>
        <w:t>2</w:t>
      </w:r>
      <w:r w:rsidR="00B25CAA" w:rsidRPr="00A40CD0">
        <w:t xml:space="preserve"> (</w:t>
      </w:r>
      <w:r w:rsidR="00EA2F38">
        <w:fldChar w:fldCharType="begin"/>
      </w:r>
      <w:r w:rsidR="00D90A4A">
        <w:instrText xml:space="preserve"> REF _Ref304874386 \h </w:instrText>
      </w:r>
      <w:r w:rsidR="00EA2F38">
        <w:fldChar w:fldCharType="separate"/>
      </w:r>
      <w:r w:rsidR="00B11F3B" w:rsidRPr="00A40CD0">
        <w:t xml:space="preserve">Figure </w:t>
      </w:r>
      <w:r w:rsidR="00B11F3B">
        <w:rPr>
          <w:noProof/>
        </w:rPr>
        <w:t>71</w:t>
      </w:r>
      <w:r w:rsidR="00EA2F38">
        <w:fldChar w:fldCharType="end"/>
      </w:r>
      <w:r w:rsidR="00B25CAA" w:rsidRPr="00A40CD0">
        <w:t>). High CDOM values and associated estimated freshwater extent in the southern part on this reporting region are most likely du</w:t>
      </w:r>
      <w:r>
        <w:t>e to also to a contribution by</w:t>
      </w:r>
      <w:r w:rsidR="00B25CAA" w:rsidRPr="00A40CD0">
        <w:t xml:space="preserve"> flood event</w:t>
      </w:r>
      <w:r>
        <w:t>s</w:t>
      </w:r>
      <w:r w:rsidR="00B25CAA" w:rsidRPr="00A40CD0">
        <w:t xml:space="preserve"> </w:t>
      </w:r>
      <w:r>
        <w:t>occurring</w:t>
      </w:r>
      <w:r w:rsidR="00B25CAA" w:rsidRPr="00A40CD0">
        <w:t xml:space="preserve"> in </w:t>
      </w:r>
      <w:r w:rsidR="009B4F2F">
        <w:t xml:space="preserve">Baffle Creek and other coastal streams in </w:t>
      </w:r>
      <w:r w:rsidR="00B25CAA" w:rsidRPr="00A40CD0">
        <w:t xml:space="preserve">the Burnett </w:t>
      </w:r>
      <w:r w:rsidR="009B4F2F" w:rsidRPr="00A40CD0">
        <w:t xml:space="preserve">Mary </w:t>
      </w:r>
      <w:r w:rsidR="009B4F2F">
        <w:t>region</w:t>
      </w:r>
      <w:r w:rsidR="00B25CAA" w:rsidRPr="00A40CD0">
        <w:t>.</w:t>
      </w:r>
    </w:p>
    <w:p w:rsidR="009202A6" w:rsidRPr="007E294B" w:rsidRDefault="00B25CAA" w:rsidP="007E294B">
      <w:pPr>
        <w:pStyle w:val="Heading3"/>
      </w:pPr>
      <w:bookmarkStart w:id="419" w:name="_Toc228588202"/>
      <w:bookmarkStart w:id="420" w:name="_Toc399264909"/>
      <w:r w:rsidRPr="007E294B">
        <w:t>The wet and dry season median maps for Chlorophyll-a and Total Suspended Solids.</w:t>
      </w:r>
      <w:bookmarkEnd w:id="419"/>
      <w:bookmarkEnd w:id="420"/>
    </w:p>
    <w:p w:rsidR="00B25CAA" w:rsidRPr="00A40CD0" w:rsidRDefault="00B25CAA" w:rsidP="002E0BD6">
      <w:pPr>
        <w:pStyle w:val="BodyText"/>
      </w:pPr>
      <w:r w:rsidRPr="00A40CD0">
        <w:t>The wet and dry season median CHL maps (</w:t>
      </w:r>
      <w:r w:rsidR="00EA2F38">
        <w:fldChar w:fldCharType="begin"/>
      </w:r>
      <w:r w:rsidR="00D90A4A">
        <w:instrText xml:space="preserve"> REF _Ref247856932 \h </w:instrText>
      </w:r>
      <w:r w:rsidR="00EA2F38">
        <w:fldChar w:fldCharType="separate"/>
      </w:r>
      <w:r w:rsidR="00B11F3B" w:rsidRPr="00A40CD0">
        <w:t xml:space="preserve">Figure </w:t>
      </w:r>
      <w:r w:rsidR="00B11F3B">
        <w:rPr>
          <w:noProof/>
        </w:rPr>
        <w:t>74</w:t>
      </w:r>
      <w:r w:rsidR="00EA2F38">
        <w:fldChar w:fldCharType="end"/>
      </w:r>
      <w:r w:rsidRPr="00A40CD0">
        <w:t xml:space="preserve">) for the Fitzroy Estuary –Keppel Bay region show </w:t>
      </w:r>
      <w:r w:rsidR="00A40CD0" w:rsidRPr="00A40CD0">
        <w:t>high</w:t>
      </w:r>
      <w:r w:rsidR="00A40CD0">
        <w:t xml:space="preserve"> </w:t>
      </w:r>
      <w:r w:rsidR="00A40CD0" w:rsidRPr="00A40CD0">
        <w:t>CHL</w:t>
      </w:r>
      <w:r w:rsidRPr="00A40CD0">
        <w:t xml:space="preserve"> near the coast and in the estuary to lower concentrations towards the east. Median CHL values of chlorophyll-a to 0.5 </w:t>
      </w:r>
      <w:r w:rsidRPr="00A40CD0">
        <w:rPr>
          <w:rFonts w:ascii="SymbolProp BT" w:hAnsi="SymbolProp BT"/>
        </w:rPr>
        <w:t></w:t>
      </w:r>
      <w:r w:rsidRPr="00A40CD0">
        <w:t>gL</w:t>
      </w:r>
      <w:r w:rsidRPr="00A40CD0">
        <w:rPr>
          <w:vertAlign w:val="superscript"/>
        </w:rPr>
        <w:t>-1</w:t>
      </w:r>
      <w:r w:rsidRPr="00A40CD0">
        <w:t xml:space="preserve"> extended as far as the Bunker group for both seasons. Median values of ~ 0.3 </w:t>
      </w:r>
      <w:r w:rsidRPr="00A40CD0">
        <w:rPr>
          <w:rFonts w:ascii="SymbolProp BT" w:hAnsi="SymbolProp BT"/>
        </w:rPr>
        <w:t></w:t>
      </w:r>
      <w:r w:rsidRPr="00A40CD0">
        <w:t>gL</w:t>
      </w:r>
      <w:r w:rsidRPr="00A40CD0">
        <w:rPr>
          <w:vertAlign w:val="superscript"/>
        </w:rPr>
        <w:t>-1</w:t>
      </w:r>
      <w:r w:rsidRPr="00A40CD0">
        <w:t xml:space="preserve"> were observed in the offshore area particularly in the Swain group.</w:t>
      </w:r>
    </w:p>
    <w:p w:rsidR="00B25CAA" w:rsidRPr="00A40CD0" w:rsidRDefault="00B25CAA" w:rsidP="002E0BD6">
      <w:pPr>
        <w:pStyle w:val="BodyText"/>
      </w:pPr>
      <w:r w:rsidRPr="00A40CD0">
        <w:t>The wet and dry season median NAP maps (as a measure of TSS) (</w:t>
      </w:r>
      <w:r w:rsidR="00EA2F38">
        <w:fldChar w:fldCharType="begin"/>
      </w:r>
      <w:r w:rsidR="00D90A4A">
        <w:instrText xml:space="preserve"> REF _Ref247857621 \h </w:instrText>
      </w:r>
      <w:r w:rsidR="00EA2F38">
        <w:fldChar w:fldCharType="separate"/>
      </w:r>
      <w:r w:rsidR="00B11F3B" w:rsidRPr="00A40CD0">
        <w:t xml:space="preserve">Figure </w:t>
      </w:r>
      <w:r w:rsidR="00B11F3B">
        <w:rPr>
          <w:noProof/>
        </w:rPr>
        <w:t>75</w:t>
      </w:r>
      <w:r w:rsidR="00EA2F38">
        <w:fldChar w:fldCharType="end"/>
      </w:r>
      <w:r w:rsidRPr="00A40CD0">
        <w:t>) show values higher than 3 mgL</w:t>
      </w:r>
      <w:r w:rsidRPr="00A40CD0">
        <w:rPr>
          <w:vertAlign w:val="superscript"/>
        </w:rPr>
        <w:t>-1</w:t>
      </w:r>
      <w:r w:rsidRPr="00A40CD0">
        <w:t xml:space="preserve"> for a coastal band ~10 km wide, up to 50 km north of the river mouth for the wet season, while during the dry season values were higher than 3.0 mgL</w:t>
      </w:r>
      <w:r w:rsidRPr="00A40CD0">
        <w:rPr>
          <w:vertAlign w:val="superscript"/>
        </w:rPr>
        <w:t>-1</w:t>
      </w:r>
      <w:r w:rsidRPr="00A40CD0">
        <w:t xml:space="preserve"> only for the area close to the river mouth. Towards the northeast of Shoalwater Bay and Broad Sound increased levels of non-algal particulate matter reach out further into the lagoon. High concentrations of NAP may be related to the strong tidal regime and re-suspension in the area.  It is also likely that bottom visibility affects the accuracy of the retrieval for the shallow portion of these embayments. Care must be taken in interpreting the results for Shoalwater Bay and Broad Sound as the retrieval algorithm from the MODIS imagery was not parameterised nor validated for these waters </w:t>
      </w:r>
    </w:p>
    <w:p w:rsidR="00B25CAA" w:rsidRPr="00A40CD0" w:rsidRDefault="00B25CAA" w:rsidP="002E0BD6">
      <w:pPr>
        <w:pStyle w:val="BodyText"/>
      </w:pPr>
      <w:r w:rsidRPr="00A40CD0">
        <w:t xml:space="preserve">The maps in </w:t>
      </w:r>
      <w:r w:rsidR="008A285B">
        <w:fldChar w:fldCharType="begin"/>
      </w:r>
      <w:r w:rsidR="008A285B">
        <w:instrText xml:space="preserve"> REF _Ref247857625 \h  \* MERGEFORMAT </w:instrText>
      </w:r>
      <w:r w:rsidR="008A285B">
        <w:fldChar w:fldCharType="separate"/>
      </w:r>
      <w:r w:rsidR="00B11F3B" w:rsidRPr="00A40CD0">
        <w:t xml:space="preserve">Figure </w:t>
      </w:r>
      <w:r w:rsidR="00B11F3B">
        <w:t>76</w:t>
      </w:r>
      <w:r w:rsidR="008A285B">
        <w:fldChar w:fldCharType="end"/>
      </w:r>
      <w:r w:rsidR="00A40CD0">
        <w:t xml:space="preserve"> present</w:t>
      </w:r>
      <w:r w:rsidRPr="00A40CD0">
        <w:t xml:space="preserve"> the number of observations available for calculating the median values for each season. This amount varies from 30 to about 50 for each season for each pixel location.</w:t>
      </w:r>
    </w:p>
    <w:p w:rsidR="00B25CAA" w:rsidRPr="00A40CD0" w:rsidRDefault="00B25CAA" w:rsidP="002E0BD6">
      <w:pPr>
        <w:pStyle w:val="BodyText"/>
      </w:pPr>
    </w:p>
    <w:p w:rsidR="00B25CAA" w:rsidRPr="00A40CD0" w:rsidRDefault="004A2575" w:rsidP="002E0BD6">
      <w:pPr>
        <w:pStyle w:val="BodyText"/>
      </w:pPr>
      <w:r w:rsidRPr="004A2575">
        <w:rPr>
          <w:noProof/>
          <w:lang w:eastAsia="en-AU"/>
        </w:rPr>
        <w:lastRenderedPageBreak/>
        <w:drawing>
          <wp:inline distT="0" distB="0" distL="0" distR="0">
            <wp:extent cx="5759450" cy="3756112"/>
            <wp:effectExtent l="0" t="0" r="6350" b="3175"/>
            <wp:docPr id="45" name="Picture 82" descr="Freshwater discharge and estimated freshwater extent for the Fitzroy region based on the CDOM maximum for the wet seasons. Freshwater discharge was nil in 2002/2003 and 2003/2004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39" cstate="email">
                      <a:extLst>
                        <a:ext uri="{28A0092B-C50C-407E-A947-70E740481C1C}">
                          <a14:useLocalDpi xmlns:a14="http://schemas.microsoft.com/office/drawing/2010/main"/>
                        </a:ext>
                      </a:extLst>
                    </a:blip>
                    <a:srcRect/>
                    <a:stretch>
                      <a:fillRect/>
                    </a:stretch>
                  </pic:blipFill>
                  <pic:spPr bwMode="auto">
                    <a:xfrm>
                      <a:off x="0" y="0"/>
                      <a:ext cx="5759450" cy="3756112"/>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421" w:name="_Ref304874386"/>
      <w:bookmarkStart w:id="422" w:name="_Toc228588351"/>
      <w:bookmarkStart w:id="423" w:name="_Toc399265057"/>
      <w:r w:rsidRPr="00A40CD0">
        <w:t xml:space="preserve">Figure </w:t>
      </w:r>
      <w:r w:rsidR="00EA2F38">
        <w:fldChar w:fldCharType="begin"/>
      </w:r>
      <w:r w:rsidR="00933C8B">
        <w:instrText xml:space="preserve"> SEQ Figure \* ARABIC </w:instrText>
      </w:r>
      <w:r w:rsidR="00EA2F38">
        <w:fldChar w:fldCharType="separate"/>
      </w:r>
      <w:r w:rsidR="00B11F3B">
        <w:rPr>
          <w:noProof/>
        </w:rPr>
        <w:t>71</w:t>
      </w:r>
      <w:r w:rsidR="00EA2F38">
        <w:fldChar w:fldCharType="end"/>
      </w:r>
      <w:bookmarkEnd w:id="421"/>
      <w:r w:rsidRPr="00A40CD0">
        <w:t>. Freshwater discharge and estimated freshwater extent for the Fitzroy region based on the CDOM maximum for the wet seasons. Freshwater discharge was nil in 2002/2003 a</w:t>
      </w:r>
      <w:r w:rsidR="00760D52">
        <w:t>n</w:t>
      </w:r>
      <w:r w:rsidRPr="00A40CD0">
        <w:t>d 2003/2004 wet seasons</w:t>
      </w:r>
      <w:bookmarkEnd w:id="422"/>
      <w:r w:rsidR="00760D52">
        <w:t>.</w:t>
      </w:r>
      <w:bookmarkEnd w:id="423"/>
    </w:p>
    <w:p w:rsidR="00B25CAA" w:rsidRPr="00A40CD0" w:rsidRDefault="00B25CAA" w:rsidP="002E0BD6">
      <w:pPr>
        <w:pStyle w:val="BodyText"/>
      </w:pPr>
    </w:p>
    <w:p w:rsidR="009202A6" w:rsidRPr="007E294B" w:rsidRDefault="003A269D" w:rsidP="007E294B">
      <w:pPr>
        <w:pStyle w:val="Heading3"/>
      </w:pPr>
      <w:bookmarkStart w:id="424" w:name="_Toc228588203"/>
      <w:bookmarkStart w:id="425" w:name="_Toc399264910"/>
      <w:r w:rsidRPr="007E294B">
        <w:t>Assessment of the marine water quality index and the exceedance of water quality guidelines</w:t>
      </w:r>
      <w:bookmarkEnd w:id="424"/>
      <w:bookmarkEnd w:id="425"/>
    </w:p>
    <w:p w:rsidR="003A269D" w:rsidRDefault="003A269D" w:rsidP="002E0BD6">
      <w:pPr>
        <w:pStyle w:val="BodyText"/>
      </w:pPr>
      <w:r w:rsidRPr="00A40CD0">
        <w:t>The marine water quality for this reporting year for the Fitzroy region was scored as “poor”, reflecting a “very poor” score for P2R_CHL and “moderate” for P2R_TSS (</w:t>
      </w:r>
      <w:r w:rsidR="00EA2F38">
        <w:fldChar w:fldCharType="begin"/>
      </w:r>
      <w:r w:rsidR="00D90A4A">
        <w:instrText xml:space="preserve"> REF _Ref321321137 \h </w:instrText>
      </w:r>
      <w:r w:rsidR="00EA2F38">
        <w:fldChar w:fldCharType="separate"/>
      </w:r>
      <w:r w:rsidR="00B11F3B" w:rsidRPr="00A40CD0">
        <w:t xml:space="preserve">Figure </w:t>
      </w:r>
      <w:r w:rsidR="00B11F3B">
        <w:rPr>
          <w:noProof/>
        </w:rPr>
        <w:t>72</w:t>
      </w:r>
      <w:r w:rsidR="00EA2F38">
        <w:fldChar w:fldCharType="end"/>
      </w:r>
      <w:r w:rsidRPr="00A40CD0">
        <w:t xml:space="preserve">). The marine water quality index and the component scores have been steady as “moderate” </w:t>
      </w:r>
      <w:r w:rsidR="005D3DC3">
        <w:t>since the 2002/03 to the 2010/11</w:t>
      </w:r>
      <w:r w:rsidRPr="00A40CD0">
        <w:t xml:space="preserve"> reporti</w:t>
      </w:r>
      <w:r w:rsidR="000B4CCB" w:rsidRPr="00A40CD0">
        <w:t xml:space="preserve">ng seasons. </w:t>
      </w:r>
      <w:r w:rsidR="005D3DC3">
        <w:t xml:space="preserve">Over the last decade </w:t>
      </w:r>
      <w:r w:rsidR="000B4CCB" w:rsidRPr="00A40CD0">
        <w:t xml:space="preserve">the </w:t>
      </w:r>
      <w:r w:rsidRPr="00A40CD0">
        <w:t>P2R_CHL</w:t>
      </w:r>
      <w:r w:rsidR="000B4CCB" w:rsidRPr="00A40CD0">
        <w:t xml:space="preserve"> score declined </w:t>
      </w:r>
      <w:r w:rsidR="005D3DC3">
        <w:t xml:space="preserve">from “moderate” (2002/03 - 2007/08) </w:t>
      </w:r>
      <w:r w:rsidR="000B4CCB" w:rsidRPr="00A40CD0">
        <w:t xml:space="preserve">to “poor” </w:t>
      </w:r>
      <w:r w:rsidR="005D3DC3">
        <w:t xml:space="preserve">(2007/08 - 2010/11) </w:t>
      </w:r>
      <w:r w:rsidR="000B4CCB" w:rsidRPr="00A40CD0">
        <w:t xml:space="preserve">and “very poor” in response to the large flood conditions of </w:t>
      </w:r>
      <w:r w:rsidRPr="00A40CD0">
        <w:t>the Fitzroy river and the associated estimated freshwater plume</w:t>
      </w:r>
      <w:r w:rsidR="000B4CCB" w:rsidRPr="00A40CD0">
        <w:t>s extending beyond Keppel Bay</w:t>
      </w:r>
      <w:r w:rsidRPr="00A40CD0">
        <w:t xml:space="preserve"> (</w:t>
      </w:r>
      <w:r w:rsidR="00EA2F38">
        <w:fldChar w:fldCharType="begin"/>
      </w:r>
      <w:r w:rsidR="00D90A4A">
        <w:instrText xml:space="preserve"> REF _Ref304874386 \h </w:instrText>
      </w:r>
      <w:r w:rsidR="00EA2F38">
        <w:fldChar w:fldCharType="separate"/>
      </w:r>
      <w:r w:rsidR="00B11F3B" w:rsidRPr="00A40CD0">
        <w:t xml:space="preserve">Figure </w:t>
      </w:r>
      <w:r w:rsidR="00B11F3B">
        <w:rPr>
          <w:noProof/>
        </w:rPr>
        <w:t>71</w:t>
      </w:r>
      <w:r w:rsidR="00EA2F38">
        <w:fldChar w:fldCharType="end"/>
      </w:r>
      <w:r w:rsidR="000B4CCB" w:rsidRPr="00A40CD0">
        <w:t xml:space="preserve">, </w:t>
      </w:r>
      <w:r w:rsidR="00EA2F38">
        <w:fldChar w:fldCharType="begin"/>
      </w:r>
      <w:r w:rsidR="00D90A4A">
        <w:instrText xml:space="preserve"> REF _Ref257731744 \h </w:instrText>
      </w:r>
      <w:r w:rsidR="00EA2F38">
        <w:fldChar w:fldCharType="separate"/>
      </w:r>
      <w:r w:rsidR="00B11F3B" w:rsidRPr="00A40CD0">
        <w:t xml:space="preserve">Figure </w:t>
      </w:r>
      <w:r w:rsidR="00B11F3B">
        <w:rPr>
          <w:noProof/>
        </w:rPr>
        <w:t>73</w:t>
      </w:r>
      <w:r w:rsidR="00EA2F38">
        <w:fldChar w:fldCharType="end"/>
      </w:r>
      <w:r w:rsidRPr="00A40CD0">
        <w:t>).</w:t>
      </w:r>
    </w:p>
    <w:p w:rsidR="007E7CDF" w:rsidRPr="00A40CD0" w:rsidRDefault="007E7CDF" w:rsidP="002E0BD6">
      <w:pPr>
        <w:pStyle w:val="BodyText"/>
      </w:pPr>
      <w:r>
        <w:t xml:space="preserve">The Enclosed Coastal </w:t>
      </w:r>
      <w:r w:rsidRPr="00A40CD0">
        <w:t>marine water body</w:t>
      </w:r>
      <w:r>
        <w:t xml:space="preserve"> accounts for ~23% of the inshore waters used for P2R reporting and for most of the area in Keppel Bay</w:t>
      </w:r>
      <w:r w:rsidR="00E609E7">
        <w:t>, Port Curtis</w:t>
      </w:r>
      <w:r w:rsidR="005D3DC3">
        <w:t xml:space="preserve"> and in Broad S</w:t>
      </w:r>
      <w:r>
        <w:t>ound</w:t>
      </w:r>
      <w:r w:rsidR="00E609E7">
        <w:t xml:space="preserve"> </w:t>
      </w:r>
      <w:r>
        <w:t>(</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w:t>
      </w:r>
      <w:r w:rsidR="005D3DC3">
        <w:t xml:space="preserve"> </w:t>
      </w:r>
      <w:r w:rsidR="00EA2F38">
        <w:fldChar w:fldCharType="begin"/>
      </w:r>
      <w:r>
        <w:instrText xml:space="preserve"> REF _Ref247428722 \h </w:instrText>
      </w:r>
      <w:r w:rsidR="00EA2F38">
        <w:fldChar w:fldCharType="separate"/>
      </w:r>
      <w:r w:rsidR="00B11F3B" w:rsidRPr="00A40CD0">
        <w:t xml:space="preserve">Figure </w:t>
      </w:r>
      <w:r w:rsidR="00B11F3B">
        <w:rPr>
          <w:noProof/>
        </w:rPr>
        <w:t>2</w:t>
      </w:r>
      <w:r w:rsidR="00EA2F38">
        <w:fldChar w:fldCharType="end"/>
      </w:r>
      <w:r>
        <w:t>).</w:t>
      </w:r>
      <w:r w:rsidR="005D3DC3">
        <w:t xml:space="preserve"> </w:t>
      </w:r>
      <w:r w:rsidR="004A6070">
        <w:t xml:space="preserve">The </w:t>
      </w:r>
      <w:r w:rsidR="005D3DC3" w:rsidRPr="00A40CD0">
        <w:t>annual mean CHL values</w:t>
      </w:r>
      <w:r w:rsidR="005D3DC3">
        <w:t xml:space="preserve"> </w:t>
      </w:r>
      <w:r w:rsidR="005D3DC3" w:rsidRPr="00A40CD0">
        <w:t>exceeded the guideline value (</w:t>
      </w:r>
      <w:r w:rsidR="005D3DC3">
        <w:t>2.0</w:t>
      </w:r>
      <w:r w:rsidR="005D3DC3" w:rsidRPr="00A40CD0">
        <w:t xml:space="preserve"> </w:t>
      </w:r>
      <w:r w:rsidR="005D3DC3" w:rsidRPr="00A40CD0">
        <w:rPr>
          <w:rFonts w:ascii="SymbolProp BT" w:hAnsi="SymbolProp BT"/>
        </w:rPr>
        <w:t></w:t>
      </w:r>
      <w:r w:rsidR="005D3DC3" w:rsidRPr="00A40CD0">
        <w:t>gL</w:t>
      </w:r>
      <w:r w:rsidR="005D3DC3" w:rsidRPr="00A40CD0">
        <w:rPr>
          <w:vertAlign w:val="superscript"/>
        </w:rPr>
        <w:t>-1</w:t>
      </w:r>
      <w:r w:rsidR="005D3DC3" w:rsidRPr="00A40CD0">
        <w:t>)</w:t>
      </w:r>
      <w:r w:rsidR="005D3DC3">
        <w:t xml:space="preserve"> for 89% of </w:t>
      </w:r>
      <w:r w:rsidR="004A6070">
        <w:t>these waters; t</w:t>
      </w:r>
      <w:r w:rsidR="004A6070" w:rsidRPr="00A40CD0">
        <w:t>he seasonal mean CHL values exceeded the Guidelines values</w:t>
      </w:r>
      <w:r w:rsidR="004A6070">
        <w:t xml:space="preserve"> for 93% and 67% in the dry and wet season respectively.</w:t>
      </w:r>
      <w:r w:rsidR="004A6070" w:rsidRPr="004A6070">
        <w:t xml:space="preserve"> </w:t>
      </w:r>
      <w:r w:rsidR="004A6070">
        <w:t xml:space="preserve">The </w:t>
      </w:r>
      <w:r w:rsidR="004A6070" w:rsidRPr="00A40CD0">
        <w:t xml:space="preserve">annual mean </w:t>
      </w:r>
      <w:r w:rsidR="004A6070">
        <w:t>TSS</w:t>
      </w:r>
      <w:r w:rsidR="004A6070" w:rsidRPr="00A40CD0">
        <w:t xml:space="preserve"> values</w:t>
      </w:r>
      <w:r w:rsidR="004A6070">
        <w:t xml:space="preserve"> </w:t>
      </w:r>
      <w:r w:rsidR="004A6070" w:rsidRPr="00A40CD0">
        <w:t>exceeded the guideline value (</w:t>
      </w:r>
      <w:r w:rsidR="004A6070">
        <w:t>15.0 mg</w:t>
      </w:r>
      <w:r w:rsidR="004A6070" w:rsidRPr="00A40CD0">
        <w:t>L</w:t>
      </w:r>
      <w:r w:rsidR="004A6070" w:rsidRPr="00A40CD0">
        <w:rPr>
          <w:vertAlign w:val="superscript"/>
        </w:rPr>
        <w:t>-1</w:t>
      </w:r>
      <w:r w:rsidR="004A6070" w:rsidRPr="00A40CD0">
        <w:t>)</w:t>
      </w:r>
      <w:r w:rsidR="004A6070">
        <w:t xml:space="preserve"> for 66% of these waters, while t</w:t>
      </w:r>
      <w:r w:rsidR="004A6070" w:rsidRPr="00A40CD0">
        <w:t xml:space="preserve">he seasonal mean </w:t>
      </w:r>
      <w:r w:rsidR="004A6070">
        <w:t>TSS</w:t>
      </w:r>
      <w:r w:rsidR="004A6070" w:rsidRPr="00A40CD0">
        <w:t xml:space="preserve"> values exceeded the </w:t>
      </w:r>
      <w:r w:rsidR="004A6070">
        <w:t xml:space="preserve">seasonally adjusted </w:t>
      </w:r>
      <w:r w:rsidR="004A6070" w:rsidRPr="00A40CD0">
        <w:t>Guidelines values</w:t>
      </w:r>
      <w:r w:rsidR="004A6070">
        <w:t xml:space="preserve"> for 71% and 47% in the dry and wet season respectively.</w:t>
      </w:r>
    </w:p>
    <w:p w:rsidR="00B25CAA" w:rsidRPr="00A40CD0" w:rsidRDefault="00B25CAA" w:rsidP="002E0BD6">
      <w:pPr>
        <w:pStyle w:val="BodyText"/>
      </w:pPr>
      <w:r w:rsidRPr="00A40CD0">
        <w:t xml:space="preserve">For the Fitzroy region the annual mean CHL values exceeded the guideline value (0.45 </w:t>
      </w:r>
      <w:r w:rsidR="00A40CD0" w:rsidRPr="00A40CD0">
        <w:rPr>
          <w:rFonts w:ascii="SymbolProp BT" w:hAnsi="SymbolProp BT"/>
        </w:rPr>
        <w:t></w:t>
      </w:r>
      <w:r w:rsidR="00A40CD0" w:rsidRPr="00A40CD0">
        <w:t>gL</w:t>
      </w:r>
      <w:r w:rsidR="00A40CD0" w:rsidRPr="00A40CD0">
        <w:rPr>
          <w:vertAlign w:val="superscript"/>
        </w:rPr>
        <w:t>-1</w:t>
      </w:r>
      <w:r w:rsidRPr="00A40CD0">
        <w:t xml:space="preserve">) for </w:t>
      </w:r>
      <w:r w:rsidR="004A6070">
        <w:t>81</w:t>
      </w:r>
      <w:r w:rsidRPr="00A40CD0">
        <w:t xml:space="preserve">% of the Open Coastal </w:t>
      </w:r>
      <w:r w:rsidR="00A40CD0" w:rsidRPr="00A40CD0">
        <w:t>area and</w:t>
      </w:r>
      <w:r w:rsidRPr="00A40CD0">
        <w:t xml:space="preserve"> </w:t>
      </w:r>
      <w:r w:rsidR="004A6070">
        <w:t>8</w:t>
      </w:r>
      <w:r w:rsidRPr="00A40CD0">
        <w:t>% of the Midshelf area (</w:t>
      </w:r>
      <w:r w:rsidR="00EA2F38">
        <w:fldChar w:fldCharType="begin"/>
      </w:r>
      <w:r w:rsidR="00D90A4A">
        <w:instrText xml:space="preserve"> REF _Ref263848588 \h </w:instrText>
      </w:r>
      <w:r w:rsidR="00EA2F38">
        <w:fldChar w:fldCharType="separate"/>
      </w:r>
      <w:r w:rsidR="00B11F3B" w:rsidRPr="00A40CD0">
        <w:t xml:space="preserve">Figure </w:t>
      </w:r>
      <w:r w:rsidR="00B11F3B">
        <w:rPr>
          <w:noProof/>
        </w:rPr>
        <w:t>77</w:t>
      </w:r>
      <w:r w:rsidR="00EA2F38">
        <w:fldChar w:fldCharType="end"/>
      </w:r>
      <w:r w:rsidRPr="00A40CD0">
        <w:t xml:space="preserve">, </w:t>
      </w:r>
      <w:r w:rsidR="008A285B">
        <w:fldChar w:fldCharType="begin"/>
      </w:r>
      <w:r w:rsidR="008A285B">
        <w:instrText xml:space="preserve"> REF _Ref258851424 \h  \* MERGEFORMAT </w:instrText>
      </w:r>
      <w:r w:rsidR="008A285B">
        <w:fldChar w:fldCharType="separate"/>
      </w:r>
      <w:r w:rsidR="00B11F3B" w:rsidRPr="00A40CD0">
        <w:t xml:space="preserve">Table </w:t>
      </w:r>
      <w:r w:rsidR="00B11F3B">
        <w:t>32</w:t>
      </w:r>
      <w:r w:rsidR="008A285B">
        <w:fldChar w:fldCharType="end"/>
      </w:r>
      <w:r w:rsidRPr="00A40CD0">
        <w:t>). The seasonal mean CHL values excee</w:t>
      </w:r>
      <w:r w:rsidR="004A6070">
        <w:t>ded the Guidelines values for 94</w:t>
      </w:r>
      <w:r w:rsidRPr="00A40CD0">
        <w:t xml:space="preserve">% of the Open Coastal Area in the dry season and </w:t>
      </w:r>
      <w:r w:rsidR="004A6070">
        <w:t>65</w:t>
      </w:r>
      <w:r w:rsidRPr="00A40CD0">
        <w:t xml:space="preserve">% in </w:t>
      </w:r>
      <w:r w:rsidRPr="00A40CD0">
        <w:lastRenderedPageBreak/>
        <w:t xml:space="preserve">the wet season. In the dry season CHL also exceeded the Guidelines for </w:t>
      </w:r>
      <w:r w:rsidR="004A6070">
        <w:t>22</w:t>
      </w:r>
      <w:r w:rsidRPr="00A40CD0">
        <w:t xml:space="preserve"> % of the Midshelf and </w:t>
      </w:r>
      <w:r w:rsidR="00C07225">
        <w:t>8</w:t>
      </w:r>
      <w:r w:rsidRPr="00A40CD0">
        <w:t>% of the Offshore areas (</w:t>
      </w:r>
      <w:r w:rsidR="008A285B">
        <w:fldChar w:fldCharType="begin"/>
      </w:r>
      <w:r w:rsidR="008A285B">
        <w:instrText xml:space="preserve"> REF _Ref247857647 \h  \* MERGEFORMAT </w:instrText>
      </w:r>
      <w:r w:rsidR="008A285B">
        <w:fldChar w:fldCharType="separate"/>
      </w:r>
      <w:r w:rsidR="00B11F3B" w:rsidRPr="00A40CD0">
        <w:t xml:space="preserve">Figure </w:t>
      </w:r>
      <w:r w:rsidR="00B11F3B">
        <w:t>78</w:t>
      </w:r>
      <w:r w:rsidR="008A285B">
        <w:fldChar w:fldCharType="end"/>
      </w:r>
      <w:r w:rsidR="00A40CD0" w:rsidRPr="00A40CD0">
        <w:t xml:space="preserve">, </w:t>
      </w:r>
      <w:r w:rsidR="00EA2F38">
        <w:fldChar w:fldCharType="begin"/>
      </w:r>
      <w:r w:rsidR="00D90A4A">
        <w:instrText xml:space="preserve"> REF _Ref263851870 \h </w:instrText>
      </w:r>
      <w:r w:rsidR="00EA2F38">
        <w:fldChar w:fldCharType="separate"/>
      </w:r>
      <w:r w:rsidR="00B11F3B" w:rsidRPr="00A40CD0">
        <w:t xml:space="preserve">Table </w:t>
      </w:r>
      <w:r w:rsidR="00B11F3B">
        <w:rPr>
          <w:noProof/>
        </w:rPr>
        <w:t>33</w:t>
      </w:r>
      <w:r w:rsidR="00EA2F38">
        <w:fldChar w:fldCharType="end"/>
      </w:r>
      <w:r w:rsidRPr="00A40CD0">
        <w:t xml:space="preserve">). Similar exceedance values were retrieved if the median was used for the assessment ( i.e. when EF &gt;0.50 in </w:t>
      </w:r>
      <w:r w:rsidR="008A285B">
        <w:fldChar w:fldCharType="begin"/>
      </w:r>
      <w:r w:rsidR="008A285B">
        <w:instrText xml:space="preserve"> REF _Ref247857649 \h  \* MERGEFORMAT </w:instrText>
      </w:r>
      <w:r w:rsidR="008A285B">
        <w:fldChar w:fldCharType="separate"/>
      </w:r>
      <w:r w:rsidR="00B11F3B" w:rsidRPr="00A40CD0">
        <w:t xml:space="preserve">Figure </w:t>
      </w:r>
      <w:r w:rsidR="00B11F3B">
        <w:t>79</w:t>
      </w:r>
      <w:r w:rsidR="008A285B">
        <w:fldChar w:fldCharType="end"/>
      </w:r>
      <w:r w:rsidRPr="00A40CD0">
        <w:t xml:space="preserve">, </w:t>
      </w:r>
      <w:r w:rsidR="008A285B">
        <w:fldChar w:fldCharType="begin"/>
      </w:r>
      <w:r w:rsidR="008A285B">
        <w:instrText xml:space="preserve"> REF _Ref258851424 \h  \* MERGEFORMAT </w:instrText>
      </w:r>
      <w:r w:rsidR="008A285B">
        <w:fldChar w:fldCharType="separate"/>
      </w:r>
      <w:r w:rsidR="00B11F3B" w:rsidRPr="00A40CD0">
        <w:t xml:space="preserve">Table </w:t>
      </w:r>
      <w:r w:rsidR="00B11F3B">
        <w:t>32</w:t>
      </w:r>
      <w:r w:rsidR="008A285B">
        <w:fldChar w:fldCharType="end"/>
      </w:r>
      <w:r w:rsidRPr="00A40CD0">
        <w:t xml:space="preserve">, </w:t>
      </w:r>
      <w:r w:rsidR="00EA2F38">
        <w:fldChar w:fldCharType="begin"/>
      </w:r>
      <w:r w:rsidR="00D90A4A">
        <w:instrText xml:space="preserve"> REF _Ref263851870 \h </w:instrText>
      </w:r>
      <w:r w:rsidR="00EA2F38">
        <w:fldChar w:fldCharType="separate"/>
      </w:r>
      <w:r w:rsidR="00B11F3B" w:rsidRPr="00A40CD0">
        <w:t xml:space="preserve">Table </w:t>
      </w:r>
      <w:r w:rsidR="00B11F3B">
        <w:rPr>
          <w:noProof/>
        </w:rPr>
        <w:t>33</w:t>
      </w:r>
      <w:r w:rsidR="00EA2F38">
        <w:fldChar w:fldCharType="end"/>
      </w:r>
      <w:r w:rsidRPr="00A40CD0">
        <w:t xml:space="preserve">). The seasonal mean values of TSS exceeded the Guidelines values for </w:t>
      </w:r>
      <w:r w:rsidR="00C07225">
        <w:t>39</w:t>
      </w:r>
      <w:r w:rsidRPr="00A40CD0">
        <w:t xml:space="preserve">% of the Open Coastal Area in the dry season and </w:t>
      </w:r>
      <w:r w:rsidR="00C07225">
        <w:t>35</w:t>
      </w:r>
      <w:r w:rsidRPr="00A40CD0">
        <w:t xml:space="preserve"> % in the wet season (</w:t>
      </w:r>
      <w:r w:rsidR="008A285B">
        <w:fldChar w:fldCharType="begin"/>
      </w:r>
      <w:r w:rsidR="008A285B">
        <w:instrText xml:space="preserve"> REF _Ref247857650 \h  \* MERGEFORMAT </w:instrText>
      </w:r>
      <w:r w:rsidR="008A285B">
        <w:fldChar w:fldCharType="separate"/>
      </w:r>
      <w:r w:rsidR="00B11F3B" w:rsidRPr="00A40CD0">
        <w:t xml:space="preserve">Figure </w:t>
      </w:r>
      <w:r w:rsidR="00B11F3B">
        <w:t>80</w:t>
      </w:r>
      <w:r w:rsidR="008A285B">
        <w:fldChar w:fldCharType="end"/>
      </w:r>
      <w:r w:rsidRPr="00A40CD0">
        <w:t xml:space="preserve"> and </w:t>
      </w:r>
      <w:r w:rsidR="008A285B">
        <w:fldChar w:fldCharType="begin"/>
      </w:r>
      <w:r w:rsidR="008A285B">
        <w:instrText xml:space="preserve"> REF _Ref258851425 \h  \* MERGEFORMAT </w:instrText>
      </w:r>
      <w:r w:rsidR="008A285B">
        <w:fldChar w:fldCharType="separate"/>
      </w:r>
      <w:r w:rsidR="00B11F3B" w:rsidRPr="00A40CD0">
        <w:t xml:space="preserve">Table </w:t>
      </w:r>
      <w:r w:rsidR="00B11F3B">
        <w:t>34</w:t>
      </w:r>
      <w:r w:rsidR="008A285B">
        <w:fldChar w:fldCharType="end"/>
      </w:r>
      <w:r w:rsidRPr="00A40CD0">
        <w:t xml:space="preserve">). Over the whole year, </w:t>
      </w:r>
      <w:r w:rsidR="00A40CD0" w:rsidRPr="00A40CD0">
        <w:t>exceedance of TSS Guideline values was</w:t>
      </w:r>
      <w:r w:rsidRPr="00A40CD0">
        <w:t xml:space="preserve"> recorded in </w:t>
      </w:r>
      <w:r w:rsidR="00C07225">
        <w:t>35</w:t>
      </w:r>
      <w:r w:rsidRPr="00A40CD0">
        <w:t>% of the Open Coastal (</w:t>
      </w:r>
      <w:r w:rsidR="00EA2F38">
        <w:fldChar w:fldCharType="begin"/>
      </w:r>
      <w:r w:rsidR="00D90A4A">
        <w:instrText xml:space="preserve"> REF _Ref263848588 \h </w:instrText>
      </w:r>
      <w:r w:rsidR="00EA2F38">
        <w:fldChar w:fldCharType="separate"/>
      </w:r>
      <w:r w:rsidR="00B11F3B" w:rsidRPr="00A40CD0">
        <w:t xml:space="preserve">Figure </w:t>
      </w:r>
      <w:r w:rsidR="00B11F3B">
        <w:rPr>
          <w:noProof/>
        </w:rPr>
        <w:t>77</w:t>
      </w:r>
      <w:r w:rsidR="00EA2F38">
        <w:fldChar w:fldCharType="end"/>
      </w:r>
      <w:r w:rsidRPr="00A40CD0">
        <w:t xml:space="preserve">, </w:t>
      </w:r>
      <w:r w:rsidR="008A285B">
        <w:fldChar w:fldCharType="begin"/>
      </w:r>
      <w:r w:rsidR="008A285B">
        <w:instrText xml:space="preserve"> REF _Ref258851424 \h  \* MERGEFORMAT </w:instrText>
      </w:r>
      <w:r w:rsidR="008A285B">
        <w:fldChar w:fldCharType="separate"/>
      </w:r>
      <w:r w:rsidR="00B11F3B" w:rsidRPr="00A40CD0">
        <w:t xml:space="preserve">Table </w:t>
      </w:r>
      <w:r w:rsidR="00B11F3B">
        <w:t>32</w:t>
      </w:r>
      <w:r w:rsidR="008A285B">
        <w:fldChar w:fldCharType="end"/>
      </w:r>
      <w:r w:rsidRPr="00A40CD0">
        <w:t>). In the seasonal EF maps (</w:t>
      </w:r>
      <w:r w:rsidR="008A285B">
        <w:fldChar w:fldCharType="begin"/>
      </w:r>
      <w:r w:rsidR="008A285B">
        <w:instrText xml:space="preserve"> REF _Ref247857651 \h  \* MERGEFORMAT </w:instrText>
      </w:r>
      <w:r w:rsidR="008A285B">
        <w:fldChar w:fldCharType="separate"/>
      </w:r>
      <w:r w:rsidR="00B11F3B" w:rsidRPr="00A40CD0">
        <w:t xml:space="preserve">Figure </w:t>
      </w:r>
      <w:r w:rsidR="00B11F3B">
        <w:t>81</w:t>
      </w:r>
      <w:r w:rsidR="008A285B">
        <w:fldChar w:fldCharType="end"/>
      </w:r>
      <w:r w:rsidRPr="00A40CD0">
        <w:t xml:space="preserve">), </w:t>
      </w:r>
      <w:r w:rsidR="00A40CD0">
        <w:t>l</w:t>
      </w:r>
      <w:r w:rsidRPr="00A40CD0">
        <w:t xml:space="preserve">ow exceedance was recorded for the Midshelf and Offshore areas in both seasons if </w:t>
      </w:r>
      <w:r w:rsidR="00C07225">
        <w:t xml:space="preserve">either the mean or </w:t>
      </w:r>
      <w:r w:rsidRPr="00A40CD0">
        <w:t>the median was used for the assessment</w:t>
      </w:r>
      <w:r w:rsidR="00C07225">
        <w:t xml:space="preserve"> (</w:t>
      </w:r>
      <w:r w:rsidR="008A285B">
        <w:fldChar w:fldCharType="begin"/>
      </w:r>
      <w:r w:rsidR="008A285B">
        <w:instrText xml:space="preserve"> REF _Ref247857650 \h  \* MERGEFORMAT </w:instrText>
      </w:r>
      <w:r w:rsidR="008A285B">
        <w:fldChar w:fldCharType="separate"/>
      </w:r>
      <w:r w:rsidR="00B11F3B" w:rsidRPr="00A40CD0">
        <w:t xml:space="preserve">Figure </w:t>
      </w:r>
      <w:r w:rsidR="00B11F3B">
        <w:t>80</w:t>
      </w:r>
      <w:r w:rsidR="008A285B">
        <w:fldChar w:fldCharType="end"/>
      </w:r>
      <w:r w:rsidR="00C07225">
        <w:t>,</w:t>
      </w:r>
      <w:r w:rsidR="00C07225" w:rsidRPr="00C07225">
        <w:t xml:space="preserve"> </w:t>
      </w:r>
      <w:r w:rsidR="008A285B">
        <w:fldChar w:fldCharType="begin"/>
      </w:r>
      <w:r w:rsidR="008A285B">
        <w:instrText xml:space="preserve"> REF _Ref247857651 \h  \* MERGEFORMAT </w:instrText>
      </w:r>
      <w:r w:rsidR="008A285B">
        <w:fldChar w:fldCharType="separate"/>
      </w:r>
      <w:r w:rsidR="00B11F3B" w:rsidRPr="00A40CD0">
        <w:t xml:space="preserve">Figure </w:t>
      </w:r>
      <w:r w:rsidR="00B11F3B">
        <w:t>81</w:t>
      </w:r>
      <w:r w:rsidR="008A285B">
        <w:fldChar w:fldCharType="end"/>
      </w:r>
      <w:r w:rsidR="00C07225">
        <w:t xml:space="preserve"> </w:t>
      </w:r>
      <w:r w:rsidRPr="00A40CD0">
        <w:t xml:space="preserve">and </w:t>
      </w:r>
      <w:r w:rsidR="008A285B">
        <w:fldChar w:fldCharType="begin"/>
      </w:r>
      <w:r w:rsidR="008A285B">
        <w:instrText xml:space="preserve"> REF _Ref258851425 \h  \* MERGEFORMAT </w:instrText>
      </w:r>
      <w:r w:rsidR="008A285B">
        <w:fldChar w:fldCharType="separate"/>
      </w:r>
      <w:r w:rsidR="00B11F3B" w:rsidRPr="00A40CD0">
        <w:t xml:space="preserve">Table </w:t>
      </w:r>
      <w:r w:rsidR="00B11F3B">
        <w:t>34</w:t>
      </w:r>
      <w:r w:rsidR="008A285B">
        <w:fldChar w:fldCharType="end"/>
      </w:r>
      <w:r w:rsidRPr="00A40CD0">
        <w:t>).</w:t>
      </w:r>
    </w:p>
    <w:p w:rsidR="00C908C7" w:rsidRPr="00A40CD0" w:rsidRDefault="009B4F2F" w:rsidP="002E0BD6">
      <w:pPr>
        <w:pStyle w:val="BodyText"/>
      </w:pPr>
      <w:r w:rsidRPr="009B4F2F">
        <w:rPr>
          <w:noProof/>
          <w:lang w:eastAsia="en-AU"/>
        </w:rPr>
        <w:drawing>
          <wp:inline distT="0" distB="0" distL="0" distR="0">
            <wp:extent cx="5759450" cy="3525102"/>
            <wp:effectExtent l="0" t="0" r="6350" b="5715"/>
            <wp:docPr id="26" name="Picture 21" descr="Paddock to Reef marine water quality index (P2R_WQI) and component scores (P2R_CHL and P2R_TSS) for the Fitzroy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5759450" cy="3525102"/>
                    </a:xfrm>
                    <a:prstGeom prst="rect">
                      <a:avLst/>
                    </a:prstGeom>
                    <a:noFill/>
                    <a:ln>
                      <a:noFill/>
                    </a:ln>
                  </pic:spPr>
                </pic:pic>
              </a:graphicData>
            </a:graphic>
          </wp:inline>
        </w:drawing>
      </w:r>
    </w:p>
    <w:p w:rsidR="00C908C7" w:rsidRPr="00A40CD0" w:rsidRDefault="00C908C7" w:rsidP="00C908C7">
      <w:pPr>
        <w:pStyle w:val="Caption"/>
      </w:pPr>
      <w:bookmarkStart w:id="426" w:name="_Ref321321137"/>
      <w:bookmarkStart w:id="427" w:name="_Toc228588352"/>
      <w:bookmarkStart w:id="428" w:name="_Toc399265058"/>
      <w:r w:rsidRPr="00A40CD0">
        <w:t xml:space="preserve">Figure </w:t>
      </w:r>
      <w:r w:rsidR="00EA2F38">
        <w:fldChar w:fldCharType="begin"/>
      </w:r>
      <w:r w:rsidR="00933C8B">
        <w:instrText xml:space="preserve"> SEQ Figure \* ARABIC </w:instrText>
      </w:r>
      <w:r w:rsidR="00EA2F38">
        <w:fldChar w:fldCharType="separate"/>
      </w:r>
      <w:r w:rsidR="00B11F3B">
        <w:rPr>
          <w:noProof/>
        </w:rPr>
        <w:t>72</w:t>
      </w:r>
      <w:r w:rsidR="00EA2F38">
        <w:fldChar w:fldCharType="end"/>
      </w:r>
      <w:bookmarkEnd w:id="426"/>
      <w:r w:rsidRPr="00A40CD0">
        <w:t>. Paddock to Reef marine water quality index (P2R_WQI) and component scores (P2R_CHL and P2R_TSS) for the Fitzroy region based on the assessment of exceedance to the Guidelines.</w:t>
      </w:r>
      <w:bookmarkEnd w:id="427"/>
      <w:bookmarkEnd w:id="428"/>
    </w:p>
    <w:p w:rsidR="00C908C7" w:rsidRPr="00A40CD0" w:rsidRDefault="00C908C7" w:rsidP="002E0BD6">
      <w:pPr>
        <w:pStyle w:val="BodyText"/>
      </w:pPr>
    </w:p>
    <w:p w:rsidR="00B25CAA" w:rsidRPr="00A40CD0" w:rsidRDefault="00C07225" w:rsidP="002E0BD6">
      <w:pPr>
        <w:pStyle w:val="BodyText"/>
      </w:pPr>
      <w:r>
        <w:t>As</w:t>
      </w:r>
      <w:r w:rsidR="00B25CAA" w:rsidRPr="00A40CD0">
        <w:t xml:space="preserve"> observed for other reporting regions, the spatial patterns in exceedance for both</w:t>
      </w:r>
      <w:r>
        <w:t xml:space="preserve"> variables for the mean values</w:t>
      </w:r>
      <w:r w:rsidR="00B25CAA" w:rsidRPr="00A40CD0">
        <w:t xml:space="preserve"> </w:t>
      </w:r>
      <w:r>
        <w:t>(</w:t>
      </w:r>
      <w:r w:rsidR="00EA2F38">
        <w:fldChar w:fldCharType="begin"/>
      </w:r>
      <w:r w:rsidR="00D90A4A">
        <w:instrText xml:space="preserve"> REF _Ref247857647 \h </w:instrText>
      </w:r>
      <w:r w:rsidR="00EA2F38">
        <w:fldChar w:fldCharType="separate"/>
      </w:r>
      <w:r w:rsidR="00B11F3B" w:rsidRPr="00A40CD0">
        <w:t xml:space="preserve">Figure </w:t>
      </w:r>
      <w:r w:rsidR="00B11F3B">
        <w:rPr>
          <w:noProof/>
        </w:rPr>
        <w:t>78</w:t>
      </w:r>
      <w:r w:rsidR="00EA2F38">
        <w:fldChar w:fldCharType="end"/>
      </w:r>
      <w:r w:rsidR="00B25CAA" w:rsidRPr="00A40CD0">
        <w:t xml:space="preserve">, </w:t>
      </w:r>
      <w:r w:rsidR="00EA2F38">
        <w:fldChar w:fldCharType="begin"/>
      </w:r>
      <w:r w:rsidR="00D90A4A">
        <w:instrText xml:space="preserve"> REF _Ref247857650 \h </w:instrText>
      </w:r>
      <w:r w:rsidR="00EA2F38">
        <w:fldChar w:fldCharType="separate"/>
      </w:r>
      <w:r w:rsidR="00B11F3B" w:rsidRPr="00A40CD0">
        <w:t xml:space="preserve">Figure </w:t>
      </w:r>
      <w:r w:rsidR="00B11F3B">
        <w:rPr>
          <w:noProof/>
        </w:rPr>
        <w:t>80</w:t>
      </w:r>
      <w:r w:rsidR="00EA2F38">
        <w:fldChar w:fldCharType="end"/>
      </w:r>
      <w:r w:rsidR="00B25CAA" w:rsidRPr="00A40CD0">
        <w:t>) and the median values (</w:t>
      </w:r>
      <w:r w:rsidR="00EA2F38">
        <w:fldChar w:fldCharType="begin"/>
      </w:r>
      <w:r w:rsidR="00D90A4A">
        <w:instrText xml:space="preserve"> REF _Ref247857649 \h </w:instrText>
      </w:r>
      <w:r w:rsidR="00EA2F38">
        <w:fldChar w:fldCharType="separate"/>
      </w:r>
      <w:r w:rsidR="00B11F3B" w:rsidRPr="00A40CD0">
        <w:t xml:space="preserve">Figure </w:t>
      </w:r>
      <w:r w:rsidR="00B11F3B">
        <w:rPr>
          <w:noProof/>
        </w:rPr>
        <w:t>79</w:t>
      </w:r>
      <w:r w:rsidR="00EA2F38">
        <w:fldChar w:fldCharType="end"/>
      </w:r>
      <w:r w:rsidR="00B25CAA" w:rsidRPr="00A40CD0">
        <w:t xml:space="preserve"> and </w:t>
      </w:r>
      <w:r w:rsidR="00EA2F38">
        <w:fldChar w:fldCharType="begin"/>
      </w:r>
      <w:r w:rsidR="00D90A4A">
        <w:instrText xml:space="preserve"> REF _Ref247857651 \h </w:instrText>
      </w:r>
      <w:r w:rsidR="00EA2F38">
        <w:fldChar w:fldCharType="separate"/>
      </w:r>
      <w:r w:rsidR="00B11F3B" w:rsidRPr="00A40CD0">
        <w:t xml:space="preserve">Figure </w:t>
      </w:r>
      <w:r w:rsidR="00B11F3B">
        <w:rPr>
          <w:noProof/>
        </w:rPr>
        <w:t>81</w:t>
      </w:r>
      <w:r w:rsidR="00EA2F38">
        <w:fldChar w:fldCharType="end"/>
      </w:r>
      <w:r w:rsidR="00B25CAA" w:rsidRPr="00A40CD0">
        <w:t xml:space="preserve"> ) are affected by the coastal to offshore gradients that can be observed in the median maps (</w:t>
      </w:r>
      <w:r w:rsidR="00EA2F38">
        <w:fldChar w:fldCharType="begin"/>
      </w:r>
      <w:r w:rsidR="00D90A4A">
        <w:instrText xml:space="preserve"> REF _Ref247856932 \h </w:instrText>
      </w:r>
      <w:r w:rsidR="00EA2F38">
        <w:fldChar w:fldCharType="separate"/>
      </w:r>
      <w:r w:rsidR="00B11F3B" w:rsidRPr="00A40CD0">
        <w:t xml:space="preserve">Figure </w:t>
      </w:r>
      <w:r w:rsidR="00B11F3B">
        <w:rPr>
          <w:noProof/>
        </w:rPr>
        <w:t>74</w:t>
      </w:r>
      <w:r w:rsidR="00EA2F38">
        <w:fldChar w:fldCharType="end"/>
      </w:r>
      <w:r w:rsidR="00B25CAA" w:rsidRPr="00A40CD0">
        <w:t xml:space="preserve">, </w:t>
      </w:r>
      <w:r w:rsidR="00EA2F38">
        <w:fldChar w:fldCharType="begin"/>
      </w:r>
      <w:r w:rsidR="00D90A4A">
        <w:instrText xml:space="preserve"> REF _Ref247857621 \h </w:instrText>
      </w:r>
      <w:r w:rsidR="00EA2F38">
        <w:fldChar w:fldCharType="separate"/>
      </w:r>
      <w:r w:rsidR="00B11F3B" w:rsidRPr="00A40CD0">
        <w:t xml:space="preserve">Figure </w:t>
      </w:r>
      <w:r w:rsidR="00B11F3B">
        <w:rPr>
          <w:noProof/>
        </w:rPr>
        <w:t>75</w:t>
      </w:r>
      <w:r w:rsidR="00EA2F38">
        <w:fldChar w:fldCharType="end"/>
      </w:r>
      <w:r w:rsidR="00B25CAA" w:rsidRPr="00A40CD0">
        <w:t>) and by the steep changes in trigger values between the Midshelf and Offshore areas.</w:t>
      </w:r>
    </w:p>
    <w:p w:rsidR="00B25CAA" w:rsidRPr="00A40CD0" w:rsidRDefault="00EA2F38" w:rsidP="002E0BD6">
      <w:pPr>
        <w:pStyle w:val="BodyText"/>
      </w:pPr>
      <w:r>
        <w:fldChar w:fldCharType="begin"/>
      </w:r>
      <w:r w:rsidR="00D90A4A">
        <w:instrText xml:space="preserve"> REF _Ref248215900 \h </w:instrText>
      </w:r>
      <w:r>
        <w:fldChar w:fldCharType="separate"/>
      </w:r>
      <w:r w:rsidR="00B11F3B" w:rsidRPr="00A40CD0">
        <w:t xml:space="preserve">Table </w:t>
      </w:r>
      <w:r w:rsidR="00B11F3B">
        <w:rPr>
          <w:noProof/>
        </w:rPr>
        <w:t>35</w:t>
      </w:r>
      <w:r>
        <w:fldChar w:fldCharType="end"/>
      </w:r>
      <w:r w:rsidR="00B25CAA" w:rsidRPr="00A40CD0">
        <w:t xml:space="preserve"> and </w:t>
      </w:r>
      <w:r>
        <w:fldChar w:fldCharType="begin"/>
      </w:r>
      <w:r w:rsidR="00D90A4A">
        <w:instrText xml:space="preserve"> REF _Ref248215903 \h </w:instrText>
      </w:r>
      <w:r>
        <w:fldChar w:fldCharType="separate"/>
      </w:r>
      <w:r w:rsidR="00B11F3B" w:rsidRPr="00A40CD0">
        <w:t xml:space="preserve">Table </w:t>
      </w:r>
      <w:r w:rsidR="00B11F3B">
        <w:rPr>
          <w:noProof/>
        </w:rPr>
        <w:t>36</w:t>
      </w:r>
      <w:r>
        <w:fldChar w:fldCharType="end"/>
      </w:r>
      <w:r w:rsidR="00B25CAA" w:rsidRPr="00A40CD0">
        <w:t xml:space="preserve"> report the summary of exceedance for both variables, providing mean and median concentrations computed on all the valid observations for each water body for each season, along with the EF for that period. These metrics are based on a high number of observations (ranging from 130 thousands valid observations for Open Coastal in the wet season to almost 2 million for the Offshore area in the dry season). According to these metrics both the mean and the median CHL</w:t>
      </w:r>
      <w:r w:rsidR="00A40CD0">
        <w:t xml:space="preserve"> </w:t>
      </w:r>
      <w:r w:rsidR="00B25CAA" w:rsidRPr="00A40CD0">
        <w:t>values exceeded the Guidelines values for the all three water bodies in the dry season and in the Open Coastal area in the wet season. The mean and median values for the TSS concentration differed substantially (</w:t>
      </w:r>
      <w:r>
        <w:fldChar w:fldCharType="begin"/>
      </w:r>
      <w:r w:rsidR="00D90A4A">
        <w:instrText xml:space="preserve"> REF _Ref248215903 \h </w:instrText>
      </w:r>
      <w:r>
        <w:fldChar w:fldCharType="separate"/>
      </w:r>
      <w:r w:rsidR="00B11F3B" w:rsidRPr="00A40CD0">
        <w:t xml:space="preserve">Table </w:t>
      </w:r>
      <w:r w:rsidR="00B11F3B">
        <w:rPr>
          <w:noProof/>
        </w:rPr>
        <w:t>36</w:t>
      </w:r>
      <w:r>
        <w:fldChar w:fldCharType="end"/>
      </w:r>
      <w:r w:rsidR="00B25CAA" w:rsidRPr="00A40CD0">
        <w:t>) for all regions and seasons. The mean values were ~ 2-3 times higher than medians. Only the mean values of TSS exceeded the Guidelines values for the Open Coastal areas for both seasons.</w:t>
      </w:r>
      <w:bookmarkStart w:id="429" w:name="_Ref258848123"/>
      <w:bookmarkStart w:id="430" w:name="_Ref248215928"/>
      <w:r w:rsidR="00B25CAA" w:rsidRPr="00A40CD0">
        <w:br w:type="page"/>
      </w:r>
    </w:p>
    <w:p w:rsidR="00B25CAA" w:rsidRPr="00A40CD0" w:rsidRDefault="00B25CAA" w:rsidP="004F4DDE">
      <w:pPr>
        <w:pStyle w:val="Caption"/>
      </w:pPr>
      <w:bookmarkStart w:id="431" w:name="_Ref258851424"/>
      <w:bookmarkStart w:id="432" w:name="_Toc228588257"/>
      <w:bookmarkStart w:id="433" w:name="_Toc399264961"/>
      <w:r w:rsidRPr="00A40CD0">
        <w:lastRenderedPageBreak/>
        <w:t xml:space="preserve">Table </w:t>
      </w:r>
      <w:fldSimple w:instr=" SEQ Table \* ARABIC ">
        <w:r w:rsidR="00B11F3B">
          <w:rPr>
            <w:noProof/>
          </w:rPr>
          <w:t>32</w:t>
        </w:r>
      </w:fldSimple>
      <w:bookmarkEnd w:id="429"/>
      <w:bookmarkEnd w:id="431"/>
      <w:r w:rsidRPr="00A40CD0">
        <w:t xml:space="preserve"> Summary of the annual exceedance maps for Chlorophyll-a and Total Suspended Solids for the Fitzroy region. "Surface Area" is the surface area in square kilometres for each of the three reporting water bodies </w:t>
      </w:r>
      <w:r w:rsidR="00193A93">
        <w:t xml:space="preserve">for this region: (EC: Enclosed Coastal, OC: Open Coastal, IS: Inshore, MS: Midshelf, OS: Offshore), </w:t>
      </w:r>
      <w:r w:rsidRPr="00A40CD0">
        <w:t>,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432"/>
      <w:bookmarkEnd w:id="433"/>
    </w:p>
    <w:tbl>
      <w:tblPr>
        <w:tblStyle w:val="TableGrid"/>
        <w:tblW w:w="0" w:type="auto"/>
        <w:tblLook w:val="04A0" w:firstRow="1" w:lastRow="0" w:firstColumn="1" w:lastColumn="0" w:noHBand="0" w:noVBand="1"/>
      </w:tblPr>
      <w:tblGrid>
        <w:gridCol w:w="920"/>
        <w:gridCol w:w="938"/>
        <w:gridCol w:w="1060"/>
        <w:gridCol w:w="1096"/>
        <w:gridCol w:w="927"/>
        <w:gridCol w:w="938"/>
        <w:gridCol w:w="927"/>
        <w:gridCol w:w="939"/>
      </w:tblGrid>
      <w:tr w:rsidR="00F20F80" w:rsidRPr="009E5DAC" w:rsidTr="003E6AED">
        <w:tc>
          <w:tcPr>
            <w:tcW w:w="920" w:type="dxa"/>
          </w:tcPr>
          <w:p w:rsidR="00F20F80" w:rsidRPr="009E5DAC" w:rsidRDefault="00F20F80" w:rsidP="003E6AED">
            <w:pPr>
              <w:pStyle w:val="PlainText"/>
              <w:rPr>
                <w:rFonts w:ascii="Times New Roman" w:hAnsi="Times New Roman"/>
                <w:sz w:val="22"/>
                <w:szCs w:val="22"/>
              </w:rPr>
            </w:pPr>
            <w:bookmarkStart w:id="434" w:name="_Ref258848125"/>
            <w:r w:rsidRPr="009E5DAC">
              <w:rPr>
                <w:rFonts w:ascii="Times New Roman" w:hAnsi="Times New Roman"/>
                <w:sz w:val="22"/>
                <w:szCs w:val="22"/>
              </w:rPr>
              <w:t>FITZ-B09</w:t>
            </w:r>
          </w:p>
        </w:tc>
        <w:tc>
          <w:tcPr>
            <w:tcW w:w="938" w:type="dxa"/>
          </w:tcPr>
          <w:p w:rsidR="00F20F80" w:rsidRPr="009E5DAC" w:rsidRDefault="00F20F80" w:rsidP="003E6AED">
            <w:pPr>
              <w:pStyle w:val="PlainText"/>
              <w:rPr>
                <w:rFonts w:ascii="Times New Roman" w:hAnsi="Times New Roman"/>
                <w:sz w:val="22"/>
                <w:szCs w:val="22"/>
              </w:rPr>
            </w:pPr>
          </w:p>
        </w:tc>
        <w:tc>
          <w:tcPr>
            <w:tcW w:w="2156" w:type="dxa"/>
            <w:gridSpan w:val="2"/>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01-May-2011_30-Apr-2012</w:t>
            </w:r>
          </w:p>
        </w:tc>
        <w:tc>
          <w:tcPr>
            <w:tcW w:w="1865" w:type="dxa"/>
            <w:gridSpan w:val="2"/>
          </w:tcPr>
          <w:p w:rsidR="00F20F80" w:rsidRPr="00A40CD0" w:rsidRDefault="00F20F80" w:rsidP="002E0BD6">
            <w:pPr>
              <w:pStyle w:val="BodyText"/>
            </w:pPr>
            <w:r w:rsidRPr="00A40CD0">
              <w:t>Chlorophyll-a</w:t>
            </w:r>
          </w:p>
        </w:tc>
        <w:tc>
          <w:tcPr>
            <w:tcW w:w="1866" w:type="dxa"/>
            <w:gridSpan w:val="2"/>
            <w:vAlign w:val="bottom"/>
          </w:tcPr>
          <w:p w:rsidR="00F20F80" w:rsidRPr="00A40CD0" w:rsidRDefault="00F20F80" w:rsidP="002E0BD6">
            <w:pPr>
              <w:pStyle w:val="BodyText"/>
            </w:pPr>
            <w:r w:rsidRPr="00A40CD0">
              <w:t>Total Suspended Solids</w:t>
            </w:r>
          </w:p>
        </w:tc>
      </w:tr>
      <w:tr w:rsidR="00F20F80" w:rsidRPr="009E5DAC" w:rsidTr="003E6AED">
        <w:tc>
          <w:tcPr>
            <w:tcW w:w="92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109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3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92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1336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64806</w:t>
            </w:r>
          </w:p>
        </w:tc>
        <w:tc>
          <w:tcPr>
            <w:tcW w:w="109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510352</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70%</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66%</w:t>
            </w:r>
          </w:p>
        </w:tc>
        <w:tc>
          <w:tcPr>
            <w:tcW w:w="93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62%</w:t>
            </w:r>
          </w:p>
        </w:tc>
      </w:tr>
      <w:tr w:rsidR="00F20F80" w:rsidRPr="009E5DAC" w:rsidTr="003E6AED">
        <w:tc>
          <w:tcPr>
            <w:tcW w:w="92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4583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386548</w:t>
            </w:r>
          </w:p>
        </w:tc>
        <w:tc>
          <w:tcPr>
            <w:tcW w:w="109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1750706</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79%</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63%</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35%</w:t>
            </w:r>
          </w:p>
        </w:tc>
        <w:tc>
          <w:tcPr>
            <w:tcW w:w="93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w:t>
            </w:r>
          </w:p>
        </w:tc>
      </w:tr>
      <w:tr w:rsidR="00F20F80" w:rsidRPr="009E5DAC" w:rsidTr="003E6AED">
        <w:tc>
          <w:tcPr>
            <w:tcW w:w="920"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5919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451354</w:t>
            </w:r>
          </w:p>
        </w:tc>
        <w:tc>
          <w:tcPr>
            <w:tcW w:w="109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2261058</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81%</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42%</w:t>
            </w:r>
          </w:p>
        </w:tc>
        <w:tc>
          <w:tcPr>
            <w:tcW w:w="93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32%</w:t>
            </w:r>
          </w:p>
        </w:tc>
      </w:tr>
      <w:tr w:rsidR="00F20F80" w:rsidRPr="009E5DAC" w:rsidTr="003E6AED">
        <w:tc>
          <w:tcPr>
            <w:tcW w:w="92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18421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1440360</w:t>
            </w:r>
          </w:p>
        </w:tc>
        <w:tc>
          <w:tcPr>
            <w:tcW w:w="109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7036822</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c>
          <w:tcPr>
            <w:tcW w:w="93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r>
      <w:tr w:rsidR="00F20F80" w:rsidRPr="009E5DAC" w:rsidTr="003E6AED">
        <w:tc>
          <w:tcPr>
            <w:tcW w:w="92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48664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3074209</w:t>
            </w:r>
          </w:p>
        </w:tc>
        <w:tc>
          <w:tcPr>
            <w:tcW w:w="109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18589648</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3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2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3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02758C"/>
    <w:p w:rsidR="00B25CAA" w:rsidRPr="00A40CD0" w:rsidRDefault="00B25CAA" w:rsidP="004F4DDE">
      <w:pPr>
        <w:pStyle w:val="Caption"/>
      </w:pPr>
      <w:bookmarkStart w:id="435" w:name="_Ref263851870"/>
      <w:bookmarkStart w:id="436" w:name="_Toc228588258"/>
      <w:bookmarkStart w:id="437" w:name="_Toc399264962"/>
      <w:r w:rsidRPr="00A40CD0">
        <w:t xml:space="preserve">Table </w:t>
      </w:r>
      <w:fldSimple w:instr=" SEQ Table \* ARABIC ">
        <w:r w:rsidR="00B11F3B">
          <w:rPr>
            <w:noProof/>
          </w:rPr>
          <w:t>33</w:t>
        </w:r>
      </w:fldSimple>
      <w:bookmarkEnd w:id="430"/>
      <w:bookmarkEnd w:id="434"/>
      <w:bookmarkEnd w:id="435"/>
      <w:r w:rsidRPr="00A40CD0">
        <w:t xml:space="preserve"> Summary of the exceedance maps for Chlorophyll-a for the dry and wet season for the Fitzroy region (</w:t>
      </w:r>
      <w:r w:rsidR="008A285B">
        <w:fldChar w:fldCharType="begin"/>
      </w:r>
      <w:r w:rsidR="008A285B">
        <w:instrText xml:space="preserve"> REF _Ref247857647 \h  \* MERGEFORMAT </w:instrText>
      </w:r>
      <w:r w:rsidR="008A285B">
        <w:fldChar w:fldCharType="separate"/>
      </w:r>
      <w:r w:rsidR="00B11F3B" w:rsidRPr="00A40CD0">
        <w:t xml:space="preserve">Figure </w:t>
      </w:r>
      <w:r w:rsidR="00B11F3B">
        <w:t>78</w:t>
      </w:r>
      <w:r w:rsidR="008A285B">
        <w:fldChar w:fldCharType="end"/>
      </w:r>
      <w:r w:rsidRPr="00A40CD0">
        <w:t xml:space="preserve">, </w:t>
      </w:r>
      <w:r w:rsidR="008A285B">
        <w:fldChar w:fldCharType="begin"/>
      </w:r>
      <w:r w:rsidR="008A285B">
        <w:instrText xml:space="preserve"> REF _Ref247857649 \h  \* MERGEFORMAT </w:instrText>
      </w:r>
      <w:r w:rsidR="008A285B">
        <w:fldChar w:fldCharType="separate"/>
      </w:r>
      <w:r w:rsidR="00B11F3B" w:rsidRPr="00A40CD0">
        <w:t xml:space="preserve">Figure </w:t>
      </w:r>
      <w:r w:rsidR="00B11F3B">
        <w:t>79</w:t>
      </w:r>
      <w:r w:rsidR="008A285B">
        <w:fldChar w:fldCharType="end"/>
      </w:r>
      <w:r w:rsidRPr="00A40CD0">
        <w:t xml:space="preserve">). Column and row labels are described in the legend of </w:t>
      </w:r>
      <w:r w:rsidR="008A285B">
        <w:fldChar w:fldCharType="begin"/>
      </w:r>
      <w:r w:rsidR="008A285B">
        <w:instrText xml:space="preserve"> REF _Ref258851424 \h  \* MERGEFORMAT </w:instrText>
      </w:r>
      <w:r w:rsidR="008A285B">
        <w:fldChar w:fldCharType="separate"/>
      </w:r>
      <w:r w:rsidR="00B11F3B" w:rsidRPr="00A40CD0">
        <w:t xml:space="preserve">Table </w:t>
      </w:r>
      <w:r w:rsidR="00B11F3B">
        <w:t>32</w:t>
      </w:r>
      <w:r w:rsidR="008A285B">
        <w:fldChar w:fldCharType="end"/>
      </w:r>
      <w:r w:rsidRPr="00A40CD0">
        <w:t>.</w:t>
      </w:r>
      <w:bookmarkEnd w:id="436"/>
      <w:bookmarkEnd w:id="437"/>
    </w:p>
    <w:tbl>
      <w:tblPr>
        <w:tblStyle w:val="TableGrid"/>
        <w:tblW w:w="9453" w:type="dxa"/>
        <w:tblLook w:val="04A0" w:firstRow="1" w:lastRow="0" w:firstColumn="1" w:lastColumn="0" w:noHBand="0" w:noVBand="1"/>
      </w:tblPr>
      <w:tblGrid>
        <w:gridCol w:w="852"/>
        <w:gridCol w:w="918"/>
        <w:gridCol w:w="1060"/>
        <w:gridCol w:w="986"/>
        <w:gridCol w:w="877"/>
        <w:gridCol w:w="918"/>
        <w:gridCol w:w="1060"/>
        <w:gridCol w:w="986"/>
        <w:gridCol w:w="877"/>
        <w:gridCol w:w="919"/>
      </w:tblGrid>
      <w:tr w:rsidR="00F20F80" w:rsidRPr="009E5DAC" w:rsidTr="00F20F80">
        <w:tc>
          <w:tcPr>
            <w:tcW w:w="852" w:type="dxa"/>
          </w:tcPr>
          <w:p w:rsidR="00F20F80" w:rsidRPr="009E5DAC" w:rsidRDefault="00F20F80" w:rsidP="003E6AED">
            <w:pPr>
              <w:pStyle w:val="PlainText"/>
              <w:rPr>
                <w:rFonts w:ascii="Times New Roman" w:hAnsi="Times New Roman"/>
                <w:sz w:val="22"/>
                <w:szCs w:val="22"/>
              </w:rPr>
            </w:pPr>
            <w:bookmarkStart w:id="438" w:name="_Ref248215930"/>
            <w:r w:rsidRPr="009E5DAC">
              <w:rPr>
                <w:rFonts w:ascii="Times New Roman" w:hAnsi="Times New Roman"/>
                <w:sz w:val="22"/>
                <w:szCs w:val="22"/>
              </w:rPr>
              <w:t>FITZ-B09</w:t>
            </w:r>
          </w:p>
        </w:tc>
        <w:tc>
          <w:tcPr>
            <w:tcW w:w="918" w:type="dxa"/>
          </w:tcPr>
          <w:p w:rsidR="00F20F80" w:rsidRPr="009E5DAC" w:rsidRDefault="00F20F80" w:rsidP="003E6AED">
            <w:pPr>
              <w:pStyle w:val="PlainText"/>
              <w:rPr>
                <w:rFonts w:ascii="Times New Roman" w:hAnsi="Times New Roman"/>
                <w:sz w:val="22"/>
                <w:szCs w:val="22"/>
              </w:rPr>
            </w:pPr>
          </w:p>
        </w:tc>
        <w:tc>
          <w:tcPr>
            <w:tcW w:w="3841"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842"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F20F80">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1336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48576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244488</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93%</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16230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265864</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68%</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w:t>
            </w:r>
          </w:p>
        </w:tc>
      </w:tr>
      <w:tr w:rsidR="00F20F80" w:rsidRPr="009E5DAC" w:rsidTr="00F20F80">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4583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253522</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838689</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94%</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133026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912017</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57%</w:t>
            </w:r>
          </w:p>
        </w:tc>
      </w:tr>
      <w:tr w:rsidR="00F20F80" w:rsidRPr="009E5DAC" w:rsidTr="00F20F80">
        <w:tc>
          <w:tcPr>
            <w:tcW w:w="852"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5919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302098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1083177</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94%</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149256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1177881</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65%</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57%</w:t>
            </w:r>
          </w:p>
        </w:tc>
      </w:tr>
      <w:tr w:rsidR="00F20F80" w:rsidRPr="009E5DAC" w:rsidTr="00F20F80">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18421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938111</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3371043</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22%</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502249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3665779</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r>
      <w:tr w:rsidR="00F20F80" w:rsidRPr="009E5DAC" w:rsidTr="00F20F80">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48664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2114890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8905512</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959319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9684136</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Default="00B25CAA" w:rsidP="004F4DDE">
      <w:pPr>
        <w:pStyle w:val="Caption"/>
      </w:pPr>
    </w:p>
    <w:p w:rsidR="000672E5" w:rsidRDefault="000672E5" w:rsidP="000672E5"/>
    <w:p w:rsidR="000672E5" w:rsidRDefault="000672E5" w:rsidP="000672E5"/>
    <w:p w:rsidR="000672E5" w:rsidRDefault="000672E5" w:rsidP="000672E5"/>
    <w:p w:rsidR="000672E5" w:rsidRPr="000672E5" w:rsidRDefault="000672E5" w:rsidP="000672E5"/>
    <w:p w:rsidR="00B25CAA" w:rsidRPr="00A40CD0" w:rsidRDefault="00B25CAA" w:rsidP="004F4DDE">
      <w:pPr>
        <w:pStyle w:val="Caption"/>
      </w:pPr>
      <w:bookmarkStart w:id="439" w:name="_Ref258851425"/>
      <w:bookmarkStart w:id="440" w:name="_Toc228588259"/>
      <w:bookmarkStart w:id="441" w:name="_Toc399264963"/>
      <w:r w:rsidRPr="00A40CD0">
        <w:lastRenderedPageBreak/>
        <w:t xml:space="preserve">Table </w:t>
      </w:r>
      <w:fldSimple w:instr=" SEQ Table \* ARABIC ">
        <w:r w:rsidR="00B11F3B">
          <w:rPr>
            <w:noProof/>
          </w:rPr>
          <w:t>34</w:t>
        </w:r>
      </w:fldSimple>
      <w:bookmarkEnd w:id="438"/>
      <w:bookmarkEnd w:id="439"/>
      <w:r w:rsidRPr="00A40CD0">
        <w:t xml:space="preserve"> Summary of the exceedance maps for Non-algal particulate matter (NAP as a measure of TSS)  for the dry and wet season for the Fitzroy region (, </w:t>
      </w:r>
      <w:r w:rsidR="008A285B">
        <w:fldChar w:fldCharType="begin"/>
      </w:r>
      <w:r w:rsidR="008A285B">
        <w:instrText xml:space="preserve"> REF _Ref247857650 \h  \* MERGEFORMAT </w:instrText>
      </w:r>
      <w:r w:rsidR="008A285B">
        <w:fldChar w:fldCharType="separate"/>
      </w:r>
      <w:r w:rsidR="00B11F3B" w:rsidRPr="00A40CD0">
        <w:t xml:space="preserve">Figure </w:t>
      </w:r>
      <w:r w:rsidR="00B11F3B">
        <w:t>80</w:t>
      </w:r>
      <w:r w:rsidR="008A285B">
        <w:fldChar w:fldCharType="end"/>
      </w:r>
      <w:r w:rsidRPr="00A40CD0">
        <w:t xml:space="preserve">, </w:t>
      </w:r>
      <w:r w:rsidR="008A285B">
        <w:fldChar w:fldCharType="begin"/>
      </w:r>
      <w:r w:rsidR="008A285B">
        <w:instrText xml:space="preserve"> REF _Ref247857651 \h  \* MERGEFORMAT </w:instrText>
      </w:r>
      <w:r w:rsidR="008A285B">
        <w:fldChar w:fldCharType="separate"/>
      </w:r>
      <w:r w:rsidR="00B11F3B" w:rsidRPr="00A40CD0">
        <w:t xml:space="preserve">Figure </w:t>
      </w:r>
      <w:r w:rsidR="00B11F3B">
        <w:t>81</w:t>
      </w:r>
      <w:r w:rsidR="008A285B">
        <w:fldChar w:fldCharType="end"/>
      </w:r>
      <w:r w:rsidRPr="00A40CD0">
        <w:t xml:space="preserve">). ). Column and row labels are described in the legend of </w:t>
      </w:r>
      <w:r w:rsidR="008A285B">
        <w:fldChar w:fldCharType="begin"/>
      </w:r>
      <w:r w:rsidR="008A285B">
        <w:instrText xml:space="preserve"> REF _Ref258851424 \h  \* MERGEFORMAT </w:instrText>
      </w:r>
      <w:r w:rsidR="008A285B">
        <w:fldChar w:fldCharType="separate"/>
      </w:r>
      <w:r w:rsidR="00B11F3B" w:rsidRPr="00A40CD0">
        <w:t xml:space="preserve">Table </w:t>
      </w:r>
      <w:r w:rsidR="00B11F3B">
        <w:t>32</w:t>
      </w:r>
      <w:r w:rsidR="008A285B">
        <w:fldChar w:fldCharType="end"/>
      </w:r>
      <w:r w:rsidRPr="00A40CD0">
        <w:t>.</w:t>
      </w:r>
      <w:bookmarkEnd w:id="440"/>
      <w:bookmarkEnd w:id="441"/>
    </w:p>
    <w:tbl>
      <w:tblPr>
        <w:tblStyle w:val="TableGrid"/>
        <w:tblW w:w="0" w:type="auto"/>
        <w:tblLook w:val="04A0" w:firstRow="1" w:lastRow="0" w:firstColumn="1" w:lastColumn="0" w:noHBand="0" w:noVBand="1"/>
      </w:tblPr>
      <w:tblGrid>
        <w:gridCol w:w="780"/>
        <w:gridCol w:w="911"/>
        <w:gridCol w:w="1044"/>
        <w:gridCol w:w="986"/>
        <w:gridCol w:w="861"/>
        <w:gridCol w:w="912"/>
        <w:gridCol w:w="1033"/>
        <w:gridCol w:w="986"/>
        <w:gridCol w:w="861"/>
        <w:gridCol w:w="912"/>
      </w:tblGrid>
      <w:tr w:rsidR="00F20F80" w:rsidRPr="009E5DAC" w:rsidTr="003E6AED">
        <w:tc>
          <w:tcPr>
            <w:tcW w:w="852" w:type="dxa"/>
          </w:tcPr>
          <w:p w:rsidR="00F20F80" w:rsidRPr="009E5DAC" w:rsidRDefault="00F20F80" w:rsidP="003E6AED">
            <w:pPr>
              <w:pStyle w:val="PlainText"/>
              <w:rPr>
                <w:rFonts w:ascii="Times New Roman" w:hAnsi="Times New Roman"/>
                <w:sz w:val="22"/>
                <w:szCs w:val="22"/>
              </w:rPr>
            </w:pPr>
          </w:p>
        </w:tc>
        <w:tc>
          <w:tcPr>
            <w:tcW w:w="918" w:type="dxa"/>
          </w:tcPr>
          <w:p w:rsidR="00F20F80" w:rsidRPr="009E5DAC" w:rsidRDefault="00F20F80" w:rsidP="003E6AED">
            <w:pPr>
              <w:pStyle w:val="PlainText"/>
              <w:rPr>
                <w:rFonts w:ascii="Times New Roman" w:hAnsi="Times New Roman"/>
                <w:sz w:val="22"/>
                <w:szCs w:val="22"/>
              </w:rPr>
            </w:pPr>
          </w:p>
        </w:tc>
        <w:tc>
          <w:tcPr>
            <w:tcW w:w="3841"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842"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3E6AED">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1336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48576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244488</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71%</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66%</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16230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265864</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37%</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w:t>
            </w:r>
          </w:p>
        </w:tc>
      </w:tr>
      <w:tr w:rsidR="00F20F80" w:rsidRPr="009E5DAC" w:rsidTr="003E6AED">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4583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253522</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838689</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133026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912017</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35%</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w:t>
            </w:r>
          </w:p>
        </w:tc>
      </w:tr>
      <w:tr w:rsidR="00F20F80" w:rsidRPr="009E5DAC" w:rsidTr="003E6AED">
        <w:tc>
          <w:tcPr>
            <w:tcW w:w="852"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5919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302098</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1083177</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47%</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37%</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149256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1177881</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35%</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w:t>
            </w:r>
          </w:p>
        </w:tc>
      </w:tr>
      <w:tr w:rsidR="00F20F80" w:rsidRPr="009E5DAC" w:rsidTr="003E6AED">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18421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938111</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3371043</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502249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3665779</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r>
      <w:tr w:rsidR="00F20F80" w:rsidRPr="009E5DAC" w:rsidTr="003E6AED">
        <w:tc>
          <w:tcPr>
            <w:tcW w:w="852"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48664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2114890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8905512</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w:t>
            </w:r>
          </w:p>
        </w:tc>
        <w:tc>
          <w:tcPr>
            <w:tcW w:w="918"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959319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9684136</w:t>
            </w:r>
          </w:p>
        </w:tc>
        <w:tc>
          <w:tcPr>
            <w:tcW w:w="87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19"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2E0BD6">
      <w:pPr>
        <w:pStyle w:val="BodyText"/>
      </w:pPr>
    </w:p>
    <w:p w:rsidR="00B25CAA" w:rsidRDefault="00B25CAA"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Default="000672E5" w:rsidP="002E0BD6">
      <w:pPr>
        <w:pStyle w:val="BodyText"/>
      </w:pPr>
    </w:p>
    <w:p w:rsidR="000672E5" w:rsidRPr="00A40CD0" w:rsidRDefault="000672E5" w:rsidP="002E0BD6">
      <w:pPr>
        <w:pStyle w:val="BodyText"/>
      </w:pPr>
    </w:p>
    <w:p w:rsidR="00B25CAA" w:rsidRPr="00A40CD0" w:rsidRDefault="00B25CAA" w:rsidP="004F4DDE">
      <w:pPr>
        <w:pStyle w:val="Caption"/>
      </w:pPr>
      <w:bookmarkStart w:id="442" w:name="_Ref248215900"/>
      <w:bookmarkStart w:id="443" w:name="_Toc228588260"/>
      <w:bookmarkStart w:id="444" w:name="_Toc399264964"/>
      <w:r w:rsidRPr="00A40CD0">
        <w:lastRenderedPageBreak/>
        <w:t xml:space="preserve">Table </w:t>
      </w:r>
      <w:r w:rsidR="00EA2F38">
        <w:fldChar w:fldCharType="begin"/>
      </w:r>
      <w:r w:rsidR="00933C8B">
        <w:instrText xml:space="preserve"> SEQ Table \* ARABIC </w:instrText>
      </w:r>
      <w:r w:rsidR="00EA2F38">
        <w:fldChar w:fldCharType="separate"/>
      </w:r>
      <w:r w:rsidR="00B11F3B">
        <w:rPr>
          <w:noProof/>
        </w:rPr>
        <w:t>35</w:t>
      </w:r>
      <w:r w:rsidR="00EA2F38">
        <w:fldChar w:fldCharType="end"/>
      </w:r>
      <w:bookmarkEnd w:id="442"/>
      <w:r w:rsidRPr="00A40CD0">
        <w:t xml:space="preserve">. Summary of Chlorophyll-a exceedance for the dry and wet season for the Fitzroy region. “Number valid obs." is the number of pixels with valid observations (i.e. cloud-free and error-free pixels) for each of the three reporting water bodies </w:t>
      </w:r>
      <w:r w:rsidR="00193A93">
        <w:t xml:space="preserve">for this region: (EC: Enclosed Coastal, OC: Open Coastal, MS: Midshelf, OS: Offshore), </w:t>
      </w:r>
      <w:r w:rsidRPr="00A40CD0">
        <w:t>, "Number total obs." provides the total number of observations. Mean and median are presented in red and bold if they exceed the trigger value in the Guidelines. The seasonally adjusted Guideline values for Chlorophyll-a for the dry/wet season are</w:t>
      </w:r>
      <w:r w:rsidR="00113991">
        <w:t xml:space="preserve"> </w:t>
      </w:r>
      <w:r w:rsidR="00AF0243">
        <w:t>1.4/2.8</w:t>
      </w:r>
      <w:r w:rsidR="00AF0243" w:rsidRPr="00A40CD0">
        <w:t xml:space="preserve"> µg L</w:t>
      </w:r>
      <w:r w:rsidR="00AF0243" w:rsidRPr="00A40CD0">
        <w:rPr>
          <w:vertAlign w:val="superscript"/>
        </w:rPr>
        <w:t>-1</w:t>
      </w:r>
      <w:r w:rsidR="00AF0243" w:rsidRPr="00A40CD0">
        <w:t xml:space="preserve"> for </w:t>
      </w:r>
      <w:r w:rsidR="00AF0243">
        <w:t>Enclosed</w:t>
      </w:r>
      <w:r w:rsidR="00AF0243" w:rsidRPr="00A40CD0">
        <w:t xml:space="preserve"> Coastal</w:t>
      </w:r>
      <w:r w:rsidR="00AF0243">
        <w:t>,</w:t>
      </w:r>
      <w:r w:rsidR="00AF0243" w:rsidRPr="00A40CD0">
        <w:t xml:space="preserve"> </w:t>
      </w:r>
      <w:r w:rsidRPr="00A40CD0">
        <w:t>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43"/>
      <w:bookmarkEnd w:id="444"/>
    </w:p>
    <w:tbl>
      <w:tblPr>
        <w:tblStyle w:val="TableGrid"/>
        <w:tblW w:w="9453" w:type="dxa"/>
        <w:tblLook w:val="04A0" w:firstRow="1" w:lastRow="0" w:firstColumn="1" w:lastColumn="0" w:noHBand="0" w:noVBand="1"/>
      </w:tblPr>
      <w:tblGrid>
        <w:gridCol w:w="772"/>
        <w:gridCol w:w="1060"/>
        <w:gridCol w:w="986"/>
        <w:gridCol w:w="742"/>
        <w:gridCol w:w="889"/>
        <w:gridCol w:w="663"/>
        <w:gridCol w:w="1060"/>
        <w:gridCol w:w="986"/>
        <w:gridCol w:w="743"/>
        <w:gridCol w:w="889"/>
        <w:gridCol w:w="663"/>
      </w:tblGrid>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p>
        </w:tc>
        <w:tc>
          <w:tcPr>
            <w:tcW w:w="4340"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341"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4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48576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244488</w:t>
            </w:r>
          </w:p>
        </w:tc>
        <w:tc>
          <w:tcPr>
            <w:tcW w:w="742"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3.08</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2.56</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64%</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16230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265864</w:t>
            </w:r>
          </w:p>
        </w:tc>
        <w:tc>
          <w:tcPr>
            <w:tcW w:w="743"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3.66</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2.92</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52%</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253522</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838689</w:t>
            </w:r>
          </w:p>
        </w:tc>
        <w:tc>
          <w:tcPr>
            <w:tcW w:w="742"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0.63</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0.46</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74%</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133026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912017</w:t>
            </w:r>
          </w:p>
        </w:tc>
        <w:tc>
          <w:tcPr>
            <w:tcW w:w="743"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0.91</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0.70</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55%</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938111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3371043</w:t>
            </w:r>
          </w:p>
        </w:tc>
        <w:tc>
          <w:tcPr>
            <w:tcW w:w="74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0.24</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34%</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502249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3665779</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0.37</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2114890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8905512</w:t>
            </w:r>
          </w:p>
        </w:tc>
        <w:tc>
          <w:tcPr>
            <w:tcW w:w="74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0.18</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29%</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959319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9684136</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w:t>
            </w:r>
          </w:p>
        </w:tc>
      </w:tr>
    </w:tbl>
    <w:p w:rsidR="00B25CAA" w:rsidRPr="00EC0426" w:rsidRDefault="00B25CAA" w:rsidP="002E0BD6">
      <w:pPr>
        <w:pStyle w:val="BodyText"/>
      </w:pPr>
    </w:p>
    <w:p w:rsidR="00B25CAA" w:rsidRPr="00A40CD0" w:rsidRDefault="00B25CAA" w:rsidP="004F4DDE">
      <w:pPr>
        <w:pStyle w:val="Caption"/>
      </w:pPr>
      <w:bookmarkStart w:id="445" w:name="_Ref248215903"/>
      <w:bookmarkStart w:id="446" w:name="_Toc228588261"/>
      <w:bookmarkStart w:id="447" w:name="_Toc399264965"/>
      <w:r w:rsidRPr="00A40CD0">
        <w:t xml:space="preserve">Table </w:t>
      </w:r>
      <w:r w:rsidR="00EA2F38">
        <w:fldChar w:fldCharType="begin"/>
      </w:r>
      <w:r w:rsidR="00933C8B">
        <w:instrText xml:space="preserve"> SEQ Table \* ARABIC </w:instrText>
      </w:r>
      <w:r w:rsidR="00EA2F38">
        <w:fldChar w:fldCharType="separate"/>
      </w:r>
      <w:r w:rsidR="00B11F3B">
        <w:rPr>
          <w:noProof/>
        </w:rPr>
        <w:t>36</w:t>
      </w:r>
      <w:r w:rsidR="00EA2F38">
        <w:fldChar w:fldCharType="end"/>
      </w:r>
      <w:bookmarkEnd w:id="445"/>
      <w:r w:rsidRPr="00A40CD0">
        <w:t xml:space="preserve"> Summary of Non-algal particulate matter (NAP as a measure of TSS) exceedance for the dry and wet season for the Fitzroy region. Column and row labels are described in the legend of </w:t>
      </w:r>
      <w:r w:rsidR="00EA2F38" w:rsidRPr="00A40CD0">
        <w:fldChar w:fldCharType="begin"/>
      </w:r>
      <w:r w:rsidRPr="00A40CD0">
        <w:instrText xml:space="preserve"> REF _Ref248215900 \h </w:instrText>
      </w:r>
      <w:r w:rsidR="00EA2F38" w:rsidRPr="00A40CD0">
        <w:fldChar w:fldCharType="separate"/>
      </w:r>
      <w:r w:rsidR="00B11F3B" w:rsidRPr="00A40CD0">
        <w:t xml:space="preserve">Table </w:t>
      </w:r>
      <w:r w:rsidR="00B11F3B">
        <w:rPr>
          <w:noProof/>
        </w:rPr>
        <w:t>35</w:t>
      </w:r>
      <w:r w:rsidR="00EA2F38" w:rsidRPr="00A40CD0">
        <w:fldChar w:fldCharType="end"/>
      </w:r>
      <w:r w:rsidRPr="00A40CD0">
        <w:t xml:space="preserve">. Mean and median are presented in red and bold if they exceed the trigger value in the Guidelines. The seasonally adjusted Guideline values for TSS for the dry/wet season means are </w:t>
      </w:r>
      <w:r w:rsidR="00113991">
        <w:t>12/18</w:t>
      </w:r>
      <w:r w:rsidR="00113991" w:rsidRPr="00A40CD0">
        <w:t xml:space="preserve"> mg L</w:t>
      </w:r>
      <w:r w:rsidR="00113991" w:rsidRPr="00A40CD0">
        <w:rPr>
          <w:vertAlign w:val="superscript"/>
        </w:rPr>
        <w:t>-1</w:t>
      </w:r>
      <w:r w:rsidR="00113991" w:rsidRPr="00A40CD0">
        <w:t xml:space="preserve"> for </w:t>
      </w:r>
      <w:r w:rsidR="00113991">
        <w:t>Enclosed</w:t>
      </w:r>
      <w:r w:rsidR="00113991" w:rsidRPr="00A40CD0">
        <w:t xml:space="preserve"> Coastal</w:t>
      </w:r>
      <w:r w:rsidR="00113991">
        <w:t>,</w:t>
      </w:r>
      <w:r w:rsidR="00113991" w:rsidRPr="00A40CD0">
        <w:t xml:space="preserve"> </w:t>
      </w:r>
      <w:r w:rsidRPr="00A40CD0">
        <w:t>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446"/>
      <w:bookmarkEnd w:id="447"/>
    </w:p>
    <w:tbl>
      <w:tblPr>
        <w:tblStyle w:val="TableGrid"/>
        <w:tblW w:w="9453" w:type="dxa"/>
        <w:tblLook w:val="04A0" w:firstRow="1" w:lastRow="0" w:firstColumn="1" w:lastColumn="0" w:noHBand="0" w:noVBand="1"/>
      </w:tblPr>
      <w:tblGrid>
        <w:gridCol w:w="772"/>
        <w:gridCol w:w="1060"/>
        <w:gridCol w:w="986"/>
        <w:gridCol w:w="742"/>
        <w:gridCol w:w="889"/>
        <w:gridCol w:w="663"/>
        <w:gridCol w:w="1060"/>
        <w:gridCol w:w="986"/>
        <w:gridCol w:w="743"/>
        <w:gridCol w:w="889"/>
        <w:gridCol w:w="663"/>
      </w:tblGrid>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p>
        </w:tc>
        <w:tc>
          <w:tcPr>
            <w:tcW w:w="4340"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341"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4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48576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244488</w:t>
            </w:r>
          </w:p>
        </w:tc>
        <w:tc>
          <w:tcPr>
            <w:tcW w:w="742"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19.81</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14.96</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56%</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16230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265864</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14.10</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10.60</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29%</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253522</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838689</w:t>
            </w:r>
          </w:p>
        </w:tc>
        <w:tc>
          <w:tcPr>
            <w:tcW w:w="742"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2.67</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0.85</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32%</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133026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912017</w:t>
            </w:r>
          </w:p>
        </w:tc>
        <w:tc>
          <w:tcPr>
            <w:tcW w:w="743"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2.54</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1.19</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25%</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938111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3371043</w:t>
            </w:r>
          </w:p>
        </w:tc>
        <w:tc>
          <w:tcPr>
            <w:tcW w:w="74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0.79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0.39</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502249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3665779</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0.71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0.32</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w:t>
            </w:r>
          </w:p>
        </w:tc>
      </w:tr>
      <w:tr w:rsidR="00EC0426" w:rsidRPr="00453395" w:rsidTr="00EC0426">
        <w:tc>
          <w:tcPr>
            <w:tcW w:w="77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2114890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8905512</w:t>
            </w:r>
          </w:p>
        </w:tc>
        <w:tc>
          <w:tcPr>
            <w:tcW w:w="742"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0.17</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959319</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9684136</w:t>
            </w:r>
          </w:p>
        </w:tc>
        <w:tc>
          <w:tcPr>
            <w:tcW w:w="74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0.14</w:t>
            </w:r>
          </w:p>
        </w:tc>
        <w:tc>
          <w:tcPr>
            <w:tcW w:w="663"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w:t>
            </w:r>
          </w:p>
        </w:tc>
      </w:tr>
    </w:tbl>
    <w:p w:rsidR="00B25CAA" w:rsidRPr="00A40CD0" w:rsidRDefault="00B25CAA" w:rsidP="002E0BD6">
      <w:pPr>
        <w:pStyle w:val="BodyText"/>
      </w:pPr>
    </w:p>
    <w:p w:rsidR="00B25CAA" w:rsidRPr="00A40CD0" w:rsidRDefault="00B25CAA" w:rsidP="00387EC7">
      <w:r w:rsidRPr="00A40CD0">
        <w:rPr>
          <w:lang w:eastAsia="en-US"/>
        </w:rPr>
        <w:lastRenderedPageBreak/>
        <w:t xml:space="preserve"> </w:t>
      </w:r>
      <w:r w:rsidR="00E609E7">
        <w:rPr>
          <w:noProof/>
        </w:rPr>
        <w:drawing>
          <wp:inline distT="0" distB="0" distL="0" distR="0">
            <wp:extent cx="4202808" cy="3960000"/>
            <wp:effectExtent l="0" t="0" r="0" b="2540"/>
            <wp:docPr id="103" name="Picture 103" descr="Map of freshwater extent for the wet season for the Fitzroy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DOM_MIM_Maximum_20111101_20120430.tif"/>
                    <pic:cNvPicPr/>
                  </pic:nvPicPr>
                  <pic:blipFill>
                    <a:blip r:embed="rId141"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sidR="00E609E7">
        <w:rPr>
          <w:noProof/>
        </w:rPr>
        <w:drawing>
          <wp:inline distT="0" distB="0" distL="0" distR="0">
            <wp:extent cx="4202808" cy="3960000"/>
            <wp:effectExtent l="0" t="0" r="0" b="2540"/>
            <wp:docPr id="122" name="Picture 122" descr="Map of freshwater extent for the wet season for the Fitzroy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DOM_MIM_maxGTtrigger_20111101_20120430.tif"/>
                    <pic:cNvPicPr/>
                  </pic:nvPicPr>
                  <pic:blipFill>
                    <a:blip r:embed="rId142"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387EC7">
      <w:pPr>
        <w:pStyle w:val="Caption"/>
      </w:pPr>
      <w:bookmarkStart w:id="448" w:name="_Ref257731744"/>
      <w:bookmarkStart w:id="449" w:name="_Toc228588353"/>
      <w:bookmarkStart w:id="450" w:name="_Toc399265059"/>
      <w:r w:rsidRPr="00A40CD0">
        <w:t xml:space="preserve">Figure </w:t>
      </w:r>
      <w:r w:rsidR="00EA2F38">
        <w:fldChar w:fldCharType="begin"/>
      </w:r>
      <w:r w:rsidR="00933C8B">
        <w:instrText xml:space="preserve"> SEQ Figure \* ARABIC </w:instrText>
      </w:r>
      <w:r w:rsidR="00EA2F38">
        <w:fldChar w:fldCharType="separate"/>
      </w:r>
      <w:r w:rsidR="00B11F3B">
        <w:rPr>
          <w:noProof/>
        </w:rPr>
        <w:t>73</w:t>
      </w:r>
      <w:r w:rsidR="00EA2F38">
        <w:fldChar w:fldCharType="end"/>
      </w:r>
      <w:bookmarkEnd w:id="448"/>
      <w:r w:rsidRPr="00A40CD0">
        <w:t xml:space="preserve">. Map of freshwater extent for the wet season for the Fitzroy region. The first map presents the maximum value of CDOM for </w:t>
      </w:r>
      <w:r w:rsidR="00D3208E">
        <w:t>the wet season 2011/2012 (November 2011 - April 2012)</w:t>
      </w:r>
      <w:r w:rsidRPr="00A40CD0">
        <w:t>, while the second map presents freshwater extent estimated with a threshold for the CDOM seasonal maximum of 0.24 m</w:t>
      </w:r>
      <w:r w:rsidRPr="00A40CD0">
        <w:rPr>
          <w:vertAlign w:val="superscript"/>
        </w:rPr>
        <w:t>-1</w:t>
      </w:r>
      <w:r w:rsidRPr="00A40CD0">
        <w:t>.</w:t>
      </w:r>
      <w:bookmarkEnd w:id="449"/>
      <w:bookmarkEnd w:id="450"/>
      <w:r w:rsidRPr="00A40CD0">
        <w:t xml:space="preserve"> </w:t>
      </w:r>
    </w:p>
    <w:p w:rsidR="00B25CAA" w:rsidRPr="00A40CD0" w:rsidRDefault="00854F5A" w:rsidP="002E0BD6">
      <w:pPr>
        <w:pStyle w:val="BodyText"/>
      </w:pPr>
      <w:r>
        <w:rPr>
          <w:noProof/>
          <w:lang w:eastAsia="en-AU"/>
        </w:rPr>
        <w:lastRenderedPageBreak/>
        <w:drawing>
          <wp:inline distT="0" distB="0" distL="0" distR="0">
            <wp:extent cx="4202808" cy="3960000"/>
            <wp:effectExtent l="0" t="0" r="0" b="2540"/>
            <wp:docPr id="172" name="Picture 172" descr=". Chlorophyll-a median maps for the dry and wet season for the Fitzro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Median_20110501_20111031.tif"/>
                    <pic:cNvPicPr/>
                  </pic:nvPicPr>
                  <pic:blipFill>
                    <a:blip r:embed="rId143"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lang w:eastAsia="en-AU"/>
        </w:rPr>
        <w:drawing>
          <wp:inline distT="0" distB="0" distL="0" distR="0">
            <wp:extent cx="4202808" cy="3960000"/>
            <wp:effectExtent l="0" t="0" r="0" b="2540"/>
            <wp:docPr id="173" name="Picture 173" descr=". Chlorophyll-a median maps for the dry and wet season for the Fitzro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Median_20111101_20120430.tif"/>
                    <pic:cNvPicPr/>
                  </pic:nvPicPr>
                  <pic:blipFill>
                    <a:blip r:embed="rId144"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51" w:name="_Ref247856932"/>
      <w:bookmarkStart w:id="452" w:name="_Toc228588354"/>
      <w:bookmarkStart w:id="453" w:name="_Toc399265060"/>
      <w:r w:rsidRPr="00A40CD0">
        <w:t xml:space="preserve">Figure </w:t>
      </w:r>
      <w:r w:rsidR="00EA2F38">
        <w:fldChar w:fldCharType="begin"/>
      </w:r>
      <w:r w:rsidR="00933C8B">
        <w:instrText xml:space="preserve"> SEQ Figure \* ARABIC </w:instrText>
      </w:r>
      <w:r w:rsidR="00EA2F38">
        <w:fldChar w:fldCharType="separate"/>
      </w:r>
      <w:r w:rsidR="00B11F3B">
        <w:rPr>
          <w:noProof/>
        </w:rPr>
        <w:t>74</w:t>
      </w:r>
      <w:r w:rsidR="00EA2F38">
        <w:fldChar w:fldCharType="end"/>
      </w:r>
      <w:bookmarkEnd w:id="451"/>
      <w:r w:rsidRPr="00A40CD0">
        <w:t xml:space="preserve">. Chlorophyll-a median maps for the dry and wet season for the Fitzroy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452"/>
      <w:bookmarkEnd w:id="453"/>
      <w:r w:rsidRPr="00A40CD0">
        <w:t xml:space="preserve"> </w:t>
      </w:r>
    </w:p>
    <w:p w:rsidR="00B25CAA" w:rsidRPr="00A40CD0" w:rsidRDefault="00854F5A" w:rsidP="00FB61A3">
      <w:r>
        <w:rPr>
          <w:noProof/>
        </w:rPr>
        <w:lastRenderedPageBreak/>
        <w:drawing>
          <wp:inline distT="0" distB="0" distL="0" distR="0">
            <wp:extent cx="4202808" cy="3960000"/>
            <wp:effectExtent l="0" t="0" r="0" b="2540"/>
            <wp:docPr id="176" name="Picture 176" descr="Non-algal particulate matter (NAP as a measure of TSS) median maps for the dry and wet season for the Fitzro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Median_20110501_20111031.tif"/>
                    <pic:cNvPicPr/>
                  </pic:nvPicPr>
                  <pic:blipFill>
                    <a:blip r:embed="rId145"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rPr>
        <w:drawing>
          <wp:inline distT="0" distB="0" distL="0" distR="0">
            <wp:extent cx="4202808" cy="3960000"/>
            <wp:effectExtent l="0" t="0" r="0" b="2540"/>
            <wp:docPr id="177" name="Picture 177" descr="Non-algal particulate matter (NAP as a measure of TSS) median maps for the dry and wet season for the Fitzro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Median_20111101_20120430.tif"/>
                    <pic:cNvPicPr/>
                  </pic:nvPicPr>
                  <pic:blipFill>
                    <a:blip r:embed="rId146"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54" w:name="_Ref247857621"/>
      <w:bookmarkStart w:id="455" w:name="_Toc228588355"/>
      <w:bookmarkStart w:id="456" w:name="_Toc399265061"/>
      <w:r w:rsidRPr="00A40CD0">
        <w:t xml:space="preserve">Figure </w:t>
      </w:r>
      <w:r w:rsidR="00EA2F38">
        <w:fldChar w:fldCharType="begin"/>
      </w:r>
      <w:r w:rsidR="00933C8B">
        <w:instrText xml:space="preserve"> SEQ Figure \* ARABIC </w:instrText>
      </w:r>
      <w:r w:rsidR="00EA2F38">
        <w:fldChar w:fldCharType="separate"/>
      </w:r>
      <w:r w:rsidR="00B11F3B">
        <w:rPr>
          <w:noProof/>
        </w:rPr>
        <w:t>75</w:t>
      </w:r>
      <w:r w:rsidR="00EA2F38">
        <w:fldChar w:fldCharType="end"/>
      </w:r>
      <w:bookmarkEnd w:id="454"/>
      <w:r w:rsidRPr="00A40CD0">
        <w:t xml:space="preserve">. Non-algal particulate matter (NAP as a measure of TSS) median maps for the dry and wet season for the Fitzroy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455"/>
      <w:bookmarkEnd w:id="456"/>
      <w:r w:rsidRPr="00A40CD0">
        <w:t xml:space="preserve"> </w:t>
      </w:r>
    </w:p>
    <w:p w:rsidR="00B25CAA" w:rsidRPr="00A40CD0" w:rsidRDefault="00854F5A" w:rsidP="00FB61A3">
      <w:r>
        <w:rPr>
          <w:noProof/>
        </w:rPr>
        <w:lastRenderedPageBreak/>
        <w:drawing>
          <wp:inline distT="0" distB="0" distL="0" distR="0">
            <wp:extent cx="4202808" cy="3960000"/>
            <wp:effectExtent l="0" t="0" r="0" b="2540"/>
            <wp:docPr id="178" name="Picture 178" descr="Number of observations used to calculate the median maps (Figure 74 - Figure 75) for the dry and wet season for the Fitzroy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n_valid_20110501_20111031.tif"/>
                    <pic:cNvPicPr/>
                  </pic:nvPicPr>
                  <pic:blipFill>
                    <a:blip r:embed="rId147"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rPr>
        <w:drawing>
          <wp:inline distT="0" distB="0" distL="0" distR="0">
            <wp:extent cx="4202808" cy="3960000"/>
            <wp:effectExtent l="0" t="0" r="0" b="2540"/>
            <wp:docPr id="179" name="Picture 179" descr="Number of observations used to calculate the median maps (Figure 74 - Figure 75) for the dry and wet season for the Fitzroy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n_valid_20111101_20120430.tif"/>
                    <pic:cNvPicPr/>
                  </pic:nvPicPr>
                  <pic:blipFill>
                    <a:blip r:embed="rId148"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57" w:name="_Ref247857625"/>
      <w:bookmarkStart w:id="458" w:name="_Toc228588356"/>
      <w:bookmarkStart w:id="459" w:name="_Toc399265062"/>
      <w:r w:rsidRPr="00A40CD0">
        <w:t xml:space="preserve">Figure </w:t>
      </w:r>
      <w:fldSimple w:instr=" SEQ Figure \* ARABIC ">
        <w:r w:rsidR="00B11F3B">
          <w:rPr>
            <w:noProof/>
          </w:rPr>
          <w:t>76</w:t>
        </w:r>
      </w:fldSimple>
      <w:bookmarkEnd w:id="457"/>
      <w:r w:rsidRPr="00A40CD0">
        <w:t>. Number of observations used to calculate the median maps (</w:t>
      </w:r>
      <w:r w:rsidR="00EA2F38" w:rsidRPr="00A40CD0">
        <w:fldChar w:fldCharType="begin"/>
      </w:r>
      <w:r w:rsidRPr="00A40CD0">
        <w:instrText xml:space="preserve"> REF _Ref247856932 \h </w:instrText>
      </w:r>
      <w:r w:rsidR="00EA2F38" w:rsidRPr="00A40CD0">
        <w:fldChar w:fldCharType="separate"/>
      </w:r>
      <w:r w:rsidR="00B11F3B" w:rsidRPr="00A40CD0">
        <w:t xml:space="preserve">Figure </w:t>
      </w:r>
      <w:r w:rsidR="00B11F3B">
        <w:rPr>
          <w:noProof/>
        </w:rPr>
        <w:t>74</w:t>
      </w:r>
      <w:r w:rsidR="00EA2F38" w:rsidRPr="00A40CD0">
        <w:fldChar w:fldCharType="end"/>
      </w:r>
      <w:r w:rsidRPr="00A40CD0">
        <w:t xml:space="preserve"> - </w:t>
      </w:r>
      <w:r w:rsidR="00EA2F38" w:rsidRPr="00A40CD0">
        <w:fldChar w:fldCharType="begin"/>
      </w:r>
      <w:r w:rsidR="00FB0BB9" w:rsidRPr="00A40CD0">
        <w:instrText xml:space="preserve"> REF _Ref247857621 \h </w:instrText>
      </w:r>
      <w:r w:rsidR="00EA2F38" w:rsidRPr="00A40CD0">
        <w:fldChar w:fldCharType="separate"/>
      </w:r>
      <w:r w:rsidR="00B11F3B" w:rsidRPr="00A40CD0">
        <w:t xml:space="preserve">Figure </w:t>
      </w:r>
      <w:r w:rsidR="00B11F3B">
        <w:rPr>
          <w:noProof/>
        </w:rPr>
        <w:t>75</w:t>
      </w:r>
      <w:r w:rsidR="00EA2F38" w:rsidRPr="00A40CD0">
        <w:fldChar w:fldCharType="end"/>
      </w:r>
      <w:r w:rsidRPr="00A40CD0">
        <w:t xml:space="preserve">) for the dry and wet season for the Fitzroy region. The first map presents the number of observations available for analysis in </w:t>
      </w:r>
      <w:r w:rsidR="00D3208E">
        <w:t>the dry season 2011 (May - October)</w:t>
      </w:r>
      <w:r w:rsidRPr="00A40CD0">
        <w:t xml:space="preserve">, while the second map presents the number of observations available for analysis in </w:t>
      </w:r>
      <w:r w:rsidR="00D3208E">
        <w:t>the wet season 2011/2012 (November 2011 - April 2012)</w:t>
      </w:r>
      <w:r w:rsidRPr="00A40CD0">
        <w:t>.</w:t>
      </w:r>
      <w:bookmarkEnd w:id="458"/>
      <w:bookmarkEnd w:id="459"/>
      <w:r w:rsidRPr="00A40CD0">
        <w:t xml:space="preserve"> </w:t>
      </w:r>
    </w:p>
    <w:p w:rsidR="00B25CAA" w:rsidRPr="00A40CD0" w:rsidRDefault="00854F5A" w:rsidP="00D50C5D">
      <w:pPr>
        <w:pStyle w:val="Caption"/>
      </w:pPr>
      <w:r>
        <w:rPr>
          <w:noProof/>
        </w:rPr>
        <w:lastRenderedPageBreak/>
        <w:drawing>
          <wp:inline distT="0" distB="0" distL="0" distR="0">
            <wp:extent cx="4202808" cy="3960000"/>
            <wp:effectExtent l="0" t="0" r="0" b="2540"/>
            <wp:docPr id="180" name="Picture 180" descr="Exceedance maps for the Fitzroy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meanGTtrigger_20110501_20120430.tif"/>
                    <pic:cNvPicPr/>
                  </pic:nvPicPr>
                  <pic:blipFill>
                    <a:blip r:embed="rId149"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rPr>
        <w:drawing>
          <wp:inline distT="0" distB="0" distL="0" distR="0">
            <wp:extent cx="4202191" cy="3959419"/>
            <wp:effectExtent l="0" t="0" r="0" b="3175"/>
            <wp:docPr id="181" name="Picture 181" descr="Exceedance maps for the Fitzroy region for the reporting year 2011/12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meanGTtrigger_20110501_20120430.tif"/>
                    <pic:cNvPicPr/>
                  </pic:nvPicPr>
                  <pic:blipFill>
                    <a:blip r:embed="rId150" cstate="email">
                      <a:extLst>
                        <a:ext uri="{28A0092B-C50C-407E-A947-70E740481C1C}">
                          <a14:useLocalDpi xmlns:a14="http://schemas.microsoft.com/office/drawing/2010/main"/>
                        </a:ext>
                      </a:extLst>
                    </a:blip>
                    <a:stretch>
                      <a:fillRect/>
                    </a:stretch>
                  </pic:blipFill>
                  <pic:spPr>
                    <a:xfrm>
                      <a:off x="0" y="0"/>
                      <a:ext cx="4202191" cy="3959419"/>
                    </a:xfrm>
                    <a:prstGeom prst="rect">
                      <a:avLst/>
                    </a:prstGeom>
                  </pic:spPr>
                </pic:pic>
              </a:graphicData>
            </a:graphic>
          </wp:inline>
        </w:drawing>
      </w:r>
    </w:p>
    <w:p w:rsidR="00B25CAA" w:rsidRPr="00A40CD0" w:rsidRDefault="00B25CAA" w:rsidP="00D50C5D">
      <w:pPr>
        <w:pStyle w:val="Caption"/>
      </w:pPr>
      <w:bookmarkStart w:id="460" w:name="_Ref263848588"/>
      <w:bookmarkStart w:id="461" w:name="_Toc228588357"/>
      <w:bookmarkStart w:id="462" w:name="_Toc399265063"/>
      <w:r w:rsidRPr="00A40CD0">
        <w:t xml:space="preserve">Figure </w:t>
      </w:r>
      <w:r w:rsidR="00EA2F38">
        <w:fldChar w:fldCharType="begin"/>
      </w:r>
      <w:r w:rsidR="00933C8B">
        <w:instrText xml:space="preserve"> SEQ Figure \* ARABIC </w:instrText>
      </w:r>
      <w:r w:rsidR="00EA2F38">
        <w:fldChar w:fldCharType="separate"/>
      </w:r>
      <w:r w:rsidR="00B11F3B">
        <w:rPr>
          <w:noProof/>
        </w:rPr>
        <w:t>77</w:t>
      </w:r>
      <w:r w:rsidR="00EA2F38">
        <w:fldChar w:fldCharType="end"/>
      </w:r>
      <w:bookmarkEnd w:id="460"/>
      <w:r w:rsidRPr="00A40CD0">
        <w:t xml:space="preserve">. Exceedance maps for the Fitzroy region </w:t>
      </w:r>
      <w:r w:rsidR="00656260">
        <w:t>for the reporting year 2011/12 (May 2011 –April 2012)</w:t>
      </w:r>
      <w:r w:rsidRPr="00A40CD0">
        <w:t xml:space="preserve">. The first map presents the Chlorophyll-a exceedance map, while the second map presents the Non-algal particulate matter (NAP as a measure of TSS) exceedance map. The Guideline values for annual means of Chlorophyll-a </w:t>
      </w:r>
      <w:r w:rsidR="0031353D" w:rsidRPr="00A40CD0">
        <w:t>a</w:t>
      </w:r>
      <w:r w:rsidRPr="00A40CD0">
        <w:t>re 0.45 µg L</w:t>
      </w:r>
      <w:r w:rsidRPr="00A40CD0">
        <w:rPr>
          <w:vertAlign w:val="superscript"/>
        </w:rPr>
        <w:t>-1</w:t>
      </w:r>
      <w:r w:rsidRPr="00A40CD0">
        <w:t xml:space="preserve"> 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461"/>
      <w:bookmarkEnd w:id="462"/>
    </w:p>
    <w:p w:rsidR="00B25CAA" w:rsidRPr="00A40CD0" w:rsidRDefault="00854F5A" w:rsidP="002E0BD6">
      <w:pPr>
        <w:pStyle w:val="BodyText"/>
      </w:pPr>
      <w:r>
        <w:rPr>
          <w:noProof/>
          <w:lang w:eastAsia="en-AU"/>
        </w:rPr>
        <w:lastRenderedPageBreak/>
        <w:drawing>
          <wp:inline distT="0" distB="0" distL="0" distR="0">
            <wp:extent cx="4202808" cy="3960000"/>
            <wp:effectExtent l="0" t="0" r="0" b="2540"/>
            <wp:docPr id="182" name="Picture 182" descr="Chlorophyll-a exceedance maps for the dry and wet season for the Fitzroy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meanGTtrigger_20110501_20111031.tif"/>
                    <pic:cNvPicPr/>
                  </pic:nvPicPr>
                  <pic:blipFill>
                    <a:blip r:embed="rId151"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lang w:eastAsia="en-AU"/>
        </w:rPr>
        <w:drawing>
          <wp:inline distT="0" distB="0" distL="0" distR="0">
            <wp:extent cx="4202808" cy="3960000"/>
            <wp:effectExtent l="0" t="0" r="0" b="2540"/>
            <wp:docPr id="184" name="Picture 184" descr="Chlorophyll-a exceedance maps for the dry and wet season for the Fitzroy region. The first map presents the exceedance for the dry season 2011 (May - October), while the second map presents the exceedance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medianGTtrigger_20111101_20120430.tif"/>
                    <pic:cNvPicPr/>
                  </pic:nvPicPr>
                  <pic:blipFill>
                    <a:blip r:embed="rId152"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63" w:name="_Ref247857647"/>
      <w:bookmarkStart w:id="464" w:name="_Toc228588358"/>
      <w:bookmarkStart w:id="465" w:name="_Toc399265064"/>
      <w:r w:rsidRPr="00A40CD0">
        <w:t xml:space="preserve">Figure </w:t>
      </w:r>
      <w:r w:rsidR="00EA2F38">
        <w:fldChar w:fldCharType="begin"/>
      </w:r>
      <w:r w:rsidR="00933C8B">
        <w:instrText xml:space="preserve"> SEQ Figure \* ARABIC </w:instrText>
      </w:r>
      <w:r w:rsidR="00EA2F38">
        <w:fldChar w:fldCharType="separate"/>
      </w:r>
      <w:r w:rsidR="00B11F3B">
        <w:rPr>
          <w:noProof/>
        </w:rPr>
        <w:t>78</w:t>
      </w:r>
      <w:r w:rsidR="00EA2F38">
        <w:fldChar w:fldCharType="end"/>
      </w:r>
      <w:bookmarkEnd w:id="463"/>
      <w:r w:rsidRPr="00A40CD0">
        <w:t xml:space="preserve">. Chlorophyll-a exceedance maps for the dry and wet season for the Fitzroy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64"/>
      <w:bookmarkEnd w:id="465"/>
      <w:r w:rsidRPr="00A40CD0">
        <w:t xml:space="preserve"> </w:t>
      </w:r>
    </w:p>
    <w:p w:rsidR="00B25CAA" w:rsidRPr="00A40CD0" w:rsidRDefault="00043538" w:rsidP="00FB61A3">
      <w:r>
        <w:rPr>
          <w:noProof/>
        </w:rPr>
        <w:lastRenderedPageBreak/>
        <w:drawing>
          <wp:inline distT="0" distB="0" distL="0" distR="0">
            <wp:extent cx="4202808" cy="3960000"/>
            <wp:effectExtent l="0" t="0" r="0" b="2540"/>
            <wp:docPr id="209" name="Picture 209" descr="Chlorophyll-a exceedance frequency maps for the dry and wet season for the Fitzroy region. Top: exceedance frequency for the dry season 2011 (May - October); bottom: exceedance frequency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RelNonCompliantDays_20110501_20111031.tif"/>
                    <pic:cNvPicPr/>
                  </pic:nvPicPr>
                  <pic:blipFill>
                    <a:blip r:embed="rId153"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rPr>
        <w:drawing>
          <wp:inline distT="0" distB="0" distL="0" distR="0">
            <wp:extent cx="4202808" cy="3960000"/>
            <wp:effectExtent l="0" t="0" r="0" b="2540"/>
            <wp:docPr id="210" name="Picture 210" descr="Chlorophyll-a exceedance frequency maps for the dry and wet season for the Fitzroy region. Top: exceedance frequency for the dry season 2011 (May - October); bottom: exceedance frequency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Chl_MIM_RelNonCompliantDays_20111101_20120430.tif"/>
                    <pic:cNvPicPr/>
                  </pic:nvPicPr>
                  <pic:blipFill>
                    <a:blip r:embed="rId154"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66" w:name="_Ref247857649"/>
      <w:bookmarkStart w:id="467" w:name="_Toc228588359"/>
      <w:bookmarkStart w:id="468" w:name="_Toc399265065"/>
      <w:r w:rsidRPr="00A40CD0">
        <w:t xml:space="preserve">Figure </w:t>
      </w:r>
      <w:r w:rsidR="00EA2F38">
        <w:fldChar w:fldCharType="begin"/>
      </w:r>
      <w:r w:rsidR="00933C8B">
        <w:instrText xml:space="preserve"> SEQ Figure \* ARABIC </w:instrText>
      </w:r>
      <w:r w:rsidR="00EA2F38">
        <w:fldChar w:fldCharType="separate"/>
      </w:r>
      <w:r w:rsidR="00B11F3B">
        <w:rPr>
          <w:noProof/>
        </w:rPr>
        <w:t>79</w:t>
      </w:r>
      <w:r w:rsidR="00EA2F38">
        <w:fldChar w:fldCharType="end"/>
      </w:r>
      <w:bookmarkEnd w:id="466"/>
      <w:r w:rsidRPr="00A40CD0">
        <w:t xml:space="preserve">. Chlorophyll-a exceedance frequency maps for the dry and wet season for the Fitzroy region. Top: exceedance frequency for </w:t>
      </w:r>
      <w:r w:rsidR="00D3208E">
        <w:t>the dry season 2011 (May - October)</w:t>
      </w:r>
      <w:r w:rsidRPr="00A40CD0">
        <w:t xml:space="preserve">; bottom: exceedance frequency for </w:t>
      </w:r>
      <w:r w:rsidR="00D3208E">
        <w:t>the wet season 2011/2012 (November 2011 - April 2012)</w:t>
      </w:r>
      <w:r w:rsidRPr="00A40CD0">
        <w:t>. The seasonally adjusted Guideline values for Chlorophyll-a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467"/>
      <w:bookmarkEnd w:id="468"/>
      <w:r w:rsidRPr="00A40CD0">
        <w:t xml:space="preserve"> </w:t>
      </w:r>
    </w:p>
    <w:p w:rsidR="00B25CAA" w:rsidRPr="00A40CD0" w:rsidRDefault="00854F5A" w:rsidP="00FB61A3">
      <w:r>
        <w:rPr>
          <w:noProof/>
        </w:rPr>
        <w:lastRenderedPageBreak/>
        <w:drawing>
          <wp:inline distT="0" distB="0" distL="0" distR="0">
            <wp:extent cx="4202808" cy="3960000"/>
            <wp:effectExtent l="0" t="0" r="0" b="2540"/>
            <wp:docPr id="207" name="Picture 207" descr="Non-algal particulate matter (NAP as a measure of TSS) exceedance maps for the dry and wet season for the Fitzroy region. Top: exceedance for the dry season 2011 (May - October); bottom: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meanGTtrigger_20110501_20111031.tif"/>
                    <pic:cNvPicPr/>
                  </pic:nvPicPr>
                  <pic:blipFill>
                    <a:blip r:embed="rId155"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sidR="00043538">
        <w:rPr>
          <w:noProof/>
        </w:rPr>
        <w:drawing>
          <wp:inline distT="0" distB="0" distL="0" distR="0">
            <wp:extent cx="4202808" cy="3960000"/>
            <wp:effectExtent l="0" t="0" r="0" b="2540"/>
            <wp:docPr id="208" name="Picture 208" descr="Non-algal particulate matter (NAP as a measure of TSS) exceedance maps for the dry and wet season for the Fitzroy region. Top: exceedance for the dry season 2011 (May - October); bottom: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meanGTtrigger_20111101_20120430.tif"/>
                    <pic:cNvPicPr/>
                  </pic:nvPicPr>
                  <pic:blipFill>
                    <a:blip r:embed="rId156"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69" w:name="_Ref247857650"/>
      <w:bookmarkStart w:id="470" w:name="_Toc228588360"/>
      <w:bookmarkStart w:id="471" w:name="_Toc399265066"/>
      <w:r w:rsidRPr="00A40CD0">
        <w:t xml:space="preserve">Figure </w:t>
      </w:r>
      <w:r w:rsidR="00EA2F38">
        <w:fldChar w:fldCharType="begin"/>
      </w:r>
      <w:r w:rsidR="00933C8B">
        <w:instrText xml:space="preserve"> SEQ Figure \* ARABIC </w:instrText>
      </w:r>
      <w:r w:rsidR="00EA2F38">
        <w:fldChar w:fldCharType="separate"/>
      </w:r>
      <w:r w:rsidR="00B11F3B">
        <w:rPr>
          <w:noProof/>
        </w:rPr>
        <w:t>80</w:t>
      </w:r>
      <w:r w:rsidR="00EA2F38">
        <w:fldChar w:fldCharType="end"/>
      </w:r>
      <w:bookmarkEnd w:id="469"/>
      <w:r w:rsidRPr="00A40CD0">
        <w:t xml:space="preserve">. Non-algal particulate matter (NAP as a measure of TSS) exceedance maps for the dry and wet season for the Fitzroy region. Top: exceedance for </w:t>
      </w:r>
      <w:r w:rsidR="00D3208E">
        <w:t>the dry season 2011 (May - October)</w:t>
      </w:r>
      <w:r w:rsidRPr="00A40CD0">
        <w:t xml:space="preserve">; bottom: exceedance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470"/>
      <w:bookmarkEnd w:id="471"/>
    </w:p>
    <w:p w:rsidR="00B25CAA" w:rsidRPr="00A40CD0" w:rsidRDefault="00043538" w:rsidP="00FB61A3">
      <w:r>
        <w:rPr>
          <w:noProof/>
        </w:rPr>
        <w:lastRenderedPageBreak/>
        <w:drawing>
          <wp:inline distT="0" distB="0" distL="0" distR="0">
            <wp:extent cx="4202808" cy="3960000"/>
            <wp:effectExtent l="0" t="0" r="0" b="2540"/>
            <wp:docPr id="211" name="Picture 211" descr="Non-algal particulate matter (NAP as a measure of TSS) exceedance frequency maps for the dry and wet season for the Fitzroy region. Top: exceedance frequency for the dry season 2011 (May - October); bottom: exceedance frequency for the wet season 2011/2012 (November 2011 - April 2012).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RelNonCompliantDays_20110501_20111031.tif"/>
                    <pic:cNvPicPr/>
                  </pic:nvPicPr>
                  <pic:blipFill>
                    <a:blip r:embed="rId157"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r>
        <w:rPr>
          <w:noProof/>
        </w:rPr>
        <w:drawing>
          <wp:inline distT="0" distB="0" distL="0" distR="0">
            <wp:extent cx="4202808" cy="3960000"/>
            <wp:effectExtent l="0" t="0" r="0" b="2540"/>
            <wp:docPr id="212" name="Picture 212" descr="Non-algal particulate matter (NAP as a measure of TSS) exceedance frequency maps for the dry and wet season for the Fitzroy region. Top: exceedance frequency for the dry season 2011 (May - October); bottom: exceedance frequency for the wet season 2011/2012 (November 2011 - April 2012). The seasonally adjusted Guideline values for TSS for the dry/wet season means are 1.6/2.4 mg L-1 for Open Coastal and Midshelf and 0.6/0.8 m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TZ-B09_Y_Nap_MIM_RelNonCompliantDays_20111101_20120430.tif"/>
                    <pic:cNvPicPr/>
                  </pic:nvPicPr>
                  <pic:blipFill>
                    <a:blip r:embed="rId158" cstate="email">
                      <a:extLst>
                        <a:ext uri="{28A0092B-C50C-407E-A947-70E740481C1C}">
                          <a14:useLocalDpi xmlns:a14="http://schemas.microsoft.com/office/drawing/2010/main"/>
                        </a:ext>
                      </a:extLst>
                    </a:blip>
                    <a:stretch>
                      <a:fillRect/>
                    </a:stretch>
                  </pic:blipFill>
                  <pic:spPr>
                    <a:xfrm>
                      <a:off x="0" y="0"/>
                      <a:ext cx="4202808" cy="3960000"/>
                    </a:xfrm>
                    <a:prstGeom prst="rect">
                      <a:avLst/>
                    </a:prstGeom>
                  </pic:spPr>
                </pic:pic>
              </a:graphicData>
            </a:graphic>
          </wp:inline>
        </w:drawing>
      </w:r>
    </w:p>
    <w:p w:rsidR="00B25CAA" w:rsidRPr="00A40CD0" w:rsidRDefault="00B25CAA" w:rsidP="004F4DDE">
      <w:pPr>
        <w:pStyle w:val="Caption"/>
      </w:pPr>
      <w:bookmarkStart w:id="472" w:name="_Ref247857651"/>
      <w:bookmarkStart w:id="473" w:name="_Toc228588361"/>
      <w:bookmarkStart w:id="474" w:name="_Toc399265067"/>
      <w:r w:rsidRPr="00A40CD0">
        <w:t xml:space="preserve">Figure </w:t>
      </w:r>
      <w:r w:rsidR="00EA2F38">
        <w:fldChar w:fldCharType="begin"/>
      </w:r>
      <w:r w:rsidR="00933C8B">
        <w:instrText xml:space="preserve"> SEQ Figure \* ARABIC </w:instrText>
      </w:r>
      <w:r w:rsidR="00EA2F38">
        <w:fldChar w:fldCharType="separate"/>
      </w:r>
      <w:r w:rsidR="00B11F3B">
        <w:rPr>
          <w:noProof/>
        </w:rPr>
        <w:t>81</w:t>
      </w:r>
      <w:r w:rsidR="00EA2F38">
        <w:fldChar w:fldCharType="end"/>
      </w:r>
      <w:bookmarkEnd w:id="472"/>
      <w:r w:rsidRPr="00A40CD0">
        <w:t xml:space="preserve">. Non-algal particulate matter (NAP as a measure of TSS) exceedance frequency maps for the dry and wet season for the Fitzroy region. Top: exceedance frequency for </w:t>
      </w:r>
      <w:r w:rsidR="00D3208E">
        <w:t>the dry season 2011 (May - October)</w:t>
      </w:r>
      <w:r w:rsidRPr="00A40CD0">
        <w:t xml:space="preserve">; bottom: exceedance frequency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473"/>
      <w:bookmarkEnd w:id="474"/>
      <w:r w:rsidRPr="00A40CD0">
        <w:t xml:space="preserve">  </w:t>
      </w:r>
    </w:p>
    <w:p w:rsidR="00B25CAA" w:rsidRPr="00A40CD0" w:rsidRDefault="00B25CAA" w:rsidP="007E294B">
      <w:pPr>
        <w:pStyle w:val="Heading2"/>
      </w:pPr>
      <w:bookmarkStart w:id="475" w:name="_Toc242849278"/>
      <w:bookmarkStart w:id="476" w:name="_Toc246288471"/>
      <w:bookmarkStart w:id="477" w:name="_Toc228588204"/>
      <w:bookmarkStart w:id="478" w:name="_Toc399264911"/>
      <w:r w:rsidRPr="00A40CD0">
        <w:lastRenderedPageBreak/>
        <w:t>Regional reports: Burnett Mary region</w:t>
      </w:r>
      <w:bookmarkEnd w:id="475"/>
      <w:bookmarkEnd w:id="476"/>
      <w:bookmarkEnd w:id="477"/>
      <w:bookmarkEnd w:id="478"/>
    </w:p>
    <w:p w:rsidR="00B25CAA" w:rsidRPr="00A40CD0" w:rsidRDefault="00B25CAA" w:rsidP="002E0BD6">
      <w:pPr>
        <w:pStyle w:val="BodyText"/>
      </w:pPr>
      <w:r w:rsidRPr="00A40CD0">
        <w:t xml:space="preserve">The Burnett Mary region is the southernmost in the GBR and is comprised of a number of catchments, though only the northernmost catchment, the Baffle Basin, is within the GBR. In this report, the estimate of freshwater extent and the assessment of compliance to the Guidelines using earth observation </w:t>
      </w:r>
      <w:r w:rsidR="00A40CD0" w:rsidRPr="00A40CD0">
        <w:t>data is</w:t>
      </w:r>
      <w:r w:rsidRPr="00A40CD0">
        <w:t xml:space="preserve"> performed only for the GBRMPA section of the Burnett Mary NRM region.</w:t>
      </w:r>
      <w:r w:rsidR="007E7CDF">
        <w:t xml:space="preserve"> The Enclosed Coastal </w:t>
      </w:r>
      <w:r w:rsidR="007E7CDF" w:rsidRPr="00A40CD0">
        <w:t>marine water body</w:t>
      </w:r>
      <w:r w:rsidR="007E7CDF">
        <w:t xml:space="preserve"> acc</w:t>
      </w:r>
      <w:r w:rsidR="0067284B">
        <w:t>ounts for ~21</w:t>
      </w:r>
      <w:r w:rsidR="007E7CDF">
        <w:t>% of the inshore waters used for P2R reporting (</w:t>
      </w:r>
      <w:r w:rsidR="00EA2F38">
        <w:fldChar w:fldCharType="begin"/>
      </w:r>
      <w:r w:rsidR="007E7CDF">
        <w:instrText xml:space="preserve"> REF _Ref353451052 \h </w:instrText>
      </w:r>
      <w:r w:rsidR="00EA2F38">
        <w:fldChar w:fldCharType="separate"/>
      </w:r>
      <w:r w:rsidR="00B11F3B">
        <w:t xml:space="preserve">Table </w:t>
      </w:r>
      <w:r w:rsidR="00B11F3B">
        <w:rPr>
          <w:noProof/>
        </w:rPr>
        <w:t>5</w:t>
      </w:r>
      <w:r w:rsidR="00EA2F38">
        <w:fldChar w:fldCharType="end"/>
      </w:r>
      <w:r w:rsidR="007E7CDF">
        <w:t xml:space="preserve">, </w:t>
      </w:r>
      <w:r w:rsidR="00EA2F38">
        <w:fldChar w:fldCharType="begin"/>
      </w:r>
      <w:r w:rsidR="007E7CDF">
        <w:instrText xml:space="preserve"> REF _Ref247428722 \h </w:instrText>
      </w:r>
      <w:r w:rsidR="00EA2F38">
        <w:fldChar w:fldCharType="separate"/>
      </w:r>
      <w:r w:rsidR="00B11F3B" w:rsidRPr="00A40CD0">
        <w:t xml:space="preserve">Figure </w:t>
      </w:r>
      <w:r w:rsidR="00B11F3B">
        <w:rPr>
          <w:noProof/>
        </w:rPr>
        <w:t>2</w:t>
      </w:r>
      <w:r w:rsidR="00EA2F38">
        <w:fldChar w:fldCharType="end"/>
      </w:r>
      <w:r w:rsidR="007E7CDF">
        <w:t xml:space="preserve">). </w:t>
      </w:r>
      <w:r w:rsidRPr="00A40CD0">
        <w:t>Caution should be used when interpreting the results for this region as limited field information was used for the parameterization and validation on the remote sensing retrievals.</w:t>
      </w:r>
    </w:p>
    <w:p w:rsidR="009202A6" w:rsidRPr="007E294B" w:rsidRDefault="00B25CAA" w:rsidP="007E294B">
      <w:pPr>
        <w:pStyle w:val="Heading3"/>
      </w:pPr>
      <w:bookmarkStart w:id="479" w:name="_Toc228588205"/>
      <w:bookmarkStart w:id="480" w:name="_Toc399264912"/>
      <w:r w:rsidRPr="007E294B">
        <w:t>Assessment of freshwater extent during the wet season</w:t>
      </w:r>
      <w:bookmarkEnd w:id="479"/>
      <w:bookmarkEnd w:id="480"/>
    </w:p>
    <w:p w:rsidR="00B25CAA" w:rsidRPr="00A40CD0" w:rsidRDefault="00EA2F38" w:rsidP="002E0BD6">
      <w:pPr>
        <w:pStyle w:val="BodyText"/>
      </w:pPr>
      <w:r>
        <w:fldChar w:fldCharType="begin"/>
      </w:r>
      <w:r w:rsidR="00D90A4A">
        <w:instrText xml:space="preserve"> REF _Ref257731756 \h </w:instrText>
      </w:r>
      <w:r>
        <w:fldChar w:fldCharType="separate"/>
      </w:r>
      <w:r w:rsidR="00B11F3B" w:rsidRPr="00A40CD0">
        <w:t xml:space="preserve">Figure </w:t>
      </w:r>
      <w:r w:rsidR="00B11F3B">
        <w:rPr>
          <w:noProof/>
        </w:rPr>
        <w:t>84</w:t>
      </w:r>
      <w:r>
        <w:fldChar w:fldCharType="end"/>
      </w:r>
      <w:r w:rsidR="00B25CAA" w:rsidRPr="00A40CD0">
        <w:t xml:space="preserve"> reports the freshwater extent for </w:t>
      </w:r>
      <w:r w:rsidR="00D8717B">
        <w:t>wet season 2011/2012 (November 2011- April 2012)</w:t>
      </w:r>
      <w:r w:rsidR="00B25CAA" w:rsidRPr="00A40CD0">
        <w:t xml:space="preserve"> for the Burnett Mary region. The freshwater extent was estimated by applying a threshold of 0.24 m</w:t>
      </w:r>
      <w:r w:rsidR="00B25CAA" w:rsidRPr="00A40CD0">
        <w:rPr>
          <w:vertAlign w:val="superscript"/>
        </w:rPr>
        <w:t>-1</w:t>
      </w:r>
      <w:r w:rsidR="00B25CAA" w:rsidRPr="00A40CD0">
        <w:t xml:space="preserve"> for the CDOM seasonal maximum. For the Burnett Mary region the freshwater extent for </w:t>
      </w:r>
      <w:r w:rsidR="00D3208E">
        <w:t>the wet season 2011/2012 (November 2011 - April 2012)</w:t>
      </w:r>
      <w:r w:rsidR="00B25CAA" w:rsidRPr="00A40CD0">
        <w:t xml:space="preserve"> was </w:t>
      </w:r>
      <w:r w:rsidR="005E5B07">
        <w:t>1797</w:t>
      </w:r>
      <w:r w:rsidR="00B25CAA" w:rsidRPr="00A40CD0">
        <w:t xml:space="preserve"> km</w:t>
      </w:r>
      <w:r w:rsidR="00B25CAA" w:rsidRPr="00A40CD0">
        <w:rPr>
          <w:vertAlign w:val="superscript"/>
        </w:rPr>
        <w:t>2</w:t>
      </w:r>
      <w:r w:rsidR="00B25CAA" w:rsidRPr="00A40CD0">
        <w:t xml:space="preserve"> , </w:t>
      </w:r>
      <w:r w:rsidR="005E5B07">
        <w:t>1595</w:t>
      </w:r>
      <w:r w:rsidR="00B25CAA" w:rsidRPr="00A40CD0">
        <w:t xml:space="preserve">  km</w:t>
      </w:r>
      <w:r w:rsidR="00B25CAA" w:rsidRPr="00A40CD0">
        <w:rPr>
          <w:vertAlign w:val="superscript"/>
        </w:rPr>
        <w:t>2</w:t>
      </w:r>
      <w:r w:rsidR="00B25CAA" w:rsidRPr="00A40CD0">
        <w:t xml:space="preserve"> for the wet season 20</w:t>
      </w:r>
      <w:r w:rsidR="005E5B07">
        <w:t>10/11</w:t>
      </w:r>
      <w:r w:rsidR="00B25CAA" w:rsidRPr="00A40CD0">
        <w:t>, wh</w:t>
      </w:r>
      <w:r w:rsidR="005E5B07">
        <w:t>ile in the wet season 2009/10</w:t>
      </w:r>
      <w:r w:rsidR="00B25CAA" w:rsidRPr="00A40CD0">
        <w:t xml:space="preserve"> was </w:t>
      </w:r>
      <w:r w:rsidR="005E5B07">
        <w:t>1137</w:t>
      </w:r>
      <w:r w:rsidR="00B25CAA" w:rsidRPr="00A40CD0">
        <w:t xml:space="preserve"> km</w:t>
      </w:r>
      <w:r w:rsidR="00B25CAA" w:rsidRPr="00A40CD0">
        <w:rPr>
          <w:vertAlign w:val="superscript"/>
        </w:rPr>
        <w:t>2</w:t>
      </w:r>
      <w:r w:rsidR="00B25CAA" w:rsidRPr="00A40CD0">
        <w:t xml:space="preserve"> (</w:t>
      </w:r>
      <w:r>
        <w:fldChar w:fldCharType="begin"/>
      </w:r>
      <w:r w:rsidR="00D90A4A">
        <w:instrText xml:space="preserve"> REF _Ref304874939 \h </w:instrText>
      </w:r>
      <w:r>
        <w:fldChar w:fldCharType="separate"/>
      </w:r>
      <w:r w:rsidR="00B11F3B" w:rsidRPr="00A40CD0">
        <w:t xml:space="preserve">Figure </w:t>
      </w:r>
      <w:r w:rsidR="00B11F3B">
        <w:rPr>
          <w:noProof/>
        </w:rPr>
        <w:t>82</w:t>
      </w:r>
      <w:r>
        <w:fldChar w:fldCharType="end"/>
      </w:r>
      <w:r w:rsidR="00B25CAA" w:rsidRPr="00A40CD0">
        <w:t>). The high estimated f</w:t>
      </w:r>
      <w:r w:rsidR="005E5B07">
        <w:t>reshwater extent for the last three</w:t>
      </w:r>
      <w:r w:rsidR="00B25CAA" w:rsidRPr="00A40CD0">
        <w:t xml:space="preserve"> year</w:t>
      </w:r>
      <w:r w:rsidR="005E5B07">
        <w:t>s</w:t>
      </w:r>
      <w:r w:rsidR="00B25CAA" w:rsidRPr="00A40CD0">
        <w:t xml:space="preserve"> correlates with the record peak and flow levels recorded for Burnett and Mary Rivers floods over December 2010 and January 2011 and the large freshwater discharges of 2009/10</w:t>
      </w:r>
      <w:r w:rsidR="003A269D" w:rsidRPr="00A40CD0">
        <w:t xml:space="preserve"> </w:t>
      </w:r>
      <w:r w:rsidR="00B25CAA" w:rsidRPr="00A40CD0">
        <w:t>(</w:t>
      </w:r>
      <w:r>
        <w:fldChar w:fldCharType="begin"/>
      </w:r>
      <w:r w:rsidR="00D90A4A">
        <w:instrText xml:space="preserve"> REF _Ref257740941 \h </w:instrText>
      </w:r>
      <w:r>
        <w:fldChar w:fldCharType="separate"/>
      </w:r>
      <w:r w:rsidR="00B11F3B" w:rsidRPr="00A40CD0">
        <w:t xml:space="preserve">Figure </w:t>
      </w:r>
      <w:r w:rsidR="00B11F3B">
        <w:rPr>
          <w:noProof/>
        </w:rPr>
        <w:t>17</w:t>
      </w:r>
      <w:r>
        <w:fldChar w:fldCharType="end"/>
      </w:r>
      <w:r w:rsidR="00B25CAA" w:rsidRPr="00A40CD0">
        <w:t xml:space="preserve">, </w:t>
      </w:r>
      <w:r>
        <w:fldChar w:fldCharType="begin"/>
      </w:r>
      <w:r w:rsidR="00D90A4A">
        <w:instrText xml:space="preserve"> REF _Ref304874939 \h </w:instrText>
      </w:r>
      <w:r>
        <w:fldChar w:fldCharType="separate"/>
      </w:r>
      <w:r w:rsidR="00B11F3B" w:rsidRPr="00A40CD0">
        <w:t xml:space="preserve">Figure </w:t>
      </w:r>
      <w:r w:rsidR="00B11F3B">
        <w:rPr>
          <w:noProof/>
        </w:rPr>
        <w:t>82</w:t>
      </w:r>
      <w:r>
        <w:fldChar w:fldCharType="end"/>
      </w:r>
      <w:r w:rsidR="00B25CAA" w:rsidRPr="00A40CD0">
        <w:t>).</w:t>
      </w:r>
      <w:r w:rsidR="005E5B07">
        <w:t xml:space="preserve"> This year’s large </w:t>
      </w:r>
      <w:r w:rsidR="005E5B07" w:rsidRPr="00A40CD0">
        <w:t>estimated f</w:t>
      </w:r>
      <w:r w:rsidR="005E5B07">
        <w:t>reshwater ex</w:t>
      </w:r>
      <w:r w:rsidR="00687950">
        <w:t xml:space="preserve">tent may also be due to flows </w:t>
      </w:r>
      <w:r w:rsidR="007F383E">
        <w:t xml:space="preserve">from </w:t>
      </w:r>
      <w:r w:rsidR="005E5B07">
        <w:t xml:space="preserve">Baffle Creek </w:t>
      </w:r>
      <w:r w:rsidR="00AC3EFC">
        <w:t xml:space="preserve">and </w:t>
      </w:r>
      <w:r w:rsidR="007F383E">
        <w:t xml:space="preserve">the Calliope River </w:t>
      </w:r>
      <w:r w:rsidR="00AC3EFC">
        <w:t>that flow</w:t>
      </w:r>
      <w:r w:rsidR="005E5B07">
        <w:t xml:space="preserve"> directly in the </w:t>
      </w:r>
      <w:r w:rsidR="00687950" w:rsidRPr="00A40CD0">
        <w:t>GBRMPA section of the Burnett Mary NRM region</w:t>
      </w:r>
      <w:r w:rsidR="00687950">
        <w:t>.</w:t>
      </w:r>
    </w:p>
    <w:p w:rsidR="00B25CAA" w:rsidRPr="00A40CD0" w:rsidRDefault="00406BD0" w:rsidP="002E0BD6">
      <w:pPr>
        <w:pStyle w:val="BodyText"/>
      </w:pPr>
      <w:r w:rsidRPr="00406BD0">
        <w:rPr>
          <w:noProof/>
          <w:lang w:eastAsia="en-AU"/>
        </w:rPr>
        <w:drawing>
          <wp:inline distT="0" distB="0" distL="0" distR="0">
            <wp:extent cx="5759450" cy="3765915"/>
            <wp:effectExtent l="0" t="0" r="6350" b="0"/>
            <wp:docPr id="44" name="Picture 81" descr="Freshwater discharge and estimated freshwater extent for the Burnett Mary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59" cstate="email">
                      <a:extLst>
                        <a:ext uri="{28A0092B-C50C-407E-A947-70E740481C1C}">
                          <a14:useLocalDpi xmlns:a14="http://schemas.microsoft.com/office/drawing/2010/main"/>
                        </a:ext>
                      </a:extLst>
                    </a:blip>
                    <a:srcRect/>
                    <a:stretch>
                      <a:fillRect/>
                    </a:stretch>
                  </pic:blipFill>
                  <pic:spPr bwMode="auto">
                    <a:xfrm>
                      <a:off x="0" y="0"/>
                      <a:ext cx="5759450" cy="3765915"/>
                    </a:xfrm>
                    <a:prstGeom prst="rect">
                      <a:avLst/>
                    </a:prstGeom>
                    <a:noFill/>
                    <a:ln w="9525">
                      <a:noFill/>
                      <a:miter lim="800000"/>
                      <a:headEnd/>
                      <a:tailEnd/>
                    </a:ln>
                  </pic:spPr>
                </pic:pic>
              </a:graphicData>
            </a:graphic>
          </wp:inline>
        </w:drawing>
      </w:r>
    </w:p>
    <w:p w:rsidR="00B25CAA" w:rsidRPr="00A40CD0" w:rsidRDefault="00B25CAA" w:rsidP="00C1689E">
      <w:pPr>
        <w:pStyle w:val="Caption"/>
      </w:pPr>
      <w:bookmarkStart w:id="481" w:name="_Ref304874939"/>
      <w:bookmarkStart w:id="482" w:name="_Toc228588362"/>
      <w:bookmarkStart w:id="483" w:name="_Toc399265068"/>
      <w:r w:rsidRPr="00A40CD0">
        <w:t xml:space="preserve">Figure </w:t>
      </w:r>
      <w:r w:rsidR="00EA2F38">
        <w:fldChar w:fldCharType="begin"/>
      </w:r>
      <w:r w:rsidR="00933C8B">
        <w:instrText xml:space="preserve"> SEQ Figure \* ARABIC </w:instrText>
      </w:r>
      <w:r w:rsidR="00EA2F38">
        <w:fldChar w:fldCharType="separate"/>
      </w:r>
      <w:r w:rsidR="00B11F3B">
        <w:rPr>
          <w:noProof/>
        </w:rPr>
        <w:t>82</w:t>
      </w:r>
      <w:r w:rsidR="00EA2F38">
        <w:fldChar w:fldCharType="end"/>
      </w:r>
      <w:bookmarkEnd w:id="481"/>
      <w:r w:rsidRPr="00A40CD0">
        <w:t xml:space="preserve">. Freshwater discharge and estimated freshwater extent for the </w:t>
      </w:r>
      <w:r w:rsidR="00687950">
        <w:t>Burnett Mary</w:t>
      </w:r>
      <w:r w:rsidRPr="00A40CD0">
        <w:t xml:space="preserve"> region based on the CDOM maximum for the wet seasons.</w:t>
      </w:r>
      <w:bookmarkEnd w:id="482"/>
      <w:bookmarkEnd w:id="483"/>
    </w:p>
    <w:p w:rsidR="00B25CAA" w:rsidRPr="00A40CD0" w:rsidRDefault="00B25CAA" w:rsidP="002E0BD6">
      <w:pPr>
        <w:pStyle w:val="BodyText"/>
      </w:pPr>
    </w:p>
    <w:p w:rsidR="009202A6" w:rsidRPr="007E294B" w:rsidRDefault="00B25CAA" w:rsidP="007E294B">
      <w:pPr>
        <w:pStyle w:val="Heading3"/>
      </w:pPr>
      <w:bookmarkStart w:id="484" w:name="_Toc228588206"/>
      <w:bookmarkStart w:id="485" w:name="_Toc399264913"/>
      <w:r w:rsidRPr="007E294B">
        <w:lastRenderedPageBreak/>
        <w:t>The wet and dry season median maps for Chlorophyll-a and Total Suspended Solids.</w:t>
      </w:r>
      <w:bookmarkEnd w:id="484"/>
      <w:bookmarkEnd w:id="485"/>
    </w:p>
    <w:p w:rsidR="00B25CAA" w:rsidRPr="00A40CD0" w:rsidRDefault="00B25CAA" w:rsidP="002E0BD6">
      <w:pPr>
        <w:pStyle w:val="BodyText"/>
      </w:pPr>
      <w:r w:rsidRPr="00A40CD0">
        <w:t>Both seasonal median CHL maps (</w:t>
      </w:r>
      <w:r w:rsidR="00EA2F38">
        <w:fldChar w:fldCharType="begin"/>
      </w:r>
      <w:r w:rsidR="00D90A4A">
        <w:instrText xml:space="preserve"> REF _Ref247856891 \h </w:instrText>
      </w:r>
      <w:r w:rsidR="00EA2F38">
        <w:fldChar w:fldCharType="separate"/>
      </w:r>
      <w:r w:rsidR="00B11F3B" w:rsidRPr="00A40CD0">
        <w:t xml:space="preserve">Figure </w:t>
      </w:r>
      <w:r w:rsidR="00B11F3B">
        <w:rPr>
          <w:noProof/>
        </w:rPr>
        <w:t>85</w:t>
      </w:r>
      <w:r w:rsidR="00EA2F38">
        <w:fldChar w:fldCharType="end"/>
      </w:r>
      <w:r w:rsidRPr="00A40CD0">
        <w:t xml:space="preserve">) for the Burnett Mary region show high CHL near the coast and in the estuary to lower concentrations towards the East. Median CHL values to 0.5 </w:t>
      </w:r>
      <w:r w:rsidRPr="00A40CD0">
        <w:rPr>
          <w:rFonts w:ascii="SymbolProp BT" w:hAnsi="SymbolProp BT"/>
        </w:rPr>
        <w:t></w:t>
      </w:r>
      <w:r w:rsidRPr="00A40CD0">
        <w:t>gL</w:t>
      </w:r>
      <w:r w:rsidRPr="00A40CD0">
        <w:rPr>
          <w:vertAlign w:val="superscript"/>
        </w:rPr>
        <w:t>-1</w:t>
      </w:r>
      <w:r w:rsidRPr="00A40CD0">
        <w:t xml:space="preserve"> extended to the Offshore region reaching the Capricorn Bunker group. The wet and dry season median maps of NAP (</w:t>
      </w:r>
      <w:r w:rsidR="00EA2F38">
        <w:fldChar w:fldCharType="begin"/>
      </w:r>
      <w:r w:rsidR="00D90A4A">
        <w:instrText xml:space="preserve"> REF _Ref247857683 \h </w:instrText>
      </w:r>
      <w:r w:rsidR="00EA2F38">
        <w:fldChar w:fldCharType="separate"/>
      </w:r>
      <w:r w:rsidR="00B11F3B" w:rsidRPr="00A40CD0">
        <w:t xml:space="preserve">Figure </w:t>
      </w:r>
      <w:r w:rsidR="00B11F3B">
        <w:rPr>
          <w:noProof/>
        </w:rPr>
        <w:t>86</w:t>
      </w:r>
      <w:r w:rsidR="00EA2F38">
        <w:fldChar w:fldCharType="end"/>
      </w:r>
      <w:r w:rsidRPr="00A40CD0">
        <w:t xml:space="preserve">) for the Burnett Mary </w:t>
      </w:r>
      <w:r w:rsidR="00A40CD0">
        <w:t>region show</w:t>
      </w:r>
      <w:r w:rsidRPr="00A40CD0">
        <w:t xml:space="preserve"> values higher than 2 mgL</w:t>
      </w:r>
      <w:r w:rsidRPr="00A40CD0">
        <w:rPr>
          <w:vertAlign w:val="superscript"/>
        </w:rPr>
        <w:t>-1</w:t>
      </w:r>
      <w:r w:rsidRPr="00A40CD0">
        <w:t xml:space="preserve"> in the dry season </w:t>
      </w:r>
      <w:r w:rsidR="00A40CD0" w:rsidRPr="00A40CD0">
        <w:t>and higher</w:t>
      </w:r>
      <w:r w:rsidRPr="00A40CD0">
        <w:t xml:space="preserve"> than 4 mgL</w:t>
      </w:r>
      <w:r w:rsidRPr="00A40CD0">
        <w:rPr>
          <w:vertAlign w:val="superscript"/>
        </w:rPr>
        <w:t>-1</w:t>
      </w:r>
      <w:r w:rsidRPr="00A40CD0">
        <w:t xml:space="preserve"> in </w:t>
      </w:r>
      <w:r w:rsidR="00A40CD0" w:rsidRPr="00A40CD0">
        <w:t>correspondence</w:t>
      </w:r>
      <w:r w:rsidRPr="00A40CD0">
        <w:t xml:space="preserve"> with river mouths. The high concentrations shown near Breaksea Spit are likely to be overestimated. The accuracy of the retrieval from MODIS imagery in these shallow waters systems cannot be assessed as there is no data available for parameterization and validation.</w:t>
      </w:r>
    </w:p>
    <w:p w:rsidR="00B25CAA" w:rsidRPr="00A40CD0" w:rsidRDefault="00B25CAA" w:rsidP="002E0BD6">
      <w:pPr>
        <w:pStyle w:val="BodyText"/>
      </w:pPr>
      <w:r w:rsidRPr="00A40CD0">
        <w:t xml:space="preserve">The maps in </w:t>
      </w:r>
      <w:r w:rsidR="00EA2F38">
        <w:fldChar w:fldCharType="begin"/>
      </w:r>
      <w:r w:rsidR="00D90A4A">
        <w:instrText xml:space="preserve"> REF _Ref321320495 \h </w:instrText>
      </w:r>
      <w:r w:rsidR="00EA2F38">
        <w:fldChar w:fldCharType="separate"/>
      </w:r>
      <w:r w:rsidR="00B11F3B">
        <w:t>F</w:t>
      </w:r>
      <w:r w:rsidR="00B11F3B" w:rsidRPr="00A40CD0">
        <w:t xml:space="preserve">igure </w:t>
      </w:r>
      <w:r w:rsidR="00B11F3B">
        <w:rPr>
          <w:noProof/>
        </w:rPr>
        <w:t>87</w:t>
      </w:r>
      <w:r w:rsidR="00EA2F38">
        <w:fldChar w:fldCharType="end"/>
      </w:r>
      <w:r w:rsidR="00C908C7" w:rsidRPr="00A40CD0">
        <w:t xml:space="preserve"> </w:t>
      </w:r>
      <w:r w:rsidRPr="00A40CD0">
        <w:t>depict the number of observations per pixel location available for calculating the median values for each season. The maps show that</w:t>
      </w:r>
      <w:r w:rsidR="00146C29">
        <w:t xml:space="preserve"> this amount varies from 30 to 6</w:t>
      </w:r>
      <w:r w:rsidRPr="00A40CD0">
        <w:t>0 observations for both seasons for each pixel location.</w:t>
      </w:r>
    </w:p>
    <w:p w:rsidR="009202A6" w:rsidRPr="007E294B" w:rsidRDefault="003A269D" w:rsidP="007E294B">
      <w:pPr>
        <w:pStyle w:val="Heading3"/>
      </w:pPr>
      <w:bookmarkStart w:id="486" w:name="_Toc228588207"/>
      <w:bookmarkStart w:id="487" w:name="_Toc399264914"/>
      <w:r w:rsidRPr="007E294B">
        <w:t>Assessment of the marine water quality index and the exceedance of water quality guidelines</w:t>
      </w:r>
      <w:bookmarkEnd w:id="486"/>
      <w:bookmarkEnd w:id="487"/>
    </w:p>
    <w:p w:rsidR="00286F43" w:rsidRDefault="00286F43" w:rsidP="002E0BD6">
      <w:pPr>
        <w:pStyle w:val="BodyText"/>
      </w:pPr>
      <w:r w:rsidRPr="00A40CD0">
        <w:t>The marine water quality for this repo</w:t>
      </w:r>
      <w:r w:rsidR="00146C29">
        <w:t>rting year for the Mary Burnett</w:t>
      </w:r>
      <w:r w:rsidRPr="00A40CD0">
        <w:t xml:space="preserve"> region was scored as “moderate”, reflecting a “very poor” score for P2R_CHL and “</w:t>
      </w:r>
      <w:r w:rsidR="009E3133">
        <w:t xml:space="preserve">very </w:t>
      </w:r>
      <w:r w:rsidRPr="00A40CD0">
        <w:t>good” for P2R_TSS (</w:t>
      </w:r>
      <w:r w:rsidR="00EA2F38">
        <w:fldChar w:fldCharType="begin"/>
      </w:r>
      <w:r w:rsidR="00D90A4A">
        <w:instrText xml:space="preserve"> REF _Ref321320470 \h </w:instrText>
      </w:r>
      <w:r w:rsidR="00EA2F38">
        <w:fldChar w:fldCharType="separate"/>
      </w:r>
      <w:r w:rsidR="00B11F3B" w:rsidRPr="00A40CD0">
        <w:t xml:space="preserve">Figure </w:t>
      </w:r>
      <w:r w:rsidR="00B11F3B">
        <w:rPr>
          <w:noProof/>
        </w:rPr>
        <w:t>83</w:t>
      </w:r>
      <w:r w:rsidR="00EA2F38">
        <w:fldChar w:fldCharType="end"/>
      </w:r>
      <w:r w:rsidRPr="00A40CD0">
        <w:t>). The marine water quality index and the component score have been steadily declining from 2006/07, as the P2R_CHL scores declined fr</w:t>
      </w:r>
      <w:r w:rsidR="005D7849">
        <w:t>o</w:t>
      </w:r>
      <w:r w:rsidRPr="00A40CD0">
        <w:t xml:space="preserve">m “good” to “very poor” in the last five years </w:t>
      </w:r>
      <w:r w:rsidR="003A269D" w:rsidRPr="00A40CD0">
        <w:t>while th</w:t>
      </w:r>
      <w:r w:rsidRPr="00A40CD0">
        <w:t xml:space="preserve">e P2R_TSS </w:t>
      </w:r>
      <w:r w:rsidR="003A269D" w:rsidRPr="00A40CD0">
        <w:t xml:space="preserve">scores were </w:t>
      </w:r>
      <w:r w:rsidRPr="00A40CD0">
        <w:t>“very good” since the 200</w:t>
      </w:r>
      <w:r w:rsidR="009E3133">
        <w:t>2/03</w:t>
      </w:r>
      <w:r w:rsidR="003A269D" w:rsidRPr="00A40CD0">
        <w:t xml:space="preserve"> reporting season. </w:t>
      </w:r>
      <w:r w:rsidR="009E3133">
        <w:t>The “</w:t>
      </w:r>
      <w:r w:rsidR="003A269D" w:rsidRPr="00A40CD0">
        <w:t>poor”</w:t>
      </w:r>
      <w:r w:rsidR="009E3133">
        <w:t xml:space="preserve"> and “very poor”</w:t>
      </w:r>
      <w:r w:rsidR="003A269D" w:rsidRPr="00A40CD0">
        <w:t xml:space="preserve"> score for the P2R_CHL </w:t>
      </w:r>
      <w:r w:rsidRPr="00A40CD0">
        <w:t>in the la</w:t>
      </w:r>
      <w:r w:rsidR="003A269D" w:rsidRPr="00A40CD0">
        <w:t>s</w:t>
      </w:r>
      <w:r w:rsidR="009E3133">
        <w:t>t three</w:t>
      </w:r>
      <w:r w:rsidRPr="00A40CD0">
        <w:t xml:space="preserve"> repo</w:t>
      </w:r>
      <w:r w:rsidR="003A269D" w:rsidRPr="00A40CD0">
        <w:t xml:space="preserve">rting seasons is likely to be a </w:t>
      </w:r>
      <w:r w:rsidR="00A40CD0" w:rsidRPr="00A40CD0">
        <w:t>response</w:t>
      </w:r>
      <w:r w:rsidR="003A269D" w:rsidRPr="00A40CD0">
        <w:t xml:space="preserve"> to the </w:t>
      </w:r>
      <w:r w:rsidRPr="00A40CD0">
        <w:t xml:space="preserve">high freshwater discharges from the </w:t>
      </w:r>
      <w:r w:rsidR="009E3133">
        <w:t xml:space="preserve">Baffle Creek as well as the </w:t>
      </w:r>
      <w:r w:rsidR="003A269D" w:rsidRPr="00A40CD0">
        <w:t>Burnett and Mary Rivers</w:t>
      </w:r>
      <w:r w:rsidRPr="00A40CD0">
        <w:t xml:space="preserve"> and the associated estimated freshwater plume extents </w:t>
      </w:r>
      <w:r w:rsidR="009E3133">
        <w:t>of the last three</w:t>
      </w:r>
      <w:r w:rsidR="003A269D" w:rsidRPr="00A40CD0">
        <w:t xml:space="preserve"> years </w:t>
      </w:r>
      <w:r w:rsidRPr="00A40CD0">
        <w:t>(</w:t>
      </w:r>
      <w:r w:rsidR="00EA2F38">
        <w:fldChar w:fldCharType="begin"/>
      </w:r>
      <w:r w:rsidR="00D90A4A">
        <w:instrText xml:space="preserve"> REF _Ref304874939 \h </w:instrText>
      </w:r>
      <w:r w:rsidR="00EA2F38">
        <w:fldChar w:fldCharType="separate"/>
      </w:r>
      <w:r w:rsidR="00B11F3B" w:rsidRPr="00A40CD0">
        <w:t xml:space="preserve">Figure </w:t>
      </w:r>
      <w:r w:rsidR="00B11F3B">
        <w:rPr>
          <w:noProof/>
        </w:rPr>
        <w:t>82</w:t>
      </w:r>
      <w:r w:rsidR="00EA2F38">
        <w:fldChar w:fldCharType="end"/>
      </w:r>
      <w:r w:rsidRPr="00A40CD0">
        <w:t xml:space="preserve">). </w:t>
      </w:r>
    </w:p>
    <w:p w:rsidR="003A269D" w:rsidRPr="00A40CD0" w:rsidRDefault="00AC3EFC" w:rsidP="002E0BD6">
      <w:pPr>
        <w:pStyle w:val="BodyText"/>
      </w:pPr>
      <w:r>
        <w:t xml:space="preserve">The Enclosed Coastal </w:t>
      </w:r>
      <w:r w:rsidRPr="00A40CD0">
        <w:t>marine water body</w:t>
      </w:r>
      <w:r>
        <w:t xml:space="preserve"> accounts for ~21% of the inshore waters used for P2R reporting, </w:t>
      </w:r>
      <w:r w:rsidR="007F383E">
        <w:t>mostly in Rodds Bay in front of Port Curtis</w:t>
      </w:r>
      <w:r>
        <w:t xml:space="preserve"> (</w:t>
      </w:r>
      <w:r w:rsidR="00EA2F38">
        <w:fldChar w:fldCharType="begin"/>
      </w:r>
      <w:r>
        <w:instrText xml:space="preserve"> REF _Ref353451052 \h </w:instrText>
      </w:r>
      <w:r w:rsidR="00EA2F38">
        <w:fldChar w:fldCharType="separate"/>
      </w:r>
      <w:r w:rsidR="00B11F3B">
        <w:t xml:space="preserve">Table </w:t>
      </w:r>
      <w:r w:rsidR="00B11F3B">
        <w:rPr>
          <w:noProof/>
        </w:rPr>
        <w:t>5</w:t>
      </w:r>
      <w:r w:rsidR="00EA2F38">
        <w:fldChar w:fldCharType="end"/>
      </w:r>
      <w:r>
        <w:t xml:space="preserve">, </w:t>
      </w:r>
      <w:r w:rsidR="00EA2F38">
        <w:fldChar w:fldCharType="begin"/>
      </w:r>
      <w:r>
        <w:instrText xml:space="preserve"> REF _Ref247428722 \h </w:instrText>
      </w:r>
      <w:r w:rsidR="00EA2F38">
        <w:fldChar w:fldCharType="separate"/>
      </w:r>
      <w:r w:rsidR="00B11F3B" w:rsidRPr="00A40CD0">
        <w:t xml:space="preserve">Figure </w:t>
      </w:r>
      <w:r w:rsidR="00B11F3B">
        <w:rPr>
          <w:noProof/>
        </w:rPr>
        <w:t>2</w:t>
      </w:r>
      <w:r w:rsidR="00EA2F38">
        <w:fldChar w:fldCharType="end"/>
      </w:r>
      <w:r>
        <w:t>).</w:t>
      </w:r>
      <w:r w:rsidR="006D27F2">
        <w:t xml:space="preserve"> For the Enclosed Coastal waters, no exceedance to the guidelines (15 mg/L) for TSS was recorded in the annual or seasonal means, while CHL values exceeded the guidelines for (2.0 µg/L) for 26-49% of the area in the annual and seasonally adjusted means.</w:t>
      </w:r>
      <w:r w:rsidR="00313C4A">
        <w:t xml:space="preserve"> </w:t>
      </w:r>
      <w:r w:rsidR="003A269D" w:rsidRPr="00A40CD0">
        <w:t>For the Burnett Mary re</w:t>
      </w:r>
      <w:r w:rsidR="009E3133">
        <w:t>gion the annual mean CHL values</w:t>
      </w:r>
      <w:r w:rsidR="003A269D" w:rsidRPr="00A40CD0">
        <w:t xml:space="preserve"> exceeded the gui</w:t>
      </w:r>
      <w:r w:rsidR="006D27F2">
        <w:t>deline values (0.45 µg/L) for 99</w:t>
      </w:r>
      <w:r w:rsidR="003A269D" w:rsidRPr="00A40CD0">
        <w:t>% of the Open Coas</w:t>
      </w:r>
      <w:r w:rsidR="00313C4A">
        <w:t>tal area and 19</w:t>
      </w:r>
      <w:r w:rsidR="003A269D" w:rsidRPr="00A40CD0">
        <w:t xml:space="preserve">% of the Midshelf area, while exceedance of TSS guideline values were recorded in </w:t>
      </w:r>
      <w:r w:rsidR="006D27F2">
        <w:t>10</w:t>
      </w:r>
      <w:r w:rsidR="003A269D" w:rsidRPr="00A40CD0">
        <w:t xml:space="preserve">% of the Open Coastal, </w:t>
      </w:r>
      <w:r w:rsidR="006D27F2">
        <w:t xml:space="preserve">and 8% </w:t>
      </w:r>
      <w:r w:rsidR="003A269D" w:rsidRPr="00A40CD0">
        <w:t>of the Midshelf (</w:t>
      </w:r>
      <w:r w:rsidR="008A285B">
        <w:fldChar w:fldCharType="begin"/>
      </w:r>
      <w:r w:rsidR="008A285B">
        <w:instrText xml:space="preserve"> REF _Ref321226735 \h  \* MERGEFORMAT </w:instrText>
      </w:r>
      <w:r w:rsidR="008A285B">
        <w:fldChar w:fldCharType="separate"/>
      </w:r>
      <w:r w:rsidR="00B11F3B" w:rsidRPr="00A40CD0">
        <w:t xml:space="preserve">Figure </w:t>
      </w:r>
      <w:r w:rsidR="00B11F3B">
        <w:t>88</w:t>
      </w:r>
      <w:r w:rsidR="008A285B">
        <w:fldChar w:fldCharType="end"/>
      </w:r>
      <w:r w:rsidR="003A269D" w:rsidRPr="00A40CD0">
        <w:t xml:space="preserve">, </w:t>
      </w:r>
      <w:r w:rsidR="008A285B">
        <w:fldChar w:fldCharType="begin"/>
      </w:r>
      <w:r w:rsidR="008A285B">
        <w:instrText xml:space="preserve"> REF _Ref258848034 \h  \* MERGEFORMAT </w:instrText>
      </w:r>
      <w:r w:rsidR="008A285B">
        <w:fldChar w:fldCharType="separate"/>
      </w:r>
      <w:r w:rsidR="00B11F3B" w:rsidRPr="00A40CD0">
        <w:t xml:space="preserve">Table </w:t>
      </w:r>
      <w:r w:rsidR="00B11F3B">
        <w:t>37</w:t>
      </w:r>
      <w:r w:rsidR="008A285B">
        <w:fldChar w:fldCharType="end"/>
      </w:r>
      <w:r w:rsidR="003A269D" w:rsidRPr="00A40CD0">
        <w:t>).</w:t>
      </w:r>
      <w:r w:rsidR="00313C4A">
        <w:t xml:space="preserve"> </w:t>
      </w:r>
      <w:r w:rsidR="003A269D" w:rsidRPr="00A40CD0">
        <w:t>The mean CHL values the Guidelines values for 97% of the Open Coastal area in the dry season and 96 % in the wet season. The dry season EG for CHL occurred in 99 % of the Midshelf and 29% of the Offshore areas (</w:t>
      </w:r>
      <w:r w:rsidR="00EA2F38">
        <w:fldChar w:fldCharType="begin"/>
      </w:r>
      <w:r w:rsidR="00D90A4A">
        <w:instrText xml:space="preserve"> REF _Ref247857706 \h </w:instrText>
      </w:r>
      <w:r w:rsidR="00EA2F38">
        <w:fldChar w:fldCharType="separate"/>
      </w:r>
      <w:r w:rsidR="00B11F3B" w:rsidRPr="00A40CD0">
        <w:t xml:space="preserve">Figure </w:t>
      </w:r>
      <w:r w:rsidR="00B11F3B">
        <w:rPr>
          <w:noProof/>
        </w:rPr>
        <w:t>89</w:t>
      </w:r>
      <w:r w:rsidR="00EA2F38">
        <w:fldChar w:fldCharType="end"/>
      </w:r>
      <w:r w:rsidR="003A269D" w:rsidRPr="00A40CD0">
        <w:t xml:space="preserve">, </w:t>
      </w:r>
      <w:r w:rsidR="00EA2F38">
        <w:fldChar w:fldCharType="begin"/>
      </w:r>
      <w:r w:rsidR="00D90A4A">
        <w:instrText xml:space="preserve"> REF _Ref258848035 \h </w:instrText>
      </w:r>
      <w:r w:rsidR="00EA2F38">
        <w:fldChar w:fldCharType="separate"/>
      </w:r>
      <w:r w:rsidR="00B11F3B" w:rsidRPr="00A40CD0">
        <w:t xml:space="preserve">Table </w:t>
      </w:r>
      <w:r w:rsidR="00B11F3B">
        <w:rPr>
          <w:noProof/>
        </w:rPr>
        <w:t>38</w:t>
      </w:r>
      <w:r w:rsidR="00EA2F38">
        <w:fldChar w:fldCharType="end"/>
      </w:r>
      <w:r w:rsidR="003A269D" w:rsidRPr="00A40CD0">
        <w:t>). Similar exceedance extents were retrieved for EF &gt;0.50, i.e. if the median was used for the assessment (</w:t>
      </w:r>
      <w:r w:rsidR="00EA2F38">
        <w:fldChar w:fldCharType="begin"/>
      </w:r>
      <w:r w:rsidR="00D90A4A">
        <w:instrText xml:space="preserve"> REF _Ref247857707 \h </w:instrText>
      </w:r>
      <w:r w:rsidR="00EA2F38">
        <w:fldChar w:fldCharType="separate"/>
      </w:r>
      <w:r w:rsidR="00B11F3B" w:rsidRPr="00A40CD0">
        <w:t xml:space="preserve">Figure </w:t>
      </w:r>
      <w:r w:rsidR="00B11F3B">
        <w:rPr>
          <w:noProof/>
        </w:rPr>
        <w:t>90</w:t>
      </w:r>
      <w:r w:rsidR="00EA2F38">
        <w:fldChar w:fldCharType="end"/>
      </w:r>
      <w:r w:rsidR="003A269D" w:rsidRPr="00A40CD0">
        <w:t xml:space="preserve">, </w:t>
      </w:r>
      <w:r w:rsidR="00EA2F38">
        <w:fldChar w:fldCharType="begin"/>
      </w:r>
      <w:r w:rsidR="00D90A4A">
        <w:instrText xml:space="preserve"> REF _Ref258848034 \h </w:instrText>
      </w:r>
      <w:r w:rsidR="00EA2F38">
        <w:fldChar w:fldCharType="separate"/>
      </w:r>
      <w:r w:rsidR="00B11F3B" w:rsidRPr="00A40CD0">
        <w:t xml:space="preserve">Table </w:t>
      </w:r>
      <w:r w:rsidR="00B11F3B">
        <w:rPr>
          <w:noProof/>
        </w:rPr>
        <w:t>37</w:t>
      </w:r>
      <w:r w:rsidR="00EA2F38">
        <w:fldChar w:fldCharType="end"/>
      </w:r>
      <w:r w:rsidR="003A269D" w:rsidRPr="00A40CD0">
        <w:t xml:space="preserve">, </w:t>
      </w:r>
      <w:r w:rsidR="00EA2F38">
        <w:fldChar w:fldCharType="begin"/>
      </w:r>
      <w:r w:rsidR="00D90A4A">
        <w:instrText xml:space="preserve"> REF _Ref258848035 \h </w:instrText>
      </w:r>
      <w:r w:rsidR="00EA2F38">
        <w:fldChar w:fldCharType="separate"/>
      </w:r>
      <w:r w:rsidR="00B11F3B" w:rsidRPr="00A40CD0">
        <w:t xml:space="preserve">Table </w:t>
      </w:r>
      <w:r w:rsidR="00B11F3B">
        <w:rPr>
          <w:noProof/>
        </w:rPr>
        <w:t>38</w:t>
      </w:r>
      <w:r w:rsidR="00EA2F38">
        <w:fldChar w:fldCharType="end"/>
      </w:r>
      <w:r w:rsidR="003A269D" w:rsidRPr="00A40CD0">
        <w:t>). The mean values of TSS exceeded the Guidelines values for 15 % of the Open Coastal area in the dry seaso</w:t>
      </w:r>
      <w:r w:rsidR="00D55147">
        <w:t>n and for 26% in the wet season. N</w:t>
      </w:r>
      <w:r w:rsidR="003A269D" w:rsidRPr="00A40CD0">
        <w:t>o exceedance was estimated for</w:t>
      </w:r>
      <w:r w:rsidR="00D55147">
        <w:t xml:space="preserve"> TSS in</w:t>
      </w:r>
      <w:r w:rsidR="003A269D" w:rsidRPr="00A40CD0">
        <w:t xml:space="preserve"> the Midshelf area, while for the Offshore area </w:t>
      </w:r>
      <w:r w:rsidR="00D55147">
        <w:t>a REEG of 24%</w:t>
      </w:r>
      <w:r w:rsidR="003A269D" w:rsidRPr="00A40CD0">
        <w:t xml:space="preserve"> </w:t>
      </w:r>
      <w:r w:rsidR="00D55147">
        <w:t xml:space="preserve">was recorded </w:t>
      </w:r>
      <w:r w:rsidR="003A269D" w:rsidRPr="00A40CD0">
        <w:t>in the dry season (</w:t>
      </w:r>
      <w:r w:rsidR="00EA2F38">
        <w:fldChar w:fldCharType="begin"/>
      </w:r>
      <w:r w:rsidR="00D90A4A">
        <w:instrText xml:space="preserve"> REF _Ref247857710 \h </w:instrText>
      </w:r>
      <w:r w:rsidR="00EA2F38">
        <w:fldChar w:fldCharType="separate"/>
      </w:r>
      <w:r w:rsidR="00B11F3B" w:rsidRPr="00A40CD0">
        <w:t xml:space="preserve">Figure </w:t>
      </w:r>
      <w:r w:rsidR="00B11F3B">
        <w:rPr>
          <w:noProof/>
        </w:rPr>
        <w:t>92</w:t>
      </w:r>
      <w:r w:rsidR="00EA2F38">
        <w:fldChar w:fldCharType="end"/>
      </w:r>
      <w:r w:rsidR="003A269D" w:rsidRPr="00A40CD0">
        <w:t xml:space="preserve"> , and </w:t>
      </w:r>
      <w:r w:rsidR="00EA2F38">
        <w:fldChar w:fldCharType="begin"/>
      </w:r>
      <w:r w:rsidR="00D90A4A">
        <w:instrText xml:space="preserve"> REF _Ref248514728 \h </w:instrText>
      </w:r>
      <w:r w:rsidR="00EA2F38">
        <w:fldChar w:fldCharType="separate"/>
      </w:r>
      <w:r w:rsidR="00B11F3B" w:rsidRPr="00A40CD0">
        <w:t xml:space="preserve">Table </w:t>
      </w:r>
      <w:r w:rsidR="00B11F3B">
        <w:rPr>
          <w:noProof/>
        </w:rPr>
        <w:t>39</w:t>
      </w:r>
      <w:r w:rsidR="00EA2F38">
        <w:fldChar w:fldCharType="end"/>
      </w:r>
      <w:r w:rsidR="003A269D" w:rsidRPr="00A40CD0">
        <w:t xml:space="preserve">). </w:t>
      </w:r>
    </w:p>
    <w:p w:rsidR="003A269D" w:rsidRPr="00A40CD0" w:rsidRDefault="003A269D" w:rsidP="002E0BD6">
      <w:pPr>
        <w:pStyle w:val="BodyText"/>
      </w:pPr>
      <w:r w:rsidRPr="00A40CD0">
        <w:t>Similarly to the other reporting regions</w:t>
      </w:r>
      <w:r w:rsidR="00770F40">
        <w:t>,</w:t>
      </w:r>
      <w:r w:rsidRPr="00A40CD0">
        <w:t xml:space="preserve"> the spatial patterns in exceedance for both variables (</w:t>
      </w:r>
      <w:r w:rsidR="00EA2F38">
        <w:fldChar w:fldCharType="begin"/>
      </w:r>
      <w:r w:rsidR="00AA2009">
        <w:instrText xml:space="preserve"> REF _Ref321226735 \h </w:instrText>
      </w:r>
      <w:r w:rsidR="00EA2F38">
        <w:fldChar w:fldCharType="separate"/>
      </w:r>
      <w:r w:rsidR="00B11F3B" w:rsidRPr="00A40CD0">
        <w:t xml:space="preserve">Figure </w:t>
      </w:r>
      <w:r w:rsidR="00B11F3B">
        <w:rPr>
          <w:noProof/>
        </w:rPr>
        <w:t>88</w:t>
      </w:r>
      <w:r w:rsidR="00EA2F38">
        <w:fldChar w:fldCharType="end"/>
      </w:r>
      <w:r w:rsidRPr="00A40CD0">
        <w:t xml:space="preserve"> </w:t>
      </w:r>
      <w:r w:rsidR="008A285B">
        <w:fldChar w:fldCharType="begin"/>
      </w:r>
      <w:r w:rsidR="008A285B">
        <w:instrText xml:space="preserve"> REF _Ref247857707 \h  \* MERGEFORMAT </w:instrText>
      </w:r>
      <w:r w:rsidR="008A285B">
        <w:fldChar w:fldCharType="separate"/>
      </w:r>
      <w:r w:rsidR="00B11F3B" w:rsidRPr="00A40CD0">
        <w:t xml:space="preserve">Figure </w:t>
      </w:r>
      <w:r w:rsidR="00B11F3B">
        <w:t>90</w:t>
      </w:r>
      <w:r w:rsidR="008A285B">
        <w:fldChar w:fldCharType="end"/>
      </w:r>
      <w:r w:rsidRPr="00A40CD0">
        <w:t>) were affected by the coastal to offshore gradients observed in the median maps (</w:t>
      </w:r>
      <w:r w:rsidR="008A285B">
        <w:fldChar w:fldCharType="begin"/>
      </w:r>
      <w:r w:rsidR="008A285B">
        <w:instrText xml:space="preserve"> REF _Ref247856891 \h  \* MERGEFORMAT </w:instrText>
      </w:r>
      <w:r w:rsidR="008A285B">
        <w:fldChar w:fldCharType="separate"/>
      </w:r>
      <w:r w:rsidR="00B11F3B" w:rsidRPr="00A40CD0">
        <w:t xml:space="preserve">Figure </w:t>
      </w:r>
      <w:r w:rsidR="00B11F3B">
        <w:t>85</w:t>
      </w:r>
      <w:r w:rsidR="008A285B">
        <w:fldChar w:fldCharType="end"/>
      </w:r>
      <w:r w:rsidRPr="00A40CD0">
        <w:t xml:space="preserve">, </w:t>
      </w:r>
      <w:r w:rsidR="008A285B">
        <w:fldChar w:fldCharType="begin"/>
      </w:r>
      <w:r w:rsidR="008A285B">
        <w:instrText xml:space="preserve"> REF _Ref247857683 \h  \* MERGEFORMAT </w:instrText>
      </w:r>
      <w:r w:rsidR="008A285B">
        <w:fldChar w:fldCharType="separate"/>
      </w:r>
      <w:r w:rsidR="00B11F3B" w:rsidRPr="00A40CD0">
        <w:t xml:space="preserve">Figure </w:t>
      </w:r>
      <w:r w:rsidR="00B11F3B">
        <w:t>86</w:t>
      </w:r>
      <w:r w:rsidR="008A285B">
        <w:fldChar w:fldCharType="end"/>
      </w:r>
      <w:r w:rsidRPr="00A40CD0">
        <w:t>) and by the steep changes in trigger values between the Midshelf and Offshore areas.</w:t>
      </w:r>
    </w:p>
    <w:p w:rsidR="00C908C7" w:rsidRPr="00A40CD0" w:rsidRDefault="00C908C7" w:rsidP="00C908C7">
      <w:pPr>
        <w:pStyle w:val="Caption"/>
      </w:pPr>
    </w:p>
    <w:p w:rsidR="00C908C7" w:rsidRPr="00A40CD0" w:rsidRDefault="00AC3EFC" w:rsidP="00C908C7">
      <w:pPr>
        <w:pStyle w:val="Caption"/>
      </w:pPr>
      <w:r w:rsidRPr="00AC3EFC">
        <w:rPr>
          <w:noProof/>
        </w:rPr>
        <w:lastRenderedPageBreak/>
        <w:drawing>
          <wp:inline distT="0" distB="0" distL="0" distR="0">
            <wp:extent cx="5759450" cy="3525102"/>
            <wp:effectExtent l="0" t="0" r="6350" b="5715"/>
            <wp:docPr id="28" name="Picture 22" descr="Paddock to Reef marine water quality index (P2R_WQI) and component scores (P2R_CHL and P2R_TSS) for the Mary Burnett region based on the assessment of exceedance to the Guid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0" cstate="email">
                      <a:extLst>
                        <a:ext uri="{28A0092B-C50C-407E-A947-70E740481C1C}">
                          <a14:useLocalDpi xmlns:a14="http://schemas.microsoft.com/office/drawing/2010/main"/>
                        </a:ext>
                      </a:extLst>
                    </a:blip>
                    <a:srcRect/>
                    <a:stretch>
                      <a:fillRect/>
                    </a:stretch>
                  </pic:blipFill>
                  <pic:spPr bwMode="auto">
                    <a:xfrm>
                      <a:off x="0" y="0"/>
                      <a:ext cx="5759450" cy="3525102"/>
                    </a:xfrm>
                    <a:prstGeom prst="rect">
                      <a:avLst/>
                    </a:prstGeom>
                    <a:noFill/>
                    <a:ln>
                      <a:noFill/>
                    </a:ln>
                  </pic:spPr>
                </pic:pic>
              </a:graphicData>
            </a:graphic>
          </wp:inline>
        </w:drawing>
      </w:r>
    </w:p>
    <w:p w:rsidR="00C908C7" w:rsidRPr="00A40CD0" w:rsidRDefault="00C908C7" w:rsidP="00C908C7">
      <w:pPr>
        <w:pStyle w:val="Caption"/>
      </w:pPr>
      <w:bookmarkStart w:id="488" w:name="_Ref321320470"/>
      <w:bookmarkStart w:id="489" w:name="_Toc228588363"/>
      <w:bookmarkStart w:id="490" w:name="_Toc399265069"/>
      <w:r w:rsidRPr="00A40CD0">
        <w:t xml:space="preserve">Figure </w:t>
      </w:r>
      <w:r w:rsidR="00EA2F38">
        <w:fldChar w:fldCharType="begin"/>
      </w:r>
      <w:r w:rsidR="00933C8B">
        <w:instrText xml:space="preserve"> SEQ Figure \* ARABIC </w:instrText>
      </w:r>
      <w:r w:rsidR="00EA2F38">
        <w:fldChar w:fldCharType="separate"/>
      </w:r>
      <w:r w:rsidR="00B11F3B">
        <w:rPr>
          <w:noProof/>
        </w:rPr>
        <w:t>83</w:t>
      </w:r>
      <w:r w:rsidR="00EA2F38">
        <w:fldChar w:fldCharType="end"/>
      </w:r>
      <w:bookmarkEnd w:id="488"/>
      <w:r w:rsidRPr="00A40CD0">
        <w:t xml:space="preserve">. Paddock to Reef marine water quality index (P2R_WQI) and component scores (P2R_CHL and P2R_TSS) for the </w:t>
      </w:r>
      <w:r w:rsidR="00286F43" w:rsidRPr="00A40CD0">
        <w:t>Mary Burnett</w:t>
      </w:r>
      <w:r w:rsidRPr="00A40CD0">
        <w:t xml:space="preserve"> region based on the assessment of exceedance to the Guidelines.</w:t>
      </w:r>
      <w:bookmarkEnd w:id="489"/>
      <w:bookmarkEnd w:id="490"/>
    </w:p>
    <w:p w:rsidR="00B25CAA" w:rsidRPr="00A40CD0" w:rsidRDefault="00EA2F38" w:rsidP="002E0BD6">
      <w:pPr>
        <w:pStyle w:val="BodyText"/>
      </w:pPr>
      <w:r>
        <w:fldChar w:fldCharType="begin"/>
      </w:r>
      <w:r w:rsidR="00D90A4A">
        <w:instrText xml:space="preserve"> REF _Ref248514729 \h </w:instrText>
      </w:r>
      <w:r>
        <w:fldChar w:fldCharType="separate"/>
      </w:r>
      <w:r w:rsidR="00B11F3B" w:rsidRPr="00A40CD0">
        <w:t xml:space="preserve">Table </w:t>
      </w:r>
      <w:r w:rsidR="00B11F3B">
        <w:rPr>
          <w:noProof/>
        </w:rPr>
        <w:t>40</w:t>
      </w:r>
      <w:r>
        <w:fldChar w:fldCharType="end"/>
      </w:r>
      <w:r w:rsidR="00B25CAA" w:rsidRPr="00A40CD0">
        <w:t xml:space="preserve"> and </w:t>
      </w:r>
      <w:r>
        <w:fldChar w:fldCharType="begin"/>
      </w:r>
      <w:r w:rsidR="00D90A4A">
        <w:instrText xml:space="preserve"> REF _Ref248514730 \h </w:instrText>
      </w:r>
      <w:r>
        <w:fldChar w:fldCharType="separate"/>
      </w:r>
      <w:r w:rsidR="00B11F3B" w:rsidRPr="00A40CD0">
        <w:t xml:space="preserve">Table </w:t>
      </w:r>
      <w:r w:rsidR="00B11F3B">
        <w:rPr>
          <w:noProof/>
        </w:rPr>
        <w:t>41</w:t>
      </w:r>
      <w:r>
        <w:fldChar w:fldCharType="end"/>
      </w:r>
      <w:r w:rsidR="00B25CAA" w:rsidRPr="00A40CD0">
        <w:t xml:space="preserve"> report the summary o</w:t>
      </w:r>
      <w:r w:rsidR="00283476">
        <w:t>f exceedance for both variables</w:t>
      </w:r>
      <w:r w:rsidR="00B25CAA" w:rsidRPr="00A40CD0">
        <w:t>, providing mean and median concentrations computed on all the valid observations for each water body for each season, along with the EFEF for that period. These metrics are based on a high number of observations (ranging from 17 thousands valid observations for Open Coastal area in the wet season to over 1.4 million for the Offshore area in the dry season). According to these metrics both the mean and the median CHL values exceeded the Guidelines values for the Open Coastal area in both seasons, and for the Midshelf in the dry season, while no exceedance were estimated for the mean TSS values. As observed for all the reporting regions the mean and median values for the TSS concentration differed substantially (for all areas and seasons). The mean values were ~ 2-3 times higher than medians.</w:t>
      </w:r>
    </w:p>
    <w:p w:rsidR="00B25CAA" w:rsidRPr="00A40CD0" w:rsidRDefault="00B25CAA">
      <w:pPr>
        <w:rPr>
          <w:rFonts w:ascii="Times New Roman" w:hAnsi="Times New Roman"/>
          <w:szCs w:val="20"/>
          <w:lang w:eastAsia="en-US"/>
        </w:rPr>
      </w:pPr>
      <w:r w:rsidRPr="00A40CD0">
        <w:br w:type="page"/>
      </w:r>
    </w:p>
    <w:p w:rsidR="00B25CAA" w:rsidRPr="00A40CD0" w:rsidRDefault="00B25CAA" w:rsidP="002E0BD6">
      <w:pPr>
        <w:pStyle w:val="BodyText"/>
      </w:pPr>
    </w:p>
    <w:p w:rsidR="00B25CAA" w:rsidRPr="00A40CD0" w:rsidRDefault="00B25CAA" w:rsidP="004F4DDE">
      <w:pPr>
        <w:pStyle w:val="Caption"/>
      </w:pPr>
      <w:bookmarkStart w:id="491" w:name="_Ref258848034"/>
      <w:bookmarkStart w:id="492" w:name="_Toc228588262"/>
      <w:bookmarkStart w:id="493" w:name="_Toc399264966"/>
      <w:bookmarkStart w:id="494" w:name="_Ref248215905"/>
      <w:r w:rsidRPr="00A40CD0">
        <w:t xml:space="preserve">Table </w:t>
      </w:r>
      <w:fldSimple w:instr=" SEQ Table \* ARABIC ">
        <w:r w:rsidR="00B11F3B">
          <w:rPr>
            <w:noProof/>
          </w:rPr>
          <w:t>37</w:t>
        </w:r>
      </w:fldSimple>
      <w:bookmarkEnd w:id="491"/>
      <w:r w:rsidRPr="00A40CD0">
        <w:t xml:space="preserve"> Summary of the annual exceedance maps for Chlorophyll-a and Total Suspended Solids for the Mary-Burnett region. "Surface Area" is the surface area in square kilometres for each of the three reporting water bodies </w:t>
      </w:r>
      <w:r w:rsidR="00193A93">
        <w:t xml:space="preserve">for this region: (EC: Enclosed Coastal, OC: Open Coastal, IS: Inshore, MS: Midshelf, OS: Offshore), </w:t>
      </w:r>
      <w:r w:rsidRPr="00A40CD0">
        <w:t>, “Number valid obs." is the number of pixels with valid observations (i.e. cloud-free and error-free pixels), "Number total obs." provides the total number of observations, "Mean &gt; trigger" and "Median &gt; trigger" report the relative area for each water body where the mean or the median exceeded the trigger value.</w:t>
      </w:r>
      <w:bookmarkEnd w:id="492"/>
      <w:bookmarkEnd w:id="493"/>
    </w:p>
    <w:tbl>
      <w:tblPr>
        <w:tblStyle w:val="TableGrid"/>
        <w:tblW w:w="0" w:type="auto"/>
        <w:tblLook w:val="04A0" w:firstRow="1" w:lastRow="0" w:firstColumn="1" w:lastColumn="0" w:noHBand="0" w:noVBand="1"/>
      </w:tblPr>
      <w:tblGrid>
        <w:gridCol w:w="534"/>
        <w:gridCol w:w="1112"/>
        <w:gridCol w:w="1387"/>
        <w:gridCol w:w="1423"/>
        <w:gridCol w:w="1145"/>
        <w:gridCol w:w="1270"/>
        <w:gridCol w:w="1145"/>
        <w:gridCol w:w="1270"/>
      </w:tblGrid>
      <w:tr w:rsidR="00F20F80" w:rsidRPr="009E5DAC" w:rsidTr="00F20F80">
        <w:tc>
          <w:tcPr>
            <w:tcW w:w="0" w:type="auto"/>
          </w:tcPr>
          <w:p w:rsidR="00F20F80" w:rsidRPr="009E5DAC" w:rsidRDefault="00F20F80" w:rsidP="003E6AED">
            <w:pPr>
              <w:pStyle w:val="PlainText"/>
              <w:rPr>
                <w:rFonts w:ascii="Times New Roman" w:hAnsi="Times New Roman"/>
                <w:sz w:val="22"/>
                <w:szCs w:val="22"/>
              </w:rPr>
            </w:pPr>
          </w:p>
        </w:tc>
        <w:tc>
          <w:tcPr>
            <w:tcW w:w="0" w:type="auto"/>
          </w:tcPr>
          <w:p w:rsidR="00F20F80" w:rsidRPr="009E5DAC" w:rsidRDefault="00F20F80" w:rsidP="003E6AED">
            <w:pPr>
              <w:pStyle w:val="PlainText"/>
              <w:rPr>
                <w:rFonts w:ascii="Times New Roman" w:hAnsi="Times New Roman"/>
                <w:sz w:val="22"/>
                <w:szCs w:val="22"/>
              </w:rPr>
            </w:pPr>
          </w:p>
        </w:tc>
        <w:tc>
          <w:tcPr>
            <w:tcW w:w="0" w:type="auto"/>
            <w:gridSpan w:val="2"/>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01-May-2011_30-Apr-2012</w:t>
            </w:r>
          </w:p>
        </w:tc>
        <w:tc>
          <w:tcPr>
            <w:tcW w:w="0" w:type="auto"/>
            <w:gridSpan w:val="2"/>
          </w:tcPr>
          <w:p w:rsidR="00F20F80" w:rsidRPr="00A40CD0" w:rsidRDefault="00F20F80" w:rsidP="002E0BD6">
            <w:pPr>
              <w:pStyle w:val="BodyText"/>
            </w:pPr>
            <w:r w:rsidRPr="00A40CD0">
              <w:t>Chlorophyll-a</w:t>
            </w:r>
          </w:p>
        </w:tc>
        <w:tc>
          <w:tcPr>
            <w:tcW w:w="0" w:type="auto"/>
            <w:gridSpan w:val="2"/>
            <w:vAlign w:val="bottom"/>
          </w:tcPr>
          <w:p w:rsidR="00F20F80" w:rsidRPr="00A40CD0" w:rsidRDefault="00F20F80" w:rsidP="002E0BD6">
            <w:pPr>
              <w:pStyle w:val="BodyText"/>
            </w:pPr>
            <w:r w:rsidRPr="00A40CD0">
              <w:t>Total Suspended Solids</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154</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11173</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56210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599</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55211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218635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r>
      <w:tr w:rsidR="00F20F80" w:rsidRPr="009E5DAC" w:rsidTr="00F20F80">
        <w:tc>
          <w:tcPr>
            <w:tcW w:w="0" w:type="auto"/>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753</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66384</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274845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63%</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3401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305469</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1241365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r>
      <w:tr w:rsidR="00F20F80" w:rsidRPr="009E5DAC" w:rsidTr="00F20F80">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33928</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1850546</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12383720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0" w:type="auto"/>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CF5FF1"/>
    <w:p w:rsidR="00B25CAA" w:rsidRPr="00A40CD0" w:rsidRDefault="00B25CAA" w:rsidP="004F4DDE">
      <w:pPr>
        <w:pStyle w:val="Caption"/>
      </w:pPr>
      <w:bookmarkStart w:id="495" w:name="_Ref258848035"/>
      <w:bookmarkStart w:id="496" w:name="_Toc228588263"/>
      <w:bookmarkStart w:id="497" w:name="_Toc399264967"/>
      <w:r w:rsidRPr="00A40CD0">
        <w:t xml:space="preserve">Table </w:t>
      </w:r>
      <w:fldSimple w:instr=" SEQ Table \* ARABIC ">
        <w:r w:rsidR="00B11F3B">
          <w:rPr>
            <w:noProof/>
          </w:rPr>
          <w:t>38</w:t>
        </w:r>
      </w:fldSimple>
      <w:bookmarkEnd w:id="494"/>
      <w:bookmarkEnd w:id="495"/>
      <w:r w:rsidRPr="00A40CD0">
        <w:t xml:space="preserve"> Summary of the exceedance maps for Chlorophyll-a for the dry and wet season for the Burnett Mary region (</w:t>
      </w:r>
      <w:r w:rsidR="008A285B">
        <w:fldChar w:fldCharType="begin"/>
      </w:r>
      <w:r w:rsidR="008A285B">
        <w:instrText xml:space="preserve"> REF _Ref247857706 \h  \* MERGEFORMAT </w:instrText>
      </w:r>
      <w:r w:rsidR="008A285B">
        <w:fldChar w:fldCharType="separate"/>
      </w:r>
      <w:r w:rsidR="00B11F3B" w:rsidRPr="00A40CD0">
        <w:t xml:space="preserve">Figure </w:t>
      </w:r>
      <w:r w:rsidR="00B11F3B">
        <w:t>89</w:t>
      </w:r>
      <w:r w:rsidR="008A285B">
        <w:fldChar w:fldCharType="end"/>
      </w:r>
      <w:r w:rsidRPr="00A40CD0">
        <w:t xml:space="preserve">, </w:t>
      </w:r>
      <w:r w:rsidR="008A285B">
        <w:fldChar w:fldCharType="begin"/>
      </w:r>
      <w:r w:rsidR="008A285B">
        <w:instrText xml:space="preserve"> REF _Ref247857707 \h  \* MERGEFORMAT </w:instrText>
      </w:r>
      <w:r w:rsidR="008A285B">
        <w:fldChar w:fldCharType="separate"/>
      </w:r>
      <w:r w:rsidR="00B11F3B" w:rsidRPr="00A40CD0">
        <w:t xml:space="preserve">Figure </w:t>
      </w:r>
      <w:r w:rsidR="00B11F3B">
        <w:t>90</w:t>
      </w:r>
      <w:r w:rsidR="008A285B">
        <w:fldChar w:fldCharType="end"/>
      </w:r>
      <w:r w:rsidRPr="00A40CD0">
        <w:t xml:space="preserve">). Column and row labels are described in the legend of </w:t>
      </w:r>
      <w:r w:rsidR="00EA2F38" w:rsidRPr="00A40CD0">
        <w:fldChar w:fldCharType="begin"/>
      </w:r>
      <w:r w:rsidRPr="00A40CD0">
        <w:instrText xml:space="preserve"> REF _Ref258848034 \h </w:instrText>
      </w:r>
      <w:r w:rsidR="00EA2F38" w:rsidRPr="00A40CD0">
        <w:fldChar w:fldCharType="separate"/>
      </w:r>
      <w:r w:rsidR="00B11F3B" w:rsidRPr="00A40CD0">
        <w:t xml:space="preserve">Table </w:t>
      </w:r>
      <w:r w:rsidR="00B11F3B">
        <w:rPr>
          <w:noProof/>
        </w:rPr>
        <w:t>37</w:t>
      </w:r>
      <w:r w:rsidR="00EA2F38" w:rsidRPr="00A40CD0">
        <w:fldChar w:fldCharType="end"/>
      </w:r>
      <w:r w:rsidRPr="00A40CD0">
        <w:t>.</w:t>
      </w:r>
      <w:bookmarkEnd w:id="496"/>
      <w:bookmarkEnd w:id="497"/>
    </w:p>
    <w:tbl>
      <w:tblPr>
        <w:tblStyle w:val="TableGrid"/>
        <w:tblW w:w="0" w:type="auto"/>
        <w:tblLook w:val="04A0" w:firstRow="1" w:lastRow="0" w:firstColumn="1" w:lastColumn="0" w:noHBand="0" w:noVBand="1"/>
      </w:tblPr>
      <w:tblGrid>
        <w:gridCol w:w="859"/>
        <w:gridCol w:w="901"/>
        <w:gridCol w:w="1044"/>
        <w:gridCol w:w="986"/>
        <w:gridCol w:w="836"/>
        <w:gridCol w:w="902"/>
        <w:gridCol w:w="1033"/>
        <w:gridCol w:w="986"/>
        <w:gridCol w:w="837"/>
        <w:gridCol w:w="902"/>
      </w:tblGrid>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p>
        </w:tc>
        <w:tc>
          <w:tcPr>
            <w:tcW w:w="905" w:type="dxa"/>
          </w:tcPr>
          <w:p w:rsidR="00F20F80" w:rsidRPr="009E5DAC" w:rsidRDefault="00F20F80" w:rsidP="003E6AED">
            <w:pPr>
              <w:pStyle w:val="PlainText"/>
              <w:rPr>
                <w:rFonts w:ascii="Times New Roman" w:hAnsi="Times New Roman"/>
                <w:sz w:val="22"/>
                <w:szCs w:val="22"/>
              </w:rPr>
            </w:pPr>
          </w:p>
        </w:tc>
        <w:tc>
          <w:tcPr>
            <w:tcW w:w="3798"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799"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7263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26950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49%</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3910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29260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34726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104825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99%</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20485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113810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98%</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97%</w:t>
            </w:r>
          </w:p>
        </w:tc>
      </w:tr>
      <w:tr w:rsidR="00F20F80" w:rsidRPr="009E5DAC" w:rsidTr="003E6AED">
        <w:tc>
          <w:tcPr>
            <w:tcW w:w="951"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41989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131775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89%</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24395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143070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83%</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81%</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3401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188873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595175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19%</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12%</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116596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646190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w:t>
            </w:r>
          </w:p>
        </w:tc>
      </w:tr>
      <w:tr w:rsidR="00F20F80" w:rsidRPr="009E5DAC" w:rsidTr="003E6AED">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33928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1164131</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5937400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686415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6446320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Default="00B25CAA" w:rsidP="002E0BD6">
      <w:pPr>
        <w:pStyle w:val="BodyText"/>
      </w:pPr>
    </w:p>
    <w:p w:rsidR="000672E5" w:rsidRDefault="000672E5" w:rsidP="002E0BD6">
      <w:pPr>
        <w:pStyle w:val="BodyText"/>
      </w:pPr>
    </w:p>
    <w:p w:rsidR="000672E5" w:rsidRDefault="000672E5" w:rsidP="002E0BD6">
      <w:pPr>
        <w:pStyle w:val="BodyText"/>
      </w:pPr>
    </w:p>
    <w:p w:rsidR="000672E5" w:rsidRPr="00A40CD0" w:rsidRDefault="000672E5" w:rsidP="002E0BD6">
      <w:pPr>
        <w:pStyle w:val="BodyText"/>
      </w:pPr>
    </w:p>
    <w:p w:rsidR="00B25CAA" w:rsidRPr="00A40CD0" w:rsidRDefault="00B25CAA" w:rsidP="004F4DDE">
      <w:pPr>
        <w:pStyle w:val="Caption"/>
      </w:pPr>
      <w:bookmarkStart w:id="498" w:name="_Ref248514728"/>
      <w:bookmarkStart w:id="499" w:name="_Toc228588264"/>
      <w:bookmarkStart w:id="500" w:name="_Toc399264968"/>
      <w:r w:rsidRPr="00A40CD0">
        <w:lastRenderedPageBreak/>
        <w:t xml:space="preserve">Table </w:t>
      </w:r>
      <w:fldSimple w:instr=" SEQ Table \* ARABIC ">
        <w:r w:rsidR="00B11F3B">
          <w:rPr>
            <w:noProof/>
          </w:rPr>
          <w:t>39</w:t>
        </w:r>
      </w:fldSimple>
      <w:bookmarkEnd w:id="498"/>
      <w:r w:rsidRPr="00A40CD0">
        <w:t xml:space="preserve"> Summary of the exceedance maps for Non-algal particulate matter (NAP as a measure of TSS)  for the dry and wet season for the Burnett Mary region (</w:t>
      </w:r>
      <w:r w:rsidR="008A285B">
        <w:fldChar w:fldCharType="begin"/>
      </w:r>
      <w:r w:rsidR="008A285B">
        <w:instrText xml:space="preserve"> REF _Ref247857709 \h  \* MERGEFORMAT </w:instrText>
      </w:r>
      <w:r w:rsidR="008A285B">
        <w:fldChar w:fldCharType="separate"/>
      </w:r>
      <w:r w:rsidR="00B11F3B" w:rsidRPr="00A40CD0">
        <w:t xml:space="preserve">Figure </w:t>
      </w:r>
      <w:r w:rsidR="00B11F3B">
        <w:t>91</w:t>
      </w:r>
      <w:r w:rsidR="008A285B">
        <w:fldChar w:fldCharType="end"/>
      </w:r>
      <w:r w:rsidRPr="00A40CD0">
        <w:t xml:space="preserve">, </w:t>
      </w:r>
      <w:r w:rsidR="008A285B">
        <w:fldChar w:fldCharType="begin"/>
      </w:r>
      <w:r w:rsidR="008A285B">
        <w:instrText xml:space="preserve"> REF _Ref247857710 \h  \* MERGEFORMAT </w:instrText>
      </w:r>
      <w:r w:rsidR="008A285B">
        <w:fldChar w:fldCharType="separate"/>
      </w:r>
      <w:r w:rsidR="00B11F3B" w:rsidRPr="00A40CD0">
        <w:t xml:space="preserve">Figure </w:t>
      </w:r>
      <w:r w:rsidR="00B11F3B">
        <w:t>92</w:t>
      </w:r>
      <w:r w:rsidR="008A285B">
        <w:fldChar w:fldCharType="end"/>
      </w:r>
      <w:r w:rsidRPr="00A40CD0">
        <w:t xml:space="preserve">).  Column and row labels are described in the legend of </w:t>
      </w:r>
      <w:r w:rsidR="00EA2F38" w:rsidRPr="00A40CD0">
        <w:fldChar w:fldCharType="begin"/>
      </w:r>
      <w:r w:rsidRPr="00A40CD0">
        <w:instrText xml:space="preserve"> REF _Ref258848034 \h </w:instrText>
      </w:r>
      <w:r w:rsidR="00EA2F38" w:rsidRPr="00A40CD0">
        <w:fldChar w:fldCharType="separate"/>
      </w:r>
      <w:r w:rsidR="00B11F3B" w:rsidRPr="00A40CD0">
        <w:t xml:space="preserve">Table </w:t>
      </w:r>
      <w:r w:rsidR="00B11F3B">
        <w:rPr>
          <w:noProof/>
        </w:rPr>
        <w:t>37</w:t>
      </w:r>
      <w:r w:rsidR="00EA2F38" w:rsidRPr="00A40CD0">
        <w:fldChar w:fldCharType="end"/>
      </w:r>
      <w:r w:rsidRPr="00A40CD0">
        <w:t>.</w:t>
      </w:r>
      <w:bookmarkEnd w:id="499"/>
      <w:bookmarkEnd w:id="500"/>
    </w:p>
    <w:tbl>
      <w:tblPr>
        <w:tblStyle w:val="TableGrid"/>
        <w:tblW w:w="9453" w:type="dxa"/>
        <w:tblLook w:val="04A0" w:firstRow="1" w:lastRow="0" w:firstColumn="1" w:lastColumn="0" w:noHBand="0" w:noVBand="1"/>
      </w:tblPr>
      <w:tblGrid>
        <w:gridCol w:w="951"/>
        <w:gridCol w:w="905"/>
        <w:gridCol w:w="1060"/>
        <w:gridCol w:w="986"/>
        <w:gridCol w:w="846"/>
        <w:gridCol w:w="906"/>
        <w:gridCol w:w="1060"/>
        <w:gridCol w:w="986"/>
        <w:gridCol w:w="847"/>
        <w:gridCol w:w="906"/>
      </w:tblGrid>
      <w:tr w:rsidR="00F20F80" w:rsidRPr="009E5DAC" w:rsidTr="00F20F80">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MABU-B09</w:t>
            </w:r>
          </w:p>
        </w:tc>
        <w:tc>
          <w:tcPr>
            <w:tcW w:w="905" w:type="dxa"/>
          </w:tcPr>
          <w:p w:rsidR="00F20F80" w:rsidRPr="009E5DAC" w:rsidRDefault="00F20F80" w:rsidP="003E6AED">
            <w:pPr>
              <w:pStyle w:val="PlainText"/>
              <w:rPr>
                <w:rFonts w:ascii="Times New Roman" w:hAnsi="Times New Roman"/>
                <w:sz w:val="22"/>
                <w:szCs w:val="22"/>
              </w:rPr>
            </w:pPr>
          </w:p>
        </w:tc>
        <w:tc>
          <w:tcPr>
            <w:tcW w:w="3798"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01-May-2011_31-Oct-2011</w:t>
            </w:r>
          </w:p>
        </w:tc>
        <w:tc>
          <w:tcPr>
            <w:tcW w:w="3799" w:type="dxa"/>
            <w:gridSpan w:val="4"/>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01-Nov-2011_30-Apr-2012</w:t>
            </w:r>
          </w:p>
        </w:tc>
      </w:tr>
      <w:tr w:rsidR="00F20F80" w:rsidRPr="009E5DAC" w:rsidTr="00F20F80">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 xml:space="preserve"> </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Surface Area</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valid obs.</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Number total obs.</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Mean &gt; trigger</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Median &gt; trigger</w:t>
            </w:r>
          </w:p>
        </w:tc>
      </w:tr>
      <w:tr w:rsidR="00F20F80" w:rsidRPr="009E5DAC" w:rsidTr="00F20F80">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EC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154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7263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26950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3910</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29260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r w:rsidR="00F20F80" w:rsidRPr="009E5DAC" w:rsidTr="00F20F80">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OC</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599</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34726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104825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9%</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20485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113810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17%</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w:t>
            </w:r>
          </w:p>
        </w:tc>
      </w:tr>
      <w:tr w:rsidR="00F20F80" w:rsidRPr="009E5DAC" w:rsidTr="00F20F80">
        <w:tc>
          <w:tcPr>
            <w:tcW w:w="951" w:type="dxa"/>
          </w:tcPr>
          <w:p w:rsidR="00F20F80" w:rsidRPr="009E5DAC" w:rsidRDefault="00193A93" w:rsidP="003E6AED">
            <w:pPr>
              <w:pStyle w:val="PlainText"/>
              <w:rPr>
                <w:rFonts w:ascii="Times New Roman" w:hAnsi="Times New Roman"/>
                <w:sz w:val="22"/>
                <w:szCs w:val="22"/>
              </w:rPr>
            </w:pPr>
            <w:r>
              <w:rPr>
                <w:rFonts w:ascii="Times New Roman" w:hAnsi="Times New Roman"/>
                <w:sz w:val="22"/>
                <w:szCs w:val="22"/>
              </w:rPr>
              <w:t>IS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753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41989</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131775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7%</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24395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143070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14%</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w:t>
            </w:r>
          </w:p>
        </w:tc>
      </w:tr>
      <w:tr w:rsidR="00F20F80" w:rsidRPr="009E5DAC" w:rsidTr="00F20F80">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MS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3401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188873</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595175</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116596</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646190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w:t>
            </w:r>
          </w:p>
        </w:tc>
      </w:tr>
      <w:tr w:rsidR="00F20F80" w:rsidRPr="009E5DAC" w:rsidTr="00F20F80">
        <w:tc>
          <w:tcPr>
            <w:tcW w:w="951"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OS</w:t>
            </w:r>
          </w:p>
        </w:tc>
        <w:tc>
          <w:tcPr>
            <w:tcW w:w="905"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33928</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1164131</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5937400</w:t>
            </w:r>
          </w:p>
        </w:tc>
        <w:tc>
          <w:tcPr>
            <w:tcW w:w="84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1060"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686415</w:t>
            </w:r>
          </w:p>
        </w:tc>
        <w:tc>
          <w:tcPr>
            <w:tcW w:w="98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6446320</w:t>
            </w:r>
          </w:p>
        </w:tc>
        <w:tc>
          <w:tcPr>
            <w:tcW w:w="847"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c>
          <w:tcPr>
            <w:tcW w:w="906" w:type="dxa"/>
          </w:tcPr>
          <w:p w:rsidR="00F20F80" w:rsidRPr="009E5DAC" w:rsidRDefault="00F20F80" w:rsidP="003E6AED">
            <w:pPr>
              <w:pStyle w:val="PlainText"/>
              <w:rPr>
                <w:rFonts w:ascii="Times New Roman" w:hAnsi="Times New Roman"/>
                <w:sz w:val="22"/>
                <w:szCs w:val="22"/>
              </w:rPr>
            </w:pPr>
            <w:r w:rsidRPr="009E5DAC">
              <w:rPr>
                <w:rFonts w:ascii="Times New Roman" w:hAnsi="Times New Roman"/>
                <w:sz w:val="22"/>
                <w:szCs w:val="22"/>
              </w:rPr>
              <w:t>0%</w:t>
            </w:r>
          </w:p>
        </w:tc>
      </w:tr>
    </w:tbl>
    <w:p w:rsidR="00B25CAA" w:rsidRPr="00A40CD0" w:rsidRDefault="00B25CAA" w:rsidP="002E0BD6">
      <w:pPr>
        <w:pStyle w:val="BodyText"/>
      </w:pPr>
    </w:p>
    <w:p w:rsidR="00B25CAA" w:rsidRPr="00A40CD0" w:rsidRDefault="00B25CAA" w:rsidP="004F4DDE">
      <w:pPr>
        <w:pStyle w:val="Caption"/>
      </w:pPr>
      <w:r w:rsidRPr="00A40CD0">
        <w:br w:type="page"/>
      </w:r>
      <w:bookmarkStart w:id="501" w:name="_Ref248514729"/>
      <w:bookmarkStart w:id="502" w:name="_Toc228588265"/>
      <w:bookmarkStart w:id="503" w:name="_Toc399264969"/>
      <w:r w:rsidRPr="00A40CD0">
        <w:lastRenderedPageBreak/>
        <w:t xml:space="preserve">Table </w:t>
      </w:r>
      <w:r w:rsidR="00EA2F38">
        <w:fldChar w:fldCharType="begin"/>
      </w:r>
      <w:r w:rsidR="00933C8B">
        <w:instrText xml:space="preserve"> SEQ Table \* ARABIC </w:instrText>
      </w:r>
      <w:r w:rsidR="00EA2F38">
        <w:fldChar w:fldCharType="separate"/>
      </w:r>
      <w:r w:rsidR="00B11F3B">
        <w:rPr>
          <w:noProof/>
        </w:rPr>
        <w:t>40</w:t>
      </w:r>
      <w:r w:rsidR="00EA2F38">
        <w:fldChar w:fldCharType="end"/>
      </w:r>
      <w:bookmarkEnd w:id="501"/>
      <w:r w:rsidRPr="00A40CD0">
        <w:t xml:space="preserve">. Summary of Chlorophyll-a exceedance for the dry and wet season for the Burnett Mary region. “Number valid obs." is the number of pixels with valid observations (i.e. cloud-free and error-free pixels) for each of the three reporting water bodies </w:t>
      </w:r>
      <w:r w:rsidR="00193A93">
        <w:t xml:space="preserve">for this region: (EC: Enclosed Coastal, OC: Open Coastal, </w:t>
      </w:r>
      <w:r w:rsidR="0064278F">
        <w:t>MS: Midshelf, OS: Offshore</w:t>
      </w:r>
      <w:r w:rsidR="00AF0243">
        <w:t>),</w:t>
      </w:r>
      <w:r w:rsidRPr="00A40CD0">
        <w:t xml:space="preserve"> "Number total obs." provides the total number of observations. Mean and median are presented in red and bold if they exceed the trigger value in the Guidelines. The seasonally adjusted Guideline values for Chlorophyll-a for the dry/wet season are</w:t>
      </w:r>
      <w:r w:rsidR="0064278F" w:rsidRPr="0064278F">
        <w:t xml:space="preserve"> </w:t>
      </w:r>
      <w:r w:rsidR="0064278F">
        <w:t>1.4/2.8</w:t>
      </w:r>
      <w:r w:rsidR="0064278F" w:rsidRPr="00A40CD0">
        <w:t xml:space="preserve"> µg L</w:t>
      </w:r>
      <w:r w:rsidR="0064278F" w:rsidRPr="00A40CD0">
        <w:rPr>
          <w:vertAlign w:val="superscript"/>
        </w:rPr>
        <w:t>-1</w:t>
      </w:r>
      <w:r w:rsidR="0064278F" w:rsidRPr="00A40CD0">
        <w:t xml:space="preserve"> for </w:t>
      </w:r>
      <w:r w:rsidR="0064278F">
        <w:t>Enclosed</w:t>
      </w:r>
      <w:r w:rsidR="0064278F" w:rsidRPr="00A40CD0">
        <w:t xml:space="preserve"> Coastal</w:t>
      </w:r>
      <w:r w:rsidR="0064278F">
        <w:t>,</w:t>
      </w:r>
      <w:r w:rsidRPr="00A40CD0">
        <w:t xml:space="preserv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502"/>
      <w:bookmarkEnd w:id="503"/>
    </w:p>
    <w:tbl>
      <w:tblPr>
        <w:tblStyle w:val="TableGrid"/>
        <w:tblW w:w="9453" w:type="dxa"/>
        <w:tblLook w:val="04A0" w:firstRow="1" w:lastRow="0" w:firstColumn="1" w:lastColumn="0" w:noHBand="0" w:noVBand="1"/>
      </w:tblPr>
      <w:tblGrid>
        <w:gridCol w:w="950"/>
        <w:gridCol w:w="1019"/>
        <w:gridCol w:w="986"/>
        <w:gridCol w:w="717"/>
        <w:gridCol w:w="889"/>
        <w:gridCol w:w="620"/>
        <w:gridCol w:w="1060"/>
        <w:gridCol w:w="986"/>
        <w:gridCol w:w="717"/>
        <w:gridCol w:w="889"/>
        <w:gridCol w:w="620"/>
      </w:tblGrid>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p>
        </w:tc>
        <w:tc>
          <w:tcPr>
            <w:tcW w:w="4231"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272"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7263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26950</w:t>
            </w:r>
          </w:p>
        </w:tc>
        <w:tc>
          <w:tcPr>
            <w:tcW w:w="717"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1.40</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1.04</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31%</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3910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29260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1.57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22%</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34726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104825</w:t>
            </w:r>
          </w:p>
        </w:tc>
        <w:tc>
          <w:tcPr>
            <w:tcW w:w="717"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0.53</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0.45</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75%</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20485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113810</w:t>
            </w:r>
          </w:p>
        </w:tc>
        <w:tc>
          <w:tcPr>
            <w:tcW w:w="717"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1.31</w:t>
            </w:r>
          </w:p>
        </w:tc>
        <w:tc>
          <w:tcPr>
            <w:tcW w:w="889"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0.94</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71%</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188873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595175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23%</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116596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646190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0.55</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0.48</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33%</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1164131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5937400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0.17</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9%</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686415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6446320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0.20</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0.16</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w:t>
            </w:r>
          </w:p>
        </w:tc>
      </w:tr>
    </w:tbl>
    <w:p w:rsidR="00B25CAA" w:rsidRPr="00A40CD0" w:rsidRDefault="00B25CAA" w:rsidP="002E0BD6">
      <w:pPr>
        <w:pStyle w:val="BodyText"/>
      </w:pPr>
    </w:p>
    <w:p w:rsidR="00B25CAA" w:rsidRPr="00A40CD0" w:rsidRDefault="00B25CAA" w:rsidP="004F4DDE">
      <w:pPr>
        <w:pStyle w:val="Caption"/>
      </w:pPr>
      <w:bookmarkStart w:id="504" w:name="_Ref248514730"/>
      <w:bookmarkStart w:id="505" w:name="_Toc228588266"/>
      <w:bookmarkStart w:id="506" w:name="_Toc399264970"/>
      <w:r w:rsidRPr="00A40CD0">
        <w:t xml:space="preserve">Table </w:t>
      </w:r>
      <w:r w:rsidR="00EA2F38">
        <w:fldChar w:fldCharType="begin"/>
      </w:r>
      <w:r w:rsidR="00933C8B">
        <w:instrText xml:space="preserve"> SEQ Table \* ARABIC </w:instrText>
      </w:r>
      <w:r w:rsidR="00EA2F38">
        <w:fldChar w:fldCharType="separate"/>
      </w:r>
      <w:r w:rsidR="00B11F3B">
        <w:rPr>
          <w:noProof/>
        </w:rPr>
        <w:t>41</w:t>
      </w:r>
      <w:r w:rsidR="00EA2F38">
        <w:fldChar w:fldCharType="end"/>
      </w:r>
      <w:bookmarkEnd w:id="504"/>
      <w:r w:rsidRPr="00A40CD0">
        <w:t xml:space="preserve"> Summary of Non-algal particulate matter (NAP as a measure of TSS) exceedance for the dry and wet season for the Burnett Mary region. Column and row labels are described in the legend of </w:t>
      </w:r>
      <w:r w:rsidR="00EA2F38" w:rsidRPr="00A40CD0">
        <w:fldChar w:fldCharType="begin"/>
      </w:r>
      <w:r w:rsidRPr="00A40CD0">
        <w:instrText xml:space="preserve"> REF _Ref248514729 \h </w:instrText>
      </w:r>
      <w:r w:rsidR="00EA2F38" w:rsidRPr="00A40CD0">
        <w:fldChar w:fldCharType="separate"/>
      </w:r>
      <w:r w:rsidR="00B11F3B" w:rsidRPr="00A40CD0">
        <w:t xml:space="preserve">Table </w:t>
      </w:r>
      <w:r w:rsidR="00B11F3B">
        <w:rPr>
          <w:noProof/>
        </w:rPr>
        <w:t>40</w:t>
      </w:r>
      <w:r w:rsidR="00EA2F38" w:rsidRPr="00A40CD0">
        <w:fldChar w:fldCharType="end"/>
      </w:r>
      <w:r w:rsidRPr="00A40CD0">
        <w:t xml:space="preserve">. Mean and median are presented in red and bold if they exceed the trigger value in the Guidelines. The seasonally adjusted Guideline values for TSS for the dry/wet season means are </w:t>
      </w:r>
      <w:r w:rsidR="0064278F">
        <w:t>12/18</w:t>
      </w:r>
      <w:r w:rsidR="0064278F" w:rsidRPr="00A40CD0">
        <w:t xml:space="preserve"> mg L</w:t>
      </w:r>
      <w:r w:rsidR="0064278F" w:rsidRPr="00A40CD0">
        <w:rPr>
          <w:vertAlign w:val="superscript"/>
        </w:rPr>
        <w:t>-1</w:t>
      </w:r>
      <w:r w:rsidR="0064278F">
        <w:t xml:space="preserve"> </w:t>
      </w:r>
      <w:r w:rsidR="0064278F" w:rsidRPr="00A40CD0">
        <w:t xml:space="preserve">for </w:t>
      </w:r>
      <w:r w:rsidR="0064278F">
        <w:t>Enclosed</w:t>
      </w:r>
      <w:r w:rsidR="0064278F" w:rsidRPr="00A40CD0">
        <w:t xml:space="preserve"> Coastal</w:t>
      </w:r>
      <w:r w:rsidR="0064278F">
        <w:t>,</w:t>
      </w:r>
      <w:r w:rsidR="00113991">
        <w:t xml:space="preserve"> </w:t>
      </w:r>
      <w:r w:rsidR="0064278F">
        <w:t>1.6/2.4</w:t>
      </w:r>
      <w:r w:rsidRPr="00A40CD0">
        <w:t xml:space="preserve">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505"/>
      <w:bookmarkEnd w:id="506"/>
    </w:p>
    <w:tbl>
      <w:tblPr>
        <w:tblStyle w:val="TableGrid"/>
        <w:tblW w:w="9453" w:type="dxa"/>
        <w:tblLook w:val="04A0" w:firstRow="1" w:lastRow="0" w:firstColumn="1" w:lastColumn="0" w:noHBand="0" w:noVBand="1"/>
      </w:tblPr>
      <w:tblGrid>
        <w:gridCol w:w="950"/>
        <w:gridCol w:w="1019"/>
        <w:gridCol w:w="986"/>
        <w:gridCol w:w="717"/>
        <w:gridCol w:w="889"/>
        <w:gridCol w:w="620"/>
        <w:gridCol w:w="1060"/>
        <w:gridCol w:w="986"/>
        <w:gridCol w:w="717"/>
        <w:gridCol w:w="889"/>
        <w:gridCol w:w="620"/>
      </w:tblGrid>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p>
        </w:tc>
        <w:tc>
          <w:tcPr>
            <w:tcW w:w="4231"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01-May-2011_31-Oct-2011</w:t>
            </w:r>
          </w:p>
        </w:tc>
        <w:tc>
          <w:tcPr>
            <w:tcW w:w="4272" w:type="dxa"/>
            <w:gridSpan w:val="5"/>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01-Nov-2011_30-Apr-2012</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 xml:space="preserve"> </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valid obs.</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Number total obs.</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Mean</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Median</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EP</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EC</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7263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26950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4.26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2.71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3910</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29260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7.06</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4.38</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OC</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34726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104825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0.73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8%</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20485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113810</w:t>
            </w:r>
          </w:p>
        </w:tc>
        <w:tc>
          <w:tcPr>
            <w:tcW w:w="717" w:type="dxa"/>
          </w:tcPr>
          <w:p w:rsidR="00EC0426" w:rsidRPr="00397715" w:rsidRDefault="00EC0426" w:rsidP="00EC0426">
            <w:pPr>
              <w:pStyle w:val="PlainText"/>
              <w:rPr>
                <w:rFonts w:ascii="Times New Roman" w:hAnsi="Times New Roman"/>
                <w:b/>
                <w:color w:val="FF0000"/>
                <w:sz w:val="22"/>
                <w:szCs w:val="22"/>
              </w:rPr>
            </w:pPr>
            <w:r w:rsidRPr="00397715">
              <w:rPr>
                <w:rFonts w:ascii="Times New Roman" w:hAnsi="Times New Roman"/>
                <w:b/>
                <w:color w:val="FF0000"/>
                <w:sz w:val="22"/>
                <w:szCs w:val="22"/>
              </w:rPr>
              <w:t>1.59</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0.99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17%</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MS</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188873</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595175</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0.28</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0.19</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116596</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646190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0.41</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0.21</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2%</w:t>
            </w:r>
          </w:p>
        </w:tc>
      </w:tr>
      <w:tr w:rsidR="00EC0426" w:rsidRPr="00453395" w:rsidTr="00EC0426">
        <w:tc>
          <w:tcPr>
            <w:tcW w:w="95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OS</w:t>
            </w:r>
          </w:p>
        </w:tc>
        <w:tc>
          <w:tcPr>
            <w:tcW w:w="101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1164131</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5937400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0.10</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w:t>
            </w:r>
          </w:p>
        </w:tc>
        <w:tc>
          <w:tcPr>
            <w:tcW w:w="106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686415</w:t>
            </w:r>
          </w:p>
        </w:tc>
        <w:tc>
          <w:tcPr>
            <w:tcW w:w="986"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6446320</w:t>
            </w:r>
          </w:p>
        </w:tc>
        <w:tc>
          <w:tcPr>
            <w:tcW w:w="717"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0.13</w:t>
            </w:r>
          </w:p>
        </w:tc>
        <w:tc>
          <w:tcPr>
            <w:tcW w:w="889"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0.12</w:t>
            </w:r>
          </w:p>
        </w:tc>
        <w:tc>
          <w:tcPr>
            <w:tcW w:w="620" w:type="dxa"/>
          </w:tcPr>
          <w:p w:rsidR="00EC0426" w:rsidRPr="00453395" w:rsidRDefault="00EC0426" w:rsidP="00EC0426">
            <w:pPr>
              <w:pStyle w:val="PlainText"/>
              <w:rPr>
                <w:rFonts w:ascii="Times New Roman" w:hAnsi="Times New Roman"/>
                <w:sz w:val="22"/>
                <w:szCs w:val="22"/>
              </w:rPr>
            </w:pPr>
            <w:r w:rsidRPr="00453395">
              <w:rPr>
                <w:rFonts w:ascii="Times New Roman" w:hAnsi="Times New Roman"/>
                <w:sz w:val="22"/>
                <w:szCs w:val="22"/>
              </w:rPr>
              <w:t>1%</w:t>
            </w:r>
          </w:p>
        </w:tc>
      </w:tr>
    </w:tbl>
    <w:p w:rsidR="00B25CAA" w:rsidRPr="00A40CD0" w:rsidRDefault="00B25CAA" w:rsidP="008A5E4A"/>
    <w:p w:rsidR="00B25CAA" w:rsidRPr="00A40CD0" w:rsidRDefault="00B25CAA" w:rsidP="008A5E4A"/>
    <w:p w:rsidR="00B25CAA" w:rsidRPr="00A40CD0" w:rsidRDefault="00B25CAA" w:rsidP="008A5E4A">
      <w:pPr>
        <w:sectPr w:rsidR="00B25CAA" w:rsidRPr="00A40CD0" w:rsidSect="00A12779">
          <w:headerReference w:type="first" r:id="rId161"/>
          <w:footerReference w:type="first" r:id="rId162"/>
          <w:pgSz w:w="11906" w:h="16838" w:code="9"/>
          <w:pgMar w:top="1418" w:right="1418" w:bottom="1418" w:left="1418" w:header="567" w:footer="737" w:gutter="0"/>
          <w:cols w:space="708"/>
          <w:docGrid w:linePitch="360"/>
        </w:sectPr>
      </w:pPr>
    </w:p>
    <w:p w:rsidR="00B25CAA" w:rsidRPr="00A40CD0" w:rsidRDefault="00B25CAA" w:rsidP="00B22764">
      <w:r w:rsidRPr="00A40CD0">
        <w:rPr>
          <w:lang w:eastAsia="en-US"/>
        </w:rPr>
        <w:lastRenderedPageBreak/>
        <w:t xml:space="preserve"> </w:t>
      </w:r>
      <w:r w:rsidR="000A1ED7">
        <w:rPr>
          <w:noProof/>
        </w:rPr>
        <w:drawing>
          <wp:inline distT="0" distB="0" distL="0" distR="0">
            <wp:extent cx="4320000" cy="4694190"/>
            <wp:effectExtent l="0" t="0" r="0" b="5080"/>
            <wp:docPr id="213" name="Picture 213" descr="Map of freshwater extent for the wet season for Burnett Mary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DOM_MIM_Maximum_20111101_20120430.tif"/>
                    <pic:cNvPicPr/>
                  </pic:nvPicPr>
                  <pic:blipFill>
                    <a:blip r:embed="rId163"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sidR="000A1ED7">
        <w:rPr>
          <w:noProof/>
        </w:rPr>
        <w:drawing>
          <wp:inline distT="0" distB="0" distL="0" distR="0">
            <wp:extent cx="4320000" cy="4694190"/>
            <wp:effectExtent l="0" t="0" r="0" b="5080"/>
            <wp:docPr id="214" name="Picture 214" descr="Map of freshwater extent for the wet season for Burnett Mary region. The first map presents the maximum value of CDOM for the wet season 2011/2012 (November 2011 - April 2012), while the second map presents freshwater extent estimated with a threshold for the CDOM seasonal maximum of 0.24 m-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DOM_MIM_maxGTtrigger_20111101_20120430.tif"/>
                    <pic:cNvPicPr/>
                  </pic:nvPicPr>
                  <pic:blipFill>
                    <a:blip r:embed="rId164"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B22764">
      <w:pPr>
        <w:pStyle w:val="Caption"/>
      </w:pPr>
      <w:bookmarkStart w:id="507" w:name="_Ref257731756"/>
      <w:bookmarkStart w:id="508" w:name="_Toc228588364"/>
      <w:bookmarkStart w:id="509" w:name="_Toc399265070"/>
      <w:r w:rsidRPr="00A40CD0">
        <w:t xml:space="preserve">Figure </w:t>
      </w:r>
      <w:r w:rsidR="00EA2F38">
        <w:fldChar w:fldCharType="begin"/>
      </w:r>
      <w:r w:rsidR="00933C8B">
        <w:instrText xml:space="preserve"> SEQ Figure \* ARABIC </w:instrText>
      </w:r>
      <w:r w:rsidR="00EA2F38">
        <w:fldChar w:fldCharType="separate"/>
      </w:r>
      <w:r w:rsidR="00B11F3B">
        <w:rPr>
          <w:noProof/>
        </w:rPr>
        <w:t>84</w:t>
      </w:r>
      <w:r w:rsidR="00EA2F38">
        <w:fldChar w:fldCharType="end"/>
      </w:r>
      <w:bookmarkEnd w:id="507"/>
      <w:r w:rsidRPr="00A40CD0">
        <w:t xml:space="preserve">. Map of freshwater extent for the wet season for Burnett Mary region. The first map presents the maximum value of CDOM for </w:t>
      </w:r>
      <w:r w:rsidR="00D3208E">
        <w:t>the wet season 2011/2012 (November 2011 - April 2012)</w:t>
      </w:r>
      <w:r w:rsidRPr="00A40CD0">
        <w:t>, while the second map presents freshwater extent estimated with a threshold for the CDOM seasonal maximum of 0.24 m</w:t>
      </w:r>
      <w:r w:rsidRPr="00A40CD0">
        <w:rPr>
          <w:vertAlign w:val="superscript"/>
        </w:rPr>
        <w:t>-1</w:t>
      </w:r>
      <w:r w:rsidRPr="00A40CD0">
        <w:t>.</w:t>
      </w:r>
      <w:bookmarkEnd w:id="508"/>
      <w:bookmarkEnd w:id="509"/>
      <w:r w:rsidRPr="00A40CD0">
        <w:t xml:space="preserve"> </w:t>
      </w:r>
    </w:p>
    <w:p w:rsidR="00B25CAA" w:rsidRPr="00A40CD0" w:rsidRDefault="000A1ED7" w:rsidP="008A5E4A">
      <w:r>
        <w:rPr>
          <w:noProof/>
        </w:rPr>
        <w:lastRenderedPageBreak/>
        <w:drawing>
          <wp:inline distT="0" distB="0" distL="0" distR="0">
            <wp:extent cx="4320000" cy="4694190"/>
            <wp:effectExtent l="0" t="0" r="0" b="5080"/>
            <wp:docPr id="215" name="Picture 215" descr="Chlorophyll-a median maps for the dry and wet season for the Burnett Mar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Median_20110501_20111031.tif"/>
                    <pic:cNvPicPr/>
                  </pic:nvPicPr>
                  <pic:blipFill>
                    <a:blip r:embed="rId165"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216" name="Picture 216" descr="Chlorophyll-a median maps for the dry and wet season for the Burnett Mar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Median_20111101_20120430.tif"/>
                    <pic:cNvPicPr/>
                  </pic:nvPicPr>
                  <pic:blipFill>
                    <a:blip r:embed="rId166"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4F4DDE">
      <w:pPr>
        <w:pStyle w:val="Caption"/>
      </w:pPr>
      <w:bookmarkStart w:id="510" w:name="_Ref247856891"/>
      <w:bookmarkStart w:id="511" w:name="_Toc228588365"/>
      <w:bookmarkStart w:id="512" w:name="_Toc399265071"/>
      <w:r w:rsidRPr="00A40CD0">
        <w:t xml:space="preserve">Figure </w:t>
      </w:r>
      <w:r w:rsidR="00EA2F38">
        <w:fldChar w:fldCharType="begin"/>
      </w:r>
      <w:r w:rsidR="00933C8B">
        <w:instrText xml:space="preserve"> SEQ Figure \* ARABIC </w:instrText>
      </w:r>
      <w:r w:rsidR="00EA2F38">
        <w:fldChar w:fldCharType="separate"/>
      </w:r>
      <w:r w:rsidR="00B11F3B">
        <w:rPr>
          <w:noProof/>
        </w:rPr>
        <w:t>85</w:t>
      </w:r>
      <w:r w:rsidR="00EA2F38">
        <w:fldChar w:fldCharType="end"/>
      </w:r>
      <w:bookmarkEnd w:id="510"/>
      <w:r w:rsidRPr="00A40CD0">
        <w:t xml:space="preserve">. Chlorophyll-a median maps for the dry and wet season for the Burnett Mary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511"/>
      <w:bookmarkEnd w:id="512"/>
      <w:r w:rsidRPr="00A40CD0">
        <w:t xml:space="preserve"> </w:t>
      </w:r>
    </w:p>
    <w:p w:rsidR="00B25CAA" w:rsidRPr="00A40CD0" w:rsidRDefault="000A1ED7" w:rsidP="007F0747">
      <w:r>
        <w:rPr>
          <w:noProof/>
        </w:rPr>
        <w:lastRenderedPageBreak/>
        <w:drawing>
          <wp:inline distT="0" distB="0" distL="0" distR="0">
            <wp:extent cx="4320000" cy="4694190"/>
            <wp:effectExtent l="0" t="0" r="0" b="5080"/>
            <wp:docPr id="217" name="Picture 217" descr="Non-algal particulate matter (NAP as a measure of TSS) median maps for the dry and wet season for the Burnett Mar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Median_20110501_20111031.tif"/>
                    <pic:cNvPicPr/>
                  </pic:nvPicPr>
                  <pic:blipFill>
                    <a:blip r:embed="rId167"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218" name="Picture 218" descr="Non-algal particulate matter (NAP as a measure of TSS) median maps for the dry and wet season for the Burnett Mary region. The first map presents the median for the dry season 2011 (May - October), while the second map presents the median for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Median_20111101_20120430.tif"/>
                    <pic:cNvPicPr/>
                  </pic:nvPicPr>
                  <pic:blipFill>
                    <a:blip r:embed="rId168"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4F4DDE">
      <w:pPr>
        <w:pStyle w:val="Caption"/>
      </w:pPr>
      <w:bookmarkStart w:id="513" w:name="_Ref247857683"/>
      <w:bookmarkStart w:id="514" w:name="_Toc228588366"/>
      <w:bookmarkStart w:id="515" w:name="_Toc399265072"/>
      <w:r w:rsidRPr="00A40CD0">
        <w:t xml:space="preserve">Figure </w:t>
      </w:r>
      <w:r w:rsidR="00EA2F38">
        <w:fldChar w:fldCharType="begin"/>
      </w:r>
      <w:r w:rsidR="00933C8B">
        <w:instrText xml:space="preserve"> SEQ Figure \* ARABIC </w:instrText>
      </w:r>
      <w:r w:rsidR="00EA2F38">
        <w:fldChar w:fldCharType="separate"/>
      </w:r>
      <w:r w:rsidR="00B11F3B">
        <w:rPr>
          <w:noProof/>
        </w:rPr>
        <w:t>86</w:t>
      </w:r>
      <w:r w:rsidR="00EA2F38">
        <w:fldChar w:fldCharType="end"/>
      </w:r>
      <w:bookmarkEnd w:id="513"/>
      <w:r w:rsidRPr="00A40CD0">
        <w:t>. Non-algal particulate ma</w:t>
      </w:r>
      <w:r w:rsidR="006F7989">
        <w:t xml:space="preserve">tter (NAP as a measure of TSS) </w:t>
      </w:r>
      <w:r w:rsidRPr="00A40CD0">
        <w:t xml:space="preserve">median maps for the dry and wet season for the Burnett Mary region. The first map presents the median for </w:t>
      </w:r>
      <w:r w:rsidR="00D3208E">
        <w:t>the dry season 2011 (May - October)</w:t>
      </w:r>
      <w:r w:rsidRPr="00A40CD0">
        <w:t xml:space="preserve">, while the second map presents the median for </w:t>
      </w:r>
      <w:r w:rsidR="00D3208E">
        <w:t>the wet season 2011/2012 (November 2011 - April 2012)</w:t>
      </w:r>
      <w:r w:rsidRPr="00A40CD0">
        <w:t>.</w:t>
      </w:r>
      <w:bookmarkEnd w:id="514"/>
      <w:bookmarkEnd w:id="515"/>
      <w:r w:rsidRPr="00A40CD0">
        <w:t xml:space="preserve"> </w:t>
      </w:r>
    </w:p>
    <w:p w:rsidR="00B25CAA" w:rsidRPr="00A40CD0" w:rsidRDefault="006F7989" w:rsidP="00A12C5B">
      <w:bookmarkStart w:id="516" w:name="_Ref263847522"/>
      <w:r>
        <w:rPr>
          <w:noProof/>
        </w:rPr>
        <w:lastRenderedPageBreak/>
        <w:drawing>
          <wp:inline distT="0" distB="0" distL="0" distR="0">
            <wp:extent cx="4320000" cy="4694190"/>
            <wp:effectExtent l="0" t="0" r="0" b="5080"/>
            <wp:docPr id="220" name="Picture 220" descr="Number of observations used to calculate the median maps (Figure 85 - Figure 86) for the dry and wet season for the Burnett Mary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n_valid_20110501_20111031.tif"/>
                    <pic:cNvPicPr/>
                  </pic:nvPicPr>
                  <pic:blipFill>
                    <a:blip r:embed="rId169"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221" name="Picture 221" descr="Number of observations used to calculate the median maps (Figure 85 - Figure 86) for the dry and wet season for the Burnett Mary region. The first map presents the number of observations available for analysis in the dry season 2011 (May - October), while the second map presents the number of observations available for analysis in the wet season 2011/2012 (November 2011 - April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n_valid_20111101_20120430.tif"/>
                    <pic:cNvPicPr/>
                  </pic:nvPicPr>
                  <pic:blipFill>
                    <a:blip r:embed="rId170"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FB0BB9" w:rsidRPr="00A40CD0" w:rsidRDefault="000A1ED7" w:rsidP="00FB0BB9">
      <w:pPr>
        <w:pStyle w:val="Caption"/>
      </w:pPr>
      <w:bookmarkStart w:id="517" w:name="_Ref321320495"/>
      <w:bookmarkStart w:id="518" w:name="_Toc228588367"/>
      <w:bookmarkStart w:id="519" w:name="_Toc399265073"/>
      <w:bookmarkStart w:id="520" w:name="_Ref263851701"/>
      <w:r>
        <w:t>F</w:t>
      </w:r>
      <w:r w:rsidR="00FB0BB9" w:rsidRPr="00A40CD0">
        <w:t xml:space="preserve">igure </w:t>
      </w:r>
      <w:r w:rsidR="00EA2F38">
        <w:fldChar w:fldCharType="begin"/>
      </w:r>
      <w:r w:rsidR="00933C8B">
        <w:instrText xml:space="preserve"> SEQ Figure \* ARABIC </w:instrText>
      </w:r>
      <w:r w:rsidR="00EA2F38">
        <w:fldChar w:fldCharType="separate"/>
      </w:r>
      <w:r w:rsidR="00B11F3B">
        <w:rPr>
          <w:noProof/>
        </w:rPr>
        <w:t>87</w:t>
      </w:r>
      <w:r w:rsidR="00EA2F38">
        <w:fldChar w:fldCharType="end"/>
      </w:r>
      <w:bookmarkEnd w:id="517"/>
      <w:r w:rsidR="00FB0BB9" w:rsidRPr="00A40CD0">
        <w:t>. Number of observations used to calculate the median maps (</w:t>
      </w:r>
      <w:r w:rsidR="00EA2F38" w:rsidRPr="00A40CD0">
        <w:fldChar w:fldCharType="begin"/>
      </w:r>
      <w:r w:rsidR="00FB0BB9" w:rsidRPr="00A40CD0">
        <w:instrText xml:space="preserve"> REF _Ref247856891 \h </w:instrText>
      </w:r>
      <w:r w:rsidR="00EA2F38" w:rsidRPr="00A40CD0">
        <w:fldChar w:fldCharType="separate"/>
      </w:r>
      <w:r w:rsidR="00B11F3B" w:rsidRPr="00A40CD0">
        <w:t xml:space="preserve">Figure </w:t>
      </w:r>
      <w:r w:rsidR="00B11F3B">
        <w:rPr>
          <w:noProof/>
        </w:rPr>
        <w:t>85</w:t>
      </w:r>
      <w:r w:rsidR="00EA2F38" w:rsidRPr="00A40CD0">
        <w:fldChar w:fldCharType="end"/>
      </w:r>
      <w:r w:rsidR="00FB0BB9" w:rsidRPr="00A40CD0">
        <w:t xml:space="preserve"> - </w:t>
      </w:r>
      <w:r w:rsidR="00EA2F38" w:rsidRPr="00A40CD0">
        <w:fldChar w:fldCharType="begin"/>
      </w:r>
      <w:r w:rsidR="00FB0BB9" w:rsidRPr="00A40CD0">
        <w:instrText xml:space="preserve"> REF _Ref247857683 \h </w:instrText>
      </w:r>
      <w:r w:rsidR="00EA2F38" w:rsidRPr="00A40CD0">
        <w:fldChar w:fldCharType="separate"/>
      </w:r>
      <w:r w:rsidR="00B11F3B" w:rsidRPr="00A40CD0">
        <w:t xml:space="preserve">Figure </w:t>
      </w:r>
      <w:r w:rsidR="00B11F3B">
        <w:rPr>
          <w:noProof/>
        </w:rPr>
        <w:t>86</w:t>
      </w:r>
      <w:r w:rsidR="00EA2F38" w:rsidRPr="00A40CD0">
        <w:fldChar w:fldCharType="end"/>
      </w:r>
      <w:r w:rsidR="00FB0BB9" w:rsidRPr="00A40CD0">
        <w:t xml:space="preserve">) for the dry and wet season for the Burnett Mary region. The first map presents the number of observations available for analysis in </w:t>
      </w:r>
      <w:r w:rsidR="00D3208E">
        <w:t>the dry season 2011 (May - October)</w:t>
      </w:r>
      <w:r w:rsidR="00FB0BB9" w:rsidRPr="00A40CD0">
        <w:t xml:space="preserve">, while the second map presents the number of observations available for analysis in </w:t>
      </w:r>
      <w:r w:rsidR="00D3208E">
        <w:t>the wet season 2011/2012 (November 2011 - April 2012)</w:t>
      </w:r>
      <w:r w:rsidR="00FB0BB9" w:rsidRPr="00A40CD0">
        <w:t>.</w:t>
      </w:r>
      <w:bookmarkEnd w:id="518"/>
      <w:bookmarkEnd w:id="519"/>
      <w:r w:rsidR="00FB0BB9" w:rsidRPr="00A40CD0">
        <w:t xml:space="preserve"> </w:t>
      </w:r>
    </w:p>
    <w:p w:rsidR="0031353D" w:rsidRPr="000A1ED7" w:rsidRDefault="00170918" w:rsidP="0031353D">
      <w:pPr>
        <w:rPr>
          <w:noProof/>
          <w:lang w:val="en-US" w:eastAsia="en-US"/>
        </w:rPr>
      </w:pPr>
      <w:r>
        <w:rPr>
          <w:noProof/>
        </w:rPr>
        <w:lastRenderedPageBreak/>
        <w:drawing>
          <wp:inline distT="0" distB="0" distL="0" distR="0">
            <wp:extent cx="4320000" cy="4694190"/>
            <wp:effectExtent l="0" t="0" r="0" b="5080"/>
            <wp:docPr id="222" name="Picture 222" descr="Exceedance maps for the Burnett Mary region for the whole year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meanGTtrigger_20110501_20120430.tif"/>
                    <pic:cNvPicPr/>
                  </pic:nvPicPr>
                  <pic:blipFill>
                    <a:blip r:embed="rId171"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223" name="Picture 223" descr="Exceedance maps for the Burnett Mary region for the whole year (May 2011 –April 2012). The first map presents the Chlorophyll-a exceedance map, while the second map presents the Non-algal particulate matter (NAP as a measure of TSS) exceedance map.  The Guideline values for annual means of Chlorophyll-a are 0.45 µg L-1 for  Open Coastal and Midshelf and 0.40 µg L-1 for Offshore, while for TSS are 2.0 and 0.7 mg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meanGTtrigger_20110501_20120430.tif"/>
                    <pic:cNvPicPr/>
                  </pic:nvPicPr>
                  <pic:blipFill>
                    <a:blip r:embed="rId172"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A12C5B">
      <w:pPr>
        <w:pStyle w:val="Caption"/>
      </w:pPr>
      <w:bookmarkStart w:id="521" w:name="_Ref321226735"/>
      <w:bookmarkStart w:id="522" w:name="_Toc228588368"/>
      <w:bookmarkStart w:id="523" w:name="_Ref273088515"/>
      <w:bookmarkStart w:id="524" w:name="_Toc399265074"/>
      <w:r w:rsidRPr="00A40CD0">
        <w:t xml:space="preserve">Figure </w:t>
      </w:r>
      <w:r w:rsidR="00EA2F38">
        <w:fldChar w:fldCharType="begin"/>
      </w:r>
      <w:r w:rsidR="00933C8B">
        <w:instrText xml:space="preserve"> SEQ Figure \* ARABIC </w:instrText>
      </w:r>
      <w:r w:rsidR="00EA2F38">
        <w:fldChar w:fldCharType="separate"/>
      </w:r>
      <w:r w:rsidR="00B11F3B">
        <w:rPr>
          <w:noProof/>
        </w:rPr>
        <w:t>88</w:t>
      </w:r>
      <w:r w:rsidR="00EA2F38">
        <w:fldChar w:fldCharType="end"/>
      </w:r>
      <w:bookmarkEnd w:id="516"/>
      <w:bookmarkEnd w:id="520"/>
      <w:bookmarkEnd w:id="521"/>
      <w:r w:rsidRPr="00A40CD0">
        <w:t>. Exceedance maps for the Burnett Mary reg</w:t>
      </w:r>
      <w:r w:rsidR="002872FE">
        <w:t>ion for the whole year (May 2011</w:t>
      </w:r>
      <w:r w:rsidRPr="00A40CD0">
        <w:t xml:space="preserve"> –April</w:t>
      </w:r>
      <w:r w:rsidR="002872FE">
        <w:t xml:space="preserve"> 2012</w:t>
      </w:r>
      <w:r w:rsidRPr="00A40CD0">
        <w:t>). The first map presents the Chlorophyll-a exceedance map, while the second map presents the Non-algal particulate matter (NAP as a measure of TSS) exceedance map.  The Guideline values for annual means of Chlorophyll-a</w:t>
      </w:r>
      <w:r w:rsidRPr="00A40CD0" w:rsidDel="00A91018">
        <w:t xml:space="preserve"> </w:t>
      </w:r>
      <w:r w:rsidRPr="00A40CD0">
        <w:t>are 0.45 µg L</w:t>
      </w:r>
      <w:r w:rsidRPr="00A40CD0">
        <w:rPr>
          <w:vertAlign w:val="superscript"/>
        </w:rPr>
        <w:t>-1</w:t>
      </w:r>
      <w:r w:rsidRPr="00A40CD0">
        <w:t xml:space="preserve"> for  Open Coastal and Midshelf and 0.40 µg L</w:t>
      </w:r>
      <w:r w:rsidRPr="00A40CD0">
        <w:rPr>
          <w:vertAlign w:val="superscript"/>
        </w:rPr>
        <w:t>-1</w:t>
      </w:r>
      <w:r w:rsidRPr="00A40CD0">
        <w:t xml:space="preserve"> for Offshore, while for TSS are 2.0 and 0.7 mg L</w:t>
      </w:r>
      <w:r w:rsidRPr="00A40CD0">
        <w:rPr>
          <w:vertAlign w:val="superscript"/>
        </w:rPr>
        <w:t>-1</w:t>
      </w:r>
      <w:r w:rsidRPr="00A40CD0">
        <w:t>.</w:t>
      </w:r>
      <w:bookmarkEnd w:id="522"/>
      <w:bookmarkEnd w:id="523"/>
      <w:bookmarkEnd w:id="524"/>
    </w:p>
    <w:p w:rsidR="00B25CAA" w:rsidRPr="00A40CD0" w:rsidRDefault="00170918" w:rsidP="00A12C5B">
      <w:r>
        <w:rPr>
          <w:noProof/>
        </w:rPr>
        <w:lastRenderedPageBreak/>
        <w:drawing>
          <wp:inline distT="0" distB="0" distL="0" distR="0">
            <wp:extent cx="4320000" cy="4694190"/>
            <wp:effectExtent l="0" t="0" r="0" b="5080"/>
            <wp:docPr id="544" name="Picture 544" descr="Chlorophyll-a exceedance maps for the dry and wet season for the Burnett Mary region. The first map presents the exceedance for the dry season 2011 (May - October), while the second map presents the exceedance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meanGTtrigger_20110501_20111031.tif"/>
                    <pic:cNvPicPr/>
                  </pic:nvPicPr>
                  <pic:blipFill>
                    <a:blip r:embed="rId173"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545" name="Picture 545" descr="Chlorophyll-a exceedance maps for the dry and wet season for the Burnett Mary region. The first map presents the exceedance for the dry season 2011 (May - October), while the second map presents the exceedance for the wet season 2011/2012 (November 2011 - April 2012). The seasonally adjusted Guideline values for Chlorophyll –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meanGTtrigger_20111101_20120430.tif"/>
                    <pic:cNvPicPr/>
                  </pic:nvPicPr>
                  <pic:blipFill>
                    <a:blip r:embed="rId174"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A12C5B">
      <w:pPr>
        <w:pStyle w:val="Caption"/>
      </w:pPr>
      <w:bookmarkStart w:id="525" w:name="_Ref247857706"/>
      <w:bookmarkStart w:id="526" w:name="_Toc228588369"/>
      <w:bookmarkStart w:id="527" w:name="_Toc399265075"/>
      <w:r w:rsidRPr="00A40CD0">
        <w:t xml:space="preserve">Figure </w:t>
      </w:r>
      <w:r w:rsidR="00EA2F38">
        <w:fldChar w:fldCharType="begin"/>
      </w:r>
      <w:r w:rsidR="00933C8B">
        <w:instrText xml:space="preserve"> SEQ Figure \* ARABIC </w:instrText>
      </w:r>
      <w:r w:rsidR="00EA2F38">
        <w:fldChar w:fldCharType="separate"/>
      </w:r>
      <w:r w:rsidR="00B11F3B">
        <w:rPr>
          <w:noProof/>
        </w:rPr>
        <w:t>89</w:t>
      </w:r>
      <w:r w:rsidR="00EA2F38">
        <w:fldChar w:fldCharType="end"/>
      </w:r>
      <w:bookmarkEnd w:id="525"/>
      <w:r w:rsidRPr="00A40CD0">
        <w:t xml:space="preserve">. Chlorophyll-a exceedance maps for the dry and wet season for the Burnett Mary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Chlorophyll –a 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526"/>
      <w:bookmarkEnd w:id="527"/>
      <w:r w:rsidRPr="00A40CD0">
        <w:t xml:space="preserve"> </w:t>
      </w:r>
    </w:p>
    <w:p w:rsidR="00B25CAA" w:rsidRPr="00A40CD0" w:rsidRDefault="00170918" w:rsidP="00A12C5B">
      <w:r>
        <w:rPr>
          <w:noProof/>
        </w:rPr>
        <w:lastRenderedPageBreak/>
        <w:drawing>
          <wp:inline distT="0" distB="0" distL="0" distR="0">
            <wp:extent cx="4320000" cy="4694190"/>
            <wp:effectExtent l="0" t="0" r="0" b="5080"/>
            <wp:docPr id="546" name="Picture 546" descr="Chlorophyll-a exceedance frequency maps for the dry and wet season for the Burnett Mary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RelNonCompliantDays_20110501_20111031.tif"/>
                    <pic:cNvPicPr/>
                  </pic:nvPicPr>
                  <pic:blipFill>
                    <a:blip r:embed="rId175"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547" name="Picture 547" descr="Chlorophyll-a exceedance frequency maps for the dry and wet season for the Burnett Mary region. The first map presents the exceedance frequency for the dry season 2011 (May - October), while the second map presents the exceedance frequency for the wet season 2011/2012 (November 2011 - April 2012). The seasonally adjusted Guideline values for Chlorophyll-a for the dry/wet season are 0.32/0.63 µg L-1 for Open Coastal and Midshelf and 0.28/0.56 µg L-1 for Offsho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Chl_MIM_RelNonCompliantDays_20111101_20120430.tif"/>
                    <pic:cNvPicPr/>
                  </pic:nvPicPr>
                  <pic:blipFill>
                    <a:blip r:embed="rId176"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A12C5B">
      <w:pPr>
        <w:pStyle w:val="Caption"/>
      </w:pPr>
      <w:bookmarkStart w:id="528" w:name="_Ref247857707"/>
      <w:bookmarkStart w:id="529" w:name="_Toc228588370"/>
      <w:bookmarkStart w:id="530" w:name="_Toc399265076"/>
      <w:r w:rsidRPr="00A40CD0">
        <w:t xml:space="preserve">Figure </w:t>
      </w:r>
      <w:r w:rsidR="00EA2F38">
        <w:fldChar w:fldCharType="begin"/>
      </w:r>
      <w:r w:rsidR="00933C8B">
        <w:instrText xml:space="preserve"> SEQ Figure \* ARABIC </w:instrText>
      </w:r>
      <w:r w:rsidR="00EA2F38">
        <w:fldChar w:fldCharType="separate"/>
      </w:r>
      <w:r w:rsidR="00B11F3B">
        <w:rPr>
          <w:noProof/>
        </w:rPr>
        <w:t>90</w:t>
      </w:r>
      <w:r w:rsidR="00EA2F38">
        <w:fldChar w:fldCharType="end"/>
      </w:r>
      <w:bookmarkEnd w:id="528"/>
      <w:r w:rsidRPr="00A40CD0">
        <w:t xml:space="preserve">. Chlorophyll-a exceedance frequency maps for the dry and wet season for the Burnett Mary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Chlorophyll-a</w:t>
      </w:r>
      <w:r w:rsidRPr="00A40CD0" w:rsidDel="00A91018">
        <w:t xml:space="preserve"> </w:t>
      </w:r>
      <w:r w:rsidRPr="00A40CD0">
        <w:t>for the dry/wet season are 0.32/0.63 µg L</w:t>
      </w:r>
      <w:r w:rsidRPr="00A40CD0">
        <w:rPr>
          <w:vertAlign w:val="superscript"/>
        </w:rPr>
        <w:t>-1</w:t>
      </w:r>
      <w:r w:rsidRPr="00A40CD0">
        <w:t xml:space="preserve"> for Open Coastal and Midshelf and 0.28/0.56 µg L</w:t>
      </w:r>
      <w:r w:rsidRPr="00A40CD0">
        <w:rPr>
          <w:vertAlign w:val="superscript"/>
        </w:rPr>
        <w:t>-1</w:t>
      </w:r>
      <w:r w:rsidRPr="00A40CD0">
        <w:t xml:space="preserve"> for Offshore.</w:t>
      </w:r>
      <w:bookmarkEnd w:id="529"/>
      <w:bookmarkEnd w:id="530"/>
      <w:r w:rsidRPr="00A40CD0">
        <w:t xml:space="preserve"> </w:t>
      </w:r>
    </w:p>
    <w:p w:rsidR="00B25CAA" w:rsidRPr="00A40CD0" w:rsidRDefault="00170918" w:rsidP="00A12C5B">
      <w:r>
        <w:rPr>
          <w:noProof/>
        </w:rPr>
        <w:lastRenderedPageBreak/>
        <w:drawing>
          <wp:inline distT="0" distB="0" distL="0" distR="0">
            <wp:extent cx="4320000" cy="4694190"/>
            <wp:effectExtent l="0" t="0" r="0" b="5080"/>
            <wp:docPr id="548" name="Picture 548" descr="Non-algal particulate matter (NAP as a measure of TSS) exceedance maps for the dry and wet season for the Burnett Mary region.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meanGTtrigger_20110501_20111031.tif"/>
                    <pic:cNvPicPr/>
                  </pic:nvPicPr>
                  <pic:blipFill>
                    <a:blip r:embed="rId177"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549" name="Picture 549" descr="Non-algal particulate matter (NAP as a measure of TSS) exceedance maps for the dry and wet season for the Burnett Mary region. The first map presents the exceedance for the dry season 2011 (May - October), while the second map presents the exceedance for the wet season 2011/2012 (November 2011 - April 2012). The seasonally adjusted Guideline values for TSS for the dry/wet season means are 1.6/2.4 mg L-1 for Open Coastal and Midshelf and 0.6/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meanGTtrigger_20111101_20120430.tif"/>
                    <pic:cNvPicPr/>
                  </pic:nvPicPr>
                  <pic:blipFill>
                    <a:blip r:embed="rId178"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A12C5B">
      <w:pPr>
        <w:pStyle w:val="Caption"/>
      </w:pPr>
      <w:bookmarkStart w:id="531" w:name="_Ref247857709"/>
      <w:bookmarkStart w:id="532" w:name="_Toc228588371"/>
      <w:bookmarkStart w:id="533" w:name="_Toc399265077"/>
      <w:r w:rsidRPr="00A40CD0">
        <w:t xml:space="preserve">Figure </w:t>
      </w:r>
      <w:r w:rsidR="00EA2F38">
        <w:fldChar w:fldCharType="begin"/>
      </w:r>
      <w:r w:rsidR="00933C8B">
        <w:instrText xml:space="preserve"> SEQ Figure \* ARABIC </w:instrText>
      </w:r>
      <w:r w:rsidR="00EA2F38">
        <w:fldChar w:fldCharType="separate"/>
      </w:r>
      <w:r w:rsidR="00B11F3B">
        <w:rPr>
          <w:noProof/>
        </w:rPr>
        <w:t>91</w:t>
      </w:r>
      <w:r w:rsidR="00EA2F38">
        <w:fldChar w:fldCharType="end"/>
      </w:r>
      <w:bookmarkEnd w:id="531"/>
      <w:r w:rsidRPr="00A40CD0">
        <w:t xml:space="preserve">. Non-algal particulate matter (NAP as a measure of TSS) exceedance maps for the dry and wet season for the Burnett Mary region. The first map presents the exceedance for </w:t>
      </w:r>
      <w:r w:rsidR="00D3208E">
        <w:t>the dry season 2011 (May - October)</w:t>
      </w:r>
      <w:r w:rsidRPr="00A40CD0">
        <w:t xml:space="preserve">, while the second map presents the exceedance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532"/>
      <w:bookmarkEnd w:id="533"/>
    </w:p>
    <w:p w:rsidR="00B25CAA" w:rsidRPr="00A40CD0" w:rsidRDefault="00B25CAA" w:rsidP="00A12C5B">
      <w:pPr>
        <w:rPr>
          <w:lang w:eastAsia="en-US"/>
        </w:rPr>
      </w:pPr>
    </w:p>
    <w:p w:rsidR="00B25CAA" w:rsidRPr="00A40CD0" w:rsidRDefault="00B25CAA" w:rsidP="00A12C5B">
      <w:pPr>
        <w:rPr>
          <w:lang w:eastAsia="en-US"/>
        </w:rPr>
      </w:pPr>
    </w:p>
    <w:p w:rsidR="00B25CAA" w:rsidRPr="00A40CD0" w:rsidRDefault="00170918" w:rsidP="00A12C5B">
      <w:r>
        <w:rPr>
          <w:noProof/>
        </w:rPr>
        <w:drawing>
          <wp:inline distT="0" distB="0" distL="0" distR="0">
            <wp:extent cx="4320000" cy="4694190"/>
            <wp:effectExtent l="0" t="0" r="0" b="5080"/>
            <wp:docPr id="550" name="Picture 550" descr="Non-algal particulate matter (NAP as a measure of TSS)  exceedance frequency maps for the dry and wet season for the Burnett Mary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1 for Open Coastal and Midshelf and 0.6/0.8 mg L-1 for Offshor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RelNonCompliantDays_20110501_20111031.tif"/>
                    <pic:cNvPicPr/>
                  </pic:nvPicPr>
                  <pic:blipFill>
                    <a:blip r:embed="rId179"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r>
        <w:rPr>
          <w:noProof/>
        </w:rPr>
        <w:drawing>
          <wp:inline distT="0" distB="0" distL="0" distR="0">
            <wp:extent cx="4320000" cy="4694190"/>
            <wp:effectExtent l="0" t="0" r="0" b="5080"/>
            <wp:docPr id="551" name="Picture 551" descr="Non-algal particulate matter (NAP as a measure of TSS)  exceedance frequency maps for the dry and wet season for the Burnett Mary region. The first map presents the exceedance frequency for the dry season 2011 (May - October), while the second map presents the exceedance frequency for the wet season 2011/2012 (November 2011 - April 2012). The seasonally adjusted Guideline values for TSS for the dry/wet season means are 1.6/2.4 mg L-1 for Open Coastal and Midshelf and 0.6/0.8 mg L-1 for Offshor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BU-B09_Y_Nap_MIM_RelNonCompliantDays_20111101_20120430.tif"/>
                    <pic:cNvPicPr/>
                  </pic:nvPicPr>
                  <pic:blipFill>
                    <a:blip r:embed="rId180" cstate="email">
                      <a:extLst>
                        <a:ext uri="{28A0092B-C50C-407E-A947-70E740481C1C}">
                          <a14:useLocalDpi xmlns:a14="http://schemas.microsoft.com/office/drawing/2010/main"/>
                        </a:ext>
                      </a:extLst>
                    </a:blip>
                    <a:stretch>
                      <a:fillRect/>
                    </a:stretch>
                  </pic:blipFill>
                  <pic:spPr>
                    <a:xfrm>
                      <a:off x="0" y="0"/>
                      <a:ext cx="4320000" cy="4694190"/>
                    </a:xfrm>
                    <a:prstGeom prst="rect">
                      <a:avLst/>
                    </a:prstGeom>
                  </pic:spPr>
                </pic:pic>
              </a:graphicData>
            </a:graphic>
          </wp:inline>
        </w:drawing>
      </w:r>
    </w:p>
    <w:p w:rsidR="00B25CAA" w:rsidRPr="00A40CD0" w:rsidRDefault="00B25CAA" w:rsidP="00A12C5B">
      <w:pPr>
        <w:pStyle w:val="Caption"/>
      </w:pPr>
      <w:bookmarkStart w:id="534" w:name="_Ref247857710"/>
      <w:bookmarkStart w:id="535" w:name="_Toc228588372"/>
      <w:bookmarkStart w:id="536" w:name="_Toc399265078"/>
      <w:r w:rsidRPr="00A40CD0">
        <w:t xml:space="preserve">Figure </w:t>
      </w:r>
      <w:r w:rsidR="00EA2F38">
        <w:fldChar w:fldCharType="begin"/>
      </w:r>
      <w:r w:rsidR="00933C8B">
        <w:instrText xml:space="preserve"> SEQ Figure \* ARABIC </w:instrText>
      </w:r>
      <w:r w:rsidR="00EA2F38">
        <w:fldChar w:fldCharType="separate"/>
      </w:r>
      <w:r w:rsidR="00B11F3B">
        <w:rPr>
          <w:noProof/>
        </w:rPr>
        <w:t>92</w:t>
      </w:r>
      <w:r w:rsidR="00EA2F38">
        <w:fldChar w:fldCharType="end"/>
      </w:r>
      <w:bookmarkEnd w:id="534"/>
      <w:r w:rsidRPr="00A40CD0">
        <w:t xml:space="preserve">. Non-algal particulate matter (NAP as a measure of TSS)  exceedance frequency maps for the dry and wet season for the Burnett Mary region. The first map presents the exceedance frequency for </w:t>
      </w:r>
      <w:r w:rsidR="00D3208E">
        <w:t>the dry season 2011 (May - October)</w:t>
      </w:r>
      <w:r w:rsidRPr="00A40CD0">
        <w:t xml:space="preserve">, while the second map presents the exceedance frequency for </w:t>
      </w:r>
      <w:r w:rsidR="00D3208E">
        <w:t>the wet season 2011/2012 (November 2011 - April 2012)</w:t>
      </w:r>
      <w:r w:rsidRPr="00A40CD0">
        <w:t>. The seasonally adjusted Guideline values for TSS for the dry/wet season means are 1.6/2.4 mg L</w:t>
      </w:r>
      <w:r w:rsidRPr="00A40CD0">
        <w:rPr>
          <w:vertAlign w:val="superscript"/>
        </w:rPr>
        <w:t>-1</w:t>
      </w:r>
      <w:r w:rsidRPr="00A40CD0">
        <w:t xml:space="preserve"> for Open Coastal and Midshelf and 0.6/0.8 mg L</w:t>
      </w:r>
      <w:r w:rsidRPr="00A40CD0">
        <w:rPr>
          <w:vertAlign w:val="superscript"/>
        </w:rPr>
        <w:t>-1</w:t>
      </w:r>
      <w:r w:rsidRPr="00A40CD0">
        <w:t xml:space="preserve"> for Offshore.</w:t>
      </w:r>
      <w:bookmarkEnd w:id="535"/>
      <w:bookmarkEnd w:id="536"/>
    </w:p>
    <w:p w:rsidR="00B25CAA" w:rsidRPr="00A40CD0" w:rsidRDefault="00B25CAA" w:rsidP="002E0BD6">
      <w:pPr>
        <w:pStyle w:val="BodyText"/>
        <w:sectPr w:rsidR="00B25CAA" w:rsidRPr="00A40CD0" w:rsidSect="00A12779">
          <w:footerReference w:type="default" r:id="rId181"/>
          <w:pgSz w:w="16838" w:h="11906" w:orient="landscape" w:code="9"/>
          <w:pgMar w:top="1418" w:right="1418" w:bottom="1418" w:left="1418" w:header="567" w:footer="737" w:gutter="0"/>
          <w:cols w:space="708"/>
          <w:docGrid w:linePitch="360"/>
        </w:sectPr>
      </w:pPr>
    </w:p>
    <w:p w:rsidR="00B25CAA" w:rsidRPr="00A40CD0" w:rsidRDefault="00B25CAA" w:rsidP="00943B50">
      <w:pPr>
        <w:pStyle w:val="Heading1"/>
        <w:numPr>
          <w:ilvl w:val="0"/>
          <w:numId w:val="13"/>
        </w:numPr>
      </w:pPr>
      <w:bookmarkStart w:id="537" w:name="_Toc228588208"/>
      <w:bookmarkStart w:id="538" w:name="_Toc399264915"/>
      <w:r w:rsidRPr="00A40CD0">
        <w:lastRenderedPageBreak/>
        <w:t>Conclusion and recomMendations</w:t>
      </w:r>
      <w:bookmarkEnd w:id="537"/>
      <w:bookmarkEnd w:id="538"/>
    </w:p>
    <w:p w:rsidR="00B25CAA" w:rsidRPr="00A40CD0" w:rsidRDefault="00B25CAA" w:rsidP="002E0BD6">
      <w:pPr>
        <w:pStyle w:val="BodyText"/>
      </w:pPr>
      <w:r w:rsidRPr="00A40CD0">
        <w:t xml:space="preserve">A cornerstone of the GBRWQPP and the WQIPs is the setting of water quality objectives against which to assess the success of the actions taken under Reef Rescue to mitigate the effects of nutrients and sediment from runoff and discharges. A key challenge is to detect and monitor the effect of the land management practices on the water quality in the GBR lagoon waters. In this system, the water quality is also influenced by the inter-annual weather variability induced by the </w:t>
      </w:r>
      <w:r w:rsidRPr="00A40CD0">
        <w:rPr>
          <w:i/>
          <w:iCs/>
        </w:rPr>
        <w:t>El Niño-Southern Oscillation</w:t>
      </w:r>
      <w:r w:rsidRPr="00A40CD0">
        <w:t xml:space="preserve"> (ENSO) leading to large year to year variations in the distribution of rainfall events over the GBR catchments resulting in sediment laden river plumes and algal blooms.</w:t>
      </w:r>
    </w:p>
    <w:p w:rsidR="00486360" w:rsidRPr="00A40CD0" w:rsidRDefault="00B8479F" w:rsidP="002E0BD6">
      <w:pPr>
        <w:pStyle w:val="BodyText"/>
      </w:pPr>
      <w:r>
        <w:t>The MMP aims are to document flood and the condition of inshore water quality to explain changes in the health of key inshore environments (coral reefs and seagrass). T</w:t>
      </w:r>
      <w:r w:rsidRPr="00FA5506">
        <w:t xml:space="preserve">o </w:t>
      </w:r>
      <w:r>
        <w:t xml:space="preserve">address these </w:t>
      </w:r>
      <w:r w:rsidRPr="00FA5506">
        <w:t>important management questions</w:t>
      </w:r>
      <w:r>
        <w:t xml:space="preserve"> </w:t>
      </w:r>
      <w:r w:rsidRPr="00A40CD0">
        <w:t xml:space="preserve">water quality </w:t>
      </w:r>
      <w:r>
        <w:t>is monitored using</w:t>
      </w:r>
      <w:r w:rsidRPr="00A40CD0">
        <w:t xml:space="preserve"> three complementary approaches to collect data at various spatial (site, location, region, and whole GBR lagoon) and temporal (snapshot, daily, 10-minutely) scales</w:t>
      </w:r>
      <w:r w:rsidR="00486360" w:rsidRPr="00A40CD0">
        <w:t xml:space="preserve">: traditional direct water sampling from research vessels, </w:t>
      </w:r>
      <w:r w:rsidR="00486360" w:rsidRPr="00503059">
        <w:rPr>
          <w:i/>
        </w:rPr>
        <w:t>in situ</w:t>
      </w:r>
      <w:r w:rsidR="00486360" w:rsidRPr="00A40CD0">
        <w:t xml:space="preserve"> data loggers at a small number of selected inshore reef locations and remote sensing techniques. While data loggers provide detailed information on the local variability in water quality parameters, remote sensing observations provide extensive spatial coverage at 1 km resolution.</w:t>
      </w:r>
    </w:p>
    <w:p w:rsidR="00B25CAA" w:rsidRPr="00A40CD0" w:rsidRDefault="00B8479F" w:rsidP="002E0BD6">
      <w:pPr>
        <w:pStyle w:val="BodyText"/>
      </w:pPr>
      <w:r w:rsidRPr="00A40CD0">
        <w:t>This report delive</w:t>
      </w:r>
      <w:r>
        <w:t>red management-relevant information</w:t>
      </w:r>
      <w:r w:rsidRPr="00A40CD0">
        <w:t xml:space="preserve"> </w:t>
      </w:r>
      <w:r>
        <w:t xml:space="preserve">of flood events and inshore water quality </w:t>
      </w:r>
      <w:r w:rsidR="0000785E">
        <w:t>from remote sensing data to</w:t>
      </w:r>
      <w:r w:rsidRPr="00A40CD0">
        <w:t xml:space="preserve"> </w:t>
      </w:r>
      <w:r>
        <w:t>e</w:t>
      </w:r>
      <w:r w:rsidR="0000785E">
        <w:t>nable GBRMPA and other</w:t>
      </w:r>
      <w:r w:rsidRPr="00A40CD0">
        <w:t xml:space="preserve"> </w:t>
      </w:r>
      <w:r w:rsidR="0000785E">
        <w:t xml:space="preserve">relevant management agencies to </w:t>
      </w:r>
      <w:r w:rsidRPr="00A40CD0">
        <w:t>make more informed management decisions.</w:t>
      </w:r>
      <w:r>
        <w:t xml:space="preserve"> </w:t>
      </w:r>
      <w:r w:rsidR="00B25CAA" w:rsidRPr="00A40CD0">
        <w:t>Remote sensing is a suitable and cost-effective technique for the large-scale monitoring of coastal water quality because it provides synoptic views of the spatial distribution of several variables (CHL, CDOM and TSS).  At present, MODIS Aqua represents a time series (November 2002 – present) of water quality estimates with spatial coverage at 1 km resolution, nominally acquired on a daily basis (except overcast days) for the whole-of-GBR lagoon. The water quality estimates were retrieved from the MODIS Aqua time series using two coupled physics-based inversion algorithms developed to accurately retrieve water quality parameters for the optically complex waters of the GBR lagoon. This was necessary because CHL</w:t>
      </w:r>
      <w:r w:rsidR="006C5921" w:rsidRPr="00A40CD0">
        <w:t xml:space="preserve"> </w:t>
      </w:r>
      <w:r w:rsidR="00B25CAA" w:rsidRPr="00A40CD0">
        <w:t xml:space="preserve">concentrations retrieved with the MODIS standard algorithms provided by NASA are inaccurate up two-fold in GBR waters </w:t>
      </w:r>
      <w:r w:rsidR="00EA2F38" w:rsidRPr="00A40CD0">
        <w:fldChar w:fldCharType="begin"/>
      </w:r>
      <w:r w:rsidR="00AC2F22">
        <w:instrText xml:space="preserve"> ADDIN EN.CITE &lt;EndNote&gt;&lt;Cite ExcludeYear="1"&gt;&lt;Author&gt;Qin&lt;/Author&gt;&lt;RecNum&gt;4624&lt;/RecNum&gt;&lt;Suffix&gt;`, 2007&lt;/Suffix&gt;&lt;DisplayText&gt;(Qin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00B25CAA" w:rsidRPr="00A40CD0">
        <w:t>, while regionally parameterised algorithms account for the significant variation in concentrations of CDOM and TSS and achieve more accurate retrievals.</w:t>
      </w:r>
    </w:p>
    <w:p w:rsidR="00B25CAA" w:rsidRPr="00A40CD0" w:rsidRDefault="00C064D2" w:rsidP="002E0BD6">
      <w:pPr>
        <w:pStyle w:val="BodyText"/>
      </w:pPr>
      <w:r>
        <w:t xml:space="preserve">For this report the whole MODIS aqua time series was reprocessed with </w:t>
      </w:r>
      <w:r w:rsidRPr="00805D17">
        <w:t xml:space="preserve">the most recent updates in </w:t>
      </w:r>
      <w:r>
        <w:t>NASA’s software (SeaDAS version 6.4</w:t>
      </w:r>
      <w:r w:rsidRPr="00805D17">
        <w:t>)</w:t>
      </w:r>
      <w:r>
        <w:t xml:space="preserve">, incorporating the </w:t>
      </w:r>
      <w:r w:rsidRPr="00057D0D">
        <w:t>improved knowledge of instrument temporal calibration to improve temporal stability of the time series of the MODIS AQUA aging sensor</w:t>
      </w:r>
      <w:r>
        <w:t xml:space="preserve">. Furthermore, the parameterization of both the </w:t>
      </w:r>
      <w:r w:rsidRPr="00A40CD0">
        <w:t>ANN atmospheric correction</w:t>
      </w:r>
      <w:r>
        <w:t xml:space="preserve"> and the adaptive </w:t>
      </w:r>
      <w:r w:rsidRPr="00A40CD0">
        <w:t>Linear Matrix Inversion</w:t>
      </w:r>
      <w:r>
        <w:t xml:space="preserve"> (a-LMI) water quality algorithm were revised to improve accuracy in turbid waters and reduce over-estimates of TSS concentrations in the Midshelf. </w:t>
      </w:r>
      <w:r w:rsidR="00B25CAA" w:rsidRPr="00A40CD0">
        <w:t xml:space="preserve">The comparison of MODIS Aqua retrievals of CHL, CDOM </w:t>
      </w:r>
      <w:r w:rsidR="00D55147" w:rsidRPr="00A40CD0">
        <w:t>and NAP</w:t>
      </w:r>
      <w:r w:rsidR="00B25CAA" w:rsidRPr="00A40CD0">
        <w:t xml:space="preserve"> with</w:t>
      </w:r>
      <w:r w:rsidR="00B25CAA" w:rsidRPr="00A40CD0">
        <w:rPr>
          <w:i/>
        </w:rPr>
        <w:t xml:space="preserve"> in situ</w:t>
      </w:r>
      <w:r w:rsidR="00B25CAA" w:rsidRPr="00A40CD0">
        <w:t xml:space="preserve"> data showed that the regional algorithm coupled with the ANN atmospheric correction is more accurate than NASA’s algorithms for GBR waters. </w:t>
      </w:r>
      <w:r w:rsidR="00E81FC3" w:rsidRPr="00A40CD0">
        <w:t xml:space="preserve">The </w:t>
      </w:r>
      <w:r w:rsidR="00E81FC3">
        <w:t xml:space="preserve">uncertainty </w:t>
      </w:r>
      <w:r w:rsidR="00E81FC3" w:rsidRPr="00A40CD0">
        <w:t>for the retrieval of CHL, CDOM and TSS with the coupled physics-</w:t>
      </w:r>
      <w:r w:rsidR="00E81FC3">
        <w:t>based inversion algorithms was 89%, 68% and 77</w:t>
      </w:r>
      <w:r w:rsidR="00E81FC3" w:rsidRPr="00A40CD0">
        <w:t>%, respectively</w:t>
      </w:r>
      <w:r w:rsidR="00B25CAA" w:rsidRPr="00A40CD0">
        <w:t>. The parameterization and validation on the remote sensing retrievals was mainly based on observations performed in coastal and lagoonal waters during the dry season between Keppel Bay and the Wet Tropics. The accuracy of the retrieval is likely to be lower in shallow and turbid water systems such as Princess Charlotte Bay, Broad Sound and Shoalwater Bay where there was no data available for parameterization and validation.</w:t>
      </w:r>
      <w:r w:rsidR="006C5921" w:rsidRPr="00A40CD0">
        <w:t xml:space="preserve"> </w:t>
      </w:r>
    </w:p>
    <w:p w:rsidR="00B25CAA" w:rsidRPr="00A40CD0" w:rsidRDefault="00241CD4" w:rsidP="002E0BD6">
      <w:pPr>
        <w:pStyle w:val="BodyText"/>
      </w:pPr>
      <w:r>
        <w:lastRenderedPageBreak/>
        <w:t>The</w:t>
      </w:r>
      <w:r w:rsidRPr="000F3310">
        <w:t xml:space="preserve"> combination</w:t>
      </w:r>
      <w:r w:rsidR="00B25CAA" w:rsidRPr="00A40CD0">
        <w:t xml:space="preserve"> of </w:t>
      </w:r>
      <w:r w:rsidRPr="000F3310">
        <w:t xml:space="preserve">expanding catchment development and modification of land-use has resulted in </w:t>
      </w:r>
      <w:r w:rsidR="00B25CAA" w:rsidRPr="00A40CD0">
        <w:t xml:space="preserve">a </w:t>
      </w:r>
      <w:r w:rsidRPr="000F3310">
        <w:t>significant decline in</w:t>
      </w:r>
      <w:r w:rsidR="00B25CAA" w:rsidRPr="00A40CD0">
        <w:t xml:space="preserve"> the </w:t>
      </w:r>
      <w:r w:rsidRPr="000F3310">
        <w:t>quality of water flowing into the reef lagoon over the past 150 years</w:t>
      </w:r>
      <w:r>
        <w:t xml:space="preserve">. </w:t>
      </w:r>
      <w:r w:rsidRPr="000F3310">
        <w:t xml:space="preserve">Flood events in the wet season </w:t>
      </w:r>
      <w:r>
        <w:t xml:space="preserve">are the main </w:t>
      </w:r>
      <w:r w:rsidRPr="000F3310">
        <w:t>deliver</w:t>
      </w:r>
      <w:r>
        <w:t xml:space="preserve">y mechanism for </w:t>
      </w:r>
      <w:r w:rsidRPr="000F3310">
        <w:t>nutrients, sediments and pesticides from the adjacent catchments into the Reef lagoon</w:t>
      </w:r>
      <w:r w:rsidRPr="00241CD4">
        <w:t>.</w:t>
      </w:r>
      <w:r w:rsidRPr="00517CDF">
        <w:t xml:space="preserve"> </w:t>
      </w:r>
      <w:r w:rsidR="00B25CAA" w:rsidRPr="00A40CD0">
        <w:t>The freshwater extent was estimated for each region from MODIS measurements within the wet season of each year by applying a threshold to maps of aggregated seasonal maximum CDOM concentrations. For this study a CDOM absorption threshold was established based a relationship between measurements of salinity and CDOM absorption</w:t>
      </w:r>
      <w:r w:rsidR="00B25CAA" w:rsidRPr="00A40CD0" w:rsidDel="00FE78EC">
        <w:t xml:space="preserve"> </w:t>
      </w:r>
      <w:r w:rsidR="00EA2F38" w:rsidRPr="00A40CD0">
        <w:fldChar w:fldCharType="begin"/>
      </w:r>
      <w:r w:rsidR="00AC2F22">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EA2F38" w:rsidRPr="00A40CD0">
        <w:fldChar w:fldCharType="separate"/>
      </w:r>
      <w:r w:rsidR="00AC2F22">
        <w:rPr>
          <w:noProof/>
        </w:rPr>
        <w:t>(</w:t>
      </w:r>
      <w:hyperlink w:anchor="_ENREF_48" w:tooltip="Schroeder, 2012 #4647" w:history="1">
        <w:r w:rsidR="007B7C47">
          <w:rPr>
            <w:noProof/>
          </w:rPr>
          <w:t>Schroeder et al. 2012</w:t>
        </w:r>
      </w:hyperlink>
      <w:r w:rsidR="00AC2F22">
        <w:rPr>
          <w:noProof/>
        </w:rPr>
        <w:t>)</w:t>
      </w:r>
      <w:r w:rsidR="00EA2F38" w:rsidRPr="00A40CD0">
        <w:fldChar w:fldCharType="end"/>
      </w:r>
      <w:r w:rsidR="00B25CAA" w:rsidRPr="00A40CD0">
        <w:t>. The high CDOM concentrations may also reflect other processes in occurring in near-shore waters, further work should also attempt to separate the plumes from non-plume effects.</w:t>
      </w:r>
    </w:p>
    <w:p w:rsidR="00B25CAA" w:rsidRPr="00A40CD0" w:rsidRDefault="00B25CAA" w:rsidP="002E0BD6">
      <w:pPr>
        <w:pStyle w:val="BodyText"/>
      </w:pPr>
      <w:r w:rsidRPr="00A40CD0">
        <w:t xml:space="preserve">The freshwater extent based on the CDOM maximum provides a conservative estimate of the extent as the flood plumes could have extended further in cloudy or overcast days and hence may not been captured with the satellite imagery. However as the proposed method is biased by cloud cover and quality flagging of erroneous pixels, the most comprehensive way of assessing freshwater extent into the GBR will be a combination of in-situ sampling and satellite observations (augmented by aerial surveys where and when feasible). </w:t>
      </w:r>
      <w:r w:rsidR="00C064D2" w:rsidRPr="00812678">
        <w:t>The estimated freshwater extent for the whole GBRWHA was highly correlated to the total freshwater discharges (R2=0.835), the freshwater extent for 2011/2012 was similar in magnitude to 2007-2010 period as observed with the MODIS time series. The estimated freshwater extent for 2011/2012 was larger than in 2010/2011 only for the Burdekin and Burnett Mary regions, while for Fitzroy and the Wet Tropics it was higher than the median extents observed with the MODIS time series.</w:t>
      </w:r>
      <w:r w:rsidR="00812678" w:rsidRPr="00812678">
        <w:t xml:space="preserve"> These results were consistent with the </w:t>
      </w:r>
      <w:r w:rsidR="00812678">
        <w:t xml:space="preserve">results of the </w:t>
      </w:r>
      <w:r w:rsidR="00812678" w:rsidRPr="00812678">
        <w:t>qualitative and quantita</w:t>
      </w:r>
      <w:r w:rsidR="00812678">
        <w:t>ti</w:t>
      </w:r>
      <w:r w:rsidR="00812678" w:rsidRPr="00812678">
        <w:t xml:space="preserve">ve flood mapping approaches carried out in the </w:t>
      </w:r>
      <w:r w:rsidR="00812678">
        <w:t>flood plumes and e</w:t>
      </w:r>
      <w:r w:rsidR="00812678" w:rsidRPr="00812678">
        <w:t>xtreme weather monitoring</w:t>
      </w:r>
      <w:r w:rsidR="00812678">
        <w:t xml:space="preserve"> activities of the MMP </w:t>
      </w:r>
      <w:r w:rsidR="00EA2F38">
        <w:fldChar w:fldCharType="begin"/>
      </w:r>
      <w:r w:rsidR="00AC2F22">
        <w:instrText xml:space="preserve"> ADDIN EN.CITE &lt;EndNote&gt;&lt;Cite&gt;&lt;Author&gt;Devlin&lt;/Author&gt;&lt;Year&gt;2012&lt;/Year&gt;&lt;RecNum&gt;4691&lt;/RecNum&gt;&lt;DisplayText&gt;(Devlin et al. 2012)&lt;/DisplayText&gt;&lt;record&gt;&lt;rec-number&gt;4691&lt;/rec-number&gt;&lt;foreign-keys&gt;&lt;key app="EN" db-id="z0vwsaa0gfvsr1e2sr7p90rtdtevf52r2we9"&gt;4691&lt;/key&gt;&lt;/foreign-keys&gt;&lt;ref-type name="Report"&gt;27&lt;/ref-type&gt;&lt;contributors&gt;&lt;authors&gt;&lt;author&gt;Michelle Devlin&lt;/author&gt;&lt;author&gt;Amelia Wenger&lt;/author&gt;&lt;author&gt;Caroline Petus&lt;/author&gt;&lt;author&gt;Eduardo Teixeira da Silva&lt;/author&gt;&lt;author&gt;Jen Debose&lt;/author&gt;&lt;author&gt;Jorge Alvarez-Romero&lt;/author&gt;&lt;/authors&gt;&lt;/contributors&gt;&lt;titles&gt;&lt;title&gt;Reef Rescue Marine Monitoring Program: Final report of JCU Activities 2011/12 - Flood Plumes and Extreme weather monitoring for the Great Barrier Reef Marine Park Authority.&lt;/title&gt;&lt;/titles&gt;&lt;dates&gt;&lt;year&gt;2012&lt;/year&gt;&lt;/dates&gt;&lt;urls&gt;&lt;/urls&gt;&lt;/record&gt;&lt;/Cite&gt;&lt;/EndNote&gt;</w:instrText>
      </w:r>
      <w:r w:rsidR="00EA2F38">
        <w:fldChar w:fldCharType="separate"/>
      </w:r>
      <w:r w:rsidR="00AC2F22">
        <w:rPr>
          <w:noProof/>
        </w:rPr>
        <w:t>(</w:t>
      </w:r>
      <w:hyperlink w:anchor="_ENREF_19" w:tooltip="Devlin, 2012 #4691" w:history="1">
        <w:r w:rsidR="007B7C47">
          <w:rPr>
            <w:noProof/>
          </w:rPr>
          <w:t>Devlin et al. 2012</w:t>
        </w:r>
      </w:hyperlink>
      <w:r w:rsidR="00AC2F22">
        <w:rPr>
          <w:noProof/>
        </w:rPr>
        <w:t>)</w:t>
      </w:r>
      <w:r w:rsidR="00EA2F38">
        <w:fldChar w:fldCharType="end"/>
      </w:r>
      <w:r w:rsidR="00812678">
        <w:t>.</w:t>
      </w:r>
    </w:p>
    <w:p w:rsidR="00B25CAA" w:rsidRPr="00A40CD0" w:rsidRDefault="00B25CAA" w:rsidP="002E0BD6">
      <w:pPr>
        <w:pStyle w:val="BodyText"/>
      </w:pPr>
      <w:r w:rsidRPr="00A40CD0">
        <w:t xml:space="preserve">The Guidelines provide triggers for management action where exceedance occurs and threshold levels for analysis of current condition as well as trend monitoring. The exceedance assessment results evaluated for CHL and TSS were presented a as maps illustrating the exceedance of the Guidelines (EG) and the exceedance frequency (EF). The spatial patterns in EG and EF were function of the coastal to offshore gradients that can be observed in the median maps and of the steep changes in trigger values between the </w:t>
      </w:r>
      <w:r w:rsidR="003E0682">
        <w:t xml:space="preserve">Enclosed Coastal and Open Coastal as well as the </w:t>
      </w:r>
      <w:r w:rsidRPr="00A40CD0">
        <w:t>Midshelf and Offshore areas.</w:t>
      </w:r>
    </w:p>
    <w:p w:rsidR="00C064D2" w:rsidRDefault="00C064D2" w:rsidP="002E0BD6">
      <w:pPr>
        <w:pStyle w:val="BodyText"/>
      </w:pPr>
      <w:r>
        <w:t>The t</w:t>
      </w:r>
      <w:r w:rsidRPr="00A40CD0">
        <w:t>wo component indicators</w:t>
      </w:r>
      <w:r>
        <w:t xml:space="preserve"> of the Paddock to Reef marine water quality index are based on the </w:t>
      </w:r>
      <w:r w:rsidRPr="00A40CD0">
        <w:t>spatial extent of non-compliance</w:t>
      </w:r>
      <w:r>
        <w:t xml:space="preserve"> in the Inshore</w:t>
      </w:r>
      <w:r w:rsidRPr="00A40CD0">
        <w:t xml:space="preserve"> water body</w:t>
      </w:r>
      <w:r>
        <w:t xml:space="preserve">. </w:t>
      </w:r>
      <w:r w:rsidRPr="00A40CD0">
        <w:t xml:space="preserve">The </w:t>
      </w:r>
      <w:r>
        <w:t xml:space="preserve">Inshore water body includes the </w:t>
      </w:r>
      <w:r w:rsidRPr="00A40CD0">
        <w:t>Open Coastal</w:t>
      </w:r>
      <w:r>
        <w:t xml:space="preserve"> waters and </w:t>
      </w:r>
      <w:r w:rsidRPr="00A40CD0">
        <w:t>the Enclos</w:t>
      </w:r>
      <w:r>
        <w:t>ed coastal waters that have</w:t>
      </w:r>
      <w:r w:rsidRPr="00A40CD0">
        <w:t xml:space="preserve"> been delineated </w:t>
      </w:r>
      <w:r>
        <w:t>in this report</w:t>
      </w:r>
      <w:r w:rsidR="003E0682">
        <w:t xml:space="preserve"> by performing a cluster </w:t>
      </w:r>
      <w:r w:rsidR="0087589D">
        <w:t>analysis of the MODIS AQUA CHL time series</w:t>
      </w:r>
      <w:r w:rsidRPr="00A40CD0">
        <w:t xml:space="preserve">. </w:t>
      </w:r>
      <w:r>
        <w:t xml:space="preserve">The </w:t>
      </w:r>
      <w:r w:rsidR="00775C7C">
        <w:t>propos</w:t>
      </w:r>
      <w:r w:rsidR="00FD7A6C">
        <w:t>e</w:t>
      </w:r>
      <w:r w:rsidR="00775C7C">
        <w:t xml:space="preserve">d delineation </w:t>
      </w:r>
      <w:r w:rsidR="00FD7A6C">
        <w:t xml:space="preserve">for the </w:t>
      </w:r>
      <w:r>
        <w:t>Enclosed Coastal waters account for 15-30% of the Inshore water body in the NRM regions.</w:t>
      </w:r>
      <w:r w:rsidR="0087589D">
        <w:t xml:space="preserve"> </w:t>
      </w:r>
      <w:r w:rsidRPr="00A40CD0">
        <w:t xml:space="preserve">As the guideline values for CHL and TSS for the Enclosed Coastal waters are higher than those for the Open Coastal water body, </w:t>
      </w:r>
      <w:r>
        <w:t xml:space="preserve">this study demonstrated that </w:t>
      </w:r>
      <w:r w:rsidRPr="00A40CD0">
        <w:t xml:space="preserve">the relative area of non-compliance for the </w:t>
      </w:r>
      <w:r>
        <w:t xml:space="preserve">Inshore waters </w:t>
      </w:r>
      <w:r w:rsidRPr="00A40CD0">
        <w:t>is over-estimated</w:t>
      </w:r>
      <w:r>
        <w:t xml:space="preserve"> if the Enclosed waters delineation is not taken in account. Hence the </w:t>
      </w:r>
      <w:r w:rsidR="00FD7A6C">
        <w:t xml:space="preserve">proposed </w:t>
      </w:r>
      <w:r>
        <w:t xml:space="preserve">delineation of </w:t>
      </w:r>
      <w:r w:rsidRPr="00A40CD0">
        <w:t>the</w:t>
      </w:r>
      <w:r>
        <w:t xml:space="preserve"> Enclosed Coastal water body </w:t>
      </w:r>
      <w:r w:rsidRPr="00A40CD0">
        <w:t>improve</w:t>
      </w:r>
      <w:r>
        <w:t>d</w:t>
      </w:r>
      <w:r w:rsidRPr="00A40CD0">
        <w:t xml:space="preserve"> the estimates of the spatial extent of non-compliance</w:t>
      </w:r>
      <w:r>
        <w:t xml:space="preserve"> and the Paddock to Reef marine water quality index.</w:t>
      </w:r>
    </w:p>
    <w:p w:rsidR="00FD7A6C" w:rsidRDefault="00FD7A6C" w:rsidP="00FD7A6C">
      <w:pPr>
        <w:pStyle w:val="BodyText"/>
      </w:pPr>
      <w:r>
        <w:t>It is recommended to GBRMPA that t</w:t>
      </w:r>
      <w:r w:rsidRPr="00775C7C">
        <w:t xml:space="preserve">he proposed delineation </w:t>
      </w:r>
      <w:r>
        <w:t xml:space="preserve">of the Enclosed Coastal waters should be taken </w:t>
      </w:r>
      <w:r w:rsidRPr="00775C7C">
        <w:t xml:space="preserve">in consideration </w:t>
      </w:r>
      <w:r>
        <w:t xml:space="preserve">together with </w:t>
      </w:r>
      <w:r w:rsidRPr="00775C7C">
        <w:t>other data sources including the Queensland Wetlands 2009 data, depth contours, hydrodynamics and sources of freshwater input to the coast prior to selecting the final water body delineation</w:t>
      </w:r>
      <w:r>
        <w:t xml:space="preserve"> for formal implementation in the Guidelines</w:t>
      </w:r>
      <w:r w:rsidRPr="00775C7C">
        <w:t>.</w:t>
      </w:r>
    </w:p>
    <w:p w:rsidR="00FD7A6C" w:rsidRPr="00A40CD0" w:rsidRDefault="00FD7A6C" w:rsidP="002E0BD6">
      <w:pPr>
        <w:pStyle w:val="BodyText"/>
      </w:pPr>
    </w:p>
    <w:p w:rsidR="00C064D2" w:rsidRDefault="00C064D2" w:rsidP="002E0BD6">
      <w:pPr>
        <w:pStyle w:val="BodyText"/>
      </w:pPr>
      <w:r w:rsidRPr="00A40CD0">
        <w:lastRenderedPageBreak/>
        <w:t>The marine water quality for this reporting year for the whole GBR was scored as “</w:t>
      </w:r>
      <w:r>
        <w:t>moderate</w:t>
      </w:r>
      <w:r w:rsidRPr="00A40CD0">
        <w:t>”, reflecting the</w:t>
      </w:r>
      <w:r>
        <w:t xml:space="preserve"> one</w:t>
      </w:r>
      <w:r w:rsidRPr="00A40CD0">
        <w:t xml:space="preserve"> “poor”</w:t>
      </w:r>
      <w:r>
        <w:t xml:space="preserve"> and three “moderate”</w:t>
      </w:r>
      <w:r w:rsidRPr="00A40CD0">
        <w:t xml:space="preserve"> score</w:t>
      </w:r>
      <w:r>
        <w:t>s</w:t>
      </w:r>
      <w:r w:rsidRPr="00A40CD0">
        <w:t xml:space="preserve"> for P2R_WQI </w:t>
      </w:r>
      <w:r>
        <w:t xml:space="preserve">in the four </w:t>
      </w:r>
      <w:r w:rsidRPr="00A40CD0">
        <w:t>reporting regions</w:t>
      </w:r>
      <w:r>
        <w:t xml:space="preserve"> that contribute the whole of GBR score</w:t>
      </w:r>
      <w:r w:rsidR="008C1B13">
        <w:t xml:space="preserve"> (t</w:t>
      </w:r>
      <w:r w:rsidR="008C1B13" w:rsidRPr="00A40CD0">
        <w:t xml:space="preserve">he regional scores for Cape York and Burnett Mary are excluded from calculations </w:t>
      </w:r>
      <w:r w:rsidR="008C1B13">
        <w:t xml:space="preserve">of the </w:t>
      </w:r>
      <w:r w:rsidR="008C1B13" w:rsidRPr="00A40CD0">
        <w:t>overall GBR score for each metric</w:t>
      </w:r>
      <w:r w:rsidR="008C1B13">
        <w:t xml:space="preserve"> </w:t>
      </w:r>
      <w:r w:rsidR="008C1B13" w:rsidRPr="00A40CD0">
        <w:t>as limited field information was used for the parameterization and validation on the remote sensing retrievals</w:t>
      </w:r>
      <w:r w:rsidR="008C1B13">
        <w:t>)</w:t>
      </w:r>
      <w:r>
        <w:t xml:space="preserve">. </w:t>
      </w:r>
      <w:r w:rsidRPr="00A40CD0">
        <w:t>The scores fo</w:t>
      </w:r>
      <w:r>
        <w:t xml:space="preserve">r the two component indicators </w:t>
      </w:r>
      <w:r w:rsidRPr="00A40CD0">
        <w:t>for the whole GBR were “poor” for P2R_CHL and “moderate” for P2R_TSS, reflecting the “very poor” to “</w:t>
      </w:r>
      <w:r>
        <w:t>moderate</w:t>
      </w:r>
      <w:r w:rsidRPr="00A40CD0">
        <w:t>” regional scores for P2R_CHL and “</w:t>
      </w:r>
      <w:r>
        <w:t>moderate</w:t>
      </w:r>
      <w:r w:rsidRPr="00A40CD0">
        <w:t xml:space="preserve">” to “good” regional scores from P2R_TSS. </w:t>
      </w:r>
    </w:p>
    <w:p w:rsidR="00862279" w:rsidRDefault="00C064D2" w:rsidP="002E0BD6">
      <w:pPr>
        <w:pStyle w:val="BodyText"/>
      </w:pPr>
      <w:r>
        <w:t>L</w:t>
      </w:r>
      <w:r w:rsidR="00862279" w:rsidRPr="00466F8D">
        <w:t xml:space="preserve">arge areas of TSS exceedance occurred in Offshore areas, particularly in </w:t>
      </w:r>
      <w:r>
        <w:t xml:space="preserve">Cape York, </w:t>
      </w:r>
      <w:r w:rsidR="00862279" w:rsidRPr="00466F8D">
        <w:t>the Mackay-Whitsunday and Fitzroy reporting regions</w:t>
      </w:r>
      <w:r>
        <w:t xml:space="preserve"> at the boundary between the Midshelf and Offshore waters</w:t>
      </w:r>
      <w:r w:rsidR="00862279" w:rsidRPr="00466F8D">
        <w:t>. These large areas of exceedance of the mean annual TSS values may be due to either an over-estimate of the mean TSS concentrations in Offshore waters or t</w:t>
      </w:r>
      <w:r w:rsidR="00503059">
        <w:t>o</w:t>
      </w:r>
      <w:r w:rsidR="00862279" w:rsidRPr="00466F8D">
        <w:t xml:space="preserve"> a low guideline threshold value</w:t>
      </w:r>
      <w:r w:rsidR="00560A21">
        <w:t xml:space="preserve"> for those waters</w:t>
      </w:r>
      <w:r w:rsidR="003E0682">
        <w:t xml:space="preserve"> as a consequence of a wrong delineation of the O</w:t>
      </w:r>
      <w:r w:rsidR="00560A21">
        <w:t>ffshore boundary</w:t>
      </w:r>
      <w:r w:rsidR="0087589D">
        <w:t>.</w:t>
      </w:r>
      <w:r w:rsidR="00862279" w:rsidRPr="00466F8D">
        <w:t xml:space="preserve"> Future work should attempt to assess the accuracy of TSS and CHL</w:t>
      </w:r>
      <w:r w:rsidR="00862279">
        <w:t xml:space="preserve"> retrieval from satellite data</w:t>
      </w:r>
      <w:r w:rsidR="00862279" w:rsidRPr="00466F8D">
        <w:t xml:space="preserve"> a</w:t>
      </w:r>
      <w:r w:rsidR="00862279">
        <w:t xml:space="preserve">t a regional and seasonal scale, if </w:t>
      </w:r>
      <w:r w:rsidR="00862279" w:rsidRPr="00466F8D">
        <w:t>enough validation data point</w:t>
      </w:r>
      <w:r w:rsidR="00862279">
        <w:t>s become available</w:t>
      </w:r>
      <w:r w:rsidR="00862279" w:rsidRPr="00466F8D">
        <w:t>.</w:t>
      </w:r>
      <w:r w:rsidR="00862279">
        <w:t xml:space="preserve"> </w:t>
      </w:r>
      <w:r w:rsidR="00DF5B32">
        <w:t>It is recommended to GBRMPA</w:t>
      </w:r>
      <w:r w:rsidR="005015DB">
        <w:t xml:space="preserve"> that, consistently with the adaptive monitoring paradigm </w:t>
      </w:r>
      <w:r w:rsidR="00EA2F38">
        <w:fldChar w:fldCharType="begin"/>
      </w:r>
      <w:r w:rsidR="00F32695">
        <w:instrText xml:space="preserve"> ADDIN EN.CITE &lt;EndNote&gt;&lt;Cite&gt;&lt;Author&gt;Lindenmayer&lt;/Author&gt;&lt;Year&gt;2009&lt;/Year&gt;&lt;RecNum&gt;4688&lt;/RecNum&gt;&lt;DisplayText&gt;(Lindenmayer and Likens 2009)&lt;/DisplayText&gt;&lt;record&gt;&lt;rec-number&gt;4688&lt;/rec-number&gt;&lt;foreign-keys&gt;&lt;key app="EN" db-id="z0vwsaa0gfvsr1e2sr7p90rtdtevf52r2we9"&gt;4688&lt;/key&gt;&lt;/foreign-keys&gt;&lt;ref-type name="Journal Article"&gt;17&lt;/ref-type&gt;&lt;contributors&gt;&lt;authors&gt;&lt;author&gt;Lindenmayer, David B.&lt;/author&gt;&lt;author&gt;Likens, Gene E.&lt;/author&gt;&lt;/authors&gt;&lt;/contributors&gt;&lt;titles&gt;&lt;title&gt;Adaptive monitoring: a new paradigm for long-term research and monitoring&lt;/title&gt;&lt;secondary-title&gt;Trends in ecology &amp;amp; evolution (Personal edition)&lt;/secondary-title&gt;&lt;/titles&gt;&lt;periodical&gt;&lt;full-title&gt;Trends in ecology &amp;amp; evolution (Personal edition)&lt;/full-title&gt;&lt;/periodical&gt;&lt;pages&gt;482-486&lt;/pages&gt;&lt;volume&gt;24&lt;/volume&gt;&lt;number&gt;9&lt;/number&gt;&lt;dates&gt;&lt;year&gt;2009&lt;/year&gt;&lt;/dates&gt;&lt;publisher&gt;Elsevier Science Publishers&lt;/publisher&gt;&lt;isbn&gt;0169-5347&lt;/isbn&gt;&lt;urls&gt;&lt;related-urls&gt;&lt;url&gt;http://linkinghub.elsevier.com/retrieve/pii/S0169534709001219&lt;/url&gt;&lt;/related-urls&gt;&lt;/urls&gt;&lt;/record&gt;&lt;/Cite&gt;&lt;/EndNote&gt;</w:instrText>
      </w:r>
      <w:r w:rsidR="00EA2F38">
        <w:fldChar w:fldCharType="separate"/>
      </w:r>
      <w:r w:rsidR="00F32695">
        <w:rPr>
          <w:noProof/>
        </w:rPr>
        <w:t>(</w:t>
      </w:r>
      <w:hyperlink w:anchor="_ENREF_34" w:tooltip="Lindenmayer, 2009 #4688" w:history="1">
        <w:r w:rsidR="007B7C47">
          <w:rPr>
            <w:noProof/>
          </w:rPr>
          <w:t>Lindenmayer and Likens 2009</w:t>
        </w:r>
      </w:hyperlink>
      <w:r w:rsidR="00F32695">
        <w:rPr>
          <w:noProof/>
        </w:rPr>
        <w:t>)</w:t>
      </w:r>
      <w:r w:rsidR="00EA2F38">
        <w:fldChar w:fldCharType="end"/>
      </w:r>
      <w:r w:rsidR="005015DB">
        <w:t xml:space="preserve">, </w:t>
      </w:r>
      <w:r w:rsidR="00DF5B32">
        <w:t xml:space="preserve">a re-assessment of the </w:t>
      </w:r>
      <w:r w:rsidR="00896D09">
        <w:t xml:space="preserve">Guidelines threshold values, </w:t>
      </w:r>
      <w:r w:rsidR="00560A21">
        <w:t>the delineation of the reporting boundaries</w:t>
      </w:r>
      <w:r w:rsidR="00896D09">
        <w:t xml:space="preserve">, as well as the </w:t>
      </w:r>
      <w:r w:rsidR="00DF5B32">
        <w:t>regi</w:t>
      </w:r>
      <w:r w:rsidR="00896D09">
        <w:t>onal and seasonal adjustments</w:t>
      </w:r>
      <w:r w:rsidR="00DF5B32">
        <w:t>,</w:t>
      </w:r>
      <w:r w:rsidR="005015DB">
        <w:t xml:space="preserve"> is carried out</w:t>
      </w:r>
      <w:r w:rsidR="00DF5B32">
        <w:t xml:space="preserve"> as part of the Guidelines review cycle.</w:t>
      </w:r>
    </w:p>
    <w:p w:rsidR="00862279" w:rsidRDefault="00DF5B32" w:rsidP="002E0BD6">
      <w:pPr>
        <w:pStyle w:val="BodyText"/>
      </w:pPr>
      <w:r w:rsidRPr="00A40CD0">
        <w:t>The number of available observations was significantly lower in the wet season than the dry season in all regions. This was mainly due to the higher cloud cover and aerosol concentration in the wet season. It is possible that cloud cover introduces a bias in the sampling if the remote sensing imagery does not effectively capture the extreme values in concentrations of CHL and TSS during and following flood events. The estimate of the mean values for the wet season, and to a lesser extent for the whole year, are more likely to be affected than the estimate of the median values by the "non-sampling" of the higher values due to cloud cover.</w:t>
      </w:r>
      <w:r>
        <w:t xml:space="preserve"> In an attempt to address this issue, in this report the </w:t>
      </w:r>
      <w:r w:rsidRPr="00A40CD0">
        <w:t xml:space="preserve">exceedance </w:t>
      </w:r>
      <w:r>
        <w:t xml:space="preserve">of the Guidelines </w:t>
      </w:r>
      <w:r w:rsidRPr="00A40CD0">
        <w:t>for CHL and TSS</w:t>
      </w:r>
      <w:r>
        <w:t xml:space="preserve"> was evaluated by comparing the mean as well as the median values of the variables to the appropriate seasonal and regional values</w:t>
      </w:r>
      <w:r w:rsidRPr="00A40CD0">
        <w:t xml:space="preserve">, even if the mean values are identified in the Guidelines. </w:t>
      </w:r>
      <w:r>
        <w:t xml:space="preserve"> </w:t>
      </w:r>
      <w:r w:rsidRPr="00A40CD0">
        <w:t>Also, the effect of calculating a mean value for a given location based on 6-8 samples in a year or 100-200 values is quite different from a statistical sampling design perspective</w:t>
      </w:r>
      <w:r w:rsidR="00D11D25">
        <w:t>,</w:t>
      </w:r>
      <w:r w:rsidRPr="00A40CD0">
        <w:t xml:space="preserve"> as the distribution of the effective sampling due to the cloud cover may bias the estimate of mean values. </w:t>
      </w:r>
      <w:r>
        <w:t xml:space="preserve">These </w:t>
      </w:r>
      <w:r w:rsidR="006403E6">
        <w:t xml:space="preserve">implementation </w:t>
      </w:r>
      <w:r>
        <w:t xml:space="preserve">issues should </w:t>
      </w:r>
      <w:r w:rsidR="00D11D25">
        <w:t>be included</w:t>
      </w:r>
      <w:r w:rsidR="009618C8">
        <w:t xml:space="preserve"> </w:t>
      </w:r>
      <w:r w:rsidR="00D11D25">
        <w:t xml:space="preserve">by GBRMPA in the scope of </w:t>
      </w:r>
      <w:r w:rsidR="006403E6">
        <w:t xml:space="preserve">a </w:t>
      </w:r>
      <w:r w:rsidR="0090648D">
        <w:t xml:space="preserve">review of the </w:t>
      </w:r>
      <w:r w:rsidR="009618C8">
        <w:t>Guidelines</w:t>
      </w:r>
      <w:r w:rsidR="00D11D25">
        <w:t>.</w:t>
      </w:r>
    </w:p>
    <w:p w:rsidR="00655907" w:rsidRPr="00655907" w:rsidRDefault="00B8479F" w:rsidP="002E0BD6">
      <w:pPr>
        <w:pStyle w:val="BodyText"/>
      </w:pPr>
      <w:r>
        <w:t>To documents</w:t>
      </w:r>
      <w:r w:rsidR="00486360" w:rsidRPr="00A40CD0">
        <w:t xml:space="preserve"> the </w:t>
      </w:r>
      <w:r>
        <w:t>condition</w:t>
      </w:r>
      <w:r w:rsidR="00486360" w:rsidRPr="00A40CD0">
        <w:t xml:space="preserve"> of </w:t>
      </w:r>
      <w:r>
        <w:t>inshore water quality in</w:t>
      </w:r>
      <w:r w:rsidR="00486360" w:rsidRPr="00A40CD0">
        <w:t xml:space="preserve"> the </w:t>
      </w:r>
      <w:r>
        <w:t xml:space="preserve">GBRWHA, the current design of </w:t>
      </w:r>
      <w:r w:rsidR="00486360" w:rsidRPr="00A40CD0">
        <w:t xml:space="preserve">MMP </w:t>
      </w:r>
      <w:r>
        <w:t>relies on</w:t>
      </w:r>
      <w:r w:rsidR="00486360" w:rsidRPr="00A40CD0">
        <w:t xml:space="preserve"> three complementary approaches to collect data at various spatial (site, location, region, and whole GBR lagoon) and temporal (snapshot, daily, 10-minutely) scales</w:t>
      </w:r>
      <w:r>
        <w:t xml:space="preserve">. </w:t>
      </w:r>
      <w:r w:rsidR="00486360" w:rsidRPr="00A40CD0">
        <w:t xml:space="preserve">Comparison of the remote sensing based water quality monitoring </w:t>
      </w:r>
      <w:r w:rsidR="0041371A" w:rsidRPr="00A40CD0">
        <w:t>with other MMP components like the site-specific inshore water quality monitoring shows some level of disagreement</w:t>
      </w:r>
      <w:r w:rsidR="00A81CC2" w:rsidRPr="00A40CD0">
        <w:t xml:space="preserve"> for regions</w:t>
      </w:r>
      <w:r w:rsidR="0041371A" w:rsidRPr="00A40CD0">
        <w:t xml:space="preserve">, mainly due to the differences in the temporal and spatial scales of the data collection. </w:t>
      </w:r>
      <w:r w:rsidR="00396EA4" w:rsidRPr="00A40CD0">
        <w:t xml:space="preserve">The </w:t>
      </w:r>
      <w:r w:rsidR="00556995" w:rsidRPr="00A40CD0">
        <w:t xml:space="preserve">interim </w:t>
      </w:r>
      <w:r w:rsidR="001A0A5F">
        <w:t xml:space="preserve">site specific </w:t>
      </w:r>
      <w:r w:rsidR="00396EA4" w:rsidRPr="00A40CD0">
        <w:t>water quality index</w:t>
      </w:r>
      <w:r w:rsidR="0041371A" w:rsidRPr="00A40CD0">
        <w:t xml:space="preserve"> </w:t>
      </w:r>
      <w:r w:rsidR="00556995" w:rsidRPr="00A40CD0">
        <w:t>proposed</w:t>
      </w:r>
      <w:r w:rsidR="00A81CC2" w:rsidRPr="00A40CD0">
        <w:t xml:space="preserve"> in Schaffelke et al. (2011</w:t>
      </w:r>
      <w:r w:rsidR="0087589D">
        <w:t xml:space="preserve"> and 2012</w:t>
      </w:r>
      <w:r w:rsidR="00A81CC2" w:rsidRPr="00A40CD0">
        <w:t>)</w:t>
      </w:r>
      <w:r w:rsidR="0041371A" w:rsidRPr="00A40CD0">
        <w:t xml:space="preserve"> provides a detailed, albeit site-specific, assessment of inshore water quality for </w:t>
      </w:r>
      <w:r w:rsidR="00D55147" w:rsidRPr="00A40CD0">
        <w:t>twenty</w:t>
      </w:r>
      <w:r w:rsidR="0041371A" w:rsidRPr="00A40CD0">
        <w:t xml:space="preserve"> fixed sampling locations</w:t>
      </w:r>
      <w:r w:rsidR="00556995" w:rsidRPr="00A40CD0">
        <w:t xml:space="preserve"> across the Open Coastal and Midshelf </w:t>
      </w:r>
      <w:r w:rsidR="00D55147" w:rsidRPr="00A40CD0">
        <w:t>water bodies</w:t>
      </w:r>
      <w:r w:rsidR="00556995" w:rsidRPr="00A40CD0">
        <w:t xml:space="preserve"> in the GBRWHA</w:t>
      </w:r>
      <w:r w:rsidR="0041371A" w:rsidRPr="00A40CD0">
        <w:t xml:space="preserve">. </w:t>
      </w:r>
      <w:r w:rsidR="00655907" w:rsidRPr="00655907">
        <w:t>The index aggregates scores given to 4-year running means of four indicators in comparison to the GBR Water Quality Guidelines (i) a combined score for suspended solids concentrations in water samples, Secchi depth and turbidity measured by</w:t>
      </w:r>
      <w:r w:rsidR="00655907">
        <w:t xml:space="preserve"> </w:t>
      </w:r>
      <w:r w:rsidR="00655907" w:rsidRPr="00655907">
        <w:rPr>
          <w:i/>
        </w:rPr>
        <w:t>in situ</w:t>
      </w:r>
      <w:r w:rsidR="00655907">
        <w:t xml:space="preserve"> loggers</w:t>
      </w:r>
      <w:r w:rsidR="00655907" w:rsidRPr="00655907">
        <w:t xml:space="preserve"> and scores for (ii) chlorophyll, (iii) particulate nitrogen and (iv) particulate phosphorus concentrations in water samples.</w:t>
      </w:r>
      <w:r w:rsidR="00655907">
        <w:t xml:space="preserve"> </w:t>
      </w:r>
    </w:p>
    <w:p w:rsidR="00486360" w:rsidRPr="00A40CD0" w:rsidRDefault="0041371A" w:rsidP="002E0BD6">
      <w:pPr>
        <w:pStyle w:val="BodyText"/>
      </w:pPr>
      <w:r w:rsidRPr="00A40CD0">
        <w:lastRenderedPageBreak/>
        <w:t xml:space="preserve">The </w:t>
      </w:r>
      <w:r w:rsidR="00556995" w:rsidRPr="00A40CD0">
        <w:t xml:space="preserve">interim </w:t>
      </w:r>
      <w:r w:rsidR="001A0A5F">
        <w:t>site-specific</w:t>
      </w:r>
      <w:r w:rsidR="00556995" w:rsidRPr="00A40CD0">
        <w:t xml:space="preserve"> </w:t>
      </w:r>
      <w:r w:rsidRPr="00A40CD0">
        <w:t>water quality index</w:t>
      </w:r>
      <w:r w:rsidR="00A81CC2" w:rsidRPr="00A40CD0">
        <w:t xml:space="preserve"> </w:t>
      </w:r>
      <w:r w:rsidR="00EA2F38">
        <w:fldChar w:fldCharType="begin"/>
      </w:r>
      <w:r w:rsidR="00AC2F22">
        <w:instrText xml:space="preserve"> ADDIN EN.CITE &lt;EndNote&gt;&lt;Cite&gt;&lt;Author&gt;Schaffelke&lt;/Author&gt;&lt;Year&gt;2012&lt;/Year&gt;&lt;RecNum&gt;4690&lt;/RecNum&gt;&lt;DisplayText&gt;(Schaffelke et al. 2012)&lt;/DisplayText&gt;&lt;record&gt;&lt;rec-number&gt;4690&lt;/rec-number&gt;&lt;foreign-keys&gt;&lt;key app="EN" db-id="z0vwsaa0gfvsr1e2sr7p90rtdtevf52r2we9"&gt;4690&lt;/key&gt;&lt;/foreign-keys&gt;&lt;ref-type name="Report"&gt;27&lt;/ref-type&gt;&lt;contributors&gt;&lt;authors&gt;&lt;author&gt;Schaffelke, B&lt;/author&gt;&lt;author&gt;Carleton, J&lt;/author&gt;&lt;author&gt;Costello, P&lt;/author&gt;&lt;author&gt;Davidson, d&lt;/author&gt;&lt;author&gt;Doyle, J&lt;/author&gt;&lt;author&gt;Furnas, M&lt;/author&gt;&lt;author&gt;Gunn, K&lt;/author&gt;&lt;author&gt;Skuza, M&lt;/author&gt;&lt;author&gt;Wright, M&lt;/author&gt;&lt;author&gt;Zagorskis, I&lt;/author&gt;&lt;/authors&gt;&lt;/contributors&gt;&lt;titles&gt;&lt;title&gt;Reef Rescue Marine Monitoring Program. Final  Report of AIMS Activities 2011/12 –Inshore water quality monitoring&lt;/title&gt;&lt;/titles&gt;&lt;dates&gt;&lt;year&gt;2012&lt;/year&gt;&lt;/dates&gt;&lt;pub-location&gt;Townsville&lt;/pub-location&gt;&lt;publisher&gt;Australian Institute of Marine Science&lt;/publisher&gt;&lt;urls&gt;&lt;/urls&gt;&lt;/record&gt;&lt;/Cite&gt;&lt;/EndNote&gt;</w:instrText>
      </w:r>
      <w:r w:rsidR="00EA2F38">
        <w:fldChar w:fldCharType="separate"/>
      </w:r>
      <w:r w:rsidR="00AC2F22">
        <w:rPr>
          <w:noProof/>
        </w:rPr>
        <w:t>(</w:t>
      </w:r>
      <w:hyperlink w:anchor="_ENREF_42" w:tooltip="Schaffelke, 2012 #4690" w:history="1">
        <w:r w:rsidR="007B7C47">
          <w:rPr>
            <w:noProof/>
          </w:rPr>
          <w:t>Schaffelke et al. 2012</w:t>
        </w:r>
      </w:hyperlink>
      <w:r w:rsidR="00AC2F22">
        <w:rPr>
          <w:noProof/>
        </w:rPr>
        <w:t>)</w:t>
      </w:r>
      <w:r w:rsidR="00EA2F38">
        <w:fldChar w:fldCharType="end"/>
      </w:r>
      <w:r w:rsidR="00396EA4" w:rsidRPr="00A40CD0">
        <w:t xml:space="preserve"> </w:t>
      </w:r>
      <w:r w:rsidR="001663EB">
        <w:t xml:space="preserve">may </w:t>
      </w:r>
      <w:r w:rsidRPr="00A40CD0">
        <w:t>suggest a</w:t>
      </w:r>
      <w:r w:rsidR="00BD457A">
        <w:t>t first glance an</w:t>
      </w:r>
      <w:r w:rsidRPr="00A40CD0">
        <w:t xml:space="preserve"> higher rate of compliance </w:t>
      </w:r>
      <w:r w:rsidR="00556995" w:rsidRPr="00A40CD0">
        <w:t>than</w:t>
      </w:r>
      <w:r w:rsidRPr="00A40CD0">
        <w:t xml:space="preserve"> the remote sensing based assessment of this study</w:t>
      </w:r>
      <w:r w:rsidR="00BD457A">
        <w:t xml:space="preserve"> for the inshore waters</w:t>
      </w:r>
      <w:r w:rsidRPr="00A40CD0">
        <w:t xml:space="preserve">. For example, the site-specific assessments for the Wet Tropics Region found that </w:t>
      </w:r>
      <w:r w:rsidR="00655907">
        <w:t xml:space="preserve">six of the eight </w:t>
      </w:r>
      <w:r w:rsidR="00556995" w:rsidRPr="00A40CD0">
        <w:t>sites</w:t>
      </w:r>
      <w:r w:rsidR="00655907">
        <w:t xml:space="preserve"> in the inshore region</w:t>
      </w:r>
      <w:r w:rsidR="001663EB">
        <w:t xml:space="preserve"> </w:t>
      </w:r>
      <w:r w:rsidR="00B3136A">
        <w:t>had a total score of</w:t>
      </w:r>
      <w:r w:rsidR="00655907">
        <w:t xml:space="preserve"> “poor” or “moderate” for the 2009-2012 period, consistently with the four “poor” P2R_WQI scores for the same reporting years (2008/09 – 2011/12</w:t>
      </w:r>
      <w:r w:rsidR="00216710">
        <w:t>)</w:t>
      </w:r>
      <w:r w:rsidR="001663EB">
        <w:t xml:space="preserve">. </w:t>
      </w:r>
      <w:r w:rsidR="00B3136A">
        <w:t>Also, all four Midshelf sites were rated as “very good”</w:t>
      </w:r>
      <w:r w:rsidR="00EB6107">
        <w:t xml:space="preserve"> from 2005-2008 to 2009-2012. This was consistent</w:t>
      </w:r>
      <w:r w:rsidR="00B3136A">
        <w:t xml:space="preserve"> with </w:t>
      </w:r>
      <w:r w:rsidR="00B3136A" w:rsidRPr="00A40CD0">
        <w:t>EG result</w:t>
      </w:r>
      <w:r w:rsidR="00B3136A">
        <w:t xml:space="preserve"> </w:t>
      </w:r>
      <w:r w:rsidR="00EB6107" w:rsidRPr="00A40CD0">
        <w:t xml:space="preserve">the Midshelf water body </w:t>
      </w:r>
      <w:r w:rsidR="00B3136A">
        <w:t>for CHL and TSS presented in this report</w:t>
      </w:r>
      <w:r w:rsidR="00EB6107">
        <w:t xml:space="preserve"> for</w:t>
      </w:r>
      <w:r w:rsidR="00EB6107" w:rsidRPr="00EB6107">
        <w:t xml:space="preserve"> </w:t>
      </w:r>
      <w:r w:rsidR="00EB6107" w:rsidRPr="00A40CD0">
        <w:t xml:space="preserve">the </w:t>
      </w:r>
      <w:r w:rsidR="00EB6107">
        <w:t>last ten years,</w:t>
      </w:r>
      <w:r w:rsidR="00B3136A">
        <w:t xml:space="preserve"> where </w:t>
      </w:r>
      <w:r w:rsidR="00B3136A" w:rsidRPr="00A40CD0">
        <w:t>the annual mean values of CHL</w:t>
      </w:r>
      <w:r w:rsidR="00B3136A">
        <w:t xml:space="preserve"> </w:t>
      </w:r>
      <w:r w:rsidR="00B3136A" w:rsidRPr="00A40CD0">
        <w:t xml:space="preserve">were above the guideline in </w:t>
      </w:r>
      <w:r w:rsidR="00EB6107">
        <w:t xml:space="preserve">15-20 </w:t>
      </w:r>
      <w:r w:rsidR="00B3136A">
        <w:t>% of the</w:t>
      </w:r>
      <w:r w:rsidR="00B3136A" w:rsidRPr="00A40CD0">
        <w:t xml:space="preserve"> area</w:t>
      </w:r>
      <w:r w:rsidR="00EB6107">
        <w:t xml:space="preserve"> </w:t>
      </w:r>
      <w:r w:rsidR="00B3136A" w:rsidRPr="00A40CD0">
        <w:t xml:space="preserve"> </w:t>
      </w:r>
      <w:r w:rsidR="00EB6107">
        <w:t xml:space="preserve">while </w:t>
      </w:r>
      <w:r w:rsidR="00EB6107" w:rsidRPr="00A40CD0">
        <w:t xml:space="preserve">the annual mean values of </w:t>
      </w:r>
      <w:r w:rsidR="00EB6107">
        <w:t xml:space="preserve">TSS </w:t>
      </w:r>
      <w:r w:rsidR="00EB6107" w:rsidRPr="00A40CD0">
        <w:t>were above the guideline in</w:t>
      </w:r>
      <w:r w:rsidR="00EB6107">
        <w:t xml:space="preserve"> less than</w:t>
      </w:r>
      <w:r w:rsidR="00EB6107" w:rsidRPr="00A40CD0">
        <w:t xml:space="preserve"> </w:t>
      </w:r>
      <w:r w:rsidR="00EB6107">
        <w:t>10 % of the</w:t>
      </w:r>
      <w:r w:rsidR="00EB6107" w:rsidRPr="00A40CD0">
        <w:t xml:space="preserve"> area</w:t>
      </w:r>
      <w:r w:rsidR="00EB6107">
        <w:t>.</w:t>
      </w:r>
      <w:r w:rsidR="00BD457A">
        <w:t xml:space="preserve"> </w:t>
      </w:r>
      <w:r w:rsidR="00877F33" w:rsidRPr="00A40CD0">
        <w:t xml:space="preserve">In </w:t>
      </w:r>
      <w:r w:rsidR="009202A6" w:rsidRPr="00A40CD0">
        <w:t xml:space="preserve">the </w:t>
      </w:r>
      <w:r w:rsidR="00D55147" w:rsidRPr="00A40CD0">
        <w:t>Fitzroy</w:t>
      </w:r>
      <w:r w:rsidR="009202A6" w:rsidRPr="00A40CD0">
        <w:t xml:space="preserve"> region</w:t>
      </w:r>
      <w:r w:rsidR="00B07C69" w:rsidRPr="00A40CD0">
        <w:t xml:space="preserve"> the site-specific assessments </w:t>
      </w:r>
      <w:r w:rsidR="00BD457A">
        <w:t xml:space="preserve">from 2007-2010 to 2009-2012 </w:t>
      </w:r>
      <w:r w:rsidR="00B07C69" w:rsidRPr="00A40CD0">
        <w:t xml:space="preserve">show that </w:t>
      </w:r>
      <w:r w:rsidR="00BD457A">
        <w:t xml:space="preserve">the two sites in the Open Coastal water body scored as “poor” and “moderate” </w:t>
      </w:r>
      <w:r w:rsidR="00B07C69" w:rsidRPr="00A40CD0">
        <w:t>and the only site in the Midshelf water body was compliant to the Guidelines</w:t>
      </w:r>
      <w:r w:rsidR="00A81CC2" w:rsidRPr="00A40CD0">
        <w:t xml:space="preserve"> </w:t>
      </w:r>
      <w:r w:rsidR="00EA2F38" w:rsidRPr="00A40CD0">
        <w:fldChar w:fldCharType="begin"/>
      </w:r>
      <w:r w:rsidR="00AC2F22">
        <w:instrText xml:space="preserve"> ADDIN EN.CITE &lt;EndNote&gt;&lt;Cite&gt;&lt;Author&gt;Schaffelke&lt;/Author&gt;&lt;Year&gt;2011&lt;/Year&gt;&lt;RecNum&gt;4654&lt;/RecNum&gt;&lt;DisplayText&gt;(Schaffelke et al. 2011)&lt;/DisplayText&gt;&lt;record&gt;&lt;rec-number&gt;4654&lt;/rec-number&gt;&lt;foreign-keys&gt;&lt;key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EA2F38" w:rsidRPr="00A40CD0">
        <w:fldChar w:fldCharType="separate"/>
      </w:r>
      <w:r w:rsidR="00AC2F22">
        <w:rPr>
          <w:noProof/>
        </w:rPr>
        <w:t>(</w:t>
      </w:r>
      <w:hyperlink w:anchor="_ENREF_43" w:tooltip="Schaffelke, 2011 #4654" w:history="1">
        <w:r w:rsidR="007B7C47">
          <w:rPr>
            <w:noProof/>
          </w:rPr>
          <w:t>Schaffelke et al. 2011</w:t>
        </w:r>
      </w:hyperlink>
      <w:r w:rsidR="00AC2F22">
        <w:rPr>
          <w:noProof/>
        </w:rPr>
        <w:t>)</w:t>
      </w:r>
      <w:r w:rsidR="00EA2F38" w:rsidRPr="00A40CD0">
        <w:fldChar w:fldCharType="end"/>
      </w:r>
      <w:r w:rsidR="00B07C69" w:rsidRPr="00A40CD0">
        <w:t xml:space="preserve">. These results </w:t>
      </w:r>
      <w:r w:rsidR="00B16F86" w:rsidRPr="00A40CD0">
        <w:t xml:space="preserve">appear </w:t>
      </w:r>
      <w:r w:rsidR="00B07C69" w:rsidRPr="00A40CD0">
        <w:t xml:space="preserve">in close agreement with the </w:t>
      </w:r>
      <w:r w:rsidR="00BD457A" w:rsidRPr="00A40CD0">
        <w:t>remote sensing based estimates for</w:t>
      </w:r>
      <w:r w:rsidR="00BD457A">
        <w:t xml:space="preserve"> P2R_WQI scores from 2007 to date of “poor” for this region and REEG lower than 10% </w:t>
      </w:r>
      <w:r w:rsidR="00B07C69" w:rsidRPr="00A40CD0">
        <w:t xml:space="preserve">for </w:t>
      </w:r>
      <w:r w:rsidR="00BD457A">
        <w:t xml:space="preserve">both CHL and TSS for </w:t>
      </w:r>
      <w:r w:rsidR="00B07C69" w:rsidRPr="00A40CD0">
        <w:t xml:space="preserve">the Midshelf water body. </w:t>
      </w:r>
    </w:p>
    <w:p w:rsidR="00B25CAA" w:rsidRPr="00A40CD0" w:rsidRDefault="00556995" w:rsidP="002E0BD6">
      <w:pPr>
        <w:pStyle w:val="BodyText"/>
      </w:pPr>
      <w:r w:rsidRPr="00A40CD0">
        <w:t>G</w:t>
      </w:r>
      <w:r w:rsidR="00B25CAA" w:rsidRPr="00A40CD0">
        <w:t>iven the spatial and temporal complexity of the water quality in the GBR lagoon, the development of an integrated assessment and reporting framework is needed to provide a comprehensive and more easily interpretable assessment of GBR water quality. A separate research project carried out with Reef Rescue Research and Development funding for 2011-13 will further develop the exceedance/compliance metrics and identify how to combine the assessment over more variables to provide a high degree of confidence in these results. This will enable these datasets to meet the requirements of the reasonable assurance statements and the monitoring and modelling strategies for the Paddock to Reef reporting.</w:t>
      </w:r>
    </w:p>
    <w:p w:rsidR="00B25CAA" w:rsidRPr="00A40CD0" w:rsidRDefault="00B25CAA">
      <w:pPr>
        <w:rPr>
          <w:rFonts w:cs="Arial"/>
          <w:szCs w:val="22"/>
        </w:rPr>
      </w:pPr>
      <w:r w:rsidRPr="00A40CD0">
        <w:rPr>
          <w:rFonts w:cs="Arial"/>
          <w:szCs w:val="22"/>
        </w:rPr>
        <w:br w:type="page"/>
      </w:r>
    </w:p>
    <w:p w:rsidR="00B25CAA" w:rsidRPr="00A40CD0" w:rsidRDefault="00B25CAA" w:rsidP="00943B50">
      <w:pPr>
        <w:pStyle w:val="Heading1"/>
        <w:numPr>
          <w:ilvl w:val="0"/>
          <w:numId w:val="13"/>
        </w:numPr>
      </w:pPr>
      <w:bookmarkStart w:id="539" w:name="_Toc228588209"/>
      <w:bookmarkStart w:id="540" w:name="_Toc399264916"/>
      <w:r w:rsidRPr="00A40CD0">
        <w:lastRenderedPageBreak/>
        <w:t>References</w:t>
      </w:r>
      <w:bookmarkEnd w:id="539"/>
      <w:bookmarkEnd w:id="540"/>
    </w:p>
    <w:p w:rsidR="007B7C47" w:rsidRPr="007B7C47" w:rsidRDefault="00EA2F38" w:rsidP="007B7C47">
      <w:pPr>
        <w:rPr>
          <w:rFonts w:ascii="Times New Roman" w:hAnsi="Times New Roman"/>
          <w:noProof/>
        </w:rPr>
      </w:pPr>
      <w:r>
        <w:rPr>
          <w:rFonts w:ascii="Times New Roman" w:hAnsi="Times New Roman"/>
          <w:kern w:val="28"/>
          <w:szCs w:val="22"/>
        </w:rPr>
        <w:fldChar w:fldCharType="begin"/>
      </w:r>
      <w:r w:rsidR="0068366B">
        <w:instrText xml:space="preserve"> ADDIN EN.REFLIST </w:instrText>
      </w:r>
      <w:r>
        <w:rPr>
          <w:rFonts w:ascii="Times New Roman" w:hAnsi="Times New Roman"/>
          <w:kern w:val="28"/>
          <w:szCs w:val="22"/>
        </w:rPr>
        <w:fldChar w:fldCharType="separate"/>
      </w:r>
      <w:bookmarkStart w:id="541" w:name="_ENREF_1"/>
      <w:r w:rsidR="007B7C47" w:rsidRPr="007B7C47">
        <w:rPr>
          <w:rFonts w:ascii="Times New Roman" w:hAnsi="Times New Roman"/>
          <w:noProof/>
        </w:rPr>
        <w:t xml:space="preserve">Astoreca, R., V. Rousseau and C. Lancelot (2009). "Coloured dissolved organic matter (CDOM) in Southern North Sea waters: Optical characterization and possible origin." </w:t>
      </w:r>
      <w:r w:rsidR="007B7C47" w:rsidRPr="007B7C47">
        <w:rPr>
          <w:rFonts w:ascii="Times New Roman" w:hAnsi="Times New Roman"/>
          <w:noProof/>
          <w:u w:val="single"/>
        </w:rPr>
        <w:t>Estuarine, Coastal and Shelf Science</w:t>
      </w:r>
      <w:r w:rsidR="007B7C47" w:rsidRPr="007B7C47">
        <w:rPr>
          <w:rFonts w:ascii="Times New Roman" w:hAnsi="Times New Roman"/>
          <w:noProof/>
        </w:rPr>
        <w:t xml:space="preserve"> </w:t>
      </w:r>
      <w:r w:rsidR="007B7C47" w:rsidRPr="007B7C47">
        <w:rPr>
          <w:rFonts w:ascii="Times New Roman" w:hAnsi="Times New Roman"/>
          <w:b/>
          <w:noProof/>
        </w:rPr>
        <w:t>85</w:t>
      </w:r>
      <w:r w:rsidR="007B7C47" w:rsidRPr="007B7C47">
        <w:rPr>
          <w:rFonts w:ascii="Times New Roman" w:hAnsi="Times New Roman"/>
          <w:noProof/>
        </w:rPr>
        <w:t>: 633–640.</w:t>
      </w:r>
      <w:bookmarkEnd w:id="541"/>
    </w:p>
    <w:p w:rsidR="007B7C47" w:rsidRPr="007B7C47" w:rsidRDefault="007B7C47" w:rsidP="007B7C47">
      <w:pPr>
        <w:rPr>
          <w:rFonts w:ascii="Times New Roman" w:hAnsi="Times New Roman"/>
          <w:noProof/>
        </w:rPr>
      </w:pPr>
      <w:bookmarkStart w:id="542" w:name="_ENREF_2"/>
      <w:r w:rsidRPr="007B7C47">
        <w:rPr>
          <w:rFonts w:ascii="Times New Roman" w:hAnsi="Times New Roman"/>
          <w:noProof/>
        </w:rPr>
        <w:t xml:space="preserve">Blondeau-Patissier, D., V. E. Brando, K. Oubelkheir, A. G. Dekker, L. A. Clementson and P. Daniel (2009). "Bio-optical variability of the absorption and scattering properties of the Queensland inshore and reef waters, Australia." </w:t>
      </w:r>
      <w:r w:rsidRPr="007B7C47">
        <w:rPr>
          <w:rFonts w:ascii="Times New Roman" w:hAnsi="Times New Roman"/>
          <w:noProof/>
          <w:u w:val="single"/>
        </w:rPr>
        <w:t>J. Geophys. Res.</w:t>
      </w:r>
      <w:r w:rsidRPr="007B7C47">
        <w:rPr>
          <w:rFonts w:ascii="Times New Roman" w:hAnsi="Times New Roman"/>
          <w:noProof/>
        </w:rPr>
        <w:t xml:space="preserve"> </w:t>
      </w:r>
      <w:r w:rsidRPr="007B7C47">
        <w:rPr>
          <w:rFonts w:ascii="Times New Roman" w:hAnsi="Times New Roman"/>
          <w:b/>
          <w:noProof/>
        </w:rPr>
        <w:t>114</w:t>
      </w:r>
      <w:r w:rsidRPr="007B7C47">
        <w:rPr>
          <w:rFonts w:ascii="Times New Roman" w:hAnsi="Times New Roman"/>
          <w:noProof/>
        </w:rPr>
        <w:t>.</w:t>
      </w:r>
      <w:bookmarkEnd w:id="542"/>
    </w:p>
    <w:p w:rsidR="007B7C47" w:rsidRPr="007B7C47" w:rsidRDefault="007B7C47" w:rsidP="007B7C47">
      <w:pPr>
        <w:rPr>
          <w:rFonts w:ascii="Times New Roman" w:hAnsi="Times New Roman"/>
          <w:noProof/>
        </w:rPr>
      </w:pPr>
      <w:bookmarkStart w:id="543" w:name="_ENREF_3"/>
      <w:r w:rsidRPr="007B7C47">
        <w:rPr>
          <w:rFonts w:ascii="Times New Roman" w:hAnsi="Times New Roman"/>
          <w:noProof/>
        </w:rPr>
        <w:t xml:space="preserve">Bowers, D. and H. L. Brett (2008). "The relationship between CDOM and salinity in estuaries: An analytical and graphical solution." </w:t>
      </w:r>
      <w:r w:rsidRPr="007B7C47">
        <w:rPr>
          <w:rFonts w:ascii="Times New Roman" w:hAnsi="Times New Roman"/>
          <w:noProof/>
          <w:u w:val="single"/>
        </w:rPr>
        <w:t>Journal of Marine Systems</w:t>
      </w:r>
      <w:r w:rsidRPr="007B7C47">
        <w:rPr>
          <w:rFonts w:ascii="Times New Roman" w:hAnsi="Times New Roman"/>
          <w:noProof/>
        </w:rPr>
        <w:t xml:space="preserve"> </w:t>
      </w:r>
      <w:r w:rsidRPr="007B7C47">
        <w:rPr>
          <w:rFonts w:ascii="Times New Roman" w:hAnsi="Times New Roman"/>
          <w:b/>
          <w:noProof/>
        </w:rPr>
        <w:t>73</w:t>
      </w:r>
      <w:r w:rsidRPr="007B7C47">
        <w:rPr>
          <w:rFonts w:ascii="Times New Roman" w:hAnsi="Times New Roman"/>
          <w:noProof/>
        </w:rPr>
        <w:t>(1-2): 1-7.</w:t>
      </w:r>
      <w:bookmarkEnd w:id="543"/>
    </w:p>
    <w:p w:rsidR="007B7C47" w:rsidRPr="007B7C47" w:rsidRDefault="007B7C47" w:rsidP="007B7C47">
      <w:pPr>
        <w:rPr>
          <w:rFonts w:ascii="Times New Roman" w:hAnsi="Times New Roman"/>
          <w:noProof/>
        </w:rPr>
      </w:pPr>
      <w:bookmarkStart w:id="544" w:name="_ENREF_4"/>
      <w:r w:rsidRPr="007B7C47">
        <w:rPr>
          <w:rFonts w:ascii="Times New Roman" w:hAnsi="Times New Roman"/>
          <w:noProof/>
        </w:rPr>
        <w:t xml:space="preserve">Brando, V. E. and A. G. Dekker (2003). "Satellite hyperspectral remote sensing for estimating estuarine and coastal water quality." </w:t>
      </w:r>
      <w:r w:rsidRPr="007B7C47">
        <w:rPr>
          <w:rFonts w:ascii="Times New Roman" w:hAnsi="Times New Roman"/>
          <w:noProof/>
          <w:u w:val="single"/>
        </w:rPr>
        <w:t>IEEE Trans.Geosci.Remote Sens.</w:t>
      </w:r>
      <w:r w:rsidRPr="007B7C47">
        <w:rPr>
          <w:rFonts w:ascii="Times New Roman" w:hAnsi="Times New Roman"/>
          <w:noProof/>
        </w:rPr>
        <w:t xml:space="preserve"> </w:t>
      </w:r>
      <w:r w:rsidRPr="007B7C47">
        <w:rPr>
          <w:rFonts w:ascii="Times New Roman" w:hAnsi="Times New Roman"/>
          <w:b/>
          <w:noProof/>
        </w:rPr>
        <w:t>41</w:t>
      </w:r>
      <w:r w:rsidRPr="007B7C47">
        <w:rPr>
          <w:rFonts w:ascii="Times New Roman" w:hAnsi="Times New Roman"/>
          <w:noProof/>
        </w:rPr>
        <w:t>(6): 1378-1387.</w:t>
      </w:r>
      <w:bookmarkEnd w:id="544"/>
    </w:p>
    <w:p w:rsidR="007B7C47" w:rsidRPr="007B7C47" w:rsidRDefault="007B7C47" w:rsidP="007B7C47">
      <w:pPr>
        <w:rPr>
          <w:rFonts w:ascii="Times New Roman" w:hAnsi="Times New Roman"/>
          <w:noProof/>
        </w:rPr>
      </w:pPr>
      <w:bookmarkStart w:id="545" w:name="_ENREF_5"/>
      <w:r w:rsidRPr="007B7C47">
        <w:rPr>
          <w:rFonts w:ascii="Times New Roman" w:hAnsi="Times New Roman"/>
          <w:noProof/>
        </w:rPr>
        <w:t>Brando, V. E., A. G. Dekker, A. Marks, Y. Qin and K. Oubelkheir (2006). Chlorophyll and Suspended Sediment Assessment in a Macro-Tidal Tropical Estuary Adjacent to the Great Barrier Reef: Spatial and Temporal Assessment Using Remote Sensing. Indooroopilly, Qld, Australia, CRC for Coastal Zone, Estuary and Waterway Management</w:t>
      </w:r>
      <w:r w:rsidRPr="007B7C47">
        <w:rPr>
          <w:rFonts w:ascii="Times New Roman" w:hAnsi="Times New Roman"/>
          <w:b/>
          <w:noProof/>
        </w:rPr>
        <w:t xml:space="preserve">: </w:t>
      </w:r>
      <w:r w:rsidRPr="007B7C47">
        <w:rPr>
          <w:rFonts w:ascii="Times New Roman" w:hAnsi="Times New Roman"/>
          <w:noProof/>
        </w:rPr>
        <w:t xml:space="preserve">114 </w:t>
      </w:r>
      <w:bookmarkEnd w:id="545"/>
    </w:p>
    <w:p w:rsidR="007B7C47" w:rsidRPr="007B7C47" w:rsidRDefault="007B7C47" w:rsidP="007B7C47">
      <w:pPr>
        <w:rPr>
          <w:rFonts w:ascii="Times New Roman" w:hAnsi="Times New Roman"/>
          <w:noProof/>
        </w:rPr>
      </w:pPr>
      <w:bookmarkStart w:id="546" w:name="_ENREF_6"/>
      <w:r w:rsidRPr="007B7C47">
        <w:rPr>
          <w:rFonts w:ascii="Times New Roman" w:hAnsi="Times New Roman"/>
          <w:noProof/>
        </w:rPr>
        <w:t xml:space="preserve">Brando, V. E., A. G. Dekker, Y. J. Park and T. Schroeder (2012). "An adaptive semianalytical inversion of ocean colour radiometry in optically complex waters " </w:t>
      </w:r>
      <w:r w:rsidRPr="007B7C47">
        <w:rPr>
          <w:rFonts w:ascii="Times New Roman" w:hAnsi="Times New Roman"/>
          <w:noProof/>
          <w:u w:val="single"/>
        </w:rPr>
        <w:t>Applied Optics</w:t>
      </w:r>
      <w:r w:rsidRPr="007B7C47">
        <w:rPr>
          <w:rFonts w:ascii="Times New Roman" w:hAnsi="Times New Roman"/>
          <w:noProof/>
        </w:rPr>
        <w:t xml:space="preserve"> </w:t>
      </w:r>
      <w:r w:rsidRPr="007B7C47">
        <w:rPr>
          <w:rFonts w:ascii="Times New Roman" w:hAnsi="Times New Roman"/>
          <w:b/>
          <w:noProof/>
        </w:rPr>
        <w:t>51</w:t>
      </w:r>
      <w:r w:rsidRPr="007B7C47">
        <w:rPr>
          <w:rFonts w:ascii="Times New Roman" w:hAnsi="Times New Roman"/>
          <w:noProof/>
        </w:rPr>
        <w:t>(15): 2808-2833.</w:t>
      </w:r>
      <w:bookmarkEnd w:id="546"/>
    </w:p>
    <w:p w:rsidR="007B7C47" w:rsidRPr="007B7C47" w:rsidRDefault="007B7C47" w:rsidP="007B7C47">
      <w:pPr>
        <w:rPr>
          <w:rFonts w:ascii="Times New Roman" w:hAnsi="Times New Roman"/>
          <w:noProof/>
        </w:rPr>
      </w:pPr>
      <w:bookmarkStart w:id="547" w:name="_ENREF_7"/>
      <w:r w:rsidRPr="007B7C47">
        <w:rPr>
          <w:rFonts w:ascii="Times New Roman" w:hAnsi="Times New Roman"/>
          <w:noProof/>
        </w:rPr>
        <w:t xml:space="preserve">Brando, V. E., A. G. Dekker, T. Schroeder, Y. J. Park, L. A. Clementson, A. Steven and D. Blondeau-Patissier (2008). </w:t>
      </w:r>
      <w:r w:rsidRPr="007B7C47">
        <w:rPr>
          <w:rFonts w:ascii="Times New Roman" w:hAnsi="Times New Roman"/>
          <w:noProof/>
          <w:u w:val="single"/>
        </w:rPr>
        <w:t>Satellite retrieval of chlorophyll CDOM and NAP in optically complex waters using a semi-analytical inversion based on specific inherent optical properties. A case study for Great Barrier Reef coastal waters</w:t>
      </w:r>
      <w:r w:rsidRPr="007B7C47">
        <w:rPr>
          <w:rFonts w:ascii="Times New Roman" w:hAnsi="Times New Roman"/>
          <w:noProof/>
        </w:rPr>
        <w:t>. Ocean Optics XIX, Barga, Italy.</w:t>
      </w:r>
      <w:bookmarkEnd w:id="547"/>
    </w:p>
    <w:p w:rsidR="007B7C47" w:rsidRPr="007B7C47" w:rsidRDefault="007B7C47" w:rsidP="007B7C47">
      <w:pPr>
        <w:rPr>
          <w:rFonts w:ascii="Times New Roman" w:hAnsi="Times New Roman"/>
          <w:noProof/>
        </w:rPr>
      </w:pPr>
      <w:bookmarkStart w:id="548" w:name="_ENREF_8"/>
      <w:r w:rsidRPr="007B7C47">
        <w:rPr>
          <w:rFonts w:ascii="Times New Roman" w:hAnsi="Times New Roman"/>
          <w:noProof/>
        </w:rPr>
        <w:t xml:space="preserve">Brando, V. E., Y. Qin, A. G. Dekker and D. Blondeau-Patissier (2007). "Satellite retrieval of chlorophyll CDOM and NAP in optically complex waters: a specific inherent optical properties based semianalytical inversion." </w:t>
      </w:r>
      <w:r w:rsidRPr="007B7C47">
        <w:rPr>
          <w:rFonts w:ascii="Times New Roman" w:hAnsi="Times New Roman"/>
          <w:noProof/>
          <w:u w:val="single"/>
        </w:rPr>
        <w:t>Applied Optics</w:t>
      </w:r>
      <w:r w:rsidRPr="007B7C47">
        <w:rPr>
          <w:rFonts w:ascii="Times New Roman" w:hAnsi="Times New Roman"/>
          <w:noProof/>
        </w:rPr>
        <w:t>.</w:t>
      </w:r>
      <w:bookmarkEnd w:id="548"/>
    </w:p>
    <w:p w:rsidR="007B7C47" w:rsidRPr="007B7C47" w:rsidRDefault="007B7C47" w:rsidP="007B7C47">
      <w:pPr>
        <w:rPr>
          <w:rFonts w:ascii="Times New Roman" w:hAnsi="Times New Roman"/>
          <w:noProof/>
        </w:rPr>
      </w:pPr>
      <w:bookmarkStart w:id="549" w:name="_ENREF_9"/>
      <w:r w:rsidRPr="007B7C47">
        <w:rPr>
          <w:rFonts w:ascii="Times New Roman" w:hAnsi="Times New Roman"/>
          <w:noProof/>
        </w:rPr>
        <w:t>Brando, V. E., T. Schroeder, D. Blondeau-Patissier, L. Clementson and A. G. Dekker (2011). Reef Rescue Marine Monitoring Program: Using remote sensing for GBR-wide water quality. Final Report for 2010/2011 Activities. Canberra, ACT, CSIRO Land &amp; Water.</w:t>
      </w:r>
      <w:bookmarkEnd w:id="549"/>
    </w:p>
    <w:p w:rsidR="007B7C47" w:rsidRPr="007B7C47" w:rsidRDefault="007B7C47" w:rsidP="007B7C47">
      <w:pPr>
        <w:rPr>
          <w:rFonts w:ascii="Times New Roman" w:hAnsi="Times New Roman"/>
          <w:noProof/>
        </w:rPr>
      </w:pPr>
      <w:bookmarkStart w:id="550" w:name="_ENREF_10"/>
      <w:r w:rsidRPr="007B7C47">
        <w:rPr>
          <w:rFonts w:ascii="Times New Roman" w:hAnsi="Times New Roman"/>
          <w:noProof/>
        </w:rPr>
        <w:t>Brando, V. E., T. Schroeder and A. G. Dekker (2010). Reef Rescue Marine Monitoring Program: Using remote sensing for GBR-wide water quality. Final Report for 2008/2009 Activities. Canberra, ACT, CSIRO Land &amp; Water.</w:t>
      </w:r>
      <w:bookmarkEnd w:id="550"/>
    </w:p>
    <w:p w:rsidR="007B7C47" w:rsidRPr="007B7C47" w:rsidRDefault="007B7C47" w:rsidP="007B7C47">
      <w:pPr>
        <w:rPr>
          <w:rFonts w:ascii="Times New Roman" w:hAnsi="Times New Roman"/>
          <w:noProof/>
        </w:rPr>
      </w:pPr>
      <w:bookmarkStart w:id="551" w:name="_ENREF_11"/>
      <w:r w:rsidRPr="007B7C47">
        <w:rPr>
          <w:rFonts w:ascii="Times New Roman" w:hAnsi="Times New Roman"/>
          <w:noProof/>
        </w:rPr>
        <w:t>Brando, V. E., T. Schroeder, A. G. Dekker and Y. J. Park (2010). Reef Rescue Marine Monitoring Program: Using remote sensing for GBR-wide water quality. Final Report for 2009/2010 Activities. Canberra, ACT, CSIRO Land &amp; Water.</w:t>
      </w:r>
      <w:bookmarkEnd w:id="551"/>
    </w:p>
    <w:p w:rsidR="007B7C47" w:rsidRPr="007B7C47" w:rsidRDefault="007B7C47" w:rsidP="007B7C47">
      <w:pPr>
        <w:rPr>
          <w:rFonts w:ascii="Times New Roman" w:hAnsi="Times New Roman"/>
          <w:noProof/>
        </w:rPr>
      </w:pPr>
      <w:bookmarkStart w:id="552" w:name="_ENREF_12"/>
      <w:r w:rsidRPr="007B7C47">
        <w:rPr>
          <w:rFonts w:ascii="Times New Roman" w:hAnsi="Times New Roman"/>
          <w:noProof/>
        </w:rPr>
        <w:t>Brando, V. E., A. Steven, T. Schroeder, A. G. Dekker, Y. J. Park, P. Daniel and P. Ford (2010). Remote-sensing of GBR Waters to assist performance monitoring of Water Quality Improvement Plans in Far North Queensland. Final report for Department of the Environment and Water Heritage and the Arts. Canberra, ACT, CSIRO Land &amp; Water.</w:t>
      </w:r>
      <w:bookmarkEnd w:id="552"/>
    </w:p>
    <w:p w:rsidR="007B7C47" w:rsidRPr="007B7C47" w:rsidRDefault="007B7C47" w:rsidP="007B7C47">
      <w:pPr>
        <w:rPr>
          <w:rFonts w:ascii="Times New Roman" w:hAnsi="Times New Roman"/>
          <w:noProof/>
        </w:rPr>
      </w:pPr>
      <w:bookmarkStart w:id="553" w:name="_ENREF_13"/>
      <w:r w:rsidRPr="007B7C47">
        <w:rPr>
          <w:rFonts w:ascii="Times New Roman" w:hAnsi="Times New Roman"/>
          <w:noProof/>
        </w:rPr>
        <w:t>Brodie, J., J. Binney, K. Fabricius, I. Gordon, O. Hoegh-Gouldberg, H. Hunter, P. O’Reagain, R. Pearson, M. Quirk, J. Thornton, I. Webster and S. Wilkinson (2008). Scientific consensus statement on water quality in the Great Barrier Reef., The State of Queensland (Department of the Premier and Cabinet).</w:t>
      </w:r>
      <w:bookmarkEnd w:id="553"/>
    </w:p>
    <w:p w:rsidR="007B7C47" w:rsidRPr="007B7C47" w:rsidRDefault="007B7C47" w:rsidP="007B7C47">
      <w:pPr>
        <w:rPr>
          <w:rFonts w:ascii="Times New Roman" w:hAnsi="Times New Roman"/>
          <w:noProof/>
        </w:rPr>
      </w:pPr>
      <w:bookmarkStart w:id="554" w:name="_ENREF_14"/>
      <w:r w:rsidRPr="007B7C47">
        <w:rPr>
          <w:rFonts w:ascii="Times New Roman" w:hAnsi="Times New Roman"/>
          <w:noProof/>
        </w:rPr>
        <w:t xml:space="preserve">Brodie, J., G. De'ath, M. Devlin, M. J. Furnas and M. Wright (2007). "Spatial and temporal patterns of near-surface chlorophyll a in the Great Barrier Reef lagoon." </w:t>
      </w:r>
      <w:r w:rsidRPr="007B7C47">
        <w:rPr>
          <w:rFonts w:ascii="Times New Roman" w:hAnsi="Times New Roman"/>
          <w:noProof/>
          <w:u w:val="single"/>
        </w:rPr>
        <w:t>Marine and Freshwater Research</w:t>
      </w:r>
      <w:r w:rsidRPr="007B7C47">
        <w:rPr>
          <w:rFonts w:ascii="Times New Roman" w:hAnsi="Times New Roman"/>
          <w:noProof/>
        </w:rPr>
        <w:t xml:space="preserve"> </w:t>
      </w:r>
      <w:r w:rsidRPr="007B7C47">
        <w:rPr>
          <w:rFonts w:ascii="Times New Roman" w:hAnsi="Times New Roman"/>
          <w:b/>
          <w:noProof/>
        </w:rPr>
        <w:t>58</w:t>
      </w:r>
      <w:r w:rsidRPr="007B7C47">
        <w:rPr>
          <w:rFonts w:ascii="Times New Roman" w:hAnsi="Times New Roman"/>
          <w:noProof/>
        </w:rPr>
        <w:t>(4): 342–353.</w:t>
      </w:r>
      <w:bookmarkEnd w:id="554"/>
    </w:p>
    <w:p w:rsidR="007B7C47" w:rsidRPr="007B7C47" w:rsidRDefault="007B7C47" w:rsidP="007B7C47">
      <w:pPr>
        <w:rPr>
          <w:rFonts w:ascii="Times New Roman" w:hAnsi="Times New Roman"/>
          <w:noProof/>
        </w:rPr>
      </w:pPr>
      <w:bookmarkStart w:id="555" w:name="_ENREF_15"/>
      <w:r w:rsidRPr="007B7C47">
        <w:rPr>
          <w:rFonts w:ascii="Times New Roman" w:hAnsi="Times New Roman"/>
          <w:noProof/>
        </w:rPr>
        <w:t xml:space="preserve">Burrage, D. M., M. L. Heron, J. M. Hacker, J. L. Miller, T. C. Stieglitz, C. R. Steinberg and A. Prytz (2003). "Structure and influence of tropical river plumes in the Great Barrier Reef: application and performance of an airborne sea surface salinity mapping system." </w:t>
      </w:r>
      <w:r w:rsidRPr="007B7C47">
        <w:rPr>
          <w:rFonts w:ascii="Times New Roman" w:hAnsi="Times New Roman"/>
          <w:noProof/>
          <w:u w:val="single"/>
        </w:rPr>
        <w:t>Remote Sensing of Environment</w:t>
      </w:r>
      <w:r w:rsidRPr="007B7C47">
        <w:rPr>
          <w:rFonts w:ascii="Times New Roman" w:hAnsi="Times New Roman"/>
          <w:noProof/>
        </w:rPr>
        <w:t xml:space="preserve"> </w:t>
      </w:r>
      <w:r w:rsidRPr="007B7C47">
        <w:rPr>
          <w:rFonts w:ascii="Times New Roman" w:hAnsi="Times New Roman"/>
          <w:b/>
          <w:noProof/>
        </w:rPr>
        <w:t xml:space="preserve">85: </w:t>
      </w:r>
      <w:r w:rsidRPr="007B7C47">
        <w:rPr>
          <w:rFonts w:ascii="Times New Roman" w:hAnsi="Times New Roman"/>
          <w:noProof/>
        </w:rPr>
        <w:t>: 204-220.</w:t>
      </w:r>
      <w:bookmarkEnd w:id="555"/>
    </w:p>
    <w:p w:rsidR="007B7C47" w:rsidRPr="007B7C47" w:rsidRDefault="007B7C47" w:rsidP="007B7C47">
      <w:pPr>
        <w:rPr>
          <w:rFonts w:ascii="Times New Roman" w:hAnsi="Times New Roman"/>
          <w:noProof/>
        </w:rPr>
      </w:pPr>
      <w:bookmarkStart w:id="556" w:name="_ENREF_16"/>
      <w:r w:rsidRPr="007B7C47">
        <w:rPr>
          <w:rFonts w:ascii="Times New Roman" w:hAnsi="Times New Roman"/>
          <w:noProof/>
        </w:rPr>
        <w:t>Carder, K. L., F. R. Chen, Z. Lee, S. K. Hawes and J. P. Cannizzaro (2003). MODIS Algorithm Theoretical Basis Document ATBD 19</w:t>
      </w:r>
      <w:r w:rsidRPr="007B7C47">
        <w:rPr>
          <w:rFonts w:ascii="Times New Roman" w:hAnsi="Times New Roman"/>
          <w:b/>
          <w:noProof/>
        </w:rPr>
        <w:t xml:space="preserve">: </w:t>
      </w:r>
      <w:r w:rsidRPr="007B7C47">
        <w:rPr>
          <w:rFonts w:ascii="Times New Roman" w:hAnsi="Times New Roman"/>
          <w:noProof/>
        </w:rPr>
        <w:t>67pp.</w:t>
      </w:r>
      <w:bookmarkEnd w:id="556"/>
    </w:p>
    <w:p w:rsidR="007B7C47" w:rsidRPr="007B7C47" w:rsidRDefault="007B7C47" w:rsidP="007B7C47">
      <w:pPr>
        <w:rPr>
          <w:rFonts w:ascii="Times New Roman" w:hAnsi="Times New Roman"/>
          <w:noProof/>
        </w:rPr>
      </w:pPr>
      <w:bookmarkStart w:id="557" w:name="_ENREF_17"/>
      <w:r w:rsidRPr="007B7C47">
        <w:rPr>
          <w:rFonts w:ascii="Times New Roman" w:hAnsi="Times New Roman"/>
          <w:noProof/>
        </w:rPr>
        <w:t>DERM (2009). Queensland Water Quality Guidelines, Version 3, Department of Environment and Resource Management.</w:t>
      </w:r>
      <w:bookmarkEnd w:id="557"/>
    </w:p>
    <w:p w:rsidR="007B7C47" w:rsidRPr="007B7C47" w:rsidRDefault="007B7C47" w:rsidP="007B7C47">
      <w:pPr>
        <w:rPr>
          <w:rFonts w:ascii="Times New Roman" w:hAnsi="Times New Roman"/>
          <w:noProof/>
        </w:rPr>
      </w:pPr>
      <w:bookmarkStart w:id="558" w:name="_ENREF_18"/>
      <w:r w:rsidRPr="007B7C47">
        <w:rPr>
          <w:rFonts w:ascii="Times New Roman" w:hAnsi="Times New Roman"/>
          <w:noProof/>
        </w:rPr>
        <w:lastRenderedPageBreak/>
        <w:t xml:space="preserve">Devlin, M., T. Schroeder, L. McKinna, J. Brodie, V. Brando and A. Dekker (2012). Monitoring and mapping of flood plumes in the Great Barrier Reef based on in-situ and remote sensing observations. </w:t>
      </w:r>
      <w:r w:rsidRPr="007B7C47">
        <w:rPr>
          <w:rFonts w:ascii="Times New Roman" w:hAnsi="Times New Roman"/>
          <w:noProof/>
          <w:u w:val="single"/>
        </w:rPr>
        <w:t>Advances in  Environmental Remote Sensing to Monitor Global Changes</w:t>
      </w:r>
      <w:r w:rsidRPr="007B7C47">
        <w:rPr>
          <w:rFonts w:ascii="Times New Roman" w:hAnsi="Times New Roman"/>
          <w:noProof/>
        </w:rPr>
        <w:t>. N.-B. Chang</w:t>
      </w:r>
      <w:r w:rsidRPr="007B7C47">
        <w:rPr>
          <w:rFonts w:ascii="Times New Roman" w:hAnsi="Times New Roman"/>
          <w:b/>
          <w:noProof/>
        </w:rPr>
        <w:t xml:space="preserve">: </w:t>
      </w:r>
      <w:r w:rsidRPr="007B7C47">
        <w:rPr>
          <w:rFonts w:ascii="Times New Roman" w:hAnsi="Times New Roman"/>
          <w:noProof/>
        </w:rPr>
        <w:t>148-188.</w:t>
      </w:r>
      <w:bookmarkEnd w:id="558"/>
    </w:p>
    <w:p w:rsidR="007B7C47" w:rsidRPr="007B7C47" w:rsidRDefault="007B7C47" w:rsidP="007B7C47">
      <w:pPr>
        <w:rPr>
          <w:rFonts w:ascii="Times New Roman" w:hAnsi="Times New Roman"/>
          <w:noProof/>
        </w:rPr>
      </w:pPr>
      <w:bookmarkStart w:id="559" w:name="_ENREF_19"/>
      <w:r w:rsidRPr="007B7C47">
        <w:rPr>
          <w:rFonts w:ascii="Times New Roman" w:hAnsi="Times New Roman"/>
          <w:noProof/>
        </w:rPr>
        <w:t>Devlin, M., A. Wenger, C. Petus, E. T. d. Silva, J. Debose and J. Alvarez-Romero (2012). Reef Rescue Marine Monitoring Program: Final report of JCU Activities 2011/12 - Flood Plumes and Extreme weather monitoring for the Great Barrier Reef Marine Park Authority.</w:t>
      </w:r>
      <w:bookmarkEnd w:id="559"/>
    </w:p>
    <w:p w:rsidR="007B7C47" w:rsidRPr="007B7C47" w:rsidRDefault="007B7C47" w:rsidP="007B7C47">
      <w:pPr>
        <w:rPr>
          <w:rFonts w:ascii="Times New Roman" w:hAnsi="Times New Roman"/>
          <w:noProof/>
        </w:rPr>
      </w:pPr>
      <w:bookmarkStart w:id="560" w:name="_ENREF_20"/>
      <w:r w:rsidRPr="007B7C47">
        <w:rPr>
          <w:rFonts w:ascii="Times New Roman" w:hAnsi="Times New Roman"/>
          <w:noProof/>
        </w:rPr>
        <w:t xml:space="preserve">Fell, F. and J. Fischer (2001). "Numerical simulation of the light field in the atmosphere-ocean system using the matrix-operator method." </w:t>
      </w:r>
      <w:r w:rsidRPr="007B7C47">
        <w:rPr>
          <w:rFonts w:ascii="Times New Roman" w:hAnsi="Times New Roman"/>
          <w:noProof/>
          <w:u w:val="single"/>
        </w:rPr>
        <w:t>Journal of Quantitative Spectroscopy and Radiative Transfer</w:t>
      </w:r>
      <w:r w:rsidRPr="007B7C47">
        <w:rPr>
          <w:rFonts w:ascii="Times New Roman" w:hAnsi="Times New Roman"/>
          <w:noProof/>
        </w:rPr>
        <w:t xml:space="preserve"> </w:t>
      </w:r>
      <w:r w:rsidRPr="007B7C47">
        <w:rPr>
          <w:rFonts w:ascii="Times New Roman" w:hAnsi="Times New Roman"/>
          <w:b/>
          <w:noProof/>
        </w:rPr>
        <w:t>69</w:t>
      </w:r>
      <w:r w:rsidRPr="007B7C47">
        <w:rPr>
          <w:rFonts w:ascii="Times New Roman" w:hAnsi="Times New Roman"/>
          <w:noProof/>
        </w:rPr>
        <w:t>: 351–388.</w:t>
      </w:r>
      <w:bookmarkEnd w:id="560"/>
    </w:p>
    <w:p w:rsidR="007B7C47" w:rsidRPr="007B7C47" w:rsidRDefault="007B7C47" w:rsidP="007B7C47">
      <w:pPr>
        <w:rPr>
          <w:rFonts w:ascii="Times New Roman" w:hAnsi="Times New Roman"/>
          <w:noProof/>
        </w:rPr>
      </w:pPr>
      <w:bookmarkStart w:id="561" w:name="_ENREF_21"/>
      <w:r w:rsidRPr="007B7C47">
        <w:rPr>
          <w:rFonts w:ascii="Times New Roman" w:hAnsi="Times New Roman"/>
          <w:noProof/>
        </w:rPr>
        <w:t xml:space="preserve">Ferrari, G. M. and M. D. Dowell (1998). "CDOM absorption characteristics with relation to fluorescence and salinity in coastal areas of the southern Baltic Sea." </w:t>
      </w:r>
      <w:r w:rsidRPr="007B7C47">
        <w:rPr>
          <w:rFonts w:ascii="Times New Roman" w:hAnsi="Times New Roman"/>
          <w:noProof/>
          <w:u w:val="single"/>
        </w:rPr>
        <w:t>Estuarine, Coastal and Shelf Science</w:t>
      </w:r>
      <w:r w:rsidRPr="007B7C47">
        <w:rPr>
          <w:rFonts w:ascii="Times New Roman" w:hAnsi="Times New Roman"/>
          <w:noProof/>
        </w:rPr>
        <w:t xml:space="preserve"> </w:t>
      </w:r>
      <w:r w:rsidRPr="007B7C47">
        <w:rPr>
          <w:rFonts w:ascii="Times New Roman" w:hAnsi="Times New Roman"/>
          <w:b/>
          <w:noProof/>
        </w:rPr>
        <w:t>47</w:t>
      </w:r>
      <w:r w:rsidRPr="007B7C47">
        <w:rPr>
          <w:rFonts w:ascii="Times New Roman" w:hAnsi="Times New Roman"/>
          <w:noProof/>
        </w:rPr>
        <w:t>(1): 91-105.</w:t>
      </w:r>
      <w:bookmarkEnd w:id="561"/>
    </w:p>
    <w:p w:rsidR="007B7C47" w:rsidRPr="007B7C47" w:rsidRDefault="007B7C47" w:rsidP="007B7C47">
      <w:pPr>
        <w:rPr>
          <w:rFonts w:ascii="Times New Roman" w:hAnsi="Times New Roman"/>
          <w:noProof/>
        </w:rPr>
      </w:pPr>
      <w:bookmarkStart w:id="562" w:name="_ENREF_22"/>
      <w:r w:rsidRPr="007B7C47">
        <w:rPr>
          <w:rFonts w:ascii="Times New Roman" w:hAnsi="Times New Roman"/>
          <w:noProof/>
        </w:rPr>
        <w:t xml:space="preserve">Fischer, J. and H. Grassl (1984). "Radiative transfer in an atmosphere-ocean system: an azimuthally dependent matrix-operator approach." </w:t>
      </w:r>
      <w:r w:rsidRPr="007B7C47">
        <w:rPr>
          <w:rFonts w:ascii="Times New Roman" w:hAnsi="Times New Roman"/>
          <w:noProof/>
          <w:u w:val="single"/>
        </w:rPr>
        <w:t>Appl.Opt.</w:t>
      </w:r>
      <w:r w:rsidRPr="007B7C47">
        <w:rPr>
          <w:rFonts w:ascii="Times New Roman" w:hAnsi="Times New Roman"/>
          <w:noProof/>
        </w:rPr>
        <w:t xml:space="preserve"> </w:t>
      </w:r>
      <w:r w:rsidRPr="007B7C47">
        <w:rPr>
          <w:rFonts w:ascii="Times New Roman" w:hAnsi="Times New Roman"/>
          <w:b/>
          <w:noProof/>
        </w:rPr>
        <w:t>7</w:t>
      </w:r>
      <w:r w:rsidRPr="007B7C47">
        <w:rPr>
          <w:rFonts w:ascii="Times New Roman" w:hAnsi="Times New Roman"/>
          <w:noProof/>
        </w:rPr>
        <w:t>(23): 1032-1039.</w:t>
      </w:r>
      <w:bookmarkEnd w:id="562"/>
    </w:p>
    <w:p w:rsidR="007B7C47" w:rsidRPr="007B7C47" w:rsidRDefault="007B7C47" w:rsidP="007B7C47">
      <w:pPr>
        <w:rPr>
          <w:rFonts w:ascii="Times New Roman" w:hAnsi="Times New Roman"/>
          <w:noProof/>
        </w:rPr>
      </w:pPr>
      <w:bookmarkStart w:id="563" w:name="_ENREF_23"/>
      <w:r w:rsidRPr="007B7C47">
        <w:rPr>
          <w:rFonts w:ascii="Times New Roman" w:hAnsi="Times New Roman"/>
          <w:noProof/>
        </w:rPr>
        <w:t>GBRMPA (2009). Water quality guidelines for the Great Barrier Reef Marine Park, Great Barrier Reef Marine Park Authority.</w:t>
      </w:r>
      <w:bookmarkEnd w:id="563"/>
    </w:p>
    <w:p w:rsidR="007B7C47" w:rsidRPr="007B7C47" w:rsidRDefault="007B7C47" w:rsidP="007B7C47">
      <w:pPr>
        <w:rPr>
          <w:rFonts w:ascii="Times New Roman" w:hAnsi="Times New Roman"/>
          <w:noProof/>
        </w:rPr>
      </w:pPr>
      <w:bookmarkStart w:id="564" w:name="_ENREF_24"/>
      <w:r w:rsidRPr="007B7C47">
        <w:rPr>
          <w:rFonts w:ascii="Times New Roman" w:hAnsi="Times New Roman"/>
          <w:noProof/>
        </w:rPr>
        <w:t xml:space="preserve">Giardino, C., V. E. Brando, A. G. Dekker, N. Strömbeck and G. Candiani (2007). "Assessment of water quality in Lake Garda (Italy) using Hyperion." </w:t>
      </w:r>
      <w:r w:rsidRPr="007B7C47">
        <w:rPr>
          <w:rFonts w:ascii="Times New Roman" w:hAnsi="Times New Roman"/>
          <w:noProof/>
          <w:u w:val="single"/>
        </w:rPr>
        <w:t>Remote Sensing of Environment</w:t>
      </w:r>
      <w:r w:rsidRPr="007B7C47">
        <w:rPr>
          <w:rFonts w:ascii="Times New Roman" w:hAnsi="Times New Roman"/>
          <w:noProof/>
        </w:rPr>
        <w:t xml:space="preserve"> </w:t>
      </w:r>
      <w:r w:rsidRPr="007B7C47">
        <w:rPr>
          <w:rFonts w:ascii="Times New Roman" w:hAnsi="Times New Roman"/>
          <w:b/>
          <w:noProof/>
        </w:rPr>
        <w:t>109</w:t>
      </w:r>
      <w:r w:rsidRPr="007B7C47">
        <w:rPr>
          <w:rFonts w:ascii="Times New Roman" w:hAnsi="Times New Roman"/>
          <w:noProof/>
        </w:rPr>
        <w:t>(2): 183-195.</w:t>
      </w:r>
      <w:bookmarkEnd w:id="564"/>
    </w:p>
    <w:p w:rsidR="007B7C47" w:rsidRPr="007B7C47" w:rsidRDefault="007B7C47" w:rsidP="007B7C47">
      <w:pPr>
        <w:rPr>
          <w:rFonts w:ascii="Times New Roman" w:hAnsi="Times New Roman"/>
          <w:noProof/>
        </w:rPr>
      </w:pPr>
      <w:bookmarkStart w:id="565" w:name="_ENREF_25"/>
      <w:r w:rsidRPr="007B7C47">
        <w:rPr>
          <w:rFonts w:ascii="Times New Roman" w:hAnsi="Times New Roman"/>
          <w:noProof/>
        </w:rPr>
        <w:t xml:space="preserve">Gordon, H. R. (1997). "Atmospheric correction of Ocean Color Imagery in the Earth Observing System Era." </w:t>
      </w:r>
      <w:r w:rsidRPr="007B7C47">
        <w:rPr>
          <w:rFonts w:ascii="Times New Roman" w:hAnsi="Times New Roman"/>
          <w:noProof/>
          <w:u w:val="single"/>
        </w:rPr>
        <w:t>J. Geophys. Res.</w:t>
      </w:r>
      <w:r w:rsidRPr="007B7C47">
        <w:rPr>
          <w:rFonts w:ascii="Times New Roman" w:hAnsi="Times New Roman"/>
          <w:noProof/>
        </w:rPr>
        <w:t xml:space="preserve"> </w:t>
      </w:r>
      <w:r w:rsidRPr="007B7C47">
        <w:rPr>
          <w:rFonts w:ascii="Times New Roman" w:hAnsi="Times New Roman"/>
          <w:b/>
          <w:noProof/>
        </w:rPr>
        <w:t>102</w:t>
      </w:r>
      <w:r w:rsidRPr="007B7C47">
        <w:rPr>
          <w:rFonts w:ascii="Times New Roman" w:hAnsi="Times New Roman"/>
          <w:noProof/>
        </w:rPr>
        <w:t>: 17081-17106.</w:t>
      </w:r>
      <w:bookmarkEnd w:id="565"/>
    </w:p>
    <w:p w:rsidR="007B7C47" w:rsidRPr="007B7C47" w:rsidRDefault="007B7C47" w:rsidP="007B7C47">
      <w:pPr>
        <w:rPr>
          <w:rFonts w:ascii="Times New Roman" w:hAnsi="Times New Roman"/>
          <w:noProof/>
        </w:rPr>
      </w:pPr>
      <w:bookmarkStart w:id="566" w:name="_ENREF_26"/>
      <w:r w:rsidRPr="007B7C47">
        <w:rPr>
          <w:rFonts w:ascii="Times New Roman" w:hAnsi="Times New Roman"/>
          <w:noProof/>
        </w:rPr>
        <w:t xml:space="preserve">Gordon, H. R., O. B. Brown, R. Evans, J. Brown, R. C. Smith, K. S. Baker and D. C. Clark (1988). "A semianalytical model of ocean colour." </w:t>
      </w:r>
      <w:r w:rsidRPr="007B7C47">
        <w:rPr>
          <w:rFonts w:ascii="Times New Roman" w:hAnsi="Times New Roman"/>
          <w:noProof/>
          <w:u w:val="single"/>
        </w:rPr>
        <w:t>J.Geophys.Res.</w:t>
      </w:r>
      <w:r w:rsidRPr="007B7C47">
        <w:rPr>
          <w:rFonts w:ascii="Times New Roman" w:hAnsi="Times New Roman"/>
          <w:noProof/>
        </w:rPr>
        <w:t xml:space="preserve"> </w:t>
      </w:r>
      <w:r w:rsidRPr="007B7C47">
        <w:rPr>
          <w:rFonts w:ascii="Times New Roman" w:hAnsi="Times New Roman"/>
          <w:b/>
          <w:noProof/>
        </w:rPr>
        <w:t>93(D9)</w:t>
      </w:r>
      <w:r w:rsidRPr="007B7C47">
        <w:rPr>
          <w:rFonts w:ascii="Times New Roman" w:hAnsi="Times New Roman"/>
          <w:noProof/>
        </w:rPr>
        <w:t>: 10909.</w:t>
      </w:r>
      <w:bookmarkEnd w:id="566"/>
    </w:p>
    <w:p w:rsidR="007B7C47" w:rsidRPr="007B7C47" w:rsidRDefault="007B7C47" w:rsidP="007B7C47">
      <w:pPr>
        <w:rPr>
          <w:rFonts w:ascii="Times New Roman" w:hAnsi="Times New Roman"/>
          <w:noProof/>
        </w:rPr>
      </w:pPr>
      <w:bookmarkStart w:id="567" w:name="_ENREF_27"/>
      <w:r w:rsidRPr="007B7C47">
        <w:rPr>
          <w:rFonts w:ascii="Times New Roman" w:hAnsi="Times New Roman"/>
          <w:noProof/>
        </w:rPr>
        <w:t xml:space="preserve">Gordon, H. R. and M. H. Wang (1994). "Retrieval of water-leaving radiance and aerosol optical-thickness over the oceans with Seawifs - a preliminary algorithm." </w:t>
      </w:r>
      <w:r w:rsidRPr="007B7C47">
        <w:rPr>
          <w:rFonts w:ascii="Times New Roman" w:hAnsi="Times New Roman"/>
          <w:noProof/>
          <w:u w:val="single"/>
        </w:rPr>
        <w:t>Applied Optics</w:t>
      </w:r>
      <w:r w:rsidRPr="007B7C47">
        <w:rPr>
          <w:rFonts w:ascii="Times New Roman" w:hAnsi="Times New Roman"/>
          <w:noProof/>
        </w:rPr>
        <w:t xml:space="preserve"> </w:t>
      </w:r>
      <w:r w:rsidRPr="007B7C47">
        <w:rPr>
          <w:rFonts w:ascii="Times New Roman" w:hAnsi="Times New Roman"/>
          <w:b/>
          <w:noProof/>
        </w:rPr>
        <w:t>33</w:t>
      </w:r>
      <w:r w:rsidRPr="007B7C47">
        <w:rPr>
          <w:rFonts w:ascii="Times New Roman" w:hAnsi="Times New Roman"/>
          <w:noProof/>
        </w:rPr>
        <w:t>: 443-452.</w:t>
      </w:r>
      <w:bookmarkEnd w:id="567"/>
    </w:p>
    <w:p w:rsidR="007B7C47" w:rsidRPr="007B7C47" w:rsidRDefault="007B7C47" w:rsidP="007B7C47">
      <w:pPr>
        <w:rPr>
          <w:rFonts w:ascii="Times New Roman" w:hAnsi="Times New Roman"/>
          <w:noProof/>
        </w:rPr>
      </w:pPr>
      <w:bookmarkStart w:id="568" w:name="_ENREF_28"/>
      <w:r w:rsidRPr="007B7C47">
        <w:rPr>
          <w:rFonts w:ascii="Times New Roman" w:hAnsi="Times New Roman"/>
          <w:noProof/>
        </w:rPr>
        <w:t xml:space="preserve">Goyens, C., C. Jamet and T. Schroeder (2013). "Evaluation of four atmospheric correction algorithms for MODIS-Aqua images over contrasted coastal waters." </w:t>
      </w:r>
      <w:r w:rsidRPr="007B7C47">
        <w:rPr>
          <w:rFonts w:ascii="Times New Roman" w:hAnsi="Times New Roman"/>
          <w:noProof/>
          <w:u w:val="single"/>
        </w:rPr>
        <w:t>Remote Sensing of Environment</w:t>
      </w:r>
      <w:r w:rsidRPr="007B7C47">
        <w:rPr>
          <w:rFonts w:ascii="Times New Roman" w:hAnsi="Times New Roman"/>
          <w:noProof/>
        </w:rPr>
        <w:t xml:space="preserve"> </w:t>
      </w:r>
      <w:r w:rsidRPr="007B7C47">
        <w:rPr>
          <w:rFonts w:ascii="Times New Roman" w:hAnsi="Times New Roman"/>
          <w:b/>
          <w:noProof/>
        </w:rPr>
        <w:t>131</w:t>
      </w:r>
      <w:r w:rsidRPr="007B7C47">
        <w:rPr>
          <w:rFonts w:ascii="Times New Roman" w:hAnsi="Times New Roman"/>
          <w:noProof/>
        </w:rPr>
        <w:t>(0): 63-75.</w:t>
      </w:r>
      <w:bookmarkEnd w:id="568"/>
    </w:p>
    <w:p w:rsidR="007B7C47" w:rsidRPr="007B7C47" w:rsidRDefault="007B7C47" w:rsidP="007B7C47">
      <w:pPr>
        <w:rPr>
          <w:rFonts w:ascii="Times New Roman" w:hAnsi="Times New Roman"/>
          <w:noProof/>
        </w:rPr>
      </w:pPr>
      <w:bookmarkStart w:id="569" w:name="_ENREF_29"/>
      <w:r w:rsidRPr="007B7C47">
        <w:rPr>
          <w:rFonts w:ascii="Times New Roman" w:hAnsi="Times New Roman"/>
          <w:noProof/>
        </w:rPr>
        <w:t xml:space="preserve">Hoge, F. E. and P. E. Lyon (1996). "Satellite retrieval of inherent optical properties by linear matrix inversion of oceanic radiance models - an analysis of model and radiance measurement errors." </w:t>
      </w:r>
      <w:r w:rsidRPr="007B7C47">
        <w:rPr>
          <w:rFonts w:ascii="Times New Roman" w:hAnsi="Times New Roman"/>
          <w:noProof/>
          <w:u w:val="single"/>
        </w:rPr>
        <w:t>Journal of Geophysical Research-Oceans</w:t>
      </w:r>
      <w:r w:rsidRPr="007B7C47">
        <w:rPr>
          <w:rFonts w:ascii="Times New Roman" w:hAnsi="Times New Roman"/>
          <w:noProof/>
        </w:rPr>
        <w:t xml:space="preserve"> </w:t>
      </w:r>
      <w:r w:rsidRPr="007B7C47">
        <w:rPr>
          <w:rFonts w:ascii="Times New Roman" w:hAnsi="Times New Roman"/>
          <w:b/>
          <w:noProof/>
        </w:rPr>
        <w:t>101</w:t>
      </w:r>
      <w:r w:rsidRPr="007B7C47">
        <w:rPr>
          <w:rFonts w:ascii="Times New Roman" w:hAnsi="Times New Roman"/>
          <w:noProof/>
        </w:rPr>
        <w:t>(C7): 16631-16648.</w:t>
      </w:r>
      <w:bookmarkEnd w:id="569"/>
    </w:p>
    <w:p w:rsidR="007B7C47" w:rsidRPr="007B7C47" w:rsidRDefault="007B7C47" w:rsidP="007B7C47">
      <w:pPr>
        <w:rPr>
          <w:rFonts w:ascii="Times New Roman" w:hAnsi="Times New Roman"/>
          <w:noProof/>
        </w:rPr>
      </w:pPr>
      <w:bookmarkStart w:id="570" w:name="_ENREF_30"/>
      <w:r w:rsidRPr="007B7C47">
        <w:rPr>
          <w:rFonts w:ascii="Times New Roman" w:hAnsi="Times New Roman"/>
          <w:noProof/>
        </w:rPr>
        <w:t xml:space="preserve">Hoogenboom, H. J., A. G. Dekker and J. F. De Haan (1998). "Retrieval of chlorophyll and suspended matter in inland waters from CASI data by matrix inversion." </w:t>
      </w:r>
      <w:r w:rsidRPr="007B7C47">
        <w:rPr>
          <w:rFonts w:ascii="Times New Roman" w:hAnsi="Times New Roman"/>
          <w:noProof/>
          <w:u w:val="single"/>
        </w:rPr>
        <w:t>Canadian Journal of Remote Sensing</w:t>
      </w:r>
      <w:r w:rsidRPr="007B7C47">
        <w:rPr>
          <w:rFonts w:ascii="Times New Roman" w:hAnsi="Times New Roman"/>
          <w:noProof/>
        </w:rPr>
        <w:t xml:space="preserve"> </w:t>
      </w:r>
      <w:r w:rsidRPr="007B7C47">
        <w:rPr>
          <w:rFonts w:ascii="Times New Roman" w:hAnsi="Times New Roman"/>
          <w:b/>
          <w:noProof/>
        </w:rPr>
        <w:t>24</w:t>
      </w:r>
      <w:r w:rsidRPr="007B7C47">
        <w:rPr>
          <w:rFonts w:ascii="Times New Roman" w:hAnsi="Times New Roman"/>
          <w:noProof/>
        </w:rPr>
        <w:t>(2): 144-152.</w:t>
      </w:r>
      <w:bookmarkEnd w:id="570"/>
    </w:p>
    <w:p w:rsidR="007B7C47" w:rsidRPr="007B7C47" w:rsidRDefault="007B7C47" w:rsidP="007B7C47">
      <w:pPr>
        <w:rPr>
          <w:rFonts w:ascii="Times New Roman" w:hAnsi="Times New Roman"/>
          <w:noProof/>
        </w:rPr>
      </w:pPr>
      <w:bookmarkStart w:id="571" w:name="_ENREF_31"/>
      <w:r w:rsidRPr="007B7C47">
        <w:rPr>
          <w:rFonts w:ascii="Times New Roman" w:hAnsi="Times New Roman"/>
          <w:noProof/>
        </w:rPr>
        <w:t xml:space="preserve">Hornik, K., M. Stinchombe and H. White (1989). "Multilayer feed-forward networks are universal approximators." </w:t>
      </w:r>
      <w:r w:rsidRPr="007B7C47">
        <w:rPr>
          <w:rFonts w:ascii="Times New Roman" w:hAnsi="Times New Roman"/>
          <w:noProof/>
          <w:u w:val="single"/>
        </w:rPr>
        <w:t>Neural Networks</w:t>
      </w:r>
      <w:r w:rsidRPr="007B7C47">
        <w:rPr>
          <w:rFonts w:ascii="Times New Roman" w:hAnsi="Times New Roman"/>
          <w:b/>
          <w:noProof/>
        </w:rPr>
        <w:t xml:space="preserve"> 2</w:t>
      </w:r>
      <w:r w:rsidRPr="007B7C47">
        <w:rPr>
          <w:rFonts w:ascii="Times New Roman" w:hAnsi="Times New Roman"/>
          <w:noProof/>
        </w:rPr>
        <w:t>: 359–366.</w:t>
      </w:r>
      <w:bookmarkEnd w:id="571"/>
    </w:p>
    <w:p w:rsidR="007B7C47" w:rsidRPr="007B7C47" w:rsidRDefault="007B7C47" w:rsidP="007B7C47">
      <w:pPr>
        <w:rPr>
          <w:rFonts w:ascii="Times New Roman" w:hAnsi="Times New Roman"/>
          <w:noProof/>
        </w:rPr>
      </w:pPr>
      <w:bookmarkStart w:id="572" w:name="_ENREF_32"/>
      <w:r w:rsidRPr="007B7C47">
        <w:rPr>
          <w:rFonts w:ascii="Times New Roman" w:hAnsi="Times New Roman"/>
          <w:noProof/>
        </w:rPr>
        <w:t>Johnson, J. E., V. E. Brando, M. J. Devlin, L. McKenzie, S. Morris, B. Schaffelke, A. Thompson, J. Waterhouse and M. Waycott (2011). Reef Rescue Marine Monitoring Program: 2009/2010 Synthesis Report. Report prepared by the Reef and Rainforest Research Centre Consortium of monitoring providers for the Great Barrier Reef Marine Park Authority. Cairns, Reef and Rainforest Research Centre Limited.</w:t>
      </w:r>
      <w:bookmarkEnd w:id="572"/>
    </w:p>
    <w:p w:rsidR="007B7C47" w:rsidRPr="007B7C47" w:rsidRDefault="007B7C47" w:rsidP="007B7C47">
      <w:pPr>
        <w:rPr>
          <w:rFonts w:ascii="Times New Roman" w:hAnsi="Times New Roman"/>
          <w:noProof/>
        </w:rPr>
      </w:pPr>
      <w:bookmarkStart w:id="573" w:name="_ENREF_33"/>
      <w:r w:rsidRPr="007B7C47">
        <w:rPr>
          <w:rFonts w:ascii="Times New Roman" w:hAnsi="Times New Roman"/>
          <w:noProof/>
        </w:rPr>
        <w:t xml:space="preserve">Kennedy, K., T. Schroeder, M. Shaw, D. Haynes, S. Lewis , C. Bentley, C. Paxman, S. Carter , V. Brando, M. Bartkow and J. Mueller (2012). "Photosystem-II herbicides on the Great Barrier Reef- results from up to five years of monitoring and a preliminary comparison with remote sensing derived water quality parameters." </w:t>
      </w:r>
      <w:r w:rsidRPr="007B7C47">
        <w:rPr>
          <w:rFonts w:ascii="Times New Roman" w:hAnsi="Times New Roman"/>
          <w:noProof/>
          <w:u w:val="single"/>
        </w:rPr>
        <w:t>Marine Pollution Bulletin</w:t>
      </w:r>
      <w:r w:rsidRPr="007B7C47">
        <w:rPr>
          <w:rFonts w:ascii="Times New Roman" w:hAnsi="Times New Roman"/>
          <w:noProof/>
        </w:rPr>
        <w:t xml:space="preserve"> </w:t>
      </w:r>
      <w:r w:rsidRPr="007B7C47">
        <w:rPr>
          <w:rFonts w:ascii="Times New Roman" w:hAnsi="Times New Roman"/>
          <w:b/>
          <w:noProof/>
        </w:rPr>
        <w:t>65</w:t>
      </w:r>
      <w:r w:rsidRPr="007B7C47">
        <w:rPr>
          <w:rFonts w:ascii="Times New Roman" w:hAnsi="Times New Roman"/>
          <w:noProof/>
        </w:rPr>
        <w:t>(4-9): 292-305.</w:t>
      </w:r>
      <w:bookmarkEnd w:id="573"/>
    </w:p>
    <w:p w:rsidR="007B7C47" w:rsidRPr="007B7C47" w:rsidRDefault="007B7C47" w:rsidP="007B7C47">
      <w:pPr>
        <w:rPr>
          <w:rFonts w:ascii="Times New Roman" w:hAnsi="Times New Roman"/>
          <w:noProof/>
        </w:rPr>
      </w:pPr>
      <w:bookmarkStart w:id="574" w:name="_ENREF_34"/>
      <w:r w:rsidRPr="007B7C47">
        <w:rPr>
          <w:rFonts w:ascii="Times New Roman" w:hAnsi="Times New Roman"/>
          <w:noProof/>
        </w:rPr>
        <w:t xml:space="preserve">Lindenmayer, D. B. and G. E. Likens (2009). "Adaptive monitoring: a new paradigm for long-term research and monitoring." </w:t>
      </w:r>
      <w:r w:rsidRPr="007B7C47">
        <w:rPr>
          <w:rFonts w:ascii="Times New Roman" w:hAnsi="Times New Roman"/>
          <w:noProof/>
          <w:u w:val="single"/>
        </w:rPr>
        <w:t>Trends in ecology &amp; evolution (Personal edition)</w:t>
      </w:r>
      <w:r w:rsidRPr="007B7C47">
        <w:rPr>
          <w:rFonts w:ascii="Times New Roman" w:hAnsi="Times New Roman"/>
          <w:noProof/>
        </w:rPr>
        <w:t xml:space="preserve"> </w:t>
      </w:r>
      <w:r w:rsidRPr="007B7C47">
        <w:rPr>
          <w:rFonts w:ascii="Times New Roman" w:hAnsi="Times New Roman"/>
          <w:b/>
          <w:noProof/>
        </w:rPr>
        <w:t>24</w:t>
      </w:r>
      <w:r w:rsidRPr="007B7C47">
        <w:rPr>
          <w:rFonts w:ascii="Times New Roman" w:hAnsi="Times New Roman"/>
          <w:noProof/>
        </w:rPr>
        <w:t>(9): 482-486.</w:t>
      </w:r>
      <w:bookmarkEnd w:id="574"/>
    </w:p>
    <w:p w:rsidR="007B7C47" w:rsidRPr="007B7C47" w:rsidRDefault="007B7C47" w:rsidP="007B7C47">
      <w:pPr>
        <w:rPr>
          <w:rFonts w:ascii="Times New Roman" w:hAnsi="Times New Roman"/>
          <w:noProof/>
        </w:rPr>
      </w:pPr>
      <w:bookmarkStart w:id="575" w:name="_ENREF_35"/>
      <w:r w:rsidRPr="007B7C47">
        <w:rPr>
          <w:rFonts w:ascii="Times New Roman" w:hAnsi="Times New Roman"/>
          <w:noProof/>
        </w:rPr>
        <w:t xml:space="preserve">Lyon, P. and F. Hoge (2006). The Linear Matrix Inversion Algorithm. </w:t>
      </w:r>
      <w:r w:rsidRPr="007B7C47">
        <w:rPr>
          <w:rFonts w:ascii="Times New Roman" w:hAnsi="Times New Roman"/>
          <w:noProof/>
          <w:u w:val="single"/>
        </w:rPr>
        <w:t>IOCCG Report Number 5. Remote Sensing of Inherent Optical Properties: Fundamentals, Tests of Algorithms, and Applications</w:t>
      </w:r>
      <w:r w:rsidRPr="007B7C47">
        <w:rPr>
          <w:rFonts w:ascii="Times New Roman" w:hAnsi="Times New Roman"/>
          <w:noProof/>
        </w:rPr>
        <w:t xml:space="preserve">. Z. Lee. Dartmouth, Canada, IOCCG. </w:t>
      </w:r>
      <w:r w:rsidRPr="007B7C47">
        <w:rPr>
          <w:rFonts w:ascii="Times New Roman" w:hAnsi="Times New Roman"/>
          <w:b/>
          <w:noProof/>
        </w:rPr>
        <w:t xml:space="preserve">5: </w:t>
      </w:r>
      <w:r w:rsidRPr="007B7C47">
        <w:rPr>
          <w:rFonts w:ascii="Times New Roman" w:hAnsi="Times New Roman"/>
          <w:noProof/>
        </w:rPr>
        <w:t>49-56.</w:t>
      </w:r>
      <w:bookmarkEnd w:id="575"/>
    </w:p>
    <w:p w:rsidR="007B7C47" w:rsidRPr="007B7C47" w:rsidRDefault="007B7C47" w:rsidP="007B7C47">
      <w:pPr>
        <w:rPr>
          <w:rFonts w:ascii="Times New Roman" w:hAnsi="Times New Roman"/>
          <w:noProof/>
        </w:rPr>
      </w:pPr>
      <w:bookmarkStart w:id="576" w:name="_ENREF_36"/>
      <w:r w:rsidRPr="007B7C47">
        <w:rPr>
          <w:rFonts w:ascii="Times New Roman" w:hAnsi="Times New Roman"/>
          <w:noProof/>
        </w:rPr>
        <w:t xml:space="preserve">Maritorena, S., D. A. Siegel and A. R. Peterson (2002). "Optimization of a semianalytical ocean color model for global-scale applications." </w:t>
      </w:r>
      <w:r w:rsidRPr="007B7C47">
        <w:rPr>
          <w:rFonts w:ascii="Times New Roman" w:hAnsi="Times New Roman"/>
          <w:noProof/>
          <w:u w:val="single"/>
        </w:rPr>
        <w:t>Appl.Opt.</w:t>
      </w:r>
      <w:r w:rsidRPr="007B7C47">
        <w:rPr>
          <w:rFonts w:ascii="Times New Roman" w:hAnsi="Times New Roman"/>
          <w:noProof/>
        </w:rPr>
        <w:t xml:space="preserve"> </w:t>
      </w:r>
      <w:r w:rsidRPr="007B7C47">
        <w:rPr>
          <w:rFonts w:ascii="Times New Roman" w:hAnsi="Times New Roman"/>
          <w:b/>
          <w:noProof/>
        </w:rPr>
        <w:t>41</w:t>
      </w:r>
      <w:r w:rsidRPr="007B7C47">
        <w:rPr>
          <w:rFonts w:ascii="Times New Roman" w:hAnsi="Times New Roman"/>
          <w:noProof/>
        </w:rPr>
        <w:t>: 2705-2714.</w:t>
      </w:r>
      <w:bookmarkEnd w:id="576"/>
    </w:p>
    <w:p w:rsidR="007B7C47" w:rsidRPr="007B7C47" w:rsidRDefault="007B7C47" w:rsidP="007B7C47">
      <w:pPr>
        <w:rPr>
          <w:rFonts w:ascii="Times New Roman" w:hAnsi="Times New Roman"/>
          <w:noProof/>
        </w:rPr>
      </w:pPr>
      <w:bookmarkStart w:id="577" w:name="_ENREF_37"/>
      <w:r w:rsidRPr="007B7C47">
        <w:rPr>
          <w:rFonts w:ascii="Times New Roman" w:hAnsi="Times New Roman"/>
          <w:noProof/>
        </w:rPr>
        <w:t xml:space="preserve">Molleri, G. S. F., E. M. L. de M. Novo and M. Kampel (2010). "Space-time variability of the Amazon River plume based on satellite ocean color." </w:t>
      </w:r>
      <w:r w:rsidRPr="007B7C47">
        <w:rPr>
          <w:rFonts w:ascii="Times New Roman" w:hAnsi="Times New Roman"/>
          <w:noProof/>
          <w:u w:val="single"/>
        </w:rPr>
        <w:t>Continental Shelf Research</w:t>
      </w:r>
      <w:r w:rsidRPr="007B7C47">
        <w:rPr>
          <w:rFonts w:ascii="Times New Roman" w:hAnsi="Times New Roman"/>
          <w:noProof/>
        </w:rPr>
        <w:t xml:space="preserve"> </w:t>
      </w:r>
      <w:r w:rsidRPr="007B7C47">
        <w:rPr>
          <w:rFonts w:ascii="Times New Roman" w:hAnsi="Times New Roman"/>
          <w:b/>
          <w:noProof/>
        </w:rPr>
        <w:t>30</w:t>
      </w:r>
      <w:r w:rsidRPr="007B7C47">
        <w:rPr>
          <w:rFonts w:ascii="Times New Roman" w:hAnsi="Times New Roman"/>
          <w:noProof/>
        </w:rPr>
        <w:t>(3-4): 342-352.</w:t>
      </w:r>
      <w:bookmarkEnd w:id="577"/>
    </w:p>
    <w:p w:rsidR="007B7C47" w:rsidRPr="007B7C47" w:rsidRDefault="007B7C47" w:rsidP="007B7C47">
      <w:pPr>
        <w:rPr>
          <w:rFonts w:ascii="Times New Roman" w:hAnsi="Times New Roman"/>
          <w:noProof/>
        </w:rPr>
      </w:pPr>
      <w:bookmarkStart w:id="578" w:name="_ENREF_38"/>
      <w:r w:rsidRPr="007B7C47">
        <w:rPr>
          <w:rFonts w:ascii="Times New Roman" w:hAnsi="Times New Roman"/>
          <w:noProof/>
        </w:rPr>
        <w:lastRenderedPageBreak/>
        <w:t xml:space="preserve">Oubelkheir, K., L. Clementson, I. Webster, P. Ford, A. G. Dekker, L. Radke and P. Daniel (2006). "Using inherent optical properties to investigate biogeochemical dynamics in a tropical macrotidal coastal system." </w:t>
      </w:r>
      <w:r w:rsidRPr="007B7C47">
        <w:rPr>
          <w:rFonts w:ascii="Times New Roman" w:hAnsi="Times New Roman"/>
          <w:noProof/>
          <w:u w:val="single"/>
        </w:rPr>
        <w:t>J. Geophys. Res. (C Oceans)</w:t>
      </w:r>
      <w:r w:rsidRPr="007B7C47">
        <w:rPr>
          <w:rFonts w:ascii="Times New Roman" w:hAnsi="Times New Roman"/>
          <w:noProof/>
        </w:rPr>
        <w:t xml:space="preserve"> </w:t>
      </w:r>
      <w:r w:rsidRPr="007B7C47">
        <w:rPr>
          <w:rFonts w:ascii="Times New Roman" w:hAnsi="Times New Roman"/>
          <w:b/>
          <w:noProof/>
        </w:rPr>
        <w:t>111</w:t>
      </w:r>
      <w:r w:rsidRPr="007B7C47">
        <w:rPr>
          <w:rFonts w:ascii="Times New Roman" w:hAnsi="Times New Roman"/>
          <w:noProof/>
        </w:rPr>
        <w:t>(C07021): doi:10.1029/2005JC003113.</w:t>
      </w:r>
      <w:bookmarkEnd w:id="578"/>
    </w:p>
    <w:p w:rsidR="007B7C47" w:rsidRPr="007B7C47" w:rsidRDefault="007B7C47" w:rsidP="007B7C47">
      <w:pPr>
        <w:rPr>
          <w:rFonts w:ascii="Times New Roman" w:hAnsi="Times New Roman"/>
          <w:noProof/>
        </w:rPr>
      </w:pPr>
      <w:bookmarkStart w:id="579" w:name="_ENREF_39"/>
      <w:r w:rsidRPr="007B7C47">
        <w:rPr>
          <w:rFonts w:ascii="Times New Roman" w:hAnsi="Times New Roman"/>
          <w:noProof/>
        </w:rPr>
        <w:t xml:space="preserve">Qin, Y., A. G. Dekker, V. E. Brando and D. Blondeau-Patissier (2007). "Validity of SeaDAS water constituents retrieval algorithms in Australian tropical coastal waters." </w:t>
      </w:r>
      <w:r w:rsidRPr="007B7C47">
        <w:rPr>
          <w:rFonts w:ascii="Times New Roman" w:hAnsi="Times New Roman"/>
          <w:noProof/>
          <w:u w:val="single"/>
        </w:rPr>
        <w:t>Geophys. Res. Letters</w:t>
      </w:r>
      <w:r w:rsidRPr="007B7C47">
        <w:rPr>
          <w:rFonts w:ascii="Times New Roman" w:hAnsi="Times New Roman"/>
          <w:noProof/>
        </w:rPr>
        <w:t xml:space="preserve"> </w:t>
      </w:r>
      <w:r w:rsidRPr="007B7C47">
        <w:rPr>
          <w:rFonts w:ascii="Times New Roman" w:hAnsi="Times New Roman"/>
          <w:b/>
          <w:noProof/>
        </w:rPr>
        <w:t>34</w:t>
      </w:r>
      <w:r w:rsidRPr="007B7C47">
        <w:rPr>
          <w:rFonts w:ascii="Times New Roman" w:hAnsi="Times New Roman"/>
          <w:noProof/>
        </w:rPr>
        <w:t>(l21603).</w:t>
      </w:r>
      <w:bookmarkEnd w:id="579"/>
    </w:p>
    <w:p w:rsidR="007B7C47" w:rsidRPr="007B7C47" w:rsidRDefault="007B7C47" w:rsidP="007B7C47">
      <w:pPr>
        <w:rPr>
          <w:rFonts w:ascii="Times New Roman" w:hAnsi="Times New Roman"/>
          <w:noProof/>
        </w:rPr>
      </w:pPr>
      <w:bookmarkStart w:id="580" w:name="_ENREF_40"/>
      <w:r w:rsidRPr="007B7C47">
        <w:rPr>
          <w:rFonts w:ascii="Times New Roman" w:hAnsi="Times New Roman"/>
          <w:noProof/>
        </w:rPr>
        <w:t>RWQPP (2011). Great Barrier Reef First Report Card 2009 Baseline. Reef Water Quality Protection Plan, Reef Water Quality Protection Plan Secretariat,The State of Queensland.</w:t>
      </w:r>
      <w:bookmarkEnd w:id="580"/>
    </w:p>
    <w:p w:rsidR="007B7C47" w:rsidRPr="007B7C47" w:rsidRDefault="007B7C47" w:rsidP="007B7C47">
      <w:pPr>
        <w:rPr>
          <w:rFonts w:ascii="Times New Roman" w:hAnsi="Times New Roman"/>
          <w:noProof/>
        </w:rPr>
      </w:pPr>
      <w:bookmarkStart w:id="581" w:name="_ENREF_41"/>
      <w:r w:rsidRPr="007B7C47">
        <w:rPr>
          <w:rFonts w:ascii="Times New Roman" w:hAnsi="Times New Roman"/>
          <w:noProof/>
        </w:rPr>
        <w:t>RWQPP (2011). Reef Water Quality Protection Plan. First Report: 2009 Baseline, Reef Water Quality Protection Plan Secretariat,The State of Queensland.</w:t>
      </w:r>
      <w:bookmarkEnd w:id="581"/>
    </w:p>
    <w:p w:rsidR="007B7C47" w:rsidRPr="007B7C47" w:rsidRDefault="007B7C47" w:rsidP="007B7C47">
      <w:pPr>
        <w:rPr>
          <w:rFonts w:ascii="Times New Roman" w:hAnsi="Times New Roman"/>
          <w:noProof/>
        </w:rPr>
      </w:pPr>
      <w:bookmarkStart w:id="582" w:name="_ENREF_42"/>
      <w:r w:rsidRPr="007B7C47">
        <w:rPr>
          <w:rFonts w:ascii="Times New Roman" w:hAnsi="Times New Roman"/>
          <w:noProof/>
        </w:rPr>
        <w:t>Schaffelke, B., J. Carleton, P. Costello, d. Davidson, J. Doyle, M. Furnas, K. Gunn, M. Skuza, M. Wright and I. Zagorskis (2012). Reef Rescue Marine Monitoring Program. Final  Report of AIMS Activities 2011/12 –Inshore water quality monitoring. Townsville, Australian Institute of Marine Science.</w:t>
      </w:r>
      <w:bookmarkEnd w:id="582"/>
    </w:p>
    <w:p w:rsidR="007B7C47" w:rsidRPr="007B7C47" w:rsidRDefault="007B7C47" w:rsidP="007B7C47">
      <w:pPr>
        <w:rPr>
          <w:rFonts w:ascii="Times New Roman" w:hAnsi="Times New Roman"/>
          <w:noProof/>
        </w:rPr>
      </w:pPr>
      <w:bookmarkStart w:id="583" w:name="_ENREF_43"/>
      <w:r w:rsidRPr="007B7C47">
        <w:rPr>
          <w:rFonts w:ascii="Times New Roman" w:hAnsi="Times New Roman"/>
          <w:noProof/>
        </w:rPr>
        <w:t>Schaffelke, B., J. Carleton, J. Doyle, M. Furnas, K. Gunn, M. Skuza, M. Wright and I. Zagorskis (2011). Reef Rescue Marine Monitoring Program. Annual Report of AIMS Activities – Inshore water quality monitoring 2010/11. Townsville, Australian Institute of Marine Science.</w:t>
      </w:r>
      <w:bookmarkEnd w:id="583"/>
    </w:p>
    <w:p w:rsidR="007B7C47" w:rsidRPr="007B7C47" w:rsidRDefault="007B7C47" w:rsidP="007B7C47">
      <w:pPr>
        <w:rPr>
          <w:rFonts w:ascii="Times New Roman" w:hAnsi="Times New Roman"/>
          <w:noProof/>
        </w:rPr>
      </w:pPr>
      <w:bookmarkStart w:id="584" w:name="_ENREF_44"/>
      <w:r w:rsidRPr="007B7C47">
        <w:rPr>
          <w:rFonts w:ascii="Times New Roman" w:hAnsi="Times New Roman"/>
          <w:noProof/>
        </w:rPr>
        <w:t xml:space="preserve">Schaffelke, B., J. Carleton, M. Skuza, I. Zagorskis and M. J. Furnas (2012). "Water quality in the inshore Great Barrier Reef lagoon: Implications for long-term monitoring and management." </w:t>
      </w:r>
      <w:r w:rsidRPr="007B7C47">
        <w:rPr>
          <w:rFonts w:ascii="Times New Roman" w:hAnsi="Times New Roman"/>
          <w:noProof/>
          <w:u w:val="single"/>
        </w:rPr>
        <w:t>Marine Pollution Bulletin</w:t>
      </w:r>
      <w:r w:rsidRPr="007B7C47">
        <w:rPr>
          <w:rFonts w:ascii="Times New Roman" w:hAnsi="Times New Roman"/>
          <w:noProof/>
        </w:rPr>
        <w:t xml:space="preserve"> </w:t>
      </w:r>
      <w:r w:rsidRPr="007B7C47">
        <w:rPr>
          <w:rFonts w:ascii="Times New Roman" w:hAnsi="Times New Roman"/>
          <w:b/>
          <w:noProof/>
        </w:rPr>
        <w:t>65</w:t>
      </w:r>
      <w:r w:rsidRPr="007B7C47">
        <w:rPr>
          <w:rFonts w:ascii="Times New Roman" w:hAnsi="Times New Roman"/>
          <w:noProof/>
        </w:rPr>
        <w:t>(4–9): 249-260.</w:t>
      </w:r>
      <w:bookmarkEnd w:id="584"/>
    </w:p>
    <w:p w:rsidR="007B7C47" w:rsidRPr="007B7C47" w:rsidRDefault="007B7C47" w:rsidP="007B7C47">
      <w:pPr>
        <w:rPr>
          <w:rFonts w:ascii="Times New Roman" w:hAnsi="Times New Roman"/>
          <w:noProof/>
        </w:rPr>
      </w:pPr>
      <w:bookmarkStart w:id="585" w:name="_ENREF_45"/>
      <w:r w:rsidRPr="007B7C47">
        <w:rPr>
          <w:rFonts w:ascii="Times New Roman" w:hAnsi="Times New Roman"/>
          <w:noProof/>
        </w:rPr>
        <w:t>Schaffelke, B., J. Carleton, I. Zagorskis, M. J. Furnas, M. Skuza, M. Wright, A. G. Dekker, D. Blondeau-Patissier and V. E. Brando (2006). Nearshore marine water quality monitoring. In: CRC Reef Consortium. Water Quality and Ecosystem Monitoring Programs–Reef Water Quality Protection Plan. Final Report August 2006 (revision November 2006). Townsville, CRC Reef Research</w:t>
      </w:r>
      <w:r w:rsidRPr="007B7C47">
        <w:rPr>
          <w:rFonts w:ascii="Times New Roman" w:hAnsi="Times New Roman"/>
          <w:b/>
          <w:noProof/>
        </w:rPr>
        <w:t xml:space="preserve">: </w:t>
      </w:r>
      <w:r w:rsidRPr="007B7C47">
        <w:rPr>
          <w:rFonts w:ascii="Times New Roman" w:hAnsi="Times New Roman"/>
          <w:noProof/>
        </w:rPr>
        <w:t>105-170.</w:t>
      </w:r>
      <w:bookmarkEnd w:id="585"/>
    </w:p>
    <w:p w:rsidR="007B7C47" w:rsidRPr="007B7C47" w:rsidRDefault="007B7C47" w:rsidP="007B7C47">
      <w:pPr>
        <w:rPr>
          <w:rFonts w:ascii="Times New Roman" w:hAnsi="Times New Roman"/>
          <w:noProof/>
        </w:rPr>
      </w:pPr>
      <w:bookmarkStart w:id="586" w:name="_ENREF_46"/>
      <w:r w:rsidRPr="007B7C47">
        <w:rPr>
          <w:rFonts w:ascii="Times New Roman" w:hAnsi="Times New Roman"/>
          <w:noProof/>
        </w:rPr>
        <w:t xml:space="preserve">Schroeder, T., I. Behnert, M. Schaale, J. Fischer and R. Doerffer (2007). "Atmospheric correction algorithm for MERIS above case-2 waters." </w:t>
      </w:r>
      <w:r w:rsidRPr="007B7C47">
        <w:rPr>
          <w:rFonts w:ascii="Times New Roman" w:hAnsi="Times New Roman"/>
          <w:noProof/>
          <w:u w:val="single"/>
        </w:rPr>
        <w:t>International Journal of Remote Sensing</w:t>
      </w:r>
      <w:r w:rsidRPr="007B7C47">
        <w:rPr>
          <w:rFonts w:ascii="Times New Roman" w:hAnsi="Times New Roman"/>
          <w:noProof/>
        </w:rPr>
        <w:t xml:space="preserve"> </w:t>
      </w:r>
      <w:r w:rsidRPr="007B7C47">
        <w:rPr>
          <w:rFonts w:ascii="Times New Roman" w:hAnsi="Times New Roman"/>
          <w:b/>
          <w:noProof/>
        </w:rPr>
        <w:t>28</w:t>
      </w:r>
      <w:r w:rsidRPr="007B7C47">
        <w:rPr>
          <w:rFonts w:ascii="Times New Roman" w:hAnsi="Times New Roman"/>
          <w:noProof/>
        </w:rPr>
        <w:t>(7): 1469 - 1486.</w:t>
      </w:r>
      <w:bookmarkEnd w:id="586"/>
    </w:p>
    <w:p w:rsidR="007B7C47" w:rsidRPr="007B7C47" w:rsidRDefault="007B7C47" w:rsidP="007B7C47">
      <w:pPr>
        <w:rPr>
          <w:rFonts w:ascii="Times New Roman" w:hAnsi="Times New Roman"/>
          <w:noProof/>
        </w:rPr>
      </w:pPr>
      <w:bookmarkStart w:id="587" w:name="_ENREF_47"/>
      <w:r w:rsidRPr="007B7C47">
        <w:rPr>
          <w:rFonts w:ascii="Times New Roman" w:hAnsi="Times New Roman"/>
          <w:noProof/>
        </w:rPr>
        <w:t xml:space="preserve">Schroeder, T., V. E. Brando, N. R. C. Cherukuru, L. A. Clementson, D. Blondeau-Patissier, A. G. Dekker, M. Schaale and J. Fischer (2008). </w:t>
      </w:r>
      <w:r w:rsidRPr="007B7C47">
        <w:rPr>
          <w:rFonts w:ascii="Times New Roman" w:hAnsi="Times New Roman"/>
          <w:noProof/>
          <w:u w:val="single"/>
        </w:rPr>
        <w:t>Remote sensing of apparent and inherent optical properties of Tasmanian coastal waters: application to MODIS data</w:t>
      </w:r>
      <w:r w:rsidRPr="007B7C47">
        <w:rPr>
          <w:rFonts w:ascii="Times New Roman" w:hAnsi="Times New Roman"/>
          <w:noProof/>
        </w:rPr>
        <w:t>. Ocean Optics XIX, Barga, Italy.</w:t>
      </w:r>
      <w:bookmarkEnd w:id="587"/>
    </w:p>
    <w:p w:rsidR="007B7C47" w:rsidRPr="007B7C47" w:rsidRDefault="007B7C47" w:rsidP="007B7C47">
      <w:pPr>
        <w:rPr>
          <w:rFonts w:ascii="Times New Roman" w:hAnsi="Times New Roman"/>
          <w:noProof/>
        </w:rPr>
      </w:pPr>
      <w:bookmarkStart w:id="588" w:name="_ENREF_48"/>
      <w:r w:rsidRPr="007B7C47">
        <w:rPr>
          <w:rFonts w:ascii="Times New Roman" w:hAnsi="Times New Roman"/>
          <w:noProof/>
        </w:rPr>
        <w:t xml:space="preserve">Schroeder, T., M. J. Devlin, V. E. Brando, A. G. Dekker, J. E. Brodie, L. A. Clementson and L. McKinna (2012). "Inter-annual variability of wet season freshwater plume extent into the Great Barrier Reef lagoon based on satellite coastal ocean colour observations." </w:t>
      </w:r>
      <w:r w:rsidRPr="007B7C47">
        <w:rPr>
          <w:rFonts w:ascii="Times New Roman" w:hAnsi="Times New Roman"/>
          <w:noProof/>
          <w:u w:val="single"/>
        </w:rPr>
        <w:t>Marine Pollution Bulletin</w:t>
      </w:r>
      <w:r w:rsidRPr="007B7C47">
        <w:rPr>
          <w:rFonts w:ascii="Times New Roman" w:hAnsi="Times New Roman"/>
          <w:noProof/>
        </w:rPr>
        <w:t xml:space="preserve"> </w:t>
      </w:r>
      <w:r w:rsidRPr="007B7C47">
        <w:rPr>
          <w:rFonts w:ascii="Times New Roman" w:hAnsi="Times New Roman"/>
          <w:b/>
          <w:noProof/>
        </w:rPr>
        <w:t>65</w:t>
      </w:r>
      <w:r w:rsidRPr="007B7C47">
        <w:rPr>
          <w:rFonts w:ascii="Times New Roman" w:hAnsi="Times New Roman"/>
          <w:noProof/>
        </w:rPr>
        <w:t>(4-9): 210-223.</w:t>
      </w:r>
      <w:bookmarkEnd w:id="588"/>
    </w:p>
    <w:p w:rsidR="007B7C47" w:rsidRPr="007B7C47" w:rsidRDefault="007B7C47" w:rsidP="007B7C47">
      <w:pPr>
        <w:rPr>
          <w:rFonts w:ascii="Times New Roman" w:hAnsi="Times New Roman"/>
          <w:noProof/>
        </w:rPr>
      </w:pPr>
      <w:bookmarkStart w:id="589" w:name="_ENREF_49"/>
      <w:r w:rsidRPr="007B7C47">
        <w:rPr>
          <w:rFonts w:ascii="Times New Roman" w:hAnsi="Times New Roman"/>
          <w:noProof/>
        </w:rPr>
        <w:t xml:space="preserve">Shi, W. and M. Wang (2007). "Detection of turbid waters and absorbing aerosols for the MODIS ocean color data processing." </w:t>
      </w:r>
      <w:r w:rsidRPr="007B7C47">
        <w:rPr>
          <w:rFonts w:ascii="Times New Roman" w:hAnsi="Times New Roman"/>
          <w:noProof/>
          <w:u w:val="single"/>
        </w:rPr>
        <w:t>Remote Sensing of Environment</w:t>
      </w:r>
      <w:r w:rsidRPr="007B7C47">
        <w:rPr>
          <w:rFonts w:ascii="Times New Roman" w:hAnsi="Times New Roman"/>
          <w:noProof/>
        </w:rPr>
        <w:t xml:space="preserve"> </w:t>
      </w:r>
      <w:r w:rsidRPr="007B7C47">
        <w:rPr>
          <w:rFonts w:ascii="Times New Roman" w:hAnsi="Times New Roman"/>
          <w:b/>
          <w:noProof/>
        </w:rPr>
        <w:t>110</w:t>
      </w:r>
      <w:r w:rsidRPr="007B7C47">
        <w:rPr>
          <w:rFonts w:ascii="Times New Roman" w:hAnsi="Times New Roman"/>
          <w:noProof/>
        </w:rPr>
        <w:t>(2): 149-161.</w:t>
      </w:r>
      <w:bookmarkEnd w:id="589"/>
    </w:p>
    <w:p w:rsidR="007B7C47" w:rsidRPr="007B7C47" w:rsidRDefault="007B7C47" w:rsidP="007B7C47">
      <w:pPr>
        <w:rPr>
          <w:rFonts w:ascii="Times New Roman" w:hAnsi="Times New Roman"/>
          <w:noProof/>
        </w:rPr>
      </w:pPr>
      <w:bookmarkStart w:id="590" w:name="_ENREF_50"/>
      <w:r w:rsidRPr="007B7C47">
        <w:rPr>
          <w:rFonts w:ascii="Times New Roman" w:hAnsi="Times New Roman"/>
          <w:noProof/>
        </w:rPr>
        <w:t>Steven, A., V. Brando, A. Dekker, J. Hodge, B. Farthing, K. Mengersen, K. Oubelkheir and Y. Qin (2007). Remotely-Sensed Monitoring of Chlorophyll and Suspended Sediment in the Coastal Waters of the Wet Tropics Region: A demonstration project with national application. Canberra, ACT, CSIRO Land &amp; Water</w:t>
      </w:r>
      <w:r w:rsidRPr="007B7C47">
        <w:rPr>
          <w:rFonts w:ascii="Times New Roman" w:hAnsi="Times New Roman"/>
          <w:b/>
          <w:noProof/>
        </w:rPr>
        <w:t xml:space="preserve">: </w:t>
      </w:r>
      <w:r w:rsidRPr="007B7C47">
        <w:rPr>
          <w:rFonts w:ascii="Times New Roman" w:hAnsi="Times New Roman"/>
          <w:noProof/>
        </w:rPr>
        <w:t>141.</w:t>
      </w:r>
      <w:bookmarkEnd w:id="590"/>
    </w:p>
    <w:p w:rsidR="007B7C47" w:rsidRPr="007B7C47" w:rsidRDefault="007B7C47" w:rsidP="007B7C47">
      <w:pPr>
        <w:rPr>
          <w:rFonts w:ascii="Times New Roman" w:hAnsi="Times New Roman"/>
          <w:noProof/>
        </w:rPr>
      </w:pPr>
      <w:bookmarkStart w:id="591" w:name="_ENREF_51"/>
      <w:r w:rsidRPr="007B7C47">
        <w:rPr>
          <w:rFonts w:ascii="Times New Roman" w:hAnsi="Times New Roman"/>
          <w:noProof/>
        </w:rPr>
        <w:t xml:space="preserve">Tilstone, G. H., G. F. Moore, K. Sorensen, R. Doerffer, R. Rottgers, K. G. Ruddick and R. Pasterkamp (2004). "Protocols for the validation of MERIS products in Case 2 waters." </w:t>
      </w:r>
      <w:r w:rsidRPr="007B7C47">
        <w:rPr>
          <w:rFonts w:ascii="Times New Roman" w:hAnsi="Times New Roman"/>
          <w:noProof/>
          <w:u w:val="single"/>
        </w:rPr>
        <w:t>European Space Agency</w:t>
      </w:r>
      <w:r w:rsidRPr="007B7C47">
        <w:rPr>
          <w:rFonts w:ascii="Times New Roman" w:hAnsi="Times New Roman"/>
          <w:noProof/>
        </w:rPr>
        <w:t>.</w:t>
      </w:r>
      <w:bookmarkEnd w:id="591"/>
    </w:p>
    <w:p w:rsidR="007B7C47" w:rsidRPr="007B7C47" w:rsidRDefault="007B7C47" w:rsidP="007B7C47">
      <w:pPr>
        <w:rPr>
          <w:rFonts w:ascii="Times New Roman" w:hAnsi="Times New Roman"/>
          <w:noProof/>
        </w:rPr>
      </w:pPr>
      <w:bookmarkStart w:id="592" w:name="_ENREF_52"/>
      <w:r w:rsidRPr="007B7C47">
        <w:rPr>
          <w:rFonts w:ascii="Times New Roman" w:hAnsi="Times New Roman"/>
          <w:noProof/>
        </w:rPr>
        <w:t xml:space="preserve">Wang, M. (2007). "Remote sensing of the ocean contributions from ultraviolet to near-infrared using the shortwave infrared bands: simulations." </w:t>
      </w:r>
      <w:r w:rsidRPr="007B7C47">
        <w:rPr>
          <w:rFonts w:ascii="Times New Roman" w:hAnsi="Times New Roman"/>
          <w:noProof/>
          <w:u w:val="single"/>
        </w:rPr>
        <w:t>Appl. Opt.</w:t>
      </w:r>
      <w:r w:rsidRPr="007B7C47">
        <w:rPr>
          <w:rFonts w:ascii="Times New Roman" w:hAnsi="Times New Roman"/>
          <w:noProof/>
        </w:rPr>
        <w:t xml:space="preserve"> </w:t>
      </w:r>
      <w:r w:rsidRPr="007B7C47">
        <w:rPr>
          <w:rFonts w:ascii="Times New Roman" w:hAnsi="Times New Roman"/>
          <w:b/>
          <w:noProof/>
        </w:rPr>
        <w:t>46</w:t>
      </w:r>
      <w:r w:rsidRPr="007B7C47">
        <w:rPr>
          <w:rFonts w:ascii="Times New Roman" w:hAnsi="Times New Roman"/>
          <w:noProof/>
        </w:rPr>
        <w:t>: 1535-1547.</w:t>
      </w:r>
      <w:bookmarkEnd w:id="592"/>
    </w:p>
    <w:p w:rsidR="007B7C47" w:rsidRPr="007B7C47" w:rsidRDefault="007B7C47" w:rsidP="007B7C47">
      <w:pPr>
        <w:rPr>
          <w:rFonts w:ascii="Times New Roman" w:hAnsi="Times New Roman"/>
          <w:noProof/>
        </w:rPr>
      </w:pPr>
      <w:bookmarkStart w:id="593" w:name="_ENREF_53"/>
      <w:r w:rsidRPr="007B7C47">
        <w:rPr>
          <w:rFonts w:ascii="Times New Roman" w:hAnsi="Times New Roman"/>
          <w:noProof/>
        </w:rPr>
        <w:t xml:space="preserve">Wang, M. and W. Shi (2005). "Estimation of ocean contribution at the MODIS near-infrared wavelengths along the east coast of the U.S.: Two case studies." </w:t>
      </w:r>
      <w:r w:rsidRPr="007B7C47">
        <w:rPr>
          <w:rFonts w:ascii="Times New Roman" w:hAnsi="Times New Roman"/>
          <w:noProof/>
          <w:u w:val="single"/>
        </w:rPr>
        <w:t>Geophys. Res. Lett.</w:t>
      </w:r>
      <w:r w:rsidRPr="007B7C47">
        <w:rPr>
          <w:rFonts w:ascii="Times New Roman" w:hAnsi="Times New Roman"/>
          <w:noProof/>
        </w:rPr>
        <w:t xml:space="preserve"> </w:t>
      </w:r>
      <w:r w:rsidRPr="007B7C47">
        <w:rPr>
          <w:rFonts w:ascii="Times New Roman" w:hAnsi="Times New Roman"/>
          <w:b/>
          <w:noProof/>
        </w:rPr>
        <w:t>33</w:t>
      </w:r>
      <w:r w:rsidRPr="007B7C47">
        <w:rPr>
          <w:rFonts w:ascii="Times New Roman" w:hAnsi="Times New Roman"/>
          <w:noProof/>
        </w:rPr>
        <w:t>: L13606.</w:t>
      </w:r>
      <w:bookmarkEnd w:id="593"/>
    </w:p>
    <w:p w:rsidR="007B7C47" w:rsidRPr="007B7C47" w:rsidRDefault="007B7C47" w:rsidP="007B7C47">
      <w:pPr>
        <w:rPr>
          <w:rFonts w:ascii="Times New Roman" w:hAnsi="Times New Roman"/>
          <w:noProof/>
        </w:rPr>
      </w:pPr>
      <w:bookmarkStart w:id="594" w:name="_ENREF_54"/>
      <w:r w:rsidRPr="007B7C47">
        <w:rPr>
          <w:rFonts w:ascii="Times New Roman" w:hAnsi="Times New Roman"/>
          <w:noProof/>
        </w:rPr>
        <w:t xml:space="preserve">Wang, M. and W. Shi (2007). "The NIR-SWIR combined atmospheric correction approach for MODIS ocean colour data processing." </w:t>
      </w:r>
      <w:r w:rsidRPr="007B7C47">
        <w:rPr>
          <w:rFonts w:ascii="Times New Roman" w:hAnsi="Times New Roman"/>
          <w:noProof/>
          <w:u w:val="single"/>
        </w:rPr>
        <w:t>Optics Express</w:t>
      </w:r>
      <w:r w:rsidRPr="007B7C47">
        <w:rPr>
          <w:rFonts w:ascii="Times New Roman" w:hAnsi="Times New Roman"/>
          <w:noProof/>
        </w:rPr>
        <w:t xml:space="preserve"> </w:t>
      </w:r>
      <w:r w:rsidRPr="007B7C47">
        <w:rPr>
          <w:rFonts w:ascii="Times New Roman" w:hAnsi="Times New Roman"/>
          <w:b/>
          <w:noProof/>
        </w:rPr>
        <w:t>15</w:t>
      </w:r>
      <w:r w:rsidRPr="007B7C47">
        <w:rPr>
          <w:rFonts w:ascii="Times New Roman" w:hAnsi="Times New Roman"/>
          <w:noProof/>
        </w:rPr>
        <w:t xml:space="preserve">: 15722-15733 </w:t>
      </w:r>
      <w:bookmarkEnd w:id="594"/>
    </w:p>
    <w:p w:rsidR="007B7C47" w:rsidRPr="007B7C47" w:rsidRDefault="007B7C47" w:rsidP="007B7C47">
      <w:pPr>
        <w:rPr>
          <w:rFonts w:ascii="Times New Roman" w:hAnsi="Times New Roman"/>
          <w:noProof/>
        </w:rPr>
      </w:pPr>
      <w:bookmarkStart w:id="595" w:name="_ENREF_55"/>
      <w:r w:rsidRPr="007B7C47">
        <w:rPr>
          <w:rFonts w:ascii="Times New Roman" w:hAnsi="Times New Roman"/>
          <w:noProof/>
        </w:rPr>
        <w:t xml:space="preserve">Wang, M., S. Son and W. Shi (2009). "Evaluation of MODIS SWIR and NIR-SWIR atmospheric correction algorithms using SeaBASS data." </w:t>
      </w:r>
      <w:r w:rsidRPr="007B7C47">
        <w:rPr>
          <w:rFonts w:ascii="Times New Roman" w:hAnsi="Times New Roman"/>
          <w:noProof/>
          <w:u w:val="single"/>
        </w:rPr>
        <w:t>Remote Sensing of Environment</w:t>
      </w:r>
      <w:r w:rsidRPr="007B7C47">
        <w:rPr>
          <w:rFonts w:ascii="Times New Roman" w:hAnsi="Times New Roman"/>
          <w:noProof/>
        </w:rPr>
        <w:t xml:space="preserve"> </w:t>
      </w:r>
      <w:r w:rsidRPr="007B7C47">
        <w:rPr>
          <w:rFonts w:ascii="Times New Roman" w:hAnsi="Times New Roman"/>
          <w:b/>
          <w:noProof/>
        </w:rPr>
        <w:t>113</w:t>
      </w:r>
      <w:r w:rsidRPr="007B7C47">
        <w:rPr>
          <w:rFonts w:ascii="Times New Roman" w:hAnsi="Times New Roman"/>
          <w:noProof/>
        </w:rPr>
        <w:t xml:space="preserve">: 635-644 </w:t>
      </w:r>
      <w:bookmarkEnd w:id="595"/>
    </w:p>
    <w:p w:rsidR="007B7C47" w:rsidRPr="007B7C47" w:rsidRDefault="007B7C47" w:rsidP="007B7C47">
      <w:pPr>
        <w:rPr>
          <w:rFonts w:ascii="Times New Roman" w:hAnsi="Times New Roman"/>
          <w:noProof/>
        </w:rPr>
      </w:pPr>
      <w:bookmarkStart w:id="596" w:name="_ENREF_56"/>
      <w:r w:rsidRPr="007B7C47">
        <w:rPr>
          <w:rFonts w:ascii="Times New Roman" w:hAnsi="Times New Roman"/>
          <w:noProof/>
        </w:rPr>
        <w:t xml:space="preserve">Wang, P., E. S. Boss and C. Roesler (2005). "Uncertainties of inherent optical properties obtained from semianalytical inversions of ocean color." </w:t>
      </w:r>
      <w:r w:rsidRPr="007B7C47">
        <w:rPr>
          <w:rFonts w:ascii="Times New Roman" w:hAnsi="Times New Roman"/>
          <w:noProof/>
          <w:u w:val="single"/>
        </w:rPr>
        <w:t>Applied Optics</w:t>
      </w:r>
      <w:r w:rsidRPr="007B7C47">
        <w:rPr>
          <w:rFonts w:ascii="Times New Roman" w:hAnsi="Times New Roman"/>
          <w:noProof/>
        </w:rPr>
        <w:t xml:space="preserve"> </w:t>
      </w:r>
      <w:r w:rsidRPr="007B7C47">
        <w:rPr>
          <w:rFonts w:ascii="Times New Roman" w:hAnsi="Times New Roman"/>
          <w:b/>
          <w:noProof/>
        </w:rPr>
        <w:t>44</w:t>
      </w:r>
      <w:r w:rsidRPr="007B7C47">
        <w:rPr>
          <w:rFonts w:ascii="Times New Roman" w:hAnsi="Times New Roman"/>
          <w:noProof/>
        </w:rPr>
        <w:t>(19): 4074-4085.</w:t>
      </w:r>
      <w:bookmarkEnd w:id="596"/>
    </w:p>
    <w:p w:rsidR="007B7C47" w:rsidRPr="007B7C47" w:rsidRDefault="007B7C47" w:rsidP="007B7C47">
      <w:pPr>
        <w:rPr>
          <w:rFonts w:ascii="Times New Roman" w:hAnsi="Times New Roman"/>
          <w:noProof/>
        </w:rPr>
      </w:pPr>
      <w:bookmarkStart w:id="597" w:name="_ENREF_57"/>
      <w:r w:rsidRPr="007B7C47">
        <w:rPr>
          <w:rFonts w:ascii="Times New Roman" w:hAnsi="Times New Roman"/>
          <w:noProof/>
        </w:rPr>
        <w:lastRenderedPageBreak/>
        <w:t xml:space="preserve">Waterhouse, J., J. Brodie, S. Lewis and A. Mitchell (2012). "Quantifying the sources of pollutants in the Great Barrier Reef catchments and the relative risk to reef ecosystems." </w:t>
      </w:r>
      <w:r w:rsidRPr="007B7C47">
        <w:rPr>
          <w:rFonts w:ascii="Times New Roman" w:hAnsi="Times New Roman"/>
          <w:noProof/>
          <w:u w:val="single"/>
        </w:rPr>
        <w:t>Marine Pollution Bulletin</w:t>
      </w:r>
      <w:r w:rsidRPr="007B7C47">
        <w:rPr>
          <w:rFonts w:ascii="Times New Roman" w:hAnsi="Times New Roman"/>
          <w:noProof/>
        </w:rPr>
        <w:t xml:space="preserve"> </w:t>
      </w:r>
      <w:r w:rsidRPr="007B7C47">
        <w:rPr>
          <w:rFonts w:ascii="Times New Roman" w:hAnsi="Times New Roman"/>
          <w:b/>
          <w:noProof/>
        </w:rPr>
        <w:t>65</w:t>
      </w:r>
      <w:r w:rsidRPr="007B7C47">
        <w:rPr>
          <w:rFonts w:ascii="Times New Roman" w:hAnsi="Times New Roman"/>
          <w:noProof/>
        </w:rPr>
        <w:t>(4–9): 394-406.</w:t>
      </w:r>
      <w:bookmarkEnd w:id="597"/>
    </w:p>
    <w:p w:rsidR="007B7C47" w:rsidRPr="007B7C47" w:rsidRDefault="007B7C47" w:rsidP="007B7C47">
      <w:pPr>
        <w:rPr>
          <w:rFonts w:ascii="Times New Roman" w:hAnsi="Times New Roman"/>
          <w:noProof/>
        </w:rPr>
      </w:pPr>
      <w:bookmarkStart w:id="598" w:name="_ENREF_58"/>
      <w:r w:rsidRPr="007B7C47">
        <w:rPr>
          <w:rFonts w:ascii="Times New Roman" w:hAnsi="Times New Roman"/>
          <w:noProof/>
        </w:rPr>
        <w:t xml:space="preserve">Weeks, S., P. J. Werdell, B. Schaffelke, M. Canto, Z. Lee, J. G. Wilding and G. C. Feldman (2012). "Satellite-Derived Photic Depth on the Great Barrier Reef: Spatio-Temporal Patterns of Water Clarity." </w:t>
      </w:r>
      <w:r w:rsidRPr="007B7C47">
        <w:rPr>
          <w:rFonts w:ascii="Times New Roman" w:hAnsi="Times New Roman"/>
          <w:noProof/>
          <w:u w:val="single"/>
        </w:rPr>
        <w:t>Remote Sensing</w:t>
      </w:r>
      <w:r w:rsidRPr="007B7C47">
        <w:rPr>
          <w:rFonts w:ascii="Times New Roman" w:hAnsi="Times New Roman"/>
          <w:noProof/>
        </w:rPr>
        <w:t xml:space="preserve"> </w:t>
      </w:r>
      <w:r w:rsidRPr="007B7C47">
        <w:rPr>
          <w:rFonts w:ascii="Times New Roman" w:hAnsi="Times New Roman"/>
          <w:b/>
          <w:noProof/>
        </w:rPr>
        <w:t>2012</w:t>
      </w:r>
      <w:r w:rsidRPr="007B7C47">
        <w:rPr>
          <w:rFonts w:ascii="Times New Roman" w:hAnsi="Times New Roman"/>
          <w:noProof/>
        </w:rPr>
        <w:t>: 3781-3795.</w:t>
      </w:r>
      <w:bookmarkEnd w:id="598"/>
    </w:p>
    <w:p w:rsidR="007B7C47" w:rsidRPr="007B7C47" w:rsidRDefault="007B7C47" w:rsidP="007B7C47">
      <w:pPr>
        <w:rPr>
          <w:rFonts w:ascii="Times New Roman" w:hAnsi="Times New Roman"/>
          <w:noProof/>
        </w:rPr>
      </w:pPr>
      <w:bookmarkStart w:id="599" w:name="_ENREF_59"/>
      <w:r w:rsidRPr="007B7C47">
        <w:rPr>
          <w:rFonts w:ascii="Times New Roman" w:hAnsi="Times New Roman"/>
          <w:noProof/>
        </w:rPr>
        <w:t xml:space="preserve">Wooldridge, S., J. Brodie and M. Furnas (2006). "Exposure of inner-shelf reefs to nutrient enriched runoff entering the Great Barrier Reef Lagoon: Post-European changes and the design of water quality targets." </w:t>
      </w:r>
      <w:r w:rsidRPr="007B7C47">
        <w:rPr>
          <w:rFonts w:ascii="Times New Roman" w:hAnsi="Times New Roman"/>
          <w:noProof/>
          <w:u w:val="single"/>
        </w:rPr>
        <w:t>Marine Pollution Bulletin</w:t>
      </w:r>
      <w:r w:rsidRPr="007B7C47">
        <w:rPr>
          <w:rFonts w:ascii="Times New Roman" w:hAnsi="Times New Roman"/>
          <w:noProof/>
        </w:rPr>
        <w:t xml:space="preserve"> </w:t>
      </w:r>
      <w:r w:rsidRPr="007B7C47">
        <w:rPr>
          <w:rFonts w:ascii="Times New Roman" w:hAnsi="Times New Roman"/>
          <w:b/>
          <w:noProof/>
        </w:rPr>
        <w:t>52</w:t>
      </w:r>
      <w:r w:rsidRPr="007B7C47">
        <w:rPr>
          <w:rFonts w:ascii="Times New Roman" w:hAnsi="Times New Roman"/>
          <w:noProof/>
        </w:rPr>
        <w:t>(11): 1467-1479.</w:t>
      </w:r>
      <w:bookmarkEnd w:id="599"/>
    </w:p>
    <w:p w:rsidR="007B7C47" w:rsidRDefault="007B7C47" w:rsidP="007B7C47">
      <w:pPr>
        <w:rPr>
          <w:rFonts w:ascii="Times New Roman" w:hAnsi="Times New Roman"/>
          <w:noProof/>
        </w:rPr>
      </w:pPr>
    </w:p>
    <w:p w:rsidR="00B25CAA" w:rsidRPr="00A40CD0" w:rsidRDefault="00EA2F38" w:rsidP="0068366B">
      <w:pPr>
        <w:ind w:hanging="720"/>
      </w:pPr>
      <w:r>
        <w:fldChar w:fldCharType="end"/>
      </w:r>
    </w:p>
    <w:p w:rsidR="00B25CAA" w:rsidRPr="00A40CD0" w:rsidRDefault="00B25CAA" w:rsidP="002E0BD6">
      <w:pPr>
        <w:pStyle w:val="BodyText"/>
      </w:pPr>
      <w:r w:rsidRPr="00A40CD0">
        <w:br w:type="page"/>
      </w:r>
    </w:p>
    <w:p w:rsidR="00B25CAA" w:rsidRPr="00A40CD0" w:rsidRDefault="00B25CAA" w:rsidP="00D80E36">
      <w:pPr>
        <w:pStyle w:val="head1nonumb"/>
      </w:pPr>
      <w:bookmarkStart w:id="600" w:name="_Toc228588210"/>
      <w:bookmarkStart w:id="601" w:name="_Toc399264917"/>
      <w:r w:rsidRPr="00A40CD0">
        <w:lastRenderedPageBreak/>
        <w:t>Appendix 1 Details of algorithm theoretical basis for the regionally valid retrieval of water quality from satellite imagery</w:t>
      </w:r>
      <w:bookmarkEnd w:id="600"/>
      <w:bookmarkEnd w:id="601"/>
    </w:p>
    <w:p w:rsidR="00B25CAA" w:rsidRPr="00A40CD0" w:rsidRDefault="00B25CAA" w:rsidP="007E294B">
      <w:pPr>
        <w:pStyle w:val="Heading2"/>
      </w:pPr>
      <w:bookmarkStart w:id="602" w:name="_Toc228588211"/>
      <w:bookmarkStart w:id="603" w:name="_Toc399264918"/>
      <w:r w:rsidRPr="00A40CD0">
        <w:t>Regionally valid retrieval of water quality parameters from satellite imagery</w:t>
      </w:r>
      <w:bookmarkEnd w:id="602"/>
      <w:bookmarkEnd w:id="603"/>
    </w:p>
    <w:p w:rsidR="00B25CAA" w:rsidRPr="00A40CD0" w:rsidRDefault="00B25CAA" w:rsidP="002E0BD6">
      <w:pPr>
        <w:pStyle w:val="BodyText"/>
      </w:pPr>
      <w:r w:rsidRPr="00A40CD0">
        <w:t xml:space="preserve">Based on studies conducted in the Fitzroy Estuary </w:t>
      </w:r>
      <w:r w:rsidR="00EA2F38" w:rsidRPr="00A40CD0">
        <w:fldChar w:fldCharType="begin">
          <w:fldData xml:space="preserve">PEVuZE5vdGU+PENpdGU+PEF1dGhvcj5PdWJlbGtoZWlyPC9BdXRob3I+PFllYXI+MjAwNjwvWWVh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</w:fldData>
        </w:fldChar>
      </w:r>
      <w:r w:rsidR="00AC2F22">
        <w:instrText xml:space="preserve"> ADDIN EN.CITE </w:instrText>
      </w:r>
      <w:r w:rsidR="00EA2F38">
        <w:fldChar w:fldCharType="begin">
          <w:fldData xml:space="preserve">PEVuZE5vdGU+PENpdGU+PEF1dGhvcj5PdWJlbGtoZWlyPC9BdXRob3I+PFllYXI+MjAwNjwvWWVh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5" w:tooltip="Brando, 2006 #4026" w:history="1">
        <w:r w:rsidR="007B7C47">
          <w:rPr>
            <w:noProof/>
          </w:rPr>
          <w:t>Brando et al. 2006</w:t>
        </w:r>
      </w:hyperlink>
      <w:r w:rsidR="00AC2F22">
        <w:rPr>
          <w:noProof/>
        </w:rPr>
        <w:t xml:space="preserve">, </w:t>
      </w:r>
      <w:hyperlink w:anchor="_ENREF_38" w:tooltip="Oubelkheir, 2006 #3714" w:history="1">
        <w:r w:rsidR="007B7C47">
          <w:rPr>
            <w:noProof/>
          </w:rPr>
          <w:t>Oubelkheir et al. 2006</w:t>
        </w:r>
      </w:hyperlink>
      <w:r w:rsidR="00AC2F22">
        <w:rPr>
          <w:noProof/>
        </w:rPr>
        <w:t>)</w:t>
      </w:r>
      <w:r w:rsidR="00EA2F38" w:rsidRPr="00A40CD0">
        <w:fldChar w:fldCharType="end"/>
      </w:r>
      <w:r w:rsidRPr="00A40CD0">
        <w:t xml:space="preserve"> and the Mossman –Daintree </w:t>
      </w:r>
      <w:r w:rsidR="00EA2F38" w:rsidRPr="00A40CD0">
        <w:fldChar w:fldCharType="begin"/>
      </w:r>
      <w:r w:rsidR="00AC2F22">
        <w:instrText xml:space="preserve"> ADDIN EN.CITE &lt;EndNote&gt;&lt;Cite&gt;&lt;Author&gt;Steven&lt;/Author&gt;&lt;Year&gt;2007&lt;/Year&gt;&lt;RecNum&gt;3796&lt;/RecNum&gt;&lt;DisplayText&gt;(Steven et al. 2007)&lt;/DisplayText&gt;&lt;record&gt;&lt;rec-number&gt;3796&lt;/rec-number&gt;&lt;foreign-keys&gt;&lt;key app="EN" db-id="z0vwsaa0gfvsr1e2sr7p90rtdtevf52r2we9"&gt;3796&lt;/key&gt;&lt;/foreign-keys&gt;&lt;ref-type name="Report"&gt;27&lt;/ref-type&gt;&lt;contributors&gt;&lt;authors&gt;&lt;author&gt;Steven, A.&lt;/author&gt;&lt;author&gt;Brando, V.&lt;/author&gt;&lt;author&gt;Dekker, A.&lt;/author&gt;&lt;author&gt;Hodge, J. &lt;/author&gt;&lt;author&gt;Farthing, B.&lt;/author&gt;&lt;author&gt;Mengersen, K.&lt;/author&gt;&lt;author&gt;Oubelkheir, K.&lt;/author&gt;&lt;author&gt;Qin, Y.&lt;/author&gt;&lt;/authors&gt;&lt;/contributors&gt;&lt;titles&gt;&lt;title&gt;Remotely-Sensed Monitoring of Chlorophyll and Suspended Sediment in the Coastal Waters of the Wet Tropics Region: A demonstration project with national application&lt;/title&gt;&lt;/titles&gt;&lt;pages&gt;141&lt;/pages&gt;&lt;keywords&gt;&lt;keyword&gt;Great Barrier Reef&lt;/keyword&gt;&lt;keyword&gt;Remote Sensing&lt;/keyword&gt;&lt;keyword&gt;Mossman-Daintree&lt;/keyword&gt;&lt;/keywords&gt;&lt;dates&gt;&lt;year&gt;2007&lt;/year&gt;&lt;/dates&gt;&lt;pub-location&gt;Canberra, ACT&lt;/pub-location&gt;&lt;publisher&gt;CSIRO Land &amp;amp; Water&lt;/publisher&gt;&lt;urls&gt;&lt;/urls&gt;&lt;/record&gt;&lt;/Cite&gt;&lt;/EndNote&gt;</w:instrText>
      </w:r>
      <w:r w:rsidR="00EA2F38" w:rsidRPr="00A40CD0">
        <w:fldChar w:fldCharType="separate"/>
      </w:r>
      <w:r w:rsidR="00AC2F22">
        <w:rPr>
          <w:noProof/>
        </w:rPr>
        <w:t>(</w:t>
      </w:r>
      <w:hyperlink w:anchor="_ENREF_50" w:tooltip="Steven, 2007 #3796" w:history="1">
        <w:r w:rsidR="007B7C47">
          <w:rPr>
            <w:noProof/>
          </w:rPr>
          <w:t>Steven et al. 2007</w:t>
        </w:r>
      </w:hyperlink>
      <w:r w:rsidR="00AC2F22">
        <w:rPr>
          <w:noProof/>
        </w:rPr>
        <w:t>)</w:t>
      </w:r>
      <w:r w:rsidR="00EA2F38" w:rsidRPr="00A40CD0">
        <w:fldChar w:fldCharType="end"/>
      </w:r>
      <w:r w:rsidRPr="00A40CD0">
        <w:t xml:space="preserve">, it has been demonstrated that the NASA standard global Ocean Colour algorithms are inaccurate in nearshore GBR waters </w:t>
      </w:r>
      <w:r w:rsidR="00EA2F38" w:rsidRPr="00A40CD0">
        <w:fldChar w:fldCharType="begin"/>
      </w:r>
      <w:r w:rsidR="00AC2F22">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Pr="00A40CD0">
        <w:t xml:space="preserve">. Subsequently, there has been considerable effort in developing regionally appropriate algorithms for these optically complex GBR waters. Studies commissioned by GBRMPA on water quality monitoring </w:t>
      </w:r>
      <w:r w:rsidR="00EA2F38" w:rsidRPr="00A40CD0">
        <w:fldChar w:fldCharType="begin"/>
      </w:r>
      <w:r w:rsidR="00AC2F22">
        <w:instrText xml:space="preserve"> ADDIN EN.CITE &lt;EndNote&gt;&lt;Cite&gt;&lt;Author&gt;Schaffelke&lt;/Author&gt;&lt;Year&gt;2006&lt;/Year&gt;&lt;RecNum&gt;4025&lt;/RecNum&gt;&lt;DisplayText&gt;(Schaffelke et al. 2006)&lt;/DisplayText&gt;&lt;record&gt;&lt;rec-number&gt;4025&lt;/rec-number&gt;&lt;foreign-keys&gt;&lt;key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EA2F38" w:rsidRPr="00A40CD0">
        <w:fldChar w:fldCharType="separate"/>
      </w:r>
      <w:r w:rsidR="00AC2F22">
        <w:rPr>
          <w:noProof/>
        </w:rPr>
        <w:t>(</w:t>
      </w:r>
      <w:hyperlink w:anchor="_ENREF_45" w:tooltip="Schaffelke, 2006 #4025" w:history="1">
        <w:r w:rsidR="007B7C47">
          <w:rPr>
            <w:noProof/>
          </w:rPr>
          <w:t>Schaffelke et al. 2006</w:t>
        </w:r>
      </w:hyperlink>
      <w:r w:rsidR="00AC2F22">
        <w:rPr>
          <w:noProof/>
        </w:rPr>
        <w:t>)</w:t>
      </w:r>
      <w:r w:rsidR="00EA2F38" w:rsidRPr="00A40CD0">
        <w:fldChar w:fldCharType="end"/>
      </w:r>
      <w:r w:rsidRPr="00A40CD0">
        <w:t xml:space="preserve"> and optical characterisation of coastal waters </w:t>
      </w:r>
      <w:r w:rsidR="00EA2F38" w:rsidRPr="00A40CD0">
        <w:fldChar w:fldCharType="begin"/>
      </w:r>
      <w:r w:rsidR="00AC2F22">
        <w:instrText xml:space="preserve"> ADDIN EN.CITE &lt;EndNote&gt;&lt;Cite&gt;&lt;Author&gt;Blondeau-Patissier&lt;/Author&gt;&lt;Year&gt;2009&lt;/Year&gt;&lt;RecNum&gt;4442&lt;/RecNum&gt;&lt;DisplayText&gt;(Blondeau-Patissier et al. 2009)&lt;/DisplayText&gt;&lt;record&gt;&lt;rec-number&gt;4442&lt;/rec-number&gt;&lt;foreign-keys&gt;&lt;key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EA2F38" w:rsidRPr="00A40CD0">
        <w:fldChar w:fldCharType="separate"/>
      </w:r>
      <w:r w:rsidR="00AC2F22">
        <w:rPr>
          <w:noProof/>
        </w:rPr>
        <w:t>(</w:t>
      </w:r>
      <w:hyperlink w:anchor="_ENREF_2" w:tooltip="Blondeau-Patissier, 2009 #4442" w:history="1">
        <w:r w:rsidR="007B7C47">
          <w:rPr>
            <w:noProof/>
          </w:rPr>
          <w:t>Blondeau-Patissier et al. 2009</w:t>
        </w:r>
      </w:hyperlink>
      <w:r w:rsidR="00AC2F22">
        <w:rPr>
          <w:noProof/>
        </w:rPr>
        <w:t>)</w:t>
      </w:r>
      <w:r w:rsidR="00EA2F38" w:rsidRPr="00A40CD0">
        <w:fldChar w:fldCharType="end"/>
      </w:r>
      <w:r w:rsidRPr="00A40CD0">
        <w:t xml:space="preserve"> have also been undertaken and contributed to the development of regionally appropriate algorithms using a semi-analytical physics-based approach parameterised and validated with local measurements.</w:t>
      </w:r>
    </w:p>
    <w:p w:rsidR="002C6F9E" w:rsidRDefault="00B25CAA" w:rsidP="002E0BD6">
      <w:pPr>
        <w:pStyle w:val="BodyText"/>
      </w:pPr>
      <w:r w:rsidRPr="00A40CD0">
        <w:t>In this work we coupled two physics-based inversion algorithms with the objective to improve the accuracy of CHL and IOP estimates from MODIS Aqua data in GBR Lagoon coastal waters. In a first step, an atmospheric correction algorithm based on inverse modelling of radiative transfer simulations and Artificial Neural Network (ANN) inversion derives the remote sensing reflectance at mean sea level (Schroeder et al. 2008). Then, the inherent optical properties and the concentrations of the optically active constituents (CHL,</w:t>
      </w:r>
      <w:r w:rsidRPr="00A40CD0" w:rsidDel="00176D27">
        <w:t xml:space="preserve"> </w:t>
      </w:r>
      <w:r w:rsidRPr="00A40CD0">
        <w:t xml:space="preserve">NAP and CDOM) are estimated using an enhancement of the Linear Matrix Inversion </w:t>
      </w:r>
      <w:r w:rsidR="00EA2F38" w:rsidRPr="00A40CD0">
        <w:fldChar w:fldCharType="begin"/>
      </w:r>
      <w:r w:rsidR="00F32695">
        <w:instrText xml:space="preserve"> ADDIN EN.CITE &lt;EndNote&gt;&lt;Cite&gt;&lt;Author&gt;Hoge&lt;/Author&gt;&lt;Year&gt;1996&lt;/Year&gt;&lt;RecNum&gt;525&lt;/RecNum&gt;&lt;Prefix&gt;LMI`, &lt;/Prefix&gt;&lt;DisplayText&gt;(LMI, Hoge and Lyon 1996)&lt;/DisplayText&gt;&lt;record&gt;&lt;rec-number&gt;525&lt;/rec-number&gt;&lt;foreign-keys&gt;&lt;key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EA2F38" w:rsidRPr="00A40CD0">
        <w:fldChar w:fldCharType="separate"/>
      </w:r>
      <w:r w:rsidR="00F32695">
        <w:rPr>
          <w:noProof/>
        </w:rPr>
        <w:t>(</w:t>
      </w:r>
      <w:hyperlink w:anchor="_ENREF_29" w:tooltip="Hoge, 1996 #525" w:history="1">
        <w:r w:rsidR="007B7C47">
          <w:rPr>
            <w:noProof/>
          </w:rPr>
          <w:t>LMI, Hoge and Lyon 1996</w:t>
        </w:r>
      </w:hyperlink>
      <w:r w:rsidR="00F32695">
        <w:rPr>
          <w:noProof/>
        </w:rPr>
        <w:t>)</w:t>
      </w:r>
      <w:r w:rsidR="00EA2F38" w:rsidRPr="00A40CD0">
        <w:fldChar w:fldCharType="end"/>
      </w:r>
      <w:r w:rsidRPr="00A40CD0">
        <w:t xml:space="preserve"> that incorporates regional and seasonal knowledge of specific IOPs </w:t>
      </w:r>
      <w:r w:rsidR="00EA2F38" w:rsidRPr="00A40CD0">
        <w:fldChar w:fldCharType="begin">
          <w:fldData xml:space="preserve">PEVuZE5vdGU+PENpdGU+PEF1dGhvcj5CcmFuZG88L0F1dGhvcj48WWVhcj4yMDA4PC9ZZWFyPjxS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</w:fldData>
        </w:fldChar>
      </w:r>
      <w:r w:rsidR="00AC2F22">
        <w:instrText xml:space="preserve"> ADDIN EN.CITE </w:instrText>
      </w:r>
      <w:r w:rsidR="00EA2F38">
        <w:fldChar w:fldCharType="begin">
          <w:fldData xml:space="preserve">PEVuZE5vdGU+PENpdGU+PEF1dGhvcj5CcmFuZG88L0F1dGhvcj48WWVhcj4yMDA4PC9ZZWFyPjxS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7" w:tooltip="Brando, 2008 #4159" w:history="1">
        <w:r w:rsidR="007B7C47">
          <w:rPr>
            <w:noProof/>
          </w:rPr>
          <w:t>Brando et al. 2008</w:t>
        </w:r>
      </w:hyperlink>
      <w:r w:rsidR="00AC2F22">
        <w:rPr>
          <w:noProof/>
        </w:rPr>
        <w:t xml:space="preserve">, </w:t>
      </w:r>
      <w:hyperlink w:anchor="_ENREF_6" w:tooltip="Brando, 2012 #4649" w:history="1">
        <w:r w:rsidR="007B7C47">
          <w:rPr>
            <w:noProof/>
          </w:rPr>
          <w:t>Brando et al. 2012</w:t>
        </w:r>
      </w:hyperlink>
      <w:r w:rsidR="00AC2F22">
        <w:rPr>
          <w:noProof/>
        </w:rPr>
        <w:t xml:space="preserve">, </w:t>
      </w:r>
      <w:hyperlink w:anchor="_ENREF_48" w:tooltip="Schroeder, 2012 #4647" w:history="1">
        <w:r w:rsidR="007B7C47">
          <w:rPr>
            <w:noProof/>
          </w:rPr>
          <w:t>Schroeder et al. 2012</w:t>
        </w:r>
      </w:hyperlink>
      <w:r w:rsidR="00AC2F22">
        <w:rPr>
          <w:noProof/>
        </w:rPr>
        <w:t>)</w:t>
      </w:r>
      <w:r w:rsidR="00EA2F38" w:rsidRPr="00A40CD0">
        <w:fldChar w:fldCharType="end"/>
      </w:r>
      <w:r w:rsidRPr="00A40CD0">
        <w:t>.</w:t>
      </w:r>
    </w:p>
    <w:p w:rsidR="000B1DA2" w:rsidRDefault="000B1DA2" w:rsidP="002E0BD6">
      <w:pPr>
        <w:pStyle w:val="BodyText"/>
      </w:pPr>
      <w:r>
        <w:t xml:space="preserve">As the </w:t>
      </w:r>
      <w:r w:rsidRPr="00A40CD0">
        <w:t>ANN atmospheric correction</w:t>
      </w:r>
      <w:r>
        <w:t xml:space="preserve"> uses as input MODIS </w:t>
      </w:r>
      <w:r w:rsidRPr="00A40CD0">
        <w:t>Top-Of-Atmosphere</w:t>
      </w:r>
      <w:r>
        <w:t xml:space="preserve"> radiance spectra, the MODIS aqua time series is first processed with</w:t>
      </w:r>
      <w:r w:rsidRPr="00805D17">
        <w:t xml:space="preserve"> </w:t>
      </w:r>
      <w:r>
        <w:t>NASA’s software (SeaDAS</w:t>
      </w:r>
      <w:r w:rsidRPr="00805D17">
        <w:t>)</w:t>
      </w:r>
      <w:r>
        <w:t xml:space="preserve">, and then with CSIRO’s </w:t>
      </w:r>
      <w:r w:rsidRPr="00A40CD0">
        <w:t>coupled physics-based inversion algorithms</w:t>
      </w:r>
      <w:r>
        <w:t>.</w:t>
      </w:r>
    </w:p>
    <w:p w:rsidR="00B25CAA" w:rsidRPr="00A40CD0" w:rsidRDefault="00B25CAA" w:rsidP="007E294B">
      <w:pPr>
        <w:pStyle w:val="Heading2"/>
      </w:pPr>
      <w:bookmarkStart w:id="604" w:name="_Toc228588212"/>
      <w:bookmarkStart w:id="605" w:name="_Toc399264919"/>
      <w:r w:rsidRPr="00A40CD0">
        <w:t>Atmospheric correction</w:t>
      </w:r>
      <w:bookmarkEnd w:id="604"/>
      <w:bookmarkEnd w:id="605"/>
    </w:p>
    <w:p w:rsidR="00984679" w:rsidRPr="00A40CD0" w:rsidRDefault="00984679" w:rsidP="002E0BD6">
      <w:pPr>
        <w:pStyle w:val="BodyText"/>
      </w:pPr>
      <w:bookmarkStart w:id="606" w:name="OLE_LINK1"/>
      <w:r>
        <w:t xml:space="preserve">The </w:t>
      </w:r>
      <w:r w:rsidRPr="00A40CD0">
        <w:t xml:space="preserve">atmospheric correction algorithm </w:t>
      </w:r>
      <w:r>
        <w:t xml:space="preserve">applied in this report </w:t>
      </w:r>
      <w:r w:rsidRPr="00A40CD0">
        <w:t>was developed by inverse modelling of radiative transfer (RT) calculations within a coupled ocean–atmosphe</w:t>
      </w:r>
      <w:r>
        <w:t>re system by utilizing</w:t>
      </w:r>
      <w:r w:rsidRPr="00A40CD0">
        <w:t xml:space="preserve"> artificial neural network (ANN) technique</w:t>
      </w:r>
      <w:r>
        <w:t>s</w:t>
      </w:r>
      <w:r w:rsidRPr="00A40CD0">
        <w:t xml:space="preserve">. The algorithm was implemented similar to an approach developed by Schroeder et al </w:t>
      </w:r>
      <w:r w:rsidR="00EA2F38" w:rsidRPr="00A40CD0">
        <w:fldChar w:fldCharType="begin"/>
      </w:r>
      <w:r>
        <w:instrText xml:space="preserve"> ADDIN EN.CITE &lt;EndNote&gt;&lt;Cite ExcludeAuth="1"&gt;&lt;Year&gt;2007&lt;/Year&gt;&lt;RecNum&gt;4035&lt;/RecNum&gt;&lt;DisplayText&gt;(2007)&lt;/DisplayText&gt;&lt;record&gt;&lt;rec-number&gt;4035&lt;/rec-number&gt;&lt;foreign-keys&gt;&lt;key app="EN" db-id="z0vwsaa0gfvsr1e2sr7p90rtdtevf52r2we9"&gt;4035&lt;/key&gt;&lt;/foreign-keys&gt;&lt;ref-type name="Journal Article"&gt;17&lt;/ref-type&gt;&lt;contributors&gt;&lt;authors&gt;&lt;author&gt;Schroeder, Th&lt;/author&gt;&lt;author&gt;Behnert, I.&lt;/author&gt;&lt;author&gt;Schaale, M.&lt;/author&gt;&lt;author&gt;Fischer, J.&lt;/author&gt;&lt;author&gt;Doerffer, R.&lt;/author&gt;&lt;/authors&gt;&lt;/contributors&gt;&lt;titles&gt;&lt;title&gt;Atmospheric correction algorithm for MERIS above case-2 waters&lt;/title&gt;&lt;secondary-title&gt;International Journal of Remote Sensing&lt;/secondary-title&gt;&lt;/titles&gt;&lt;periodical&gt;&lt;full-title&gt;International Journal of Remote Sensing&lt;/full-title&gt;&lt;/periodical&gt;&lt;pages&gt;1469 - 1486&lt;/pages&gt;&lt;volume&gt;28&lt;/volume&gt;&lt;number&gt;7&lt;/number&gt;&lt;dates&gt;&lt;year&gt;2007&lt;/year&gt;&lt;/dates&gt;&lt;publisher&gt;Taylor &amp;amp;amp; Francis&lt;/publisher&gt;&lt;isbn&gt;0143-1161 %[ May 10, 2007&lt;/isbn&gt;&lt;urls&gt;&lt;related-urls&gt;&lt;url&gt;http://www.informaworld.com/10.1080/01431160600962574 &lt;/url&gt;&lt;/related-urls&gt;&lt;pdf-urls&gt;&lt;url&gt;file:///Z:/Optical%20Water%20Quality/Literature%20Databases/Publications%20Received/PDFS/Schroeder_2007_IJRS.pdf&lt;/url&gt;&lt;/pdf-urls&gt;&lt;/urls&gt;&lt;electronic-resource-num&gt;10.1080/01431160600962574 &lt;/electronic-resource-num&gt;&lt;/record&gt;&lt;/Cite&gt;&lt;/EndNote&gt;</w:instrText>
      </w:r>
      <w:r w:rsidR="00EA2F38" w:rsidRPr="00A40CD0">
        <w:fldChar w:fldCharType="separate"/>
      </w:r>
      <w:r>
        <w:rPr>
          <w:noProof/>
        </w:rPr>
        <w:t>(</w:t>
      </w:r>
      <w:hyperlink w:anchor="_ENREF_46" w:tooltip="Schroeder, 2007 #4035" w:history="1">
        <w:r w:rsidR="007B7C47">
          <w:rPr>
            <w:noProof/>
          </w:rPr>
          <w:t>2007</w:t>
        </w:r>
      </w:hyperlink>
      <w:r>
        <w:rPr>
          <w:noProof/>
        </w:rPr>
        <w:t>)</w:t>
      </w:r>
      <w:r w:rsidR="00EA2F38" w:rsidRPr="00A40CD0">
        <w:fldChar w:fldCharType="end"/>
      </w:r>
      <w:r w:rsidRPr="00A40CD0">
        <w:t xml:space="preserve"> for MERIS, but with a different inverse model capable of generating more complex network architectures </w:t>
      </w:r>
      <w:r w:rsidR="00EA2F38" w:rsidRPr="00A40CD0">
        <w:fldChar w:fldCharType="begin"/>
      </w:r>
      <w:r w:rsidR="00AC2F22">
        <w:instrText xml:space="preserve"> ADDIN EN.CITE &lt;EndNote&gt;&lt;Cite&gt;&lt;Author&gt;Schroeder&lt;/Author&gt;&lt;Year&gt;2008&lt;/Year&gt;&lt;RecNum&gt;4160&lt;/RecNum&gt;&lt;DisplayText&gt;(Schroeder et al. 2008)&lt;/DisplayText&gt;&lt;record&gt;&lt;rec-number&gt;4160&lt;/rec-number&gt;&lt;foreign-keys&gt;&lt;key app="EN" db-id="z0vwsaa0gfvsr1e2sr7p90rtdtevf52r2we9"&gt;4160&lt;/key&gt;&lt;/foreign-keys&gt;&lt;ref-type name="Conference Proceedings"&gt;10&lt;/ref-type&gt;&lt;contributors&gt;&lt;authors&gt;&lt;author&gt;Schroeder, Th.&lt;/author&gt;&lt;author&gt;Brando, V.E.&lt;/author&gt;&lt;author&gt;Cherukuru, Nagur R. C.&lt;/author&gt;&lt;author&gt;Clementson, L.A&lt;/author&gt;&lt;author&gt;Blondeau-Patissier, D.&lt;/author&gt;&lt;author&gt;Dekker,  A. G.&lt;/author&gt;&lt;author&gt;Schaale, M.&lt;/author&gt;&lt;author&gt;Fischer, J.&lt;/author&gt;&lt;/authors&gt;&lt;/contributors&gt;&lt;titles&gt;&lt;title&gt;Remote sensing of apparent and inherent optical properties of Tasmanian coastal waters: application to MODIS data&lt;/title&gt;&lt;secondary-title&gt;Ocean Optics XIX&lt;/secondary-title&gt;&lt;/titles&gt;&lt;pages&gt;0445&lt;/pages&gt;&lt;dates&gt;&lt;year&gt;2008&lt;/year&gt;&lt;/dates&gt;&lt;pub-location&gt;Barga, Italy&lt;/pub-location&gt;&lt;urls&gt;&lt;/urls&gt;&lt;/record&gt;&lt;/Cite&gt;&lt;/EndNote&gt;</w:instrText>
      </w:r>
      <w:r w:rsidR="00EA2F38" w:rsidRPr="00A40CD0">
        <w:fldChar w:fldCharType="separate"/>
      </w:r>
      <w:r w:rsidR="00AC2F22">
        <w:rPr>
          <w:noProof/>
        </w:rPr>
        <w:t>(</w:t>
      </w:r>
      <w:hyperlink w:anchor="_ENREF_47" w:tooltip="Schroeder, 2008 #4160" w:history="1">
        <w:r w:rsidR="007B7C47">
          <w:rPr>
            <w:noProof/>
          </w:rPr>
          <w:t>Schroeder et al. 2008</w:t>
        </w:r>
      </w:hyperlink>
      <w:r w:rsidR="00AC2F22">
        <w:rPr>
          <w:noProof/>
        </w:rPr>
        <w:t>)</w:t>
      </w:r>
      <w:r w:rsidR="00EA2F38" w:rsidRPr="00A40CD0">
        <w:fldChar w:fldCharType="end"/>
      </w:r>
      <w:r w:rsidRPr="00A40CD0">
        <w:t>. Within this model-based approach, ANNs were found to be well</w:t>
      </w:r>
      <w:r>
        <w:t xml:space="preserve"> suited models to deal with </w:t>
      </w:r>
      <w:r w:rsidRPr="00A40CD0">
        <w:t xml:space="preserve">optically-complex coastal waters because multilayer feed-forward networks with nonlinear transfer functions, as implemented </w:t>
      </w:r>
      <w:r>
        <w:t>for this report</w:t>
      </w:r>
      <w:r w:rsidRPr="00A40CD0">
        <w:t xml:space="preserve">, are known as universal function approximators </w:t>
      </w:r>
      <w:r w:rsidR="00EA2F38" w:rsidRPr="00A40CD0">
        <w:fldChar w:fldCharType="begin"/>
      </w:r>
      <w:r w:rsidR="00AC2F22">
        <w:instrText xml:space="preserve"> ADDIN EN.CITE &lt;EndNote&gt;&lt;Cite&gt;&lt;Author&gt;Hornik&lt;/Author&gt;&lt;Year&gt;1989&lt;/Year&gt;&lt;RecNum&gt;4632&lt;/RecNum&gt;&lt;DisplayText&gt;(Hornik et al. 1989)&lt;/DisplayText&gt;&lt;record&gt;&lt;rec-number&gt;4632&lt;/rec-number&gt;&lt;foreign-keys&gt;&lt;key app="EN" db-id="z0vwsaa0gfvsr1e2sr7p90rtdtevf52r2we9"&gt;4632&lt;/key&gt;&lt;/foreign-keys&gt;&lt;ref-type name="Journal Article"&gt;17&lt;/ref-type&gt;&lt;contributors&gt;&lt;authors&gt;&lt;author&gt;Hornik, K.&lt;/author&gt;&lt;author&gt;Stinchombe, M.&lt;/author&gt;&lt;author&gt;White, H.&lt;/author&gt;&lt;/authors&gt;&lt;/contributors&gt;&lt;titles&gt;&lt;title&gt;Multilayer feed-forward networks are universal approximators&lt;/title&gt;&lt;secondary-title&gt;Neural Networks&lt;/secondary-title&gt;&lt;/titles&gt;&lt;periodical&gt;&lt;full-title&gt;Neural Networks&lt;/full-title&gt;&lt;/periodical&gt;&lt;pages&gt;359–366&lt;/pages&gt;&lt;volume&gt; 2&lt;/volume&gt;&lt;dates&gt;&lt;year&gt;1989&lt;/year&gt;&lt;/dates&gt;&lt;urls&gt;&lt;/urls&gt;&lt;/record&gt;&lt;/Cite&gt;&lt;/EndNote&gt;</w:instrText>
      </w:r>
      <w:r w:rsidR="00EA2F38" w:rsidRPr="00A40CD0">
        <w:fldChar w:fldCharType="separate"/>
      </w:r>
      <w:r w:rsidR="00AC2F22">
        <w:rPr>
          <w:noProof/>
        </w:rPr>
        <w:t>(</w:t>
      </w:r>
      <w:hyperlink w:anchor="_ENREF_31" w:tooltip="Hornik, 1989 #4632" w:history="1">
        <w:r w:rsidR="007B7C47">
          <w:rPr>
            <w:noProof/>
          </w:rPr>
          <w:t>Hornik et al. 1989</w:t>
        </w:r>
      </w:hyperlink>
      <w:r w:rsidR="00AC2F22">
        <w:rPr>
          <w:noProof/>
        </w:rPr>
        <w:t>)</w:t>
      </w:r>
      <w:r w:rsidR="00EA2F38" w:rsidRPr="00A40CD0">
        <w:fldChar w:fldCharType="end"/>
      </w:r>
      <w:r w:rsidRPr="00A40CD0">
        <w:t>.</w:t>
      </w:r>
    </w:p>
    <w:p w:rsidR="00984679" w:rsidRPr="00A40CD0" w:rsidRDefault="00984679" w:rsidP="002E0BD6">
      <w:pPr>
        <w:pStyle w:val="BodyText"/>
      </w:pPr>
      <w:r w:rsidRPr="00A40CD0">
        <w:t xml:space="preserve">By utilizing an established and validated radiative transfer code as a forward model </w:t>
      </w:r>
      <w:r w:rsidR="00EA2F38" w:rsidRPr="00A40CD0">
        <w:fldChar w:fldCharType="begin"/>
      </w:r>
      <w:r>
        <w:instrText xml:space="preserve"> ADDIN EN.CITE &lt;EndNote&gt;&lt;Cite&gt;&lt;Author&gt;Fischer&lt;/Author&gt;&lt;Year&gt;1984&lt;/Year&gt;&lt;RecNum&gt;368&lt;/RecNum&gt;&lt;DisplayText&gt;(Fischer and Grassl 1984, Fell and Fischer 2001)&lt;/DisplayText&gt;&lt;record&gt;&lt;rec-number&gt;368&lt;/rec-number&gt;&lt;foreign-keys&gt;&lt;key app="EN" db-id="z0vwsaa0gfvsr1e2sr7p90rtdtevf52r2we9"&gt;368&lt;/key&gt;&lt;/foreign-keys&gt;&lt;ref-type name="Journal Article"&gt;17&lt;/ref-type&gt;&lt;contributors&gt;&lt;authors&gt;&lt;author&gt;Fischer, J.&lt;/author&gt;&lt;author&gt;Grassl, H.&lt;/author&gt;&lt;/authors&gt;&lt;/contributors&gt;&lt;titles&gt;&lt;title&gt;Radiative transfer in an atmosphere-ocean system: an azimuthally dependent matrix-operator approach&lt;/title&gt;&lt;secondary-title&gt;Appl.Opt.&lt;/secondary-title&gt;&lt;/titles&gt;&lt;periodical&gt;&lt;full-title&gt;Appl.Opt.&lt;/full-title&gt;&lt;/periodical&gt;&lt;pages&gt;1032-1039&lt;/pages&gt;&lt;volume&gt;7&lt;/volume&gt;&lt;number&gt;23&lt;/number&gt;&lt;keywords&gt;&lt;keyword&gt;radiative transfer&lt;/keyword&gt;&lt;/keywords&gt;&lt;dates&gt;&lt;year&gt;1984&lt;/year&gt;&lt;/dates&gt;&lt;urls&gt;&lt;/urls&gt;&lt;electronic-resource-num&gt;No doi match found.&lt;/electronic-resource-num&gt;&lt;/record&gt;&lt;/Cite&gt;&lt;Cite&gt;&lt;Author&gt;Fell&lt;/Author&gt;&lt;Year&gt;2001&lt;/Year&gt;&lt;RecNum&gt;1714&lt;/RecNum&gt;&lt;record&gt;&lt;rec-number&gt;1714&lt;/rec-number&gt;&lt;foreign-keys&gt;&lt;key app="EN" db-id="z0vwsaa0gfvsr1e2sr7p90rtdtevf52r2we9"&gt;1714&lt;/key&gt;&lt;/foreign-keys&gt;&lt;ref-type name="Journal Article"&gt;17&lt;/ref-type&gt;&lt;contributors&gt;&lt;authors&gt;&lt;author&gt;Fell, F.&lt;/author&gt;&lt;author&gt;Fischer, J.&lt;/author&gt;&lt;/authors&gt;&lt;/contributors&gt;&lt;titles&gt;&lt;title&gt;Numerical simulation of the light field in the atmosphere-ocean system using the matrix-operator method&lt;/title&gt;&lt;secondary-title&gt;Journal of Quantitative Spectroscopy and Radiative Transfer&lt;/secondary-title&gt;&lt;/titles&gt;&lt;periodical&gt;&lt;full-title&gt;Journal of Quantitative Spectroscopy and Radiative Transfer&lt;/full-title&gt;&lt;/periodical&gt;&lt;pages&gt;351–388&lt;/pages&gt;&lt;volume&gt;69&lt;/volume&gt;&lt;dates&gt;&lt;year&gt;2001&lt;/year&gt;&lt;/dates&gt;&lt;urls&gt;&lt;/urls&gt;&lt;electronic-resource-num&gt;Reference not parsed&lt;/electronic-resource-num&gt;&lt;/record&gt;&lt;/Cite&gt;&lt;/EndNote&gt;</w:instrText>
      </w:r>
      <w:r w:rsidR="00EA2F38" w:rsidRPr="00A40CD0">
        <w:fldChar w:fldCharType="separate"/>
      </w:r>
      <w:r>
        <w:rPr>
          <w:noProof/>
        </w:rPr>
        <w:t>(</w:t>
      </w:r>
      <w:hyperlink w:anchor="_ENREF_22" w:tooltip="Fischer, 1984 #368" w:history="1">
        <w:r w:rsidR="007B7C47">
          <w:rPr>
            <w:noProof/>
          </w:rPr>
          <w:t>Fischer and Grassl 1984</w:t>
        </w:r>
      </w:hyperlink>
      <w:r>
        <w:rPr>
          <w:noProof/>
        </w:rPr>
        <w:t xml:space="preserve">, </w:t>
      </w:r>
      <w:hyperlink w:anchor="_ENREF_20" w:tooltip="Fell, 2001 #1714" w:history="1">
        <w:r w:rsidR="007B7C47">
          <w:rPr>
            <w:noProof/>
          </w:rPr>
          <w:t>Fell and Fischer 2001</w:t>
        </w:r>
      </w:hyperlink>
      <w:r>
        <w:rPr>
          <w:noProof/>
        </w:rPr>
        <w:t>)</w:t>
      </w:r>
      <w:r w:rsidR="00EA2F38" w:rsidRPr="00A40CD0">
        <w:fldChar w:fldCharType="end"/>
      </w:r>
      <w:r w:rsidRPr="00A40CD0">
        <w:t xml:space="preserve">, a large data base of azimuthally resolved upward radiances in the MODIS channels at the Bottom-Of-Atmosphere (BOA) and at the Top-Of-Atmosphere (TOA) was generated for a variety of sun and observing geometries as well as different types of atmospheric and oceanic constituents. </w:t>
      </w:r>
      <w:r>
        <w:t>Different</w:t>
      </w:r>
      <w:r w:rsidRPr="00A40CD0">
        <w:t xml:space="preserve"> inverse models </w:t>
      </w:r>
      <w:r>
        <w:t xml:space="preserve">(ANNs) </w:t>
      </w:r>
      <w:r w:rsidRPr="00A40CD0">
        <w:t xml:space="preserve">were trained under a supervised learning procedure by applying a non-linear optimisation routine on the basis of a randomly selected data </w:t>
      </w:r>
      <w:r w:rsidRPr="00A40CD0">
        <w:lastRenderedPageBreak/>
        <w:t xml:space="preserve">subset of 100.000 spectra taken from the simulated data base. A detailed description of all inputs to the RT model can be found in Schroeder et al </w:t>
      </w:r>
      <w:r w:rsidR="00EA2F38" w:rsidRPr="00A40CD0">
        <w:fldChar w:fldCharType="begin"/>
      </w:r>
      <w:r>
        <w:instrText xml:space="preserve"> ADDIN EN.CITE &lt;EndNote&gt;&lt;Cite ExcludeAuth="1"&gt;&lt;Year&gt;2007&lt;/Year&gt;&lt;RecNum&gt;4035&lt;/RecNum&gt;&lt;DisplayText&gt;(2007)&lt;/DisplayText&gt;&lt;record&gt;&lt;rec-number&gt;4035&lt;/rec-number&gt;&lt;foreign-keys&gt;&lt;key app="EN" db-id="z0vwsaa0gfvsr1e2sr7p90rtdtevf52r2we9"&gt;4035&lt;/key&gt;&lt;/foreign-keys&gt;&lt;ref-type name="Journal Article"&gt;17&lt;/ref-type&gt;&lt;contributors&gt;&lt;authors&gt;&lt;author&gt;Schroeder, Th&lt;/author&gt;&lt;author&gt;Behnert, I.&lt;/author&gt;&lt;author&gt;Schaale, M.&lt;/author&gt;&lt;author&gt;Fischer, J.&lt;/author&gt;&lt;author&gt;Doerffer, R.&lt;/author&gt;&lt;/authors&gt;&lt;/contributors&gt;&lt;titles&gt;&lt;title&gt;Atmospheric correction algorithm for MERIS above case-2 waters&lt;/title&gt;&lt;secondary-title&gt;International Journal of Remote Sensing&lt;/secondary-title&gt;&lt;/titles&gt;&lt;periodical&gt;&lt;full-title&gt;International Journal of Remote Sensing&lt;/full-title&gt;&lt;/periodical&gt;&lt;pages&gt;1469 - 1486&lt;/pages&gt;&lt;volume&gt;28&lt;/volume&gt;&lt;number&gt;7&lt;/number&gt;&lt;dates&gt;&lt;year&gt;2007&lt;/year&gt;&lt;/dates&gt;&lt;publisher&gt;Taylor &amp;amp;amp; Francis&lt;/publisher&gt;&lt;isbn&gt;0143-1161 %[ May 10, 2007&lt;/isbn&gt;&lt;urls&gt;&lt;related-urls&gt;&lt;url&gt;http://www.informaworld.com/10.1080/01431160600962574 &lt;/url&gt;&lt;/related-urls&gt;&lt;pdf-urls&gt;&lt;url&gt;file:///Z:/Optical%20Water%20Quality/Literature%20Databases/Publications%20Received/PDFS/Schroeder_2007_IJRS.pdf&lt;/url&gt;&lt;/pdf-urls&gt;&lt;/urls&gt;&lt;electronic-resource-num&gt;10.1080/01431160600962574 &lt;/electronic-resource-num&gt;&lt;/record&gt;&lt;/Cite&gt;&lt;/EndNote&gt;</w:instrText>
      </w:r>
      <w:r w:rsidR="00EA2F38" w:rsidRPr="00A40CD0">
        <w:fldChar w:fldCharType="separate"/>
      </w:r>
      <w:r>
        <w:rPr>
          <w:noProof/>
        </w:rPr>
        <w:t>(</w:t>
      </w:r>
      <w:hyperlink w:anchor="_ENREF_46" w:tooltip="Schroeder, 2007 #4035" w:history="1">
        <w:r w:rsidR="007B7C47">
          <w:rPr>
            <w:noProof/>
          </w:rPr>
          <w:t>2007</w:t>
        </w:r>
      </w:hyperlink>
      <w:r>
        <w:rPr>
          <w:noProof/>
        </w:rPr>
        <w:t>)</w:t>
      </w:r>
      <w:r w:rsidR="00EA2F38" w:rsidRPr="00A40CD0">
        <w:fldChar w:fldCharType="end"/>
      </w:r>
      <w:r w:rsidRPr="00A40CD0">
        <w:t>.</w:t>
      </w:r>
      <w:r>
        <w:t xml:space="preserve"> </w:t>
      </w:r>
      <w:r w:rsidRPr="00A40CD0">
        <w:t xml:space="preserve">The learning was stopped for all networks after 1.000 iterations with the full subset of 100.000 simulated </w:t>
      </w:r>
      <w:r>
        <w:t xml:space="preserve">input </w:t>
      </w:r>
      <w:r w:rsidRPr="00A40CD0">
        <w:t>vectors. A single input vector contain</w:t>
      </w:r>
      <w:r>
        <w:t>ed</w:t>
      </w:r>
      <w:r w:rsidRPr="00A40CD0">
        <w:t xml:space="preserve"> the complete MODIS TOA reflectance spectrum of the bands 8-16, the sun and observing geometry and the surface pressure. The associated output vector consist</w:t>
      </w:r>
      <w:r>
        <w:t>ed</w:t>
      </w:r>
      <w:r w:rsidRPr="00A40CD0">
        <w:t xml:space="preserve"> of the reflectance spectrum at mean sea level (MSL) for the MODIS b</w:t>
      </w:r>
      <w:r>
        <w:t>ands 8-15 (412-748 nm)</w:t>
      </w:r>
      <w:r w:rsidRPr="00A40CD0">
        <w:t>.</w:t>
      </w:r>
      <w:r>
        <w:t xml:space="preserve"> </w:t>
      </w:r>
      <w:r w:rsidRPr="00A40CD0">
        <w:t xml:space="preserve">At the end of the training phase </w:t>
      </w:r>
      <w:r w:rsidR="00CE1236" w:rsidRPr="00A40CD0">
        <w:t>inverting “real-world” MODIS data and comparing the outputs against concurrent in-situ observations accessed the accuracy of the networks</w:t>
      </w:r>
      <w:r w:rsidRPr="00A40CD0">
        <w:t xml:space="preserve">. Therefore, a match-up database was compiled containing </w:t>
      </w:r>
      <w:r w:rsidRPr="00A40CD0">
        <w:rPr>
          <w:i/>
        </w:rPr>
        <w:t>in-situ</w:t>
      </w:r>
      <w:r w:rsidRPr="00A40CD0">
        <w:t xml:space="preserve"> above water reflectance measurements collected by the </w:t>
      </w:r>
      <w:r>
        <w:t xml:space="preserve">German </w:t>
      </w:r>
      <w:r w:rsidRPr="00A40CD0">
        <w:t xml:space="preserve">GKSS Institute for Coastal Research and the </w:t>
      </w:r>
      <w:r>
        <w:t xml:space="preserve">Belgian </w:t>
      </w:r>
      <w:r w:rsidRPr="00A40CD0">
        <w:t>Management Unit of the North Sea Mathematical Models (MUMM) during various field campaigns in North Sea turbid waters and by CSIRO in coastal waters of</w:t>
      </w:r>
      <w:r>
        <w:t xml:space="preserve"> the GBR</w:t>
      </w:r>
      <w:r w:rsidRPr="00A40CD0">
        <w:t>. The reflectance</w:t>
      </w:r>
      <w:r>
        <w:t xml:space="preserve"> spectra</w:t>
      </w:r>
      <w:r w:rsidRPr="00A40CD0">
        <w:t xml:space="preserve"> were measured according to the REVAMP protocols </w:t>
      </w:r>
      <w:r w:rsidR="00EA2F38" w:rsidRPr="00A40CD0">
        <w:fldChar w:fldCharType="begin"/>
      </w:r>
      <w:r w:rsidR="00AC2F22">
        <w:instrText xml:space="preserve"> ADDIN EN.CITE &lt;EndNote&gt;&lt;Cite&gt;&lt;Author&gt;Tilstone&lt;/Author&gt;&lt;Year&gt;2004&lt;/Year&gt;&lt;RecNum&gt;2320&lt;/RecNum&gt;&lt;DisplayText&gt;(Tilstone et al. 2004)&lt;/DisplayText&gt;&lt;record&gt;&lt;rec-number&gt;2320&lt;/rec-number&gt;&lt;foreign-keys&gt;&lt;key app="EN" db-id="z0vwsaa0gfvsr1e2sr7p90rtdtevf52r2we9"&gt;2320&lt;/key&gt;&lt;/foreign-keys&gt;&lt;ref-type name="Journal Article"&gt;17&lt;/ref-type&gt;&lt;contributors&gt;&lt;authors&gt;&lt;author&gt;Tilstone, G. H.&lt;/author&gt;&lt;author&gt;Moore, G. F.&lt;/author&gt;&lt;author&gt;Sorensen, K.&lt;/author&gt;&lt;author&gt;Doerffer, R.&lt;/author&gt;&lt;author&gt;Rottgers, R.&lt;/author&gt;&lt;author&gt;Ruddick, K. G.&lt;/author&gt;&lt;author&gt;Pasterkamp, R.&lt;/author&gt;&lt;/authors&gt;&lt;/contributors&gt;&lt;titles&gt;&lt;title&gt;Protocols for the validation of MERIS products in Case 2 waters&lt;/title&gt;&lt;secondary-title&gt;European Space Agency&lt;/secondary-title&gt;&lt;/titles&gt;&lt;periodical&gt;&lt;full-title&gt;European Space Agency&lt;/full-title&gt;&lt;/periodical&gt;&lt;dates&gt;&lt;year&gt;2004&lt;/year&gt;&lt;/dates&gt;&lt;urls&gt;&lt;/urls&gt;&lt;/record&gt;&lt;/Cite&gt;&lt;/EndNote&gt;</w:instrText>
      </w:r>
      <w:r w:rsidR="00EA2F38" w:rsidRPr="00A40CD0">
        <w:fldChar w:fldCharType="separate"/>
      </w:r>
      <w:r w:rsidR="00AC2F22">
        <w:rPr>
          <w:noProof/>
        </w:rPr>
        <w:t>(</w:t>
      </w:r>
      <w:hyperlink w:anchor="_ENREF_51" w:tooltip="Tilstone, 2004 #2320" w:history="1">
        <w:r w:rsidR="007B7C47">
          <w:rPr>
            <w:noProof/>
          </w:rPr>
          <w:t>Tilstone et al. 2004</w:t>
        </w:r>
      </w:hyperlink>
      <w:r w:rsidR="00AC2F22">
        <w:rPr>
          <w:noProof/>
        </w:rPr>
        <w:t>)</w:t>
      </w:r>
      <w:r w:rsidR="00EA2F38" w:rsidRPr="00A40CD0">
        <w:fldChar w:fldCharType="end"/>
      </w:r>
      <w:r w:rsidRPr="00A40CD0">
        <w:t xml:space="preserve"> using Trios RAMSES and SIMBADA spectrometers. </w:t>
      </w:r>
      <w:r>
        <w:t>From the processed MODIS imagery 3x3 pixels were extracted at the location of the ground observations and the median satellite reflectance was compared with the in-situ measured reflectance within a maximum time window of ±3 hours to the satellite overpasses.</w:t>
      </w:r>
    </w:p>
    <w:p w:rsidR="00984679" w:rsidRDefault="00984679" w:rsidP="002E0BD6">
      <w:pPr>
        <w:pStyle w:val="BodyText"/>
      </w:pPr>
      <w:r>
        <w:t>The performance of the ANN approach was also compared against three SeaDAS v6.1 implemented</w:t>
      </w:r>
      <w:r w:rsidR="00F9182D">
        <w:t xml:space="preserve"> atmospheric correction methods. The implementation of these algorithms is the same in SeaDAS v6.4, </w:t>
      </w:r>
      <w:r w:rsidR="00CE1236">
        <w:t>hence the</w:t>
      </w:r>
      <w:r w:rsidR="00F9182D">
        <w:t xml:space="preserve"> results</w:t>
      </w:r>
      <w:r w:rsidR="00CE1236">
        <w:t xml:space="preserve"> presented in this section</w:t>
      </w:r>
      <w:r w:rsidR="00F9182D">
        <w:t xml:space="preserve"> are still current</w:t>
      </w:r>
      <w:r w:rsidR="00DC3FD4">
        <w:t xml:space="preserve"> as the in situ data were collected</w:t>
      </w:r>
      <w:r w:rsidR="00635EEC">
        <w:t xml:space="preserve"> before 2010</w:t>
      </w:r>
      <w:r w:rsidR="00F9182D">
        <w:t xml:space="preserve">. </w:t>
      </w:r>
      <w:r>
        <w:t xml:space="preserve">In detail, we compared ANN with the SeaDAS standard near-infrared (NIR) algorithm </w:t>
      </w:r>
      <w:r w:rsidR="00EA2F38">
        <w:fldChar w:fldCharType="begin"/>
      </w:r>
      <w:r w:rsidR="00AC2F22">
        <w:instrText xml:space="preserve"> ADDIN EN.CITE &lt;EndNote&gt;&lt;Cite&gt;&lt;Author&gt;Gordon&lt;/Author&gt;&lt;Year&gt;1997&lt;/Year&gt;&lt;RecNum&gt;4693&lt;/RecNum&gt;&lt;DisplayText&gt;(Gordon and Wang 1994, Gordon 1997)&lt;/DisplayText&gt;&lt;record&gt;&lt;rec-number&gt;4693&lt;/rec-number&gt;&lt;foreign-keys&gt;&lt;key app="EN" db-id="z0vwsaa0gfvsr1e2sr7p90rtdtevf52r2we9"&gt;4693&lt;/key&gt;&lt;/foreign-keys&gt;&lt;ref-type name="Journal Article"&gt;17&lt;/ref-type&gt;&lt;contributors&gt;&lt;authors&gt;&lt;author&gt;Gordon, H. R.&lt;/author&gt;&lt;/authors&gt;&lt;/contributors&gt;&lt;titles&gt;&lt;title&gt;Atmospheric correction of Ocean Color Imagery in the Earth Observing System Era&lt;/title&gt;&lt;secondary-title&gt;J. Geophys. Res.&lt;/secondary-title&gt;&lt;/titles&gt;&lt;periodical&gt;&lt;full-title&gt;J. Geophys. Res.&lt;/full-title&gt;&lt;/periodical&gt;&lt;pages&gt;17081-17106&lt;/pages&gt;&lt;volume&gt;102&lt;/volume&gt;&lt;keywords&gt;&lt;keyword&gt;remote sensing&lt;/keyword&gt;&lt;/keywords&gt;&lt;dates&gt;&lt;year&gt;1997&lt;/year&gt;&lt;/dates&gt;&lt;urls&gt;&lt;/urls&gt;&lt;electronic-resource-num&gt;doi:10.1364/AO.36.002636&lt;/electronic-resource-num&gt;&lt;/record&gt;&lt;/Cite&gt;&lt;Cite&gt;&lt;Author&gt;Gordon&lt;/Author&gt;&lt;Year&gt;1994&lt;/Year&gt;&lt;RecNum&gt;1712&lt;/RecNum&gt;&lt;record&gt;&lt;rec-number&gt;1712&lt;/rec-number&gt;&lt;foreign-keys&gt;&lt;key app="EN" db-id="z0vwsaa0gfvsr1e2sr7p90rtdtevf52r2we9"&gt;1712&lt;/key&gt;&lt;/foreign-keys&gt;&lt;ref-type name="Journal Article"&gt;17&lt;/ref-type&gt;&lt;contributors&gt;&lt;authors&gt;&lt;author&gt;Gordon, H. R.&lt;/author&gt;&lt;author&gt;Wang, M. H.&lt;/author&gt;&lt;/authors&gt;&lt;/contributors&gt;&lt;titles&gt;&lt;title&gt;Retrieval of water-leaving radiance and aerosol optical-thickness over the oceans with Seawifs - a preliminary algorithm&lt;/title&gt;&lt;secondary-title&gt;Applied Optics&lt;/secondary-title&gt;&lt;/titles&gt;&lt;periodical&gt;&lt;full-title&gt;Applied Optics&lt;/full-title&gt;&lt;abbr-1&gt;Appl. Optics&lt;/abbr-1&gt;&lt;/periodical&gt;&lt;pages&gt;443-452&lt;/pages&gt;&lt;volume&gt;33&lt;/volume&gt;&lt;dates&gt;&lt;year&gt;1994&lt;/year&gt;&lt;/dates&gt;&lt;urls&gt;&lt;/urls&gt;&lt;electronic-resource-num&gt;doi:10.1364/AO.33.000443&lt;/electronic-resource-num&gt;&lt;/record&gt;&lt;/Cite&gt;&lt;/EndNote&gt;</w:instrText>
      </w:r>
      <w:r w:rsidR="00EA2F38">
        <w:fldChar w:fldCharType="separate"/>
      </w:r>
      <w:r w:rsidR="00AC2F22">
        <w:rPr>
          <w:noProof/>
        </w:rPr>
        <w:t>(</w:t>
      </w:r>
      <w:hyperlink w:anchor="_ENREF_27" w:tooltip="Gordon, 1994 #1712" w:history="1">
        <w:r w:rsidR="007B7C47">
          <w:rPr>
            <w:noProof/>
          </w:rPr>
          <w:t>Gordon and Wang 1994</w:t>
        </w:r>
      </w:hyperlink>
      <w:r w:rsidR="00AC2F22">
        <w:rPr>
          <w:noProof/>
        </w:rPr>
        <w:t xml:space="preserve">, </w:t>
      </w:r>
      <w:hyperlink w:anchor="_ENREF_25" w:tooltip="Gordon, 1997 #4693" w:history="1">
        <w:r w:rsidR="007B7C47">
          <w:rPr>
            <w:noProof/>
          </w:rPr>
          <w:t>Gordon 1997</w:t>
        </w:r>
      </w:hyperlink>
      <w:r w:rsidR="00AC2F22">
        <w:rPr>
          <w:noProof/>
        </w:rPr>
        <w:t>)</w:t>
      </w:r>
      <w:r w:rsidR="00EA2F38">
        <w:fldChar w:fldCharType="end"/>
      </w:r>
      <w:r>
        <w:t>, the shortwave-infrared (SWIR) algorithm</w:t>
      </w:r>
      <w:r w:rsidR="002B4FFF">
        <w:t xml:space="preserve">  </w:t>
      </w:r>
      <w:r w:rsidR="00EA2F38">
        <w:fldChar w:fldCharType="begin">
          <w:fldData xml:space="preserve">PEVuZE5vdGU+PENpdGU+PEF1dGhvcj5XYW5nPC9BdXRob3I+PFllYXI+MjAwNzwvWWVhcj48UmVj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</w:fldData>
        </w:fldChar>
      </w:r>
      <w:r w:rsidR="00AC2F22">
        <w:instrText xml:space="preserve"> ADDIN EN.CITE </w:instrText>
      </w:r>
      <w:r w:rsidR="00EA2F38">
        <w:fldChar w:fldCharType="begin">
          <w:fldData xml:space="preserve">PEVuZE5vdGU+PENpdGU+PEF1dGhvcj5XYW5nPC9BdXRob3I+PFllYXI+MjAwNzwvWWVhcj48UmVj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</w:fldData>
        </w:fldChar>
      </w:r>
      <w:r w:rsidR="00AC2F22">
        <w:instrText xml:space="preserve"> ADDIN EN.CITE.DATA </w:instrText>
      </w:r>
      <w:r w:rsidR="00EA2F38">
        <w:fldChar w:fldCharType="end"/>
      </w:r>
      <w:r w:rsidR="00EA2F38">
        <w:fldChar w:fldCharType="separate"/>
      </w:r>
      <w:r w:rsidR="00AC2F22">
        <w:rPr>
          <w:noProof/>
        </w:rPr>
        <w:t>(</w:t>
      </w:r>
      <w:hyperlink w:anchor="_ENREF_53" w:tooltip="Wang, 2005 #4695" w:history="1">
        <w:r w:rsidR="007B7C47">
          <w:rPr>
            <w:noProof/>
          </w:rPr>
          <w:t>Wang and Shi 2005</w:t>
        </w:r>
      </w:hyperlink>
      <w:r w:rsidR="00AC2F22">
        <w:rPr>
          <w:noProof/>
        </w:rPr>
        <w:t xml:space="preserve">, </w:t>
      </w:r>
      <w:hyperlink w:anchor="_ENREF_52" w:tooltip="Wang, 2007 #4694" w:history="1">
        <w:r w:rsidR="007B7C47">
          <w:rPr>
            <w:noProof/>
          </w:rPr>
          <w:t>Wang 2007</w:t>
        </w:r>
      </w:hyperlink>
      <w:r w:rsidR="00AC2F22">
        <w:rPr>
          <w:noProof/>
        </w:rPr>
        <w:t xml:space="preserve">, </w:t>
      </w:r>
      <w:hyperlink w:anchor="_ENREF_55" w:tooltip="Wang, 2009 #4696" w:history="1">
        <w:r w:rsidR="007B7C47">
          <w:rPr>
            <w:noProof/>
          </w:rPr>
          <w:t>Wang et al. 2009</w:t>
        </w:r>
      </w:hyperlink>
      <w:r w:rsidR="00AC2F22">
        <w:rPr>
          <w:noProof/>
        </w:rPr>
        <w:t>)</w:t>
      </w:r>
      <w:r w:rsidR="00EA2F38">
        <w:fldChar w:fldCharType="end"/>
      </w:r>
      <w:r w:rsidRPr="00CE1236">
        <w:t xml:space="preserve"> and</w:t>
      </w:r>
      <w:r>
        <w:t xml:space="preserve"> the near-infrared shortwave switching (NISW) algorithm</w:t>
      </w:r>
      <w:r w:rsidR="00EA2F38">
        <w:fldChar w:fldCharType="begin"/>
      </w:r>
      <w:r w:rsidR="00AC2F22">
        <w:instrText xml:space="preserve"> ADDIN EN.CITE &lt;EndNote&gt;&lt;Cite&gt;&lt;Author&gt;Wang&lt;/Author&gt;&lt;Year&gt;2007&lt;/Year&gt;&lt;RecNum&gt;4697&lt;/RecNum&gt;&lt;DisplayText&gt;(Shi and Wang 2007, Wang and Shi 2007)&lt;/DisplayText&gt;&lt;record&gt;&lt;rec-number&gt;4697&lt;/rec-number&gt;&lt;foreign-keys&gt;&lt;key app="EN" db-id="z0vwsaa0gfvsr1e2sr7p90rtdtevf52r2we9"&gt;4697&lt;/key&gt;&lt;/foreign-keys&gt;&lt;ref-type name="Journal Article"&gt;17&lt;/ref-type&gt;&lt;contributors&gt;&lt;authors&gt;&lt;author&gt;Wang, Menghua&lt;/author&gt;&lt;author&gt;Shi, Wei&lt;/author&gt;&lt;/authors&gt;&lt;/contributors&gt;&lt;titles&gt;&lt;title&gt;The NIR-SWIR combined atmospheric correction approach for MODIS ocean colour data processing&lt;/title&gt;&lt;secondary-title&gt;Optics Express&lt;/secondary-title&gt;&lt;/titles&gt;&lt;periodical&gt;&lt;full-title&gt;Optics Express&lt;/full-title&gt;&lt;/periodical&gt;&lt;pages&gt;15722-15733 &lt;/pages&gt;&lt;volume&gt;15&lt;/volume&gt;&lt;dates&gt;&lt;year&gt;2007&lt;/year&gt;&lt;pub-dates&gt;&lt;date&gt;04/10&lt;/date&gt;&lt;/pub-dates&gt;&lt;/dates&gt;&lt;urls&gt;&lt;/urls&gt;&lt;/record&gt;&lt;/Cite&gt;&lt;Cite&gt;&lt;Author&gt;Shi&lt;/Author&gt;&lt;Year&gt;2007&lt;/Year&gt;&lt;RecNum&gt;4053&lt;/RecNum&gt;&lt;record&gt;&lt;rec-number&gt;4053&lt;/rec-number&gt;&lt;foreign-keys&gt;&lt;key app="EN" db-id="z0vwsaa0gfvsr1e2sr7p90rtdtevf52r2we9"&gt;4053&lt;/key&gt;&lt;/foreign-keys&gt;&lt;ref-type name="Journal Article"&gt;17&lt;/ref-type&gt;&lt;contributors&gt;&lt;authors&gt;&lt;author&gt;Shi, Wei&lt;/author&gt;&lt;author&gt;Wang, Menghua&lt;/author&gt;&lt;/authors&gt;&lt;/contributors&gt;&lt;titles&gt;&lt;title&gt;Detection of turbid waters and absorbing aerosols for the MODIS ocean color data processing&lt;/title&gt;&lt;secondary-title&gt;Remote Sensing of Environment&lt;/secondary-title&gt;&lt;/titles&gt;&lt;periodical&gt;&lt;full-title&gt;Remote Sensing of Environment&lt;/full-title&gt;&lt;/periodical&gt;&lt;pages&gt;149-161&lt;/pages&gt;&lt;volume&gt;110&lt;/volume&gt;&lt;number&gt;2&lt;/number&gt;&lt;keywords&gt;&lt;keyword&gt;Ocean color remote sensing&lt;/keyword&gt;&lt;keyword&gt;Atmospheric correction&lt;/keyword&gt;&lt;keyword&gt;Absorbing aerosol detection&lt;/keyword&gt;&lt;keyword&gt;Turbid water detection&lt;/keyword&gt;&lt;keyword&gt;Coastal region ocean remote sensing&lt;/keyword&gt;&lt;/keywords&gt;&lt;dates&gt;&lt;year&gt;2007&lt;/year&gt;&lt;/dates&gt;&lt;urls&gt;&lt;related-urls&gt;&lt;url&gt;http://www.sciencedirect.com/science/article/B6V6V-4NCK2CB-2/2/7f54ca36caa918ed96277fa9bfffd493 &lt;/url&gt;&lt;/related-urls&gt;&lt;/urls&gt;&lt;electronic-resource-num&gt;doi:10.1016/j.rse.2007.02.013&lt;/electronic-resource-num&gt;&lt;/record&gt;&lt;/Cite&gt;&lt;/EndNote&gt;</w:instrText>
      </w:r>
      <w:r w:rsidR="00EA2F38">
        <w:fldChar w:fldCharType="separate"/>
      </w:r>
      <w:r w:rsidR="00AC2F22">
        <w:rPr>
          <w:noProof/>
        </w:rPr>
        <w:t>(</w:t>
      </w:r>
      <w:hyperlink w:anchor="_ENREF_49" w:tooltip="Shi, 2007 #4053" w:history="1">
        <w:r w:rsidR="007B7C47">
          <w:rPr>
            <w:noProof/>
          </w:rPr>
          <w:t>Shi and Wang 2007</w:t>
        </w:r>
      </w:hyperlink>
      <w:r w:rsidR="00AC2F22">
        <w:rPr>
          <w:noProof/>
        </w:rPr>
        <w:t xml:space="preserve">, </w:t>
      </w:r>
      <w:hyperlink w:anchor="_ENREF_54" w:tooltip="Wang, 2007 #4697" w:history="1">
        <w:r w:rsidR="007B7C47">
          <w:rPr>
            <w:noProof/>
          </w:rPr>
          <w:t>Wang and Shi 2007</w:t>
        </w:r>
      </w:hyperlink>
      <w:r w:rsidR="00AC2F22">
        <w:rPr>
          <w:noProof/>
        </w:rPr>
        <w:t>)</w:t>
      </w:r>
      <w:r w:rsidR="00EA2F38">
        <w:fldChar w:fldCharType="end"/>
      </w:r>
      <w:r>
        <w:t xml:space="preserve"> Spectrally averaged match-up results for all four methods applied to the same data set of 49 spectra are shown in</w:t>
      </w:r>
      <w:r w:rsidRPr="00A40CD0">
        <w:t xml:space="preserve"> </w:t>
      </w:r>
      <w:r w:rsidR="008A285B">
        <w:fldChar w:fldCharType="begin"/>
      </w:r>
      <w:r w:rsidR="008A285B">
        <w:instrText xml:space="preserve"> REF _Ref213820049 \h  \* MERGEFORMAT </w:instrText>
      </w:r>
      <w:r w:rsidR="008A285B">
        <w:fldChar w:fldCharType="separate"/>
      </w:r>
      <w:r w:rsidR="00B11F3B" w:rsidRPr="00A40CD0">
        <w:t xml:space="preserve">Figure </w:t>
      </w:r>
      <w:r w:rsidR="00B11F3B">
        <w:t>93</w:t>
      </w:r>
      <w:r w:rsidR="008A285B">
        <w:fldChar w:fldCharType="end"/>
      </w:r>
      <w:r w:rsidRPr="00A40CD0">
        <w:t xml:space="preserve"> </w:t>
      </w:r>
      <w:r>
        <w:t xml:space="preserve">as scatter plots of </w:t>
      </w:r>
      <w:r w:rsidRPr="00A40CD0">
        <w:rPr>
          <w:i/>
        </w:rPr>
        <w:t>in-situ</w:t>
      </w:r>
      <w:r>
        <w:t xml:space="preserve"> reflectance versus</w:t>
      </w:r>
      <w:r w:rsidRPr="00A40CD0">
        <w:t xml:space="preserve"> </w:t>
      </w:r>
      <w:r>
        <w:t xml:space="preserve">satellite retrieved </w:t>
      </w:r>
      <w:r w:rsidRPr="00A40CD0">
        <w:t>median reflectance</w:t>
      </w:r>
      <w:r>
        <w:t xml:space="preserve">. </w:t>
      </w:r>
    </w:p>
    <w:p w:rsidR="00A26BAE" w:rsidRDefault="00A26BAE" w:rsidP="00A26BAE">
      <w:pPr>
        <w:pStyle w:val="BodyText"/>
      </w:pPr>
      <w:r>
        <w:t xml:space="preserve">With a Mean Absolute Percentage Error (MAPE) of 70% the SWIR atmospheric correction performed overall less accurate compared to the rest of the methods. The SWIR outputs appear noisy, which can be seen by the large standard deviation within some of the match-up areas of the scatter plot. Larger SWIR errors also affected the NISW algorithm with a spectrally averaged MAPE of 50%. Overall best performance was achieved by the ANN method followed by the NIR algorithm, showing retrieval errors of 24% and 34% respectively. All three SeaDAS algorithms showed over-correction for some spectra and consequently retrieved non-physical negative reflectance values mainly in the blue (412 nm) and NIR (748 nm) spectral region. The ANN algorithm was designed to output reflectance on logarithmic scale to eliminate this problem. </w:t>
      </w:r>
    </w:p>
    <w:p w:rsidR="00A26BAE" w:rsidRDefault="00A26BAE" w:rsidP="00A26BAE">
      <w:pPr>
        <w:pStyle w:val="BodyText"/>
      </w:pPr>
      <w:r>
        <w:t xml:space="preserve">The associated spectrally resolved error statistics are presented in </w:t>
      </w:r>
      <w:r w:rsidR="008A285B">
        <w:fldChar w:fldCharType="begin"/>
      </w:r>
      <w:r w:rsidR="008A285B">
        <w:instrText xml:space="preserve"> REF _Ref213821050 \h  \* MERGEFORMAT </w:instrText>
      </w:r>
      <w:r w:rsidR="008A285B">
        <w:fldChar w:fldCharType="separate"/>
      </w:r>
      <w:r w:rsidR="00B11F3B" w:rsidRPr="00A40CD0">
        <w:t xml:space="preserve">Figure </w:t>
      </w:r>
      <w:r w:rsidR="00B11F3B">
        <w:t>94</w:t>
      </w:r>
      <w:r w:rsidR="008A285B">
        <w:fldChar w:fldCharType="end"/>
      </w:r>
      <w:r w:rsidRPr="00A40CD0">
        <w:t xml:space="preserve"> </w:t>
      </w:r>
      <w:r>
        <w:t>Larger relative errors can be observed from all algorithms especially in the blue and near-infrared spectral region as a consequence of the generally low absolute reflectance signal. The analysis showed that errors exceed 90% for the SWIR and NISW algorithms at 412 nm, while the NIR method produced better results with errors that exceed 50%. Most accurate results were obtained by the ANN method with errors of about 25% at 412 nm.</w:t>
      </w:r>
    </w:p>
    <w:p w:rsidR="00B803C4" w:rsidRDefault="00B803C4" w:rsidP="002E0BD6">
      <w:pPr>
        <w:pStyle w:val="BodyText"/>
      </w:pPr>
    </w:p>
    <w:p w:rsidR="00F1415C" w:rsidRDefault="00F1415C" w:rsidP="002E0BD6">
      <w:pPr>
        <w:pStyle w:val="BodyText"/>
      </w:pPr>
    </w:p>
    <w:p w:rsidR="00F1415C" w:rsidRPr="00A40CD0" w:rsidRDefault="00F1415C" w:rsidP="002E0BD6">
      <w:pPr>
        <w:pStyle w:val="BodyText"/>
      </w:pPr>
    </w:p>
    <w:p w:rsidR="00B25CAA" w:rsidRPr="00A40CD0" w:rsidRDefault="00B25CAA" w:rsidP="00F82027"/>
    <w:tbl>
      <w:tblPr>
        <w:tblW w:w="9210" w:type="dxa"/>
        <w:tblInd w:w="108" w:type="dxa"/>
        <w:tblLook w:val="01E0" w:firstRow="1" w:lastRow="1" w:firstColumn="1" w:lastColumn="1" w:noHBand="0" w:noVBand="0"/>
      </w:tblPr>
      <w:tblGrid>
        <w:gridCol w:w="4611"/>
        <w:gridCol w:w="4599"/>
      </w:tblGrid>
      <w:tr w:rsidR="00984679" w:rsidRPr="00335B57" w:rsidTr="00984679">
        <w:trPr>
          <w:trHeight w:val="3360"/>
        </w:trPr>
        <w:tc>
          <w:tcPr>
            <w:tcW w:w="4611" w:type="dxa"/>
          </w:tcPr>
          <w:bookmarkEnd w:id="606"/>
          <w:p w:rsidR="00984679" w:rsidRPr="00335B57" w:rsidRDefault="00984679" w:rsidP="002E0BD6">
            <w:pPr>
              <w:pStyle w:val="BodyText"/>
            </w:pPr>
            <w:r w:rsidRPr="00335B57">
              <w:rPr>
                <w:noProof/>
                <w:lang w:eastAsia="en-AU"/>
              </w:rPr>
              <w:drawing>
                <wp:anchor distT="0" distB="0" distL="114300" distR="114300" simplePos="0" relativeHeight="251659264" behindDoc="1" locked="0" layoutInCell="1" allowOverlap="1">
                  <wp:simplePos x="0" y="0"/>
                  <wp:positionH relativeFrom="column">
                    <wp:posOffset>343535</wp:posOffset>
                  </wp:positionH>
                  <wp:positionV relativeFrom="paragraph">
                    <wp:posOffset>37465</wp:posOffset>
                  </wp:positionV>
                  <wp:extent cx="2266950" cy="2052955"/>
                  <wp:effectExtent l="19050" t="0" r="0" b="0"/>
                  <wp:wrapTight wrapText="bothSides">
                    <wp:wrapPolygon edited="0">
                      <wp:start x="1452" y="0"/>
                      <wp:lineTo x="1452" y="601"/>
                      <wp:lineTo x="3449" y="3207"/>
                      <wp:lineTo x="182" y="4209"/>
                      <wp:lineTo x="-182" y="4410"/>
                      <wp:lineTo x="-182" y="14231"/>
                      <wp:lineTo x="2178" y="16035"/>
                      <wp:lineTo x="3812" y="16035"/>
                      <wp:lineTo x="3812" y="18440"/>
                      <wp:lineTo x="4538" y="19242"/>
                      <wp:lineTo x="6353" y="19242"/>
                      <wp:lineTo x="6897" y="21446"/>
                      <wp:lineTo x="7261" y="21446"/>
                      <wp:lineTo x="17607" y="21446"/>
                      <wp:lineTo x="19603" y="21446"/>
                      <wp:lineTo x="21600" y="20244"/>
                      <wp:lineTo x="21600" y="19242"/>
                      <wp:lineTo x="21055" y="3207"/>
                      <wp:lineTo x="20874" y="200"/>
                      <wp:lineTo x="20874" y="0"/>
                      <wp:lineTo x="1452" y="0"/>
                    </wp:wrapPolygon>
                  </wp:wrapTight>
                  <wp:docPr id="2" name="Picture 1" descr="ANNT_A_3x3_T180_S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T_A_3x3_T180_SCAT.png"/>
                          <pic:cNvPicPr/>
                        </pic:nvPicPr>
                        <pic:blipFill>
                          <a:blip r:embed="rId182" cstate="email">
                            <a:extLst>
                              <a:ext uri="{28A0092B-C50C-407E-A947-70E740481C1C}">
                                <a14:useLocalDpi xmlns:a14="http://schemas.microsoft.com/office/drawing/2010/main"/>
                              </a:ext>
                            </a:extLst>
                          </a:blip>
                          <a:stretch>
                            <a:fillRect/>
                          </a:stretch>
                        </pic:blipFill>
                        <pic:spPr>
                          <a:xfrm>
                            <a:off x="0" y="0"/>
                            <a:ext cx="2266950" cy="2052955"/>
                          </a:xfrm>
                          <a:prstGeom prst="rect">
                            <a:avLst/>
                          </a:prstGeom>
                        </pic:spPr>
                      </pic:pic>
                    </a:graphicData>
                  </a:graphic>
                </wp:anchor>
              </w:drawing>
            </w:r>
          </w:p>
        </w:tc>
        <w:tc>
          <w:tcPr>
            <w:tcW w:w="4599" w:type="dxa"/>
          </w:tcPr>
          <w:p w:rsidR="00984679" w:rsidRPr="00335B57" w:rsidRDefault="00984679" w:rsidP="002E0BD6">
            <w:pPr>
              <w:pStyle w:val="BodyText"/>
            </w:pPr>
            <w:r w:rsidRPr="00335B57">
              <w:rPr>
                <w:noProof/>
                <w:lang w:eastAsia="en-AU"/>
              </w:rPr>
              <w:drawing>
                <wp:anchor distT="0" distB="0" distL="114300" distR="114300" simplePos="0" relativeHeight="251660288" behindDoc="1" locked="0" layoutInCell="1" allowOverlap="1">
                  <wp:simplePos x="0" y="0"/>
                  <wp:positionH relativeFrom="column">
                    <wp:posOffset>-48260</wp:posOffset>
                  </wp:positionH>
                  <wp:positionV relativeFrom="paragraph">
                    <wp:posOffset>29210</wp:posOffset>
                  </wp:positionV>
                  <wp:extent cx="2266950" cy="2052955"/>
                  <wp:effectExtent l="19050" t="0" r="0" b="0"/>
                  <wp:wrapTight wrapText="bothSides">
                    <wp:wrapPolygon edited="0">
                      <wp:start x="1452" y="0"/>
                      <wp:lineTo x="1452" y="601"/>
                      <wp:lineTo x="3449" y="3207"/>
                      <wp:lineTo x="363" y="4209"/>
                      <wp:lineTo x="-182" y="4610"/>
                      <wp:lineTo x="-182" y="13830"/>
                      <wp:lineTo x="2541" y="16035"/>
                      <wp:lineTo x="3812" y="16035"/>
                      <wp:lineTo x="3812" y="18440"/>
                      <wp:lineTo x="4538" y="19242"/>
                      <wp:lineTo x="6353" y="19242"/>
                      <wp:lineTo x="6897" y="21446"/>
                      <wp:lineTo x="7261" y="21446"/>
                      <wp:lineTo x="17607" y="21446"/>
                      <wp:lineTo x="19603" y="21446"/>
                      <wp:lineTo x="21600" y="20244"/>
                      <wp:lineTo x="21600" y="19242"/>
                      <wp:lineTo x="21055" y="3207"/>
                      <wp:lineTo x="20874" y="200"/>
                      <wp:lineTo x="20874" y="0"/>
                      <wp:lineTo x="1452" y="0"/>
                    </wp:wrapPolygon>
                  </wp:wrapTight>
                  <wp:docPr id="3" name="Picture 1" descr="ANNT_A_3x3_T180_S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T_A_3x3_T180_SCAT.png"/>
                          <pic:cNvPicPr/>
                        </pic:nvPicPr>
                        <pic:blipFill>
                          <a:blip r:embed="rId183" cstate="email">
                            <a:extLst>
                              <a:ext uri="{28A0092B-C50C-407E-A947-70E740481C1C}">
                                <a14:useLocalDpi xmlns:a14="http://schemas.microsoft.com/office/drawing/2010/main"/>
                              </a:ext>
                            </a:extLst>
                          </a:blip>
                          <a:stretch>
                            <a:fillRect/>
                          </a:stretch>
                        </pic:blipFill>
                        <pic:spPr>
                          <a:xfrm>
                            <a:off x="0" y="0"/>
                            <a:ext cx="2266950" cy="2052955"/>
                          </a:xfrm>
                          <a:prstGeom prst="rect">
                            <a:avLst/>
                          </a:prstGeom>
                        </pic:spPr>
                      </pic:pic>
                    </a:graphicData>
                  </a:graphic>
                </wp:anchor>
              </w:drawing>
            </w:r>
          </w:p>
        </w:tc>
      </w:tr>
      <w:tr w:rsidR="00984679" w:rsidRPr="00335B57" w:rsidTr="00984679">
        <w:trPr>
          <w:trHeight w:val="3315"/>
        </w:trPr>
        <w:tc>
          <w:tcPr>
            <w:tcW w:w="4611" w:type="dxa"/>
          </w:tcPr>
          <w:p w:rsidR="00984679" w:rsidRPr="00335B57" w:rsidRDefault="00984679" w:rsidP="002E0BD6">
            <w:pPr>
              <w:pStyle w:val="BodyText"/>
              <w:rPr>
                <w:noProof/>
                <w:lang w:val="en-US"/>
              </w:rPr>
            </w:pPr>
            <w:r w:rsidRPr="00335B57">
              <w:rPr>
                <w:noProof/>
                <w:lang w:eastAsia="en-AU"/>
              </w:rPr>
              <w:drawing>
                <wp:anchor distT="0" distB="0" distL="114300" distR="114300" simplePos="0" relativeHeight="251661312" behindDoc="1" locked="0" layoutInCell="1" allowOverlap="1">
                  <wp:simplePos x="0" y="0"/>
                  <wp:positionH relativeFrom="column">
                    <wp:posOffset>343535</wp:posOffset>
                  </wp:positionH>
                  <wp:positionV relativeFrom="paragraph">
                    <wp:posOffset>31750</wp:posOffset>
                  </wp:positionV>
                  <wp:extent cx="2266950" cy="2052955"/>
                  <wp:effectExtent l="19050" t="0" r="0" b="0"/>
                  <wp:wrapTight wrapText="bothSides">
                    <wp:wrapPolygon edited="0">
                      <wp:start x="1452" y="0"/>
                      <wp:lineTo x="1452" y="601"/>
                      <wp:lineTo x="3449" y="3207"/>
                      <wp:lineTo x="-182" y="4009"/>
                      <wp:lineTo x="-182" y="14431"/>
                      <wp:lineTo x="1815" y="16035"/>
                      <wp:lineTo x="3812" y="16035"/>
                      <wp:lineTo x="3812" y="18440"/>
                      <wp:lineTo x="4538" y="19242"/>
                      <wp:lineTo x="6353" y="19242"/>
                      <wp:lineTo x="6897" y="21446"/>
                      <wp:lineTo x="7261" y="21446"/>
                      <wp:lineTo x="17607" y="21446"/>
                      <wp:lineTo x="19603" y="21446"/>
                      <wp:lineTo x="21600" y="20244"/>
                      <wp:lineTo x="21600" y="19242"/>
                      <wp:lineTo x="21055" y="3207"/>
                      <wp:lineTo x="20874" y="200"/>
                      <wp:lineTo x="20874" y="0"/>
                      <wp:lineTo x="1452" y="0"/>
                    </wp:wrapPolygon>
                  </wp:wrapTight>
                  <wp:docPr id="4" name="Picture 1" descr="ANNT_A_3x3_T180_S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T_A_3x3_T180_SCAT.png"/>
                          <pic:cNvPicPr/>
                        </pic:nvPicPr>
                        <pic:blipFill>
                          <a:blip r:embed="rId184" cstate="email">
                            <a:extLst>
                              <a:ext uri="{28A0092B-C50C-407E-A947-70E740481C1C}">
                                <a14:useLocalDpi xmlns:a14="http://schemas.microsoft.com/office/drawing/2010/main"/>
                              </a:ext>
                            </a:extLst>
                          </a:blip>
                          <a:stretch>
                            <a:fillRect/>
                          </a:stretch>
                        </pic:blipFill>
                        <pic:spPr>
                          <a:xfrm>
                            <a:off x="0" y="0"/>
                            <a:ext cx="2266950" cy="2052955"/>
                          </a:xfrm>
                          <a:prstGeom prst="rect">
                            <a:avLst/>
                          </a:prstGeom>
                        </pic:spPr>
                      </pic:pic>
                    </a:graphicData>
                  </a:graphic>
                </wp:anchor>
              </w:drawing>
            </w:r>
          </w:p>
        </w:tc>
        <w:tc>
          <w:tcPr>
            <w:tcW w:w="4599" w:type="dxa"/>
          </w:tcPr>
          <w:p w:rsidR="00984679" w:rsidRPr="00335B57" w:rsidRDefault="00984679" w:rsidP="002E0BD6">
            <w:pPr>
              <w:pStyle w:val="BodyText"/>
              <w:rPr>
                <w:noProof/>
                <w:lang w:val="en-US"/>
              </w:rPr>
            </w:pPr>
            <w:r w:rsidRPr="00335B57">
              <w:rPr>
                <w:noProof/>
                <w:lang w:eastAsia="en-AU"/>
              </w:rPr>
              <w:drawing>
                <wp:anchor distT="0" distB="0" distL="114300" distR="114300" simplePos="0" relativeHeight="251662336" behindDoc="1" locked="0" layoutInCell="1" allowOverlap="1">
                  <wp:simplePos x="0" y="0"/>
                  <wp:positionH relativeFrom="column">
                    <wp:posOffset>-48260</wp:posOffset>
                  </wp:positionH>
                  <wp:positionV relativeFrom="paragraph">
                    <wp:posOffset>31750</wp:posOffset>
                  </wp:positionV>
                  <wp:extent cx="2266950" cy="2052955"/>
                  <wp:effectExtent l="19050" t="0" r="0" b="0"/>
                  <wp:wrapTight wrapText="bothSides">
                    <wp:wrapPolygon edited="0">
                      <wp:start x="1452" y="0"/>
                      <wp:lineTo x="1452" y="601"/>
                      <wp:lineTo x="3449" y="3207"/>
                      <wp:lineTo x="-182" y="4009"/>
                      <wp:lineTo x="-182" y="14431"/>
                      <wp:lineTo x="1815" y="16035"/>
                      <wp:lineTo x="3812" y="16035"/>
                      <wp:lineTo x="3812" y="18440"/>
                      <wp:lineTo x="4538" y="19242"/>
                      <wp:lineTo x="6353" y="19242"/>
                      <wp:lineTo x="6897" y="21446"/>
                      <wp:lineTo x="7261" y="21446"/>
                      <wp:lineTo x="17607" y="21446"/>
                      <wp:lineTo x="19603" y="21446"/>
                      <wp:lineTo x="21600" y="20244"/>
                      <wp:lineTo x="21600" y="19242"/>
                      <wp:lineTo x="21055" y="3207"/>
                      <wp:lineTo x="20874" y="200"/>
                      <wp:lineTo x="20874" y="0"/>
                      <wp:lineTo x="1452" y="0"/>
                    </wp:wrapPolygon>
                  </wp:wrapTight>
                  <wp:docPr id="16" name="Picture 1" descr="ANNT_A_3x3_T180_S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NT_A_3x3_T180_SCAT.png"/>
                          <pic:cNvPicPr/>
                        </pic:nvPicPr>
                        <pic:blipFill>
                          <a:blip r:embed="rId185" cstate="email">
                            <a:extLst>
                              <a:ext uri="{28A0092B-C50C-407E-A947-70E740481C1C}">
                                <a14:useLocalDpi xmlns:a14="http://schemas.microsoft.com/office/drawing/2010/main"/>
                              </a:ext>
                            </a:extLst>
                          </a:blip>
                          <a:stretch>
                            <a:fillRect/>
                          </a:stretch>
                        </pic:blipFill>
                        <pic:spPr>
                          <a:xfrm>
                            <a:off x="0" y="0"/>
                            <a:ext cx="2266950" cy="2052955"/>
                          </a:xfrm>
                          <a:prstGeom prst="rect">
                            <a:avLst/>
                          </a:prstGeom>
                        </pic:spPr>
                      </pic:pic>
                    </a:graphicData>
                  </a:graphic>
                </wp:anchor>
              </w:drawing>
            </w:r>
          </w:p>
        </w:tc>
      </w:tr>
    </w:tbl>
    <w:p w:rsidR="00B25CAA" w:rsidRPr="00A40CD0" w:rsidRDefault="00B25CAA" w:rsidP="004F4DDE">
      <w:pPr>
        <w:pStyle w:val="Caption"/>
      </w:pPr>
      <w:bookmarkStart w:id="607" w:name="_Ref213820049"/>
      <w:bookmarkStart w:id="608" w:name="_Toc228588374"/>
      <w:bookmarkStart w:id="609" w:name="_Toc399265079"/>
      <w:r w:rsidRPr="00A40CD0">
        <w:t xml:space="preserve">Figure </w:t>
      </w:r>
      <w:fldSimple w:instr=" SEQ Figure \* ARABIC ">
        <w:r w:rsidR="00B11F3B">
          <w:rPr>
            <w:noProof/>
          </w:rPr>
          <w:t>93</w:t>
        </w:r>
      </w:fldSimple>
      <w:bookmarkEnd w:id="607"/>
      <w:r w:rsidRPr="00A40CD0">
        <w:t xml:space="preserve">: </w:t>
      </w:r>
      <w:bookmarkEnd w:id="608"/>
      <w:r w:rsidR="00984679" w:rsidRPr="00A40CD0">
        <w:t xml:space="preserve">Scatter plots of </w:t>
      </w:r>
      <w:r w:rsidR="00984679">
        <w:t>in-situ versus satellite estimated median reflectance spectra for the ANN (top left) and three SeaDAS v6.1 implemented atmospheric correction methods.</w:t>
      </w:r>
      <w:bookmarkEnd w:id="609"/>
    </w:p>
    <w:p w:rsidR="00984679" w:rsidRDefault="00984679" w:rsidP="002E0BD6">
      <w:pPr>
        <w:pStyle w:val="BodyText"/>
      </w:pPr>
    </w:p>
    <w:p w:rsidR="00F1415C" w:rsidRDefault="00F1415C" w:rsidP="002E0BD6">
      <w:pPr>
        <w:pStyle w:val="BodyText"/>
      </w:pPr>
    </w:p>
    <w:p w:rsidR="00F1415C" w:rsidRDefault="00F1415C" w:rsidP="002E0BD6">
      <w:pPr>
        <w:pStyle w:val="BodyText"/>
      </w:pPr>
    </w:p>
    <w:p w:rsidR="00F1415C" w:rsidRDefault="00F1415C" w:rsidP="002E0BD6">
      <w:pPr>
        <w:pStyle w:val="BodyText"/>
      </w:pPr>
    </w:p>
    <w:p w:rsidR="00F1415C" w:rsidRDefault="00F1415C" w:rsidP="002E0BD6">
      <w:pPr>
        <w:pStyle w:val="BodyText"/>
      </w:pPr>
    </w:p>
    <w:p w:rsidR="00F1415C" w:rsidRDefault="00F1415C" w:rsidP="002E0BD6">
      <w:pPr>
        <w:pStyle w:val="BodyText"/>
      </w:pPr>
    </w:p>
    <w:p w:rsidR="00F1415C" w:rsidRDefault="00F1415C" w:rsidP="002E0BD6">
      <w:pPr>
        <w:pStyle w:val="BodyText"/>
      </w:pPr>
    </w:p>
    <w:p w:rsidR="00F1415C" w:rsidRDefault="00F1415C" w:rsidP="002E0BD6">
      <w:pPr>
        <w:pStyle w:val="BodyText"/>
      </w:pPr>
    </w:p>
    <w:tbl>
      <w:tblPr>
        <w:tblW w:w="0" w:type="auto"/>
        <w:tblInd w:w="108" w:type="dxa"/>
        <w:tblLook w:val="01E0" w:firstRow="1" w:lastRow="1" w:firstColumn="1" w:lastColumn="1" w:noHBand="0" w:noVBand="0"/>
      </w:tblPr>
      <w:tblGrid>
        <w:gridCol w:w="4500"/>
        <w:gridCol w:w="4678"/>
      </w:tblGrid>
      <w:tr w:rsidR="00125340" w:rsidRPr="00A40CD0" w:rsidTr="00125340">
        <w:tc>
          <w:tcPr>
            <w:tcW w:w="4500" w:type="dxa"/>
          </w:tcPr>
          <w:p w:rsidR="00125340" w:rsidRPr="00A40CD0" w:rsidRDefault="00125340" w:rsidP="002E0BD6">
            <w:pPr>
              <w:pStyle w:val="BodyText"/>
            </w:pPr>
            <w:r>
              <w:rPr>
                <w:noProof/>
                <w:lang w:eastAsia="en-AU"/>
              </w:rPr>
              <w:lastRenderedPageBreak/>
              <w:drawing>
                <wp:anchor distT="0" distB="0" distL="114300" distR="114300" simplePos="0" relativeHeight="251666432" behindDoc="1" locked="0" layoutInCell="1" allowOverlap="1">
                  <wp:simplePos x="0" y="0"/>
                  <wp:positionH relativeFrom="column">
                    <wp:posOffset>583565</wp:posOffset>
                  </wp:positionH>
                  <wp:positionV relativeFrom="paragraph">
                    <wp:posOffset>73660</wp:posOffset>
                  </wp:positionV>
                  <wp:extent cx="2216785" cy="2078355"/>
                  <wp:effectExtent l="0" t="0" r="0" b="0"/>
                  <wp:wrapTight wrapText="bothSides">
                    <wp:wrapPolygon edited="0">
                      <wp:start x="1485" y="0"/>
                      <wp:lineTo x="0" y="2178"/>
                      <wp:lineTo x="0" y="15839"/>
                      <wp:lineTo x="3527" y="15839"/>
                      <wp:lineTo x="2784" y="18412"/>
                      <wp:lineTo x="2784" y="19798"/>
                      <wp:lineTo x="7239" y="21184"/>
                      <wp:lineTo x="12251" y="21382"/>
                      <wp:lineTo x="17077" y="21382"/>
                      <wp:lineTo x="18748" y="21382"/>
                      <wp:lineTo x="21532" y="19798"/>
                      <wp:lineTo x="21532" y="19006"/>
                      <wp:lineTo x="21161" y="0"/>
                      <wp:lineTo x="1485" y="0"/>
                    </wp:wrapPolygon>
                  </wp:wrapTight>
                  <wp:docPr id="17" name="Picture 16" descr="ALL6_A_3x3_T180_MA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6_A_3x3_T180_MAPE.png"/>
                          <pic:cNvPicPr/>
                        </pic:nvPicPr>
                        <pic:blipFill>
                          <a:blip r:embed="rId186" cstate="email">
                            <a:extLst>
                              <a:ext uri="{28A0092B-C50C-407E-A947-70E740481C1C}">
                                <a14:useLocalDpi xmlns:a14="http://schemas.microsoft.com/office/drawing/2010/main"/>
                              </a:ext>
                            </a:extLst>
                          </a:blip>
                          <a:stretch>
                            <a:fillRect/>
                          </a:stretch>
                        </pic:blipFill>
                        <pic:spPr>
                          <a:xfrm>
                            <a:off x="0" y="0"/>
                            <a:ext cx="2216785" cy="2078355"/>
                          </a:xfrm>
                          <a:prstGeom prst="rect">
                            <a:avLst/>
                          </a:prstGeom>
                        </pic:spPr>
                      </pic:pic>
                    </a:graphicData>
                  </a:graphic>
                </wp:anchor>
              </w:drawing>
            </w:r>
          </w:p>
        </w:tc>
        <w:tc>
          <w:tcPr>
            <w:tcW w:w="4678" w:type="dxa"/>
          </w:tcPr>
          <w:p w:rsidR="00125340" w:rsidRPr="00A40CD0" w:rsidRDefault="00125340" w:rsidP="002E0BD6">
            <w:pPr>
              <w:pStyle w:val="BodyText"/>
            </w:pPr>
            <w:r w:rsidRPr="00F42DED">
              <w:rPr>
                <w:noProof/>
                <w:lang w:eastAsia="en-AU"/>
              </w:rPr>
              <w:drawing>
                <wp:anchor distT="0" distB="0" distL="114300" distR="114300" simplePos="0" relativeHeight="251667456" behindDoc="1" locked="0" layoutInCell="1" allowOverlap="1">
                  <wp:simplePos x="0" y="0"/>
                  <wp:positionH relativeFrom="column">
                    <wp:posOffset>-57150</wp:posOffset>
                  </wp:positionH>
                  <wp:positionV relativeFrom="paragraph">
                    <wp:posOffset>81915</wp:posOffset>
                  </wp:positionV>
                  <wp:extent cx="2327275" cy="2078355"/>
                  <wp:effectExtent l="19050" t="0" r="0" b="0"/>
                  <wp:wrapTight wrapText="bothSides">
                    <wp:wrapPolygon edited="0">
                      <wp:start x="1414" y="0"/>
                      <wp:lineTo x="1414" y="594"/>
                      <wp:lineTo x="3890" y="3168"/>
                      <wp:lineTo x="-177" y="3762"/>
                      <wp:lineTo x="-177" y="14651"/>
                      <wp:lineTo x="1591" y="15839"/>
                      <wp:lineTo x="4420" y="15839"/>
                      <wp:lineTo x="1414" y="17423"/>
                      <wp:lineTo x="1414" y="18214"/>
                      <wp:lineTo x="3713" y="19006"/>
                      <wp:lineTo x="3713" y="19996"/>
                      <wp:lineTo x="9017" y="21382"/>
                      <wp:lineTo x="12553" y="21382"/>
                      <wp:lineTo x="17327" y="21382"/>
                      <wp:lineTo x="18918" y="21382"/>
                      <wp:lineTo x="21571" y="19798"/>
                      <wp:lineTo x="21571" y="19006"/>
                      <wp:lineTo x="21217" y="0"/>
                      <wp:lineTo x="1414" y="0"/>
                    </wp:wrapPolygon>
                  </wp:wrapTight>
                  <wp:docPr id="23" name="Picture 16" descr="ALL6_A_3x3_T180_MA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6_A_3x3_T180_MAPE.png"/>
                          <pic:cNvPicPr/>
                        </pic:nvPicPr>
                        <pic:blipFill>
                          <a:blip r:embed="rId187" cstate="email">
                            <a:extLst>
                              <a:ext uri="{28A0092B-C50C-407E-A947-70E740481C1C}">
                                <a14:useLocalDpi xmlns:a14="http://schemas.microsoft.com/office/drawing/2010/main"/>
                              </a:ext>
                            </a:extLst>
                          </a:blip>
                          <a:stretch>
                            <a:fillRect/>
                          </a:stretch>
                        </pic:blipFill>
                        <pic:spPr>
                          <a:xfrm>
                            <a:off x="0" y="0"/>
                            <a:ext cx="2327275" cy="2078355"/>
                          </a:xfrm>
                          <a:prstGeom prst="rect">
                            <a:avLst/>
                          </a:prstGeom>
                        </pic:spPr>
                      </pic:pic>
                    </a:graphicData>
                  </a:graphic>
                </wp:anchor>
              </w:drawing>
            </w:r>
          </w:p>
        </w:tc>
      </w:tr>
      <w:tr w:rsidR="00125340" w:rsidRPr="00A40CD0" w:rsidTr="00125340">
        <w:tc>
          <w:tcPr>
            <w:tcW w:w="4500" w:type="dxa"/>
          </w:tcPr>
          <w:p w:rsidR="00125340" w:rsidRPr="00A40CD0" w:rsidRDefault="00125340" w:rsidP="002E0BD6">
            <w:pPr>
              <w:pStyle w:val="BodyText"/>
            </w:pPr>
            <w:r w:rsidRPr="00F42DED">
              <w:rPr>
                <w:noProof/>
                <w:lang w:eastAsia="en-AU"/>
              </w:rPr>
              <w:drawing>
                <wp:anchor distT="0" distB="0" distL="114300" distR="114300" simplePos="0" relativeHeight="251664384" behindDoc="1" locked="0" layoutInCell="1" allowOverlap="1">
                  <wp:simplePos x="0" y="0"/>
                  <wp:positionH relativeFrom="column">
                    <wp:posOffset>473075</wp:posOffset>
                  </wp:positionH>
                  <wp:positionV relativeFrom="paragraph">
                    <wp:posOffset>156210</wp:posOffset>
                  </wp:positionV>
                  <wp:extent cx="2352675" cy="2078355"/>
                  <wp:effectExtent l="19050" t="0" r="9525" b="0"/>
                  <wp:wrapTight wrapText="bothSides">
                    <wp:wrapPolygon edited="0">
                      <wp:start x="1749" y="0"/>
                      <wp:lineTo x="1749" y="594"/>
                      <wp:lineTo x="4198" y="3168"/>
                      <wp:lineTo x="-175" y="4158"/>
                      <wp:lineTo x="-175" y="14255"/>
                      <wp:lineTo x="2274" y="15839"/>
                      <wp:lineTo x="4722" y="15839"/>
                      <wp:lineTo x="1574" y="17423"/>
                      <wp:lineTo x="1574" y="18214"/>
                      <wp:lineTo x="4198" y="19006"/>
                      <wp:lineTo x="4023" y="19798"/>
                      <wp:lineTo x="8220" y="21184"/>
                      <wp:lineTo x="12768" y="21382"/>
                      <wp:lineTo x="17490" y="21382"/>
                      <wp:lineTo x="19064" y="21382"/>
                      <wp:lineTo x="21687" y="19798"/>
                      <wp:lineTo x="21687" y="19006"/>
                      <wp:lineTo x="21338" y="0"/>
                      <wp:lineTo x="1749" y="0"/>
                    </wp:wrapPolygon>
                  </wp:wrapTight>
                  <wp:docPr id="24" name="Picture 16" descr="ALL6_A_3x3_T180_MA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6_A_3x3_T180_MAPE.png"/>
                          <pic:cNvPicPr/>
                        </pic:nvPicPr>
                        <pic:blipFill>
                          <a:blip r:embed="rId188" cstate="email">
                            <a:extLst>
                              <a:ext uri="{28A0092B-C50C-407E-A947-70E740481C1C}">
                                <a14:useLocalDpi xmlns:a14="http://schemas.microsoft.com/office/drawing/2010/main"/>
                              </a:ext>
                            </a:extLst>
                          </a:blip>
                          <a:stretch>
                            <a:fillRect/>
                          </a:stretch>
                        </pic:blipFill>
                        <pic:spPr>
                          <a:xfrm>
                            <a:off x="0" y="0"/>
                            <a:ext cx="2352675" cy="2078355"/>
                          </a:xfrm>
                          <a:prstGeom prst="rect">
                            <a:avLst/>
                          </a:prstGeom>
                        </pic:spPr>
                      </pic:pic>
                    </a:graphicData>
                  </a:graphic>
                </wp:anchor>
              </w:drawing>
            </w:r>
          </w:p>
        </w:tc>
        <w:tc>
          <w:tcPr>
            <w:tcW w:w="4678" w:type="dxa"/>
          </w:tcPr>
          <w:p w:rsidR="00125340" w:rsidRPr="00A40CD0" w:rsidRDefault="00125340" w:rsidP="002E0BD6">
            <w:pPr>
              <w:pStyle w:val="BodyText"/>
              <w:rPr>
                <w:noProof/>
                <w:lang w:val="en-US"/>
              </w:rPr>
            </w:pPr>
            <w:r w:rsidRPr="00F42DED">
              <w:rPr>
                <w:noProof/>
                <w:lang w:eastAsia="en-AU"/>
              </w:rPr>
              <w:drawing>
                <wp:anchor distT="0" distB="0" distL="114300" distR="114300" simplePos="0" relativeHeight="251665408" behindDoc="1" locked="0" layoutInCell="1" allowOverlap="1">
                  <wp:simplePos x="0" y="0"/>
                  <wp:positionH relativeFrom="column">
                    <wp:posOffset>98425</wp:posOffset>
                  </wp:positionH>
                  <wp:positionV relativeFrom="paragraph">
                    <wp:posOffset>168910</wp:posOffset>
                  </wp:positionV>
                  <wp:extent cx="2185670" cy="2082800"/>
                  <wp:effectExtent l="19050" t="0" r="5080" b="0"/>
                  <wp:wrapTight wrapText="bothSides">
                    <wp:wrapPolygon edited="0">
                      <wp:start x="1506" y="0"/>
                      <wp:lineTo x="-188" y="1778"/>
                      <wp:lineTo x="-188" y="16595"/>
                      <wp:lineTo x="2071" y="18966"/>
                      <wp:lineTo x="2824" y="18966"/>
                      <wp:lineTo x="2636" y="19756"/>
                      <wp:lineTo x="7154" y="21139"/>
                      <wp:lineTo x="12049" y="21337"/>
                      <wp:lineTo x="17132" y="21337"/>
                      <wp:lineTo x="18826" y="21337"/>
                      <wp:lineTo x="21650" y="19756"/>
                      <wp:lineTo x="21650" y="18966"/>
                      <wp:lineTo x="21274" y="3161"/>
                      <wp:lineTo x="21085" y="198"/>
                      <wp:lineTo x="21085" y="0"/>
                      <wp:lineTo x="1506" y="0"/>
                    </wp:wrapPolygon>
                  </wp:wrapTight>
                  <wp:docPr id="25" name="Picture 16" descr="ALL6_A_3x3_T180_MA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6_A_3x3_T180_MAPE.png"/>
                          <pic:cNvPicPr/>
                        </pic:nvPicPr>
                        <pic:blipFill>
                          <a:blip r:embed="rId189" cstate="email">
                            <a:extLst>
                              <a:ext uri="{28A0092B-C50C-407E-A947-70E740481C1C}">
                                <a14:useLocalDpi xmlns:a14="http://schemas.microsoft.com/office/drawing/2010/main"/>
                              </a:ext>
                            </a:extLst>
                          </a:blip>
                          <a:stretch>
                            <a:fillRect/>
                          </a:stretch>
                        </pic:blipFill>
                        <pic:spPr>
                          <a:xfrm>
                            <a:off x="0" y="0"/>
                            <a:ext cx="2185670" cy="2082800"/>
                          </a:xfrm>
                          <a:prstGeom prst="rect">
                            <a:avLst/>
                          </a:prstGeom>
                        </pic:spPr>
                      </pic:pic>
                    </a:graphicData>
                  </a:graphic>
                </wp:anchor>
              </w:drawing>
            </w:r>
          </w:p>
        </w:tc>
      </w:tr>
    </w:tbl>
    <w:p w:rsidR="00984679" w:rsidRPr="00A40CD0" w:rsidRDefault="00984679" w:rsidP="00984679">
      <w:pPr>
        <w:pStyle w:val="Caption"/>
      </w:pPr>
      <w:bookmarkStart w:id="610" w:name="_Ref213821050"/>
      <w:bookmarkStart w:id="611" w:name="_Toc228588375"/>
      <w:bookmarkStart w:id="612" w:name="_Toc399265080"/>
      <w:r w:rsidRPr="00A40CD0">
        <w:t xml:space="preserve">Figure </w:t>
      </w:r>
      <w:fldSimple w:instr=" SEQ Figure \* ARABIC ">
        <w:r w:rsidR="00B11F3B">
          <w:rPr>
            <w:noProof/>
          </w:rPr>
          <w:t>94</w:t>
        </w:r>
      </w:fldSimple>
      <w:bookmarkEnd w:id="610"/>
      <w:r w:rsidRPr="00A40CD0">
        <w:t xml:space="preserve">: By comparison with </w:t>
      </w:r>
      <w:r w:rsidRPr="00A40CD0">
        <w:rPr>
          <w:i/>
        </w:rPr>
        <w:t>in-situ</w:t>
      </w:r>
      <w:r w:rsidRPr="00A40CD0">
        <w:t xml:space="preserve"> reflectance measurements derived spectral slopes of RMSE (left) and MAPE (right) for the MODIS standard Level2 product generated with SeaDAS v</w:t>
      </w:r>
      <w:r w:rsidR="00635EEC">
        <w:t xml:space="preserve">6.1 </w:t>
      </w:r>
      <w:r w:rsidRPr="00A40CD0">
        <w:t xml:space="preserve">and </w:t>
      </w:r>
      <w:r w:rsidR="00635EEC">
        <w:t>the proposed ANN algorithm</w:t>
      </w:r>
      <w:r w:rsidRPr="00A40CD0">
        <w:t>.</w:t>
      </w:r>
      <w:bookmarkEnd w:id="611"/>
      <w:bookmarkEnd w:id="612"/>
    </w:p>
    <w:p w:rsidR="00125340" w:rsidRPr="00A40CD0" w:rsidRDefault="00125340" w:rsidP="002E0BD6">
      <w:pPr>
        <w:pStyle w:val="BodyText"/>
      </w:pPr>
      <w:r>
        <w:t xml:space="preserve">Selected match-up spectra over the GBR region are presented in </w:t>
      </w:r>
      <w:r w:rsidR="008A285B">
        <w:fldChar w:fldCharType="begin"/>
      </w:r>
      <w:r w:rsidR="008A285B">
        <w:instrText xml:space="preserve"> REF _Ref213820897 \h  \* MERGEFORMAT </w:instrText>
      </w:r>
      <w:r w:rsidR="008A285B">
        <w:fldChar w:fldCharType="separate"/>
      </w:r>
      <w:r w:rsidR="00B11F3B" w:rsidRPr="00A40CD0">
        <w:t xml:space="preserve">Figure </w:t>
      </w:r>
      <w:r w:rsidR="00B11F3B">
        <w:t>95</w:t>
      </w:r>
      <w:r w:rsidR="008A285B">
        <w:fldChar w:fldCharType="end"/>
      </w:r>
      <w:r w:rsidRPr="00A40CD0">
        <w:t xml:space="preserve"> </w:t>
      </w:r>
      <w:r>
        <w:t xml:space="preserve">for waters with different turbidity levels. The NIR, SWIR and NISW methods generally underestimate the in-situ observations and in one instance atmospheric correction failure can be observed for the SWIR method retrieving negative values. </w:t>
      </w:r>
    </w:p>
    <w:p w:rsidR="00B25CAA" w:rsidRDefault="00B25CAA" w:rsidP="0013662C"/>
    <w:p w:rsidR="00F1415C" w:rsidRDefault="00F1415C" w:rsidP="0013662C"/>
    <w:p w:rsidR="00F1415C" w:rsidRDefault="00F1415C" w:rsidP="0013662C"/>
    <w:p w:rsidR="00F1415C" w:rsidRPr="00A40CD0" w:rsidRDefault="00F1415C" w:rsidP="0013662C"/>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4948"/>
      </w:tblGrid>
      <w:tr w:rsidR="00125340" w:rsidTr="00125340">
        <w:tc>
          <w:tcPr>
            <w:tcW w:w="4338" w:type="dxa"/>
          </w:tcPr>
          <w:p w:rsidR="00125340" w:rsidRDefault="00125340" w:rsidP="002E0BD6">
            <w:pPr>
              <w:pStyle w:val="BodyText"/>
            </w:pPr>
            <w:r>
              <w:rPr>
                <w:noProof/>
                <w:lang w:eastAsia="en-AU"/>
              </w:rPr>
              <w:lastRenderedPageBreak/>
              <w:drawing>
                <wp:anchor distT="0" distB="0" distL="114300" distR="114300" simplePos="0" relativeHeight="251672576" behindDoc="1" locked="0" layoutInCell="1" allowOverlap="1">
                  <wp:simplePos x="0" y="0"/>
                  <wp:positionH relativeFrom="column">
                    <wp:posOffset>368935</wp:posOffset>
                  </wp:positionH>
                  <wp:positionV relativeFrom="paragraph">
                    <wp:posOffset>74930</wp:posOffset>
                  </wp:positionV>
                  <wp:extent cx="2171065" cy="2251710"/>
                  <wp:effectExtent l="19050" t="0" r="635" b="0"/>
                  <wp:wrapTight wrapText="bothSides">
                    <wp:wrapPolygon edited="0">
                      <wp:start x="-190" y="0"/>
                      <wp:lineTo x="-190" y="21381"/>
                      <wp:lineTo x="21606" y="21381"/>
                      <wp:lineTo x="21606" y="0"/>
                      <wp:lineTo x="-190" y="0"/>
                    </wp:wrapPolygon>
                  </wp:wrapTight>
                  <wp:docPr id="35" name="Picture 34" descr="MYDL2.A2007263.0407_20070920_03.28_00.98_0_0_09_3x3_RGB_ILO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DL2.A2007263.0407_20070920_03.28_00.98_0_0_09_3x3_RGB_ILOC.jpg"/>
                          <pic:cNvPicPr/>
                        </pic:nvPicPr>
                        <pic:blipFill>
                          <a:blip r:embed="rId190" cstate="email">
                            <a:extLst>
                              <a:ext uri="{28A0092B-C50C-407E-A947-70E740481C1C}">
                                <a14:useLocalDpi xmlns:a14="http://schemas.microsoft.com/office/drawing/2010/main"/>
                              </a:ext>
                            </a:extLst>
                          </a:blip>
                          <a:stretch>
                            <a:fillRect/>
                          </a:stretch>
                        </pic:blipFill>
                        <pic:spPr>
                          <a:xfrm>
                            <a:off x="0" y="0"/>
                            <a:ext cx="2171065" cy="2251710"/>
                          </a:xfrm>
                          <a:prstGeom prst="rect">
                            <a:avLst/>
                          </a:prstGeom>
                        </pic:spPr>
                      </pic:pic>
                    </a:graphicData>
                  </a:graphic>
                </wp:anchor>
              </w:drawing>
            </w:r>
          </w:p>
        </w:tc>
        <w:tc>
          <w:tcPr>
            <w:tcW w:w="4948" w:type="dxa"/>
          </w:tcPr>
          <w:p w:rsidR="00125340" w:rsidRDefault="00125340" w:rsidP="002E0BD6">
            <w:pPr>
              <w:pStyle w:val="BodyText"/>
            </w:pPr>
            <w:r>
              <w:rPr>
                <w:noProof/>
                <w:lang w:eastAsia="en-AU"/>
              </w:rPr>
              <w:drawing>
                <wp:anchor distT="0" distB="0" distL="114300" distR="114300" simplePos="0" relativeHeight="251669504" behindDoc="1" locked="0" layoutInCell="1" allowOverlap="1">
                  <wp:simplePos x="0" y="0"/>
                  <wp:positionH relativeFrom="column">
                    <wp:posOffset>-50800</wp:posOffset>
                  </wp:positionH>
                  <wp:positionV relativeFrom="paragraph">
                    <wp:posOffset>195580</wp:posOffset>
                  </wp:positionV>
                  <wp:extent cx="2444115" cy="2221865"/>
                  <wp:effectExtent l="19050" t="0" r="0" b="0"/>
                  <wp:wrapTight wrapText="bothSides">
                    <wp:wrapPolygon edited="0">
                      <wp:start x="1852" y="0"/>
                      <wp:lineTo x="1852" y="556"/>
                      <wp:lineTo x="3704" y="2963"/>
                      <wp:lineTo x="2357" y="2963"/>
                      <wp:lineTo x="-168" y="4815"/>
                      <wp:lineTo x="-168" y="12408"/>
                      <wp:lineTo x="1515" y="14816"/>
                      <wp:lineTo x="1515" y="18890"/>
                      <wp:lineTo x="5724" y="20742"/>
                      <wp:lineTo x="8081" y="21298"/>
                      <wp:lineTo x="8923" y="21483"/>
                      <wp:lineTo x="12458" y="21483"/>
                      <wp:lineTo x="17172" y="21483"/>
                      <wp:lineTo x="17341" y="21483"/>
                      <wp:lineTo x="17341" y="20742"/>
                      <wp:lineTo x="21549" y="20186"/>
                      <wp:lineTo x="21549" y="19260"/>
                      <wp:lineTo x="21044" y="0"/>
                      <wp:lineTo x="1852" y="0"/>
                    </wp:wrapPolygon>
                  </wp:wrapTight>
                  <wp:docPr id="68" name="Picture 67" descr="MYDL2_A2007263.0415_+145_-019_+148_-016_ALL6_20070920_03.28_00.98_0_0_09_3x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DL2_A2007263.0415_+145_-019_+148_-016_ALL6_20070920_03.28_00.98_0_0_09_3x3.png"/>
                          <pic:cNvPicPr/>
                        </pic:nvPicPr>
                        <pic:blipFill>
                          <a:blip r:embed="rId191" cstate="email">
                            <a:extLst>
                              <a:ext uri="{28A0092B-C50C-407E-A947-70E740481C1C}">
                                <a14:useLocalDpi xmlns:a14="http://schemas.microsoft.com/office/drawing/2010/main"/>
                              </a:ext>
                            </a:extLst>
                          </a:blip>
                          <a:stretch>
                            <a:fillRect/>
                          </a:stretch>
                        </pic:blipFill>
                        <pic:spPr>
                          <a:xfrm>
                            <a:off x="0" y="0"/>
                            <a:ext cx="2444115" cy="2221865"/>
                          </a:xfrm>
                          <a:prstGeom prst="rect">
                            <a:avLst/>
                          </a:prstGeom>
                        </pic:spPr>
                      </pic:pic>
                    </a:graphicData>
                  </a:graphic>
                </wp:anchor>
              </w:drawing>
            </w:r>
          </w:p>
        </w:tc>
      </w:tr>
      <w:tr w:rsidR="00125340" w:rsidTr="00125340">
        <w:tc>
          <w:tcPr>
            <w:tcW w:w="4338" w:type="dxa"/>
          </w:tcPr>
          <w:p w:rsidR="00125340" w:rsidRDefault="00125340" w:rsidP="002E0BD6">
            <w:pPr>
              <w:pStyle w:val="BodyText"/>
            </w:pPr>
            <w:r w:rsidRPr="00662508">
              <w:rPr>
                <w:noProof/>
                <w:lang w:eastAsia="en-AU"/>
              </w:rPr>
              <w:drawing>
                <wp:anchor distT="0" distB="0" distL="114300" distR="114300" simplePos="0" relativeHeight="251673600" behindDoc="1" locked="0" layoutInCell="1" allowOverlap="1">
                  <wp:simplePos x="0" y="0"/>
                  <wp:positionH relativeFrom="column">
                    <wp:posOffset>386080</wp:posOffset>
                  </wp:positionH>
                  <wp:positionV relativeFrom="paragraph">
                    <wp:posOffset>81280</wp:posOffset>
                  </wp:positionV>
                  <wp:extent cx="2171065" cy="2251710"/>
                  <wp:effectExtent l="19050" t="0" r="635" b="0"/>
                  <wp:wrapTight wrapText="bothSides">
                    <wp:wrapPolygon edited="0">
                      <wp:start x="-190" y="0"/>
                      <wp:lineTo x="-190" y="21381"/>
                      <wp:lineTo x="21606" y="21381"/>
                      <wp:lineTo x="21606" y="0"/>
                      <wp:lineTo x="-190" y="0"/>
                    </wp:wrapPolygon>
                  </wp:wrapTight>
                  <wp:docPr id="37" name="Picture 34" descr="MYDL2.A2007263.0407_20070920_03.28_00.98_0_0_09_3x3_RGB_ILO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DL2.A2007263.0407_20070920_03.28_00.98_0_0_09_3x3_RGB_ILOC.jpg"/>
                          <pic:cNvPicPr/>
                        </pic:nvPicPr>
                        <pic:blipFill>
                          <a:blip r:embed="rId192" cstate="email">
                            <a:extLst>
                              <a:ext uri="{28A0092B-C50C-407E-A947-70E740481C1C}">
                                <a14:useLocalDpi xmlns:a14="http://schemas.microsoft.com/office/drawing/2010/main"/>
                              </a:ext>
                            </a:extLst>
                          </a:blip>
                          <a:stretch>
                            <a:fillRect/>
                          </a:stretch>
                        </pic:blipFill>
                        <pic:spPr>
                          <a:xfrm>
                            <a:off x="0" y="0"/>
                            <a:ext cx="2171065" cy="2251710"/>
                          </a:xfrm>
                          <a:prstGeom prst="rect">
                            <a:avLst/>
                          </a:prstGeom>
                        </pic:spPr>
                      </pic:pic>
                    </a:graphicData>
                  </a:graphic>
                </wp:anchor>
              </w:drawing>
            </w:r>
          </w:p>
        </w:tc>
        <w:tc>
          <w:tcPr>
            <w:tcW w:w="4948" w:type="dxa"/>
          </w:tcPr>
          <w:p w:rsidR="00125340" w:rsidRDefault="00125340" w:rsidP="002E0BD6">
            <w:pPr>
              <w:pStyle w:val="BodyText"/>
            </w:pPr>
            <w:r w:rsidRPr="00662508">
              <w:rPr>
                <w:noProof/>
                <w:lang w:eastAsia="en-AU"/>
              </w:rPr>
              <w:drawing>
                <wp:anchor distT="0" distB="0" distL="114300" distR="114300" simplePos="0" relativeHeight="251670528" behindDoc="1" locked="0" layoutInCell="1" allowOverlap="1">
                  <wp:simplePos x="0" y="0"/>
                  <wp:positionH relativeFrom="column">
                    <wp:posOffset>-50800</wp:posOffset>
                  </wp:positionH>
                  <wp:positionV relativeFrom="paragraph">
                    <wp:posOffset>202565</wp:posOffset>
                  </wp:positionV>
                  <wp:extent cx="2444115" cy="2221865"/>
                  <wp:effectExtent l="19050" t="0" r="0" b="0"/>
                  <wp:wrapTight wrapText="bothSides">
                    <wp:wrapPolygon edited="0">
                      <wp:start x="1852" y="0"/>
                      <wp:lineTo x="1852" y="556"/>
                      <wp:lineTo x="3704" y="2963"/>
                      <wp:lineTo x="-168" y="5741"/>
                      <wp:lineTo x="-168" y="12779"/>
                      <wp:lineTo x="2862" y="14816"/>
                      <wp:lineTo x="4209" y="14816"/>
                      <wp:lineTo x="1515" y="17779"/>
                      <wp:lineTo x="1515" y="18890"/>
                      <wp:lineTo x="5724" y="20742"/>
                      <wp:lineTo x="8081" y="21298"/>
                      <wp:lineTo x="8923" y="21483"/>
                      <wp:lineTo x="12458" y="21483"/>
                      <wp:lineTo x="17172" y="21483"/>
                      <wp:lineTo x="17341" y="21483"/>
                      <wp:lineTo x="17341" y="20742"/>
                      <wp:lineTo x="21549" y="20186"/>
                      <wp:lineTo x="21549" y="19260"/>
                      <wp:lineTo x="21044" y="0"/>
                      <wp:lineTo x="1852" y="0"/>
                    </wp:wrapPolygon>
                  </wp:wrapTight>
                  <wp:docPr id="76" name="Picture 67" descr="MYDL2_A2007263.0415_+145_-019_+148_-016_ALL6_20070920_03.28_00.98_0_0_09_3x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DL2_A2007263.0415_+145_-019_+148_-016_ALL6_20070920_03.28_00.98_0_0_09_3x3.png"/>
                          <pic:cNvPicPr/>
                        </pic:nvPicPr>
                        <pic:blipFill>
                          <a:blip r:embed="rId193" cstate="email">
                            <a:extLst>
                              <a:ext uri="{28A0092B-C50C-407E-A947-70E740481C1C}">
                                <a14:useLocalDpi xmlns:a14="http://schemas.microsoft.com/office/drawing/2010/main"/>
                              </a:ext>
                            </a:extLst>
                          </a:blip>
                          <a:stretch>
                            <a:fillRect/>
                          </a:stretch>
                        </pic:blipFill>
                        <pic:spPr>
                          <a:xfrm>
                            <a:off x="0" y="0"/>
                            <a:ext cx="2444115" cy="2221865"/>
                          </a:xfrm>
                          <a:prstGeom prst="rect">
                            <a:avLst/>
                          </a:prstGeom>
                        </pic:spPr>
                      </pic:pic>
                    </a:graphicData>
                  </a:graphic>
                </wp:anchor>
              </w:drawing>
            </w:r>
          </w:p>
        </w:tc>
      </w:tr>
      <w:tr w:rsidR="00125340" w:rsidTr="00125340">
        <w:tc>
          <w:tcPr>
            <w:tcW w:w="4338" w:type="dxa"/>
          </w:tcPr>
          <w:p w:rsidR="00125340" w:rsidRDefault="00125340" w:rsidP="002E0BD6">
            <w:pPr>
              <w:pStyle w:val="BodyText"/>
            </w:pPr>
            <w:r w:rsidRPr="00662508">
              <w:rPr>
                <w:noProof/>
                <w:lang w:eastAsia="en-AU"/>
              </w:rPr>
              <w:drawing>
                <wp:anchor distT="0" distB="0" distL="114300" distR="114300" simplePos="0" relativeHeight="251674624" behindDoc="1" locked="0" layoutInCell="1" allowOverlap="1">
                  <wp:simplePos x="0" y="0"/>
                  <wp:positionH relativeFrom="column">
                    <wp:posOffset>386080</wp:posOffset>
                  </wp:positionH>
                  <wp:positionV relativeFrom="paragraph">
                    <wp:posOffset>81280</wp:posOffset>
                  </wp:positionV>
                  <wp:extent cx="2171065" cy="2251710"/>
                  <wp:effectExtent l="19050" t="0" r="635" b="0"/>
                  <wp:wrapTight wrapText="bothSides">
                    <wp:wrapPolygon edited="0">
                      <wp:start x="-190" y="0"/>
                      <wp:lineTo x="-190" y="21381"/>
                      <wp:lineTo x="21606" y="21381"/>
                      <wp:lineTo x="21606" y="0"/>
                      <wp:lineTo x="-190" y="0"/>
                    </wp:wrapPolygon>
                  </wp:wrapTight>
                  <wp:docPr id="42" name="Picture 34" descr="MYDL2.A2007263.0407_20070920_03.28_00.98_0_0_09_3x3_RGB_ILO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DL2.A2007263.0407_20070920_03.28_00.98_0_0_09_3x3_RGB_ILOC.jpg"/>
                          <pic:cNvPicPr/>
                        </pic:nvPicPr>
                        <pic:blipFill>
                          <a:blip r:embed="rId194" cstate="email">
                            <a:extLst>
                              <a:ext uri="{28A0092B-C50C-407E-A947-70E740481C1C}">
                                <a14:useLocalDpi xmlns:a14="http://schemas.microsoft.com/office/drawing/2010/main"/>
                              </a:ext>
                            </a:extLst>
                          </a:blip>
                          <a:stretch>
                            <a:fillRect/>
                          </a:stretch>
                        </pic:blipFill>
                        <pic:spPr>
                          <a:xfrm>
                            <a:off x="0" y="0"/>
                            <a:ext cx="2171065" cy="2251710"/>
                          </a:xfrm>
                          <a:prstGeom prst="rect">
                            <a:avLst/>
                          </a:prstGeom>
                        </pic:spPr>
                      </pic:pic>
                    </a:graphicData>
                  </a:graphic>
                </wp:anchor>
              </w:drawing>
            </w:r>
          </w:p>
        </w:tc>
        <w:tc>
          <w:tcPr>
            <w:tcW w:w="4948" w:type="dxa"/>
          </w:tcPr>
          <w:p w:rsidR="00125340" w:rsidRDefault="00125340" w:rsidP="002E0BD6">
            <w:pPr>
              <w:pStyle w:val="BodyText"/>
            </w:pPr>
          </w:p>
          <w:p w:rsidR="00125340" w:rsidRPr="00662508" w:rsidRDefault="00125340" w:rsidP="00125340">
            <w:pPr>
              <w:pStyle w:val="BodyText1"/>
              <w:rPr>
                <w:lang w:eastAsia="en-US"/>
              </w:rPr>
            </w:pPr>
            <w:r>
              <w:rPr>
                <w:noProof/>
              </w:rPr>
              <w:drawing>
                <wp:anchor distT="0" distB="0" distL="114300" distR="114300" simplePos="0" relativeHeight="251671552" behindDoc="1" locked="0" layoutInCell="1" allowOverlap="1">
                  <wp:simplePos x="0" y="0"/>
                  <wp:positionH relativeFrom="column">
                    <wp:posOffset>-51435</wp:posOffset>
                  </wp:positionH>
                  <wp:positionV relativeFrom="paragraph">
                    <wp:posOffset>-118110</wp:posOffset>
                  </wp:positionV>
                  <wp:extent cx="2444115" cy="2221865"/>
                  <wp:effectExtent l="19050" t="0" r="0" b="0"/>
                  <wp:wrapTight wrapText="bothSides">
                    <wp:wrapPolygon edited="0">
                      <wp:start x="1852" y="0"/>
                      <wp:lineTo x="1852" y="556"/>
                      <wp:lineTo x="3704" y="2963"/>
                      <wp:lineTo x="2357" y="2963"/>
                      <wp:lineTo x="-168" y="4815"/>
                      <wp:lineTo x="-168" y="12408"/>
                      <wp:lineTo x="1515" y="14816"/>
                      <wp:lineTo x="1515" y="18890"/>
                      <wp:lineTo x="5724" y="20742"/>
                      <wp:lineTo x="8081" y="21298"/>
                      <wp:lineTo x="8923" y="21483"/>
                      <wp:lineTo x="12458" y="21483"/>
                      <wp:lineTo x="17172" y="21483"/>
                      <wp:lineTo x="17341" y="21483"/>
                      <wp:lineTo x="17341" y="20742"/>
                      <wp:lineTo x="21549" y="20186"/>
                      <wp:lineTo x="21549" y="19260"/>
                      <wp:lineTo x="21044" y="0"/>
                      <wp:lineTo x="1852" y="0"/>
                    </wp:wrapPolygon>
                  </wp:wrapTight>
                  <wp:docPr id="77" name="Picture 67" descr="MYDL2_A2007263.0415_+145_-019_+148_-016_ALL6_20070920_03.28_00.98_0_0_09_3x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DL2_A2007263.0415_+145_-019_+148_-016_ALL6_20070920_03.28_00.98_0_0_09_3x3.png"/>
                          <pic:cNvPicPr/>
                        </pic:nvPicPr>
                        <pic:blipFill>
                          <a:blip r:embed="rId195" cstate="email">
                            <a:extLst>
                              <a:ext uri="{28A0092B-C50C-407E-A947-70E740481C1C}">
                                <a14:useLocalDpi xmlns:a14="http://schemas.microsoft.com/office/drawing/2010/main"/>
                              </a:ext>
                            </a:extLst>
                          </a:blip>
                          <a:stretch>
                            <a:fillRect/>
                          </a:stretch>
                        </pic:blipFill>
                        <pic:spPr>
                          <a:xfrm>
                            <a:off x="0" y="0"/>
                            <a:ext cx="2444115" cy="2221865"/>
                          </a:xfrm>
                          <a:prstGeom prst="rect">
                            <a:avLst/>
                          </a:prstGeom>
                        </pic:spPr>
                      </pic:pic>
                    </a:graphicData>
                  </a:graphic>
                </wp:anchor>
              </w:drawing>
            </w:r>
          </w:p>
        </w:tc>
      </w:tr>
    </w:tbl>
    <w:p w:rsidR="00B25CAA" w:rsidRDefault="00B25CAA" w:rsidP="004F4DDE">
      <w:pPr>
        <w:pStyle w:val="Caption"/>
      </w:pPr>
      <w:bookmarkStart w:id="613" w:name="_Ref213820897"/>
      <w:bookmarkStart w:id="614" w:name="_Toc228588376"/>
      <w:bookmarkStart w:id="615" w:name="_Toc399265081"/>
      <w:r w:rsidRPr="00A40CD0">
        <w:t xml:space="preserve">Figure </w:t>
      </w:r>
      <w:fldSimple w:instr=" SEQ Figure \* ARABIC ">
        <w:r w:rsidR="00B11F3B">
          <w:rPr>
            <w:noProof/>
          </w:rPr>
          <w:t>95</w:t>
        </w:r>
      </w:fldSimple>
      <w:bookmarkEnd w:id="613"/>
      <w:r w:rsidRPr="00A40CD0">
        <w:t xml:space="preserve">: </w:t>
      </w:r>
      <w:bookmarkEnd w:id="614"/>
      <w:r w:rsidR="00125340">
        <w:t>Selected in-situ (black) and associated atmospherically corrected spectra for illustrating the performance of the ANN and SeaDAS v6.1 implemented atmospheric correction methods over the GBR</w:t>
      </w:r>
      <w:r w:rsidR="00125340" w:rsidRPr="00A40CD0">
        <w:t>.</w:t>
      </w:r>
      <w:bookmarkEnd w:id="615"/>
    </w:p>
    <w:p w:rsidR="00125340" w:rsidRPr="00A40CD0" w:rsidRDefault="00125340" w:rsidP="002E0BD6">
      <w:pPr>
        <w:pStyle w:val="BodyText"/>
      </w:pPr>
      <w:r>
        <w:t>Recently the performance of CSIRO’s ANN algorithm was compared to the SWIR, NISW and NIR methods based a different validation data set from Aeronet-</w:t>
      </w:r>
      <w:r w:rsidRPr="00E65D77">
        <w:t xml:space="preserve">OC </w:t>
      </w:r>
      <w:r w:rsidR="00EA2F38">
        <w:fldChar w:fldCharType="begin"/>
      </w:r>
      <w:r w:rsidR="00AC2F22">
        <w:instrText xml:space="preserve"> ADDIN EN.CITE &lt;EndNote&gt;&lt;Cite&gt;&lt;Author&gt;Goyens&lt;/Author&gt;&lt;Year&gt;2013&lt;/Year&gt;&lt;RecNum&gt;4692&lt;/RecNum&gt;&lt;DisplayText&gt;(Goyens et al. 2013)&lt;/DisplayText&gt;&lt;record&gt;&lt;rec-number&gt;4692&lt;/rec-number&gt;&lt;foreign-keys&gt;&lt;key app="EN" db-id="z0vwsaa0gfvsr1e2sr7p90rtdtevf52r2we9"&gt;4692&lt;/key&gt;&lt;/foreign-keys&gt;&lt;ref-type name="Journal Article"&gt;17&lt;/ref-type&gt;&lt;contributors&gt;&lt;authors&gt;&lt;author&gt;Goyens, C.&lt;/author&gt;&lt;author&gt;Jamet, C.&lt;/author&gt;&lt;author&gt;Schroeder, T.&lt;/author&gt;&lt;/authors&gt;&lt;/contributors&gt;&lt;titles&gt;&lt;title&gt;Evaluation of four atmospheric correction algorithms for MODIS-Aqua images over contrasted coastal waters&lt;/title&gt;&lt;secondary-title&gt;Remote Sensing of Environment&lt;/secondary-title&gt;&lt;/titles&gt;&lt;periodical&gt;&lt;full-title&gt;Remote Sensing of Environment&lt;/full-title&gt;&lt;/periodical&gt;&lt;pages&gt;63-75&lt;/pages&gt;&lt;volume&gt;131&lt;/volume&gt;&lt;number&gt;0&lt;/number&gt;&lt;keywords&gt;&lt;keyword&gt;MODIS-Aqua&lt;/keyword&gt;&lt;keyword&gt;Ocean color&lt;/keyword&gt;&lt;keyword&gt;Atmospheric correction&lt;/keyword&gt;&lt;keyword&gt;Turbid water&lt;/keyword&gt;&lt;keyword&gt;Validation&lt;/keyword&gt;&lt;keyword&gt;Classification&lt;/keyword&gt;&lt;/keywords&gt;&lt;dates&gt;&lt;year&gt;2013&lt;/year&gt;&lt;pub-dates&gt;&lt;date&gt;4/15/&lt;/date&gt;&lt;/pub-dates&gt;&lt;/dates&gt;&lt;isbn&gt;0034-4257&lt;/isbn&gt;&lt;urls&gt;&lt;related-urls&gt;&lt;url&gt;http://www.sciencedirect.com/science/article/pii/S0034425712004725&lt;/url&gt;&lt;/related-urls&gt;&lt;/urls&gt;&lt;electronic-resource-num&gt;http://dx.doi.org/10.1016/j.rse.2012.12.006&lt;/electronic-resource-num&gt;&lt;/record&gt;&lt;/Cite&gt;&lt;/EndNote&gt;</w:instrText>
      </w:r>
      <w:r w:rsidR="00EA2F38">
        <w:fldChar w:fldCharType="separate"/>
      </w:r>
      <w:r w:rsidR="00AC2F22">
        <w:rPr>
          <w:noProof/>
        </w:rPr>
        <w:t>(</w:t>
      </w:r>
      <w:hyperlink w:anchor="_ENREF_28" w:tooltip="Goyens, 2013 #4692" w:history="1">
        <w:r w:rsidR="007B7C47">
          <w:rPr>
            <w:noProof/>
          </w:rPr>
          <w:t>Goyens et al. 2013</w:t>
        </w:r>
      </w:hyperlink>
      <w:r w:rsidR="00AC2F22">
        <w:rPr>
          <w:noProof/>
        </w:rPr>
        <w:t>)</w:t>
      </w:r>
      <w:r w:rsidR="00EA2F38">
        <w:fldChar w:fldCharType="end"/>
      </w:r>
      <w:r w:rsidRPr="00E65D77">
        <w:t>.</w:t>
      </w:r>
      <w:r>
        <w:t xml:space="preserve"> Using data collected in </w:t>
      </w:r>
      <w:r w:rsidRPr="00946C04">
        <w:t>large diversity of</w:t>
      </w:r>
      <w:r>
        <w:t xml:space="preserve"> coastal</w:t>
      </w:r>
      <w:r w:rsidRPr="00946C04">
        <w:t xml:space="preserve"> water types from moderately turbid waters </w:t>
      </w:r>
      <w:r>
        <w:t xml:space="preserve">to </w:t>
      </w:r>
      <w:r w:rsidRPr="00946C04">
        <w:t>very turbid waters</w:t>
      </w:r>
      <w:r>
        <w:t xml:space="preserve">, this study confirmed the results of </w:t>
      </w:r>
      <w:r w:rsidR="008A285B">
        <w:fldChar w:fldCharType="begin"/>
      </w:r>
      <w:r w:rsidR="008A285B">
        <w:instrText xml:space="preserve"> REF _Ref213820049 \h  \* MERGEFORMAT </w:instrText>
      </w:r>
      <w:r w:rsidR="008A285B">
        <w:fldChar w:fldCharType="separate"/>
      </w:r>
      <w:r w:rsidR="00B11F3B" w:rsidRPr="00A40CD0">
        <w:t xml:space="preserve">Figure </w:t>
      </w:r>
      <w:r w:rsidR="00B11F3B">
        <w:t>93</w:t>
      </w:r>
      <w:r w:rsidR="008A285B">
        <w:fldChar w:fldCharType="end"/>
      </w:r>
      <w:r>
        <w:t xml:space="preserve"> and </w:t>
      </w:r>
      <w:r w:rsidR="008A285B">
        <w:fldChar w:fldCharType="begin"/>
      </w:r>
      <w:r w:rsidR="008A285B">
        <w:instrText xml:space="preserve"> REF _Ref213821050 \h  \* MERGEFORMAT </w:instrText>
      </w:r>
      <w:r w:rsidR="008A285B">
        <w:fldChar w:fldCharType="separate"/>
      </w:r>
      <w:r w:rsidR="00B11F3B" w:rsidRPr="00A40CD0">
        <w:t xml:space="preserve">Figure </w:t>
      </w:r>
      <w:r w:rsidR="00B11F3B">
        <w:t>94</w:t>
      </w:r>
      <w:r w:rsidR="008A285B">
        <w:fldChar w:fldCharType="end"/>
      </w:r>
      <w:r>
        <w:t>: f</w:t>
      </w:r>
      <w:r w:rsidRPr="00774BC1">
        <w:t xml:space="preserve">or water masses mainly influenced by </w:t>
      </w:r>
      <w:r w:rsidRPr="00774BC1">
        <w:lastRenderedPageBreak/>
        <w:t xml:space="preserve">detrital and mineral material the </w:t>
      </w:r>
      <w:r>
        <w:t>CSIRO’s A</w:t>
      </w:r>
      <w:r w:rsidRPr="00774BC1">
        <w:t>NN algorithm performed the bes</w:t>
      </w:r>
      <w:r>
        <w:t xml:space="preserve">t at all wavelengths. </w:t>
      </w:r>
      <w:r w:rsidRPr="00A40CD0">
        <w:t xml:space="preserve">Future work for the validation of the atmospheric correction scheme </w:t>
      </w:r>
      <w:r>
        <w:t xml:space="preserve">in the GBR </w:t>
      </w:r>
      <w:r w:rsidRPr="00A40CD0">
        <w:t>will rely on the match</w:t>
      </w:r>
      <w:r>
        <w:t>-</w:t>
      </w:r>
      <w:r w:rsidRPr="00A40CD0">
        <w:t>up analysis of the normalized water-leaving radiances data-stream acquired on a daily basis at the Lucinda Jetty Coastal Observatory (LJCO).</w:t>
      </w:r>
    </w:p>
    <w:p w:rsidR="00125340" w:rsidRPr="00125340" w:rsidRDefault="00125340" w:rsidP="00125340"/>
    <w:p w:rsidR="00B25CAA" w:rsidRPr="00A40CD0" w:rsidRDefault="00B25CAA" w:rsidP="007E294B">
      <w:pPr>
        <w:pStyle w:val="Heading2"/>
      </w:pPr>
      <w:bookmarkStart w:id="616" w:name="_Toc228588215"/>
      <w:bookmarkStart w:id="617" w:name="_Toc399264920"/>
      <w:r w:rsidRPr="00A40CD0">
        <w:t>Optical water quality retrieval</w:t>
      </w:r>
      <w:bookmarkEnd w:id="616"/>
      <w:bookmarkEnd w:id="617"/>
    </w:p>
    <w:p w:rsidR="00C51D2F" w:rsidRDefault="00C51D2F" w:rsidP="002E0BD6">
      <w:pPr>
        <w:pStyle w:val="BodyText"/>
      </w:pPr>
      <w:r>
        <w:t xml:space="preserve">Previous studies in the GBR have shown that the spatial and temporal variability in the composition and concentration of particulate and dissolved matter is translated into significant variability in the shape and amplitude factors controlling the inherent optical properties (IOP) of water masses (Oubelkheir et al. 2006; Blondeau-Patissier et al., 2009). </w:t>
      </w:r>
    </w:p>
    <w:p w:rsidR="00C51D2F" w:rsidRDefault="00C51D2F" w:rsidP="002E0BD6">
      <w:pPr>
        <w:pStyle w:val="BodyText"/>
      </w:pPr>
      <w:r>
        <w:t xml:space="preserve">Furthermore, it has been demonstrated that </w:t>
      </w:r>
      <w:r w:rsidR="00C83410">
        <w:t xml:space="preserve">in the GBR near-shore coastal waters, as in several other coastal systems in the world, </w:t>
      </w:r>
      <w:r>
        <w:t>the NASA standard global Ocean Colour algorithms are inaccurate because of the large variability in IOP spectral shapes (Brando et al. 2006; Qin et al. 2007). These algorithms are work well for open ocean waters but have not been designed for optically comple</w:t>
      </w:r>
      <w:r w:rsidR="00C83410">
        <w:t>x coastal waters (IOCCG, 2000).</w:t>
      </w:r>
    </w:p>
    <w:p w:rsidR="00B25CAA" w:rsidRPr="00A40CD0" w:rsidRDefault="00B25CAA" w:rsidP="002E0BD6">
      <w:pPr>
        <w:pStyle w:val="BodyText"/>
      </w:pPr>
      <w:r w:rsidRPr="00A40CD0">
        <w:t xml:space="preserve">The accuracy of CHL retrieval for the seven </w:t>
      </w:r>
      <w:r w:rsidR="00C51D2F" w:rsidRPr="00A40CD0">
        <w:t xml:space="preserve">NASA global CHL algorithms implemented in SeaDAS </w:t>
      </w:r>
      <w:r w:rsidRPr="00A40CD0">
        <w:t xml:space="preserve">generally degraded rapidly with increasing CDOM and </w:t>
      </w:r>
      <w:r w:rsidR="00D55147" w:rsidRPr="00A40CD0">
        <w:t>NAP concentrations</w:t>
      </w:r>
      <w:r w:rsidRPr="00A40CD0">
        <w:t xml:space="preserve"> </w:t>
      </w:r>
      <w:r w:rsidR="00EA2F38" w:rsidRPr="00A40CD0">
        <w:fldChar w:fldCharType="begin"/>
      </w:r>
      <w:r w:rsidR="00AC2F22">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006D110A">
        <w:t>. The level of disagreement wa</w:t>
      </w:r>
      <w:r w:rsidRPr="00A40CD0">
        <w:t>s at least twofold for CHL concentrations above 2 µg L</w:t>
      </w:r>
      <w:r w:rsidRPr="00A40CD0">
        <w:rPr>
          <w:vertAlign w:val="superscript"/>
        </w:rPr>
        <w:t>-1</w:t>
      </w:r>
      <w:r w:rsidRPr="00A40CD0">
        <w:t xml:space="preserve">. The gsm01 </w:t>
      </w:r>
      <w:r w:rsidR="00EA2F38" w:rsidRPr="00A40CD0">
        <w:fldChar w:fldCharType="begin"/>
      </w:r>
      <w:r w:rsidR="00AC2F22">
        <w:instrText xml:space="preserve"> ADDIN EN.CITE &lt;EndNote&gt;&lt;Cite&gt;&lt;Author&gt;Maritorena&lt;/Author&gt;&lt;Year&gt;2002&lt;/Year&gt;&lt;RecNum&gt;4157&lt;/RecNum&gt;&lt;DisplayText&gt;(Maritorena et al. 2002)&lt;/DisplayText&gt;&lt;record&gt;&lt;rec-number&gt;4157&lt;/rec-number&gt;&lt;foreign-keys&gt;&lt;key app="EN" db-id="z0vwsaa0gfvsr1e2sr7p90rtdtevf52r2we9"&gt;4157&lt;/key&gt;&lt;/foreign-keys&gt;&lt;ref-type name="Journal Article"&gt;17&lt;/ref-type&gt;&lt;contributors&gt;&lt;authors&gt;&lt;author&gt;Maritorena, S.&lt;/author&gt;&lt;author&gt;Siegel, D.A.&lt;/author&gt;&lt;author&gt;Peterson, A.R.&lt;/author&gt;&lt;/authors&gt;&lt;/contributors&gt;&lt;titles&gt;&lt;title&gt;Optimization of a semianalytical ocean color model for global-scale applications&lt;/title&gt;&lt;secondary-title&gt;Appl.Opt.&lt;/secondary-title&gt;&lt;/titles&gt;&lt;periodical&gt;&lt;full-title&gt;Appl.Opt.&lt;/full-title&gt;&lt;/periodical&gt;&lt;pages&gt;2705-2714&lt;/pages&gt;&lt;volume&gt;41&lt;/volume&gt;&lt;dates&gt;&lt;year&gt;2002&lt;/year&gt;&lt;/dates&gt;&lt;urls&gt;&lt;/urls&gt;&lt;electronic-resource-num&gt;doi:10.1364/AO.41.002705&lt;/electronic-resource-num&gt;&lt;/record&gt;&lt;/Cite&gt;&lt;/EndNote&gt;</w:instrText>
      </w:r>
      <w:r w:rsidR="00EA2F38" w:rsidRPr="00A40CD0">
        <w:fldChar w:fldCharType="separate"/>
      </w:r>
      <w:r w:rsidR="00AC2F22">
        <w:rPr>
          <w:noProof/>
        </w:rPr>
        <w:t>(</w:t>
      </w:r>
      <w:hyperlink w:anchor="_ENREF_36" w:tooltip="Maritorena, 2002 #4157" w:history="1">
        <w:r w:rsidR="007B7C47">
          <w:rPr>
            <w:noProof/>
          </w:rPr>
          <w:t>Maritorena et al. 2002</w:t>
        </w:r>
      </w:hyperlink>
      <w:r w:rsidR="00AC2F22">
        <w:rPr>
          <w:noProof/>
        </w:rPr>
        <w:t>)</w:t>
      </w:r>
      <w:r w:rsidR="00EA2F38" w:rsidRPr="00A40CD0">
        <w:fldChar w:fldCharType="end"/>
      </w:r>
      <w:r w:rsidRPr="00A40CD0">
        <w:t xml:space="preserve"> algorithm was shown to work relatively better in the widest range of CDOM and NAP concentrations, while the Carder </w:t>
      </w:r>
      <w:r w:rsidR="00EA2F38" w:rsidRPr="00A40CD0">
        <w:fldChar w:fldCharType="begin"/>
      </w:r>
      <w:r w:rsidR="00AC2F22">
        <w:instrText xml:space="preserve"> ADDIN EN.CITE &lt;EndNote&gt;&lt;Cite&gt;&lt;Author&gt;Carder&lt;/Author&gt;&lt;Year&gt;2003&lt;/Year&gt;&lt;RecNum&gt;4158&lt;/RecNum&gt;&lt;DisplayText&gt;(Carder et al. 2003)&lt;/DisplayText&gt;&lt;record&gt;&lt;rec-number&gt;4158&lt;/rec-number&gt;&lt;foreign-keys&gt;&lt;key app="EN" db-id="z0vwsaa0gfvsr1e2sr7p90rtdtevf52r2we9"&gt;4158&lt;/key&gt;&lt;/foreign-keys&gt;&lt;ref-type name="Report"&gt;27&lt;/ref-type&gt;&lt;contributors&gt;&lt;authors&gt;&lt;author&gt;Carder, K.L.&lt;/author&gt;&lt;author&gt;Chen, F.R.&lt;/author&gt;&lt;author&gt;Lee, Z.&lt;/author&gt;&lt;author&gt;Hawes, S.K.&lt;/author&gt;&lt;author&gt;Cannizzaro, J.P.&lt;/author&gt;&lt;/authors&gt;&lt;/contributors&gt;&lt;titles&gt;&lt;title&gt;MODIS Algorithm Theoretical Basis Document ATBD 19&lt;/title&gt;&lt;/titles&gt;&lt;pages&gt;67pp&lt;/pages&gt;&lt;dates&gt;&lt;year&gt;2003&lt;/year&gt;&lt;/dates&gt;&lt;urls&gt;&lt;/urls&gt;&lt;/record&gt;&lt;/Cite&gt;&lt;/EndNote&gt;</w:instrText>
      </w:r>
      <w:r w:rsidR="00EA2F38" w:rsidRPr="00A40CD0">
        <w:fldChar w:fldCharType="separate"/>
      </w:r>
      <w:r w:rsidR="00AC2F22">
        <w:rPr>
          <w:noProof/>
        </w:rPr>
        <w:t>(</w:t>
      </w:r>
      <w:hyperlink w:anchor="_ENREF_16" w:tooltip="Carder, 2003 #4158" w:history="1">
        <w:r w:rsidR="007B7C47">
          <w:rPr>
            <w:noProof/>
          </w:rPr>
          <w:t>Carder et al. 2003</w:t>
        </w:r>
      </w:hyperlink>
      <w:r w:rsidR="00AC2F22">
        <w:rPr>
          <w:noProof/>
        </w:rPr>
        <w:t>)</w:t>
      </w:r>
      <w:r w:rsidR="00EA2F38" w:rsidRPr="00A40CD0">
        <w:fldChar w:fldCharType="end"/>
      </w:r>
      <w:r w:rsidRPr="00A40CD0">
        <w:t xml:space="preserve"> algorithm has the highest accuracy for low CDOM and NAP concentrations. For the retrieval of bulk IOP, Qin et al.</w:t>
      </w:r>
      <w:r w:rsidR="00EA2F38" w:rsidRPr="00A40CD0">
        <w:fldChar w:fldCharType="begin"/>
      </w:r>
      <w:r w:rsidR="00F32695">
        <w:instrText xml:space="preserve"> ADDIN EN.CITE &lt;EndNote&gt;&lt;Cite ExcludeAuth="1"&gt;&lt;Year&gt;2007&lt;/Year&gt;&lt;RecNum&gt;4624&lt;/RecNum&gt;&lt;DisplayText&gt;(2007)&lt;/DisplayText&gt;&lt;record&gt;&lt;rec-number&gt;4624&lt;/rec-number&gt;&lt;foreign-keys&gt;&lt;key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F32695">
        <w:rPr>
          <w:noProof/>
        </w:rPr>
        <w:t>(</w:t>
      </w:r>
      <w:hyperlink w:anchor="_ENREF_39" w:tooltip="Qin, 2007 #4624" w:history="1">
        <w:r w:rsidR="007B7C47">
          <w:rPr>
            <w:noProof/>
          </w:rPr>
          <w:t>2007</w:t>
        </w:r>
      </w:hyperlink>
      <w:r w:rsidR="00F32695">
        <w:rPr>
          <w:noProof/>
        </w:rPr>
        <w:t>)</w:t>
      </w:r>
      <w:r w:rsidR="00EA2F38" w:rsidRPr="00A40CD0">
        <w:fldChar w:fldCharType="end"/>
      </w:r>
      <w:r w:rsidRPr="00A40CD0">
        <w:t xml:space="preserve"> found that the three semi-analytical algorithms Carder, gsm01 and QAA seem unable to break down the total absorption coefficient, a, into its components, a</w:t>
      </w:r>
      <w:r w:rsidRPr="00D55147">
        <w:rPr>
          <w:vertAlign w:val="subscript"/>
        </w:rPr>
        <w:t>ph</w:t>
      </w:r>
      <w:r w:rsidRPr="00A40CD0">
        <w:t xml:space="preserve"> (phytoplankton) and a</w:t>
      </w:r>
      <w:r w:rsidRPr="00D55147">
        <w:rPr>
          <w:vertAlign w:val="subscript"/>
        </w:rPr>
        <w:t>dg</w:t>
      </w:r>
      <w:r w:rsidRPr="00A40CD0">
        <w:t xml:space="preserve"> (CDOM + NAP). This is probably because the three algorithms used a</w:t>
      </w:r>
      <w:r w:rsidRPr="00D55147">
        <w:rPr>
          <w:vertAlign w:val="subscript"/>
        </w:rPr>
        <w:t>dg</w:t>
      </w:r>
      <w:r w:rsidRPr="00A40CD0">
        <w:t xml:space="preserve"> slopes (QAA: 0.015, gsm01: 0.0206 and Carder: 0.0225) that are different</w:t>
      </w:r>
      <w:r w:rsidRPr="00A40CD0" w:rsidDel="002B33D0">
        <w:t xml:space="preserve"> </w:t>
      </w:r>
      <w:r w:rsidRPr="00A40CD0">
        <w:t xml:space="preserve">than the values of </w:t>
      </w:r>
      <w:r w:rsidR="008A285B">
        <w:rPr>
          <w:noProof/>
          <w:lang w:eastAsia="en-AU"/>
        </w:rPr>
        <w:drawing>
          <wp:inline distT="0" distB="0" distL="0" distR="0">
            <wp:extent cx="320040" cy="233680"/>
            <wp:effectExtent l="0" t="0" r="3810" b="0"/>
            <wp:docPr id="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6" cstate="email">
                      <a:extLst>
                        <a:ext uri="{28A0092B-C50C-407E-A947-70E740481C1C}">
                          <a14:useLocalDpi xmlns:a14="http://schemas.microsoft.com/office/drawing/2010/main"/>
                        </a:ext>
                      </a:extLst>
                    </a:blip>
                    <a:srcRect/>
                    <a:stretch>
                      <a:fillRect/>
                    </a:stretch>
                  </pic:blipFill>
                  <pic:spPr bwMode="auto">
                    <a:xfrm>
                      <a:off x="0" y="0"/>
                      <a:ext cx="320040" cy="233680"/>
                    </a:xfrm>
                    <a:prstGeom prst="rect">
                      <a:avLst/>
                    </a:prstGeom>
                    <a:noFill/>
                    <a:ln>
                      <a:noFill/>
                    </a:ln>
                  </pic:spPr>
                </pic:pic>
              </a:graphicData>
            </a:graphic>
          </wp:inline>
        </w:drawing>
      </w:r>
      <w:r w:rsidRPr="00A40CD0">
        <w:t xml:space="preserve"> and </w:t>
      </w:r>
      <w:r w:rsidR="008A285B">
        <w:rPr>
          <w:noProof/>
          <w:lang w:eastAsia="en-AU"/>
        </w:rPr>
        <w:drawing>
          <wp:inline distT="0" distB="0" distL="0" distR="0">
            <wp:extent cx="386080" cy="233680"/>
            <wp:effectExtent l="0" t="0" r="0" b="0"/>
            <wp:docPr id="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7" cstate="email">
                      <a:extLst>
                        <a:ext uri="{28A0092B-C50C-407E-A947-70E740481C1C}">
                          <a14:useLocalDpi xmlns:a14="http://schemas.microsoft.com/office/drawing/2010/main"/>
                        </a:ext>
                      </a:extLst>
                    </a:blip>
                    <a:srcRect/>
                    <a:stretch>
                      <a:fillRect/>
                    </a:stretch>
                  </pic:blipFill>
                  <pic:spPr bwMode="auto">
                    <a:xfrm>
                      <a:off x="0" y="0"/>
                      <a:ext cx="386080" cy="233680"/>
                    </a:xfrm>
                    <a:prstGeom prst="rect">
                      <a:avLst/>
                    </a:prstGeom>
                    <a:noFill/>
                    <a:ln>
                      <a:noFill/>
                    </a:ln>
                  </pic:spPr>
                </pic:pic>
              </a:graphicData>
            </a:graphic>
          </wp:inline>
        </w:drawing>
      </w:r>
      <w:r w:rsidRPr="00A40CD0">
        <w:t xml:space="preserve"> found in the GBR coastal waters. </w:t>
      </w:r>
      <w:r w:rsidR="00EA2F38" w:rsidRPr="00A40CD0">
        <w:fldChar w:fldCharType="begin"/>
      </w:r>
      <w:r w:rsidR="00AC2F22">
        <w:instrText xml:space="preserve"> ADDIN EN.CITE &lt;EndNote&gt;&lt;Cite&gt;&lt;Author&gt;Brando&lt;/Author&gt;&lt;Year&gt;2008&lt;/Year&gt;&lt;RecNum&gt;4159&lt;/RecNum&gt;&lt;DisplayText&gt;(Brando et al. 2008)&lt;/DisplayText&gt;&lt;record&gt;&lt;rec-number&gt;4159&lt;/rec-number&gt;&lt;foreign-keys&gt;&lt;key app="EN" db-id="z0vwsaa0gfvsr1e2sr7p90rtdtevf52r2we9"&gt;4159&lt;/key&gt;&lt;/foreign-keys&gt;&lt;ref-type name="Conference Proceedings"&gt;10&lt;/ref-type&gt;&lt;contributors&gt;&lt;authors&gt;&lt;author&gt;Brando, V.E.&lt;/author&gt;&lt;author&gt;Dekker,  A. G.&lt;/author&gt;&lt;author&gt;Schroeder, Th.&lt;/author&gt;&lt;author&gt;Park, Y.J.&lt;/author&gt;&lt;author&gt;Clementson, L.A&lt;/author&gt;&lt;author&gt;Steven, Andy&lt;/author&gt;&lt;author&gt;Blondeau-Patissier, D.&lt;/author&gt;&lt;/authors&gt;&lt;/contributors&gt;&lt;titles&gt;&lt;title&gt;Satellite retrieval of chlorophyll CDOM and NAP in optically complex waters using a semi-analytical inversion based on specific inherent optical properties. A case study for Great Barrier Reef coastal waters&lt;/title&gt;&lt;secondary-title&gt;Ocean Optics XIX&lt;/secondary-title&gt;&lt;/titles&gt;&lt;pages&gt;0445&lt;/pages&gt;&lt;dates&gt;&lt;year&gt;2008&lt;/year&gt;&lt;/dates&gt;&lt;pub-location&gt;Barga, Italy&lt;/pub-location&gt;&lt;urls&gt;&lt;/urls&gt;&lt;/record&gt;&lt;/Cite&gt;&lt;/EndNote&gt;</w:instrText>
      </w:r>
      <w:r w:rsidR="00EA2F38" w:rsidRPr="00A40CD0">
        <w:fldChar w:fldCharType="separate"/>
      </w:r>
      <w:r w:rsidR="00AC2F22">
        <w:rPr>
          <w:noProof/>
        </w:rPr>
        <w:t>(</w:t>
      </w:r>
      <w:hyperlink w:anchor="_ENREF_7" w:tooltip="Brando, 2008 #4159" w:history="1">
        <w:r w:rsidR="007B7C47">
          <w:rPr>
            <w:noProof/>
          </w:rPr>
          <w:t>Brando et al. 2008</w:t>
        </w:r>
      </w:hyperlink>
      <w:r w:rsidR="00AC2F22">
        <w:rPr>
          <w:noProof/>
        </w:rPr>
        <w:t>)</w:t>
      </w:r>
      <w:r w:rsidR="00EA2F38" w:rsidRPr="00A40CD0">
        <w:fldChar w:fldCharType="end"/>
      </w:r>
      <w:r w:rsidRPr="00A40CD0">
        <w:t xml:space="preserve"> have shown that considerable differences in optical properties and concentrations are found between the dry and wet season for the GBR lagoonal waters.</w:t>
      </w:r>
    </w:p>
    <w:p w:rsidR="009202A6" w:rsidRPr="007E294B" w:rsidRDefault="00B25CAA" w:rsidP="007E294B">
      <w:pPr>
        <w:pStyle w:val="Heading3"/>
      </w:pPr>
      <w:bookmarkStart w:id="618" w:name="_Toc228588216"/>
      <w:bookmarkStart w:id="619" w:name="_Toc399264921"/>
      <w:r w:rsidRPr="007E294B">
        <w:t xml:space="preserve">IOP and concentrations retrieval </w:t>
      </w:r>
      <w:r w:rsidR="002D046E" w:rsidRPr="007E294B">
        <w:t>–</w:t>
      </w:r>
      <w:r w:rsidRPr="007E294B">
        <w:t xml:space="preserve"> </w:t>
      </w:r>
      <w:r w:rsidR="002D046E" w:rsidRPr="007E294B">
        <w:t>a-</w:t>
      </w:r>
      <w:r w:rsidRPr="007E294B">
        <w:t>LMI</w:t>
      </w:r>
      <w:bookmarkEnd w:id="618"/>
      <w:bookmarkEnd w:id="619"/>
    </w:p>
    <w:p w:rsidR="00FE31D7" w:rsidRDefault="00D55147" w:rsidP="002E0BD6">
      <w:pPr>
        <w:pStyle w:val="BodyText"/>
      </w:pPr>
      <w:r w:rsidRPr="00A40CD0">
        <w:t>To i</w:t>
      </w:r>
      <w:r>
        <w:t>mprove the accuracy of CHL, CDOM,</w:t>
      </w:r>
      <w:r w:rsidRPr="00A40CD0">
        <w:t xml:space="preserve"> NAP and IOP estimates from MODIS Aqua data in GBR Lagoon coastal waters, in this project an </w:t>
      </w:r>
      <w:r w:rsidR="002D046E">
        <w:t xml:space="preserve">adaptive implementation </w:t>
      </w:r>
      <w:r w:rsidRPr="00A40CD0">
        <w:t xml:space="preserve">of the Linear Matrix Inversion </w:t>
      </w:r>
      <w:r w:rsidR="00EA2F38" w:rsidRPr="00A40CD0">
        <w:fldChar w:fldCharType="begin"/>
      </w:r>
      <w:r w:rsidR="00F32695">
        <w:instrText xml:space="preserve"> ADDIN EN.CITE &lt;EndNote&gt;&lt;Cite&gt;&lt;Author&gt;Hoge&lt;/Author&gt;&lt;Year&gt;1996&lt;/Year&gt;&lt;RecNum&gt;525&lt;/RecNum&gt;&lt;Prefix&gt;LMI`, &lt;/Prefix&gt;&lt;DisplayText&gt;(LMI, Hoge and Lyon 1996)&lt;/DisplayText&gt;&lt;record&gt;&lt;rec-number&gt;525&lt;/rec-number&gt;&lt;foreign-keys&gt;&lt;key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EA2F38" w:rsidRPr="00A40CD0">
        <w:fldChar w:fldCharType="separate"/>
      </w:r>
      <w:r w:rsidR="00F32695">
        <w:rPr>
          <w:noProof/>
        </w:rPr>
        <w:t>(</w:t>
      </w:r>
      <w:hyperlink w:anchor="_ENREF_29" w:tooltip="Hoge, 1996 #525" w:history="1">
        <w:r w:rsidR="007B7C47">
          <w:rPr>
            <w:noProof/>
          </w:rPr>
          <w:t>LMI, Hoge and Lyon 1996</w:t>
        </w:r>
      </w:hyperlink>
      <w:r w:rsidR="00F32695">
        <w:rPr>
          <w:noProof/>
        </w:rPr>
        <w:t>)</w:t>
      </w:r>
      <w:r w:rsidR="00EA2F38" w:rsidRPr="00A40CD0">
        <w:fldChar w:fldCharType="end"/>
      </w:r>
      <w:r w:rsidRPr="00A40CD0">
        <w:t xml:space="preserve"> was used to incorporate regional and seasonal knowledge of variability in the specific inherent optical properties for concentration, specific light absorption and scattering encountered in GBR coastal waters</w:t>
      </w:r>
      <w:r w:rsidR="006D110A">
        <w:t xml:space="preserve"> (Brando et al., 2010; Brando et al., 2012)</w:t>
      </w:r>
      <w:r w:rsidRPr="00A40CD0">
        <w:t xml:space="preserve">. </w:t>
      </w:r>
      <w:r w:rsidR="00B25CAA" w:rsidRPr="00A40CD0">
        <w:t xml:space="preserve">The </w:t>
      </w:r>
      <w:r w:rsidR="002D046E">
        <w:t xml:space="preserve">adaptive implementation of LMI (a-LMI hereafter) </w:t>
      </w:r>
      <w:bookmarkStart w:id="620" w:name="OLE_LINK8"/>
      <w:bookmarkStart w:id="621" w:name="OLE_LINK9"/>
      <w:r w:rsidR="00D329AD">
        <w:t xml:space="preserve">used in this study </w:t>
      </w:r>
      <w:r w:rsidR="00B25CAA" w:rsidRPr="00A40CD0">
        <w:t xml:space="preserve">estimates simultaneously </w:t>
      </w:r>
      <w:bookmarkEnd w:id="620"/>
      <w:bookmarkEnd w:id="621"/>
      <w:r w:rsidR="00D329AD">
        <w:t xml:space="preserve">the </w:t>
      </w:r>
      <w:r w:rsidR="006D110A">
        <w:t xml:space="preserve">IOPs and concentrations </w:t>
      </w:r>
      <w:r w:rsidR="00D329AD" w:rsidRPr="00A40CD0">
        <w:t>of chloroph</w:t>
      </w:r>
      <w:r w:rsidR="00D329AD">
        <w:t>yll-a, total suspended sediment and</w:t>
      </w:r>
      <w:r w:rsidR="00D329AD" w:rsidRPr="00A40CD0">
        <w:t xml:space="preserve"> CDOM </w:t>
      </w:r>
      <w:r w:rsidR="006D110A">
        <w:t>from atmospherically corrected spectra</w:t>
      </w:r>
      <w:r w:rsidR="00D329AD">
        <w:t xml:space="preserve"> (Brando et al., 2012).</w:t>
      </w:r>
    </w:p>
    <w:p w:rsidR="00B25CAA" w:rsidRPr="00A40CD0" w:rsidRDefault="00B25CAA" w:rsidP="002E0BD6">
      <w:pPr>
        <w:pStyle w:val="BodyText"/>
      </w:pPr>
      <w:r w:rsidRPr="00A40CD0">
        <w:t xml:space="preserve">LMI has been already successfully applied to retrieve the concentrations of the optically active constituents in inland and coastal waters with hyperspectral data </w:t>
      </w:r>
      <w:r w:rsidR="00EA2F38" w:rsidRPr="00A40CD0">
        <w:fldChar w:fldCharType="begin">
          <w:fldData xml:space="preserve">PEVuZE5vdGU+PENpdGU+PEF1dGhvcj5Ib29nZW5ib29tPC9BdXRob3I+PFllYXI+MTk5ODwvWWVh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</w:fldData>
        </w:fldChar>
      </w:r>
      <w:r w:rsidR="00AC2F22">
        <w:instrText xml:space="preserve"> ADDIN EN.CITE </w:instrText>
      </w:r>
      <w:r w:rsidR="00EA2F38">
        <w:fldChar w:fldCharType="begin">
          <w:fldData xml:space="preserve">PEVuZE5vdGU+PENpdGU+PEF1dGhvcj5Ib29nZW5ib29tPC9BdXRob3I+PFllYXI+MTk5ODwvWWVh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30" w:tooltip="Hoogenboom, 1998 #548" w:history="1">
        <w:r w:rsidR="007B7C47">
          <w:rPr>
            <w:noProof/>
          </w:rPr>
          <w:t>Hoogenboom et al. 1998</w:t>
        </w:r>
      </w:hyperlink>
      <w:r w:rsidR="00AC2F22">
        <w:rPr>
          <w:noProof/>
        </w:rPr>
        <w:t xml:space="preserve">, </w:t>
      </w:r>
      <w:hyperlink w:anchor="_ENREF_4" w:tooltip="Brando, 2003 #2010" w:history="1">
        <w:r w:rsidR="007B7C47">
          <w:rPr>
            <w:noProof/>
          </w:rPr>
          <w:t>Brando and Dekker 2003</w:t>
        </w:r>
      </w:hyperlink>
      <w:r w:rsidR="00AC2F22">
        <w:rPr>
          <w:noProof/>
        </w:rPr>
        <w:t xml:space="preserve">, </w:t>
      </w:r>
      <w:hyperlink w:anchor="_ENREF_24" w:tooltip="Giardino, 2007 #4172" w:history="1">
        <w:r w:rsidR="007B7C47">
          <w:rPr>
            <w:noProof/>
          </w:rPr>
          <w:t>Giardino et al. 2007</w:t>
        </w:r>
      </w:hyperlink>
      <w:r w:rsidR="00AC2F22">
        <w:rPr>
          <w:noProof/>
        </w:rPr>
        <w:t>)</w:t>
      </w:r>
      <w:r w:rsidR="00EA2F38" w:rsidRPr="00A40CD0">
        <w:fldChar w:fldCharType="end"/>
      </w:r>
      <w:r w:rsidRPr="00A40CD0">
        <w:t xml:space="preserve">. This algorithm was adapted to MODIS for the Fitzroy River Estuary Keppel Bay (southern GBR) </w:t>
      </w:r>
      <w:r w:rsidR="00EA2F38" w:rsidRPr="00A40CD0">
        <w:fldChar w:fldCharType="begin"/>
      </w:r>
      <w:r w:rsidR="00AC2F22">
        <w:instrText xml:space="preserve"> ADDIN EN.CITE &lt;EndNote&gt;&lt;Cite&gt;&lt;Author&gt;Brando&lt;/Author&gt;&lt;Year&gt;2006&lt;/Year&gt;&lt;RecNum&gt;4026&lt;/RecNum&gt;&lt;DisplayText&gt;(Brando et al. 2006, Brando et al. 2007)&lt;/DisplayText&gt;&lt;record&gt;&lt;rec-number&gt;4026&lt;/rec-number&gt;&lt;foreign-keys&gt;&lt;key app="EN" db-id="z0vwsaa0gfvsr1e2sr7p90rtdtevf52r2we9"&gt;4026&lt;/key&gt;&lt;/foreign-keys&gt;&lt;ref-type name="Report"&gt;27&lt;/ref-type&gt;&lt;contributors&gt;&lt;authors&gt;&lt;author&gt;Brando, V. E.&lt;/author&gt;&lt;author&gt;Dekker, A. G.&lt;/author&gt;&lt;author&gt;Marks, A.&lt;/author&gt;&lt;author&gt;Qin,Y.&lt;/author&gt;&lt;author&gt;Oubelkheir, K.&lt;/author&gt;&lt;/authors&gt;&lt;/contributors&gt;&lt;titles&gt;&lt;title&gt;Chlorophyll and Suspended Sediment Assessment in a Macro-Tidal Tropical Estuary Adjacent to the Great Barrier Reef: Spatial and Temporal Assessment Using Remote Sensing&lt;/title&gt;&lt;/titles&gt;&lt;pages&gt;114 &lt;/pages&gt;&lt;number&gt;74&lt;/number&gt;&lt;dates&gt;&lt;year&gt;2006&lt;/year&gt;&lt;/dates&gt;&lt;pub-location&gt;Indooroopilly, Qld, Australia&lt;/pub-location&gt;&lt;publisher&gt;CRC for Coastal Zone, Estuary and Waterway Management&lt;/publisher&gt;&lt;urls&gt;&lt;related-urls&gt;&lt;url&gt;http://www.coastal.crc.org.au/pdf/TechnicalReports/74_fitzroy_PC_remote_sensing_screen.pdf&lt;/url&gt;&lt;/related-urls&gt;&lt;/urls&gt;&lt;electronic-resource-num&gt;Reference not parsed&lt;/electronic-resource-num&gt;&lt;/record&gt;&lt;/Cite&gt;&lt;Cite&gt;&lt;Author&gt;Brando&lt;/Author&gt;&lt;Year&gt;2007&lt;/Year&gt;&lt;RecNum&gt;4028&lt;/RecNum&gt;&lt;record&gt;&lt;rec-number&gt;4028&lt;/rec-number&gt;&lt;foreign-keys&gt;&lt;key app="EN" db-id="z0vwsaa0gfvsr1e2sr7p90rtdtevf52r2we9"&gt;4028&lt;/key&gt;&lt;/foreign-keys&gt;&lt;ref-type name="Journal Article"&gt;17&lt;/ref-type&gt;&lt;contributors&gt;&lt;authors&gt;&lt;author&gt;Brando, V.E.&lt;/author&gt;&lt;author&gt;Qin, Y.&lt;/author&gt;&lt;author&gt;Dekker,  A. G. &lt;/author&gt;&lt;author&gt;Blondeau-Patissier, D.&lt;/author&gt;&lt;/authors&gt;&lt;/contributors&gt;&lt;titles&gt;&lt;title&gt;Satellite retrieval of chlorophyll CDOM and NAP in optically complex waters: a specific inherent optical properties based semianalytical inversion&lt;/title&gt;&lt;secondary-title&gt;Applied Optics&lt;/secondary-title&gt;&lt;/titles&gt;&lt;periodical&gt;&lt;full-title&gt;Applied Optics&lt;/full-title&gt;&lt;abbr-1&gt;Appl. Optics&lt;/abbr-1&gt;&lt;/periodical&gt;&lt;dates&gt;&lt;year&gt;2007&lt;/year&gt;&lt;/dates&gt;&lt;urls&gt;&lt;/urls&gt;&lt;electronic-resource-num&gt;Reference not parsed&lt;/electronic-resource-num&gt;&lt;/record&gt;&lt;/Cite&gt;&lt;/EndNote&gt;</w:instrText>
      </w:r>
      <w:r w:rsidR="00EA2F38" w:rsidRPr="00A40CD0">
        <w:fldChar w:fldCharType="separate"/>
      </w:r>
      <w:r w:rsidR="00AC2F22">
        <w:rPr>
          <w:noProof/>
        </w:rPr>
        <w:t>(</w:t>
      </w:r>
      <w:hyperlink w:anchor="_ENREF_5" w:tooltip="Brando, 2006 #4026" w:history="1">
        <w:r w:rsidR="007B7C47">
          <w:rPr>
            <w:noProof/>
          </w:rPr>
          <w:t>Brando et al. 2006</w:t>
        </w:r>
      </w:hyperlink>
      <w:r w:rsidR="00AC2F22">
        <w:rPr>
          <w:noProof/>
        </w:rPr>
        <w:t xml:space="preserve">, </w:t>
      </w:r>
      <w:hyperlink w:anchor="_ENREF_8" w:tooltip="Brando, 2007 #4028" w:history="1">
        <w:r w:rsidR="007B7C47">
          <w:rPr>
            <w:noProof/>
          </w:rPr>
          <w:t>Brando et al. 2007</w:t>
        </w:r>
      </w:hyperlink>
      <w:r w:rsidR="00AC2F22">
        <w:rPr>
          <w:noProof/>
        </w:rPr>
        <w:t>)</w:t>
      </w:r>
      <w:r w:rsidR="00EA2F38" w:rsidRPr="00A40CD0">
        <w:fldChar w:fldCharType="end"/>
      </w:r>
      <w:r w:rsidRPr="00A40CD0">
        <w:t xml:space="preserve"> and applied to the MODIS Aqua data for the whole GBRWHA </w:t>
      </w:r>
      <w:r w:rsidR="00EA2F38" w:rsidRPr="00A40CD0">
        <w:fldChar w:fldCharType="begin">
          <w:fldData xml:space="preserve">PEVuZE5vdGU+PENpdGU+PEF1dGhvcj5CcmFuZG88L0F1dGhvcj48WWVhcj4yMDA2PC9ZZWFyPjxS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==
</w:fldData>
        </w:fldChar>
      </w:r>
      <w:r w:rsidR="00AC2F22">
        <w:instrText xml:space="preserve"> ADDIN EN.CITE </w:instrText>
      </w:r>
      <w:r w:rsidR="00EA2F38">
        <w:fldChar w:fldCharType="begin">
          <w:fldData xml:space="preserve">PEVuZE5vdGU+PENpdGU+PEF1dGhvcj5CcmFuZG88L0F1dGhvcj48WWVhcj4yMDA2PC9ZZWFyPjxS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==
</w:fldData>
        </w:fldChar>
      </w:r>
      <w:r w:rsidR="00AC2F22">
        <w:instrText xml:space="preserve"> ADDIN EN.CITE.DATA </w:instrText>
      </w:r>
      <w:r w:rsidR="00EA2F38">
        <w:fldChar w:fldCharType="end"/>
      </w:r>
      <w:r w:rsidR="00EA2F38" w:rsidRPr="00A40CD0">
        <w:fldChar w:fldCharType="separate"/>
      </w:r>
      <w:r w:rsidR="00AC2F22">
        <w:rPr>
          <w:noProof/>
        </w:rPr>
        <w:t>(</w:t>
      </w:r>
      <w:hyperlink w:anchor="_ENREF_5" w:tooltip="Brando, 2006 #4026" w:history="1">
        <w:r w:rsidR="007B7C47">
          <w:rPr>
            <w:noProof/>
          </w:rPr>
          <w:t>Brando et al. 2006</w:t>
        </w:r>
      </w:hyperlink>
      <w:r w:rsidR="00AC2F22">
        <w:rPr>
          <w:noProof/>
        </w:rPr>
        <w:t xml:space="preserve">, </w:t>
      </w:r>
      <w:hyperlink w:anchor="_ENREF_45" w:tooltip="Schaffelke, 2006 #4025" w:history="1">
        <w:r w:rsidR="007B7C47">
          <w:rPr>
            <w:noProof/>
          </w:rPr>
          <w:t>Schaffelke et al. 2006</w:t>
        </w:r>
      </w:hyperlink>
      <w:r w:rsidR="00AC2F22">
        <w:rPr>
          <w:noProof/>
        </w:rPr>
        <w:t>)</w:t>
      </w:r>
      <w:r w:rsidR="00EA2F38" w:rsidRPr="00A40CD0">
        <w:fldChar w:fldCharType="end"/>
      </w:r>
      <w:r w:rsidRPr="00A40CD0">
        <w:t xml:space="preserve">.The </w:t>
      </w:r>
      <w:r w:rsidR="002D046E">
        <w:t>a-</w:t>
      </w:r>
      <w:r w:rsidRPr="00A40CD0">
        <w:t xml:space="preserve">LMI </w:t>
      </w:r>
      <w:r w:rsidRPr="00A40CD0">
        <w:lastRenderedPageBreak/>
        <w:t xml:space="preserve">method as outlined here uses the below-water remote sensing reflectance spectrum of the eight MODIS bands 8-15 (412-748 nm) as input to a semi-analytical model developed by Gordon et al. </w:t>
      </w:r>
      <w:r w:rsidR="00EA2F38" w:rsidRPr="00A40CD0">
        <w:fldChar w:fldCharType="begin"/>
      </w:r>
      <w:r w:rsidR="00F32695">
        <w:instrText xml:space="preserve"> ADDIN EN.CITE &lt;EndNote&gt;&lt;Cite ExcludeAuth="1"&gt;&lt;Year&gt;1988&lt;/Year&gt;&lt;RecNum&gt;453&lt;/RecNum&gt;&lt;DisplayText&gt;(1988)&lt;/DisplayText&gt;&lt;record&gt;&lt;rec-number&gt;453&lt;/rec-number&gt;&lt;foreign-keys&gt;&lt;key app="EN" db-id="z0vwsaa0gfvsr1e2sr7p90rtdtevf52r2we9"&gt;453&lt;/key&gt;&lt;/foreign-keys&gt;&lt;ref-type name="Journal Article"&gt;17&lt;/ref-type&gt;&lt;contributors&gt;&lt;authors&gt;&lt;author&gt;Gordon, H. R.&lt;/author&gt;&lt;author&gt;Brown, O. B.&lt;/author&gt;&lt;author&gt;Evans, R.&lt;/author&gt;&lt;author&gt;Brown, J.&lt;/author&gt;&lt;author&gt;Smith, R. C.&lt;/author&gt;&lt;author&gt;Baker, K. S.&lt;/author&gt;&lt;author&gt;Clark, D. C.&lt;/author&gt;&lt;/authors&gt;&lt;/contributors&gt;&lt;titles&gt;&lt;title&gt;A semianalytical model of ocean colour&lt;/title&gt;&lt;secondary-title&gt;J.Geophys.Res.&lt;/secondary-title&gt;&lt;/titles&gt;&lt;periodical&gt;&lt;full-title&gt;J.Geophys.Res.&lt;/full-title&gt;&lt;/periodical&gt;&lt;pages&gt;10909&lt;/pages&gt;&lt;volume&gt;93(D9)&lt;/volume&gt;&lt;keywords&gt;&lt;keyword&gt;model&lt;/keyword&gt;&lt;keyword&gt;ocean colour&lt;/keyword&gt;&lt;/keywords&gt;&lt;dates&gt;&lt;year&gt;1988&lt;/year&gt;&lt;/dates&gt;&lt;urls&gt;&lt;/urls&gt;&lt;electronic-resource-num&gt;doi:10.1029/JD093iD09p10909&lt;/electronic-resource-num&gt;&lt;/record&gt;&lt;/Cite&gt;&lt;/EndNote&gt;</w:instrText>
      </w:r>
      <w:r w:rsidR="00EA2F38" w:rsidRPr="00A40CD0">
        <w:fldChar w:fldCharType="separate"/>
      </w:r>
      <w:r w:rsidR="00F32695">
        <w:rPr>
          <w:noProof/>
        </w:rPr>
        <w:t>(</w:t>
      </w:r>
      <w:hyperlink w:anchor="_ENREF_26" w:tooltip="Gordon, 1988 #453" w:history="1">
        <w:r w:rsidR="007B7C47">
          <w:rPr>
            <w:noProof/>
          </w:rPr>
          <w:t>1988</w:t>
        </w:r>
      </w:hyperlink>
      <w:r w:rsidR="00F32695">
        <w:rPr>
          <w:noProof/>
        </w:rPr>
        <w:t>)</w:t>
      </w:r>
      <w:r w:rsidR="00EA2F38" w:rsidRPr="00A40CD0">
        <w:fldChar w:fldCharType="end"/>
      </w:r>
      <w:r w:rsidRPr="00A40CD0">
        <w:t xml:space="preserve"> to simultaneously derive the three optically active constituents in an algebraic manner.</w:t>
      </w:r>
    </w:p>
    <w:p w:rsidR="00B25CAA" w:rsidRDefault="00B25CAA" w:rsidP="002E0BD6">
      <w:pPr>
        <w:pStyle w:val="BodyText"/>
      </w:pPr>
      <w:r w:rsidRPr="00A40CD0">
        <w:t xml:space="preserve">One of the major weaknesses of the LMI is the difficulty of parameterising a stable spectral shape for each SIOP to reflect the natural variability </w:t>
      </w:r>
      <w:r w:rsidR="00EA2F38" w:rsidRPr="00A40CD0">
        <w:fldChar w:fldCharType="begin"/>
      </w:r>
      <w:r w:rsidR="00F32695">
        <w:instrText xml:space="preserve"> ADDIN EN.CITE &lt;EndNote&gt;&lt;Cite&gt;&lt;Author&gt;Lyon&lt;/Author&gt;&lt;Year&gt;2006&lt;/Year&gt;&lt;RecNum&gt;4139&lt;/RecNum&gt;&lt;DisplayText&gt;(Lyon and Hoge 2006)&lt;/DisplayText&gt;&lt;record&gt;&lt;rec-number&gt;4139&lt;/rec-number&gt;&lt;foreign-keys&gt;&lt;key app="EN" db-id="z0vwsaa0gfvsr1e2sr7p90rtdtevf52r2we9"&gt;4139&lt;/key&gt;&lt;/foreign-keys&gt;&lt;ref-type name="Book Section"&gt;5&lt;/ref-type&gt;&lt;contributors&gt;&lt;authors&gt;&lt;author&gt;Lyon, P.&lt;/author&gt;&lt;author&gt;Hoge, F.&lt;/author&gt;&lt;/authors&gt;&lt;secondary-authors&gt;&lt;author&gt;Lee, Z.&lt;/author&gt;&lt;/secondary-authors&gt;&lt;/contributors&gt;&lt;titles&gt;&lt;title&gt;The Linear Matrix Inversion Algorithm&lt;/title&gt;&lt;secondary-title&gt;IOCCG Report Number 5. Remote Sensing of Inherent Optical Properties: Fundamentals, Tests of Algorithms, and Applications&lt;/secondary-title&gt;&lt;/titles&gt;&lt;pages&gt;49-56&lt;/pages&gt;&lt;volume&gt;5&lt;/volume&gt;&lt;number&gt;5&lt;/number&gt;&lt;section&gt;7&lt;/section&gt;&lt;dates&gt;&lt;year&gt;2006&lt;/year&gt;&lt;/dates&gt;&lt;pub-location&gt;Dartmouth, Canada&lt;/pub-location&gt;&lt;publisher&gt;IOCCG&lt;/publisher&gt;&lt;isbn&gt;1098-6030&lt;/isbn&gt;&lt;urls&gt;&lt;/urls&gt;&lt;/record&gt;&lt;/Cite&gt;&lt;/EndNote&gt;</w:instrText>
      </w:r>
      <w:r w:rsidR="00EA2F38" w:rsidRPr="00A40CD0">
        <w:fldChar w:fldCharType="separate"/>
      </w:r>
      <w:r w:rsidR="00F32695">
        <w:rPr>
          <w:noProof/>
        </w:rPr>
        <w:t>(</w:t>
      </w:r>
      <w:hyperlink w:anchor="_ENREF_35" w:tooltip="Lyon, 2006 #4139" w:history="1">
        <w:r w:rsidR="007B7C47">
          <w:rPr>
            <w:noProof/>
          </w:rPr>
          <w:t>Lyon and Hoge 2006</w:t>
        </w:r>
      </w:hyperlink>
      <w:r w:rsidR="00F32695">
        <w:rPr>
          <w:noProof/>
        </w:rPr>
        <w:t>)</w:t>
      </w:r>
      <w:r w:rsidR="00EA2F38" w:rsidRPr="00A40CD0">
        <w:fldChar w:fldCharType="end"/>
      </w:r>
      <w:r w:rsidRPr="00A40CD0">
        <w:t xml:space="preserve">. To overcome this, Wang et al. </w:t>
      </w:r>
      <w:r w:rsidR="00EA2F38" w:rsidRPr="00A40CD0">
        <w:fldChar w:fldCharType="begin"/>
      </w:r>
      <w:r w:rsidR="00F32695">
        <w:instrText xml:space="preserve"> ADDIN EN.CITE &lt;EndNote&gt;&lt;Cite ExcludeAuth="1"&gt;&lt;Year&gt;2005&lt;/Year&gt;&lt;RecNum&gt;3905&lt;/RecNum&gt;&lt;DisplayText&gt;(2005)&lt;/DisplayText&gt;&lt;record&gt;&lt;rec-number&gt;3905&lt;/rec-number&gt;&lt;foreign-keys&gt;&lt;key app="EN" db-id="z0vwsaa0gfvsr1e2sr7p90rtdtevf52r2we9"&gt;3905&lt;/key&gt;&lt;/foreign-keys&gt;&lt;ref-type name="Journal Article"&gt;17&lt;/ref-type&gt;&lt;contributors&gt;&lt;authors&gt;&lt;author&gt;Wang, P.&lt;/author&gt;&lt;author&gt;Boss, E. S.&lt;/author&gt;&lt;author&gt;Roesler, C.&lt;/author&gt;&lt;/authors&gt;&lt;/contributors&gt;&lt;titles&gt;&lt;title&gt;Uncertainties of inherent optical properties obtained from semianalytical inversions of ocean color&lt;/title&gt;&lt;secondary-title&gt;Applied Optics&lt;/secondary-title&gt;&lt;/titles&gt;&lt;periodical&gt;&lt;full-title&gt;Applied Optics&lt;/full-title&gt;&lt;abbr-1&gt;Appl. Optics&lt;/abbr-1&gt;&lt;/periodical&gt;&lt;pages&gt;4074-4085&lt;/pages&gt;&lt;volume&gt;44&lt;/volume&gt;&lt;number&gt;19&lt;/number&gt;&lt;dates&gt;&lt;year&gt;2005&lt;/year&gt;&lt;pub-dates&gt;&lt;date&gt;Jul&lt;/date&gt;&lt;/pub-dates&gt;&lt;/dates&gt;&lt;accession-num&gt;CCC:000230153800026&lt;/accession-num&gt;&lt;urls&gt;&lt;related-urls&gt;&lt;url&gt;&amp;lt;Go to ISI&amp;gt;://CCC:000230153800026 &lt;/url&gt;&lt;/related-urls&gt;&lt;/urls&gt;&lt;electronic-resource-num&gt;doi:10.1364/AO.44.004074&lt;/electronic-resource-num&gt;&lt;/record&gt;&lt;/Cite&gt;&lt;/EndNote&gt;</w:instrText>
      </w:r>
      <w:r w:rsidR="00EA2F38" w:rsidRPr="00A40CD0">
        <w:fldChar w:fldCharType="separate"/>
      </w:r>
      <w:r w:rsidR="00F32695">
        <w:rPr>
          <w:noProof/>
        </w:rPr>
        <w:t>(</w:t>
      </w:r>
      <w:hyperlink w:anchor="_ENREF_56" w:tooltip="Wang, 2005 #3905" w:history="1">
        <w:r w:rsidR="007B7C47">
          <w:rPr>
            <w:noProof/>
          </w:rPr>
          <w:t>2005</w:t>
        </w:r>
      </w:hyperlink>
      <w:r w:rsidR="00F32695">
        <w:rPr>
          <w:noProof/>
        </w:rPr>
        <w:t>)</w:t>
      </w:r>
      <w:r w:rsidR="00EA2F38" w:rsidRPr="00A40CD0">
        <w:fldChar w:fldCharType="end"/>
      </w:r>
      <w:r w:rsidRPr="00A40CD0">
        <w:t xml:space="preserve"> made use of an over-determined system (3x4, λ=410, 440, 490 and 550 nm) to explore the observed range of variability of the IOP shape factors. In </w:t>
      </w:r>
      <w:r w:rsidR="00D329AD">
        <w:t>a-LMI</w:t>
      </w:r>
      <w:r w:rsidRPr="00A40CD0">
        <w:t xml:space="preserve">, to incorporate regional knowledge of specific IOPs, the imagery inversion </w:t>
      </w:r>
      <w:r w:rsidR="00D329AD">
        <w:t>is</w:t>
      </w:r>
      <w:r w:rsidRPr="00A40CD0">
        <w:t xml:space="preserve"> performed while varying the SIOP shape parameters through a </w:t>
      </w:r>
      <w:r w:rsidR="00354788" w:rsidRPr="00D31AC9">
        <w:t>through a</w:t>
      </w:r>
      <w:r w:rsidR="00354788">
        <w:t xml:space="preserve"> small group</w:t>
      </w:r>
      <w:r w:rsidR="00354788" w:rsidRPr="00D31AC9">
        <w:t xml:space="preserve"> of </w:t>
      </w:r>
      <w:r w:rsidR="00354788">
        <w:t>predetermined</w:t>
      </w:r>
      <w:r w:rsidR="00354788" w:rsidRPr="00D31AC9">
        <w:t xml:space="preserve"> combi</w:t>
      </w:r>
      <w:r w:rsidR="00354788">
        <w:t>nations,</w:t>
      </w:r>
      <w:r w:rsidR="00354788" w:rsidRPr="001F4918">
        <w:t xml:space="preserve"> </w:t>
      </w:r>
      <w:r w:rsidR="00354788">
        <w:t>i.e. the candidate</w:t>
      </w:r>
      <w:r w:rsidR="00354788">
        <w:rPr>
          <w:szCs w:val="21"/>
        </w:rPr>
        <w:t xml:space="preserve"> model parameter sets</w:t>
      </w:r>
      <w:r w:rsidR="00D329AD">
        <w:rPr>
          <w:szCs w:val="21"/>
        </w:rPr>
        <w:t xml:space="preserve"> </w:t>
      </w:r>
      <w:r w:rsidR="00A51441">
        <w:t>(Brando et al., 2012).</w:t>
      </w:r>
      <w:r w:rsidR="00590970">
        <w:t xml:space="preserve"> </w:t>
      </w:r>
      <w:r w:rsidR="00354788">
        <w:t xml:space="preserve">Each candidate </w:t>
      </w:r>
      <w:r w:rsidR="00354788">
        <w:rPr>
          <w:szCs w:val="21"/>
        </w:rPr>
        <w:t>model parameter</w:t>
      </w:r>
      <w:r w:rsidR="00354788">
        <w:t xml:space="preserve"> set corresponds to a naturally occurring set of SIOP shape and amplitude parameters </w:t>
      </w:r>
      <w:r w:rsidRPr="00A40CD0">
        <w:t>(</w:t>
      </w:r>
      <w:r w:rsidR="008A285B">
        <w:rPr>
          <w:noProof/>
          <w:lang w:eastAsia="en-AU"/>
        </w:rPr>
        <w:drawing>
          <wp:inline distT="0" distB="0" distL="0" distR="0">
            <wp:extent cx="386080" cy="213360"/>
            <wp:effectExtent l="0" t="0" r="0" b="0"/>
            <wp:docPr id="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8" cstate="email">
                      <a:extLst>
                        <a:ext uri="{28A0092B-C50C-407E-A947-70E740481C1C}">
                          <a14:useLocalDpi xmlns:a14="http://schemas.microsoft.com/office/drawing/2010/main"/>
                        </a:ext>
                      </a:extLst>
                    </a:blip>
                    <a:srcRect/>
                    <a:stretch>
                      <a:fillRect/>
                    </a:stretch>
                  </pic:blipFill>
                  <pic:spPr bwMode="auto">
                    <a:xfrm>
                      <a:off x="0" y="0"/>
                      <a:ext cx="386080" cy="213360"/>
                    </a:xfrm>
                    <a:prstGeom prst="rect">
                      <a:avLst/>
                    </a:prstGeom>
                    <a:noFill/>
                    <a:ln>
                      <a:noFill/>
                    </a:ln>
                  </pic:spPr>
                </pic:pic>
              </a:graphicData>
            </a:graphic>
          </wp:inline>
        </w:drawing>
      </w:r>
      <w:r w:rsidRPr="00A40CD0">
        <w:t>,</w:t>
      </w:r>
      <w:r w:rsidR="008A285B">
        <w:rPr>
          <w:noProof/>
          <w:lang w:eastAsia="en-AU"/>
        </w:rPr>
        <w:drawing>
          <wp:inline distT="0" distB="0" distL="0" distR="0">
            <wp:extent cx="264160" cy="127000"/>
            <wp:effectExtent l="0" t="0" r="2540" b="6350"/>
            <wp:docPr id="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7" cstate="email">
                      <a:extLst>
                        <a:ext uri="{28A0092B-C50C-407E-A947-70E740481C1C}">
                          <a14:useLocalDpi xmlns:a14="http://schemas.microsoft.com/office/drawing/2010/main"/>
                        </a:ext>
                      </a:extLst>
                    </a:blip>
                    <a:srcRect/>
                    <a:stretch>
                      <a:fillRect/>
                    </a:stretch>
                  </pic:blipFill>
                  <pic:spPr bwMode="auto">
                    <a:xfrm>
                      <a:off x="0" y="0"/>
                      <a:ext cx="264160" cy="127000"/>
                    </a:xfrm>
                    <a:prstGeom prst="rect">
                      <a:avLst/>
                    </a:prstGeom>
                    <a:noFill/>
                    <a:ln>
                      <a:noFill/>
                    </a:ln>
                  </pic:spPr>
                </pic:pic>
              </a:graphicData>
            </a:graphic>
          </wp:inline>
        </w:drawing>
      </w:r>
      <w:r w:rsidRPr="00A40CD0">
        <w:t>,</w:t>
      </w:r>
      <w:r w:rsidR="008A285B">
        <w:rPr>
          <w:noProof/>
          <w:lang w:eastAsia="en-AU"/>
        </w:rPr>
        <w:drawing>
          <wp:inline distT="0" distB="0" distL="0" distR="0">
            <wp:extent cx="528320" cy="213360"/>
            <wp:effectExtent l="0" t="0" r="5080" b="0"/>
            <wp:docPr id="8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9" cstate="email">
                      <a:extLst>
                        <a:ext uri="{28A0092B-C50C-407E-A947-70E740481C1C}">
                          <a14:useLocalDpi xmlns:a14="http://schemas.microsoft.com/office/drawing/2010/main"/>
                        </a:ext>
                      </a:extLst>
                    </a:blip>
                    <a:srcRect/>
                    <a:stretch>
                      <a:fillRect/>
                    </a:stretch>
                  </pic:blipFill>
                  <pic:spPr bwMode="auto">
                    <a:xfrm>
                      <a:off x="0" y="0"/>
                      <a:ext cx="528320" cy="213360"/>
                    </a:xfrm>
                    <a:prstGeom prst="rect">
                      <a:avLst/>
                    </a:prstGeom>
                    <a:noFill/>
                    <a:ln>
                      <a:noFill/>
                    </a:ln>
                  </pic:spPr>
                </pic:pic>
              </a:graphicData>
            </a:graphic>
          </wp:inline>
        </w:drawing>
      </w:r>
      <w:r w:rsidRPr="00A40CD0">
        <w:t>,</w:t>
      </w:r>
      <w:r w:rsidR="008A285B">
        <w:rPr>
          <w:noProof/>
          <w:lang w:eastAsia="en-AU"/>
        </w:rPr>
        <w:drawing>
          <wp:inline distT="0" distB="0" distL="0" distR="0">
            <wp:extent cx="264160" cy="203200"/>
            <wp:effectExtent l="0" t="0" r="2540" b="6350"/>
            <wp:docPr id="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6" cstate="email">
                      <a:extLst>
                        <a:ext uri="{28A0092B-C50C-407E-A947-70E740481C1C}">
                          <a14:useLocalDpi xmlns:a14="http://schemas.microsoft.com/office/drawing/2010/main"/>
                        </a:ext>
                      </a:extLst>
                    </a:blip>
                    <a:srcRect/>
                    <a:stretch>
                      <a:fillRect/>
                    </a:stretch>
                  </pic:blipFill>
                  <pic:spPr bwMode="auto">
                    <a:xfrm>
                      <a:off x="0" y="0"/>
                      <a:ext cx="264160" cy="203200"/>
                    </a:xfrm>
                    <a:prstGeom prst="rect">
                      <a:avLst/>
                    </a:prstGeom>
                    <a:noFill/>
                    <a:ln>
                      <a:noFill/>
                    </a:ln>
                  </pic:spPr>
                </pic:pic>
              </a:graphicData>
            </a:graphic>
          </wp:inline>
        </w:drawing>
      </w:r>
      <w:r w:rsidRPr="00A40CD0">
        <w:t>,</w:t>
      </w:r>
      <w:r w:rsidR="008A285B">
        <w:rPr>
          <w:noProof/>
          <w:lang w:eastAsia="en-AU"/>
        </w:rPr>
        <w:drawing>
          <wp:inline distT="0" distB="0" distL="0" distR="0">
            <wp:extent cx="508000" cy="213360"/>
            <wp:effectExtent l="0" t="0" r="6350" b="0"/>
            <wp:docPr id="8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0" cstate="email">
                      <a:extLst>
                        <a:ext uri="{28A0092B-C50C-407E-A947-70E740481C1C}">
                          <a14:useLocalDpi xmlns:a14="http://schemas.microsoft.com/office/drawing/2010/main"/>
                        </a:ext>
                      </a:extLst>
                    </a:blip>
                    <a:srcRect/>
                    <a:stretch>
                      <a:fillRect/>
                    </a:stretch>
                  </pic:blipFill>
                  <pic:spPr bwMode="auto">
                    <a:xfrm>
                      <a:off x="0" y="0"/>
                      <a:ext cx="508000" cy="213360"/>
                    </a:xfrm>
                    <a:prstGeom prst="rect">
                      <a:avLst/>
                    </a:prstGeom>
                    <a:noFill/>
                    <a:ln>
                      <a:noFill/>
                    </a:ln>
                  </pic:spPr>
                </pic:pic>
              </a:graphicData>
            </a:graphic>
          </wp:inline>
        </w:drawing>
      </w:r>
      <w:r w:rsidRPr="00A40CD0">
        <w:t xml:space="preserve">, </w:t>
      </w:r>
      <w:r w:rsidR="008A285B">
        <w:rPr>
          <w:noProof/>
          <w:lang w:eastAsia="en-AU"/>
        </w:rPr>
        <w:drawing>
          <wp:inline distT="0" distB="0" distL="0" distR="0">
            <wp:extent cx="213360" cy="203200"/>
            <wp:effectExtent l="0" t="0" r="0" b="6350"/>
            <wp:docPr id="8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1" cstate="email">
                      <a:extLst>
                        <a:ext uri="{28A0092B-C50C-407E-A947-70E740481C1C}">
                          <a14:useLocalDpi xmlns:a14="http://schemas.microsoft.com/office/drawing/2010/main"/>
                        </a:ext>
                      </a:extLst>
                    </a:blip>
                    <a:srcRect/>
                    <a:stretch>
                      <a:fillRect/>
                    </a:stretch>
                  </pic:blipFill>
                  <pic:spPr bwMode="auto">
                    <a:xfrm>
                      <a:off x="0" y="0"/>
                      <a:ext cx="213360" cy="203200"/>
                    </a:xfrm>
                    <a:prstGeom prst="rect">
                      <a:avLst/>
                    </a:prstGeom>
                    <a:noFill/>
                    <a:ln>
                      <a:noFill/>
                    </a:ln>
                  </pic:spPr>
                </pic:pic>
              </a:graphicData>
            </a:graphic>
          </wp:inline>
        </w:drawing>
      </w:r>
      <w:r w:rsidRPr="00A40CD0">
        <w:t>,</w:t>
      </w:r>
      <w:r w:rsidR="008A285B">
        <w:rPr>
          <w:noProof/>
          <w:lang w:eastAsia="en-AU"/>
        </w:rPr>
        <w:drawing>
          <wp:inline distT="0" distB="0" distL="0" distR="0">
            <wp:extent cx="528320" cy="203200"/>
            <wp:effectExtent l="0" t="0" r="5080" b="6350"/>
            <wp:docPr id="8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2" cstate="email">
                      <a:extLst>
                        <a:ext uri="{28A0092B-C50C-407E-A947-70E740481C1C}">
                          <a14:useLocalDpi xmlns:a14="http://schemas.microsoft.com/office/drawing/2010/main"/>
                        </a:ext>
                      </a:extLst>
                    </a:blip>
                    <a:srcRect/>
                    <a:stretch>
                      <a:fillRect/>
                    </a:stretch>
                  </pic:blipFill>
                  <pic:spPr bwMode="auto">
                    <a:xfrm>
                      <a:off x="0" y="0"/>
                      <a:ext cx="528320" cy="203200"/>
                    </a:xfrm>
                    <a:prstGeom prst="rect">
                      <a:avLst/>
                    </a:prstGeom>
                    <a:noFill/>
                    <a:ln>
                      <a:noFill/>
                    </a:ln>
                  </pic:spPr>
                </pic:pic>
              </a:graphicData>
            </a:graphic>
          </wp:inline>
        </w:drawing>
      </w:r>
      <w:r w:rsidRPr="00A40CD0">
        <w:t>,</w:t>
      </w:r>
      <w:r w:rsidR="008A285B">
        <w:rPr>
          <w:noProof/>
          <w:lang w:eastAsia="en-AU"/>
        </w:rPr>
        <w:drawing>
          <wp:inline distT="0" distB="0" distL="0" distR="0">
            <wp:extent cx="259080" cy="203200"/>
            <wp:effectExtent l="0" t="0" r="7620" b="6350"/>
            <wp:docPr id="6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3" cstate="email">
                      <a:extLst>
                        <a:ext uri="{28A0092B-C50C-407E-A947-70E740481C1C}">
                          <a14:useLocalDpi xmlns:a14="http://schemas.microsoft.com/office/drawing/2010/main"/>
                        </a:ext>
                      </a:extLst>
                    </a:blip>
                    <a:srcRect/>
                    <a:stretch>
                      <a:fillRect/>
                    </a:stretch>
                  </pic:blipFill>
                  <pic:spPr bwMode="auto">
                    <a:xfrm>
                      <a:off x="0" y="0"/>
                      <a:ext cx="259080" cy="203200"/>
                    </a:xfrm>
                    <a:prstGeom prst="rect">
                      <a:avLst/>
                    </a:prstGeom>
                    <a:noFill/>
                    <a:ln>
                      <a:noFill/>
                    </a:ln>
                  </pic:spPr>
                </pic:pic>
              </a:graphicData>
            </a:graphic>
          </wp:inline>
        </w:drawing>
      </w:r>
      <w:r w:rsidRPr="00A40CD0">
        <w:t xml:space="preserve"> ) </w:t>
      </w:r>
      <w:r w:rsidR="00354788">
        <w:t xml:space="preserve">estimated from a suite of </w:t>
      </w:r>
      <w:r w:rsidR="00354788" w:rsidRPr="00716433">
        <w:rPr>
          <w:i/>
        </w:rPr>
        <w:t>in situ</w:t>
      </w:r>
      <w:r w:rsidR="00354788">
        <w:t xml:space="preserve"> measurements and samples collected concurrently at a sampling station during a field campaign, hence each of these </w:t>
      </w:r>
      <w:r w:rsidR="00354788">
        <w:rPr>
          <w:szCs w:val="21"/>
        </w:rPr>
        <w:t>model</w:t>
      </w:r>
      <w:r w:rsidR="00354788">
        <w:t xml:space="preserve"> parameter sets is time, location and water-type specific</w:t>
      </w:r>
      <w:r w:rsidRPr="00A40CD0">
        <w:t xml:space="preserve">. </w:t>
      </w:r>
      <w:r w:rsidR="00354788">
        <w:rPr>
          <w:lang w:eastAsia="en-AU"/>
        </w:rPr>
        <w:t xml:space="preserve">By performing </w:t>
      </w:r>
      <w:r w:rsidR="00354788">
        <w:t xml:space="preserve">the spectral inversion only for a limited number (L, </w:t>
      </w:r>
      <w:r w:rsidR="00EA2F38">
        <w:fldChar w:fldCharType="begin"/>
      </w:r>
      <w:r w:rsidR="00FE31D7">
        <w:instrText xml:space="preserve"> REF _Ref251573792 \h </w:instrText>
      </w:r>
      <w:r w:rsidR="00EA2F38">
        <w:fldChar w:fldCharType="separate"/>
      </w:r>
      <w:r w:rsidR="00B11F3B" w:rsidRPr="00A40CD0">
        <w:t xml:space="preserve">Figure </w:t>
      </w:r>
      <w:r w:rsidR="00B11F3B">
        <w:rPr>
          <w:rStyle w:val="CaptionChar"/>
          <w:noProof/>
        </w:rPr>
        <w:t>96</w:t>
      </w:r>
      <w:r w:rsidR="00EA2F38">
        <w:fldChar w:fldCharType="end"/>
      </w:r>
      <w:r w:rsidR="00FE31D7">
        <w:t xml:space="preserve">) </w:t>
      </w:r>
      <w:r w:rsidR="00354788">
        <w:t>of naturally occurring model parameter sets, unnatural (or highly unlikely) combinations of the SIOP shape and amplitude parameters are avoided</w:t>
      </w:r>
      <w:r w:rsidR="00D329AD">
        <w:t xml:space="preserve"> (Brando et al., 2012)</w:t>
      </w:r>
      <w:r w:rsidR="00A51441">
        <w:t>.</w:t>
      </w:r>
    </w:p>
    <w:p w:rsidR="00A51441" w:rsidRPr="00A40CD0" w:rsidRDefault="00A51441" w:rsidP="002E0BD6">
      <w:pPr>
        <w:pStyle w:val="BodyText"/>
      </w:pPr>
      <w:r>
        <w:rPr>
          <w:noProof/>
          <w:lang w:eastAsia="en-AU"/>
        </w:rPr>
        <w:drawing>
          <wp:inline distT="0" distB="0" distL="0" distR="0">
            <wp:extent cx="5759450" cy="4171950"/>
            <wp:effectExtent l="0" t="0" r="6350" b="0"/>
            <wp:docPr id="69" name="Picture 69" descr="Conceptual diagram of the adaptive Linear Matrix Inversion approach adopted for the retrieval of Chlorophyll-a and IOPs from MODIS Aqua data (reproduced from Brando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3-10-11 at 11.52.52 AM.png"/>
                    <pic:cNvPicPr/>
                  </pic:nvPicPr>
                  <pic:blipFill>
                    <a:blip r:embed="rId204" cstate="email">
                      <a:extLst>
                        <a:ext uri="{28A0092B-C50C-407E-A947-70E740481C1C}">
                          <a14:useLocalDpi xmlns:a14="http://schemas.microsoft.com/office/drawing/2010/main"/>
                        </a:ext>
                      </a:extLst>
                    </a:blip>
                    <a:stretch>
                      <a:fillRect/>
                    </a:stretch>
                  </pic:blipFill>
                  <pic:spPr>
                    <a:xfrm>
                      <a:off x="0" y="0"/>
                      <a:ext cx="5759450" cy="4171950"/>
                    </a:xfrm>
                    <a:prstGeom prst="rect">
                      <a:avLst/>
                    </a:prstGeom>
                  </pic:spPr>
                </pic:pic>
              </a:graphicData>
            </a:graphic>
          </wp:inline>
        </w:drawing>
      </w:r>
    </w:p>
    <w:p w:rsidR="00A51441" w:rsidRDefault="00A51441" w:rsidP="00A51441">
      <w:pPr>
        <w:pStyle w:val="Caption"/>
      </w:pPr>
      <w:bookmarkStart w:id="622" w:name="_Ref251573792"/>
      <w:bookmarkStart w:id="623" w:name="_Ref251573777"/>
      <w:bookmarkStart w:id="624" w:name="_Toc228588378"/>
      <w:bookmarkStart w:id="625" w:name="_Toc399265082"/>
      <w:r w:rsidRPr="00A40CD0">
        <w:t xml:space="preserve">Figure </w:t>
      </w:r>
      <w:r w:rsidR="00EA2F38" w:rsidRPr="00A40CD0">
        <w:rPr>
          <w:rStyle w:val="CaptionChar"/>
        </w:rPr>
        <w:fldChar w:fldCharType="begin"/>
      </w:r>
      <w:r w:rsidRPr="00A40CD0">
        <w:rPr>
          <w:rStyle w:val="CaptionChar"/>
        </w:rPr>
        <w:instrText xml:space="preserve"> SEQ Figure \* ARABIC </w:instrText>
      </w:r>
      <w:r w:rsidR="00EA2F38" w:rsidRPr="00A40CD0">
        <w:rPr>
          <w:rStyle w:val="CaptionChar"/>
        </w:rPr>
        <w:fldChar w:fldCharType="separate"/>
      </w:r>
      <w:r w:rsidR="00B11F3B">
        <w:rPr>
          <w:rStyle w:val="CaptionChar"/>
          <w:noProof/>
        </w:rPr>
        <w:t>96</w:t>
      </w:r>
      <w:r w:rsidR="00EA2F38" w:rsidRPr="00A40CD0">
        <w:rPr>
          <w:rStyle w:val="CaptionChar"/>
        </w:rPr>
        <w:fldChar w:fldCharType="end"/>
      </w:r>
      <w:bookmarkEnd w:id="622"/>
      <w:r w:rsidRPr="00A40CD0">
        <w:t xml:space="preserve">. Conceptual diagram of the </w:t>
      </w:r>
      <w:r>
        <w:t xml:space="preserve">adaptive </w:t>
      </w:r>
      <w:r w:rsidRPr="00A40CD0">
        <w:t>Linear Matrix Inversion approach adopted for the retrieval of Chlorophyll-a and IOPs from MODIS Aqua data</w:t>
      </w:r>
      <w:r>
        <w:t xml:space="preserve"> (reproduced from Brando et al. (2012)</w:t>
      </w:r>
      <w:r w:rsidRPr="00A40CD0">
        <w:t>.</w:t>
      </w:r>
      <w:bookmarkEnd w:id="623"/>
      <w:bookmarkEnd w:id="624"/>
      <w:bookmarkEnd w:id="625"/>
    </w:p>
    <w:p w:rsidR="00A51441" w:rsidRDefault="00A51441" w:rsidP="002E0BD6">
      <w:pPr>
        <w:pStyle w:val="BodyText"/>
        <w:rPr>
          <w:lang w:eastAsia="en-AU"/>
        </w:rPr>
      </w:pPr>
      <w:r>
        <w:t>In a-LMI</w:t>
      </w:r>
      <w:r w:rsidDel="00C07192">
        <w:t xml:space="preserve"> </w:t>
      </w:r>
      <w:r>
        <w:t xml:space="preserve">the </w:t>
      </w:r>
      <w:r>
        <w:rPr>
          <w:szCs w:val="21"/>
        </w:rPr>
        <w:t>model parameter</w:t>
      </w:r>
      <w:r>
        <w:t xml:space="preserve"> set, t</w:t>
      </w:r>
      <w:r w:rsidRPr="00433507">
        <w:t xml:space="preserve">he </w:t>
      </w:r>
      <w:r>
        <w:t xml:space="preserve">IOPs and </w:t>
      </w:r>
      <w:r w:rsidRPr="00433507">
        <w:t>concentration</w:t>
      </w:r>
      <w:r>
        <w:t>s</w:t>
      </w:r>
      <w:r w:rsidRPr="00433507">
        <w:t xml:space="preserve"> values associated with the best optical c</w:t>
      </w:r>
      <w:r>
        <w:t xml:space="preserve">losure </w:t>
      </w:r>
      <w:r w:rsidR="008A285B">
        <w:rPr>
          <w:noProof/>
          <w:position w:val="-14"/>
          <w:lang w:eastAsia="en-AU"/>
        </w:rPr>
        <w:drawing>
          <wp:inline distT="0" distB="0" distL="0" distR="0">
            <wp:extent cx="878840" cy="259080"/>
            <wp:effectExtent l="0" t="0" r="0" b="7620"/>
            <wp:docPr id="6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5" cstate="email">
                      <a:extLst>
                        <a:ext uri="{28A0092B-C50C-407E-A947-70E740481C1C}">
                          <a14:useLocalDpi xmlns:a14="http://schemas.microsoft.com/office/drawing/2010/main"/>
                        </a:ext>
                      </a:extLst>
                    </a:blip>
                    <a:srcRect/>
                    <a:stretch>
                      <a:fillRect/>
                    </a:stretch>
                  </pic:blipFill>
                  <pic:spPr bwMode="auto">
                    <a:xfrm>
                      <a:off x="0" y="0"/>
                      <a:ext cx="878840" cy="259080"/>
                    </a:xfrm>
                    <a:prstGeom prst="rect">
                      <a:avLst/>
                    </a:prstGeom>
                    <a:noFill/>
                    <a:ln>
                      <a:noFill/>
                    </a:ln>
                  </pic:spPr>
                </pic:pic>
              </a:graphicData>
            </a:graphic>
          </wp:inline>
        </w:drawing>
      </w:r>
      <w:r>
        <w:t xml:space="preserve"> are retained as the optimal solution for each inverted spectrum</w:t>
      </w:r>
      <w:r w:rsidRPr="00FE31D7">
        <w:t xml:space="preserve"> </w:t>
      </w:r>
      <w:r w:rsidRPr="00A40CD0">
        <w:t>(</w:t>
      </w:r>
      <w:r w:rsidR="00EA2F38">
        <w:fldChar w:fldCharType="begin"/>
      </w:r>
      <w:r>
        <w:instrText xml:space="preserve"> REF _Ref251573792 \h </w:instrText>
      </w:r>
      <w:r w:rsidR="00EA2F38">
        <w:fldChar w:fldCharType="separate"/>
      </w:r>
      <w:r w:rsidR="00B11F3B" w:rsidRPr="00A40CD0">
        <w:t xml:space="preserve">Figure </w:t>
      </w:r>
      <w:r w:rsidR="00B11F3B">
        <w:rPr>
          <w:rStyle w:val="CaptionChar"/>
          <w:noProof/>
        </w:rPr>
        <w:t>96</w:t>
      </w:r>
      <w:r w:rsidR="00EA2F38">
        <w:fldChar w:fldCharType="end"/>
      </w:r>
      <w:r w:rsidRPr="00A40CD0">
        <w:t>).</w:t>
      </w:r>
      <w:r>
        <w:t xml:space="preserve"> With this approach, n</w:t>
      </w:r>
      <w:r w:rsidRPr="00D31AC9">
        <w:t xml:space="preserve">o </w:t>
      </w:r>
      <w:r w:rsidRPr="00777E45">
        <w:rPr>
          <w:i/>
        </w:rPr>
        <w:t>a priori</w:t>
      </w:r>
      <w:r w:rsidRPr="00D31AC9">
        <w:t xml:space="preserve"> assumptions are made </w:t>
      </w:r>
      <w:r>
        <w:t xml:space="preserve">on the occurrence of a specific </w:t>
      </w:r>
      <w:r w:rsidRPr="00D31AC9">
        <w:t xml:space="preserve">water </w:t>
      </w:r>
      <w:r>
        <w:t xml:space="preserve">mass at </w:t>
      </w:r>
      <w:r>
        <w:lastRenderedPageBreak/>
        <w:t>any given location during the inversion of satellite imagery</w:t>
      </w:r>
      <w:r>
        <w:rPr>
          <w:lang w:eastAsia="en-AU"/>
        </w:rPr>
        <w:t xml:space="preserve">. </w:t>
      </w:r>
      <w:r>
        <w:t>A more detailed description of the algorithm is provided in Brando et al. (2012).</w:t>
      </w:r>
    </w:p>
    <w:p w:rsidR="009202A6" w:rsidRPr="007E294B" w:rsidRDefault="00B25CAA" w:rsidP="007E294B">
      <w:pPr>
        <w:pStyle w:val="Heading3"/>
      </w:pPr>
      <w:bookmarkStart w:id="626" w:name="_Toc228588217"/>
      <w:bookmarkStart w:id="627" w:name="_Ref243386400"/>
      <w:bookmarkStart w:id="628" w:name="_Toc399264922"/>
      <w:r w:rsidRPr="007E294B">
        <w:t xml:space="preserve">Parameterization of </w:t>
      </w:r>
      <w:r w:rsidR="007154AE" w:rsidRPr="007E294B">
        <w:t>a-</w:t>
      </w:r>
      <w:r w:rsidRPr="007E294B">
        <w:t>LMI</w:t>
      </w:r>
      <w:bookmarkEnd w:id="626"/>
      <w:r w:rsidR="007154AE" w:rsidRPr="007E294B">
        <w:t xml:space="preserve"> for the GBR</w:t>
      </w:r>
      <w:bookmarkEnd w:id="627"/>
      <w:bookmarkEnd w:id="628"/>
    </w:p>
    <w:p w:rsidR="00596256" w:rsidRDefault="00590970" w:rsidP="00596256">
      <w:pPr>
        <w:pStyle w:val="BodyText"/>
      </w:pPr>
      <w:r>
        <w:t xml:space="preserve">The original selection of the candidate </w:t>
      </w:r>
      <w:r>
        <w:rPr>
          <w:szCs w:val="21"/>
        </w:rPr>
        <w:t>model parameter</w:t>
      </w:r>
      <w:r>
        <w:t xml:space="preserve"> set is described in t</w:t>
      </w:r>
      <w:r w:rsidR="00B25CAA" w:rsidRPr="00A40CD0">
        <w:t xml:space="preserve">he MMP 2006 report </w:t>
      </w:r>
      <w:r w:rsidR="00EA2F38" w:rsidRPr="00A40CD0">
        <w:fldChar w:fldCharType="begin"/>
      </w:r>
      <w:r w:rsidR="00AC2F22">
        <w:instrText xml:space="preserve"> ADDIN EN.CITE &lt;EndNote&gt;&lt;Cite&gt;&lt;Author&gt;Schaffelke&lt;/Author&gt;&lt;Year&gt;2006&lt;/Year&gt;&lt;RecNum&gt;4025&lt;/RecNum&gt;&lt;Prefix&gt;Appendix 1 pages A40- A-57`, &lt;/Prefix&gt;&lt;DisplayText&gt;(Appendix 1 pages A40- A-57, Schaffelke et al. 2006)&lt;/DisplayText&gt;&lt;record&gt;&lt;rec-number&gt;4025&lt;/rec-number&gt;&lt;foreign-keys&gt;&lt;key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EA2F38" w:rsidRPr="00A40CD0">
        <w:fldChar w:fldCharType="separate"/>
      </w:r>
      <w:r w:rsidR="00AC2F22">
        <w:rPr>
          <w:noProof/>
        </w:rPr>
        <w:t>(</w:t>
      </w:r>
      <w:hyperlink w:anchor="_ENREF_45" w:tooltip="Schaffelke, 2006 #4025" w:history="1">
        <w:r w:rsidR="007B7C47">
          <w:rPr>
            <w:noProof/>
          </w:rPr>
          <w:t>Appendix 1 pages A40- A-57, Schaffelke et al. 2006</w:t>
        </w:r>
      </w:hyperlink>
      <w:r w:rsidR="00AC2F22">
        <w:rPr>
          <w:noProof/>
        </w:rPr>
        <w:t>)</w:t>
      </w:r>
      <w:r w:rsidR="00EA2F38" w:rsidRPr="00A40CD0">
        <w:fldChar w:fldCharType="end"/>
      </w:r>
      <w:r>
        <w:t xml:space="preserve">. </w:t>
      </w:r>
      <w:r w:rsidR="00C46C77">
        <w:t>T</w:t>
      </w:r>
      <w:r w:rsidR="00596256">
        <w:t>his</w:t>
      </w:r>
      <w:r w:rsidR="00C46C77">
        <w:t xml:space="preserve"> </w:t>
      </w:r>
      <w:r w:rsidR="00596256">
        <w:t>parameterization was based</w:t>
      </w:r>
      <w:r w:rsidR="00B25CAA" w:rsidRPr="00A40CD0">
        <w:t xml:space="preserve"> the in situ datasets over the period 2002-2005 to adequately represented the full range of SIOPs measured from Cape Tribulation down to Port Curtis.</w:t>
      </w:r>
      <w:r w:rsidR="00596256">
        <w:t xml:space="preserve"> The variability in this data set is described in </w:t>
      </w:r>
      <w:r w:rsidR="00EA2F38">
        <w:fldChar w:fldCharType="begin"/>
      </w:r>
      <w:r w:rsidR="00AC2F22">
        <w:instrText xml:space="preserve"> ADDIN EN.CITE &lt;EndNote&gt;&lt;Cite&gt;&lt;Author&gt;Blondeau-Patissier&lt;/Author&gt;&lt;Year&gt;2009&lt;/Year&gt;&lt;RecNum&gt;4442&lt;/RecNum&gt;&lt;DisplayText&gt;(Blondeau-Patissier et al. 2009)&lt;/DisplayText&gt;&lt;record&gt;&lt;rec-number&gt;4442&lt;/rec-number&gt;&lt;foreign-keys&gt;&lt;key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EA2F38">
        <w:fldChar w:fldCharType="separate"/>
      </w:r>
      <w:r w:rsidR="00AC2F22">
        <w:rPr>
          <w:noProof/>
        </w:rPr>
        <w:t>(</w:t>
      </w:r>
      <w:hyperlink w:anchor="_ENREF_2" w:tooltip="Blondeau-Patissier, 2009 #4442" w:history="1">
        <w:r w:rsidR="007B7C47">
          <w:rPr>
            <w:noProof/>
          </w:rPr>
          <w:t>Blondeau-Patissier et al. 2009</w:t>
        </w:r>
      </w:hyperlink>
      <w:r w:rsidR="00AC2F22">
        <w:rPr>
          <w:noProof/>
        </w:rPr>
        <w:t>)</w:t>
      </w:r>
      <w:r w:rsidR="00EA2F38">
        <w:fldChar w:fldCharType="end"/>
      </w:r>
      <w:r w:rsidR="00596256">
        <w:t>. The parameterization of a-LMI for the GBR has then</w:t>
      </w:r>
      <w:r w:rsidR="00141795">
        <w:t xml:space="preserve"> </w:t>
      </w:r>
      <w:r w:rsidR="00596256">
        <w:t xml:space="preserve">evolved in the over the years as result of continuous QA/QC of the bio-optical data used as input and of the accuracy assessments carried out each year. </w:t>
      </w:r>
    </w:p>
    <w:p w:rsidR="005C6357" w:rsidRPr="005C6357" w:rsidRDefault="005C6357" w:rsidP="005C6357">
      <w:pPr>
        <w:rPr>
          <w:rFonts w:ascii="Times New Roman" w:hAnsi="Times New Roman"/>
          <w:szCs w:val="22"/>
          <w:lang w:eastAsia="en-US"/>
        </w:rPr>
      </w:pPr>
      <w:r w:rsidRPr="005C6357">
        <w:rPr>
          <w:rFonts w:ascii="Times New Roman" w:hAnsi="Times New Roman"/>
          <w:szCs w:val="22"/>
          <w:lang w:eastAsia="en-US"/>
        </w:rPr>
        <w:t xml:space="preserve">For this report, after the full reprocessing of the MODIS time series with the SEADAS version 6.4 and the subsequent ANN and ALMI </w:t>
      </w:r>
      <w:r w:rsidR="00635EEC" w:rsidRPr="005C6357">
        <w:rPr>
          <w:rFonts w:ascii="Times New Roman" w:hAnsi="Times New Roman"/>
          <w:szCs w:val="22"/>
          <w:lang w:eastAsia="en-US"/>
        </w:rPr>
        <w:t>processing</w:t>
      </w:r>
      <w:r w:rsidRPr="005C6357">
        <w:rPr>
          <w:rFonts w:ascii="Times New Roman" w:hAnsi="Times New Roman"/>
          <w:szCs w:val="22"/>
          <w:lang w:eastAsia="en-US"/>
        </w:rPr>
        <w:t>, an analysis of the SIOP occurrence maps identified that two of the ten candidate parameter sets in LMI_CLU4 were leading to over-estimates of NAP retrievals in lagoonal waters. Hence those two candidate sets were removed and the revised version of the LMI adaptive parameterization composed of eight candidate parameter sets was labelled LMI_CLT4.</w:t>
      </w:r>
    </w:p>
    <w:p w:rsidR="00B25CAA" w:rsidRDefault="00141795" w:rsidP="002E0BD6">
      <w:pPr>
        <w:pStyle w:val="BodyText"/>
      </w:pPr>
      <w:r>
        <w:t xml:space="preserve">For </w:t>
      </w:r>
      <w:r w:rsidR="00C46C77">
        <w:t xml:space="preserve">this report, </w:t>
      </w:r>
      <w:r w:rsidR="00821572">
        <w:t xml:space="preserve">after the full reprocessing of the MODIS time series with the SEADAS version 6.4, an analysis of the SIOP occurrence maps was carried out and two of the </w:t>
      </w:r>
      <w:r w:rsidR="00186EE5">
        <w:t xml:space="preserve">ten candidate parameter in </w:t>
      </w:r>
      <w:r w:rsidR="00186EE5" w:rsidRPr="00A40CD0">
        <w:t>LMI_CLU4</w:t>
      </w:r>
      <w:r w:rsidR="00186EE5">
        <w:t xml:space="preserve"> were removed as they were leading to </w:t>
      </w:r>
      <w:r w:rsidR="00BA29F7">
        <w:t xml:space="preserve">over-estimates </w:t>
      </w:r>
      <w:r w:rsidR="00186EE5">
        <w:t>of NAP retrievals in lagoonal waters</w:t>
      </w:r>
      <w:r w:rsidR="00186EE5" w:rsidRPr="00A40CD0">
        <w:t>.</w:t>
      </w:r>
      <w:r w:rsidR="00186EE5">
        <w:t xml:space="preserve"> </w:t>
      </w:r>
      <w:r w:rsidR="00186EE5" w:rsidRPr="00A40CD0">
        <w:t>This</w:t>
      </w:r>
      <w:r w:rsidR="00186EE5">
        <w:t xml:space="preserve"> revised</w:t>
      </w:r>
      <w:r w:rsidR="00186EE5" w:rsidRPr="00A40CD0">
        <w:t xml:space="preserve"> version of the LMI </w:t>
      </w:r>
      <w:r w:rsidR="00186EE5">
        <w:t xml:space="preserve">adaptive </w:t>
      </w:r>
      <w:r w:rsidR="00186EE5" w:rsidRPr="00A40CD0">
        <w:t>parameterization</w:t>
      </w:r>
      <w:r w:rsidR="00186EE5">
        <w:t xml:space="preserve"> composed of eight candidate parameter sets was labelled LMI_CLT</w:t>
      </w:r>
      <w:r w:rsidR="00186EE5" w:rsidRPr="00A40CD0">
        <w:t>4.</w:t>
      </w:r>
      <w:r w:rsidR="00B25CAA" w:rsidRPr="00A40CD0">
        <w:t xml:space="preserve"> </w:t>
      </w:r>
      <w:r w:rsidR="00EA2F38">
        <w:fldChar w:fldCharType="begin"/>
      </w:r>
      <w:r w:rsidR="00D90A4A">
        <w:instrText xml:space="preserve"> REF _Ref213840182 \h </w:instrText>
      </w:r>
      <w:r w:rsidR="00EA2F38">
        <w:fldChar w:fldCharType="separate"/>
      </w:r>
      <w:r w:rsidR="00B11F3B" w:rsidRPr="00A40CD0">
        <w:t xml:space="preserve">Table </w:t>
      </w:r>
      <w:r w:rsidR="00B11F3B">
        <w:rPr>
          <w:noProof/>
        </w:rPr>
        <w:t>42</w:t>
      </w:r>
      <w:r w:rsidR="00EA2F38">
        <w:fldChar w:fldCharType="end"/>
      </w:r>
      <w:r w:rsidR="00B25CAA" w:rsidRPr="00A40CD0">
        <w:t xml:space="preserve"> </w:t>
      </w:r>
      <w:r>
        <w:t xml:space="preserve">and </w:t>
      </w:r>
      <w:r w:rsidR="00EA2F38">
        <w:fldChar w:fldCharType="begin"/>
      </w:r>
      <w:r>
        <w:instrText xml:space="preserve"> REF _Ref214934459 \h </w:instrText>
      </w:r>
      <w:r w:rsidR="00EA2F38">
        <w:fldChar w:fldCharType="separate"/>
      </w:r>
      <w:r w:rsidR="00B11F3B" w:rsidRPr="00A40CD0">
        <w:t xml:space="preserve">Figure </w:t>
      </w:r>
      <w:r w:rsidR="00B11F3B">
        <w:rPr>
          <w:noProof/>
        </w:rPr>
        <w:t>97</w:t>
      </w:r>
      <w:r w:rsidR="00EA2F38">
        <w:fldChar w:fldCharType="end"/>
      </w:r>
      <w:r>
        <w:t xml:space="preserve"> present </w:t>
      </w:r>
      <w:r w:rsidR="00B25CAA" w:rsidRPr="00A40CD0">
        <w:t xml:space="preserve">the </w:t>
      </w:r>
      <w:r>
        <w:t xml:space="preserve">sets of SIOP shape and amplitude parameters currently used </w:t>
      </w:r>
      <w:r w:rsidR="00B25CAA" w:rsidRPr="00A40CD0">
        <w:t xml:space="preserve">to parameterize </w:t>
      </w:r>
      <w:r w:rsidR="00C43D79">
        <w:t>the a-</w:t>
      </w:r>
      <w:r w:rsidR="00B25CAA" w:rsidRPr="00A40CD0">
        <w:t xml:space="preserve">LMI algorithm to estimate simultaneously the concentration of Chlorophyll-a, total suspended sediment, </w:t>
      </w:r>
      <w:r w:rsidR="00596256">
        <w:t xml:space="preserve">and </w:t>
      </w:r>
      <w:r w:rsidR="00B25CAA" w:rsidRPr="00A40CD0">
        <w:t>CDOM</w:t>
      </w:r>
      <w:r w:rsidR="00C43D79">
        <w:t>.</w:t>
      </w:r>
    </w:p>
    <w:p w:rsidR="001E2BDA" w:rsidRDefault="001E2BDA" w:rsidP="001E2BDA">
      <w:pPr>
        <w:pStyle w:val="BodyText"/>
      </w:pPr>
      <w:r>
        <w:t xml:space="preserve">The effect of these changes in the parameterization to the accuracy of the retrievals of TSS will be presented in section </w:t>
      </w:r>
      <w:r w:rsidR="00EA2F38">
        <w:fldChar w:fldCharType="begin"/>
      </w:r>
      <w:r>
        <w:instrText xml:space="preserve"> REF _Ref243388788 \r \h </w:instrText>
      </w:r>
      <w:r w:rsidR="00EA2F38">
        <w:fldChar w:fldCharType="separate"/>
      </w:r>
      <w:r w:rsidR="00B11F3B">
        <w:t>6.5</w:t>
      </w:r>
      <w:r w:rsidR="00EA2F38">
        <w:fldChar w:fldCharType="end"/>
      </w:r>
      <w:r>
        <w:t>.</w:t>
      </w:r>
    </w:p>
    <w:p w:rsidR="001E2BDA" w:rsidRDefault="001E2BDA" w:rsidP="002E0BD6">
      <w:pPr>
        <w:pStyle w:val="BodyText"/>
      </w:pPr>
    </w:p>
    <w:p w:rsidR="001E2BDA" w:rsidRPr="00A40CD0" w:rsidRDefault="001E2BDA" w:rsidP="002E0BD6">
      <w:pPr>
        <w:pStyle w:val="BodyText"/>
      </w:pPr>
    </w:p>
    <w:p w:rsidR="00C43D79" w:rsidRPr="00A40CD0" w:rsidRDefault="00C43D79" w:rsidP="002E0BD6">
      <w:pPr>
        <w:pStyle w:val="BodyText"/>
        <w:sectPr w:rsidR="00C43D79" w:rsidRPr="00A40CD0" w:rsidSect="00A12779">
          <w:footerReference w:type="default" r:id="rId206"/>
          <w:headerReference w:type="first" r:id="rId207"/>
          <w:footerReference w:type="first" r:id="rId208"/>
          <w:pgSz w:w="11906" w:h="16838" w:code="9"/>
          <w:pgMar w:top="1418" w:right="1418" w:bottom="1418" w:left="1418" w:header="567" w:footer="737" w:gutter="0"/>
          <w:cols w:space="708"/>
          <w:docGrid w:linePitch="360"/>
        </w:sectPr>
      </w:pPr>
    </w:p>
    <w:p w:rsidR="00B25CAA" w:rsidRPr="00A40CD0" w:rsidRDefault="00B25CAA" w:rsidP="002E0BD6">
      <w:pPr>
        <w:pStyle w:val="BodyText"/>
      </w:pPr>
    </w:p>
    <w:p w:rsidR="00B25CAA" w:rsidRPr="00A40CD0" w:rsidRDefault="00B25CAA" w:rsidP="004F4DDE">
      <w:pPr>
        <w:pStyle w:val="Caption"/>
      </w:pPr>
      <w:bookmarkStart w:id="629" w:name="_Ref213840182"/>
      <w:bookmarkStart w:id="630" w:name="_Ref213840175"/>
      <w:bookmarkStart w:id="631" w:name="_Toc228588267"/>
      <w:bookmarkStart w:id="632" w:name="_Toc399264971"/>
      <w:r w:rsidRPr="00A40CD0">
        <w:t xml:space="preserve">Table </w:t>
      </w:r>
      <w:fldSimple w:instr=" SEQ Table \* ARABIC ">
        <w:r w:rsidR="00B11F3B">
          <w:rPr>
            <w:noProof/>
          </w:rPr>
          <w:t>42</w:t>
        </w:r>
      </w:fldSimple>
      <w:bookmarkEnd w:id="629"/>
      <w:r w:rsidR="006C7E37">
        <w:t xml:space="preserve"> The SIOP shape and amplitude parameters for the candidate model parameter set </w:t>
      </w:r>
      <w:r w:rsidRPr="00A40CD0">
        <w:t>in</w:t>
      </w:r>
      <w:r w:rsidR="006C7E37">
        <w:t xml:space="preserve"> the adaptive parameterization LMI_CLT</w:t>
      </w:r>
      <w:r w:rsidRPr="00A40CD0">
        <w:t>4.</w:t>
      </w:r>
      <w:bookmarkEnd w:id="630"/>
      <w:bookmarkEnd w:id="631"/>
      <w:bookmarkEnd w:id="63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
        <w:gridCol w:w="1720"/>
        <w:gridCol w:w="1451"/>
        <w:gridCol w:w="1634"/>
        <w:gridCol w:w="1487"/>
        <w:gridCol w:w="1133"/>
        <w:gridCol w:w="1280"/>
        <w:gridCol w:w="1255"/>
        <w:gridCol w:w="1402"/>
      </w:tblGrid>
      <w:tr w:rsidR="00B25CAA" w:rsidRPr="00A40CD0" w:rsidTr="009E3D79">
        <w:trPr>
          <w:trHeight w:val="255"/>
        </w:trPr>
        <w:tc>
          <w:tcPr>
            <w:tcW w:w="0" w:type="auto"/>
          </w:tcPr>
          <w:p w:rsidR="00B25CAA" w:rsidRPr="00A40CD0" w:rsidRDefault="00B25CAA" w:rsidP="002E0BD6">
            <w:pPr>
              <w:pStyle w:val="BodyText"/>
            </w:pPr>
            <w:r w:rsidRPr="00A40CD0">
              <w:t>Cluster</w:t>
            </w:r>
          </w:p>
        </w:tc>
        <w:tc>
          <w:tcPr>
            <w:tcW w:w="0" w:type="auto"/>
          </w:tcPr>
          <w:p w:rsidR="00B25CAA" w:rsidRPr="00A40CD0" w:rsidRDefault="00B25CAA" w:rsidP="002E0BD6">
            <w:pPr>
              <w:pStyle w:val="BodyText"/>
            </w:pPr>
            <w:r w:rsidRPr="00A40CD0">
              <w:t>Site</w:t>
            </w:r>
          </w:p>
        </w:tc>
        <w:tc>
          <w:tcPr>
            <w:tcW w:w="0" w:type="auto"/>
            <w:noWrap/>
          </w:tcPr>
          <w:p w:rsidR="00B25CAA" w:rsidRPr="00A40CD0" w:rsidRDefault="00B25CAA" w:rsidP="002E0BD6">
            <w:pPr>
              <w:pStyle w:val="BodyText"/>
            </w:pPr>
            <w:r w:rsidRPr="00A40CD0">
              <w:t>bb_phy_slope</w:t>
            </w:r>
          </w:p>
        </w:tc>
        <w:tc>
          <w:tcPr>
            <w:tcW w:w="0" w:type="auto"/>
            <w:noWrap/>
          </w:tcPr>
          <w:p w:rsidR="00B25CAA" w:rsidRPr="00A40CD0" w:rsidRDefault="00B25CAA" w:rsidP="002E0BD6">
            <w:pPr>
              <w:pStyle w:val="BodyText"/>
            </w:pPr>
            <w:r w:rsidRPr="00A40CD0">
              <w:t>Bb_phy_555nm</w:t>
            </w:r>
          </w:p>
        </w:tc>
        <w:tc>
          <w:tcPr>
            <w:tcW w:w="0" w:type="auto"/>
            <w:noWrap/>
          </w:tcPr>
          <w:p w:rsidR="00B25CAA" w:rsidRPr="00A40CD0" w:rsidRDefault="00B25CAA" w:rsidP="002E0BD6">
            <w:pPr>
              <w:pStyle w:val="BodyText"/>
            </w:pPr>
            <w:r w:rsidRPr="00A40CD0">
              <w:t>a_cdom_slope</w:t>
            </w:r>
          </w:p>
        </w:tc>
        <w:tc>
          <w:tcPr>
            <w:tcW w:w="0" w:type="auto"/>
            <w:noWrap/>
          </w:tcPr>
          <w:p w:rsidR="00B25CAA" w:rsidRPr="00A40CD0" w:rsidRDefault="00B25CAA" w:rsidP="002E0BD6">
            <w:pPr>
              <w:pStyle w:val="BodyText"/>
            </w:pPr>
            <w:r w:rsidRPr="00A40CD0">
              <w:t>a_tr_slope</w:t>
            </w:r>
          </w:p>
        </w:tc>
        <w:tc>
          <w:tcPr>
            <w:tcW w:w="0" w:type="auto"/>
            <w:noWrap/>
          </w:tcPr>
          <w:p w:rsidR="00B25CAA" w:rsidRPr="00A40CD0" w:rsidRDefault="00B25CAA" w:rsidP="002E0BD6">
            <w:pPr>
              <w:pStyle w:val="BodyText"/>
            </w:pPr>
            <w:r w:rsidRPr="00A40CD0">
              <w:t>a_tr_440nm</w:t>
            </w:r>
          </w:p>
        </w:tc>
        <w:tc>
          <w:tcPr>
            <w:tcW w:w="0" w:type="auto"/>
            <w:noWrap/>
          </w:tcPr>
          <w:p w:rsidR="00B25CAA" w:rsidRPr="00A40CD0" w:rsidRDefault="00B25CAA" w:rsidP="002E0BD6">
            <w:pPr>
              <w:pStyle w:val="BodyText"/>
            </w:pPr>
            <w:r w:rsidRPr="00A40CD0">
              <w:t>bb_tr_slope</w:t>
            </w:r>
          </w:p>
        </w:tc>
        <w:tc>
          <w:tcPr>
            <w:tcW w:w="0" w:type="auto"/>
            <w:noWrap/>
          </w:tcPr>
          <w:p w:rsidR="00B25CAA" w:rsidRPr="00A40CD0" w:rsidRDefault="00B25CAA" w:rsidP="002E0BD6">
            <w:pPr>
              <w:pStyle w:val="BodyText"/>
            </w:pPr>
            <w:r w:rsidRPr="00A40CD0">
              <w:t>bb_tr_555nm</w:t>
            </w:r>
          </w:p>
        </w:tc>
      </w:tr>
      <w:tr w:rsidR="00B25CAA" w:rsidRPr="00A40CD0" w:rsidTr="009E3D79">
        <w:trPr>
          <w:trHeight w:val="255"/>
        </w:trPr>
        <w:tc>
          <w:tcPr>
            <w:tcW w:w="0" w:type="auto"/>
          </w:tcPr>
          <w:p w:rsidR="00B25CAA" w:rsidRPr="00A40CD0" w:rsidRDefault="00B25CAA" w:rsidP="002E0BD6">
            <w:pPr>
              <w:pStyle w:val="BodyText"/>
            </w:pPr>
            <w:r w:rsidRPr="00A40CD0">
              <w:t>1</w:t>
            </w:r>
          </w:p>
        </w:tc>
        <w:tc>
          <w:tcPr>
            <w:tcW w:w="0" w:type="auto"/>
            <w:vAlign w:val="bottom"/>
          </w:tcPr>
          <w:p w:rsidR="00B25CAA" w:rsidRPr="00A40CD0" w:rsidRDefault="00B25CAA" w:rsidP="002E0BD6">
            <w:pPr>
              <w:pStyle w:val="BodyText"/>
            </w:pPr>
            <w:r w:rsidRPr="00A40CD0">
              <w:t>AS05_WQN026</w:t>
            </w:r>
          </w:p>
        </w:tc>
        <w:tc>
          <w:tcPr>
            <w:tcW w:w="0" w:type="auto"/>
            <w:noWrap/>
          </w:tcPr>
          <w:p w:rsidR="00B25CAA" w:rsidRPr="00A40CD0" w:rsidRDefault="00B25CAA" w:rsidP="002E0BD6">
            <w:pPr>
              <w:pStyle w:val="BodyText"/>
            </w:pPr>
            <w:r w:rsidRPr="00A40CD0">
              <w:t>0.6649</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0.0336</w:t>
            </w:r>
          </w:p>
        </w:tc>
        <w:tc>
          <w:tcPr>
            <w:tcW w:w="0" w:type="auto"/>
            <w:noWrap/>
          </w:tcPr>
          <w:p w:rsidR="00B25CAA" w:rsidRPr="00A40CD0" w:rsidRDefault="00B25CAA" w:rsidP="002E0BD6">
            <w:pPr>
              <w:pStyle w:val="BodyText"/>
            </w:pPr>
            <w:r w:rsidRPr="00A40CD0">
              <w:t>0.0115</w:t>
            </w:r>
          </w:p>
        </w:tc>
        <w:tc>
          <w:tcPr>
            <w:tcW w:w="0" w:type="auto"/>
            <w:noWrap/>
          </w:tcPr>
          <w:p w:rsidR="00B25CAA" w:rsidRPr="00A40CD0" w:rsidRDefault="00B25CAA" w:rsidP="002E0BD6">
            <w:pPr>
              <w:pStyle w:val="BodyText"/>
            </w:pPr>
            <w:r w:rsidRPr="00A40CD0">
              <w:t>0.0188</w:t>
            </w:r>
          </w:p>
        </w:tc>
        <w:tc>
          <w:tcPr>
            <w:tcW w:w="0" w:type="auto"/>
            <w:noWrap/>
          </w:tcPr>
          <w:p w:rsidR="00B25CAA" w:rsidRPr="00A40CD0" w:rsidRDefault="00B25CAA" w:rsidP="002E0BD6">
            <w:pPr>
              <w:pStyle w:val="BodyText"/>
            </w:pPr>
            <w:r w:rsidRPr="00A40CD0">
              <w:t>0.6649</w:t>
            </w:r>
          </w:p>
        </w:tc>
        <w:tc>
          <w:tcPr>
            <w:tcW w:w="0" w:type="auto"/>
            <w:noWrap/>
          </w:tcPr>
          <w:p w:rsidR="00B25CAA" w:rsidRPr="00A40CD0" w:rsidRDefault="00B25CAA" w:rsidP="002E0BD6">
            <w:pPr>
              <w:pStyle w:val="BodyText"/>
            </w:pPr>
            <w:r w:rsidRPr="00A40CD0">
              <w:t>0.0064</w:t>
            </w:r>
          </w:p>
        </w:tc>
      </w:tr>
      <w:tr w:rsidR="00B25CAA" w:rsidRPr="00A40CD0" w:rsidTr="009E3D79">
        <w:trPr>
          <w:trHeight w:val="255"/>
        </w:trPr>
        <w:tc>
          <w:tcPr>
            <w:tcW w:w="0" w:type="auto"/>
          </w:tcPr>
          <w:p w:rsidR="00B25CAA" w:rsidRPr="00A40CD0" w:rsidRDefault="00B25CAA" w:rsidP="002E0BD6">
            <w:pPr>
              <w:pStyle w:val="BodyText"/>
            </w:pPr>
            <w:r w:rsidRPr="00A40CD0">
              <w:t>2</w:t>
            </w:r>
          </w:p>
        </w:tc>
        <w:tc>
          <w:tcPr>
            <w:tcW w:w="0" w:type="auto"/>
            <w:vAlign w:val="bottom"/>
          </w:tcPr>
          <w:p w:rsidR="00B25CAA" w:rsidRPr="00A40CD0" w:rsidRDefault="00B25CAA" w:rsidP="002E0BD6">
            <w:pPr>
              <w:pStyle w:val="BodyText"/>
            </w:pPr>
            <w:r w:rsidRPr="00A40CD0">
              <w:t>MD 7D</w:t>
            </w:r>
          </w:p>
        </w:tc>
        <w:tc>
          <w:tcPr>
            <w:tcW w:w="0" w:type="auto"/>
            <w:noWrap/>
          </w:tcPr>
          <w:p w:rsidR="00B25CAA" w:rsidRPr="00A40CD0" w:rsidRDefault="00B25CAA" w:rsidP="002E0BD6">
            <w:pPr>
              <w:pStyle w:val="BodyText"/>
            </w:pPr>
            <w:r w:rsidRPr="00A40CD0">
              <w:t>0.7735</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0.0171</w:t>
            </w:r>
          </w:p>
        </w:tc>
        <w:tc>
          <w:tcPr>
            <w:tcW w:w="0" w:type="auto"/>
            <w:noWrap/>
          </w:tcPr>
          <w:p w:rsidR="00B25CAA" w:rsidRPr="00A40CD0" w:rsidRDefault="00B25CAA" w:rsidP="002E0BD6">
            <w:pPr>
              <w:pStyle w:val="BodyText"/>
            </w:pPr>
            <w:r w:rsidRPr="00A40CD0">
              <w:t>0.0119</w:t>
            </w:r>
          </w:p>
        </w:tc>
        <w:tc>
          <w:tcPr>
            <w:tcW w:w="0" w:type="auto"/>
            <w:noWrap/>
          </w:tcPr>
          <w:p w:rsidR="00B25CAA" w:rsidRPr="00A40CD0" w:rsidRDefault="00B25CAA" w:rsidP="002E0BD6">
            <w:pPr>
              <w:pStyle w:val="BodyText"/>
            </w:pPr>
            <w:r w:rsidRPr="00A40CD0">
              <w:t>0.0401</w:t>
            </w:r>
          </w:p>
        </w:tc>
        <w:tc>
          <w:tcPr>
            <w:tcW w:w="0" w:type="auto"/>
            <w:noWrap/>
          </w:tcPr>
          <w:p w:rsidR="00B25CAA" w:rsidRPr="00A40CD0" w:rsidRDefault="00B25CAA" w:rsidP="002E0BD6">
            <w:pPr>
              <w:pStyle w:val="BodyText"/>
            </w:pPr>
            <w:r w:rsidRPr="00A40CD0">
              <w:t>0.7735</w:t>
            </w:r>
          </w:p>
        </w:tc>
        <w:tc>
          <w:tcPr>
            <w:tcW w:w="0" w:type="auto"/>
            <w:noWrap/>
          </w:tcPr>
          <w:p w:rsidR="00B25CAA" w:rsidRPr="00A40CD0" w:rsidRDefault="00B25CAA" w:rsidP="002E0BD6">
            <w:pPr>
              <w:pStyle w:val="BodyText"/>
            </w:pPr>
            <w:r w:rsidRPr="00A40CD0">
              <w:t>0.0084</w:t>
            </w:r>
          </w:p>
        </w:tc>
      </w:tr>
      <w:tr w:rsidR="00B25CAA" w:rsidRPr="00A40CD0" w:rsidTr="009E3D79">
        <w:trPr>
          <w:trHeight w:val="255"/>
        </w:trPr>
        <w:tc>
          <w:tcPr>
            <w:tcW w:w="0" w:type="auto"/>
          </w:tcPr>
          <w:p w:rsidR="00B25CAA" w:rsidRPr="00A40CD0" w:rsidRDefault="006C7E37" w:rsidP="002E0BD6">
            <w:pPr>
              <w:pStyle w:val="BodyText"/>
            </w:pPr>
            <w:r>
              <w:t>3</w:t>
            </w:r>
          </w:p>
        </w:tc>
        <w:tc>
          <w:tcPr>
            <w:tcW w:w="0" w:type="auto"/>
          </w:tcPr>
          <w:p w:rsidR="00B25CAA" w:rsidRPr="00A40CD0" w:rsidRDefault="00B25CAA" w:rsidP="002E0BD6">
            <w:pPr>
              <w:pStyle w:val="BodyText"/>
            </w:pPr>
            <w:r w:rsidRPr="00A40CD0">
              <w:t>FK35</w:t>
            </w:r>
          </w:p>
        </w:tc>
        <w:tc>
          <w:tcPr>
            <w:tcW w:w="0" w:type="auto"/>
            <w:noWrap/>
          </w:tcPr>
          <w:p w:rsidR="00B25CAA" w:rsidRPr="00A40CD0" w:rsidRDefault="00B25CAA" w:rsidP="002E0BD6">
            <w:pPr>
              <w:pStyle w:val="BodyText"/>
            </w:pPr>
            <w:r w:rsidRPr="00A40CD0">
              <w:t>0.421</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0.0116</w:t>
            </w:r>
          </w:p>
        </w:tc>
        <w:tc>
          <w:tcPr>
            <w:tcW w:w="0" w:type="auto"/>
            <w:noWrap/>
          </w:tcPr>
          <w:p w:rsidR="00B25CAA" w:rsidRPr="00A40CD0" w:rsidRDefault="00B25CAA" w:rsidP="002E0BD6">
            <w:pPr>
              <w:pStyle w:val="BodyText"/>
            </w:pPr>
            <w:r w:rsidRPr="00A40CD0">
              <w:t>0.0099</w:t>
            </w:r>
          </w:p>
        </w:tc>
        <w:tc>
          <w:tcPr>
            <w:tcW w:w="0" w:type="auto"/>
            <w:noWrap/>
          </w:tcPr>
          <w:p w:rsidR="00B25CAA" w:rsidRPr="00A40CD0" w:rsidRDefault="00B25CAA" w:rsidP="002E0BD6">
            <w:pPr>
              <w:pStyle w:val="BodyText"/>
            </w:pPr>
            <w:r w:rsidRPr="00A40CD0">
              <w:t>0.0281</w:t>
            </w:r>
          </w:p>
        </w:tc>
        <w:tc>
          <w:tcPr>
            <w:tcW w:w="0" w:type="auto"/>
            <w:noWrap/>
          </w:tcPr>
          <w:p w:rsidR="00B25CAA" w:rsidRPr="00A40CD0" w:rsidRDefault="00B25CAA" w:rsidP="002E0BD6">
            <w:pPr>
              <w:pStyle w:val="BodyText"/>
            </w:pPr>
            <w:r w:rsidRPr="00A40CD0">
              <w:t>0.421</w:t>
            </w:r>
          </w:p>
        </w:tc>
        <w:tc>
          <w:tcPr>
            <w:tcW w:w="0" w:type="auto"/>
            <w:noWrap/>
          </w:tcPr>
          <w:p w:rsidR="00B25CAA" w:rsidRPr="00A40CD0" w:rsidRDefault="00B25CAA" w:rsidP="002E0BD6">
            <w:pPr>
              <w:pStyle w:val="BodyText"/>
            </w:pPr>
            <w:r w:rsidRPr="00A40CD0">
              <w:t>0.0063</w:t>
            </w:r>
          </w:p>
        </w:tc>
      </w:tr>
      <w:tr w:rsidR="00B25CAA" w:rsidRPr="00A40CD0" w:rsidTr="009E3D79">
        <w:trPr>
          <w:trHeight w:val="255"/>
        </w:trPr>
        <w:tc>
          <w:tcPr>
            <w:tcW w:w="0" w:type="auto"/>
          </w:tcPr>
          <w:p w:rsidR="00B25CAA" w:rsidRPr="00A40CD0" w:rsidRDefault="006C7E37" w:rsidP="002E0BD6">
            <w:pPr>
              <w:pStyle w:val="BodyText"/>
            </w:pPr>
            <w:r>
              <w:t>4</w:t>
            </w:r>
          </w:p>
        </w:tc>
        <w:tc>
          <w:tcPr>
            <w:tcW w:w="0" w:type="auto"/>
            <w:vAlign w:val="bottom"/>
          </w:tcPr>
          <w:p w:rsidR="00B25CAA" w:rsidRPr="00A40CD0" w:rsidRDefault="00B25CAA" w:rsidP="002E0BD6">
            <w:pPr>
              <w:pStyle w:val="BodyText"/>
            </w:pPr>
            <w:r w:rsidRPr="00A40CD0">
              <w:t>FK2-30</w:t>
            </w:r>
          </w:p>
        </w:tc>
        <w:tc>
          <w:tcPr>
            <w:tcW w:w="0" w:type="auto"/>
            <w:noWrap/>
          </w:tcPr>
          <w:p w:rsidR="00B25CAA" w:rsidRPr="00A40CD0" w:rsidRDefault="00B25CAA" w:rsidP="002E0BD6">
            <w:pPr>
              <w:pStyle w:val="BodyText"/>
            </w:pPr>
            <w:r w:rsidRPr="00A40CD0">
              <w:t>0.6065</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0.0181</w:t>
            </w:r>
          </w:p>
        </w:tc>
        <w:tc>
          <w:tcPr>
            <w:tcW w:w="0" w:type="auto"/>
            <w:noWrap/>
          </w:tcPr>
          <w:p w:rsidR="00B25CAA" w:rsidRPr="00A40CD0" w:rsidRDefault="00B25CAA" w:rsidP="002E0BD6">
            <w:pPr>
              <w:pStyle w:val="BodyText"/>
            </w:pPr>
            <w:r w:rsidRPr="00A40CD0">
              <w:t>0.0148</w:t>
            </w:r>
          </w:p>
        </w:tc>
        <w:tc>
          <w:tcPr>
            <w:tcW w:w="0" w:type="auto"/>
            <w:noWrap/>
          </w:tcPr>
          <w:p w:rsidR="00B25CAA" w:rsidRPr="00A40CD0" w:rsidRDefault="00B25CAA" w:rsidP="002E0BD6">
            <w:pPr>
              <w:pStyle w:val="BodyText"/>
            </w:pPr>
            <w:r w:rsidRPr="00A40CD0">
              <w:t>0.0271</w:t>
            </w:r>
          </w:p>
        </w:tc>
        <w:tc>
          <w:tcPr>
            <w:tcW w:w="0" w:type="auto"/>
            <w:noWrap/>
          </w:tcPr>
          <w:p w:rsidR="00B25CAA" w:rsidRPr="00A40CD0" w:rsidRDefault="00B25CAA" w:rsidP="002E0BD6">
            <w:pPr>
              <w:pStyle w:val="BodyText"/>
            </w:pPr>
            <w:r w:rsidRPr="00A40CD0">
              <w:t>0.6065</w:t>
            </w:r>
          </w:p>
        </w:tc>
        <w:tc>
          <w:tcPr>
            <w:tcW w:w="0" w:type="auto"/>
            <w:noWrap/>
          </w:tcPr>
          <w:p w:rsidR="00B25CAA" w:rsidRPr="00A40CD0" w:rsidRDefault="00B25CAA" w:rsidP="002E0BD6">
            <w:pPr>
              <w:pStyle w:val="BodyText"/>
            </w:pPr>
            <w:r w:rsidRPr="00A40CD0">
              <w:t>0.0128</w:t>
            </w:r>
          </w:p>
        </w:tc>
      </w:tr>
      <w:tr w:rsidR="00B25CAA" w:rsidRPr="00A40CD0" w:rsidTr="009E3D79">
        <w:trPr>
          <w:trHeight w:val="255"/>
        </w:trPr>
        <w:tc>
          <w:tcPr>
            <w:tcW w:w="0" w:type="auto"/>
          </w:tcPr>
          <w:p w:rsidR="00B25CAA" w:rsidRPr="00A40CD0" w:rsidRDefault="006C7E37" w:rsidP="002E0BD6">
            <w:pPr>
              <w:pStyle w:val="BodyText"/>
            </w:pPr>
            <w:r>
              <w:t>5</w:t>
            </w:r>
          </w:p>
        </w:tc>
        <w:tc>
          <w:tcPr>
            <w:tcW w:w="0" w:type="auto"/>
            <w:vAlign w:val="bottom"/>
          </w:tcPr>
          <w:p w:rsidR="00B25CAA" w:rsidRPr="00A40CD0" w:rsidRDefault="00B25CAA" w:rsidP="002E0BD6">
            <w:pPr>
              <w:pStyle w:val="BodyText"/>
            </w:pPr>
            <w:r w:rsidRPr="00A40CD0">
              <w:t>FK2-23</w:t>
            </w:r>
          </w:p>
        </w:tc>
        <w:tc>
          <w:tcPr>
            <w:tcW w:w="0" w:type="auto"/>
            <w:noWrap/>
          </w:tcPr>
          <w:p w:rsidR="00B25CAA" w:rsidRPr="00A40CD0" w:rsidRDefault="00B25CAA" w:rsidP="002E0BD6">
            <w:pPr>
              <w:pStyle w:val="BodyText"/>
            </w:pPr>
            <w:r w:rsidRPr="00A40CD0">
              <w:t>0.8579</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0.0192</w:t>
            </w:r>
          </w:p>
        </w:tc>
        <w:tc>
          <w:tcPr>
            <w:tcW w:w="0" w:type="auto"/>
            <w:noWrap/>
          </w:tcPr>
          <w:p w:rsidR="00B25CAA" w:rsidRPr="00A40CD0" w:rsidRDefault="00B25CAA" w:rsidP="002E0BD6">
            <w:pPr>
              <w:pStyle w:val="BodyText"/>
            </w:pPr>
            <w:r w:rsidRPr="00A40CD0">
              <w:t>0.0118</w:t>
            </w:r>
          </w:p>
        </w:tc>
        <w:tc>
          <w:tcPr>
            <w:tcW w:w="0" w:type="auto"/>
            <w:noWrap/>
          </w:tcPr>
          <w:p w:rsidR="00B25CAA" w:rsidRPr="00A40CD0" w:rsidRDefault="00B25CAA" w:rsidP="002E0BD6">
            <w:pPr>
              <w:pStyle w:val="BodyText"/>
            </w:pPr>
            <w:r w:rsidRPr="00A40CD0">
              <w:t>0.0438</w:t>
            </w:r>
          </w:p>
        </w:tc>
        <w:tc>
          <w:tcPr>
            <w:tcW w:w="0" w:type="auto"/>
            <w:noWrap/>
          </w:tcPr>
          <w:p w:rsidR="00B25CAA" w:rsidRPr="00A40CD0" w:rsidRDefault="00B25CAA" w:rsidP="002E0BD6">
            <w:pPr>
              <w:pStyle w:val="BodyText"/>
            </w:pPr>
            <w:r w:rsidRPr="00A40CD0">
              <w:t>0.8579</w:t>
            </w:r>
          </w:p>
        </w:tc>
        <w:tc>
          <w:tcPr>
            <w:tcW w:w="0" w:type="auto"/>
            <w:noWrap/>
          </w:tcPr>
          <w:p w:rsidR="00B25CAA" w:rsidRPr="00A40CD0" w:rsidRDefault="00B25CAA" w:rsidP="002E0BD6">
            <w:pPr>
              <w:pStyle w:val="BodyText"/>
            </w:pPr>
            <w:r w:rsidRPr="00A40CD0">
              <w:t>0.0145</w:t>
            </w:r>
          </w:p>
        </w:tc>
      </w:tr>
      <w:tr w:rsidR="00B25CAA" w:rsidRPr="00A40CD0" w:rsidTr="009E3D79">
        <w:trPr>
          <w:trHeight w:val="255"/>
        </w:trPr>
        <w:tc>
          <w:tcPr>
            <w:tcW w:w="0" w:type="auto"/>
          </w:tcPr>
          <w:p w:rsidR="00B25CAA" w:rsidRPr="00A40CD0" w:rsidRDefault="006C7E37" w:rsidP="002E0BD6">
            <w:pPr>
              <w:pStyle w:val="BodyText"/>
            </w:pPr>
            <w:r>
              <w:t>6</w:t>
            </w:r>
          </w:p>
        </w:tc>
        <w:tc>
          <w:tcPr>
            <w:tcW w:w="0" w:type="auto"/>
            <w:vAlign w:val="bottom"/>
          </w:tcPr>
          <w:p w:rsidR="00B25CAA" w:rsidRPr="00A40CD0" w:rsidRDefault="00B25CAA" w:rsidP="002E0BD6">
            <w:pPr>
              <w:pStyle w:val="BodyText"/>
            </w:pPr>
            <w:r w:rsidRPr="00A40CD0">
              <w:t>MD 15D</w:t>
            </w:r>
          </w:p>
        </w:tc>
        <w:tc>
          <w:tcPr>
            <w:tcW w:w="0" w:type="auto"/>
            <w:noWrap/>
          </w:tcPr>
          <w:p w:rsidR="00B25CAA" w:rsidRPr="00A40CD0" w:rsidRDefault="00B25CAA" w:rsidP="002E0BD6">
            <w:pPr>
              <w:pStyle w:val="BodyText"/>
            </w:pPr>
            <w:r w:rsidRPr="00A40CD0">
              <w:t>0.8393</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0.0144</w:t>
            </w:r>
          </w:p>
        </w:tc>
        <w:tc>
          <w:tcPr>
            <w:tcW w:w="0" w:type="auto"/>
            <w:noWrap/>
          </w:tcPr>
          <w:p w:rsidR="00B25CAA" w:rsidRPr="00A40CD0" w:rsidRDefault="00B25CAA" w:rsidP="002E0BD6">
            <w:pPr>
              <w:pStyle w:val="BodyText"/>
            </w:pPr>
            <w:r w:rsidRPr="00A40CD0">
              <w:t>0.0115</w:t>
            </w:r>
          </w:p>
        </w:tc>
        <w:tc>
          <w:tcPr>
            <w:tcW w:w="0" w:type="auto"/>
            <w:noWrap/>
          </w:tcPr>
          <w:p w:rsidR="00B25CAA" w:rsidRPr="00A40CD0" w:rsidRDefault="00B25CAA" w:rsidP="002E0BD6">
            <w:pPr>
              <w:pStyle w:val="BodyText"/>
            </w:pPr>
            <w:r w:rsidRPr="00A40CD0">
              <w:t>0.0266</w:t>
            </w:r>
          </w:p>
        </w:tc>
        <w:tc>
          <w:tcPr>
            <w:tcW w:w="0" w:type="auto"/>
            <w:noWrap/>
          </w:tcPr>
          <w:p w:rsidR="00B25CAA" w:rsidRPr="00A40CD0" w:rsidRDefault="00B25CAA" w:rsidP="002E0BD6">
            <w:pPr>
              <w:pStyle w:val="BodyText"/>
            </w:pPr>
            <w:r w:rsidRPr="00A40CD0">
              <w:t>0.8393</w:t>
            </w:r>
          </w:p>
        </w:tc>
        <w:tc>
          <w:tcPr>
            <w:tcW w:w="0" w:type="auto"/>
            <w:noWrap/>
          </w:tcPr>
          <w:p w:rsidR="00B25CAA" w:rsidRPr="00A40CD0" w:rsidRDefault="00B25CAA" w:rsidP="002E0BD6">
            <w:pPr>
              <w:pStyle w:val="BodyText"/>
            </w:pPr>
            <w:r w:rsidRPr="00A40CD0">
              <w:t>0.008</w:t>
            </w:r>
          </w:p>
        </w:tc>
      </w:tr>
      <w:tr w:rsidR="00B25CAA" w:rsidRPr="00A40CD0" w:rsidTr="009E3D79">
        <w:trPr>
          <w:trHeight w:val="255"/>
        </w:trPr>
        <w:tc>
          <w:tcPr>
            <w:tcW w:w="0" w:type="auto"/>
          </w:tcPr>
          <w:p w:rsidR="00B25CAA" w:rsidRPr="00A40CD0" w:rsidRDefault="006C7E37" w:rsidP="002E0BD6">
            <w:pPr>
              <w:pStyle w:val="BodyText"/>
            </w:pPr>
            <w:r>
              <w:t>7</w:t>
            </w:r>
          </w:p>
        </w:tc>
        <w:tc>
          <w:tcPr>
            <w:tcW w:w="0" w:type="auto"/>
            <w:vAlign w:val="bottom"/>
          </w:tcPr>
          <w:p w:rsidR="00B25CAA" w:rsidRPr="00A40CD0" w:rsidRDefault="00B25CAA" w:rsidP="002E0BD6">
            <w:pPr>
              <w:pStyle w:val="BodyText"/>
            </w:pPr>
            <w:r w:rsidRPr="00A40CD0">
              <w:t>AA05_WQS015</w:t>
            </w:r>
          </w:p>
        </w:tc>
        <w:tc>
          <w:tcPr>
            <w:tcW w:w="0" w:type="auto"/>
            <w:noWrap/>
          </w:tcPr>
          <w:p w:rsidR="00B25CAA" w:rsidRPr="00A40CD0" w:rsidRDefault="00B25CAA" w:rsidP="002E0BD6">
            <w:pPr>
              <w:pStyle w:val="BodyText"/>
            </w:pPr>
            <w:r w:rsidRPr="00A40CD0">
              <w:t>0.6003</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0.0105</w:t>
            </w:r>
          </w:p>
        </w:tc>
        <w:tc>
          <w:tcPr>
            <w:tcW w:w="0" w:type="auto"/>
            <w:noWrap/>
          </w:tcPr>
          <w:p w:rsidR="00B25CAA" w:rsidRPr="00A40CD0" w:rsidRDefault="00B25CAA" w:rsidP="002E0BD6">
            <w:pPr>
              <w:pStyle w:val="BodyText"/>
            </w:pPr>
            <w:r w:rsidRPr="00A40CD0">
              <w:t>0.0119</w:t>
            </w:r>
          </w:p>
        </w:tc>
        <w:tc>
          <w:tcPr>
            <w:tcW w:w="0" w:type="auto"/>
            <w:noWrap/>
          </w:tcPr>
          <w:p w:rsidR="00B25CAA" w:rsidRPr="00A40CD0" w:rsidRDefault="00B25CAA" w:rsidP="002E0BD6">
            <w:pPr>
              <w:pStyle w:val="BodyText"/>
            </w:pPr>
            <w:r w:rsidRPr="00A40CD0">
              <w:t>0.0057</w:t>
            </w:r>
          </w:p>
        </w:tc>
        <w:tc>
          <w:tcPr>
            <w:tcW w:w="0" w:type="auto"/>
            <w:noWrap/>
          </w:tcPr>
          <w:p w:rsidR="00B25CAA" w:rsidRPr="00A40CD0" w:rsidRDefault="00B25CAA" w:rsidP="002E0BD6">
            <w:pPr>
              <w:pStyle w:val="BodyText"/>
            </w:pPr>
            <w:r w:rsidRPr="00A40CD0">
              <w:t>0.6003</w:t>
            </w:r>
          </w:p>
        </w:tc>
        <w:tc>
          <w:tcPr>
            <w:tcW w:w="0" w:type="auto"/>
            <w:noWrap/>
          </w:tcPr>
          <w:p w:rsidR="00B25CAA" w:rsidRPr="00A40CD0" w:rsidRDefault="00B25CAA" w:rsidP="002E0BD6">
            <w:pPr>
              <w:pStyle w:val="BodyText"/>
            </w:pPr>
            <w:r w:rsidRPr="00A40CD0">
              <w:t>0.0028</w:t>
            </w:r>
          </w:p>
        </w:tc>
      </w:tr>
      <w:tr w:rsidR="00B25CAA" w:rsidRPr="00A40CD0" w:rsidTr="009E3D79">
        <w:trPr>
          <w:trHeight w:val="255"/>
        </w:trPr>
        <w:tc>
          <w:tcPr>
            <w:tcW w:w="0" w:type="auto"/>
          </w:tcPr>
          <w:p w:rsidR="00B25CAA" w:rsidRPr="00A40CD0" w:rsidRDefault="006C7E37" w:rsidP="002E0BD6">
            <w:pPr>
              <w:pStyle w:val="BodyText"/>
            </w:pPr>
            <w:r>
              <w:t>8</w:t>
            </w:r>
          </w:p>
        </w:tc>
        <w:tc>
          <w:tcPr>
            <w:tcW w:w="0" w:type="auto"/>
            <w:vAlign w:val="bottom"/>
          </w:tcPr>
          <w:p w:rsidR="00B25CAA" w:rsidRPr="00A40CD0" w:rsidRDefault="00B25CAA" w:rsidP="002E0BD6">
            <w:pPr>
              <w:pStyle w:val="BodyText"/>
            </w:pPr>
            <w:r w:rsidRPr="00A40CD0">
              <w:t>AO02_SAT0021</w:t>
            </w:r>
          </w:p>
        </w:tc>
        <w:tc>
          <w:tcPr>
            <w:tcW w:w="0" w:type="auto"/>
            <w:noWrap/>
          </w:tcPr>
          <w:p w:rsidR="00B25CAA" w:rsidRPr="00A40CD0" w:rsidRDefault="00B25CAA" w:rsidP="002E0BD6">
            <w:pPr>
              <w:pStyle w:val="BodyText"/>
            </w:pPr>
            <w:r w:rsidRPr="00A40CD0">
              <w:t>1.3086</w:t>
            </w:r>
          </w:p>
        </w:tc>
        <w:tc>
          <w:tcPr>
            <w:tcW w:w="0" w:type="auto"/>
            <w:noWrap/>
          </w:tcPr>
          <w:p w:rsidR="00B25CAA" w:rsidRPr="00A40CD0" w:rsidRDefault="00B25CAA" w:rsidP="002E0BD6">
            <w:pPr>
              <w:pStyle w:val="BodyText"/>
            </w:pPr>
            <w:r w:rsidRPr="00A40CD0">
              <w:t>0.0006</w:t>
            </w:r>
          </w:p>
        </w:tc>
        <w:tc>
          <w:tcPr>
            <w:tcW w:w="0" w:type="auto"/>
            <w:noWrap/>
          </w:tcPr>
          <w:p w:rsidR="00B25CAA" w:rsidRPr="00A40CD0" w:rsidRDefault="00B25CAA" w:rsidP="002E0BD6">
            <w:pPr>
              <w:pStyle w:val="BodyText"/>
            </w:pPr>
            <w:r w:rsidRPr="00A40CD0">
              <w:t>0.0145</w:t>
            </w:r>
          </w:p>
        </w:tc>
        <w:tc>
          <w:tcPr>
            <w:tcW w:w="0" w:type="auto"/>
            <w:noWrap/>
          </w:tcPr>
          <w:p w:rsidR="00B25CAA" w:rsidRPr="00A40CD0" w:rsidRDefault="00B25CAA" w:rsidP="002E0BD6">
            <w:pPr>
              <w:pStyle w:val="BodyText"/>
            </w:pPr>
            <w:r w:rsidRPr="00A40CD0">
              <w:t>0.0124</w:t>
            </w:r>
          </w:p>
        </w:tc>
        <w:tc>
          <w:tcPr>
            <w:tcW w:w="0" w:type="auto"/>
            <w:noWrap/>
          </w:tcPr>
          <w:p w:rsidR="00B25CAA" w:rsidRPr="00A40CD0" w:rsidRDefault="00B25CAA" w:rsidP="002E0BD6">
            <w:pPr>
              <w:pStyle w:val="BodyText"/>
            </w:pPr>
            <w:r w:rsidRPr="00A40CD0">
              <w:t>0.0118</w:t>
            </w:r>
          </w:p>
        </w:tc>
        <w:tc>
          <w:tcPr>
            <w:tcW w:w="0" w:type="auto"/>
            <w:noWrap/>
          </w:tcPr>
          <w:p w:rsidR="00B25CAA" w:rsidRPr="00A40CD0" w:rsidRDefault="00B25CAA" w:rsidP="002E0BD6">
            <w:pPr>
              <w:pStyle w:val="BodyText"/>
            </w:pPr>
            <w:r w:rsidRPr="00A40CD0">
              <w:t>1.3086</w:t>
            </w:r>
          </w:p>
        </w:tc>
        <w:tc>
          <w:tcPr>
            <w:tcW w:w="0" w:type="auto"/>
            <w:noWrap/>
          </w:tcPr>
          <w:p w:rsidR="00B25CAA" w:rsidRPr="00A40CD0" w:rsidRDefault="00B25CAA" w:rsidP="002E0BD6">
            <w:pPr>
              <w:pStyle w:val="BodyText"/>
            </w:pPr>
            <w:r w:rsidRPr="00A40CD0">
              <w:t>0.0049</w:t>
            </w:r>
          </w:p>
        </w:tc>
      </w:tr>
    </w:tbl>
    <w:p w:rsidR="00B25CAA" w:rsidRPr="00A40CD0" w:rsidRDefault="00B25CAA" w:rsidP="002E0BD6">
      <w:pPr>
        <w:pStyle w:val="BodyText"/>
        <w:sectPr w:rsidR="00B25CAA" w:rsidRPr="00A40CD0" w:rsidSect="00A12779">
          <w:footerReference w:type="default" r:id="rId209"/>
          <w:footerReference w:type="first" r:id="rId210"/>
          <w:pgSz w:w="16838" w:h="11906" w:orient="landscape" w:code="9"/>
          <w:pgMar w:top="1418" w:right="1418" w:bottom="1418" w:left="1418" w:header="567" w:footer="737" w:gutter="0"/>
          <w:cols w:space="708"/>
          <w:docGrid w:linePitch="360"/>
        </w:sectPr>
      </w:pPr>
    </w:p>
    <w:p w:rsidR="00B25CAA" w:rsidRPr="00A40CD0" w:rsidRDefault="00B25CAA" w:rsidP="002E0BD6">
      <w:pPr>
        <w:pStyle w:val="BodyText"/>
      </w:pPr>
    </w:p>
    <w:p w:rsidR="00B25CAA" w:rsidRPr="00A40CD0" w:rsidRDefault="00D44159" w:rsidP="002E0BD6">
      <w:pPr>
        <w:pStyle w:val="BodyText"/>
      </w:pPr>
      <w:r w:rsidRPr="00A40CD0">
        <w:rPr>
          <w:noProof/>
          <w:lang w:eastAsia="en-AU"/>
        </w:rPr>
        <w:drawing>
          <wp:inline distT="0" distB="0" distL="0" distR="0">
            <wp:extent cx="5748655" cy="3665855"/>
            <wp:effectExtent l="0" t="0" r="0" b="0"/>
            <wp:docPr id="187" name="Picture 187" descr="aphy* spectra for LMI inversion in the 2008 MMP version of the parameterization (LMI_CLU4). Note different scale range for Y a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11" cstate="email">
                      <a:extLst>
                        <a:ext uri="{28A0092B-C50C-407E-A947-70E740481C1C}">
                          <a14:useLocalDpi xmlns:a14="http://schemas.microsoft.com/office/drawing/2010/main"/>
                        </a:ext>
                      </a:extLst>
                    </a:blip>
                    <a:srcRect/>
                    <a:stretch>
                      <a:fillRect/>
                    </a:stretch>
                  </pic:blipFill>
                  <pic:spPr bwMode="auto">
                    <a:xfrm>
                      <a:off x="0" y="0"/>
                      <a:ext cx="5748655" cy="3665855"/>
                    </a:xfrm>
                    <a:prstGeom prst="rect">
                      <a:avLst/>
                    </a:prstGeom>
                    <a:noFill/>
                    <a:ln w="9525">
                      <a:noFill/>
                      <a:miter lim="800000"/>
                      <a:headEnd/>
                      <a:tailEnd/>
                    </a:ln>
                  </pic:spPr>
                </pic:pic>
              </a:graphicData>
            </a:graphic>
          </wp:inline>
        </w:drawing>
      </w:r>
    </w:p>
    <w:p w:rsidR="00B25CAA" w:rsidRPr="00A40CD0" w:rsidRDefault="00B25CAA" w:rsidP="004F4DDE">
      <w:pPr>
        <w:pStyle w:val="Caption"/>
      </w:pPr>
      <w:bookmarkStart w:id="633" w:name="_Ref214934459"/>
      <w:bookmarkStart w:id="634" w:name="_Toc399265083"/>
      <w:bookmarkStart w:id="635" w:name="_Toc228588380"/>
      <w:r w:rsidRPr="00A40CD0">
        <w:t xml:space="preserve">Figure </w:t>
      </w:r>
      <w:r w:rsidR="00EA2F38">
        <w:fldChar w:fldCharType="begin"/>
      </w:r>
      <w:r w:rsidR="00933C8B">
        <w:instrText xml:space="preserve"> SEQ Figure \* ARABIC </w:instrText>
      </w:r>
      <w:r w:rsidR="00EA2F38">
        <w:fldChar w:fldCharType="separate"/>
      </w:r>
      <w:r w:rsidR="00B11F3B">
        <w:rPr>
          <w:noProof/>
        </w:rPr>
        <w:t>97</w:t>
      </w:r>
      <w:r w:rsidR="00EA2F38">
        <w:fldChar w:fldCharType="end"/>
      </w:r>
      <w:bookmarkEnd w:id="633"/>
      <w:r w:rsidR="00D55147">
        <w:t>.</w:t>
      </w:r>
      <w:r w:rsidRPr="00A40CD0">
        <w:t xml:space="preserve"> a</w:t>
      </w:r>
      <w:r w:rsidRPr="00D55147">
        <w:rPr>
          <w:vertAlign w:val="subscript"/>
        </w:rPr>
        <w:t>phy</w:t>
      </w:r>
      <w:r w:rsidRPr="00A40CD0">
        <w:t xml:space="preserve">* spectra for LMI inversion </w:t>
      </w:r>
      <w:r w:rsidR="001E7A7B">
        <w:t xml:space="preserve">adopted </w:t>
      </w:r>
      <w:r w:rsidRPr="00A40CD0">
        <w:t>in the 2008 MMP version of the parameterization (LMI_CLU4).</w:t>
      </w:r>
      <w:bookmarkEnd w:id="634"/>
      <w:r w:rsidRPr="00A40CD0">
        <w:t xml:space="preserve"> </w:t>
      </w:r>
      <w:bookmarkEnd w:id="635"/>
    </w:p>
    <w:p w:rsidR="00B25CAA" w:rsidRPr="00A40CD0" w:rsidRDefault="00B25CAA" w:rsidP="00F82027"/>
    <w:p w:rsidR="00B25CAA" w:rsidRPr="00A40CD0" w:rsidRDefault="00B25CAA" w:rsidP="007E294B">
      <w:pPr>
        <w:pStyle w:val="Heading2"/>
      </w:pPr>
      <w:bookmarkStart w:id="636" w:name="_Toc228588218"/>
      <w:bookmarkStart w:id="637" w:name="_Toc399264923"/>
      <w:r w:rsidRPr="00A40CD0">
        <w:t>Algorithm validation</w:t>
      </w:r>
      <w:bookmarkEnd w:id="636"/>
      <w:bookmarkEnd w:id="637"/>
    </w:p>
    <w:p w:rsidR="00B25CAA" w:rsidRDefault="00B25CAA" w:rsidP="002E0BD6">
      <w:pPr>
        <w:pStyle w:val="BodyText"/>
      </w:pPr>
      <w:r w:rsidRPr="00A40CD0">
        <w:t>In the remote sensing literature</w:t>
      </w:r>
      <w:r w:rsidRPr="00A40CD0">
        <w:rPr>
          <w:i/>
        </w:rPr>
        <w:t xml:space="preserve"> validation</w:t>
      </w:r>
      <w:r w:rsidRPr="00A40CD0">
        <w:t xml:space="preserve"> refers to the independent verification of the physical measurements made by a sensor as well as of the derived geophysical variables. Validation allows for the verification and improvement of the algorithms used (e.g. for atmospheric correction and retrieval of water quality variables). To achieve this, conventional, ground-based observations are required using calibrated and traceable field instrumentation and associated methods.</w:t>
      </w:r>
    </w:p>
    <w:p w:rsidR="006B1F76" w:rsidRPr="00A40CD0" w:rsidRDefault="002E0BD6" w:rsidP="002E0BD6">
      <w:pPr>
        <w:pStyle w:val="BodyText"/>
      </w:pPr>
      <w:r w:rsidRPr="00A40CD0">
        <w:t xml:space="preserve">The match-up data base included </w:t>
      </w:r>
      <w:r>
        <w:t>~2000 data points measured by 5</w:t>
      </w:r>
      <w:r w:rsidRPr="00A40CD0">
        <w:t xml:space="preserve"> institutions</w:t>
      </w:r>
      <w:r>
        <w:t>, mostly only chlorophyll</w:t>
      </w:r>
      <w:r w:rsidRPr="00A40CD0">
        <w:t xml:space="preserve">. </w:t>
      </w:r>
      <w:r w:rsidR="006B1F76">
        <w:t>The validation database is based on several sources of in situ observations:</w:t>
      </w:r>
    </w:p>
    <w:p w:rsidR="00B25CAA" w:rsidRPr="00A40CD0" w:rsidRDefault="006B1F76" w:rsidP="002E0BD6">
      <w:pPr>
        <w:pStyle w:val="BodyText"/>
        <w:numPr>
          <w:ilvl w:val="0"/>
          <w:numId w:val="30"/>
        </w:numPr>
      </w:pPr>
      <w:r>
        <w:t>T</w:t>
      </w:r>
      <w:r w:rsidR="00B25CAA" w:rsidRPr="00A40CD0">
        <w:t xml:space="preserve">he GBR Long Term Monitoring Program (GBR-LTMP) dataset. The GBR- LTMP dataset includes Chlorophyll-a measurements going back as far as 1992 (thus including the start of the first contemporary ocean colour sensor SeaWiFS, launched in 1997). This monitoring program was designed to monitor water quality status at regional spatial scales </w:t>
      </w:r>
      <w:r w:rsidR="00EA2F38" w:rsidRPr="00A40CD0">
        <w:fldChar w:fldCharType="begin"/>
      </w:r>
      <w:r w:rsidR="00AC2F22">
        <w:instrText xml:space="preserve"> ADDIN EN.CITE &lt;EndNote&gt;&lt;Cite&gt;&lt;Author&gt;Brodie&lt;/Author&gt;&lt;Year&gt;2007&lt;/Year&gt;&lt;RecNum&gt;4580&lt;/RecNum&gt;&lt;DisplayText&gt;(Brodie et al. 2007)&lt;/DisplayText&gt;&lt;record&gt;&lt;rec-number&gt;4580&lt;/rec-number&gt;&lt;foreign-keys&gt;&lt;key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EA2F38" w:rsidRPr="00A40CD0">
        <w:fldChar w:fldCharType="separate"/>
      </w:r>
      <w:r w:rsidR="00AC2F22">
        <w:rPr>
          <w:noProof/>
        </w:rPr>
        <w:t>(</w:t>
      </w:r>
      <w:hyperlink w:anchor="_ENREF_14" w:tooltip="Brodie, 2007 #4580" w:history="1">
        <w:r w:rsidR="007B7C47">
          <w:rPr>
            <w:noProof/>
          </w:rPr>
          <w:t>Brodie et al. 2007</w:t>
        </w:r>
      </w:hyperlink>
      <w:r w:rsidR="00AC2F22">
        <w:rPr>
          <w:noProof/>
        </w:rPr>
        <w:t>)</w:t>
      </w:r>
      <w:r w:rsidR="00EA2F38" w:rsidRPr="00A40CD0">
        <w:fldChar w:fldCharType="end"/>
      </w:r>
      <w:r w:rsidR="00B25CAA" w:rsidRPr="00A40CD0">
        <w:t xml:space="preserve">. The sampling stations for GBR-LTMP were situated some distance (~1-2 km) from the edge of nearby reefs to avoid confounding influences from biological activity on the reef itself  </w:t>
      </w:r>
      <w:r w:rsidR="00EA2F38" w:rsidRPr="00A40CD0">
        <w:fldChar w:fldCharType="begin"/>
      </w:r>
      <w:r w:rsidR="00AC2F22">
        <w:instrText xml:space="preserve"> ADDIN EN.CITE &lt;EndNote&gt;&lt;Cite&gt;&lt;Author&gt;Brodie&lt;/Author&gt;&lt;Year&gt;2007&lt;/Year&gt;&lt;RecNum&gt;4580&lt;/RecNum&gt;&lt;DisplayText&gt;(Brodie et al. 2007)&lt;/DisplayText&gt;&lt;record&gt;&lt;rec-number&gt;4580&lt;/rec-number&gt;&lt;foreign-keys&gt;&lt;key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EA2F38" w:rsidRPr="00A40CD0">
        <w:fldChar w:fldCharType="separate"/>
      </w:r>
      <w:r w:rsidR="00AC2F22">
        <w:rPr>
          <w:noProof/>
        </w:rPr>
        <w:t>(</w:t>
      </w:r>
      <w:hyperlink w:anchor="_ENREF_14" w:tooltip="Brodie, 2007 #4580" w:history="1">
        <w:r w:rsidR="007B7C47">
          <w:rPr>
            <w:noProof/>
          </w:rPr>
          <w:t>Brodie et al. 2007</w:t>
        </w:r>
      </w:hyperlink>
      <w:r w:rsidR="00AC2F22">
        <w:rPr>
          <w:noProof/>
        </w:rPr>
        <w:t>)</w:t>
      </w:r>
      <w:r w:rsidR="00EA2F38" w:rsidRPr="00A40CD0">
        <w:fldChar w:fldCharType="end"/>
      </w:r>
      <w:r w:rsidR="00B25CAA" w:rsidRPr="00A40CD0">
        <w:t xml:space="preserve">  Chlorophyll-a and phaeophytin concentrations were determined fluorometrically, and a suite of site variables (water depth, presence of Trichodesmium and weather conditions) was measured to aid interpretation of the Chlorophyll-a a data </w:t>
      </w:r>
      <w:r w:rsidR="00EA2F38" w:rsidRPr="00A40CD0">
        <w:fldChar w:fldCharType="begin"/>
      </w:r>
      <w:r w:rsidR="00AC2F22">
        <w:instrText xml:space="preserve"> ADDIN EN.CITE &lt;EndNote&gt;&lt;Cite&gt;&lt;Author&gt;Brodie&lt;/Author&gt;&lt;Year&gt;2007&lt;/Year&gt;&lt;RecNum&gt;4580&lt;/RecNum&gt;&lt;DisplayText&gt;(Brodie et al. 2007)&lt;/DisplayText&gt;&lt;record&gt;&lt;rec-number&gt;4580&lt;/rec-number&gt;&lt;foreign-keys&gt;&lt;key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EA2F38" w:rsidRPr="00A40CD0">
        <w:fldChar w:fldCharType="separate"/>
      </w:r>
      <w:r w:rsidR="00AC2F22">
        <w:rPr>
          <w:noProof/>
        </w:rPr>
        <w:t>(</w:t>
      </w:r>
      <w:hyperlink w:anchor="_ENREF_14" w:tooltip="Brodie, 2007 #4580" w:history="1">
        <w:r w:rsidR="007B7C47">
          <w:rPr>
            <w:noProof/>
          </w:rPr>
          <w:t>Brodie et al. 2007</w:t>
        </w:r>
      </w:hyperlink>
      <w:r w:rsidR="00AC2F22">
        <w:rPr>
          <w:noProof/>
        </w:rPr>
        <w:t>)</w:t>
      </w:r>
      <w:r w:rsidR="00EA2F38" w:rsidRPr="00A40CD0">
        <w:fldChar w:fldCharType="end"/>
      </w:r>
      <w:r w:rsidR="00B25CAA" w:rsidRPr="00A40CD0">
        <w:t>.</w:t>
      </w:r>
    </w:p>
    <w:p w:rsidR="006B1F76" w:rsidRDefault="00B25CAA" w:rsidP="002E0BD6">
      <w:pPr>
        <w:pStyle w:val="BodyText"/>
        <w:numPr>
          <w:ilvl w:val="0"/>
          <w:numId w:val="30"/>
        </w:numPr>
      </w:pPr>
      <w:r w:rsidRPr="00A40CD0">
        <w:lastRenderedPageBreak/>
        <w:t xml:space="preserve">CHL data from the Cairns transect collected by Miles Furnas and co-workers (AIMS) </w:t>
      </w:r>
      <w:r w:rsidR="0081647E">
        <w:t>between 1988 and 2006.</w:t>
      </w:r>
    </w:p>
    <w:p w:rsidR="006B1F76" w:rsidRDefault="002E0BD6" w:rsidP="002E0BD6">
      <w:pPr>
        <w:pStyle w:val="BodyText"/>
        <w:numPr>
          <w:ilvl w:val="0"/>
          <w:numId w:val="30"/>
        </w:numPr>
      </w:pPr>
      <w:r>
        <w:t xml:space="preserve">CDOM, TSS and CHL </w:t>
      </w:r>
      <w:r w:rsidR="00B25CAA" w:rsidRPr="00A40CD0">
        <w:t xml:space="preserve">data collected by </w:t>
      </w:r>
      <w:r w:rsidR="0081647E">
        <w:t>Michelel Devlin and co-workers (JCU-</w:t>
      </w:r>
      <w:r w:rsidR="00B25CAA" w:rsidRPr="00A40CD0">
        <w:t>ACTFR</w:t>
      </w:r>
      <w:r w:rsidR="0081647E">
        <w:t>)</w:t>
      </w:r>
      <w:r w:rsidR="00B25CAA" w:rsidRPr="00A40CD0">
        <w:t xml:space="preserve"> during flood monitoring projects </w:t>
      </w:r>
    </w:p>
    <w:p w:rsidR="006B1F76" w:rsidRDefault="002E0BD6" w:rsidP="002E0BD6">
      <w:pPr>
        <w:pStyle w:val="BodyText"/>
        <w:numPr>
          <w:ilvl w:val="0"/>
          <w:numId w:val="30"/>
        </w:numPr>
      </w:pPr>
      <w:r>
        <w:t xml:space="preserve">CDOM, TSS and CHL </w:t>
      </w:r>
      <w:r w:rsidR="00B25CAA" w:rsidRPr="00A40CD0">
        <w:t>da</w:t>
      </w:r>
      <w:r w:rsidR="00CE1236">
        <w:t>ta collected by CSIRO during several</w:t>
      </w:r>
      <w:r w:rsidR="00B25CAA" w:rsidRPr="00A40CD0">
        <w:t xml:space="preserve"> op</w:t>
      </w:r>
      <w:r w:rsidR="00B46459">
        <w:t xml:space="preserve">tical characterization projects. </w:t>
      </w:r>
    </w:p>
    <w:p w:rsidR="003B2F38" w:rsidRDefault="002E0BD6" w:rsidP="002E0BD6">
      <w:pPr>
        <w:pStyle w:val="BodyText"/>
        <w:numPr>
          <w:ilvl w:val="0"/>
          <w:numId w:val="30"/>
        </w:numPr>
      </w:pPr>
      <w:r>
        <w:t xml:space="preserve">CHL </w:t>
      </w:r>
      <w:r w:rsidR="003B2F38" w:rsidRPr="00A40CD0">
        <w:t>data collected at the IMOS National Reference Stat</w:t>
      </w:r>
      <w:r w:rsidR="00B46459">
        <w:t>ion moored at the Yongala wreck.</w:t>
      </w:r>
    </w:p>
    <w:p w:rsidR="0081647E" w:rsidRPr="00A40CD0" w:rsidRDefault="0081647E" w:rsidP="0081647E">
      <w:pPr>
        <w:pStyle w:val="BodyText"/>
      </w:pPr>
      <w:r w:rsidRPr="00A40CD0">
        <w:t>The measurement campaigns for GBR-LTMP, AIMS and ACTFR data sets were not designed for remote sensing validation purposes and thus the sampling protocols do not follow remote s</w:t>
      </w:r>
      <w:r>
        <w:t>ensing validation guidelines (i.e.</w:t>
      </w:r>
      <w:r w:rsidRPr="00A40CD0">
        <w:t xml:space="preserve"> minimum distanc</w:t>
      </w:r>
      <w:r>
        <w:t>e of 5 km from land or islands, sampling</w:t>
      </w:r>
      <w:r w:rsidRPr="00A40CD0">
        <w:t xml:space="preserve"> </w:t>
      </w:r>
      <w:r>
        <w:t xml:space="preserve">time planned in function of satellite </w:t>
      </w:r>
      <w:r w:rsidRPr="00A40CD0">
        <w:t>overpass, etc.)</w:t>
      </w:r>
      <w:r>
        <w:t>. Hence during the matchup-analysis the number of available observation is dramatically reduced (</w:t>
      </w:r>
      <w:r w:rsidR="00EA2F38">
        <w:fldChar w:fldCharType="begin"/>
      </w:r>
      <w:r>
        <w:instrText xml:space="preserve"> REF _Ref259039117 \h </w:instrText>
      </w:r>
      <w:r w:rsidR="00EA2F38">
        <w:fldChar w:fldCharType="separate"/>
      </w:r>
      <w:r w:rsidR="00B11F3B" w:rsidRPr="00A40CD0">
        <w:t xml:space="preserve">Table </w:t>
      </w:r>
      <w:r w:rsidR="00B11F3B">
        <w:rPr>
          <w:noProof/>
        </w:rPr>
        <w:t>43</w:t>
      </w:r>
      <w:r w:rsidR="00EA2F38">
        <w:fldChar w:fldCharType="end"/>
      </w:r>
      <w:r>
        <w:t>)</w:t>
      </w:r>
      <w:r w:rsidRPr="00A40CD0">
        <w:t>.</w:t>
      </w:r>
      <w:r>
        <w:t xml:space="preserve"> </w:t>
      </w:r>
    </w:p>
    <w:p w:rsidR="001231B0" w:rsidRDefault="00B25CAA" w:rsidP="002E0BD6">
      <w:pPr>
        <w:pStyle w:val="BodyText"/>
      </w:pPr>
      <w:r w:rsidRPr="00A40CD0">
        <w:t xml:space="preserve">The CHL, TSS (or NAP) and CDOM measurements of the combined validation database were used to </w:t>
      </w:r>
      <w:r w:rsidR="00E00FFF">
        <w:t>assess the accuracy for</w:t>
      </w:r>
      <w:r w:rsidRPr="00A40CD0">
        <w:t xml:space="preserve"> the retrieval of these water quality variables as retrieved with the algorithms implemented in SeaDAS</w:t>
      </w:r>
      <w:r w:rsidR="00DC3FD4">
        <w:t xml:space="preserve"> v6.4</w:t>
      </w:r>
      <w:r w:rsidRPr="00A40CD0">
        <w:t xml:space="preserve">, </w:t>
      </w:r>
      <w:r w:rsidR="00DC3FD4">
        <w:t xml:space="preserve">i.e. the up-to-date version of </w:t>
      </w:r>
      <w:r w:rsidRPr="00A40CD0">
        <w:t xml:space="preserve">NASA’s processing software for MODIS imagery, and by the regionally </w:t>
      </w:r>
      <w:r w:rsidR="00224B95">
        <w:t>parameterized algorithm (LMI_CLT</w:t>
      </w:r>
      <w:r w:rsidRPr="00A40CD0">
        <w:t>4) coupled with the Artificial Neural Network atmospheric correction. For this comparison, we extracted from the remote sensing data the average value of the nine pixels (a square of 3x3 pixels) centred at the GPS location of the in situ measurements, for each available date</w:t>
      </w:r>
      <w:r w:rsidR="007C568B">
        <w:t>, if at least 5 of the nine pixels passed the quality control flags</w:t>
      </w:r>
      <w:r w:rsidR="00E00FFF">
        <w:t>. Only th</w:t>
      </w:r>
      <w:r w:rsidR="00E00FFF" w:rsidRPr="00A40CD0">
        <w:t xml:space="preserve">e measurements collected within ±3 hours of the satellite overpass were used in this analysis. </w:t>
      </w:r>
      <w:r w:rsidRPr="00A40CD0">
        <w:t>Quality flags were checked and masks applied for land, glint, cloud, atmospheric correction failure and for solar zenith and observer zenith above a maximum of 60 degree.</w:t>
      </w:r>
      <w:r w:rsidR="006B1F76">
        <w:t xml:space="preserve"> </w:t>
      </w:r>
      <w:r w:rsidR="004C0042">
        <w:t>Th</w:t>
      </w:r>
      <w:r w:rsidR="006B1F76">
        <w:t>e</w:t>
      </w:r>
      <w:r w:rsidR="004C0042" w:rsidRPr="004C0042">
        <w:t xml:space="preserve"> number of data points</w:t>
      </w:r>
      <w:r w:rsidR="006B1F76">
        <w:t xml:space="preserve"> for this analysis</w:t>
      </w:r>
      <w:r w:rsidR="004C0042" w:rsidRPr="004C0042">
        <w:t xml:space="preserve"> is</w:t>
      </w:r>
      <w:r w:rsidR="001231B0" w:rsidRPr="004C0042">
        <w:t xml:space="preserve"> different between CSIRO and NASA algorithms for the three variables as CSIRO’s internal quality control for the Atmospheric correction is more stringent than NASA’s standard.</w:t>
      </w:r>
    </w:p>
    <w:p w:rsidR="00B25CAA" w:rsidRPr="00A40CD0" w:rsidRDefault="00B25CAA" w:rsidP="002E0BD6">
      <w:pPr>
        <w:pStyle w:val="BodyText"/>
      </w:pPr>
      <w:r w:rsidRPr="00A40CD0">
        <w:t xml:space="preserve">The </w:t>
      </w:r>
      <w:r w:rsidRPr="00A40CD0">
        <w:rPr>
          <w:i/>
        </w:rPr>
        <w:t>in situ</w:t>
      </w:r>
      <w:r w:rsidRPr="00A40CD0">
        <w:t xml:space="preserve"> Chlorophyll-a data were used to evaluate the Chlorop</w:t>
      </w:r>
      <w:r w:rsidR="003B2F38">
        <w:t>hyll-a retrievals by the LMI_CLT</w:t>
      </w:r>
      <w:r w:rsidRPr="00A40CD0">
        <w:t xml:space="preserve">4 and gsm01 algorithms, as the gsm01 </w:t>
      </w:r>
      <w:r w:rsidR="00EA2F38" w:rsidRPr="00A40CD0">
        <w:fldChar w:fldCharType="begin"/>
      </w:r>
      <w:r w:rsidR="00AC2F22">
        <w:instrText xml:space="preserve"> ADDIN EN.CITE &lt;EndNote&gt;&lt;Cite&gt;&lt;Author&gt;Maritorena&lt;/Author&gt;&lt;Year&gt;2002&lt;/Year&gt;&lt;RecNum&gt;4157&lt;/RecNum&gt;&lt;DisplayText&gt;(Maritorena et al. 2002)&lt;/DisplayText&gt;&lt;record&gt;&lt;rec-number&gt;4157&lt;/rec-number&gt;&lt;foreign-keys&gt;&lt;key app="EN" db-id="z0vwsaa0gfvsr1e2sr7p90rtdtevf52r2we9"&gt;4157&lt;/key&gt;&lt;/foreign-keys&gt;&lt;ref-type name="Journal Article"&gt;17&lt;/ref-type&gt;&lt;contributors&gt;&lt;authors&gt;&lt;author&gt;Maritorena, S.&lt;/author&gt;&lt;author&gt;Siegel, D.A.&lt;/author&gt;&lt;author&gt;Peterson, A.R.&lt;/author&gt;&lt;/authors&gt;&lt;/contributors&gt;&lt;titles&gt;&lt;title&gt;Optimization of a semianalytical ocean color model for global-scale applications&lt;/title&gt;&lt;secondary-title&gt;Appl.Opt.&lt;/secondary-title&gt;&lt;/titles&gt;&lt;periodical&gt;&lt;full-title&gt;Appl.Opt.&lt;/full-title&gt;&lt;/periodical&gt;&lt;pages&gt;2705-2714&lt;/pages&gt;&lt;volume&gt;41&lt;/volume&gt;&lt;dates&gt;&lt;year&gt;2002&lt;/year&gt;&lt;/dates&gt;&lt;urls&gt;&lt;/urls&gt;&lt;electronic-resource-num&gt;doi:10.1364/AO.41.002705&lt;/electronic-resource-num&gt;&lt;/record&gt;&lt;/Cite&gt;&lt;/EndNote&gt;</w:instrText>
      </w:r>
      <w:r w:rsidR="00EA2F38" w:rsidRPr="00A40CD0">
        <w:fldChar w:fldCharType="separate"/>
      </w:r>
      <w:r w:rsidR="00AC2F22">
        <w:rPr>
          <w:noProof/>
        </w:rPr>
        <w:t>(</w:t>
      </w:r>
      <w:hyperlink w:anchor="_ENREF_36" w:tooltip="Maritorena, 2002 #4157" w:history="1">
        <w:r w:rsidR="007B7C47">
          <w:rPr>
            <w:noProof/>
          </w:rPr>
          <w:t>Maritorena et al. 2002</w:t>
        </w:r>
      </w:hyperlink>
      <w:r w:rsidR="00AC2F22">
        <w:rPr>
          <w:noProof/>
        </w:rPr>
        <w:t>)</w:t>
      </w:r>
      <w:r w:rsidR="00EA2F38" w:rsidRPr="00A40CD0">
        <w:fldChar w:fldCharType="end"/>
      </w:r>
      <w:r w:rsidRPr="00A40CD0">
        <w:t xml:space="preserve"> algorithm was shown to work relatively better in the widest range of CDOM and NAP concentrations for these coastal waters </w:t>
      </w:r>
      <w:r w:rsidR="00EA2F38" w:rsidRPr="00A40CD0">
        <w:fldChar w:fldCharType="begin"/>
      </w:r>
      <w:r w:rsidR="00AC2F22">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Pr="00A40CD0">
        <w:t xml:space="preserve">. </w:t>
      </w:r>
      <w:r w:rsidR="00EA2F38">
        <w:fldChar w:fldCharType="begin"/>
      </w:r>
      <w:r w:rsidR="00D90A4A">
        <w:instrText xml:space="preserve"> REF _Ref247427727 \h </w:instrText>
      </w:r>
      <w:r w:rsidR="00EA2F38">
        <w:fldChar w:fldCharType="separate"/>
      </w:r>
      <w:r w:rsidR="00B11F3B" w:rsidRPr="00A40CD0">
        <w:t xml:space="preserve">Figure </w:t>
      </w:r>
      <w:r w:rsidR="00B11F3B">
        <w:rPr>
          <w:noProof/>
        </w:rPr>
        <w:t>98</w:t>
      </w:r>
      <w:r w:rsidR="00EA2F38">
        <w:fldChar w:fldCharType="end"/>
      </w:r>
      <w:r w:rsidRPr="00A40CD0">
        <w:t xml:space="preserve"> presents the results of the MODIS Aqua Chlorophyll-a retrieval comparison with </w:t>
      </w:r>
      <w:r w:rsidRPr="00A40CD0">
        <w:rPr>
          <w:i/>
        </w:rPr>
        <w:t>in situ</w:t>
      </w:r>
      <w:r w:rsidRPr="00A40CD0">
        <w:t xml:space="preserve"> data in logarithmic scale. LMI has lower MAPE</w:t>
      </w:r>
      <w:r w:rsidR="006B43F3">
        <w:t>, RMSE and bias than gsm01</w:t>
      </w:r>
      <w:r w:rsidRPr="00A40CD0">
        <w:t xml:space="preserve"> (</w:t>
      </w:r>
      <w:r w:rsidR="00EA2F38">
        <w:fldChar w:fldCharType="begin"/>
      </w:r>
      <w:r w:rsidR="00B9461C">
        <w:instrText xml:space="preserve"> REF _Ref259039117 \h </w:instrText>
      </w:r>
      <w:r w:rsidR="00EA2F38">
        <w:fldChar w:fldCharType="separate"/>
      </w:r>
      <w:r w:rsidR="00B11F3B" w:rsidRPr="00A40CD0">
        <w:t xml:space="preserve">Table </w:t>
      </w:r>
      <w:r w:rsidR="00B11F3B">
        <w:rPr>
          <w:noProof/>
        </w:rPr>
        <w:t>43</w:t>
      </w:r>
      <w:r w:rsidR="00EA2F38">
        <w:fldChar w:fldCharType="end"/>
      </w:r>
      <w:r w:rsidRPr="00A40CD0">
        <w:t xml:space="preserve">). These results are consistent with the findings of the sensitivity analysis carried out for these coastal waters </w:t>
      </w:r>
      <w:r w:rsidR="00EA2F38" w:rsidRPr="00A40CD0">
        <w:fldChar w:fldCharType="begin"/>
      </w:r>
      <w:r w:rsidR="00AC2F22">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EA2F38" w:rsidRPr="00A40CD0">
        <w:fldChar w:fldCharType="separate"/>
      </w:r>
      <w:r w:rsidR="00AC2F22">
        <w:rPr>
          <w:noProof/>
        </w:rPr>
        <w:t>(</w:t>
      </w:r>
      <w:hyperlink w:anchor="_ENREF_39" w:tooltip="Qin, 2007 #4624" w:history="1">
        <w:r w:rsidR="007B7C47">
          <w:rPr>
            <w:noProof/>
          </w:rPr>
          <w:t>Qin et al. 2007</w:t>
        </w:r>
      </w:hyperlink>
      <w:r w:rsidR="00AC2F22">
        <w:rPr>
          <w:noProof/>
        </w:rPr>
        <w:t>)</w:t>
      </w:r>
      <w:r w:rsidR="00EA2F38" w:rsidRPr="00A40CD0">
        <w:fldChar w:fldCharType="end"/>
      </w:r>
      <w:r w:rsidRPr="00A40CD0">
        <w:t>.</w:t>
      </w:r>
      <w:r w:rsidR="00B8040D" w:rsidRPr="00A40CD0">
        <w:t xml:space="preserve"> </w:t>
      </w:r>
    </w:p>
    <w:p w:rsidR="00B25CAA" w:rsidRPr="00A40CD0" w:rsidRDefault="00B25CAA" w:rsidP="002E0BD6">
      <w:pPr>
        <w:pStyle w:val="BodyText"/>
      </w:pPr>
      <w:r w:rsidRPr="00A40CD0">
        <w:t>The</w:t>
      </w:r>
      <w:r w:rsidRPr="00A40CD0">
        <w:rPr>
          <w:i/>
        </w:rPr>
        <w:t xml:space="preserve"> in situ</w:t>
      </w:r>
      <w:r w:rsidRPr="00A40CD0">
        <w:t xml:space="preserve"> TSS data were used to evalu</w:t>
      </w:r>
      <w:r w:rsidR="00224B95">
        <w:t xml:space="preserve">ate the </w:t>
      </w:r>
      <w:r w:rsidR="00F1321E">
        <w:t xml:space="preserve">NAP </w:t>
      </w:r>
      <w:r w:rsidR="00224B95">
        <w:t>retrieval by LMI_CLT</w:t>
      </w:r>
      <w:r w:rsidRPr="00A40CD0">
        <w:t>4</w:t>
      </w:r>
      <w:r w:rsidR="00F1321E">
        <w:t xml:space="preserve"> (as a measure of TSS)</w:t>
      </w:r>
      <w:r w:rsidRPr="00A40CD0">
        <w:t xml:space="preserve"> and the Clark algorithms, as it is the only one currently implemented in SEADAS for the retrieval of TSS. </w:t>
      </w:r>
      <w:r w:rsidR="00EA2F38">
        <w:fldChar w:fldCharType="begin"/>
      </w:r>
      <w:r w:rsidR="008C116B">
        <w:instrText xml:space="preserve"> REF _Ref248048313 \h </w:instrText>
      </w:r>
      <w:r w:rsidR="00EA2F38">
        <w:fldChar w:fldCharType="separate"/>
      </w:r>
      <w:r w:rsidR="00B11F3B" w:rsidRPr="00A40CD0">
        <w:t xml:space="preserve">Figure </w:t>
      </w:r>
      <w:r w:rsidR="00B11F3B">
        <w:rPr>
          <w:noProof/>
        </w:rPr>
        <w:t>99</w:t>
      </w:r>
      <w:r w:rsidR="00EA2F38">
        <w:fldChar w:fldCharType="end"/>
      </w:r>
      <w:r w:rsidR="008C116B">
        <w:t xml:space="preserve"> </w:t>
      </w:r>
      <w:r w:rsidRPr="00A40CD0">
        <w:t xml:space="preserve">presents the matchup for MODIS Aqua TSS retrieval versus </w:t>
      </w:r>
      <w:r w:rsidRPr="00A40CD0">
        <w:rPr>
          <w:i/>
        </w:rPr>
        <w:t>in situ</w:t>
      </w:r>
      <w:r w:rsidRPr="00A40CD0">
        <w:t xml:space="preserve"> data</w:t>
      </w:r>
      <w:r w:rsidR="00F15F4F">
        <w:t xml:space="preserve">: </w:t>
      </w:r>
      <w:r w:rsidR="003B2F38">
        <w:t>a-</w:t>
      </w:r>
      <w:r w:rsidRPr="00A40CD0">
        <w:t>LMI shows a lower bias and MAPE that Clarks algorithm (</w:t>
      </w:r>
      <w:r w:rsidR="00EA2F38">
        <w:fldChar w:fldCharType="begin"/>
      </w:r>
      <w:r w:rsidR="00B9461C">
        <w:instrText xml:space="preserve"> REF _Ref259039117 \h </w:instrText>
      </w:r>
      <w:r w:rsidR="00EA2F38">
        <w:fldChar w:fldCharType="separate"/>
      </w:r>
      <w:r w:rsidR="00B11F3B" w:rsidRPr="00A40CD0">
        <w:t xml:space="preserve">Table </w:t>
      </w:r>
      <w:r w:rsidR="00B11F3B">
        <w:rPr>
          <w:noProof/>
        </w:rPr>
        <w:t>43</w:t>
      </w:r>
      <w:r w:rsidR="00EA2F38">
        <w:fldChar w:fldCharType="end"/>
      </w:r>
      <w:r w:rsidRPr="00A40CD0">
        <w:t>).</w:t>
      </w:r>
      <w:r w:rsidR="002D7052">
        <w:t xml:space="preserve"> Please note that </w:t>
      </w:r>
      <w:r w:rsidR="00531DC7">
        <w:t>in the GBR coastal waters NAP accounts for 95-99 % of TSS, as</w:t>
      </w:r>
      <w:r w:rsidR="00531DC7" w:rsidRPr="00A40CD0">
        <w:t xml:space="preserve"> </w:t>
      </w:r>
      <w:r w:rsidR="002D7052" w:rsidRPr="00A40CD0">
        <w:t>NAP</w:t>
      </w:r>
      <w:r w:rsidR="002D7052">
        <w:t xml:space="preserve"> is the concentration of </w:t>
      </w:r>
      <w:r w:rsidR="002D7052" w:rsidRPr="00CE033B">
        <w:t>Total Suspended Solids</w:t>
      </w:r>
      <w:r w:rsidR="002D7052">
        <w:t xml:space="preserve"> minus the dry weight of algal particles</w:t>
      </w:r>
      <w:r w:rsidR="00531DC7">
        <w:t xml:space="preserve"> </w:t>
      </w:r>
      <w:r w:rsidR="00EA2F38">
        <w:fldChar w:fldCharType="begin"/>
      </w:r>
      <w:r w:rsidR="002D7052">
        <w:instrText xml:space="preserve"> ADDIN EN.CITE &lt;EndNote&gt;&lt;Cite&gt;&lt;Author&gt;Blondeau-Patissier&lt;/Author&gt;&lt;Year&gt;2009&lt;/Year&gt;&lt;RecNum&gt;4442&lt;/RecNum&gt;&lt;DisplayText&gt;(Blondeau-Patissier et al. 2009)&lt;/DisplayText&gt;&lt;record&gt;&lt;rec-number&gt;4442&lt;/rec-number&gt;&lt;foreign-keys&gt;&lt;key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EA2F38">
        <w:fldChar w:fldCharType="separate"/>
      </w:r>
      <w:r w:rsidR="002D7052">
        <w:rPr>
          <w:noProof/>
        </w:rPr>
        <w:t>(</w:t>
      </w:r>
      <w:hyperlink w:anchor="_ENREF_2" w:tooltip="Blondeau-Patissier, 2009 #4442" w:history="1">
        <w:r w:rsidR="002D7052">
          <w:rPr>
            <w:noProof/>
          </w:rPr>
          <w:t>Blondeau-Patissier et al. 2009</w:t>
        </w:r>
      </w:hyperlink>
      <w:r w:rsidR="002D7052">
        <w:rPr>
          <w:noProof/>
        </w:rPr>
        <w:t>)</w:t>
      </w:r>
      <w:r w:rsidR="00EA2F38">
        <w:fldChar w:fldCharType="end"/>
      </w:r>
      <w:r w:rsidR="002D7052">
        <w:t>.</w:t>
      </w:r>
    </w:p>
    <w:p w:rsidR="00B25CAA" w:rsidRPr="00A40CD0" w:rsidRDefault="00B25CAA" w:rsidP="002E0BD6">
      <w:pPr>
        <w:pStyle w:val="BodyText"/>
      </w:pPr>
      <w:r w:rsidRPr="00A40CD0">
        <w:t xml:space="preserve">The </w:t>
      </w:r>
      <w:r w:rsidRPr="00A40CD0">
        <w:rPr>
          <w:i/>
        </w:rPr>
        <w:t>in situ</w:t>
      </w:r>
      <w:r w:rsidRPr="00A40CD0">
        <w:t xml:space="preserve"> CDOM data were used to evalua</w:t>
      </w:r>
      <w:r w:rsidR="00224B95">
        <w:t>te the CDOM retrieval by LMI_CLT</w:t>
      </w:r>
      <w:r w:rsidRPr="00A40CD0">
        <w:t xml:space="preserve">4 and the QAA algorithms, as the QAA algorithm was shown to work relatively better than others for these coastal waters (Qin et al., 2007). </w:t>
      </w:r>
      <w:r w:rsidR="00EA2F38">
        <w:fldChar w:fldCharType="begin"/>
      </w:r>
      <w:r w:rsidR="00D90A4A">
        <w:instrText xml:space="preserve"> REF _Ref248048380 \h </w:instrText>
      </w:r>
      <w:r w:rsidR="00EA2F38">
        <w:fldChar w:fldCharType="separate"/>
      </w:r>
      <w:r w:rsidR="00B11F3B" w:rsidRPr="00A40CD0">
        <w:t xml:space="preserve">Figure </w:t>
      </w:r>
      <w:r w:rsidR="00B11F3B">
        <w:rPr>
          <w:noProof/>
        </w:rPr>
        <w:t>100</w:t>
      </w:r>
      <w:r w:rsidR="00EA2F38">
        <w:fldChar w:fldCharType="end"/>
      </w:r>
      <w:r w:rsidRPr="00A40CD0">
        <w:t xml:space="preserve"> presents the matchup for MODIS Aqua a</w:t>
      </w:r>
      <w:r w:rsidR="0094732C" w:rsidRPr="00A40CD0">
        <w:rPr>
          <w:vertAlign w:val="subscript"/>
        </w:rPr>
        <w:t xml:space="preserve">CDOM </w:t>
      </w:r>
      <w:r w:rsidRPr="00A40CD0">
        <w:t xml:space="preserve">(443) retrieval vs. </w:t>
      </w:r>
      <w:r w:rsidRPr="00A40CD0">
        <w:rPr>
          <w:i/>
        </w:rPr>
        <w:t>in situ</w:t>
      </w:r>
      <w:r w:rsidRPr="00A40CD0">
        <w:t xml:space="preserve"> data</w:t>
      </w:r>
      <w:r w:rsidR="00F15F4F">
        <w:t>: t</w:t>
      </w:r>
      <w:r w:rsidRPr="00A40CD0">
        <w:t xml:space="preserve">he </w:t>
      </w:r>
      <w:r w:rsidR="00D55147" w:rsidRPr="00A40CD0">
        <w:t>number of matchups is</w:t>
      </w:r>
      <w:r w:rsidRPr="00A40CD0">
        <w:t xml:space="preserve"> 18 for </w:t>
      </w:r>
      <w:r w:rsidR="00D44159" w:rsidRPr="00A40CD0">
        <w:t>a</w:t>
      </w:r>
      <w:r w:rsidR="00D44159" w:rsidRPr="00A40CD0">
        <w:rPr>
          <w:vertAlign w:val="subscript"/>
        </w:rPr>
        <w:t xml:space="preserve">CDOM </w:t>
      </w:r>
      <w:r w:rsidR="00D44159" w:rsidRPr="00A40CD0">
        <w:t xml:space="preserve">(443) </w:t>
      </w:r>
      <w:r w:rsidRPr="00A40CD0">
        <w:t>and 27 for a</w:t>
      </w:r>
      <w:r w:rsidR="0094732C" w:rsidRPr="00A40CD0">
        <w:rPr>
          <w:vertAlign w:val="subscript"/>
        </w:rPr>
        <w:t xml:space="preserve">dg </w:t>
      </w:r>
      <w:r w:rsidRPr="00A40CD0">
        <w:t>(443). QAA</w:t>
      </w:r>
      <w:r w:rsidR="00D44159" w:rsidRPr="00A40CD0">
        <w:t>’s</w:t>
      </w:r>
      <w:r w:rsidRPr="00A40CD0">
        <w:t xml:space="preserve"> </w:t>
      </w:r>
      <w:r w:rsidR="00D44159" w:rsidRPr="00A40CD0">
        <w:t>a</w:t>
      </w:r>
      <w:r w:rsidR="00D44159" w:rsidRPr="00A40CD0">
        <w:rPr>
          <w:vertAlign w:val="subscript"/>
        </w:rPr>
        <w:t xml:space="preserve">dg </w:t>
      </w:r>
      <w:r w:rsidR="00D44159" w:rsidRPr="00A40CD0">
        <w:t>(443)</w:t>
      </w:r>
      <w:r w:rsidRPr="00A40CD0">
        <w:t xml:space="preserve"> </w:t>
      </w:r>
      <w:r w:rsidRPr="00A40CD0">
        <w:lastRenderedPageBreak/>
        <w:t xml:space="preserve">overestimates CDOM in </w:t>
      </w:r>
      <w:r w:rsidRPr="00A40CD0">
        <w:rPr>
          <w:i/>
        </w:rPr>
        <w:t>situ data</w:t>
      </w:r>
      <w:r w:rsidRPr="00A40CD0">
        <w:t xml:space="preserve"> as it provides an estimate of the absorption due to</w:t>
      </w:r>
      <w:r w:rsidR="00D44159" w:rsidRPr="00A40CD0">
        <w:t xml:space="preserve"> </w:t>
      </w:r>
      <w:r w:rsidRPr="00A40CD0">
        <w:t>CDO</w:t>
      </w:r>
      <w:r w:rsidR="00D44159" w:rsidRPr="00A40CD0">
        <w:t>M</w:t>
      </w:r>
      <w:r w:rsidRPr="00A40CD0">
        <w:t xml:space="preserve"> and NAP (</w:t>
      </w:r>
      <w:r w:rsidR="00EA2F38">
        <w:fldChar w:fldCharType="begin"/>
      </w:r>
      <w:r w:rsidR="00D90A4A">
        <w:instrText xml:space="preserve"> REF _Ref259039117 \h </w:instrText>
      </w:r>
      <w:r w:rsidR="00EA2F38">
        <w:fldChar w:fldCharType="separate"/>
      </w:r>
      <w:r w:rsidR="00B11F3B" w:rsidRPr="00A40CD0">
        <w:t xml:space="preserve">Table </w:t>
      </w:r>
      <w:r w:rsidR="00B11F3B">
        <w:rPr>
          <w:noProof/>
        </w:rPr>
        <w:t>43</w:t>
      </w:r>
      <w:r w:rsidR="00EA2F38">
        <w:fldChar w:fldCharType="end"/>
      </w:r>
      <w:r w:rsidRPr="00A40CD0">
        <w:t>).</w:t>
      </w:r>
    </w:p>
    <w:p w:rsidR="00B10DB3" w:rsidRDefault="00B9461C" w:rsidP="002E0BD6">
      <w:pPr>
        <w:pStyle w:val="BodyText"/>
      </w:pPr>
      <w:r w:rsidRPr="00A40CD0">
        <w:t>It should be noted that most of this matchup analysis is based ma</w:t>
      </w:r>
      <w:r>
        <w:t>inly on dry season observations,</w:t>
      </w:r>
      <w:r w:rsidR="00B10DB3">
        <w:t xml:space="preserve"> but the</w:t>
      </w:r>
      <w:r w:rsidR="00120A93">
        <w:t xml:space="preserve"> hi</w:t>
      </w:r>
      <w:r w:rsidR="002B6823">
        <w:t>gh concentrations of TSS and CHL</w:t>
      </w:r>
      <w:r w:rsidR="00120A93">
        <w:t xml:space="preserve"> measured in</w:t>
      </w:r>
      <w:r w:rsidR="00B10DB3">
        <w:t xml:space="preserve"> flood </w:t>
      </w:r>
      <w:r w:rsidR="00120A93">
        <w:t>appear to skew the results (</w:t>
      </w:r>
      <w:r w:rsidR="00EA2F38">
        <w:fldChar w:fldCharType="begin"/>
      </w:r>
      <w:r w:rsidR="008C116B">
        <w:instrText xml:space="preserve"> REF _Ref247427727 \h </w:instrText>
      </w:r>
      <w:r w:rsidR="00EA2F38">
        <w:fldChar w:fldCharType="separate"/>
      </w:r>
      <w:r w:rsidR="00B11F3B" w:rsidRPr="00A40CD0">
        <w:t xml:space="preserve">Figure </w:t>
      </w:r>
      <w:r w:rsidR="00B11F3B">
        <w:rPr>
          <w:noProof/>
        </w:rPr>
        <w:t>98</w:t>
      </w:r>
      <w:r w:rsidR="00EA2F38">
        <w:fldChar w:fldCharType="end"/>
      </w:r>
      <w:r w:rsidR="008C116B">
        <w:t xml:space="preserve">, </w:t>
      </w:r>
      <w:r w:rsidR="00EA2F38">
        <w:fldChar w:fldCharType="begin"/>
      </w:r>
      <w:r w:rsidR="008C116B">
        <w:instrText xml:space="preserve"> REF _Ref248048313 \h </w:instrText>
      </w:r>
      <w:r w:rsidR="00EA2F38">
        <w:fldChar w:fldCharType="separate"/>
      </w:r>
      <w:r w:rsidR="00B11F3B" w:rsidRPr="00A40CD0">
        <w:t xml:space="preserve">Figure </w:t>
      </w:r>
      <w:r w:rsidR="00B11F3B">
        <w:rPr>
          <w:noProof/>
        </w:rPr>
        <w:t>99</w:t>
      </w:r>
      <w:r w:rsidR="00EA2F38">
        <w:fldChar w:fldCharType="end"/>
      </w:r>
      <w:r w:rsidR="00120A93">
        <w:t xml:space="preserve">). </w:t>
      </w:r>
      <w:r w:rsidR="00B10DB3">
        <w:t xml:space="preserve">If the </w:t>
      </w:r>
      <w:r w:rsidR="00B10DB3" w:rsidRPr="00A40CD0">
        <w:t>data</w:t>
      </w:r>
      <w:r w:rsidR="00B10DB3">
        <w:t xml:space="preserve"> points</w:t>
      </w:r>
      <w:r w:rsidR="00B10DB3" w:rsidRPr="00A40CD0">
        <w:t xml:space="preserve"> collected by ACTFR during flood monitoring</w:t>
      </w:r>
      <w:r w:rsidR="00B10DB3">
        <w:t xml:space="preserve"> are excluded from the validation statistics, the uncertainties were reduced significantly for a-LMI as well as NASA’s algorithms (</w:t>
      </w:r>
      <w:r w:rsidR="00EA2F38">
        <w:fldChar w:fldCharType="begin"/>
      </w:r>
      <w:r w:rsidR="00B10DB3">
        <w:instrText xml:space="preserve"> REF _Ref228578575 \h </w:instrText>
      </w:r>
      <w:r w:rsidR="00EA2F38">
        <w:fldChar w:fldCharType="separate"/>
      </w:r>
      <w:r w:rsidR="00B11F3B" w:rsidRPr="00A40CD0">
        <w:t xml:space="preserve">Table </w:t>
      </w:r>
      <w:r w:rsidR="00B11F3B">
        <w:rPr>
          <w:noProof/>
        </w:rPr>
        <w:t>44</w:t>
      </w:r>
      <w:r w:rsidR="00EA2F38">
        <w:fldChar w:fldCharType="end"/>
      </w:r>
      <w:r w:rsidR="00B10DB3">
        <w:t>).</w:t>
      </w:r>
    </w:p>
    <w:p w:rsidR="00B25CAA" w:rsidRDefault="00B25CAA" w:rsidP="002E0BD6">
      <w:pPr>
        <w:pStyle w:val="BodyText"/>
      </w:pPr>
      <w:r w:rsidRPr="00A40CD0">
        <w:t xml:space="preserve">The comparison of MODIS Aqua retrievals of CHL, CDOM and NAP with </w:t>
      </w:r>
      <w:r w:rsidRPr="00A40CD0">
        <w:rPr>
          <w:i/>
        </w:rPr>
        <w:t>in situ</w:t>
      </w:r>
      <w:r w:rsidRPr="00A40CD0">
        <w:t xml:space="preserve"> data showed that revised parameterization of regional algorithm coupled with the Artificial Neural Network atmospheric correction led to </w:t>
      </w:r>
      <w:r w:rsidR="008C116B">
        <w:t>lower uncertainties than</w:t>
      </w:r>
      <w:r w:rsidR="006F3D44">
        <w:t xml:space="preserve"> the NASA standard processing </w:t>
      </w:r>
      <w:r w:rsidR="008C116B">
        <w:t xml:space="preserve">for </w:t>
      </w:r>
      <w:r w:rsidR="006F3D44">
        <w:t xml:space="preserve">the full </w:t>
      </w:r>
      <w:r w:rsidR="002B6823">
        <w:t xml:space="preserve"> MODIS AQUA </w:t>
      </w:r>
      <w:r w:rsidR="006F3D44">
        <w:t xml:space="preserve">time series </w:t>
      </w:r>
      <w:r w:rsidR="002B6823">
        <w:t xml:space="preserve">that </w:t>
      </w:r>
      <w:r w:rsidR="006F3D44">
        <w:t>was reprocessed consistently with the latest SEADAS version 6.4</w:t>
      </w:r>
      <w:r w:rsidRPr="00A40CD0">
        <w:t>. The results of the matchup analysis for Chlorophyll-a, CDOM and TSS are consistent with the findings of the sensitivity analysis based on radiative transfer modelling that was carried out for these coastal waters (Qin et al., 2007).</w:t>
      </w:r>
    </w:p>
    <w:p w:rsidR="002067ED" w:rsidRPr="00A40CD0" w:rsidRDefault="002067ED" w:rsidP="002E0BD6">
      <w:pPr>
        <w:pStyle w:val="BodyText"/>
      </w:pPr>
      <w:r>
        <w:t>These results are not directly comparable to the accuracy assessments of previous reports, as they are based on a different number of matchups.</w:t>
      </w:r>
    </w:p>
    <w:p w:rsidR="00B25CAA" w:rsidRPr="00A40CD0" w:rsidRDefault="00B25CAA" w:rsidP="004F4DDE">
      <w:pPr>
        <w:pStyle w:val="Caption"/>
      </w:pPr>
      <w:bookmarkStart w:id="638" w:name="_Ref259039117"/>
      <w:bookmarkStart w:id="639" w:name="_Toc228588268"/>
      <w:bookmarkStart w:id="640" w:name="_Toc399264972"/>
      <w:r w:rsidRPr="00A40CD0">
        <w:t xml:space="preserve">Table </w:t>
      </w:r>
      <w:fldSimple w:instr=" SEQ Table \* ARABIC ">
        <w:r w:rsidR="00B11F3B">
          <w:rPr>
            <w:noProof/>
          </w:rPr>
          <w:t>43</w:t>
        </w:r>
      </w:fldSimple>
      <w:bookmarkEnd w:id="638"/>
      <w:r w:rsidRPr="00A40CD0">
        <w:t xml:space="preserve"> Validation statistics for the measurements collected with 3 hours of the overpass. RMSE is the root mean square error, MAPE the mean absolute percentage error.</w:t>
      </w:r>
      <w:bookmarkEnd w:id="639"/>
      <w:bookmarkEnd w:id="64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1822"/>
        <w:gridCol w:w="1273"/>
        <w:gridCol w:w="1548"/>
        <w:gridCol w:w="1548"/>
        <w:gridCol w:w="1548"/>
      </w:tblGrid>
      <w:tr w:rsidR="00B25CAA" w:rsidRPr="00A40CD0" w:rsidTr="00B46459">
        <w:tc>
          <w:tcPr>
            <w:tcW w:w="1547" w:type="dxa"/>
          </w:tcPr>
          <w:p w:rsidR="00B25CAA" w:rsidRPr="00A40CD0" w:rsidRDefault="00B25CAA" w:rsidP="002E0BD6">
            <w:pPr>
              <w:pStyle w:val="BodyText"/>
            </w:pPr>
            <w:r w:rsidRPr="00A40CD0">
              <w:t>Variable</w:t>
            </w:r>
          </w:p>
        </w:tc>
        <w:tc>
          <w:tcPr>
            <w:tcW w:w="1822" w:type="dxa"/>
          </w:tcPr>
          <w:p w:rsidR="00B25CAA" w:rsidRPr="00A40CD0" w:rsidRDefault="00B25CAA" w:rsidP="002E0BD6">
            <w:pPr>
              <w:pStyle w:val="BodyText"/>
            </w:pPr>
            <w:r w:rsidRPr="00A40CD0">
              <w:t>Algorithm</w:t>
            </w:r>
          </w:p>
        </w:tc>
        <w:tc>
          <w:tcPr>
            <w:tcW w:w="1273" w:type="dxa"/>
          </w:tcPr>
          <w:p w:rsidR="00B25CAA" w:rsidRPr="00A40CD0" w:rsidRDefault="00B25CAA" w:rsidP="002E0BD6">
            <w:pPr>
              <w:pStyle w:val="BodyText"/>
            </w:pPr>
            <w:r w:rsidRPr="00A40CD0">
              <w:t>N</w:t>
            </w:r>
          </w:p>
        </w:tc>
        <w:tc>
          <w:tcPr>
            <w:tcW w:w="1548" w:type="dxa"/>
          </w:tcPr>
          <w:p w:rsidR="00B25CAA" w:rsidRPr="00A40CD0" w:rsidRDefault="00B25CAA" w:rsidP="002E0BD6">
            <w:pPr>
              <w:pStyle w:val="BodyText"/>
            </w:pPr>
            <w:r w:rsidRPr="00A40CD0">
              <w:t>RMSE</w:t>
            </w:r>
          </w:p>
        </w:tc>
        <w:tc>
          <w:tcPr>
            <w:tcW w:w="1548" w:type="dxa"/>
          </w:tcPr>
          <w:p w:rsidR="00B25CAA" w:rsidRPr="00A40CD0" w:rsidRDefault="00B25CAA" w:rsidP="002E0BD6">
            <w:pPr>
              <w:pStyle w:val="BodyText"/>
            </w:pPr>
            <w:r w:rsidRPr="00A40CD0">
              <w:t>MAPE</w:t>
            </w:r>
          </w:p>
        </w:tc>
        <w:tc>
          <w:tcPr>
            <w:tcW w:w="1548" w:type="dxa"/>
          </w:tcPr>
          <w:p w:rsidR="00B25CAA" w:rsidRPr="00A40CD0" w:rsidRDefault="00B25CAA" w:rsidP="002E0BD6">
            <w:pPr>
              <w:pStyle w:val="BodyText"/>
            </w:pPr>
            <w:r w:rsidRPr="00A40CD0">
              <w:t>Bias</w:t>
            </w:r>
          </w:p>
        </w:tc>
      </w:tr>
      <w:tr w:rsidR="005217DA" w:rsidRPr="00A40CD0" w:rsidTr="005217DA">
        <w:tc>
          <w:tcPr>
            <w:tcW w:w="1547" w:type="dxa"/>
          </w:tcPr>
          <w:p w:rsidR="005217DA" w:rsidRPr="00A40CD0" w:rsidRDefault="005217DA" w:rsidP="002E0BD6">
            <w:pPr>
              <w:pStyle w:val="BodyText"/>
            </w:pPr>
            <w:r w:rsidRPr="00A40CD0">
              <w:t>Chlorophyll-a</w:t>
            </w:r>
          </w:p>
        </w:tc>
        <w:tc>
          <w:tcPr>
            <w:tcW w:w="1822" w:type="dxa"/>
          </w:tcPr>
          <w:p w:rsidR="005217DA" w:rsidRPr="00A40CD0" w:rsidRDefault="005217DA" w:rsidP="002E0BD6">
            <w:pPr>
              <w:pStyle w:val="BodyText"/>
            </w:pPr>
            <w:r>
              <w:t>a-</w:t>
            </w:r>
            <w:r w:rsidRPr="00A40CD0">
              <w:t>LMI</w:t>
            </w:r>
          </w:p>
        </w:tc>
        <w:tc>
          <w:tcPr>
            <w:tcW w:w="1273" w:type="dxa"/>
          </w:tcPr>
          <w:p w:rsidR="005217DA" w:rsidRPr="00A40CD0" w:rsidRDefault="005217DA" w:rsidP="002E0BD6">
            <w:pPr>
              <w:pStyle w:val="BodyText"/>
            </w:pPr>
            <w:r>
              <w:t>266</w:t>
            </w:r>
          </w:p>
        </w:tc>
        <w:tc>
          <w:tcPr>
            <w:tcW w:w="1548" w:type="dxa"/>
          </w:tcPr>
          <w:p w:rsidR="005217DA" w:rsidRPr="00A40CD0" w:rsidRDefault="005217DA" w:rsidP="002E0BD6">
            <w:pPr>
              <w:pStyle w:val="BodyText"/>
            </w:pPr>
            <w:r>
              <w:t>0.85127</w:t>
            </w:r>
          </w:p>
        </w:tc>
        <w:tc>
          <w:tcPr>
            <w:tcW w:w="1548" w:type="dxa"/>
          </w:tcPr>
          <w:p w:rsidR="005217DA" w:rsidRPr="00A40CD0" w:rsidRDefault="005217DA" w:rsidP="002E0BD6">
            <w:pPr>
              <w:pStyle w:val="BodyText"/>
            </w:pPr>
            <w:r>
              <w:t>88.91</w:t>
            </w:r>
            <w:r w:rsidRPr="00A40CD0">
              <w:t>%</w:t>
            </w:r>
          </w:p>
        </w:tc>
        <w:tc>
          <w:tcPr>
            <w:tcW w:w="1548" w:type="dxa"/>
          </w:tcPr>
          <w:p w:rsidR="005217DA" w:rsidRPr="00A40CD0" w:rsidRDefault="005217DA" w:rsidP="002E0BD6">
            <w:pPr>
              <w:pStyle w:val="BodyText"/>
            </w:pPr>
            <w:r>
              <w:t>0.07716</w:t>
            </w:r>
          </w:p>
        </w:tc>
      </w:tr>
      <w:tr w:rsidR="005217DA" w:rsidRPr="00A40CD0" w:rsidTr="005217DA">
        <w:tc>
          <w:tcPr>
            <w:tcW w:w="1547" w:type="dxa"/>
          </w:tcPr>
          <w:p w:rsidR="005217DA" w:rsidRPr="00A40CD0" w:rsidRDefault="005217DA" w:rsidP="002E0BD6">
            <w:pPr>
              <w:pStyle w:val="BodyText"/>
            </w:pPr>
            <w:r w:rsidRPr="00A40CD0">
              <w:t>Chlorophyll-a</w:t>
            </w:r>
          </w:p>
        </w:tc>
        <w:tc>
          <w:tcPr>
            <w:tcW w:w="1822" w:type="dxa"/>
          </w:tcPr>
          <w:p w:rsidR="005217DA" w:rsidRPr="00A40CD0" w:rsidRDefault="005217DA" w:rsidP="002E0BD6">
            <w:pPr>
              <w:pStyle w:val="BodyText"/>
            </w:pPr>
            <w:r w:rsidRPr="00A40CD0">
              <w:t>GSM</w:t>
            </w:r>
          </w:p>
        </w:tc>
        <w:tc>
          <w:tcPr>
            <w:tcW w:w="1273" w:type="dxa"/>
          </w:tcPr>
          <w:p w:rsidR="005217DA" w:rsidRPr="00A40CD0" w:rsidRDefault="005217DA" w:rsidP="002E0BD6">
            <w:pPr>
              <w:pStyle w:val="BodyText"/>
            </w:pPr>
            <w:r>
              <w:t>366</w:t>
            </w:r>
          </w:p>
        </w:tc>
        <w:tc>
          <w:tcPr>
            <w:tcW w:w="1548" w:type="dxa"/>
          </w:tcPr>
          <w:p w:rsidR="005217DA" w:rsidRPr="00A40CD0" w:rsidRDefault="005217DA" w:rsidP="002E0BD6">
            <w:pPr>
              <w:pStyle w:val="BodyText"/>
            </w:pPr>
            <w:r>
              <w:t>7.08165</w:t>
            </w:r>
          </w:p>
        </w:tc>
        <w:tc>
          <w:tcPr>
            <w:tcW w:w="1548" w:type="dxa"/>
          </w:tcPr>
          <w:p w:rsidR="005217DA" w:rsidRPr="00A40CD0" w:rsidRDefault="005217DA" w:rsidP="002E0BD6">
            <w:pPr>
              <w:pStyle w:val="BodyText"/>
            </w:pPr>
            <w:r>
              <w:t>252.4</w:t>
            </w:r>
            <w:r w:rsidRPr="00A40CD0">
              <w:t>%</w:t>
            </w:r>
          </w:p>
        </w:tc>
        <w:tc>
          <w:tcPr>
            <w:tcW w:w="1548" w:type="dxa"/>
          </w:tcPr>
          <w:p w:rsidR="005217DA" w:rsidRPr="00A40CD0" w:rsidRDefault="005217DA" w:rsidP="002E0BD6">
            <w:pPr>
              <w:pStyle w:val="BodyText"/>
            </w:pPr>
            <w:r>
              <w:t>1.01867</w:t>
            </w:r>
          </w:p>
        </w:tc>
      </w:tr>
      <w:tr w:rsidR="00B25CAA" w:rsidRPr="00A40CD0" w:rsidTr="00B46459">
        <w:tc>
          <w:tcPr>
            <w:tcW w:w="1547" w:type="dxa"/>
          </w:tcPr>
          <w:p w:rsidR="00B25CAA" w:rsidRPr="00A40CD0" w:rsidRDefault="00B25CAA" w:rsidP="002E0BD6">
            <w:pPr>
              <w:pStyle w:val="BodyText"/>
            </w:pPr>
            <w:r w:rsidRPr="00A40CD0">
              <w:t>TSS (NAP)</w:t>
            </w:r>
          </w:p>
        </w:tc>
        <w:tc>
          <w:tcPr>
            <w:tcW w:w="1822" w:type="dxa"/>
          </w:tcPr>
          <w:p w:rsidR="00B25CAA" w:rsidRPr="00A40CD0" w:rsidRDefault="00B46459" w:rsidP="002E0BD6">
            <w:pPr>
              <w:pStyle w:val="BodyText"/>
            </w:pPr>
            <w:r>
              <w:t>a-</w:t>
            </w:r>
            <w:r w:rsidR="00B25CAA" w:rsidRPr="00A40CD0">
              <w:t>LMI</w:t>
            </w:r>
          </w:p>
        </w:tc>
        <w:tc>
          <w:tcPr>
            <w:tcW w:w="1273" w:type="dxa"/>
          </w:tcPr>
          <w:p w:rsidR="00B25CAA" w:rsidRPr="00A40CD0" w:rsidRDefault="003B2F38" w:rsidP="002E0BD6">
            <w:pPr>
              <w:pStyle w:val="BodyText"/>
            </w:pPr>
            <w:r>
              <w:t>11</w:t>
            </w:r>
            <w:r w:rsidR="00B25CAA" w:rsidRPr="00A40CD0">
              <w:t>4</w:t>
            </w:r>
          </w:p>
        </w:tc>
        <w:tc>
          <w:tcPr>
            <w:tcW w:w="1548" w:type="dxa"/>
          </w:tcPr>
          <w:p w:rsidR="00B25CAA" w:rsidRPr="00A40CD0" w:rsidRDefault="003B2F38" w:rsidP="002E0BD6">
            <w:pPr>
              <w:pStyle w:val="BodyText"/>
            </w:pPr>
            <w:r>
              <w:t>8.47601</w:t>
            </w:r>
          </w:p>
        </w:tc>
        <w:tc>
          <w:tcPr>
            <w:tcW w:w="1548" w:type="dxa"/>
          </w:tcPr>
          <w:p w:rsidR="00B25CAA" w:rsidRPr="00A40CD0" w:rsidRDefault="003B2F38" w:rsidP="002E0BD6">
            <w:pPr>
              <w:pStyle w:val="BodyText"/>
            </w:pPr>
            <w:r>
              <w:t>68.60</w:t>
            </w:r>
            <w:r w:rsidR="00B25CAA" w:rsidRPr="00A40CD0">
              <w:t>%</w:t>
            </w:r>
          </w:p>
        </w:tc>
        <w:tc>
          <w:tcPr>
            <w:tcW w:w="1548" w:type="dxa"/>
          </w:tcPr>
          <w:p w:rsidR="00B25CAA" w:rsidRPr="00A40CD0" w:rsidRDefault="00B25CAA" w:rsidP="002E0BD6">
            <w:pPr>
              <w:pStyle w:val="BodyText"/>
            </w:pPr>
            <w:r w:rsidRPr="00A40CD0">
              <w:t>-</w:t>
            </w:r>
            <w:r w:rsidR="003B2F38">
              <w:t>3.6495</w:t>
            </w:r>
          </w:p>
        </w:tc>
      </w:tr>
      <w:tr w:rsidR="00B25CAA" w:rsidRPr="00A40CD0" w:rsidTr="00B46459">
        <w:tc>
          <w:tcPr>
            <w:tcW w:w="1547" w:type="dxa"/>
          </w:tcPr>
          <w:p w:rsidR="00B25CAA" w:rsidRPr="00A40CD0" w:rsidRDefault="00B25CAA" w:rsidP="002E0BD6">
            <w:pPr>
              <w:pStyle w:val="BodyText"/>
            </w:pPr>
            <w:r w:rsidRPr="00A40CD0">
              <w:t>TSS</w:t>
            </w:r>
          </w:p>
        </w:tc>
        <w:tc>
          <w:tcPr>
            <w:tcW w:w="1822" w:type="dxa"/>
          </w:tcPr>
          <w:p w:rsidR="00B25CAA" w:rsidRPr="00A40CD0" w:rsidRDefault="00B25CAA" w:rsidP="002E0BD6">
            <w:pPr>
              <w:pStyle w:val="BodyText"/>
            </w:pPr>
            <w:r w:rsidRPr="00A40CD0">
              <w:t>Clark</w:t>
            </w:r>
          </w:p>
        </w:tc>
        <w:tc>
          <w:tcPr>
            <w:tcW w:w="1273" w:type="dxa"/>
          </w:tcPr>
          <w:p w:rsidR="00B25CAA" w:rsidRPr="00A40CD0" w:rsidRDefault="008C3FFD" w:rsidP="002E0BD6">
            <w:pPr>
              <w:pStyle w:val="BodyText"/>
            </w:pPr>
            <w:r>
              <w:t>162</w:t>
            </w:r>
          </w:p>
        </w:tc>
        <w:tc>
          <w:tcPr>
            <w:tcW w:w="1548" w:type="dxa"/>
          </w:tcPr>
          <w:p w:rsidR="00B25CAA" w:rsidRPr="00A40CD0" w:rsidRDefault="00883C6B" w:rsidP="002E0BD6">
            <w:pPr>
              <w:pStyle w:val="BodyText"/>
            </w:pPr>
            <w:r>
              <w:t>58.4155</w:t>
            </w:r>
          </w:p>
        </w:tc>
        <w:tc>
          <w:tcPr>
            <w:tcW w:w="1548" w:type="dxa"/>
          </w:tcPr>
          <w:p w:rsidR="00B25CAA" w:rsidRPr="00A40CD0" w:rsidRDefault="003B2F38" w:rsidP="002E0BD6">
            <w:pPr>
              <w:pStyle w:val="BodyText"/>
            </w:pPr>
            <w:r>
              <w:t>246.2</w:t>
            </w:r>
            <w:r w:rsidR="00B25CAA" w:rsidRPr="00A40CD0">
              <w:t>%</w:t>
            </w:r>
          </w:p>
        </w:tc>
        <w:tc>
          <w:tcPr>
            <w:tcW w:w="1548" w:type="dxa"/>
          </w:tcPr>
          <w:p w:rsidR="00B25CAA" w:rsidRPr="00A40CD0" w:rsidRDefault="00B25CAA" w:rsidP="002E0BD6">
            <w:pPr>
              <w:pStyle w:val="BodyText"/>
            </w:pPr>
            <w:r w:rsidRPr="00A40CD0">
              <w:t>4.</w:t>
            </w:r>
            <w:r w:rsidR="00883C6B">
              <w:t>95825</w:t>
            </w:r>
          </w:p>
        </w:tc>
      </w:tr>
      <w:tr w:rsidR="00B25CAA" w:rsidRPr="00A40CD0" w:rsidTr="00B46459">
        <w:tc>
          <w:tcPr>
            <w:tcW w:w="1547" w:type="dxa"/>
          </w:tcPr>
          <w:p w:rsidR="00B25CAA" w:rsidRPr="00A40CD0" w:rsidRDefault="00B25CAA" w:rsidP="002E0BD6">
            <w:pPr>
              <w:pStyle w:val="BodyText"/>
            </w:pPr>
            <w:r w:rsidRPr="00A40CD0">
              <w:t>CDOM</w:t>
            </w:r>
          </w:p>
        </w:tc>
        <w:tc>
          <w:tcPr>
            <w:tcW w:w="1822" w:type="dxa"/>
          </w:tcPr>
          <w:p w:rsidR="00B25CAA" w:rsidRPr="00A40CD0" w:rsidRDefault="00B25CAA" w:rsidP="002E0BD6">
            <w:pPr>
              <w:pStyle w:val="BodyText"/>
            </w:pPr>
            <w:r w:rsidRPr="00A40CD0">
              <w:t>LMI</w:t>
            </w:r>
          </w:p>
        </w:tc>
        <w:tc>
          <w:tcPr>
            <w:tcW w:w="1273" w:type="dxa"/>
          </w:tcPr>
          <w:p w:rsidR="00B25CAA" w:rsidRPr="00A40CD0" w:rsidRDefault="00B25CAA" w:rsidP="002E0BD6">
            <w:pPr>
              <w:pStyle w:val="BodyText"/>
            </w:pPr>
            <w:r w:rsidRPr="00A40CD0">
              <w:t>18</w:t>
            </w:r>
          </w:p>
        </w:tc>
        <w:tc>
          <w:tcPr>
            <w:tcW w:w="1548" w:type="dxa"/>
          </w:tcPr>
          <w:p w:rsidR="00B25CAA" w:rsidRPr="00A40CD0" w:rsidRDefault="003B2F38" w:rsidP="002E0BD6">
            <w:pPr>
              <w:pStyle w:val="BodyText"/>
            </w:pPr>
            <w:r>
              <w:t>0.08183</w:t>
            </w:r>
          </w:p>
        </w:tc>
        <w:tc>
          <w:tcPr>
            <w:tcW w:w="1548" w:type="dxa"/>
          </w:tcPr>
          <w:p w:rsidR="00B25CAA" w:rsidRPr="00A40CD0" w:rsidRDefault="003B2F38" w:rsidP="002E0BD6">
            <w:pPr>
              <w:pStyle w:val="BodyText"/>
            </w:pPr>
            <w:r>
              <w:t>77.13</w:t>
            </w:r>
            <w:r w:rsidR="00B25CAA" w:rsidRPr="00A40CD0">
              <w:t>%</w:t>
            </w:r>
          </w:p>
        </w:tc>
        <w:tc>
          <w:tcPr>
            <w:tcW w:w="1548" w:type="dxa"/>
          </w:tcPr>
          <w:p w:rsidR="00B25CAA" w:rsidRPr="00A40CD0" w:rsidRDefault="003B2F38" w:rsidP="002E0BD6">
            <w:pPr>
              <w:pStyle w:val="BodyText"/>
            </w:pPr>
            <w:r>
              <w:t>-0.001</w:t>
            </w:r>
            <w:r w:rsidR="00B25CAA" w:rsidRPr="00A40CD0">
              <w:t>7</w:t>
            </w:r>
          </w:p>
        </w:tc>
      </w:tr>
      <w:tr w:rsidR="00B25CAA" w:rsidRPr="00A40CD0" w:rsidTr="00B46459">
        <w:tc>
          <w:tcPr>
            <w:tcW w:w="1547" w:type="dxa"/>
          </w:tcPr>
          <w:p w:rsidR="00B25CAA" w:rsidRPr="00A40CD0" w:rsidRDefault="00B25CAA" w:rsidP="002E0BD6">
            <w:pPr>
              <w:pStyle w:val="BodyText"/>
            </w:pPr>
            <w:r w:rsidRPr="00A40CD0">
              <w:t>a</w:t>
            </w:r>
            <w:r w:rsidRPr="00A40CD0">
              <w:rPr>
                <w:vertAlign w:val="subscript"/>
              </w:rPr>
              <w:t>dg</w:t>
            </w:r>
            <w:r w:rsidRPr="00A40CD0">
              <w:t xml:space="preserve"> (CDOM + NAP)</w:t>
            </w:r>
          </w:p>
        </w:tc>
        <w:tc>
          <w:tcPr>
            <w:tcW w:w="1822" w:type="dxa"/>
          </w:tcPr>
          <w:p w:rsidR="00B25CAA" w:rsidRPr="00A40CD0" w:rsidRDefault="00B25CAA" w:rsidP="002E0BD6">
            <w:pPr>
              <w:pStyle w:val="BodyText"/>
            </w:pPr>
            <w:r w:rsidRPr="00A40CD0">
              <w:t>QAA</w:t>
            </w:r>
          </w:p>
        </w:tc>
        <w:tc>
          <w:tcPr>
            <w:tcW w:w="1273" w:type="dxa"/>
          </w:tcPr>
          <w:p w:rsidR="00B25CAA" w:rsidRPr="00A40CD0" w:rsidRDefault="00B25CAA" w:rsidP="002E0BD6">
            <w:pPr>
              <w:pStyle w:val="BodyText"/>
            </w:pPr>
            <w:r w:rsidRPr="00A40CD0">
              <w:t>27</w:t>
            </w:r>
          </w:p>
        </w:tc>
        <w:tc>
          <w:tcPr>
            <w:tcW w:w="1548" w:type="dxa"/>
          </w:tcPr>
          <w:p w:rsidR="00B25CAA" w:rsidRPr="00A40CD0" w:rsidRDefault="003B2F38" w:rsidP="002E0BD6">
            <w:pPr>
              <w:pStyle w:val="BodyText"/>
            </w:pPr>
            <w:r>
              <w:t>0.95100</w:t>
            </w:r>
          </w:p>
        </w:tc>
        <w:tc>
          <w:tcPr>
            <w:tcW w:w="1548" w:type="dxa"/>
          </w:tcPr>
          <w:p w:rsidR="00B25CAA" w:rsidRPr="00A40CD0" w:rsidRDefault="003B2F38" w:rsidP="002E0BD6">
            <w:pPr>
              <w:pStyle w:val="BodyText"/>
            </w:pPr>
            <w:r>
              <w:t>233.6</w:t>
            </w:r>
            <w:r w:rsidR="00B25CAA" w:rsidRPr="00A40CD0">
              <w:t>%</w:t>
            </w:r>
          </w:p>
        </w:tc>
        <w:tc>
          <w:tcPr>
            <w:tcW w:w="1548" w:type="dxa"/>
          </w:tcPr>
          <w:p w:rsidR="00B25CAA" w:rsidRPr="00A40CD0" w:rsidRDefault="00B25CAA" w:rsidP="002E0BD6">
            <w:pPr>
              <w:pStyle w:val="BodyText"/>
            </w:pPr>
            <w:r w:rsidRPr="00A40CD0">
              <w:t>0.</w:t>
            </w:r>
            <w:r w:rsidR="003B2F38">
              <w:t>32437</w:t>
            </w:r>
          </w:p>
        </w:tc>
      </w:tr>
    </w:tbl>
    <w:p w:rsidR="005217DA" w:rsidRDefault="005217DA" w:rsidP="005217DA">
      <w:pPr>
        <w:pStyle w:val="Caption"/>
      </w:pPr>
    </w:p>
    <w:p w:rsidR="005217DA" w:rsidRPr="00A40CD0" w:rsidRDefault="005217DA" w:rsidP="005217DA">
      <w:pPr>
        <w:pStyle w:val="Caption"/>
      </w:pPr>
      <w:bookmarkStart w:id="641" w:name="_Ref228578575"/>
      <w:bookmarkStart w:id="642" w:name="_Toc228588269"/>
      <w:bookmarkStart w:id="643" w:name="_Toc399264973"/>
      <w:r w:rsidRPr="00A40CD0">
        <w:t xml:space="preserve">Table </w:t>
      </w:r>
      <w:fldSimple w:instr=" SEQ Table \* ARABIC ">
        <w:r w:rsidR="00B11F3B">
          <w:rPr>
            <w:noProof/>
          </w:rPr>
          <w:t>44</w:t>
        </w:r>
      </w:fldSimple>
      <w:bookmarkEnd w:id="641"/>
      <w:r w:rsidRPr="00A40CD0">
        <w:t xml:space="preserve"> Validation statistics for the measurements collected with 3 hours of the overpass. RMSE is the root mean square error, MAPE the mean absolute percentage error.</w:t>
      </w:r>
      <w:r>
        <w:t xml:space="preserve"> Statistics excluding the </w:t>
      </w:r>
      <w:r w:rsidRPr="00A40CD0">
        <w:t>data</w:t>
      </w:r>
      <w:r>
        <w:t xml:space="preserve"> points</w:t>
      </w:r>
      <w:r w:rsidRPr="00A40CD0">
        <w:t xml:space="preserve"> collected by ACTFR during flood monitoring projects</w:t>
      </w:r>
      <w:r>
        <w:t xml:space="preserve"> are reported.</w:t>
      </w:r>
      <w:bookmarkEnd w:id="642"/>
      <w:bookmarkEnd w:id="6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1822"/>
        <w:gridCol w:w="1273"/>
        <w:gridCol w:w="1548"/>
        <w:gridCol w:w="1548"/>
        <w:gridCol w:w="1548"/>
      </w:tblGrid>
      <w:tr w:rsidR="005217DA" w:rsidRPr="00A40CD0" w:rsidTr="005217DA">
        <w:tc>
          <w:tcPr>
            <w:tcW w:w="1547" w:type="dxa"/>
          </w:tcPr>
          <w:p w:rsidR="005217DA" w:rsidRPr="00A40CD0" w:rsidRDefault="005217DA" w:rsidP="002E0BD6">
            <w:pPr>
              <w:pStyle w:val="BodyText"/>
            </w:pPr>
            <w:r w:rsidRPr="00A40CD0">
              <w:t>Variable</w:t>
            </w:r>
          </w:p>
        </w:tc>
        <w:tc>
          <w:tcPr>
            <w:tcW w:w="1822" w:type="dxa"/>
          </w:tcPr>
          <w:p w:rsidR="005217DA" w:rsidRPr="00A40CD0" w:rsidRDefault="005217DA" w:rsidP="002E0BD6">
            <w:pPr>
              <w:pStyle w:val="BodyText"/>
            </w:pPr>
            <w:r w:rsidRPr="00A40CD0">
              <w:t>Algorithm</w:t>
            </w:r>
          </w:p>
        </w:tc>
        <w:tc>
          <w:tcPr>
            <w:tcW w:w="1273" w:type="dxa"/>
          </w:tcPr>
          <w:p w:rsidR="005217DA" w:rsidRPr="00A40CD0" w:rsidRDefault="005217DA" w:rsidP="002E0BD6">
            <w:pPr>
              <w:pStyle w:val="BodyText"/>
            </w:pPr>
            <w:r w:rsidRPr="00A40CD0">
              <w:t>N</w:t>
            </w:r>
          </w:p>
        </w:tc>
        <w:tc>
          <w:tcPr>
            <w:tcW w:w="1548" w:type="dxa"/>
          </w:tcPr>
          <w:p w:rsidR="005217DA" w:rsidRPr="00A40CD0" w:rsidRDefault="005217DA" w:rsidP="002E0BD6">
            <w:pPr>
              <w:pStyle w:val="BodyText"/>
            </w:pPr>
            <w:r w:rsidRPr="00A40CD0">
              <w:t>RMSE</w:t>
            </w:r>
          </w:p>
        </w:tc>
        <w:tc>
          <w:tcPr>
            <w:tcW w:w="1548" w:type="dxa"/>
          </w:tcPr>
          <w:p w:rsidR="005217DA" w:rsidRPr="00A40CD0" w:rsidRDefault="005217DA" w:rsidP="002E0BD6">
            <w:pPr>
              <w:pStyle w:val="BodyText"/>
            </w:pPr>
            <w:r w:rsidRPr="00A40CD0">
              <w:t>MAPE</w:t>
            </w:r>
          </w:p>
        </w:tc>
        <w:tc>
          <w:tcPr>
            <w:tcW w:w="1548" w:type="dxa"/>
          </w:tcPr>
          <w:p w:rsidR="005217DA" w:rsidRPr="00A40CD0" w:rsidRDefault="005217DA" w:rsidP="002E0BD6">
            <w:pPr>
              <w:pStyle w:val="BodyText"/>
            </w:pPr>
            <w:r w:rsidRPr="00A40CD0">
              <w:t>Bias</w:t>
            </w:r>
          </w:p>
        </w:tc>
      </w:tr>
      <w:tr w:rsidR="005217DA" w:rsidRPr="00A40CD0" w:rsidTr="005217DA">
        <w:tc>
          <w:tcPr>
            <w:tcW w:w="1547" w:type="dxa"/>
          </w:tcPr>
          <w:p w:rsidR="005217DA" w:rsidRPr="00A40CD0" w:rsidRDefault="005217DA" w:rsidP="002E0BD6">
            <w:pPr>
              <w:pStyle w:val="BodyText"/>
            </w:pPr>
            <w:r w:rsidRPr="00A40CD0">
              <w:t>Chlorophyll-a</w:t>
            </w:r>
          </w:p>
        </w:tc>
        <w:tc>
          <w:tcPr>
            <w:tcW w:w="1822" w:type="dxa"/>
          </w:tcPr>
          <w:p w:rsidR="005217DA" w:rsidRPr="00A40CD0" w:rsidRDefault="005217DA" w:rsidP="002E0BD6">
            <w:pPr>
              <w:pStyle w:val="BodyText"/>
            </w:pPr>
            <w:r>
              <w:t>a-</w:t>
            </w:r>
            <w:r w:rsidRPr="00A40CD0">
              <w:t>LMI</w:t>
            </w:r>
            <w:r>
              <w:t xml:space="preserve"> (no flood)</w:t>
            </w:r>
          </w:p>
        </w:tc>
        <w:tc>
          <w:tcPr>
            <w:tcW w:w="1273" w:type="dxa"/>
          </w:tcPr>
          <w:p w:rsidR="005217DA" w:rsidRPr="00A40CD0" w:rsidRDefault="005217DA" w:rsidP="002E0BD6">
            <w:pPr>
              <w:pStyle w:val="BodyText"/>
            </w:pPr>
            <w:r>
              <w:t>211</w:t>
            </w:r>
          </w:p>
        </w:tc>
        <w:tc>
          <w:tcPr>
            <w:tcW w:w="1548" w:type="dxa"/>
          </w:tcPr>
          <w:p w:rsidR="005217DA" w:rsidRPr="00A40CD0" w:rsidRDefault="005217DA" w:rsidP="002E0BD6">
            <w:pPr>
              <w:pStyle w:val="BodyText"/>
            </w:pPr>
            <w:r>
              <w:t>0.73652</w:t>
            </w:r>
          </w:p>
        </w:tc>
        <w:tc>
          <w:tcPr>
            <w:tcW w:w="1548" w:type="dxa"/>
          </w:tcPr>
          <w:p w:rsidR="005217DA" w:rsidRPr="00A40CD0" w:rsidRDefault="005217DA" w:rsidP="002E0BD6">
            <w:pPr>
              <w:pStyle w:val="BodyText"/>
            </w:pPr>
            <w:r>
              <w:t>75.19</w:t>
            </w:r>
            <w:r w:rsidRPr="00A40CD0">
              <w:t>%</w:t>
            </w:r>
          </w:p>
        </w:tc>
        <w:tc>
          <w:tcPr>
            <w:tcW w:w="1548" w:type="dxa"/>
          </w:tcPr>
          <w:p w:rsidR="005217DA" w:rsidRPr="00A40CD0" w:rsidRDefault="005217DA" w:rsidP="002E0BD6">
            <w:pPr>
              <w:pStyle w:val="BodyText"/>
            </w:pPr>
            <w:r>
              <w:t>-0.0274</w:t>
            </w:r>
          </w:p>
        </w:tc>
      </w:tr>
      <w:tr w:rsidR="005217DA" w:rsidRPr="00A40CD0" w:rsidTr="005217DA">
        <w:tc>
          <w:tcPr>
            <w:tcW w:w="1547" w:type="dxa"/>
          </w:tcPr>
          <w:p w:rsidR="005217DA" w:rsidRPr="00A40CD0" w:rsidRDefault="005217DA" w:rsidP="002E0BD6">
            <w:pPr>
              <w:pStyle w:val="BodyText"/>
            </w:pPr>
            <w:r w:rsidRPr="00A40CD0">
              <w:t>Chlorophyll-a</w:t>
            </w:r>
          </w:p>
        </w:tc>
        <w:tc>
          <w:tcPr>
            <w:tcW w:w="1822" w:type="dxa"/>
          </w:tcPr>
          <w:p w:rsidR="005217DA" w:rsidRPr="00A40CD0" w:rsidRDefault="005217DA" w:rsidP="002E0BD6">
            <w:pPr>
              <w:pStyle w:val="BodyText"/>
            </w:pPr>
            <w:r w:rsidRPr="00A40CD0">
              <w:t>GSM</w:t>
            </w:r>
            <w:r>
              <w:t xml:space="preserve"> (no flood)</w:t>
            </w:r>
          </w:p>
        </w:tc>
        <w:tc>
          <w:tcPr>
            <w:tcW w:w="1273" w:type="dxa"/>
          </w:tcPr>
          <w:p w:rsidR="005217DA" w:rsidRPr="00A40CD0" w:rsidRDefault="005217DA" w:rsidP="002E0BD6">
            <w:pPr>
              <w:pStyle w:val="BodyText"/>
            </w:pPr>
            <w:r>
              <w:t>318</w:t>
            </w:r>
          </w:p>
        </w:tc>
        <w:tc>
          <w:tcPr>
            <w:tcW w:w="1548" w:type="dxa"/>
          </w:tcPr>
          <w:p w:rsidR="005217DA" w:rsidRPr="00A40CD0" w:rsidRDefault="005217DA" w:rsidP="002E0BD6">
            <w:pPr>
              <w:pStyle w:val="BodyText"/>
            </w:pPr>
            <w:r>
              <w:t>2.27157</w:t>
            </w:r>
          </w:p>
        </w:tc>
        <w:tc>
          <w:tcPr>
            <w:tcW w:w="1548" w:type="dxa"/>
          </w:tcPr>
          <w:p w:rsidR="005217DA" w:rsidRPr="00A40CD0" w:rsidRDefault="005217DA" w:rsidP="002E0BD6">
            <w:pPr>
              <w:pStyle w:val="BodyText"/>
            </w:pPr>
            <w:r>
              <w:t>166.3</w:t>
            </w:r>
            <w:r w:rsidRPr="00A40CD0">
              <w:t>%</w:t>
            </w:r>
          </w:p>
        </w:tc>
        <w:tc>
          <w:tcPr>
            <w:tcW w:w="1548" w:type="dxa"/>
          </w:tcPr>
          <w:p w:rsidR="005217DA" w:rsidRPr="00A40CD0" w:rsidRDefault="005217DA" w:rsidP="002E0BD6">
            <w:pPr>
              <w:pStyle w:val="BodyText"/>
            </w:pPr>
            <w:r>
              <w:t>0.36061</w:t>
            </w:r>
          </w:p>
        </w:tc>
      </w:tr>
      <w:tr w:rsidR="005217DA" w:rsidRPr="00A40CD0" w:rsidTr="005217DA">
        <w:tc>
          <w:tcPr>
            <w:tcW w:w="1547" w:type="dxa"/>
          </w:tcPr>
          <w:p w:rsidR="005217DA" w:rsidRPr="00A40CD0" w:rsidRDefault="005217DA" w:rsidP="002E0BD6">
            <w:pPr>
              <w:pStyle w:val="BodyText"/>
            </w:pPr>
            <w:r w:rsidRPr="00A40CD0">
              <w:t>TSS (NAP)</w:t>
            </w:r>
          </w:p>
        </w:tc>
        <w:tc>
          <w:tcPr>
            <w:tcW w:w="1822" w:type="dxa"/>
          </w:tcPr>
          <w:p w:rsidR="005217DA" w:rsidRPr="00A40CD0" w:rsidRDefault="005217DA" w:rsidP="002E0BD6">
            <w:pPr>
              <w:pStyle w:val="BodyText"/>
            </w:pPr>
            <w:r>
              <w:t>a-</w:t>
            </w:r>
            <w:r w:rsidRPr="00A40CD0">
              <w:t>LMI</w:t>
            </w:r>
            <w:r>
              <w:t xml:space="preserve"> (no flood)</w:t>
            </w:r>
          </w:p>
        </w:tc>
        <w:tc>
          <w:tcPr>
            <w:tcW w:w="1273" w:type="dxa"/>
          </w:tcPr>
          <w:p w:rsidR="005217DA" w:rsidRPr="00A40CD0" w:rsidRDefault="005217DA" w:rsidP="002E0BD6">
            <w:pPr>
              <w:pStyle w:val="BodyText"/>
            </w:pPr>
            <w:r>
              <w:t>66</w:t>
            </w:r>
          </w:p>
        </w:tc>
        <w:tc>
          <w:tcPr>
            <w:tcW w:w="1548" w:type="dxa"/>
          </w:tcPr>
          <w:p w:rsidR="005217DA" w:rsidRPr="00A40CD0" w:rsidRDefault="005217DA" w:rsidP="002E0BD6">
            <w:pPr>
              <w:pStyle w:val="BodyText"/>
            </w:pPr>
            <w:r>
              <w:t>1.08602</w:t>
            </w:r>
          </w:p>
        </w:tc>
        <w:tc>
          <w:tcPr>
            <w:tcW w:w="1548" w:type="dxa"/>
          </w:tcPr>
          <w:p w:rsidR="005217DA" w:rsidRPr="00A40CD0" w:rsidRDefault="005217DA" w:rsidP="002E0BD6">
            <w:pPr>
              <w:pStyle w:val="BodyText"/>
            </w:pPr>
            <w:r>
              <w:t>66.85</w:t>
            </w:r>
            <w:r w:rsidRPr="00A40CD0">
              <w:t>%</w:t>
            </w:r>
          </w:p>
        </w:tc>
        <w:tc>
          <w:tcPr>
            <w:tcW w:w="1548" w:type="dxa"/>
          </w:tcPr>
          <w:p w:rsidR="005217DA" w:rsidRPr="00A40CD0" w:rsidRDefault="005217DA" w:rsidP="002E0BD6">
            <w:pPr>
              <w:pStyle w:val="BodyText"/>
            </w:pPr>
            <w:r w:rsidRPr="00A40CD0">
              <w:t>-</w:t>
            </w:r>
            <w:r>
              <w:t>0.5695</w:t>
            </w:r>
          </w:p>
        </w:tc>
      </w:tr>
      <w:tr w:rsidR="005217DA" w:rsidRPr="00A40CD0" w:rsidTr="005217DA">
        <w:tc>
          <w:tcPr>
            <w:tcW w:w="1547" w:type="dxa"/>
          </w:tcPr>
          <w:p w:rsidR="005217DA" w:rsidRPr="00A40CD0" w:rsidRDefault="005217DA" w:rsidP="002E0BD6">
            <w:pPr>
              <w:pStyle w:val="BodyText"/>
            </w:pPr>
            <w:r w:rsidRPr="00A40CD0">
              <w:t>TSS</w:t>
            </w:r>
          </w:p>
        </w:tc>
        <w:tc>
          <w:tcPr>
            <w:tcW w:w="1822" w:type="dxa"/>
          </w:tcPr>
          <w:p w:rsidR="005217DA" w:rsidRPr="00A40CD0" w:rsidRDefault="005217DA" w:rsidP="002E0BD6">
            <w:pPr>
              <w:pStyle w:val="BodyText"/>
            </w:pPr>
            <w:r w:rsidRPr="00A40CD0">
              <w:t>Clark</w:t>
            </w:r>
            <w:r>
              <w:t xml:space="preserve"> (no flood)</w:t>
            </w:r>
          </w:p>
        </w:tc>
        <w:tc>
          <w:tcPr>
            <w:tcW w:w="1273" w:type="dxa"/>
          </w:tcPr>
          <w:p w:rsidR="005217DA" w:rsidRPr="00A40CD0" w:rsidRDefault="005217DA" w:rsidP="002E0BD6">
            <w:pPr>
              <w:pStyle w:val="BodyText"/>
            </w:pPr>
            <w:r>
              <w:t>91</w:t>
            </w:r>
          </w:p>
        </w:tc>
        <w:tc>
          <w:tcPr>
            <w:tcW w:w="1548" w:type="dxa"/>
          </w:tcPr>
          <w:p w:rsidR="005217DA" w:rsidRPr="00A40CD0" w:rsidRDefault="005217DA" w:rsidP="002E0BD6">
            <w:pPr>
              <w:pStyle w:val="BodyText"/>
            </w:pPr>
            <w:r>
              <w:t>2.83893</w:t>
            </w:r>
          </w:p>
        </w:tc>
        <w:tc>
          <w:tcPr>
            <w:tcW w:w="1548" w:type="dxa"/>
          </w:tcPr>
          <w:p w:rsidR="005217DA" w:rsidRPr="00A40CD0" w:rsidRDefault="005217DA" w:rsidP="002E0BD6">
            <w:pPr>
              <w:pStyle w:val="BodyText"/>
            </w:pPr>
            <w:r>
              <w:t>301.1</w:t>
            </w:r>
            <w:r w:rsidRPr="00A40CD0">
              <w:t>%</w:t>
            </w:r>
          </w:p>
        </w:tc>
        <w:tc>
          <w:tcPr>
            <w:tcW w:w="1548" w:type="dxa"/>
          </w:tcPr>
          <w:p w:rsidR="005217DA" w:rsidRPr="00A40CD0" w:rsidRDefault="005217DA" w:rsidP="002E0BD6">
            <w:pPr>
              <w:pStyle w:val="BodyText"/>
            </w:pPr>
            <w:r>
              <w:t>-1.0968</w:t>
            </w:r>
          </w:p>
        </w:tc>
      </w:tr>
    </w:tbl>
    <w:p w:rsidR="00B25CAA" w:rsidRDefault="00B25CAA" w:rsidP="002E0BD6">
      <w:pPr>
        <w:pStyle w:val="BodyText"/>
      </w:pPr>
    </w:p>
    <w:p w:rsidR="00C07FB0" w:rsidRDefault="00C07FB0" w:rsidP="002E0BD6">
      <w:pPr>
        <w:pStyle w:val="BodyText"/>
      </w:pPr>
    </w:p>
    <w:p w:rsidR="00B25CAA" w:rsidRPr="00A40CD0" w:rsidRDefault="00C07FB0" w:rsidP="002E0BD6">
      <w:pPr>
        <w:pStyle w:val="BodyText"/>
      </w:pPr>
      <w:r>
        <w:rPr>
          <w:noProof/>
          <w:lang w:eastAsia="en-AU"/>
        </w:rPr>
        <w:drawing>
          <wp:inline distT="0" distB="0" distL="0" distR="0">
            <wp:extent cx="2232000" cy="2035629"/>
            <wp:effectExtent l="0" t="0" r="3810" b="0"/>
            <wp:docPr id="3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L_GSM_T180_3x3.png"/>
                    <pic:cNvPicPr/>
                  </pic:nvPicPr>
                  <pic:blipFill rotWithShape="1">
                    <a:blip r:embed="rId212" cstate="email">
                      <a:extLst>
                        <a:ext uri="{28A0092B-C50C-407E-A947-70E740481C1C}">
                          <a14:useLocalDpi xmlns:a14="http://schemas.microsoft.com/office/drawing/2010/main"/>
                        </a:ext>
                      </a:extLst>
                    </a:blip>
                    <a:srcRect b="-1638"/>
                    <a:stretch/>
                  </pic:blipFill>
                  <pic:spPr bwMode="auto">
                    <a:xfrm>
                      <a:off x="0" y="0"/>
                      <a:ext cx="2232000" cy="2035629"/>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bookmarkStart w:id="644" w:name="_Ref214304148"/>
      <w:r w:rsidR="00B602B2">
        <w:rPr>
          <w:noProof/>
          <w:lang w:eastAsia="en-AU"/>
        </w:rPr>
        <w:drawing>
          <wp:inline distT="0" distB="0" distL="0" distR="0">
            <wp:extent cx="2200454" cy="2039363"/>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L_MIM_T180_3x3_ANNF.png"/>
                    <pic:cNvPicPr/>
                  </pic:nvPicPr>
                  <pic:blipFill>
                    <a:blip r:embed="rId213" cstate="email">
                      <a:extLst>
                        <a:ext uri="{28A0092B-C50C-407E-A947-70E740481C1C}">
                          <a14:useLocalDpi xmlns:a14="http://schemas.microsoft.com/office/drawing/2010/main"/>
                        </a:ext>
                      </a:extLst>
                    </a:blip>
                    <a:stretch>
                      <a:fillRect/>
                    </a:stretch>
                  </pic:blipFill>
                  <pic:spPr>
                    <a:xfrm>
                      <a:off x="0" y="0"/>
                      <a:ext cx="2200454" cy="2039363"/>
                    </a:xfrm>
                    <a:prstGeom prst="rect">
                      <a:avLst/>
                    </a:prstGeom>
                  </pic:spPr>
                </pic:pic>
              </a:graphicData>
            </a:graphic>
          </wp:inline>
        </w:drawing>
      </w:r>
    </w:p>
    <w:p w:rsidR="00827608" w:rsidRDefault="00B25CAA" w:rsidP="002E0BD6">
      <w:pPr>
        <w:pStyle w:val="BodyText"/>
      </w:pPr>
      <w:bookmarkStart w:id="645" w:name="_Ref247427727"/>
      <w:bookmarkStart w:id="646" w:name="_Toc228588381"/>
      <w:bookmarkStart w:id="647" w:name="_Toc399265084"/>
      <w:r w:rsidRPr="00A40CD0">
        <w:t xml:space="preserve">Figure </w:t>
      </w:r>
      <w:fldSimple w:instr=" SEQ Figure \* ARABIC ">
        <w:r w:rsidR="00B11F3B">
          <w:rPr>
            <w:noProof/>
          </w:rPr>
          <w:t>98</w:t>
        </w:r>
      </w:fldSimple>
      <w:bookmarkEnd w:id="644"/>
      <w:bookmarkEnd w:id="645"/>
      <w:r w:rsidRPr="00A40CD0">
        <w:t xml:space="preserve">: MODIS Aqua Chlorophyll-a retrieval versus </w:t>
      </w:r>
      <w:r w:rsidRPr="00A40CD0">
        <w:rPr>
          <w:i/>
        </w:rPr>
        <w:t>in situ</w:t>
      </w:r>
      <w:r w:rsidRPr="00A40CD0">
        <w:t xml:space="preserve"> data. </w:t>
      </w:r>
      <w:r w:rsidR="00D25A80">
        <w:t xml:space="preserve">The dashed lines present an over or underestimate of 100%. </w:t>
      </w:r>
      <w:r w:rsidRPr="00A40CD0">
        <w:t>Only the measurements collected within ±3 hours time difference to the overpass were plotted. Number of matchups</w:t>
      </w:r>
      <w:r w:rsidR="00D55147">
        <w:t xml:space="preserve"> is</w:t>
      </w:r>
      <w:r w:rsidR="00EB195F">
        <w:t xml:space="preserve"> 266</w:t>
      </w:r>
      <w:r w:rsidRPr="00A40CD0">
        <w:t xml:space="preserve"> for </w:t>
      </w:r>
      <w:r w:rsidR="00EB195F">
        <w:t>a-LMI and 366</w:t>
      </w:r>
      <w:r w:rsidRPr="00A40CD0">
        <w:t xml:space="preserve"> for </w:t>
      </w:r>
      <w:r w:rsidR="00D55147" w:rsidRPr="00A40CD0">
        <w:t>gsm01</w:t>
      </w:r>
      <w:r w:rsidRPr="00A40CD0">
        <w:t>.</w:t>
      </w:r>
      <w:bookmarkEnd w:id="646"/>
      <w:bookmarkEnd w:id="647"/>
    </w:p>
    <w:p w:rsidR="00EB195F" w:rsidRPr="00A40CD0" w:rsidRDefault="00C07FB0" w:rsidP="002E0BD6">
      <w:pPr>
        <w:pStyle w:val="BodyText"/>
      </w:pPr>
      <w:r>
        <w:rPr>
          <w:noProof/>
          <w:lang w:eastAsia="en-AU"/>
        </w:rPr>
        <w:drawing>
          <wp:inline distT="0" distB="0" distL="0" distR="0">
            <wp:extent cx="2230560" cy="2113807"/>
            <wp:effectExtent l="0" t="0" r="5080" b="0"/>
            <wp:docPr id="43" name="Picture 43" descr="MODIS Aqua TSS retrieval versus in situ data. The dashed lines present an over or underestimate of 100%. Only the measurements collected within ±3 hours time difference to the overpass were plotted. Number of matchups is 114 for LMI and 162 for Cl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M_CLR_T180_3x3.png"/>
                    <pic:cNvPicPr/>
                  </pic:nvPicPr>
                  <pic:blipFill rotWithShape="1">
                    <a:blip r:embed="rId214" cstate="email">
                      <a:extLst>
                        <a:ext uri="{28A0092B-C50C-407E-A947-70E740481C1C}">
                          <a14:useLocalDpi xmlns:a14="http://schemas.microsoft.com/office/drawing/2010/main"/>
                        </a:ext>
                      </a:extLst>
                    </a:blip>
                    <a:srcRect/>
                    <a:stretch/>
                  </pic:blipFill>
                  <pic:spPr bwMode="auto">
                    <a:xfrm>
                      <a:off x="0" y="0"/>
                      <a:ext cx="2230560" cy="2113807"/>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EB195F">
        <w:rPr>
          <w:noProof/>
          <w:lang w:eastAsia="en-AU"/>
        </w:rPr>
        <w:drawing>
          <wp:inline distT="0" distB="0" distL="0" distR="0">
            <wp:extent cx="2229290" cy="2127043"/>
            <wp:effectExtent l="0" t="0" r="6350" b="6985"/>
            <wp:docPr id="513" name="Picture 513" descr="MODIS Aqua TSS retrieval versus in situ data. The dashed lines present an over or underestimate of 100%. Only the measurements collected within ±3 hours time difference to the overpass were plotted. Number of matchups is 114 for LMI and 162 for Cl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M_MIM_T180_3x3_ANNF.png"/>
                    <pic:cNvPicPr/>
                  </pic:nvPicPr>
                  <pic:blipFill>
                    <a:blip r:embed="rId215" cstate="email">
                      <a:extLst>
                        <a:ext uri="{28A0092B-C50C-407E-A947-70E740481C1C}">
                          <a14:useLocalDpi xmlns:a14="http://schemas.microsoft.com/office/drawing/2010/main"/>
                        </a:ext>
                      </a:extLst>
                    </a:blip>
                    <a:stretch>
                      <a:fillRect/>
                    </a:stretch>
                  </pic:blipFill>
                  <pic:spPr>
                    <a:xfrm>
                      <a:off x="0" y="0"/>
                      <a:ext cx="2229290" cy="2127043"/>
                    </a:xfrm>
                    <a:prstGeom prst="rect">
                      <a:avLst/>
                    </a:prstGeom>
                  </pic:spPr>
                </pic:pic>
              </a:graphicData>
            </a:graphic>
          </wp:inline>
        </w:drawing>
      </w:r>
    </w:p>
    <w:p w:rsidR="00B25CAA" w:rsidRPr="00A40CD0" w:rsidRDefault="00B25CAA" w:rsidP="00CE1236">
      <w:pPr>
        <w:pStyle w:val="Caption"/>
      </w:pPr>
      <w:bookmarkStart w:id="648" w:name="_Ref248048313"/>
      <w:bookmarkStart w:id="649" w:name="_Ref248048307"/>
      <w:bookmarkStart w:id="650" w:name="_Toc228588382"/>
      <w:bookmarkStart w:id="651" w:name="OLE_LINK16"/>
      <w:bookmarkStart w:id="652" w:name="OLE_LINK17"/>
      <w:bookmarkStart w:id="653" w:name="_Toc399265085"/>
      <w:r w:rsidRPr="00A40CD0">
        <w:t xml:space="preserve">Figure </w:t>
      </w:r>
      <w:fldSimple w:instr=" SEQ Figure \* ARABIC ">
        <w:r w:rsidR="00B11F3B">
          <w:rPr>
            <w:noProof/>
          </w:rPr>
          <w:t>99</w:t>
        </w:r>
      </w:fldSimple>
      <w:bookmarkEnd w:id="648"/>
      <w:r w:rsidRPr="00A40CD0">
        <w:t xml:space="preserve">: MODIS Aqua TSS retrieval versus </w:t>
      </w:r>
      <w:r w:rsidRPr="00A40CD0">
        <w:rPr>
          <w:i/>
        </w:rPr>
        <w:t>in situ</w:t>
      </w:r>
      <w:r w:rsidRPr="00A40CD0">
        <w:t xml:space="preserve"> data. </w:t>
      </w:r>
      <w:r w:rsidR="00D25A80">
        <w:t xml:space="preserve">The dashed lines present an over or underestimate of 100%. </w:t>
      </w:r>
      <w:r w:rsidRPr="00A40CD0">
        <w:t xml:space="preserve">Only the measurements collected within ±3 hours time difference to the overpass were plotted. Number of matchups </w:t>
      </w:r>
      <w:r w:rsidR="00D55147">
        <w:t>is</w:t>
      </w:r>
      <w:r w:rsidR="00EB195F">
        <w:t xml:space="preserve"> 114 for LMI and 162</w:t>
      </w:r>
      <w:r w:rsidRPr="00A40CD0">
        <w:t xml:space="preserve"> for Clark</w:t>
      </w:r>
      <w:bookmarkEnd w:id="649"/>
      <w:r w:rsidRPr="00A40CD0">
        <w:t>.</w:t>
      </w:r>
      <w:bookmarkEnd w:id="650"/>
      <w:bookmarkEnd w:id="651"/>
      <w:bookmarkEnd w:id="652"/>
      <w:bookmarkEnd w:id="653"/>
    </w:p>
    <w:p w:rsidR="00EB195F" w:rsidRPr="00A40CD0" w:rsidRDefault="00C07FB0" w:rsidP="002E0BD6">
      <w:pPr>
        <w:pStyle w:val="BodyText"/>
      </w:pPr>
      <w:r>
        <w:rPr>
          <w:noProof/>
          <w:lang w:eastAsia="en-AU"/>
        </w:rPr>
        <w:drawing>
          <wp:inline distT="0" distB="0" distL="0" distR="0">
            <wp:extent cx="2549612" cy="2088000"/>
            <wp:effectExtent l="0" t="0" r="0" b="0"/>
            <wp:docPr id="514" name="Picture 514" descr="MODIS Aqua aCDOM (443) and adg(443) retrievals versus in situ data. The dashed lines present an over or underestimate of 100%. Only the measurements collected within ±3 hours time difference to the overpass were plotted. Number of matchups is 16 for LMI and 27 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EL_QAA_T180_3x3.png"/>
                    <pic:cNvPicPr/>
                  </pic:nvPicPr>
                  <pic:blipFill rotWithShape="1">
                    <a:blip r:embed="rId216" cstate="email">
                      <a:extLst>
                        <a:ext uri="{28A0092B-C50C-407E-A947-70E740481C1C}">
                          <a14:useLocalDpi xmlns:a14="http://schemas.microsoft.com/office/drawing/2010/main"/>
                        </a:ext>
                      </a:extLst>
                    </a:blip>
                    <a:srcRect t="-1" b="-993"/>
                    <a:stretch/>
                  </pic:blipFill>
                  <pic:spPr bwMode="auto">
                    <a:xfrm>
                      <a:off x="0" y="0"/>
                      <a:ext cx="2549612" cy="2088000"/>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EB195F">
        <w:rPr>
          <w:noProof/>
          <w:lang w:eastAsia="en-AU"/>
        </w:rPr>
        <w:drawing>
          <wp:inline distT="0" distB="0" distL="0" distR="0">
            <wp:extent cx="2229290" cy="2066090"/>
            <wp:effectExtent l="0" t="0" r="6350" b="0"/>
            <wp:docPr id="527" name="Picture 527" descr="MODIS Aqua aCDOM (443) and adg(443) retrievals versus in situ data. The dashed lines present an over or underestimate of 100%. Only the measurements collected within ±3 hours time difference to the overpass were plotted. Number of matchups is 16 for LMI and 27 Q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EL_MIM_T180_3x3_ANNF.png"/>
                    <pic:cNvPicPr/>
                  </pic:nvPicPr>
                  <pic:blipFill>
                    <a:blip r:embed="rId217" cstate="email">
                      <a:extLst>
                        <a:ext uri="{28A0092B-C50C-407E-A947-70E740481C1C}">
                          <a14:useLocalDpi xmlns:a14="http://schemas.microsoft.com/office/drawing/2010/main"/>
                        </a:ext>
                      </a:extLst>
                    </a:blip>
                    <a:stretch>
                      <a:fillRect/>
                    </a:stretch>
                  </pic:blipFill>
                  <pic:spPr>
                    <a:xfrm>
                      <a:off x="0" y="0"/>
                      <a:ext cx="2229290" cy="2066090"/>
                    </a:xfrm>
                    <a:prstGeom prst="rect">
                      <a:avLst/>
                    </a:prstGeom>
                  </pic:spPr>
                </pic:pic>
              </a:graphicData>
            </a:graphic>
          </wp:inline>
        </w:drawing>
      </w:r>
    </w:p>
    <w:p w:rsidR="00B25CAA" w:rsidRDefault="00B25CAA" w:rsidP="004F4DDE">
      <w:pPr>
        <w:pStyle w:val="Caption"/>
      </w:pPr>
      <w:bookmarkStart w:id="654" w:name="_Ref248048380"/>
      <w:bookmarkStart w:id="655" w:name="_Toc228588383"/>
      <w:bookmarkStart w:id="656" w:name="_Toc399265086"/>
      <w:r w:rsidRPr="00A40CD0">
        <w:t xml:space="preserve">Figure </w:t>
      </w:r>
      <w:fldSimple w:instr=" SEQ Figure \* ARABIC ">
        <w:r w:rsidR="00B11F3B">
          <w:rPr>
            <w:noProof/>
          </w:rPr>
          <w:t>100</w:t>
        </w:r>
      </w:fldSimple>
      <w:bookmarkEnd w:id="654"/>
      <w:r w:rsidRPr="00A40CD0">
        <w:t xml:space="preserve">: </w:t>
      </w:r>
      <w:bookmarkStart w:id="657" w:name="_Ref248048410"/>
      <w:r w:rsidRPr="00A40CD0">
        <w:t>MODIS Aqua a</w:t>
      </w:r>
      <w:r w:rsidR="0094732C" w:rsidRPr="00A40CD0">
        <w:rPr>
          <w:vertAlign w:val="subscript"/>
        </w:rPr>
        <w:t>CDOM</w:t>
      </w:r>
      <w:r w:rsidRPr="00A40CD0">
        <w:t xml:space="preserve"> (443)</w:t>
      </w:r>
      <w:r w:rsidR="009D3995" w:rsidRPr="00A40CD0">
        <w:t xml:space="preserve"> and a</w:t>
      </w:r>
      <w:r w:rsidR="009D3995" w:rsidRPr="00A40CD0">
        <w:rPr>
          <w:vertAlign w:val="subscript"/>
        </w:rPr>
        <w:t>dg</w:t>
      </w:r>
      <w:r w:rsidR="009D3995" w:rsidRPr="00A40CD0">
        <w:t>(443)</w:t>
      </w:r>
      <w:r w:rsidRPr="00A40CD0">
        <w:t xml:space="preserve"> retrieval</w:t>
      </w:r>
      <w:r w:rsidR="009D3995" w:rsidRPr="00A40CD0">
        <w:t>s</w:t>
      </w:r>
      <w:r w:rsidRPr="00A40CD0">
        <w:t xml:space="preserve"> versus </w:t>
      </w:r>
      <w:r w:rsidRPr="00A40CD0">
        <w:rPr>
          <w:i/>
        </w:rPr>
        <w:t>in situ</w:t>
      </w:r>
      <w:r w:rsidRPr="00A40CD0">
        <w:t xml:space="preserve"> data. </w:t>
      </w:r>
      <w:r w:rsidR="00D25A80">
        <w:t xml:space="preserve">The dashed lines present an over or underestimate of 100%. </w:t>
      </w:r>
      <w:r w:rsidRPr="00A40CD0">
        <w:t xml:space="preserve">Only the measurements collected within ±3 hours time difference to the overpass were plotted. Number of matchups </w:t>
      </w:r>
      <w:r w:rsidR="00D55147">
        <w:t>is</w:t>
      </w:r>
      <w:r w:rsidR="00E30062">
        <w:t xml:space="preserve"> 16</w:t>
      </w:r>
      <w:r w:rsidRPr="00A40CD0">
        <w:t xml:space="preserve"> for LMI and 27 QAA</w:t>
      </w:r>
      <w:bookmarkEnd w:id="657"/>
      <w:r w:rsidRPr="00A40CD0">
        <w:t>.</w:t>
      </w:r>
      <w:bookmarkEnd w:id="655"/>
      <w:bookmarkEnd w:id="656"/>
    </w:p>
    <w:p w:rsidR="00CE1236" w:rsidRDefault="00CE1236" w:rsidP="0022474F"/>
    <w:p w:rsidR="00CE1236" w:rsidRPr="00A40CD0" w:rsidRDefault="00DB4643" w:rsidP="007E294B">
      <w:pPr>
        <w:pStyle w:val="Heading2"/>
      </w:pPr>
      <w:bookmarkStart w:id="658" w:name="_Ref243388788"/>
      <w:bookmarkStart w:id="659" w:name="_Toc399264924"/>
      <w:r>
        <w:t>Accuracy assessment for the superseded parameterization</w:t>
      </w:r>
      <w:bookmarkEnd w:id="658"/>
      <w:bookmarkEnd w:id="659"/>
    </w:p>
    <w:p w:rsidR="00A6470F" w:rsidRDefault="005C6357" w:rsidP="00DB4643">
      <w:pPr>
        <w:pStyle w:val="BodyText"/>
      </w:pPr>
      <w:r>
        <w:t xml:space="preserve">As mentioned in section </w:t>
      </w:r>
      <w:r w:rsidR="00EA2F38">
        <w:fldChar w:fldCharType="begin"/>
      </w:r>
      <w:r>
        <w:instrText xml:space="preserve"> REF _Ref243386400 \r \h </w:instrText>
      </w:r>
      <w:r w:rsidR="00EA2F38">
        <w:fldChar w:fldCharType="separate"/>
      </w:r>
      <w:r w:rsidR="00B11F3B">
        <w:t>6.3.2</w:t>
      </w:r>
      <w:r w:rsidR="00EA2F38">
        <w:fldChar w:fldCharType="end"/>
      </w:r>
      <w:r>
        <w:t xml:space="preserve">, for this report two of the ten candidate parameter set in the </w:t>
      </w:r>
      <w:r w:rsidRPr="00A40CD0">
        <w:t>LMI_CLU4</w:t>
      </w:r>
      <w:r>
        <w:t xml:space="preserve"> parameterization were removed as they were leading to over-estimates of NAP retrievals in lagoonal waters</w:t>
      </w:r>
      <w:r w:rsidRPr="00A40CD0">
        <w:t>.</w:t>
      </w:r>
      <w:r>
        <w:t xml:space="preserve"> </w:t>
      </w:r>
      <w:r w:rsidR="00D612E5">
        <w:t xml:space="preserve"> </w:t>
      </w:r>
      <w:r w:rsidR="00EA2F38">
        <w:fldChar w:fldCharType="begin"/>
      </w:r>
      <w:r w:rsidR="00C669EF">
        <w:instrText xml:space="preserve"> REF _Ref243386606 \h </w:instrText>
      </w:r>
      <w:r w:rsidR="00EA2F38">
        <w:fldChar w:fldCharType="separate"/>
      </w:r>
      <w:r w:rsidR="00B11F3B" w:rsidRPr="00A40CD0">
        <w:t xml:space="preserve">Figure </w:t>
      </w:r>
      <w:r w:rsidR="00B11F3B">
        <w:rPr>
          <w:noProof/>
        </w:rPr>
        <w:t>101</w:t>
      </w:r>
      <w:r w:rsidR="00EA2F38">
        <w:fldChar w:fldCharType="end"/>
      </w:r>
      <w:r w:rsidR="00A6470F">
        <w:t xml:space="preserve"> </w:t>
      </w:r>
      <w:r w:rsidR="00C669EF" w:rsidRPr="00A40CD0">
        <w:t xml:space="preserve">presents the matchup for MODIS Aqua TSS retrieval versus </w:t>
      </w:r>
      <w:r w:rsidR="00C669EF" w:rsidRPr="00DB4643">
        <w:t>in situ</w:t>
      </w:r>
      <w:r w:rsidR="00C669EF" w:rsidRPr="00A40CD0">
        <w:t xml:space="preserve"> data</w:t>
      </w:r>
      <w:r w:rsidR="00C669EF">
        <w:t xml:space="preserve"> using a-LMI (with the LMI_CLU4 parameterization).</w:t>
      </w:r>
      <w:r w:rsidR="00A6470F">
        <w:t xml:space="preserve"> I</w:t>
      </w:r>
      <w:r w:rsidR="00C669EF">
        <w:t>n the range 0.1-2 mgL</w:t>
      </w:r>
      <w:r w:rsidR="00C669EF" w:rsidRPr="00D53F43">
        <w:rPr>
          <w:vertAlign w:val="superscript"/>
        </w:rPr>
        <w:t>-1</w:t>
      </w:r>
      <w:r w:rsidR="00D53F43">
        <w:t xml:space="preserve"> there are more than ten</w:t>
      </w:r>
      <w:r w:rsidR="00A6470F">
        <w:t xml:space="preserve"> data poi</w:t>
      </w:r>
      <w:r w:rsidR="00D25A80">
        <w:t>nts over-estimating more than 100</w:t>
      </w:r>
      <w:r w:rsidR="00D53F43">
        <w:t xml:space="preserve">%, </w:t>
      </w:r>
      <w:r w:rsidR="00A6470F">
        <w:t xml:space="preserve">i.e. </w:t>
      </w:r>
      <w:r w:rsidR="00DB4643">
        <w:t xml:space="preserve">appear </w:t>
      </w:r>
      <w:r w:rsidR="00D53F43">
        <w:t>above the upper dashed</w:t>
      </w:r>
      <w:r w:rsidR="00A6470F">
        <w:t xml:space="preserve"> line. Most of these of these data points were closer to the 1:1 line </w:t>
      </w:r>
      <w:r w:rsidR="00C669EF">
        <w:t>when using the</w:t>
      </w:r>
      <w:r>
        <w:t xml:space="preserve"> revised</w:t>
      </w:r>
      <w:r w:rsidRPr="00A40CD0">
        <w:t xml:space="preserve"> version of the LMI </w:t>
      </w:r>
      <w:r>
        <w:t xml:space="preserve">adaptive </w:t>
      </w:r>
      <w:r w:rsidRPr="00A40CD0">
        <w:t>parameterization</w:t>
      </w:r>
      <w:r>
        <w:t xml:space="preserve"> composed of eight candid</w:t>
      </w:r>
      <w:r w:rsidR="00C669EF">
        <w:t>ate parameter sets (</w:t>
      </w:r>
      <w:r>
        <w:t>LMI_CLT</w:t>
      </w:r>
      <w:r w:rsidRPr="00A40CD0">
        <w:t>4</w:t>
      </w:r>
      <w:r w:rsidR="00C669EF">
        <w:t xml:space="preserve">) presented in </w:t>
      </w:r>
      <w:r w:rsidR="00EA2F38">
        <w:fldChar w:fldCharType="begin"/>
      </w:r>
      <w:r w:rsidR="00C669EF">
        <w:instrText xml:space="preserve"> REF _Ref248048313 \h </w:instrText>
      </w:r>
      <w:r w:rsidR="00EA2F38">
        <w:fldChar w:fldCharType="separate"/>
      </w:r>
      <w:r w:rsidR="00B11F3B" w:rsidRPr="00A40CD0">
        <w:t xml:space="preserve">Figure </w:t>
      </w:r>
      <w:r w:rsidR="00B11F3B">
        <w:rPr>
          <w:noProof/>
        </w:rPr>
        <w:t>99</w:t>
      </w:r>
      <w:r w:rsidR="00EA2F38">
        <w:fldChar w:fldCharType="end"/>
      </w:r>
      <w:r w:rsidR="00A6470F">
        <w:t>.</w:t>
      </w:r>
    </w:p>
    <w:p w:rsidR="005C6357" w:rsidRDefault="00A6470F" w:rsidP="00DB4643">
      <w:pPr>
        <w:pStyle w:val="BodyText"/>
      </w:pPr>
      <w:r>
        <w:t>Overall the summary statistics (</w:t>
      </w:r>
      <w:r w:rsidR="00EA2F38">
        <w:fldChar w:fldCharType="begin"/>
      </w:r>
      <w:r>
        <w:instrText xml:space="preserve"> REF _Ref243386626 \h </w:instrText>
      </w:r>
      <w:r w:rsidR="00EA2F38">
        <w:fldChar w:fldCharType="separate"/>
      </w:r>
      <w:r w:rsidR="00B11F3B" w:rsidRPr="00A40CD0">
        <w:t xml:space="preserve">Table </w:t>
      </w:r>
      <w:r w:rsidR="00B11F3B">
        <w:rPr>
          <w:noProof/>
        </w:rPr>
        <w:t>45</w:t>
      </w:r>
      <w:r w:rsidR="00EA2F38">
        <w:fldChar w:fldCharType="end"/>
      </w:r>
      <w:r>
        <w:t xml:space="preserve">, and </w:t>
      </w:r>
      <w:r w:rsidR="00EA2F38">
        <w:fldChar w:fldCharType="begin"/>
      </w:r>
      <w:r>
        <w:instrText xml:space="preserve"> REF _Ref243386629 \h </w:instrText>
      </w:r>
      <w:r w:rsidR="00EA2F38">
        <w:fldChar w:fldCharType="separate"/>
      </w:r>
      <w:r w:rsidR="00B11F3B" w:rsidRPr="00A40CD0">
        <w:t xml:space="preserve">Table </w:t>
      </w:r>
      <w:r w:rsidR="00B11F3B">
        <w:rPr>
          <w:noProof/>
        </w:rPr>
        <w:t>46</w:t>
      </w:r>
      <w:r w:rsidR="00EA2F38">
        <w:fldChar w:fldCharType="end"/>
      </w:r>
      <w:r>
        <w:t>) show that the accuracy of TSS retrieval improved wit</w:t>
      </w:r>
      <w:r w:rsidR="00D612E5">
        <w:t xml:space="preserve">h the revised parameterization </w:t>
      </w:r>
      <w:r w:rsidR="006B54C3">
        <w:t>(</w:t>
      </w:r>
      <w:r w:rsidR="00EA2F38">
        <w:fldChar w:fldCharType="begin"/>
      </w:r>
      <w:r w:rsidR="006B54C3">
        <w:instrText xml:space="preserve"> REF _Ref259039117 \h </w:instrText>
      </w:r>
      <w:r w:rsidR="00EA2F38">
        <w:fldChar w:fldCharType="separate"/>
      </w:r>
      <w:r w:rsidR="00B11F3B" w:rsidRPr="00A40CD0">
        <w:t xml:space="preserve">Table </w:t>
      </w:r>
      <w:r w:rsidR="00B11F3B">
        <w:rPr>
          <w:noProof/>
        </w:rPr>
        <w:t>43</w:t>
      </w:r>
      <w:r w:rsidR="00EA2F38">
        <w:fldChar w:fldCharType="end"/>
      </w:r>
      <w:r w:rsidR="006B54C3">
        <w:t xml:space="preserve"> and </w:t>
      </w:r>
      <w:r w:rsidR="00EA2F38">
        <w:fldChar w:fldCharType="begin"/>
      </w:r>
      <w:r w:rsidR="006B54C3">
        <w:instrText xml:space="preserve"> REF _Ref228578575 \h </w:instrText>
      </w:r>
      <w:r w:rsidR="00EA2F38">
        <w:fldChar w:fldCharType="separate"/>
      </w:r>
      <w:r w:rsidR="00B11F3B" w:rsidRPr="00A40CD0">
        <w:t xml:space="preserve">Table </w:t>
      </w:r>
      <w:r w:rsidR="00B11F3B">
        <w:rPr>
          <w:noProof/>
        </w:rPr>
        <w:t>44</w:t>
      </w:r>
      <w:r w:rsidR="00EA2F38">
        <w:fldChar w:fldCharType="end"/>
      </w:r>
      <w:r w:rsidR="00D53F43">
        <w:t>), particularly i</w:t>
      </w:r>
      <w:r w:rsidR="00D612E5">
        <w:t xml:space="preserve">f the </w:t>
      </w:r>
      <w:r w:rsidR="00D612E5" w:rsidRPr="00A40CD0">
        <w:t>data</w:t>
      </w:r>
      <w:r w:rsidR="00D612E5">
        <w:t xml:space="preserve"> points</w:t>
      </w:r>
      <w:r w:rsidR="00D612E5" w:rsidRPr="00A40CD0">
        <w:t xml:space="preserve"> collected by ACTFR during flood monitoring</w:t>
      </w:r>
      <w:r w:rsidR="00D612E5">
        <w:t xml:space="preserve"> are excluded from the validation statistics: </w:t>
      </w:r>
      <w:r w:rsidR="00682415">
        <w:t>5</w:t>
      </w:r>
      <w:r w:rsidR="00DB4643">
        <w:t xml:space="preserve"> The accuracy for the retrieval of CHL and CDOM was similar for both parameterizations.</w:t>
      </w:r>
    </w:p>
    <w:p w:rsidR="001E7A7B" w:rsidRDefault="001E7A7B" w:rsidP="0022474F"/>
    <w:p w:rsidR="00CE1236" w:rsidRPr="00F23302" w:rsidRDefault="00CE1236" w:rsidP="00CE1236">
      <w:r w:rsidRPr="00F56593">
        <w:rPr>
          <w:noProof/>
        </w:rPr>
        <w:drawing>
          <wp:inline distT="0" distB="0" distL="0" distR="0">
            <wp:extent cx="1798759" cy="1666193"/>
            <wp:effectExtent l="0" t="0" r="5080" b="10795"/>
            <wp:docPr id="79" name="Picture 79" descr="MODIS Aqua scatter plots for the superseded LMI_CLU4 parameterization. The dashed lines present an over or underestimate of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vittorio-bu:Users:bra372:Library:Caches:TemporaryItems:Outlook Temp:v6.4_CLU4_ANNF:3x3_GE05:CHL_MIM_T180_3x3_ANNF.png"/>
                    <pic:cNvPicPr>
                      <a:picLocks noChangeAspect="1" noChangeArrowheads="1"/>
                    </pic:cNvPicPr>
                  </pic:nvPicPr>
                  <pic:blipFill>
                    <a:blip r:embed="rId218" cstate="email">
                      <a:extLst>
                        <a:ext uri="{28A0092B-C50C-407E-A947-70E740481C1C}">
                          <a14:useLocalDpi xmlns:a14="http://schemas.microsoft.com/office/drawing/2010/main"/>
                        </a:ext>
                      </a:extLst>
                    </a:blip>
                    <a:srcRect/>
                    <a:stretch>
                      <a:fillRect/>
                    </a:stretch>
                  </pic:blipFill>
                  <pic:spPr bwMode="auto">
                    <a:xfrm>
                      <a:off x="0" y="0"/>
                      <a:ext cx="1798759" cy="1666193"/>
                    </a:xfrm>
                    <a:prstGeom prst="rect">
                      <a:avLst/>
                    </a:prstGeom>
                    <a:noFill/>
                    <a:ln>
                      <a:noFill/>
                    </a:ln>
                  </pic:spPr>
                </pic:pic>
              </a:graphicData>
            </a:graphic>
          </wp:inline>
        </w:drawing>
      </w:r>
      <w:r>
        <w:t xml:space="preserve">    </w:t>
      </w:r>
      <w:r w:rsidRPr="00F56593">
        <w:rPr>
          <w:noProof/>
        </w:rPr>
        <w:drawing>
          <wp:inline distT="0" distB="0" distL="0" distR="0">
            <wp:extent cx="1776450" cy="1693350"/>
            <wp:effectExtent l="0" t="0" r="1905" b="8890"/>
            <wp:docPr id="80" name="Picture 80" descr="MODIS Aqua scatter plots for the superseded LMI_CLU4 parameterization. The dashed lines present an over or underestimate of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vittorio-bu:Users:bra372:Library:Caches:TemporaryItems:Outlook Temp:v6.4_CLU4_ANNF:3x3_GE05:TSM_MIM_T180_3x3_ANNF.png"/>
                    <pic:cNvPicPr>
                      <a:picLocks noChangeAspect="1" noChangeArrowheads="1"/>
                    </pic:cNvPicPr>
                  </pic:nvPicPr>
                  <pic:blipFill>
                    <a:blip r:embed="rId219" cstate="email">
                      <a:extLst>
                        <a:ext uri="{28A0092B-C50C-407E-A947-70E740481C1C}">
                          <a14:useLocalDpi xmlns:a14="http://schemas.microsoft.com/office/drawing/2010/main"/>
                        </a:ext>
                      </a:extLst>
                    </a:blip>
                    <a:srcRect/>
                    <a:stretch>
                      <a:fillRect/>
                    </a:stretch>
                  </pic:blipFill>
                  <pic:spPr bwMode="auto">
                    <a:xfrm>
                      <a:off x="0" y="0"/>
                      <a:ext cx="1776450" cy="1693350"/>
                    </a:xfrm>
                    <a:prstGeom prst="rect">
                      <a:avLst/>
                    </a:prstGeom>
                    <a:noFill/>
                    <a:ln>
                      <a:noFill/>
                    </a:ln>
                  </pic:spPr>
                </pic:pic>
              </a:graphicData>
            </a:graphic>
          </wp:inline>
        </w:drawing>
      </w:r>
      <w:r w:rsidRPr="008117C2">
        <w:rPr>
          <w:noProof/>
        </w:rPr>
        <w:drawing>
          <wp:inline distT="0" distB="0" distL="0" distR="0">
            <wp:extent cx="1823960" cy="1689540"/>
            <wp:effectExtent l="0" t="0" r="5080" b="12700"/>
            <wp:docPr id="81" name="Picture 81" descr="MODIS Aqua scatter plots for the superseded LMI_CLU4 parameterization. The dashed lines present an over or underestimate of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vittorio-bu:Users:bra372:Library:Caches:TemporaryItems:Outlook Temp:v6.4_CLU4_ANNF:3x3_GE05:YEL_MIM_T180_3x3_ANNF.png"/>
                    <pic:cNvPicPr>
                      <a:picLocks noChangeAspect="1" noChangeArrowheads="1"/>
                    </pic:cNvPicPr>
                  </pic:nvPicPr>
                  <pic:blipFill>
                    <a:blip r:embed="rId220" cstate="email">
                      <a:extLst>
                        <a:ext uri="{28A0092B-C50C-407E-A947-70E740481C1C}">
                          <a14:useLocalDpi xmlns:a14="http://schemas.microsoft.com/office/drawing/2010/main"/>
                        </a:ext>
                      </a:extLst>
                    </a:blip>
                    <a:srcRect/>
                    <a:stretch>
                      <a:fillRect/>
                    </a:stretch>
                  </pic:blipFill>
                  <pic:spPr bwMode="auto">
                    <a:xfrm>
                      <a:off x="0" y="0"/>
                      <a:ext cx="1823960" cy="1689540"/>
                    </a:xfrm>
                    <a:prstGeom prst="rect">
                      <a:avLst/>
                    </a:prstGeom>
                    <a:noFill/>
                    <a:ln>
                      <a:noFill/>
                    </a:ln>
                  </pic:spPr>
                </pic:pic>
              </a:graphicData>
            </a:graphic>
          </wp:inline>
        </w:drawing>
      </w:r>
    </w:p>
    <w:p w:rsidR="000D34F9" w:rsidRDefault="00CE1236" w:rsidP="00DB4643">
      <w:pPr>
        <w:pStyle w:val="Caption"/>
      </w:pPr>
      <w:bookmarkStart w:id="660" w:name="_Ref243386606"/>
      <w:bookmarkStart w:id="661" w:name="_Toc399265087"/>
      <w:r w:rsidRPr="00A40CD0">
        <w:t xml:space="preserve">Figure </w:t>
      </w:r>
      <w:fldSimple w:instr=" SEQ Figure \* ARABIC ">
        <w:r w:rsidR="00B11F3B">
          <w:rPr>
            <w:noProof/>
          </w:rPr>
          <w:t>101</w:t>
        </w:r>
      </w:fldSimple>
      <w:bookmarkEnd w:id="660"/>
      <w:r>
        <w:t>: MODIS Aqua scatter plots for the superseded LMI_CLU4 parameterization</w:t>
      </w:r>
      <w:r w:rsidR="00D25A80">
        <w:t>. The dashed lines present an over or underestimate of 100%.</w:t>
      </w:r>
      <w:bookmarkEnd w:id="661"/>
    </w:p>
    <w:p w:rsidR="000D34F9" w:rsidRDefault="00CE1236" w:rsidP="001E7A7B">
      <w:pPr>
        <w:pStyle w:val="Caption"/>
      </w:pPr>
      <w:bookmarkStart w:id="662" w:name="_Ref243386626"/>
      <w:bookmarkStart w:id="663" w:name="_Toc399264974"/>
      <w:r w:rsidRPr="00A40CD0">
        <w:t xml:space="preserve">Table </w:t>
      </w:r>
      <w:fldSimple w:instr=" SEQ Table \* ARABIC ">
        <w:r w:rsidR="00B11F3B">
          <w:rPr>
            <w:noProof/>
          </w:rPr>
          <w:t>45</w:t>
        </w:r>
      </w:fldSimple>
      <w:bookmarkEnd w:id="662"/>
      <w:r w:rsidRPr="00A40CD0">
        <w:t xml:space="preserve"> Validation statistics for the measurements collected with 3 hours of the overpass</w:t>
      </w:r>
      <w:r w:rsidR="001E7A7B">
        <w:t xml:space="preserve"> for the superseded parametrization LMI_CLU4</w:t>
      </w:r>
      <w:r w:rsidRPr="00A40CD0">
        <w:t>. RMSE is the root mean square error, MAPE the mean absolute percentage error.</w:t>
      </w:r>
      <w:bookmarkEnd w:id="66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2105"/>
        <w:gridCol w:w="990"/>
        <w:gridCol w:w="1548"/>
        <w:gridCol w:w="1548"/>
        <w:gridCol w:w="1548"/>
      </w:tblGrid>
      <w:tr w:rsidR="00F23302" w:rsidRPr="00A40CD0" w:rsidTr="000D34F9">
        <w:tc>
          <w:tcPr>
            <w:tcW w:w="1547" w:type="dxa"/>
          </w:tcPr>
          <w:p w:rsidR="00F23302" w:rsidRPr="00A40CD0" w:rsidRDefault="00F23302" w:rsidP="00F23302">
            <w:pPr>
              <w:pStyle w:val="BodyText"/>
            </w:pPr>
            <w:r w:rsidRPr="00A40CD0">
              <w:t>Variable</w:t>
            </w:r>
          </w:p>
        </w:tc>
        <w:tc>
          <w:tcPr>
            <w:tcW w:w="2105" w:type="dxa"/>
          </w:tcPr>
          <w:p w:rsidR="00F23302" w:rsidRPr="00A40CD0" w:rsidRDefault="00F23302" w:rsidP="00F23302">
            <w:pPr>
              <w:pStyle w:val="BodyText"/>
            </w:pPr>
            <w:r w:rsidRPr="00A40CD0">
              <w:t>Algorithm</w:t>
            </w:r>
          </w:p>
        </w:tc>
        <w:tc>
          <w:tcPr>
            <w:tcW w:w="990" w:type="dxa"/>
          </w:tcPr>
          <w:p w:rsidR="00F23302" w:rsidRPr="00A40CD0" w:rsidRDefault="00F23302" w:rsidP="00F23302">
            <w:pPr>
              <w:pStyle w:val="BodyText"/>
            </w:pPr>
            <w:r w:rsidRPr="00A40CD0">
              <w:t>N</w:t>
            </w:r>
          </w:p>
        </w:tc>
        <w:tc>
          <w:tcPr>
            <w:tcW w:w="1548" w:type="dxa"/>
          </w:tcPr>
          <w:p w:rsidR="00F23302" w:rsidRPr="00A40CD0" w:rsidRDefault="00F23302" w:rsidP="00F23302">
            <w:pPr>
              <w:pStyle w:val="BodyText"/>
            </w:pPr>
            <w:r w:rsidRPr="00A40CD0">
              <w:t>RMSE</w:t>
            </w:r>
          </w:p>
        </w:tc>
        <w:tc>
          <w:tcPr>
            <w:tcW w:w="1548" w:type="dxa"/>
          </w:tcPr>
          <w:p w:rsidR="00F23302" w:rsidRPr="00A40CD0" w:rsidRDefault="00F23302" w:rsidP="00F23302">
            <w:pPr>
              <w:pStyle w:val="BodyText"/>
            </w:pPr>
            <w:r w:rsidRPr="00A40CD0">
              <w:t>MAPE</w:t>
            </w:r>
          </w:p>
        </w:tc>
        <w:tc>
          <w:tcPr>
            <w:tcW w:w="1548" w:type="dxa"/>
          </w:tcPr>
          <w:p w:rsidR="00F23302" w:rsidRPr="00A40CD0" w:rsidRDefault="00F23302" w:rsidP="00F23302">
            <w:pPr>
              <w:pStyle w:val="BodyText"/>
            </w:pPr>
            <w:r w:rsidRPr="00A40CD0">
              <w:t>Bias</w:t>
            </w:r>
          </w:p>
        </w:tc>
      </w:tr>
      <w:tr w:rsidR="00F23302" w:rsidRPr="00A40CD0" w:rsidTr="000D34F9">
        <w:tc>
          <w:tcPr>
            <w:tcW w:w="1547" w:type="dxa"/>
          </w:tcPr>
          <w:p w:rsidR="00F23302" w:rsidRPr="00A40CD0" w:rsidRDefault="00F23302" w:rsidP="00F23302">
            <w:pPr>
              <w:pStyle w:val="BodyText"/>
            </w:pPr>
            <w:r w:rsidRPr="00A40CD0">
              <w:t>Chlorophyll-a</w:t>
            </w:r>
          </w:p>
        </w:tc>
        <w:tc>
          <w:tcPr>
            <w:tcW w:w="2105" w:type="dxa"/>
          </w:tcPr>
          <w:p w:rsidR="00F23302" w:rsidRPr="00A40CD0" w:rsidRDefault="00F23302" w:rsidP="00F23302">
            <w:pPr>
              <w:pStyle w:val="BodyText"/>
            </w:pPr>
            <w:r>
              <w:t>a-</w:t>
            </w:r>
            <w:r w:rsidRPr="00A40CD0">
              <w:t>LMI</w:t>
            </w:r>
            <w:r>
              <w:t xml:space="preserve"> (LMI_CLU4)</w:t>
            </w:r>
          </w:p>
        </w:tc>
        <w:tc>
          <w:tcPr>
            <w:tcW w:w="990" w:type="dxa"/>
          </w:tcPr>
          <w:p w:rsidR="00F23302" w:rsidRPr="00A40CD0" w:rsidRDefault="00F56593" w:rsidP="00F23302">
            <w:pPr>
              <w:pStyle w:val="BodyText"/>
            </w:pPr>
            <w:r>
              <w:t>266</w:t>
            </w:r>
          </w:p>
        </w:tc>
        <w:tc>
          <w:tcPr>
            <w:tcW w:w="1548" w:type="dxa"/>
          </w:tcPr>
          <w:p w:rsidR="00F23302" w:rsidRPr="00A40CD0" w:rsidRDefault="00F23302" w:rsidP="00F23302">
            <w:pPr>
              <w:pStyle w:val="BodyText"/>
            </w:pPr>
            <w:r>
              <w:t>0.8512</w:t>
            </w:r>
            <w:r w:rsidR="00F56593">
              <w:t>6</w:t>
            </w:r>
          </w:p>
        </w:tc>
        <w:tc>
          <w:tcPr>
            <w:tcW w:w="1548" w:type="dxa"/>
          </w:tcPr>
          <w:p w:rsidR="00F23302" w:rsidRPr="00A40CD0" w:rsidRDefault="00F56593" w:rsidP="00F23302">
            <w:pPr>
              <w:pStyle w:val="BodyText"/>
            </w:pPr>
            <w:r>
              <w:t>86.72</w:t>
            </w:r>
            <w:r w:rsidR="00F23302" w:rsidRPr="00A40CD0">
              <w:t>%</w:t>
            </w:r>
          </w:p>
        </w:tc>
        <w:tc>
          <w:tcPr>
            <w:tcW w:w="1548" w:type="dxa"/>
          </w:tcPr>
          <w:p w:rsidR="00F23302" w:rsidRPr="00A40CD0" w:rsidRDefault="00F23302" w:rsidP="00F23302">
            <w:pPr>
              <w:pStyle w:val="BodyText"/>
            </w:pPr>
            <w:r>
              <w:t>0.0</w:t>
            </w:r>
            <w:r w:rsidR="00F56593">
              <w:t>6737</w:t>
            </w:r>
          </w:p>
        </w:tc>
      </w:tr>
      <w:tr w:rsidR="00F23302" w:rsidRPr="00A40CD0" w:rsidTr="000D34F9">
        <w:tc>
          <w:tcPr>
            <w:tcW w:w="1547" w:type="dxa"/>
          </w:tcPr>
          <w:p w:rsidR="00F23302" w:rsidRPr="00A40CD0" w:rsidRDefault="00F23302" w:rsidP="00F23302">
            <w:pPr>
              <w:pStyle w:val="BodyText"/>
            </w:pPr>
            <w:r w:rsidRPr="00A40CD0">
              <w:t>TSS (NAP)</w:t>
            </w:r>
          </w:p>
        </w:tc>
        <w:tc>
          <w:tcPr>
            <w:tcW w:w="2105" w:type="dxa"/>
          </w:tcPr>
          <w:p w:rsidR="00F23302" w:rsidRPr="00A40CD0" w:rsidRDefault="00F23302" w:rsidP="00F23302">
            <w:pPr>
              <w:pStyle w:val="BodyText"/>
            </w:pPr>
            <w:r>
              <w:t>a-</w:t>
            </w:r>
            <w:r w:rsidRPr="00A40CD0">
              <w:t>LMI</w:t>
            </w:r>
            <w:r>
              <w:t xml:space="preserve"> (LMI_CLU4)</w:t>
            </w:r>
          </w:p>
        </w:tc>
        <w:tc>
          <w:tcPr>
            <w:tcW w:w="990" w:type="dxa"/>
          </w:tcPr>
          <w:p w:rsidR="00F23302" w:rsidRPr="00A40CD0" w:rsidRDefault="00F23302" w:rsidP="00F23302">
            <w:pPr>
              <w:pStyle w:val="BodyText"/>
            </w:pPr>
            <w:r>
              <w:t>11</w:t>
            </w:r>
            <w:r w:rsidRPr="00A40CD0">
              <w:t>4</w:t>
            </w:r>
          </w:p>
        </w:tc>
        <w:tc>
          <w:tcPr>
            <w:tcW w:w="1548" w:type="dxa"/>
          </w:tcPr>
          <w:p w:rsidR="00F23302" w:rsidRPr="00A40CD0" w:rsidRDefault="00F23302" w:rsidP="00F23302">
            <w:pPr>
              <w:pStyle w:val="BodyText"/>
            </w:pPr>
            <w:r>
              <w:t>8.</w:t>
            </w:r>
            <w:r w:rsidR="008117C2">
              <w:t>34332</w:t>
            </w:r>
          </w:p>
        </w:tc>
        <w:tc>
          <w:tcPr>
            <w:tcW w:w="1548" w:type="dxa"/>
          </w:tcPr>
          <w:p w:rsidR="00F23302" w:rsidRPr="00A40CD0" w:rsidRDefault="008117C2" w:rsidP="00F23302">
            <w:pPr>
              <w:pStyle w:val="BodyText"/>
            </w:pPr>
            <w:r>
              <w:t>76.39</w:t>
            </w:r>
            <w:r w:rsidR="00F23302" w:rsidRPr="00A40CD0">
              <w:t>%</w:t>
            </w:r>
          </w:p>
        </w:tc>
        <w:tc>
          <w:tcPr>
            <w:tcW w:w="1548" w:type="dxa"/>
          </w:tcPr>
          <w:p w:rsidR="00F23302" w:rsidRPr="00A40CD0" w:rsidRDefault="00F23302" w:rsidP="00F23302">
            <w:pPr>
              <w:pStyle w:val="BodyText"/>
            </w:pPr>
            <w:r w:rsidRPr="00A40CD0">
              <w:t>-</w:t>
            </w:r>
            <w:r>
              <w:t>3.</w:t>
            </w:r>
            <w:r w:rsidR="008117C2">
              <w:t>4639</w:t>
            </w:r>
          </w:p>
        </w:tc>
      </w:tr>
      <w:tr w:rsidR="00F23302" w:rsidRPr="00A40CD0" w:rsidTr="000D34F9">
        <w:tc>
          <w:tcPr>
            <w:tcW w:w="1547" w:type="dxa"/>
          </w:tcPr>
          <w:p w:rsidR="00F23302" w:rsidRPr="00A40CD0" w:rsidRDefault="00F23302" w:rsidP="00F23302">
            <w:pPr>
              <w:pStyle w:val="BodyText"/>
            </w:pPr>
            <w:r w:rsidRPr="00A40CD0">
              <w:t>CDOM</w:t>
            </w:r>
          </w:p>
        </w:tc>
        <w:tc>
          <w:tcPr>
            <w:tcW w:w="2105" w:type="dxa"/>
          </w:tcPr>
          <w:p w:rsidR="00F23302" w:rsidRPr="00A40CD0" w:rsidRDefault="00F23302" w:rsidP="00F23302">
            <w:pPr>
              <w:pStyle w:val="BodyText"/>
            </w:pPr>
            <w:r>
              <w:t>a-</w:t>
            </w:r>
            <w:r w:rsidRPr="00A40CD0">
              <w:t>LMI</w:t>
            </w:r>
            <w:r>
              <w:t xml:space="preserve"> (LMI_CLU4)</w:t>
            </w:r>
          </w:p>
        </w:tc>
        <w:tc>
          <w:tcPr>
            <w:tcW w:w="990" w:type="dxa"/>
          </w:tcPr>
          <w:p w:rsidR="00F23302" w:rsidRPr="00A40CD0" w:rsidRDefault="00F23302" w:rsidP="00F23302">
            <w:pPr>
              <w:pStyle w:val="BodyText"/>
            </w:pPr>
            <w:r w:rsidRPr="00A40CD0">
              <w:t>18</w:t>
            </w:r>
          </w:p>
        </w:tc>
        <w:tc>
          <w:tcPr>
            <w:tcW w:w="1548" w:type="dxa"/>
          </w:tcPr>
          <w:p w:rsidR="00F23302" w:rsidRPr="00A40CD0" w:rsidRDefault="00F23302" w:rsidP="00F23302">
            <w:pPr>
              <w:pStyle w:val="BodyText"/>
            </w:pPr>
            <w:r>
              <w:t>0.0</w:t>
            </w:r>
            <w:r w:rsidR="008117C2">
              <w:t>9093</w:t>
            </w:r>
          </w:p>
        </w:tc>
        <w:tc>
          <w:tcPr>
            <w:tcW w:w="1548" w:type="dxa"/>
          </w:tcPr>
          <w:p w:rsidR="00F23302" w:rsidRPr="00A40CD0" w:rsidRDefault="008117C2" w:rsidP="00F23302">
            <w:pPr>
              <w:pStyle w:val="BodyText"/>
            </w:pPr>
            <w:r>
              <w:t>110.4%</w:t>
            </w:r>
          </w:p>
        </w:tc>
        <w:tc>
          <w:tcPr>
            <w:tcW w:w="1548" w:type="dxa"/>
          </w:tcPr>
          <w:p w:rsidR="00F23302" w:rsidRPr="00A40CD0" w:rsidRDefault="008117C2" w:rsidP="00F23302">
            <w:pPr>
              <w:pStyle w:val="BodyText"/>
            </w:pPr>
            <w:r>
              <w:t>-0.0134</w:t>
            </w:r>
            <w:r w:rsidR="00F23302" w:rsidRPr="00A40CD0">
              <w:t>7</w:t>
            </w:r>
          </w:p>
        </w:tc>
      </w:tr>
    </w:tbl>
    <w:p w:rsidR="00CE1236" w:rsidRPr="00A40CD0" w:rsidRDefault="00CE1236" w:rsidP="00CE1236">
      <w:pPr>
        <w:pStyle w:val="Caption"/>
      </w:pPr>
      <w:bookmarkStart w:id="664" w:name="_Ref243386629"/>
      <w:bookmarkStart w:id="665" w:name="_Toc399264975"/>
      <w:r w:rsidRPr="00A40CD0">
        <w:t xml:space="preserve">Table </w:t>
      </w:r>
      <w:fldSimple w:instr=" SEQ Table \* ARABIC ">
        <w:r w:rsidR="00B11F3B">
          <w:rPr>
            <w:noProof/>
          </w:rPr>
          <w:t>46</w:t>
        </w:r>
      </w:fldSimple>
      <w:bookmarkEnd w:id="664"/>
      <w:r w:rsidRPr="00A40CD0">
        <w:t xml:space="preserve"> Validation statistics for the measurements collected with 3 hours of the overpass</w:t>
      </w:r>
      <w:r w:rsidR="001E7A7B">
        <w:t xml:space="preserve"> for the superseded parametrization LMI_CLU4</w:t>
      </w:r>
      <w:r w:rsidRPr="00A40CD0">
        <w:t>. RMSE is the root mean square error, MAPE the mean absolute percentage error.</w:t>
      </w:r>
      <w:r w:rsidRPr="00CE1236">
        <w:t xml:space="preserve"> </w:t>
      </w:r>
      <w:r>
        <w:t xml:space="preserve">Statistics excluding the </w:t>
      </w:r>
      <w:r w:rsidRPr="00A40CD0">
        <w:t>data</w:t>
      </w:r>
      <w:r>
        <w:t xml:space="preserve"> points</w:t>
      </w:r>
      <w:r w:rsidRPr="00A40CD0">
        <w:t xml:space="preserve"> collected by ACTFR during flood monitoring projects</w:t>
      </w:r>
      <w:r>
        <w:t xml:space="preserve"> are reported</w:t>
      </w:r>
      <w:bookmarkEnd w:id="66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2105"/>
        <w:gridCol w:w="990"/>
        <w:gridCol w:w="1548"/>
        <w:gridCol w:w="1548"/>
        <w:gridCol w:w="1548"/>
      </w:tblGrid>
      <w:tr w:rsidR="008117C2" w:rsidRPr="00A40CD0" w:rsidTr="000D34F9">
        <w:tc>
          <w:tcPr>
            <w:tcW w:w="1547" w:type="dxa"/>
          </w:tcPr>
          <w:p w:rsidR="008117C2" w:rsidRPr="00A40CD0" w:rsidRDefault="008117C2" w:rsidP="008117C2">
            <w:pPr>
              <w:pStyle w:val="BodyText"/>
            </w:pPr>
            <w:r w:rsidRPr="00A40CD0">
              <w:t>Variable</w:t>
            </w:r>
          </w:p>
        </w:tc>
        <w:tc>
          <w:tcPr>
            <w:tcW w:w="2105" w:type="dxa"/>
          </w:tcPr>
          <w:p w:rsidR="008117C2" w:rsidRPr="00A40CD0" w:rsidRDefault="008117C2" w:rsidP="008117C2">
            <w:pPr>
              <w:pStyle w:val="BodyText"/>
            </w:pPr>
            <w:r w:rsidRPr="00A40CD0">
              <w:t>Algorithm</w:t>
            </w:r>
          </w:p>
        </w:tc>
        <w:tc>
          <w:tcPr>
            <w:tcW w:w="990" w:type="dxa"/>
          </w:tcPr>
          <w:p w:rsidR="008117C2" w:rsidRPr="00A40CD0" w:rsidRDefault="008117C2" w:rsidP="008117C2">
            <w:pPr>
              <w:pStyle w:val="BodyText"/>
            </w:pPr>
            <w:r w:rsidRPr="00A40CD0">
              <w:t>N</w:t>
            </w:r>
          </w:p>
        </w:tc>
        <w:tc>
          <w:tcPr>
            <w:tcW w:w="1548" w:type="dxa"/>
          </w:tcPr>
          <w:p w:rsidR="008117C2" w:rsidRPr="00A40CD0" w:rsidRDefault="008117C2" w:rsidP="008117C2">
            <w:pPr>
              <w:pStyle w:val="BodyText"/>
            </w:pPr>
            <w:r w:rsidRPr="00A40CD0">
              <w:t>RMSE</w:t>
            </w:r>
          </w:p>
        </w:tc>
        <w:tc>
          <w:tcPr>
            <w:tcW w:w="1548" w:type="dxa"/>
          </w:tcPr>
          <w:p w:rsidR="008117C2" w:rsidRPr="00A40CD0" w:rsidRDefault="008117C2" w:rsidP="008117C2">
            <w:pPr>
              <w:pStyle w:val="BodyText"/>
            </w:pPr>
            <w:r w:rsidRPr="00A40CD0">
              <w:t>MAPE</w:t>
            </w:r>
          </w:p>
        </w:tc>
        <w:tc>
          <w:tcPr>
            <w:tcW w:w="1548" w:type="dxa"/>
          </w:tcPr>
          <w:p w:rsidR="008117C2" w:rsidRPr="00A40CD0" w:rsidRDefault="008117C2" w:rsidP="008117C2">
            <w:pPr>
              <w:pStyle w:val="BodyText"/>
            </w:pPr>
            <w:r w:rsidRPr="00A40CD0">
              <w:t>Bias</w:t>
            </w:r>
          </w:p>
        </w:tc>
      </w:tr>
      <w:tr w:rsidR="008117C2" w:rsidRPr="00A40CD0" w:rsidTr="000D34F9">
        <w:tc>
          <w:tcPr>
            <w:tcW w:w="1547" w:type="dxa"/>
          </w:tcPr>
          <w:p w:rsidR="008117C2" w:rsidRPr="00A40CD0" w:rsidRDefault="008117C2" w:rsidP="008117C2">
            <w:pPr>
              <w:pStyle w:val="BodyText"/>
            </w:pPr>
            <w:r w:rsidRPr="00A40CD0">
              <w:t>Chlorophyll-a</w:t>
            </w:r>
          </w:p>
        </w:tc>
        <w:tc>
          <w:tcPr>
            <w:tcW w:w="2105" w:type="dxa"/>
          </w:tcPr>
          <w:p w:rsidR="008117C2" w:rsidRPr="00A40CD0" w:rsidRDefault="008117C2" w:rsidP="008117C2">
            <w:pPr>
              <w:pStyle w:val="BodyText"/>
            </w:pPr>
            <w:r>
              <w:t>a-</w:t>
            </w:r>
            <w:r w:rsidRPr="00A40CD0">
              <w:t>LMI</w:t>
            </w:r>
            <w:r>
              <w:t xml:space="preserve"> (LMI_CLU4)</w:t>
            </w:r>
            <w:r w:rsidR="000D34F9">
              <w:t xml:space="preserve"> </w:t>
            </w:r>
            <w:r>
              <w:t>(no flood)</w:t>
            </w:r>
          </w:p>
        </w:tc>
        <w:tc>
          <w:tcPr>
            <w:tcW w:w="990" w:type="dxa"/>
          </w:tcPr>
          <w:p w:rsidR="008117C2" w:rsidRPr="00A40CD0" w:rsidRDefault="008117C2" w:rsidP="008117C2">
            <w:pPr>
              <w:pStyle w:val="BodyText"/>
            </w:pPr>
            <w:r>
              <w:t>211</w:t>
            </w:r>
          </w:p>
        </w:tc>
        <w:tc>
          <w:tcPr>
            <w:tcW w:w="1548" w:type="dxa"/>
          </w:tcPr>
          <w:p w:rsidR="008117C2" w:rsidRPr="00A40CD0" w:rsidRDefault="008117C2" w:rsidP="008117C2">
            <w:pPr>
              <w:pStyle w:val="BodyText"/>
            </w:pPr>
            <w:r>
              <w:t>0.73981</w:t>
            </w:r>
          </w:p>
        </w:tc>
        <w:tc>
          <w:tcPr>
            <w:tcW w:w="1548" w:type="dxa"/>
          </w:tcPr>
          <w:p w:rsidR="008117C2" w:rsidRPr="00A40CD0" w:rsidRDefault="008117C2" w:rsidP="008117C2">
            <w:pPr>
              <w:pStyle w:val="BodyText"/>
            </w:pPr>
            <w:r>
              <w:t>73.35</w:t>
            </w:r>
            <w:r w:rsidRPr="00A40CD0">
              <w:t>%</w:t>
            </w:r>
          </w:p>
        </w:tc>
        <w:tc>
          <w:tcPr>
            <w:tcW w:w="1548" w:type="dxa"/>
          </w:tcPr>
          <w:p w:rsidR="008117C2" w:rsidRPr="00A40CD0" w:rsidRDefault="008117C2" w:rsidP="008117C2">
            <w:pPr>
              <w:pStyle w:val="BodyText"/>
            </w:pPr>
            <w:r>
              <w:t>-0.0381</w:t>
            </w:r>
          </w:p>
        </w:tc>
      </w:tr>
      <w:tr w:rsidR="008117C2" w:rsidRPr="00A40CD0" w:rsidTr="000D34F9">
        <w:tc>
          <w:tcPr>
            <w:tcW w:w="1547" w:type="dxa"/>
          </w:tcPr>
          <w:p w:rsidR="008117C2" w:rsidRPr="00A40CD0" w:rsidRDefault="008117C2" w:rsidP="008117C2">
            <w:pPr>
              <w:pStyle w:val="BodyText"/>
            </w:pPr>
            <w:r w:rsidRPr="00A40CD0">
              <w:lastRenderedPageBreak/>
              <w:t>TSS (NAP)</w:t>
            </w:r>
          </w:p>
        </w:tc>
        <w:tc>
          <w:tcPr>
            <w:tcW w:w="2105" w:type="dxa"/>
          </w:tcPr>
          <w:p w:rsidR="000D34F9" w:rsidRDefault="008117C2" w:rsidP="008117C2">
            <w:pPr>
              <w:pStyle w:val="BodyText"/>
            </w:pPr>
            <w:r>
              <w:t>a-</w:t>
            </w:r>
            <w:r w:rsidRPr="00A40CD0">
              <w:t>LMI</w:t>
            </w:r>
            <w:r>
              <w:t xml:space="preserve"> (LMI_CLU4)</w:t>
            </w:r>
          </w:p>
          <w:p w:rsidR="008117C2" w:rsidRPr="00A40CD0" w:rsidRDefault="008117C2" w:rsidP="008117C2">
            <w:pPr>
              <w:pStyle w:val="BodyText"/>
            </w:pPr>
            <w:r>
              <w:t>(no flood)</w:t>
            </w:r>
          </w:p>
        </w:tc>
        <w:tc>
          <w:tcPr>
            <w:tcW w:w="990" w:type="dxa"/>
          </w:tcPr>
          <w:p w:rsidR="008117C2" w:rsidRPr="00A40CD0" w:rsidRDefault="008117C2" w:rsidP="008117C2">
            <w:pPr>
              <w:pStyle w:val="BodyText"/>
            </w:pPr>
            <w:r>
              <w:t>66</w:t>
            </w:r>
          </w:p>
        </w:tc>
        <w:tc>
          <w:tcPr>
            <w:tcW w:w="1548" w:type="dxa"/>
          </w:tcPr>
          <w:p w:rsidR="008117C2" w:rsidRPr="00A40CD0" w:rsidRDefault="008117C2" w:rsidP="008117C2">
            <w:pPr>
              <w:pStyle w:val="BodyText"/>
            </w:pPr>
            <w:r>
              <w:t>1.3451</w:t>
            </w:r>
          </w:p>
        </w:tc>
        <w:tc>
          <w:tcPr>
            <w:tcW w:w="1548" w:type="dxa"/>
          </w:tcPr>
          <w:p w:rsidR="008117C2" w:rsidRPr="00A40CD0" w:rsidRDefault="00827608" w:rsidP="008117C2">
            <w:pPr>
              <w:pStyle w:val="BodyText"/>
            </w:pPr>
            <w:r>
              <w:t>78</w:t>
            </w:r>
            <w:r w:rsidR="008117C2">
              <w:t>.70</w:t>
            </w:r>
            <w:r>
              <w:t>%</w:t>
            </w:r>
          </w:p>
        </w:tc>
        <w:tc>
          <w:tcPr>
            <w:tcW w:w="1548" w:type="dxa"/>
          </w:tcPr>
          <w:p w:rsidR="008117C2" w:rsidRPr="00A40CD0" w:rsidRDefault="008117C2" w:rsidP="008117C2">
            <w:pPr>
              <w:pStyle w:val="BodyText"/>
            </w:pPr>
            <w:r w:rsidRPr="00A40CD0">
              <w:t>-</w:t>
            </w:r>
            <w:r>
              <w:t>0.2689</w:t>
            </w:r>
          </w:p>
        </w:tc>
      </w:tr>
      <w:tr w:rsidR="008117C2" w:rsidRPr="00A40CD0" w:rsidTr="000D34F9">
        <w:tc>
          <w:tcPr>
            <w:tcW w:w="1547" w:type="dxa"/>
          </w:tcPr>
          <w:p w:rsidR="008117C2" w:rsidRPr="00A40CD0" w:rsidRDefault="008117C2" w:rsidP="008117C2">
            <w:pPr>
              <w:pStyle w:val="BodyText"/>
            </w:pPr>
            <w:r w:rsidRPr="00A40CD0">
              <w:t>CDOM</w:t>
            </w:r>
          </w:p>
        </w:tc>
        <w:tc>
          <w:tcPr>
            <w:tcW w:w="2105" w:type="dxa"/>
          </w:tcPr>
          <w:p w:rsidR="000D34F9" w:rsidRDefault="008117C2" w:rsidP="008117C2">
            <w:pPr>
              <w:pStyle w:val="BodyText"/>
            </w:pPr>
            <w:r>
              <w:t>a-</w:t>
            </w:r>
            <w:r w:rsidRPr="00A40CD0">
              <w:t>LMI</w:t>
            </w:r>
            <w:r>
              <w:t xml:space="preserve"> (LMI_CLU4)</w:t>
            </w:r>
          </w:p>
          <w:p w:rsidR="008117C2" w:rsidRPr="00A40CD0" w:rsidRDefault="008117C2" w:rsidP="008117C2">
            <w:pPr>
              <w:pStyle w:val="BodyText"/>
            </w:pPr>
            <w:r>
              <w:t>(no flood)</w:t>
            </w:r>
          </w:p>
        </w:tc>
        <w:tc>
          <w:tcPr>
            <w:tcW w:w="990" w:type="dxa"/>
          </w:tcPr>
          <w:p w:rsidR="008117C2" w:rsidRPr="00A40CD0" w:rsidRDefault="008117C2" w:rsidP="008117C2">
            <w:pPr>
              <w:pStyle w:val="BodyText"/>
            </w:pPr>
            <w:r w:rsidRPr="00A40CD0">
              <w:t>18</w:t>
            </w:r>
          </w:p>
        </w:tc>
        <w:tc>
          <w:tcPr>
            <w:tcW w:w="1548" w:type="dxa"/>
          </w:tcPr>
          <w:p w:rsidR="008117C2" w:rsidRPr="00A40CD0" w:rsidRDefault="008117C2" w:rsidP="008117C2">
            <w:pPr>
              <w:pStyle w:val="BodyText"/>
            </w:pPr>
            <w:r>
              <w:t>0.0</w:t>
            </w:r>
            <w:r w:rsidR="00827608">
              <w:t>8728</w:t>
            </w:r>
          </w:p>
        </w:tc>
        <w:tc>
          <w:tcPr>
            <w:tcW w:w="1548" w:type="dxa"/>
          </w:tcPr>
          <w:p w:rsidR="008117C2" w:rsidRPr="00A40CD0" w:rsidRDefault="00827608" w:rsidP="008117C2">
            <w:pPr>
              <w:pStyle w:val="BodyText"/>
            </w:pPr>
            <w:r>
              <w:t>111.8</w:t>
            </w:r>
            <w:r w:rsidR="008117C2">
              <w:t>%</w:t>
            </w:r>
          </w:p>
        </w:tc>
        <w:tc>
          <w:tcPr>
            <w:tcW w:w="1548" w:type="dxa"/>
          </w:tcPr>
          <w:p w:rsidR="008117C2" w:rsidRPr="00A40CD0" w:rsidRDefault="008117C2" w:rsidP="00827608">
            <w:pPr>
              <w:pStyle w:val="BodyText"/>
            </w:pPr>
            <w:r>
              <w:t>-0.0</w:t>
            </w:r>
            <w:r w:rsidR="00827608">
              <w:t>2333</w:t>
            </w:r>
          </w:p>
        </w:tc>
      </w:tr>
    </w:tbl>
    <w:p w:rsidR="008117C2" w:rsidRDefault="008117C2" w:rsidP="0022474F"/>
    <w:p w:rsidR="00B25CAA" w:rsidRPr="00A40CD0" w:rsidRDefault="00B25CAA" w:rsidP="00D80E36">
      <w:pPr>
        <w:pStyle w:val="head1nonumb"/>
      </w:pPr>
      <w:bookmarkStart w:id="666" w:name="_Toc228588219"/>
      <w:bookmarkStart w:id="667" w:name="_Toc399264925"/>
      <w:r w:rsidRPr="00A40CD0">
        <w:lastRenderedPageBreak/>
        <w:t>Appendix 2. List of scientific publications, scientific presentations and community seminars arising from the monitoring program</w:t>
      </w:r>
      <w:bookmarkEnd w:id="666"/>
      <w:bookmarkEnd w:id="667"/>
    </w:p>
    <w:p w:rsidR="00B25CAA" w:rsidRDefault="00B25CAA" w:rsidP="007E294B">
      <w:pPr>
        <w:pStyle w:val="head2nonumb"/>
      </w:pPr>
      <w:bookmarkStart w:id="668" w:name="_Toc228588220"/>
      <w:bookmarkStart w:id="669" w:name="_Toc399264926"/>
      <w:r w:rsidRPr="00A40CD0">
        <w:t>Journal Papers</w:t>
      </w:r>
      <w:bookmarkEnd w:id="668"/>
      <w:bookmarkEnd w:id="669"/>
    </w:p>
    <w:p w:rsidR="0070250F" w:rsidRPr="00B87D9A" w:rsidRDefault="0070250F" w:rsidP="0070250F">
      <w:pPr>
        <w:rPr>
          <w:b/>
          <w:szCs w:val="22"/>
        </w:rPr>
      </w:pPr>
      <w:bookmarkStart w:id="670" w:name="_Toc228588221"/>
      <w:r w:rsidRPr="00B87D9A">
        <w:rPr>
          <w:b/>
          <w:szCs w:val="22"/>
        </w:rPr>
        <w:t>Peer-review papers describing outcomes of this project:</w:t>
      </w:r>
    </w:p>
    <w:p w:rsidR="0070250F" w:rsidRPr="00B87D9A" w:rsidRDefault="0070250F" w:rsidP="00992146">
      <w:pPr>
        <w:pStyle w:val="ListParagraph"/>
        <w:numPr>
          <w:ilvl w:val="0"/>
          <w:numId w:val="23"/>
        </w:numPr>
        <w:rPr>
          <w:rFonts w:ascii="Times New Roman" w:hAnsi="Times New Roman"/>
          <w:sz w:val="22"/>
          <w:szCs w:val="22"/>
        </w:rPr>
      </w:pPr>
      <w:r w:rsidRPr="00B87D9A">
        <w:rPr>
          <w:rFonts w:ascii="Times New Roman" w:hAnsi="Times New Roman"/>
          <w:sz w:val="22"/>
          <w:szCs w:val="22"/>
        </w:rPr>
        <w:t xml:space="preserve">Kennedy, K., T. Schroeder, M. Shaw, D. Haynes, S. Lewis , C. Bentley, C. Paxman, S. Carter , V. Brando, M. Bartkow, and J. Mueller, </w:t>
      </w:r>
      <w:r w:rsidRPr="00B87D9A">
        <w:rPr>
          <w:rFonts w:ascii="Times New Roman" w:hAnsi="Times New Roman"/>
          <w:i/>
          <w:sz w:val="22"/>
          <w:szCs w:val="22"/>
        </w:rPr>
        <w:t>Long term monitoring of photosystem II herbicides – Correlation with remotely sensed freshwater extent to monitor changes in the quality of water entering the Great Barrier Reef, Australia.</w:t>
      </w:r>
      <w:r w:rsidRPr="00B87D9A">
        <w:rPr>
          <w:rFonts w:ascii="Times New Roman" w:hAnsi="Times New Roman"/>
          <w:sz w:val="22"/>
          <w:szCs w:val="22"/>
        </w:rPr>
        <w:t xml:space="preserve"> Marine Pollution Bulletin, 2012. </w:t>
      </w:r>
      <w:r w:rsidRPr="00B87D9A">
        <w:rPr>
          <w:rFonts w:ascii="Times New Roman" w:hAnsi="Times New Roman"/>
          <w:b/>
          <w:sz w:val="22"/>
          <w:szCs w:val="22"/>
        </w:rPr>
        <w:t>65</w:t>
      </w:r>
      <w:r w:rsidRPr="00B87D9A">
        <w:rPr>
          <w:rFonts w:ascii="Times New Roman" w:hAnsi="Times New Roman"/>
          <w:sz w:val="22"/>
          <w:szCs w:val="22"/>
        </w:rPr>
        <w:t>(4-9): p. 292-305.</w:t>
      </w:r>
    </w:p>
    <w:p w:rsidR="00992146" w:rsidRPr="00B87D9A" w:rsidRDefault="0070250F" w:rsidP="00992146">
      <w:pPr>
        <w:pStyle w:val="ListParagraph"/>
        <w:numPr>
          <w:ilvl w:val="0"/>
          <w:numId w:val="23"/>
        </w:numPr>
        <w:rPr>
          <w:rFonts w:ascii="Times New Roman" w:hAnsi="Times New Roman"/>
          <w:sz w:val="22"/>
          <w:szCs w:val="22"/>
        </w:rPr>
      </w:pPr>
      <w:r w:rsidRPr="00B87D9A">
        <w:rPr>
          <w:rFonts w:ascii="Times New Roman" w:hAnsi="Times New Roman"/>
          <w:sz w:val="22"/>
          <w:szCs w:val="22"/>
        </w:rPr>
        <w:t xml:space="preserve">Schroeder, T., M.J. Devlin, V.E. Brando, A.G. Dekker, J.E. Brodie, L.A. Clementson, and L. McKinna, </w:t>
      </w:r>
      <w:r w:rsidRPr="00B87D9A">
        <w:rPr>
          <w:rFonts w:ascii="Times New Roman" w:hAnsi="Times New Roman"/>
          <w:i/>
          <w:sz w:val="22"/>
          <w:szCs w:val="22"/>
        </w:rPr>
        <w:t>Inter-annual variability of wet season freshwater plume extent into the Great Barrier Reef lagoon based on satellite coastal ocean colour observations.</w:t>
      </w:r>
      <w:r w:rsidRPr="00B87D9A">
        <w:rPr>
          <w:rFonts w:ascii="Times New Roman" w:hAnsi="Times New Roman"/>
          <w:sz w:val="22"/>
          <w:szCs w:val="22"/>
        </w:rPr>
        <w:t xml:space="preserve"> Marine Pollution Bulletin, 2012. </w:t>
      </w:r>
      <w:r w:rsidRPr="00B87D9A">
        <w:rPr>
          <w:rFonts w:ascii="Times New Roman" w:hAnsi="Times New Roman"/>
          <w:b/>
          <w:sz w:val="22"/>
          <w:szCs w:val="22"/>
        </w:rPr>
        <w:t>65</w:t>
      </w:r>
      <w:r w:rsidRPr="00B87D9A">
        <w:rPr>
          <w:rFonts w:ascii="Times New Roman" w:hAnsi="Times New Roman"/>
          <w:sz w:val="22"/>
          <w:szCs w:val="22"/>
        </w:rPr>
        <w:t>(4-9): p. 210-223</w:t>
      </w:r>
    </w:p>
    <w:p w:rsidR="0070250F" w:rsidRPr="00B87D9A" w:rsidRDefault="0070250F" w:rsidP="00992146">
      <w:pPr>
        <w:rPr>
          <w:b/>
          <w:szCs w:val="22"/>
        </w:rPr>
      </w:pPr>
      <w:r w:rsidRPr="00B87D9A">
        <w:rPr>
          <w:b/>
          <w:szCs w:val="22"/>
        </w:rPr>
        <w:t>Peer-review papers describing the remote sensing methods used in this project:</w:t>
      </w:r>
    </w:p>
    <w:p w:rsidR="00992146" w:rsidRPr="00B87D9A" w:rsidRDefault="0070250F" w:rsidP="00B87D9A">
      <w:pPr>
        <w:pStyle w:val="ListParagraph"/>
        <w:numPr>
          <w:ilvl w:val="0"/>
          <w:numId w:val="24"/>
        </w:numPr>
        <w:rPr>
          <w:rFonts w:ascii="Times New Roman" w:hAnsi="Times New Roman"/>
          <w:szCs w:val="22"/>
        </w:rPr>
      </w:pPr>
      <w:r w:rsidRPr="00B87D9A">
        <w:rPr>
          <w:rFonts w:ascii="Times New Roman" w:hAnsi="Times New Roman"/>
          <w:szCs w:val="22"/>
        </w:rPr>
        <w:t xml:space="preserve">Brando, V.E., A.G. Dekker, Y.J. Park, and T. Schroeder, </w:t>
      </w:r>
      <w:r w:rsidRPr="00B87D9A">
        <w:rPr>
          <w:rFonts w:ascii="Times New Roman" w:hAnsi="Times New Roman"/>
          <w:i/>
          <w:szCs w:val="22"/>
        </w:rPr>
        <w:t>Adaptive semianalytical inversion of ocean color radiometry in optically complex waters.</w:t>
      </w:r>
      <w:r w:rsidRPr="00B87D9A">
        <w:rPr>
          <w:rFonts w:ascii="Times New Roman" w:hAnsi="Times New Roman"/>
          <w:szCs w:val="22"/>
        </w:rPr>
        <w:t xml:space="preserve"> Applied Optics, 2012. </w:t>
      </w:r>
      <w:r w:rsidRPr="00B87D9A">
        <w:rPr>
          <w:rFonts w:ascii="Times New Roman" w:hAnsi="Times New Roman"/>
          <w:b/>
          <w:szCs w:val="22"/>
        </w:rPr>
        <w:t>51</w:t>
      </w:r>
      <w:r w:rsidRPr="00B87D9A">
        <w:rPr>
          <w:rFonts w:ascii="Times New Roman" w:hAnsi="Times New Roman"/>
          <w:szCs w:val="22"/>
        </w:rPr>
        <w:t>(15): p. 2808-2833.</w:t>
      </w:r>
    </w:p>
    <w:p w:rsidR="00992146" w:rsidRPr="00B87D9A" w:rsidRDefault="0070250F" w:rsidP="00B87D9A">
      <w:pPr>
        <w:pStyle w:val="ListParagraph"/>
        <w:widowControl w:val="0"/>
        <w:numPr>
          <w:ilvl w:val="0"/>
          <w:numId w:val="24"/>
        </w:numPr>
        <w:autoSpaceDE w:val="0"/>
        <w:autoSpaceDN w:val="0"/>
        <w:adjustRightInd w:val="0"/>
        <w:spacing w:after="240"/>
        <w:rPr>
          <w:rFonts w:ascii="Times New Roman" w:eastAsiaTheme="minorEastAsia" w:hAnsi="Times New Roman"/>
          <w:szCs w:val="22"/>
          <w:lang w:val="en-US" w:eastAsia="ja-JP"/>
        </w:rPr>
      </w:pPr>
      <w:r w:rsidRPr="00B87D9A">
        <w:rPr>
          <w:rFonts w:ascii="Times New Roman" w:eastAsiaTheme="minorEastAsia" w:hAnsi="Times New Roman"/>
          <w:szCs w:val="22"/>
          <w:lang w:val="en-US" w:eastAsia="ja-JP"/>
        </w:rPr>
        <w:t xml:space="preserve">Goyens C., C. Jamet, T. Schroeder ,  </w:t>
      </w:r>
      <w:r w:rsidRPr="00B87D9A">
        <w:rPr>
          <w:rFonts w:ascii="Times New Roman" w:eastAsiaTheme="minorEastAsia" w:hAnsi="Times New Roman"/>
          <w:i/>
          <w:szCs w:val="22"/>
          <w:lang w:val="en-US" w:eastAsia="ja-JP"/>
        </w:rPr>
        <w:t>Evaluation of four atmospheric correction algorithms for MODIS-Aqua images over contrasted coastal waters</w:t>
      </w:r>
      <w:r w:rsidR="00B87D9A">
        <w:rPr>
          <w:rFonts w:ascii="Times New Roman" w:eastAsiaTheme="minorEastAsia" w:hAnsi="Times New Roman"/>
          <w:i/>
          <w:szCs w:val="22"/>
          <w:lang w:val="en-US" w:eastAsia="ja-JP"/>
        </w:rPr>
        <w:t>,</w:t>
      </w:r>
      <w:r w:rsidRPr="00B87D9A">
        <w:rPr>
          <w:rFonts w:ascii="Times New Roman" w:eastAsiaTheme="minorEastAsia" w:hAnsi="Times New Roman"/>
          <w:i/>
          <w:szCs w:val="22"/>
          <w:lang w:val="en-US" w:eastAsia="ja-JP"/>
        </w:rPr>
        <w:t xml:space="preserve"> Remote Sensing of Environment</w:t>
      </w:r>
      <w:r w:rsidR="00CA18B3" w:rsidRPr="00B87D9A">
        <w:rPr>
          <w:rFonts w:ascii="Times New Roman" w:eastAsiaTheme="minorEastAsia" w:hAnsi="Times New Roman"/>
          <w:i/>
          <w:szCs w:val="22"/>
          <w:lang w:val="en-US" w:eastAsia="ja-JP"/>
        </w:rPr>
        <w:t xml:space="preserve">, 2013, </w:t>
      </w:r>
      <w:r w:rsidRPr="00B87D9A">
        <w:rPr>
          <w:rFonts w:ascii="Times New Roman" w:eastAsiaTheme="minorEastAsia" w:hAnsi="Times New Roman"/>
          <w:i/>
          <w:szCs w:val="22"/>
          <w:lang w:val="en-US" w:eastAsia="ja-JP"/>
        </w:rPr>
        <w:t xml:space="preserve"> </w:t>
      </w:r>
      <w:r w:rsidR="00CA18B3" w:rsidRPr="00B87D9A">
        <w:rPr>
          <w:rFonts w:ascii="Times New Roman" w:eastAsiaTheme="minorEastAsia" w:hAnsi="Times New Roman"/>
          <w:szCs w:val="22"/>
          <w:lang w:val="en-US" w:eastAsia="ja-JP"/>
        </w:rPr>
        <w:t xml:space="preserve">131: </w:t>
      </w:r>
      <w:r w:rsidRPr="00B87D9A">
        <w:rPr>
          <w:rFonts w:ascii="Times New Roman" w:eastAsiaTheme="minorEastAsia" w:hAnsi="Times New Roman"/>
          <w:szCs w:val="22"/>
          <w:lang w:val="en-US" w:eastAsia="ja-JP"/>
        </w:rPr>
        <w:t>63–75</w:t>
      </w:r>
    </w:p>
    <w:p w:rsidR="0070250F" w:rsidRPr="00B87D9A" w:rsidRDefault="0070250F" w:rsidP="00B87D9A">
      <w:pPr>
        <w:pStyle w:val="ListParagraph"/>
        <w:widowControl w:val="0"/>
        <w:numPr>
          <w:ilvl w:val="0"/>
          <w:numId w:val="24"/>
        </w:numPr>
        <w:autoSpaceDE w:val="0"/>
        <w:autoSpaceDN w:val="0"/>
        <w:adjustRightInd w:val="0"/>
        <w:spacing w:after="240"/>
        <w:rPr>
          <w:rFonts w:ascii="Times New Roman" w:eastAsiaTheme="minorEastAsia" w:hAnsi="Times New Roman"/>
          <w:szCs w:val="22"/>
          <w:lang w:val="en-US" w:eastAsia="ja-JP"/>
        </w:rPr>
      </w:pPr>
      <w:r w:rsidRPr="00B87D9A">
        <w:rPr>
          <w:rFonts w:ascii="Times New Roman" w:hAnsi="Times New Roman"/>
          <w:szCs w:val="22"/>
        </w:rPr>
        <w:t xml:space="preserve">Werdell P. J , B.A. Franz, S.W. Bailey, G.C. Feldman, E. Boss, V.E. Brando, M. Dowell, T.Hirata, S.J. Lavender, Z.P. Lee, H. Loisel, S. Maritorena, F. Melin, T.S. Moore, T.J. Smyth, D. Antoine, Emmanuel Devred, O. Hembise Fanton d’Andon, and Antoine Mangin, </w:t>
      </w:r>
      <w:r w:rsidRPr="00B87D9A">
        <w:rPr>
          <w:rFonts w:ascii="Times New Roman" w:hAnsi="Times New Roman"/>
          <w:i/>
          <w:szCs w:val="22"/>
        </w:rPr>
        <w:t>A generalized ocean color inversion model for retrieving marine inherent optical properties</w:t>
      </w:r>
      <w:r w:rsidRPr="00B87D9A">
        <w:rPr>
          <w:rFonts w:ascii="Times New Roman" w:hAnsi="Times New Roman"/>
          <w:szCs w:val="22"/>
        </w:rPr>
        <w:t>. Applied Optics, 2013</w:t>
      </w:r>
      <w:r w:rsidR="00CA18B3" w:rsidRPr="00B87D9A">
        <w:rPr>
          <w:rFonts w:ascii="Times New Roman" w:hAnsi="Times New Roman"/>
          <w:szCs w:val="22"/>
        </w:rPr>
        <w:t>,</w:t>
      </w:r>
      <w:r w:rsidRPr="00B87D9A">
        <w:rPr>
          <w:rFonts w:ascii="Times New Roman" w:hAnsi="Times New Roman"/>
          <w:szCs w:val="22"/>
        </w:rPr>
        <w:t xml:space="preserve"> </w:t>
      </w:r>
      <w:r w:rsidR="00CA18B3" w:rsidRPr="00B87D9A">
        <w:rPr>
          <w:rFonts w:ascii="Times New Roman" w:hAnsi="Times New Roman"/>
          <w:szCs w:val="22"/>
        </w:rPr>
        <w:t xml:space="preserve">52 (10) p 2019 </w:t>
      </w:r>
    </w:p>
    <w:p w:rsidR="00B25CAA" w:rsidRPr="00A40CD0" w:rsidRDefault="00B25CAA" w:rsidP="007E294B">
      <w:pPr>
        <w:pStyle w:val="head2nonumb"/>
      </w:pPr>
      <w:bookmarkStart w:id="671" w:name="_Toc399264927"/>
      <w:r w:rsidRPr="00A40CD0">
        <w:t>Book Chapters</w:t>
      </w:r>
      <w:bookmarkEnd w:id="670"/>
      <w:bookmarkEnd w:id="671"/>
    </w:p>
    <w:p w:rsidR="00B25CAA" w:rsidRPr="00A40CD0" w:rsidRDefault="00B25CAA" w:rsidP="002E0BD6">
      <w:pPr>
        <w:pStyle w:val="BodyText"/>
        <w:numPr>
          <w:ilvl w:val="0"/>
          <w:numId w:val="25"/>
        </w:numPr>
      </w:pPr>
      <w:r w:rsidRPr="00A40CD0">
        <w:t>Devlin, M., T. Schroeder, L. McKinna, J. Brodie, V. Brando and A. Dekker (</w:t>
      </w:r>
      <w:r w:rsidR="00992146">
        <w:t>2012</w:t>
      </w:r>
      <w:r w:rsidRPr="00A40CD0">
        <w:t>). Monitoring and mapping of flood plumes in the Great Barrier Reef based on in-situ and remote sensing observations. Advances in Environmental Remote Sensing to Monitor Global Changes. N.-B. Chang.</w:t>
      </w:r>
      <w:r w:rsidR="00992146">
        <w:t xml:space="preserve"> P 147-188</w:t>
      </w:r>
    </w:p>
    <w:p w:rsidR="00B25CAA" w:rsidRPr="00A40CD0" w:rsidRDefault="00B25CAA" w:rsidP="007E294B">
      <w:pPr>
        <w:pStyle w:val="head2nonumb"/>
      </w:pPr>
      <w:bookmarkStart w:id="672" w:name="_Toc228588223"/>
      <w:bookmarkStart w:id="673" w:name="_Toc399264928"/>
      <w:r w:rsidRPr="00A40CD0">
        <w:t>Conference presentations</w:t>
      </w:r>
      <w:bookmarkEnd w:id="672"/>
      <w:bookmarkEnd w:id="673"/>
    </w:p>
    <w:p w:rsidR="003456A6" w:rsidRPr="00A40CD0" w:rsidRDefault="0000783D" w:rsidP="002E0BD6">
      <w:pPr>
        <w:pStyle w:val="BodyText"/>
        <w:numPr>
          <w:ilvl w:val="0"/>
          <w:numId w:val="26"/>
        </w:numPr>
      </w:pPr>
      <w:r w:rsidRPr="00CA18B3">
        <w:t xml:space="preserve">Blondeau-Patissier D. , Dekker A. G. , Brando V. E. , Phinn S. R. , Weeks S. J. , Phytoplankton bloom dynamics in the Great Barrier Reef derived from satellite data, </w:t>
      </w:r>
      <w:r w:rsidR="00CA18B3" w:rsidRPr="00CA18B3">
        <w:t xml:space="preserve">12th International Coral Reef Symposium, 9-13 July 2012, </w:t>
      </w:r>
      <w:r w:rsidR="003456A6" w:rsidRPr="00A40CD0">
        <w:t>Cairns, Australia.</w:t>
      </w:r>
    </w:p>
    <w:p w:rsidR="00B25CAA" w:rsidRDefault="00CA18B3" w:rsidP="002E0BD6">
      <w:pPr>
        <w:pStyle w:val="BodyText"/>
        <w:numPr>
          <w:ilvl w:val="0"/>
          <w:numId w:val="26"/>
        </w:numPr>
      </w:pPr>
      <w:r>
        <w:t xml:space="preserve">V Brando, T Schroeder, A Dekker, B Schaffleke, M Devlin, </w:t>
      </w:r>
      <w:r w:rsidR="003456A6" w:rsidRPr="00CA18B3">
        <w:t>Assessing GBR water quality compliance using earth observation data</w:t>
      </w:r>
      <w:r>
        <w:t xml:space="preserve">, </w:t>
      </w:r>
      <w:r w:rsidRPr="00CA18B3">
        <w:t xml:space="preserve">12th International Coral Reef Symposium, 9-13 July 2012, </w:t>
      </w:r>
      <w:r w:rsidRPr="00A40CD0">
        <w:t>Cairns, Australia.</w:t>
      </w:r>
    </w:p>
    <w:p w:rsidR="003456A6" w:rsidRDefault="003456A6" w:rsidP="002E0BD6">
      <w:pPr>
        <w:pStyle w:val="BodyText"/>
        <w:numPr>
          <w:ilvl w:val="0"/>
          <w:numId w:val="26"/>
        </w:numPr>
      </w:pPr>
      <w:r w:rsidRPr="00CA18B3">
        <w:t xml:space="preserve">K Martin, C Chinn, B Schaffelke, K Kennedy, A Thompson, L McKenzie, M Waycott, M Devlin, V Brando, J Brodie, H Yorkston, Assessing the effectiveness of water quality </w:t>
      </w:r>
      <w:r w:rsidRPr="00CA18B3">
        <w:lastRenderedPageBreak/>
        <w:t>management of</w:t>
      </w:r>
      <w:r w:rsidR="00CA18B3">
        <w:t xml:space="preserve"> the GBR, </w:t>
      </w:r>
      <w:r w:rsidR="00CA18B3" w:rsidRPr="00CA18B3">
        <w:t xml:space="preserve">12th International Coral Reef Symposium, 9-13 July 2012, </w:t>
      </w:r>
      <w:r w:rsidR="00CA18B3">
        <w:t>Cairns, Australi</w:t>
      </w:r>
      <w:r w:rsidR="00992146">
        <w:t>a</w:t>
      </w:r>
    </w:p>
    <w:p w:rsidR="00B87D9A" w:rsidRPr="00A40CD0" w:rsidRDefault="00B87D9A" w:rsidP="002E0BD6">
      <w:pPr>
        <w:pStyle w:val="BodyText"/>
      </w:pPr>
    </w:p>
    <w:p w:rsidR="00B25CAA" w:rsidRPr="00A40CD0" w:rsidRDefault="00B25CAA" w:rsidP="00D80E36">
      <w:pPr>
        <w:pStyle w:val="head1nonumb"/>
      </w:pPr>
      <w:bookmarkStart w:id="674" w:name="_Toc228588225"/>
      <w:bookmarkStart w:id="675" w:name="_Toc399264929"/>
      <w:r w:rsidRPr="00A40CD0">
        <w:lastRenderedPageBreak/>
        <w:t>Appendix 3. Summary of the exceedance of annual mean values from 2002/03</w:t>
      </w:r>
      <w:bookmarkEnd w:id="674"/>
      <w:r w:rsidRPr="00A40CD0">
        <w:t xml:space="preserve"> </w:t>
      </w:r>
      <w:r w:rsidR="00B87D9A">
        <w:t>to date</w:t>
      </w:r>
      <w:bookmarkEnd w:id="675"/>
    </w:p>
    <w:p w:rsidR="00B25CAA" w:rsidRPr="00A40CD0" w:rsidRDefault="00B25CAA" w:rsidP="00D80E36">
      <w:pPr>
        <w:pStyle w:val="Caption"/>
      </w:pPr>
      <w:bookmarkStart w:id="676" w:name="_Toc303179551"/>
      <w:r w:rsidRPr="00A40CD0">
        <w:t>This appendix provides the summary of the exceedance of mean annual Chlorophyll-a and non-algal particulate matter (as a measure of Total Suspended Solids) values for all reporting periods from when MODI</w:t>
      </w:r>
      <w:r w:rsidR="00503059">
        <w:t>S</w:t>
      </w:r>
      <w:r w:rsidRPr="00A40CD0">
        <w:t xml:space="preserve"> AQUA data is available (</w:t>
      </w:r>
      <w:r w:rsidR="00D55147" w:rsidRPr="00A40CD0">
        <w:t>i.e.</w:t>
      </w:r>
      <w:r w:rsidRPr="00A40CD0">
        <w:t xml:space="preserve"> 2002/03 to present)</w:t>
      </w:r>
    </w:p>
    <w:p w:rsidR="00BA29F7" w:rsidRDefault="00BA29F7" w:rsidP="002E0BD6">
      <w:pPr>
        <w:pStyle w:val="BodyText"/>
      </w:pPr>
      <w:r>
        <w:t xml:space="preserve">For this report the whole MODIS aqua time series was reprocessed with </w:t>
      </w:r>
      <w:r w:rsidRPr="00805D17">
        <w:t xml:space="preserve">the most recent updates in </w:t>
      </w:r>
      <w:r>
        <w:t>NASA’s software (SeaDAS version 6.4</w:t>
      </w:r>
      <w:r w:rsidRPr="00805D17">
        <w:t>)</w:t>
      </w:r>
      <w:r>
        <w:t xml:space="preserve">, incorporating the </w:t>
      </w:r>
      <w:r w:rsidRPr="00057D0D">
        <w:t>improved knowledge of instrument temporal calibration to improve temporal stability of the time series of the MODIS AQUA aging sensor</w:t>
      </w:r>
      <w:r>
        <w:t xml:space="preserve">. Furthermore, the parameterizations of CSIRO’s atmospheric correction and water quality algorithm were revised to improve accuracy in turbid waters and reduce over-estimates of TSS concentrations in the Midshelf. </w:t>
      </w:r>
    </w:p>
    <w:p w:rsidR="00220B8D" w:rsidRDefault="000B43E0" w:rsidP="002E0BD6">
      <w:pPr>
        <w:pStyle w:val="BodyText"/>
      </w:pPr>
      <w:r>
        <w:t xml:space="preserve">In this appendix </w:t>
      </w:r>
      <w:r w:rsidRPr="00A40CD0">
        <w:t xml:space="preserve">the REEG values for CHL and TSS (REEG_CHL, REEG_TSS) are presented within each reporting region as separate values for the </w:t>
      </w:r>
      <w:r>
        <w:t xml:space="preserve">newly delineated Enclosed Coastal, as well as the </w:t>
      </w:r>
      <w:r w:rsidRPr="00A40CD0">
        <w:t>Open Coastal, Mids</w:t>
      </w:r>
      <w:r>
        <w:t>helf, and Offshore water bodies for all reporting years. Also a summary of all P2R scores for all reporting year is provided, based on the REEG values for the Inshore</w:t>
      </w:r>
      <w:r w:rsidRPr="00A40CD0">
        <w:t xml:space="preserve"> water body </w:t>
      </w:r>
      <w:r>
        <w:t xml:space="preserve">(i.e. the Enclosed Coastal and the Open Coastal waters). </w:t>
      </w:r>
      <w:r w:rsidR="009B4A9B">
        <w:t>“To compute the</w:t>
      </w:r>
      <w:r w:rsidR="009B4A9B" w:rsidRPr="008333B6">
        <w:t xml:space="preserve"> </w:t>
      </w:r>
      <w:r w:rsidR="009B4A9B">
        <w:t>REEG values for the whole Inshore region,</w:t>
      </w:r>
      <w:r w:rsidR="009B4A9B" w:rsidRPr="008333B6">
        <w:t xml:space="preserve"> pixels in the </w:t>
      </w:r>
      <w:r w:rsidR="009B4A9B">
        <w:t>enclosed coastal areas are</w:t>
      </w:r>
      <w:r w:rsidR="009B4A9B" w:rsidRPr="008333B6">
        <w:t xml:space="preserve"> compared to the guidelines values for Enclosed</w:t>
      </w:r>
      <w:r w:rsidR="009B4A9B">
        <w:t xml:space="preserve"> coastal waters and only the pixels lyi</w:t>
      </w:r>
      <w:r w:rsidR="009B4A9B" w:rsidRPr="008333B6">
        <w:t>ng in the Open Coastal are compared with the guideline values for Open coastal waters</w:t>
      </w:r>
      <w:r w:rsidR="009B4A9B">
        <w:t>.”</w:t>
      </w:r>
    </w:p>
    <w:p w:rsidR="00BA29F7" w:rsidRDefault="00220B8D" w:rsidP="002E0BD6">
      <w:pPr>
        <w:pStyle w:val="BodyText"/>
      </w:pPr>
      <w:r>
        <w:t xml:space="preserve">All </w:t>
      </w:r>
      <w:r w:rsidR="00BA29F7">
        <w:t xml:space="preserve">the </w:t>
      </w:r>
      <w:r w:rsidR="000B43E0">
        <w:t>results presented in this appendix</w:t>
      </w:r>
      <w:r w:rsidR="00BA29F7">
        <w:t xml:space="preserve"> supersede the </w:t>
      </w:r>
      <w:r w:rsidR="000B43E0">
        <w:t xml:space="preserve">exceedance assessments and the P2R scores presented </w:t>
      </w:r>
      <w:r w:rsidR="00BA29F7">
        <w:t>previous reports.</w:t>
      </w:r>
    </w:p>
    <w:p w:rsidR="00B25CAA" w:rsidRPr="00A40CD0" w:rsidRDefault="00B25CAA" w:rsidP="00D80E36">
      <w:pPr>
        <w:pStyle w:val="Caption"/>
      </w:pPr>
      <w:bookmarkStart w:id="677" w:name="_Toc228588270"/>
      <w:bookmarkStart w:id="678" w:name="_Toc399264976"/>
      <w:r w:rsidRPr="00A40CD0">
        <w:t xml:space="preserve">Table </w:t>
      </w:r>
      <w:r w:rsidR="00EA2F38">
        <w:fldChar w:fldCharType="begin"/>
      </w:r>
      <w:r w:rsidR="00933C8B">
        <w:instrText xml:space="preserve"> SEQ Table \* ARABIC </w:instrText>
      </w:r>
      <w:r w:rsidR="00EA2F38">
        <w:fldChar w:fldCharType="separate"/>
      </w:r>
      <w:r w:rsidR="00B11F3B">
        <w:rPr>
          <w:noProof/>
        </w:rPr>
        <w:t>47</w:t>
      </w:r>
      <w:r w:rsidR="00EA2F38">
        <w:fldChar w:fldCharType="end"/>
      </w:r>
      <w:r w:rsidRPr="00A40CD0">
        <w:t xml:space="preserve">. Summary of the exceedance of mean annual Chlorophyll-a and non-algal particulate matter (as a measure of Total Suspended Solids) for the 2002/03 reporting period (1 May 2002 – 30 April 2003) </w:t>
      </w:r>
      <w:bookmarkEnd w:id="677"/>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w:t>
      </w:r>
      <w:r w:rsidR="007A6DE9" w:rsidRPr="00493C95">
        <w:t>IS, MS</w:t>
      </w:r>
      <w:r w:rsidR="007A6DE9" w:rsidRPr="002D7D0B">
        <w:t>, OS).</w:t>
      </w:r>
      <w:r w:rsidRPr="002D7D0B">
        <w:t>. Cells are shaded in gray when more than 50% of the area of the water body exceeds the</w:t>
      </w:r>
      <w:r w:rsidRPr="00A40CD0">
        <w:t xml:space="preserve"> Guideline value. * Caution should be used when interpreting the results for the Cape York and Burnett Mary regions as limited field information was used for the parameterization and validation on the remote sensing retrievals.</w:t>
      </w:r>
      <w:bookmarkEnd w:id="676"/>
      <w:bookmarkEnd w:id="678"/>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1000" w:type="pct"/>
            <w:shd w:val="clear" w:color="auto" w:fill="auto"/>
            <w:noWrap/>
            <w:vAlign w:val="bottom"/>
          </w:tcPr>
          <w:p w:rsidR="00C8171E" w:rsidRPr="00C8171E" w:rsidRDefault="00C8171E" w:rsidP="00C8171E">
            <w:pPr>
              <w:rPr>
                <w:rFonts w:ascii="Times New Roman" w:hAnsi="Times New Roman"/>
              </w:rPr>
            </w:pPr>
            <w:bookmarkStart w:id="679" w:name="_Toc303179552"/>
          </w:p>
        </w:tc>
        <w:tc>
          <w:tcPr>
            <w:tcW w:w="2250" w:type="pct"/>
            <w:gridSpan w:val="5"/>
            <w:shd w:val="clear" w:color="000000" w:fill="FFFFFF"/>
            <w:noWrap/>
            <w:vAlign w:val="center"/>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60" w:type="pct"/>
            <w:gridSpan w:val="5"/>
            <w:shd w:val="clear" w:color="000000" w:fill="FFFFFF"/>
            <w:noWrap/>
            <w:vAlign w:val="center"/>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C8171E" w:rsidRPr="00C8171E" w:rsidTr="00C8171E">
        <w:trPr>
          <w:trHeight w:val="280"/>
        </w:trPr>
        <w:tc>
          <w:tcPr>
            <w:tcW w:w="1000" w:type="pct"/>
            <w:shd w:val="clear" w:color="auto" w:fill="auto"/>
            <w:noWrap/>
            <w:vAlign w:val="bottom"/>
            <w:hideMark/>
          </w:tcPr>
          <w:p w:rsidR="00C8171E" w:rsidRPr="00C8171E" w:rsidRDefault="00C8171E" w:rsidP="00C8171E">
            <w:pPr>
              <w:rPr>
                <w:rFonts w:ascii="Times New Roman" w:hAnsi="Times New Roman"/>
              </w:rPr>
            </w:pPr>
            <w:r w:rsidRPr="00C8171E">
              <w:rPr>
                <w:rFonts w:ascii="Times New Roman" w:hAnsi="Times New Roman"/>
                <w:szCs w:val="22"/>
              </w:rPr>
              <w:t>0203</w:t>
            </w:r>
          </w:p>
        </w:tc>
        <w:tc>
          <w:tcPr>
            <w:tcW w:w="450" w:type="pct"/>
            <w:shd w:val="clear" w:color="000000" w:fill="FFFFFF"/>
            <w:noWrap/>
            <w:vAlign w:val="bottom"/>
            <w:hideMark/>
          </w:tcPr>
          <w:p w:rsidR="00C8171E" w:rsidRPr="00493C95" w:rsidRDefault="00C8171E" w:rsidP="00C8171E">
            <w:pPr>
              <w:rPr>
                <w:rFonts w:ascii="Times New Roman" w:hAnsi="Times New Roman"/>
              </w:rPr>
            </w:pPr>
            <w:r w:rsidRPr="00493C95">
              <w:rPr>
                <w:rFonts w:ascii="Times New Roman" w:hAnsi="Times New Roman"/>
                <w:szCs w:val="22"/>
              </w:rPr>
              <w:t>EC</w:t>
            </w:r>
          </w:p>
        </w:tc>
        <w:tc>
          <w:tcPr>
            <w:tcW w:w="450"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OC</w:t>
            </w:r>
          </w:p>
        </w:tc>
        <w:tc>
          <w:tcPr>
            <w:tcW w:w="450" w:type="pct"/>
            <w:shd w:val="clear" w:color="000000" w:fill="FFFFFF"/>
            <w:noWrap/>
            <w:vAlign w:val="bottom"/>
            <w:hideMark/>
          </w:tcPr>
          <w:p w:rsidR="00C8171E" w:rsidRPr="00493C95" w:rsidRDefault="00493C95" w:rsidP="00C8171E">
            <w:pPr>
              <w:rPr>
                <w:rFonts w:ascii="Times New Roman" w:hAnsi="Times New Roman"/>
              </w:rPr>
            </w:pPr>
            <w:r w:rsidRPr="00A26BAE">
              <w:rPr>
                <w:rFonts w:ascii="Times New Roman" w:hAnsi="Times New Roman"/>
                <w:szCs w:val="22"/>
              </w:rPr>
              <w:t>IS</w:t>
            </w:r>
          </w:p>
        </w:tc>
        <w:tc>
          <w:tcPr>
            <w:tcW w:w="450"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MS</w:t>
            </w:r>
          </w:p>
        </w:tc>
        <w:tc>
          <w:tcPr>
            <w:tcW w:w="450"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OS</w:t>
            </w:r>
          </w:p>
        </w:tc>
        <w:tc>
          <w:tcPr>
            <w:tcW w:w="453"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EC</w:t>
            </w:r>
          </w:p>
        </w:tc>
        <w:tc>
          <w:tcPr>
            <w:tcW w:w="453"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OC</w:t>
            </w:r>
          </w:p>
        </w:tc>
        <w:tc>
          <w:tcPr>
            <w:tcW w:w="453" w:type="pct"/>
            <w:shd w:val="clear" w:color="000000" w:fill="FFFFFF"/>
            <w:noWrap/>
            <w:vAlign w:val="bottom"/>
            <w:hideMark/>
          </w:tcPr>
          <w:p w:rsidR="00C8171E" w:rsidRPr="002D7D0B" w:rsidRDefault="00493C95" w:rsidP="00C8171E">
            <w:pPr>
              <w:rPr>
                <w:rFonts w:ascii="Times New Roman" w:hAnsi="Times New Roman"/>
              </w:rPr>
            </w:pPr>
            <w:r w:rsidRPr="002D7D0B">
              <w:rPr>
                <w:rFonts w:ascii="Times New Roman" w:hAnsi="Times New Roman"/>
                <w:szCs w:val="22"/>
              </w:rPr>
              <w:t>IS</w:t>
            </w:r>
          </w:p>
        </w:tc>
        <w:tc>
          <w:tcPr>
            <w:tcW w:w="452"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MS</w:t>
            </w:r>
          </w:p>
        </w:tc>
        <w:tc>
          <w:tcPr>
            <w:tcW w:w="450" w:type="pct"/>
            <w:shd w:val="clear" w:color="000000" w:fill="FFFFFF"/>
            <w:noWrap/>
            <w:vAlign w:val="bottom"/>
            <w:hideMark/>
          </w:tcPr>
          <w:p w:rsidR="00C8171E" w:rsidRPr="002D7D0B" w:rsidRDefault="00C8171E" w:rsidP="00C8171E">
            <w:pPr>
              <w:rPr>
                <w:rFonts w:ascii="Times New Roman" w:hAnsi="Times New Roman"/>
              </w:rPr>
            </w:pPr>
            <w:r w:rsidRPr="002D7D0B">
              <w:rPr>
                <w:rFonts w:ascii="Times New Roman" w:hAnsi="Times New Roman"/>
                <w:szCs w:val="22"/>
              </w:rPr>
              <w:t>OS</w:t>
            </w:r>
          </w:p>
        </w:tc>
      </w:tr>
      <w:tr w:rsidR="00C8171E" w:rsidRPr="00C8171E" w:rsidTr="00C8171E">
        <w:trPr>
          <w:trHeight w:val="280"/>
        </w:trPr>
        <w:tc>
          <w:tcPr>
            <w:tcW w:w="1000"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15</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39</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15</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r>
      <w:tr w:rsidR="00C8171E" w:rsidRPr="00C8171E" w:rsidTr="00C8171E">
        <w:trPr>
          <w:trHeight w:val="280"/>
        </w:trPr>
        <w:tc>
          <w:tcPr>
            <w:tcW w:w="1000"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78</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72</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73</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3"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81</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39</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r>
      <w:tr w:rsidR="00C8171E" w:rsidRPr="00C8171E" w:rsidTr="00C8171E">
        <w:trPr>
          <w:trHeight w:val="280"/>
        </w:trPr>
        <w:tc>
          <w:tcPr>
            <w:tcW w:w="1000"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47</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54</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15</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1000"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16</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26</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24</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45</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13</w:t>
            </w:r>
          </w:p>
        </w:tc>
      </w:tr>
      <w:tr w:rsidR="00C8171E" w:rsidRPr="00C8171E" w:rsidTr="00C8171E">
        <w:trPr>
          <w:trHeight w:val="280"/>
        </w:trPr>
        <w:tc>
          <w:tcPr>
            <w:tcW w:w="1000"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71</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53</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57</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3"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26</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1000"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16</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60</w:t>
            </w:r>
          </w:p>
        </w:tc>
        <w:tc>
          <w:tcPr>
            <w:tcW w:w="450"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51</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3"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0"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B25CAA" w:rsidRPr="00A40CD0" w:rsidRDefault="00B25CAA" w:rsidP="00D80E36">
      <w:pPr>
        <w:pStyle w:val="Caption"/>
      </w:pPr>
    </w:p>
    <w:p w:rsidR="00B25CAA" w:rsidRDefault="00B25CAA" w:rsidP="00D80E36">
      <w:pPr>
        <w:pStyle w:val="Caption"/>
      </w:pPr>
      <w:bookmarkStart w:id="680" w:name="_Toc228588271"/>
      <w:bookmarkStart w:id="681" w:name="_Toc399264977"/>
      <w:r w:rsidRPr="00A40CD0">
        <w:t xml:space="preserve">Table </w:t>
      </w:r>
      <w:r w:rsidR="00EA2F38">
        <w:fldChar w:fldCharType="begin"/>
      </w:r>
      <w:r w:rsidR="00933C8B">
        <w:instrText xml:space="preserve"> SEQ Table \* ARABIC </w:instrText>
      </w:r>
      <w:r w:rsidR="00EA2F38">
        <w:fldChar w:fldCharType="separate"/>
      </w:r>
      <w:r w:rsidR="00B11F3B">
        <w:rPr>
          <w:noProof/>
        </w:rPr>
        <w:t>48</w:t>
      </w:r>
      <w:r w:rsidR="00EA2F38">
        <w:fldChar w:fldCharType="end"/>
      </w:r>
      <w:r w:rsidRPr="00A40CD0">
        <w:t xml:space="preserve">. Summary of the exceedance of mean annual Chlorophyll-a and non-algal particulate matter (as a measure of Total Suspended Solids) for the 2003/04 reporting period (1 May 2003 – 30 April 2004) </w:t>
      </w:r>
      <w:bookmarkEnd w:id="680"/>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679"/>
      <w:bookmarkEnd w:id="681"/>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0304</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39</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88</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76</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54</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58</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29</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37</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22</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44</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3E6AED" w:rsidRPr="003E6AED" w:rsidRDefault="003E6AED" w:rsidP="003E6AED"/>
    <w:p w:rsidR="00B25CAA" w:rsidRPr="00A40CD0" w:rsidRDefault="00B25CAA" w:rsidP="00D80E36">
      <w:pPr>
        <w:pStyle w:val="Caption"/>
      </w:pPr>
      <w:bookmarkStart w:id="682" w:name="_Toc228588272"/>
      <w:bookmarkStart w:id="683" w:name="_Toc303179553"/>
      <w:bookmarkStart w:id="684" w:name="_Toc399264978"/>
      <w:r w:rsidRPr="00A40CD0">
        <w:t xml:space="preserve">Table </w:t>
      </w:r>
      <w:r w:rsidR="00EA2F38">
        <w:fldChar w:fldCharType="begin"/>
      </w:r>
      <w:r w:rsidR="00933C8B">
        <w:instrText xml:space="preserve"> SEQ Table \* ARABIC </w:instrText>
      </w:r>
      <w:r w:rsidR="00EA2F38">
        <w:fldChar w:fldCharType="separate"/>
      </w:r>
      <w:r w:rsidR="00B11F3B">
        <w:rPr>
          <w:noProof/>
        </w:rPr>
        <w:t>49</w:t>
      </w:r>
      <w:r w:rsidR="00EA2F38">
        <w:fldChar w:fldCharType="end"/>
      </w:r>
      <w:r w:rsidRPr="00A40CD0">
        <w:t xml:space="preserve">. Summary of the exceedance of mean annual Chlorophyll-a and non-algal particulate matter (as a measure of Total Suspended Solids) for the 2004/05 reporting period (1 May 2004 – 30 April 2005) </w:t>
      </w:r>
      <w:bookmarkEnd w:id="682"/>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w:t>
      </w:r>
      <w:r w:rsidR="00503059">
        <w:t>.</w:t>
      </w:r>
      <w:r w:rsidR="007A6DE9" w:rsidRPr="00A40CD0">
        <w:t xml:space="preserve"> *</w:t>
      </w:r>
      <w:r w:rsidRPr="00A40CD0">
        <w:t xml:space="preserve"> Caution should be used when interpreting the results for the Cape York and Burnett Mary regions as limited field information was used for the parameterization and validation on the remote sensing retrievals.</w:t>
      </w:r>
      <w:bookmarkEnd w:id="683"/>
      <w:bookmarkEnd w:id="684"/>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0405</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24</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41</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58</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29</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39</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25</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59</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34</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18</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B25CAA" w:rsidRPr="00A40CD0" w:rsidRDefault="00B25CAA" w:rsidP="00D80E36">
      <w:pPr>
        <w:pStyle w:val="Caption"/>
      </w:pPr>
    </w:p>
    <w:p w:rsidR="00B25CAA" w:rsidRDefault="00B25CAA" w:rsidP="00D80E36">
      <w:pPr>
        <w:pStyle w:val="Caption"/>
      </w:pPr>
      <w:bookmarkStart w:id="685" w:name="_Toc228588273"/>
      <w:bookmarkStart w:id="686" w:name="_Toc303179554"/>
      <w:bookmarkStart w:id="687" w:name="_Toc399264979"/>
      <w:r w:rsidRPr="00A40CD0">
        <w:t xml:space="preserve">Table </w:t>
      </w:r>
      <w:r w:rsidR="00EA2F38">
        <w:fldChar w:fldCharType="begin"/>
      </w:r>
      <w:r w:rsidR="00933C8B">
        <w:instrText xml:space="preserve"> SEQ Table \* ARABIC </w:instrText>
      </w:r>
      <w:r w:rsidR="00EA2F38">
        <w:fldChar w:fldCharType="separate"/>
      </w:r>
      <w:r w:rsidR="00B11F3B">
        <w:rPr>
          <w:noProof/>
        </w:rPr>
        <w:t>50</w:t>
      </w:r>
      <w:r w:rsidR="00EA2F38">
        <w:fldChar w:fldCharType="end"/>
      </w:r>
      <w:r w:rsidRPr="00A40CD0">
        <w:t xml:space="preserve">. Summary of the exceedance of mean annual Chlorophyll-a and non-algal particulate matter (as a measure of Total Suspended Solids) for the 2005/16 reporting period (1 May 2005 – 30 April 2006) </w:t>
      </w:r>
      <w:bookmarkEnd w:id="685"/>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w:t>
      </w:r>
      <w:r w:rsidR="00503059">
        <w:t>.</w:t>
      </w:r>
      <w:r w:rsidR="007A6DE9" w:rsidRPr="00A40CD0">
        <w:t>*</w:t>
      </w:r>
      <w:r w:rsidRPr="00A40CD0">
        <w:t xml:space="preserve"> Caution should be used when interpreting the results for the Cape York and Burnett Mary regions as limited field information was used for the parameterization and validation on the remote sensing retrievals.</w:t>
      </w:r>
      <w:bookmarkEnd w:id="686"/>
      <w:bookmarkEnd w:id="687"/>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0506</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72</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21</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50</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80</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40</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54</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23</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11</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42</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E01BB9" w:rsidRPr="00E01BB9" w:rsidRDefault="00E01BB9" w:rsidP="00E01BB9"/>
    <w:p w:rsidR="00B25CAA" w:rsidRDefault="00B25CAA" w:rsidP="00D80E36">
      <w:pPr>
        <w:pStyle w:val="Caption"/>
      </w:pPr>
      <w:bookmarkStart w:id="688" w:name="_Toc228588274"/>
      <w:bookmarkStart w:id="689" w:name="_Toc303179555"/>
      <w:bookmarkStart w:id="690" w:name="_Toc399264980"/>
      <w:r w:rsidRPr="00A40CD0">
        <w:t xml:space="preserve">Table </w:t>
      </w:r>
      <w:r w:rsidR="00EA2F38">
        <w:fldChar w:fldCharType="begin"/>
      </w:r>
      <w:r w:rsidR="00933C8B">
        <w:instrText xml:space="preserve"> SEQ Table \* ARABIC </w:instrText>
      </w:r>
      <w:r w:rsidR="00EA2F38">
        <w:fldChar w:fldCharType="separate"/>
      </w:r>
      <w:r w:rsidR="00B11F3B">
        <w:rPr>
          <w:noProof/>
        </w:rPr>
        <w:t>51</w:t>
      </w:r>
      <w:r w:rsidR="00EA2F38">
        <w:fldChar w:fldCharType="end"/>
      </w:r>
      <w:r w:rsidRPr="00A40CD0">
        <w:t xml:space="preserve">. Summary of the exceedance of mean annual Chlorophyll-a and non-algal particulate matter (as a measure of Total Suspended Solids) for the 2006/07 reporting period (1 May 2006 – 30 April 2007) </w:t>
      </w:r>
      <w:bookmarkEnd w:id="688"/>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689"/>
      <w:bookmarkEnd w:id="690"/>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0607</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39</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84</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90</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49</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53</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54</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35</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41</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34</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C8171E" w:rsidRPr="00C8171E" w:rsidRDefault="00C8171E" w:rsidP="00C8171E"/>
    <w:p w:rsidR="00B25CAA" w:rsidRDefault="00B25CAA" w:rsidP="00D80E36">
      <w:pPr>
        <w:pStyle w:val="Caption"/>
      </w:pPr>
      <w:bookmarkStart w:id="691" w:name="_Toc228588275"/>
      <w:bookmarkStart w:id="692" w:name="_Toc303179556"/>
      <w:bookmarkStart w:id="693" w:name="_Toc399264981"/>
      <w:r w:rsidRPr="00A40CD0">
        <w:lastRenderedPageBreak/>
        <w:t xml:space="preserve">Table </w:t>
      </w:r>
      <w:r w:rsidR="00EA2F38">
        <w:fldChar w:fldCharType="begin"/>
      </w:r>
      <w:r w:rsidR="00933C8B">
        <w:instrText xml:space="preserve"> SEQ Table \* ARABIC </w:instrText>
      </w:r>
      <w:r w:rsidR="00EA2F38">
        <w:fldChar w:fldCharType="separate"/>
      </w:r>
      <w:r w:rsidR="00B11F3B">
        <w:rPr>
          <w:noProof/>
        </w:rPr>
        <w:t>52</w:t>
      </w:r>
      <w:r w:rsidR="00EA2F38">
        <w:fldChar w:fldCharType="end"/>
      </w:r>
      <w:r w:rsidRPr="00A40CD0">
        <w:t xml:space="preserve">. Summary of the exceedance of mean annual Chlorophyll-a and non-algal particulate matter (as a measure of Total Suspended Solids) for the 2007/08 reporting period (1 May 2007 – 30 April 2008) </w:t>
      </w:r>
      <w:bookmarkEnd w:id="691"/>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00503059">
        <w:t xml:space="preserve"> </w:t>
      </w:r>
      <w:r w:rsidRPr="00A40CD0">
        <w:t>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692"/>
      <w:bookmarkEnd w:id="693"/>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0708</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79</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22</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24</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58</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38</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49" w:type="pct"/>
            <w:tcBorders>
              <w:bottom w:val="single" w:sz="2" w:space="0" w:color="000000"/>
            </w:tcBorders>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59</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C8171E" w:rsidRPr="00C8171E" w:rsidRDefault="00C8171E" w:rsidP="00C8171E"/>
    <w:p w:rsidR="00B25CAA" w:rsidRPr="00A40CD0" w:rsidRDefault="00B25CAA" w:rsidP="00D80E36">
      <w:pPr>
        <w:pStyle w:val="Caption"/>
      </w:pPr>
      <w:bookmarkStart w:id="694" w:name="_Toc228588276"/>
      <w:bookmarkStart w:id="695" w:name="_Toc303179557"/>
      <w:bookmarkStart w:id="696" w:name="_Toc399264982"/>
      <w:r w:rsidRPr="00A40CD0">
        <w:t xml:space="preserve">Table </w:t>
      </w:r>
      <w:r w:rsidR="00EA2F38">
        <w:fldChar w:fldCharType="begin"/>
      </w:r>
      <w:r w:rsidR="00933C8B">
        <w:instrText xml:space="preserve"> SEQ Table \* ARABIC </w:instrText>
      </w:r>
      <w:r w:rsidR="00EA2F38">
        <w:fldChar w:fldCharType="separate"/>
      </w:r>
      <w:r w:rsidR="00B11F3B">
        <w:rPr>
          <w:noProof/>
        </w:rPr>
        <w:t>53</w:t>
      </w:r>
      <w:r w:rsidR="00EA2F38">
        <w:fldChar w:fldCharType="end"/>
      </w:r>
      <w:r w:rsidRPr="00A40CD0">
        <w:t xml:space="preserve">. Summary of the exceedance of mean annual Chlorophyll-a and non-algal particulate matter (as a measure of Total Suspended Solids) for the 2008/09 reporting period (1 May 2008 – 30 April 2009) </w:t>
      </w:r>
      <w:bookmarkEnd w:id="694"/>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 Caution should be used when interpreting the results for the Cape York and Burnett Mary regions as limited field information was used for the parameterization and validation on the remote sensing retrievals.</w:t>
      </w:r>
      <w:bookmarkEnd w:id="695"/>
      <w:bookmarkEnd w:id="696"/>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0809</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18</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81</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88</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37</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61</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69</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25</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44</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24</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40</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15</w:t>
            </w:r>
          </w:p>
        </w:tc>
        <w:tc>
          <w:tcPr>
            <w:tcW w:w="449" w:type="pct"/>
            <w:tcBorders>
              <w:bottom w:val="single" w:sz="2" w:space="0" w:color="000000"/>
            </w:tcBorders>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48</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B25CAA" w:rsidRPr="00A40CD0" w:rsidRDefault="00B25CAA" w:rsidP="00D80E36">
      <w:pPr>
        <w:pStyle w:val="Caption"/>
      </w:pPr>
    </w:p>
    <w:p w:rsidR="00B25CAA" w:rsidRDefault="00B25CAA" w:rsidP="00D80E36">
      <w:pPr>
        <w:pStyle w:val="Caption"/>
      </w:pPr>
      <w:bookmarkStart w:id="697" w:name="_Toc228588277"/>
      <w:bookmarkStart w:id="698" w:name="_Toc303179558"/>
      <w:bookmarkStart w:id="699" w:name="_Toc399264983"/>
      <w:r w:rsidRPr="00A40CD0">
        <w:lastRenderedPageBreak/>
        <w:t xml:space="preserve">Table </w:t>
      </w:r>
      <w:r w:rsidR="00EA2F38">
        <w:fldChar w:fldCharType="begin"/>
      </w:r>
      <w:r w:rsidR="00933C8B">
        <w:instrText xml:space="preserve"> SEQ Table \* ARABIC </w:instrText>
      </w:r>
      <w:r w:rsidR="00EA2F38">
        <w:fldChar w:fldCharType="separate"/>
      </w:r>
      <w:r w:rsidR="00B11F3B">
        <w:rPr>
          <w:noProof/>
        </w:rPr>
        <w:t>54</w:t>
      </w:r>
      <w:r w:rsidR="00EA2F38">
        <w:fldChar w:fldCharType="end"/>
      </w:r>
      <w:r w:rsidRPr="00A40CD0">
        <w:t xml:space="preserve">. Summary of the exceedance of mean annual Chlorophyll-a and non-algal particulate matter (as a measure of Total Suspended Solids) for the 2009/10 reporting period (1 May 2009 – 30 April 2010) </w:t>
      </w:r>
      <w:bookmarkEnd w:id="697"/>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w:t>
      </w:r>
      <w:r w:rsidR="00503059">
        <w:t>.</w:t>
      </w:r>
      <w:r w:rsidR="007A6DE9" w:rsidRPr="00A40CD0">
        <w:t xml:space="preserve"> *</w:t>
      </w:r>
      <w:r w:rsidRPr="00A40CD0">
        <w:t xml:space="preserve"> Caution should be used when interpreting the results for the Cape York and Burnett Mary regions as limited field information was used for the parameterization and validation on the remote sensing retrievals.</w:t>
      </w:r>
      <w:bookmarkEnd w:id="698"/>
      <w:bookmarkEnd w:id="699"/>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0910</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14</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38</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61</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69</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29</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31</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16</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69</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64</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28</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36</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81</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C8171E" w:rsidRPr="00C8171E" w:rsidRDefault="00C8171E" w:rsidP="00C8171E"/>
    <w:p w:rsidR="00B25CAA" w:rsidRPr="00A40CD0" w:rsidRDefault="00B25CAA" w:rsidP="00D80E36">
      <w:pPr>
        <w:pStyle w:val="Caption"/>
      </w:pPr>
      <w:bookmarkStart w:id="700" w:name="_Toc228588278"/>
      <w:bookmarkStart w:id="701" w:name="_Toc303179559"/>
      <w:bookmarkStart w:id="702" w:name="_Toc399264984"/>
      <w:r w:rsidRPr="00A40CD0">
        <w:t xml:space="preserve">Table </w:t>
      </w:r>
      <w:r w:rsidR="00EA2F38">
        <w:fldChar w:fldCharType="begin"/>
      </w:r>
      <w:r w:rsidR="00933C8B">
        <w:instrText xml:space="preserve"> SEQ Table \* ARABIC </w:instrText>
      </w:r>
      <w:r w:rsidR="00EA2F38">
        <w:fldChar w:fldCharType="separate"/>
      </w:r>
      <w:r w:rsidR="00B11F3B">
        <w:rPr>
          <w:noProof/>
        </w:rPr>
        <w:t>55</w:t>
      </w:r>
      <w:r w:rsidR="00EA2F38">
        <w:fldChar w:fldCharType="end"/>
      </w:r>
      <w:r w:rsidRPr="00A40CD0">
        <w:t xml:space="preserve">. Summary of the exceedance of annual mean values of Chlorophyll-a and non-algal particulate matter (as a measure of Total Suspended Solids) for the 2010/11 reporting period (1 May 2010 – 30 April 2011) </w:t>
      </w:r>
      <w:bookmarkEnd w:id="700"/>
      <w:r w:rsidRPr="00A40CD0">
        <w:t xml:space="preserve">for the </w:t>
      </w:r>
      <w:r w:rsidR="007A6DE9">
        <w:t xml:space="preserve">Enclosed Coastal, </w:t>
      </w:r>
      <w:r w:rsidRPr="00A40CD0">
        <w:t xml:space="preserve">Open Coastal, </w:t>
      </w:r>
      <w:r w:rsidR="007A6DE9">
        <w:t xml:space="preserve">Inshore, </w:t>
      </w:r>
      <w:r w:rsidRPr="00A40CD0">
        <w:t>Mid-shelf and Offshore water bodies</w:t>
      </w:r>
      <w:r w:rsidR="007A6DE9">
        <w:t xml:space="preserve"> (EC, OC, IS, MS, OS)</w:t>
      </w:r>
      <w:r w:rsidR="007A6DE9" w:rsidRPr="00A40CD0">
        <w:t>.</w:t>
      </w:r>
      <w:r w:rsidRPr="00A40CD0">
        <w:t xml:space="preserve"> Cells are shaded in gray when more than 50% of the area of the water body exceeds the Guideline value</w:t>
      </w:r>
      <w:r w:rsidR="00503059">
        <w:t>.</w:t>
      </w:r>
      <w:r w:rsidR="007A6DE9" w:rsidRPr="00A40CD0">
        <w:t xml:space="preserve"> *</w:t>
      </w:r>
      <w:r w:rsidRPr="00A40CD0">
        <w:t xml:space="preserve"> Caution should be used when interpreting the results for the Cape York and Burnett Mary regions as limited field information was used for the parameterization and validation on the remote sensing retrievals.</w:t>
      </w:r>
      <w:bookmarkEnd w:id="701"/>
      <w:bookmarkEnd w:id="702"/>
    </w:p>
    <w:tbl>
      <w:tblPr>
        <w:tblW w:w="5000" w:type="pct"/>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33"/>
        <w:gridCol w:w="833"/>
        <w:gridCol w:w="833"/>
        <w:gridCol w:w="833"/>
        <w:gridCol w:w="833"/>
        <w:gridCol w:w="833"/>
        <w:gridCol w:w="839"/>
        <w:gridCol w:w="839"/>
        <w:gridCol w:w="839"/>
        <w:gridCol w:w="837"/>
        <w:gridCol w:w="834"/>
      </w:tblGrid>
      <w:tr w:rsidR="00C8171E" w:rsidRPr="00C8171E" w:rsidTr="00C8171E">
        <w:trPr>
          <w:trHeight w:val="280"/>
        </w:trPr>
        <w:tc>
          <w:tcPr>
            <w:tcW w:w="502" w:type="pct"/>
            <w:shd w:val="clear" w:color="000000" w:fill="FFFFFF"/>
            <w:noWrap/>
            <w:vAlign w:val="bottom"/>
            <w:hideMark/>
          </w:tcPr>
          <w:p w:rsidR="00C8171E" w:rsidRPr="00C8171E" w:rsidRDefault="00C8171E" w:rsidP="00C8171E">
            <w:pPr>
              <w:rPr>
                <w:rFonts w:ascii="Times New Roman" w:hAnsi="Times New Roman"/>
              </w:rPr>
            </w:pPr>
          </w:p>
        </w:tc>
        <w:tc>
          <w:tcPr>
            <w:tcW w:w="2243"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 xml:space="preserve">Chlorophyll-a: </w:t>
            </w:r>
            <w:r w:rsidRPr="00C8171E">
              <w:rPr>
                <w:rFonts w:ascii="Times New Roman" w:hAnsi="Times New Roman"/>
                <w:szCs w:val="22"/>
              </w:rPr>
              <w:br/>
              <w:t>Relative area (%) of the water body where the annual mean value exceeds the WQ Guideline value</w:t>
            </w:r>
          </w:p>
        </w:tc>
        <w:tc>
          <w:tcPr>
            <w:tcW w:w="2255" w:type="pct"/>
            <w:gridSpan w:val="5"/>
            <w:shd w:val="clear" w:color="000000" w:fill="FFFFFF"/>
            <w:noWrap/>
            <w:vAlign w:val="center"/>
            <w:hideMark/>
          </w:tcPr>
          <w:p w:rsidR="00C8171E" w:rsidRPr="00C8171E" w:rsidRDefault="00C8171E" w:rsidP="00C8171E">
            <w:pPr>
              <w:rPr>
                <w:rFonts w:ascii="Times New Roman" w:hAnsi="Times New Roman"/>
              </w:rPr>
            </w:pPr>
            <w:r w:rsidRPr="00C8171E">
              <w:rPr>
                <w:rFonts w:ascii="Times New Roman" w:hAnsi="Times New Roman"/>
                <w:szCs w:val="22"/>
              </w:rPr>
              <w:t>Total Suspended Solids:</w:t>
            </w:r>
            <w:r w:rsidRPr="00C8171E">
              <w:rPr>
                <w:rFonts w:ascii="Times New Roman" w:hAnsi="Times New Roman"/>
                <w:szCs w:val="22"/>
              </w:rPr>
              <w:br/>
              <w:t xml:space="preserve"> Relative area (%) of the water body where the annual mean value exceeds the WQ Guideline value</w:t>
            </w:r>
          </w:p>
        </w:tc>
      </w:tr>
      <w:tr w:rsidR="00493C95" w:rsidRPr="00C8171E" w:rsidTr="00C8171E">
        <w:trPr>
          <w:trHeight w:val="280"/>
        </w:trPr>
        <w:tc>
          <w:tcPr>
            <w:tcW w:w="502" w:type="pct"/>
            <w:shd w:val="clear" w:color="000000" w:fill="FFFFFF"/>
            <w:noWrap/>
            <w:vAlign w:val="bottom"/>
            <w:hideMark/>
          </w:tcPr>
          <w:p w:rsidR="00493C95" w:rsidRPr="00C8171E" w:rsidRDefault="00493C95" w:rsidP="00C8171E">
            <w:pPr>
              <w:rPr>
                <w:rFonts w:ascii="Times New Roman" w:hAnsi="Times New Roman"/>
              </w:rPr>
            </w:pPr>
            <w:r w:rsidRPr="00C8171E">
              <w:rPr>
                <w:rFonts w:ascii="Times New Roman" w:hAnsi="Times New Roman"/>
                <w:szCs w:val="22"/>
              </w:rPr>
              <w:t>1011</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493C95">
              <w:rPr>
                <w:rFonts w:ascii="Times New Roman" w:hAnsi="Times New Roman"/>
                <w:szCs w:val="22"/>
              </w:rPr>
              <w:t>EC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EC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OC</w:t>
            </w:r>
          </w:p>
        </w:tc>
        <w:tc>
          <w:tcPr>
            <w:tcW w:w="452"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IS</w:t>
            </w:r>
          </w:p>
        </w:tc>
        <w:tc>
          <w:tcPr>
            <w:tcW w:w="451"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MS</w:t>
            </w:r>
          </w:p>
        </w:tc>
        <w:tc>
          <w:tcPr>
            <w:tcW w:w="449" w:type="pct"/>
            <w:shd w:val="clear" w:color="000000" w:fill="FFFFFF"/>
            <w:noWrap/>
            <w:vAlign w:val="bottom"/>
            <w:hideMark/>
          </w:tcPr>
          <w:p w:rsidR="00493C95" w:rsidRPr="00C8171E" w:rsidRDefault="00493C95" w:rsidP="00C8171E">
            <w:pPr>
              <w:rPr>
                <w:rFonts w:ascii="Times New Roman" w:hAnsi="Times New Roman"/>
              </w:rPr>
            </w:pPr>
            <w:r w:rsidRPr="0089567D">
              <w:rPr>
                <w:rFonts w:ascii="Times New Roman" w:hAnsi="Times New Roman"/>
                <w:szCs w:val="22"/>
              </w:rPr>
              <w:t>OS</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Cape York*</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78</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61</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Wet Tropics</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76</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94</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34</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39</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Burdekin</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69</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11</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30</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Mackay Whitsunday</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27</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63</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10</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56</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37</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40</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r>
      <w:tr w:rsidR="00C8171E" w:rsidRPr="00C8171E" w:rsidTr="00C8171E">
        <w:trPr>
          <w:trHeight w:val="280"/>
        </w:trPr>
        <w:tc>
          <w:tcPr>
            <w:tcW w:w="502" w:type="pct"/>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Fitzroy</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86</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76</w:t>
            </w:r>
          </w:p>
        </w:tc>
        <w:tc>
          <w:tcPr>
            <w:tcW w:w="449"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65</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32</w:t>
            </w:r>
          </w:p>
        </w:tc>
        <w:tc>
          <w:tcPr>
            <w:tcW w:w="452"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40</w:t>
            </w:r>
          </w:p>
        </w:tc>
        <w:tc>
          <w:tcPr>
            <w:tcW w:w="451"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w:t>
            </w:r>
          </w:p>
        </w:tc>
        <w:tc>
          <w:tcPr>
            <w:tcW w:w="449" w:type="pct"/>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r>
      <w:tr w:rsidR="00C8171E" w:rsidRPr="00C8171E" w:rsidTr="00C8171E">
        <w:trPr>
          <w:trHeight w:val="280"/>
        </w:trPr>
        <w:tc>
          <w:tcPr>
            <w:tcW w:w="502" w:type="pct"/>
            <w:tcBorders>
              <w:bottom w:val="single" w:sz="2" w:space="0" w:color="000000"/>
            </w:tcBorders>
            <w:shd w:val="clear" w:color="auto" w:fill="auto"/>
            <w:noWrap/>
            <w:hideMark/>
          </w:tcPr>
          <w:p w:rsidR="00C8171E" w:rsidRPr="00C8171E" w:rsidRDefault="00C8171E" w:rsidP="00C8171E">
            <w:pPr>
              <w:rPr>
                <w:rFonts w:ascii="Times New Roman" w:hAnsi="Times New Roman"/>
              </w:rPr>
            </w:pPr>
            <w:r w:rsidRPr="00C8171E">
              <w:rPr>
                <w:rFonts w:ascii="Times New Roman" w:hAnsi="Times New Roman"/>
                <w:szCs w:val="22"/>
              </w:rPr>
              <w:t>Burnett Mary *</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24</w:t>
            </w:r>
          </w:p>
        </w:tc>
        <w:tc>
          <w:tcPr>
            <w:tcW w:w="449" w:type="pct"/>
            <w:tcBorders>
              <w:bottom w:val="single" w:sz="2" w:space="0" w:color="000000"/>
            </w:tcBorders>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92</w:t>
            </w:r>
          </w:p>
        </w:tc>
        <w:tc>
          <w:tcPr>
            <w:tcW w:w="449" w:type="pct"/>
            <w:tcBorders>
              <w:bottom w:val="single" w:sz="2" w:space="0" w:color="000000"/>
            </w:tcBorders>
            <w:shd w:val="clear" w:color="000000" w:fill="D9D9D9"/>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78</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8</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9</w:t>
            </w:r>
          </w:p>
        </w:tc>
        <w:tc>
          <w:tcPr>
            <w:tcW w:w="452"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7</w:t>
            </w:r>
          </w:p>
        </w:tc>
        <w:tc>
          <w:tcPr>
            <w:tcW w:w="451"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1</w:t>
            </w:r>
          </w:p>
        </w:tc>
        <w:tc>
          <w:tcPr>
            <w:tcW w:w="449" w:type="pct"/>
            <w:tcBorders>
              <w:bottom w:val="single" w:sz="2" w:space="0" w:color="000000"/>
            </w:tcBorders>
            <w:shd w:val="clear" w:color="auto" w:fill="auto"/>
            <w:noWrap/>
            <w:vAlign w:val="bottom"/>
            <w:hideMark/>
          </w:tcPr>
          <w:p w:rsidR="00C8171E" w:rsidRPr="00C8171E" w:rsidRDefault="00C8171E" w:rsidP="00C8171E">
            <w:pPr>
              <w:jc w:val="right"/>
              <w:rPr>
                <w:rFonts w:ascii="Times New Roman" w:hAnsi="Times New Roman"/>
              </w:rPr>
            </w:pPr>
            <w:r w:rsidRPr="00C8171E">
              <w:rPr>
                <w:rFonts w:ascii="Times New Roman" w:hAnsi="Times New Roman"/>
                <w:szCs w:val="22"/>
              </w:rPr>
              <w:t>0</w:t>
            </w:r>
          </w:p>
        </w:tc>
      </w:tr>
    </w:tbl>
    <w:p w:rsidR="000B43E0" w:rsidRDefault="000B43E0" w:rsidP="000B43E0">
      <w:pPr>
        <w:pStyle w:val="Caption"/>
        <w:keepNext/>
      </w:pPr>
      <w:bookmarkStart w:id="703" w:name="_Toc399264985"/>
      <w:r>
        <w:t xml:space="preserve">Table </w:t>
      </w:r>
      <w:fldSimple w:instr=" SEQ Table \* ARABIC ">
        <w:r w:rsidR="00B11F3B">
          <w:rPr>
            <w:noProof/>
          </w:rPr>
          <w:t>56</w:t>
        </w:r>
      </w:fldSimple>
      <w:r w:rsidR="00400D10">
        <w:t xml:space="preserve"> S</w:t>
      </w:r>
      <w:r>
        <w:t xml:space="preserve">ummary table for </w:t>
      </w:r>
      <w:r w:rsidR="00400D10" w:rsidRPr="00A40CD0">
        <w:t>Paddock to Reef marine water quality index (P2R_WQI)</w:t>
      </w:r>
      <w:r w:rsidR="00400D10">
        <w:t xml:space="preserve"> for all reporting periods</w:t>
      </w:r>
      <w:r>
        <w:t xml:space="preserve">. </w:t>
      </w:r>
      <w:r w:rsidR="00400D10" w:rsidRPr="00A40CD0">
        <w:t>Cells are shaded to reflect the colour coding of the P2R reporting sch</w:t>
      </w:r>
      <w:r w:rsidR="00400D10">
        <w:t>eme f</w:t>
      </w:r>
      <w:r w:rsidR="00400D10" w:rsidRPr="00A40CD0">
        <w:t>r</w:t>
      </w:r>
      <w:r w:rsidR="00400D10">
        <w:t>o</w:t>
      </w:r>
      <w:r w:rsidR="00400D10" w:rsidRPr="00A40CD0">
        <w:t xml:space="preserve">m red to green in </w:t>
      </w:r>
      <w:r w:rsidR="00400D10" w:rsidRPr="00A40CD0">
        <w:lastRenderedPageBreak/>
        <w:t>steps of 20%.* Caution should be used when interpreting the results for the Cape York and Burnett Mary regions as limited field information was used for the parameterization and validation on the remote sensing retrievals.</w:t>
      </w:r>
      <w:r w:rsidR="00400D10" w:rsidRPr="00715EE6">
        <w:t xml:space="preserve"> </w:t>
      </w:r>
      <w:r w:rsidR="00400D10">
        <w:t>T</w:t>
      </w:r>
      <w:r w:rsidR="00400D10" w:rsidRPr="00A40CD0">
        <w:t xml:space="preserve">he regional scores for Cape York and Burnett Mary are excluded from calculations </w:t>
      </w:r>
      <w:r w:rsidR="00400D10">
        <w:t xml:space="preserve">of the </w:t>
      </w:r>
      <w:r w:rsidR="00400D10" w:rsidRPr="00A40CD0">
        <w:t>overall GBR score for each metric.</w:t>
      </w:r>
      <w:bookmarkEnd w:id="703"/>
    </w:p>
    <w:tbl>
      <w:tblPr>
        <w:tblW w:w="5000" w:type="pct"/>
        <w:tblLook w:val="0000" w:firstRow="0" w:lastRow="0" w:firstColumn="0" w:lastColumn="0" w:noHBand="0" w:noVBand="0"/>
      </w:tblPr>
      <w:tblGrid>
        <w:gridCol w:w="1280"/>
        <w:gridCol w:w="801"/>
        <w:gridCol w:w="801"/>
        <w:gridCol w:w="801"/>
        <w:gridCol w:w="801"/>
        <w:gridCol w:w="801"/>
        <w:gridCol w:w="801"/>
        <w:gridCol w:w="801"/>
        <w:gridCol w:w="801"/>
        <w:gridCol w:w="802"/>
        <w:gridCol w:w="796"/>
      </w:tblGrid>
      <w:tr w:rsidR="000B43E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P2R_WQI</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0203</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0304</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0405</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0506</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0607</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0708</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0809</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0910</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1011</w:t>
            </w:r>
          </w:p>
        </w:tc>
        <w:tc>
          <w:tcPr>
            <w:tcW w:w="450"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1112</w:t>
            </w:r>
          </w:p>
        </w:tc>
      </w:tr>
      <w:tr w:rsidR="00BD2E5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Cape York*</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73</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56</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70</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62</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50</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70</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59</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70</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53</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62</w:t>
            </w:r>
          </w:p>
        </w:tc>
      </w:tr>
      <w:tr w:rsidR="00BD2E5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Wet Tropics</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44</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28</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41</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42</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28</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47</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38</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40</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34</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33</w:t>
            </w:r>
          </w:p>
        </w:tc>
      </w:tr>
      <w:tr w:rsidR="00BD2E5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Burdekin</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59</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54</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57</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56</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53</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51</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52</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50</w:t>
            </w:r>
          </w:p>
        </w:tc>
      </w:tr>
      <w:tr w:rsidR="00BD2E5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Mackay Whitsunday</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72</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69</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78</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79</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67</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72</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69</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69</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52</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59</w:t>
            </w:r>
          </w:p>
        </w:tc>
      </w:tr>
      <w:tr w:rsidR="00BD2E5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Fitzroy</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55</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55</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57</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57</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51</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49</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47</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41</w:t>
            </w:r>
          </w:p>
        </w:tc>
        <w:tc>
          <w:tcPr>
            <w:tcW w:w="450"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38</w:t>
            </w:r>
          </w:p>
        </w:tc>
      </w:tr>
      <w:tr w:rsidR="00BD2E50" w:rsidRPr="00BD2E50" w:rsidTr="00BD2E50">
        <w:trPr>
          <w:trHeight w:val="287"/>
        </w:trPr>
        <w:tc>
          <w:tcPr>
            <w:tcW w:w="503"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Burnett Mary *</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73</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76</w:t>
            </w:r>
          </w:p>
        </w:tc>
        <w:tc>
          <w:tcPr>
            <w:tcW w:w="450"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83</w:t>
            </w:r>
          </w:p>
        </w:tc>
        <w:tc>
          <w:tcPr>
            <w:tcW w:w="450"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81</w:t>
            </w:r>
          </w:p>
        </w:tc>
        <w:tc>
          <w:tcPr>
            <w:tcW w:w="450"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82</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74</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75</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64</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57</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53</w:t>
            </w:r>
          </w:p>
        </w:tc>
      </w:tr>
      <w:tr w:rsidR="000B43E0" w:rsidRPr="00BD2E50" w:rsidTr="00BD2E50">
        <w:trPr>
          <w:trHeight w:val="301"/>
        </w:trPr>
        <w:tc>
          <w:tcPr>
            <w:tcW w:w="503"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GBR</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59</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55</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61</w:t>
            </w:r>
          </w:p>
        </w:tc>
        <w:tc>
          <w:tcPr>
            <w:tcW w:w="450"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61</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56</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58</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54</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53</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45</w:t>
            </w:r>
          </w:p>
        </w:tc>
        <w:tc>
          <w:tcPr>
            <w:tcW w:w="450"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46</w:t>
            </w:r>
          </w:p>
        </w:tc>
      </w:tr>
    </w:tbl>
    <w:p w:rsidR="000B43E0" w:rsidRDefault="000B43E0" w:rsidP="000B43E0">
      <w:pPr>
        <w:pStyle w:val="Caption"/>
        <w:keepNext/>
      </w:pPr>
      <w:bookmarkStart w:id="704" w:name="_Toc399264986"/>
      <w:r>
        <w:t xml:space="preserve">Table </w:t>
      </w:r>
      <w:fldSimple w:instr=" SEQ Table \* ARABIC ">
        <w:r w:rsidR="00B11F3B">
          <w:rPr>
            <w:noProof/>
          </w:rPr>
          <w:t>57</w:t>
        </w:r>
      </w:fldSimple>
      <w:r w:rsidR="00400D10">
        <w:t xml:space="preserve"> S</w:t>
      </w:r>
      <w:r>
        <w:t xml:space="preserve">ummary table </w:t>
      </w:r>
      <w:r w:rsidR="00400D10">
        <w:t xml:space="preserve">for the </w:t>
      </w:r>
      <w:r w:rsidR="00400D10" w:rsidRPr="00A40CD0">
        <w:t xml:space="preserve">Paddock to Reef marine water quality component scores (P2R_CHL and P2R_TSS) </w:t>
      </w:r>
      <w:r w:rsidR="00400D10">
        <w:t>for all reporting periods</w:t>
      </w:r>
      <w:r w:rsidR="00400D10" w:rsidRPr="00A40CD0">
        <w:t>. Cells are shaded to reflect the colour coding of the P2R reporting sch</w:t>
      </w:r>
      <w:r w:rsidR="00400D10">
        <w:t>eme f</w:t>
      </w:r>
      <w:r w:rsidR="00400D10" w:rsidRPr="00A40CD0">
        <w:t>r</w:t>
      </w:r>
      <w:r w:rsidR="00400D10">
        <w:t>o</w:t>
      </w:r>
      <w:r w:rsidR="00400D10" w:rsidRPr="00A40CD0">
        <w:t>m red to green in steps of 20%.* Caution should be used when interpreting the results for the Cape York and Burnett Mary regions as limited field information was used for the parameterization and validation on the remote sensing retrievals.</w:t>
      </w:r>
      <w:r w:rsidR="00400D10" w:rsidRPr="00715EE6">
        <w:t xml:space="preserve"> </w:t>
      </w:r>
      <w:r w:rsidR="00400D10">
        <w:t>T</w:t>
      </w:r>
      <w:r w:rsidR="00400D10" w:rsidRPr="00A40CD0">
        <w:t xml:space="preserve">he regional scores for Cape York and Burnett Mary are excluded from calculations </w:t>
      </w:r>
      <w:r w:rsidR="00400D10">
        <w:t xml:space="preserve">of the </w:t>
      </w:r>
      <w:r w:rsidR="00400D10" w:rsidRPr="00A40CD0">
        <w:t>overall GBR score for each metric.</w:t>
      </w:r>
      <w:bookmarkEnd w:id="704"/>
    </w:p>
    <w:tbl>
      <w:tblPr>
        <w:tblW w:w="5000" w:type="pct"/>
        <w:tblLook w:val="0000" w:firstRow="0" w:lastRow="0" w:firstColumn="0" w:lastColumn="0" w:noHBand="0" w:noVBand="0"/>
      </w:tblPr>
      <w:tblGrid>
        <w:gridCol w:w="1280"/>
        <w:gridCol w:w="801"/>
        <w:gridCol w:w="801"/>
        <w:gridCol w:w="801"/>
        <w:gridCol w:w="801"/>
        <w:gridCol w:w="801"/>
        <w:gridCol w:w="802"/>
        <w:gridCol w:w="802"/>
        <w:gridCol w:w="802"/>
        <w:gridCol w:w="802"/>
        <w:gridCol w:w="793"/>
      </w:tblGrid>
      <w:tr w:rsidR="000B43E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P2R_CHL</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0203</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0304</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0405</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0506</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0607</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0708</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0809</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0910</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1011</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1112</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Cape York*</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67</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65</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45</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57</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52</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47</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Wet Tropics</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27</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14</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23</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24</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10</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24</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13</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17</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Burdekin</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46</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44</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44</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46</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44</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39</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32</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32</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32</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34</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Mackay Whitsunday</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75</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74</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81</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81</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66</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44</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Fitzroy</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42</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48</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51</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51</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49</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40</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38</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30</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21</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19</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Burnett Mary *</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48</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55</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67</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63</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65</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50</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52</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31</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21</w:t>
            </w:r>
          </w:p>
        </w:tc>
        <w:tc>
          <w:tcPr>
            <w:tcW w:w="455" w:type="pct"/>
            <w:tcBorders>
              <w:top w:val="single" w:sz="2" w:space="0" w:color="000000"/>
              <w:left w:val="single" w:sz="2" w:space="0" w:color="000000"/>
              <w:bottom w:val="single" w:sz="2" w:space="0" w:color="000000"/>
              <w:right w:val="single" w:sz="2" w:space="0" w:color="000000"/>
            </w:tcBorders>
            <w:shd w:val="solid" w:color="FF0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15</w:t>
            </w:r>
          </w:p>
        </w:tc>
      </w:tr>
      <w:tr w:rsidR="000B43E0" w:rsidRPr="00BD2E50" w:rsidTr="00BD2E50">
        <w:trPr>
          <w:trHeight w:val="301"/>
        </w:trPr>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GBR</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50</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50</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54</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55</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49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46</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41</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39</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28</w:t>
            </w:r>
          </w:p>
        </w:tc>
        <w:tc>
          <w:tcPr>
            <w:tcW w:w="455" w:type="pct"/>
            <w:tcBorders>
              <w:top w:val="single" w:sz="2" w:space="0" w:color="000000"/>
              <w:left w:val="single" w:sz="2" w:space="0" w:color="000000"/>
              <w:bottom w:val="single" w:sz="2" w:space="0" w:color="000000"/>
              <w:right w:val="single" w:sz="2" w:space="0" w:color="000000"/>
            </w:tcBorders>
            <w:shd w:val="solid" w:color="FF99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32</w:t>
            </w:r>
          </w:p>
        </w:tc>
      </w:tr>
      <w:tr w:rsidR="000B43E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P2R_TSS</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0203</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0304</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0405</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0506</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0607</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0708</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0809</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0910</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1011</w:t>
            </w:r>
          </w:p>
        </w:tc>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1112</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Cape York*</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76</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78</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60</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83</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66</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82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68</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76</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Wet Tropics</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61</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42</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46</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63</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62</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60</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57</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Burdekin</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64</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71</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69</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67</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77</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74</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65</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Mackay Whitsunday</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68</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64</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75</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77</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63</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75</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72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68</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59</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60</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Fitzroy</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67</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65</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63</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64</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62</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64</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60</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58</w:t>
            </w:r>
          </w:p>
        </w:tc>
      </w:tr>
      <w:tr w:rsidR="00BD2E50" w:rsidRPr="00BD2E50" w:rsidTr="00BD2E50">
        <w:trPr>
          <w:trHeight w:val="287"/>
        </w:trPr>
        <w:tc>
          <w:tcPr>
            <w:tcW w:w="455" w:type="pct"/>
            <w:tcBorders>
              <w:top w:val="single" w:sz="2" w:space="0" w:color="000000"/>
              <w:left w:val="single" w:sz="2" w:space="0" w:color="000000"/>
              <w:bottom w:val="single" w:sz="2" w:space="0" w:color="000000"/>
              <w:right w:val="single" w:sz="2" w:space="0" w:color="000000"/>
            </w:tcBorders>
          </w:tcPr>
          <w:p w:rsidR="00BD2E50" w:rsidRPr="00BD2E50" w:rsidRDefault="00BD2E50" w:rsidP="000B43E0">
            <w:pPr>
              <w:autoSpaceDE w:val="0"/>
              <w:autoSpaceDN w:val="0"/>
              <w:adjustRightInd w:val="0"/>
              <w:rPr>
                <w:rFonts w:ascii="Times New Roman" w:hAnsi="Times New Roman"/>
                <w:color w:val="000000"/>
              </w:rPr>
            </w:pPr>
            <w:r w:rsidRPr="00BD2E50">
              <w:rPr>
                <w:rFonts w:ascii="Times New Roman" w:hAnsi="Times New Roman"/>
                <w:szCs w:val="22"/>
              </w:rPr>
              <w:t>Burnett Mary *</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98</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97</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99</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98</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99</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97</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98</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98</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93</w:t>
            </w:r>
          </w:p>
        </w:tc>
        <w:tc>
          <w:tcPr>
            <w:tcW w:w="455" w:type="pct"/>
            <w:tcBorders>
              <w:top w:val="single" w:sz="2" w:space="0" w:color="000000"/>
              <w:left w:val="single" w:sz="2" w:space="0" w:color="000000"/>
              <w:bottom w:val="single" w:sz="2" w:space="0" w:color="000000"/>
              <w:right w:val="single" w:sz="2" w:space="0" w:color="000000"/>
            </w:tcBorders>
            <w:shd w:val="solid" w:color="008000" w:fill="auto"/>
          </w:tcPr>
          <w:p w:rsidR="00BD2E50" w:rsidRPr="00BD2E50" w:rsidRDefault="00BD2E50" w:rsidP="000B43E0">
            <w:pPr>
              <w:autoSpaceDE w:val="0"/>
              <w:autoSpaceDN w:val="0"/>
              <w:adjustRightInd w:val="0"/>
              <w:jc w:val="center"/>
              <w:rPr>
                <w:rFonts w:ascii="Times New Roman" w:hAnsi="Times New Roman"/>
                <w:color w:val="000000"/>
              </w:rPr>
            </w:pPr>
            <w:r w:rsidRPr="00BD2E50">
              <w:rPr>
                <w:rFonts w:ascii="Times New Roman" w:hAnsi="Times New Roman"/>
                <w:color w:val="000000"/>
                <w:szCs w:val="22"/>
              </w:rPr>
              <w:t>92</w:t>
            </w:r>
          </w:p>
        </w:tc>
      </w:tr>
      <w:tr w:rsidR="000B43E0" w:rsidRPr="00BD2E50" w:rsidTr="00BD2E50">
        <w:trPr>
          <w:trHeight w:val="301"/>
        </w:trPr>
        <w:tc>
          <w:tcPr>
            <w:tcW w:w="455" w:type="pct"/>
            <w:tcBorders>
              <w:top w:val="single" w:sz="2" w:space="0" w:color="000000"/>
              <w:left w:val="single" w:sz="2" w:space="0" w:color="000000"/>
              <w:bottom w:val="single" w:sz="2" w:space="0" w:color="000000"/>
              <w:right w:val="single" w:sz="2" w:space="0" w:color="000000"/>
            </w:tcBorders>
          </w:tcPr>
          <w:p w:rsidR="000B43E0" w:rsidRPr="00BD2E50" w:rsidRDefault="000B43E0" w:rsidP="000B43E0">
            <w:pPr>
              <w:autoSpaceDE w:val="0"/>
              <w:autoSpaceDN w:val="0"/>
              <w:adjustRightInd w:val="0"/>
              <w:rPr>
                <w:rFonts w:ascii="Times New Roman" w:hAnsi="Times New Roman"/>
                <w:color w:val="000000"/>
              </w:rPr>
            </w:pPr>
            <w:r w:rsidRPr="00BD2E50">
              <w:rPr>
                <w:rFonts w:ascii="Times New Roman" w:hAnsi="Times New Roman"/>
                <w:color w:val="000000"/>
                <w:szCs w:val="22"/>
              </w:rPr>
              <w:t>GBR</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68</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68</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68</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62</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70</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67</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66</w:t>
            </w:r>
          </w:p>
        </w:tc>
        <w:tc>
          <w:tcPr>
            <w:tcW w:w="455" w:type="pct"/>
            <w:tcBorders>
              <w:top w:val="single" w:sz="2" w:space="0" w:color="000000"/>
              <w:left w:val="single" w:sz="2" w:space="0" w:color="000000"/>
              <w:bottom w:val="single" w:sz="2" w:space="0" w:color="000000"/>
              <w:right w:val="single" w:sz="2" w:space="0" w:color="000000"/>
            </w:tcBorders>
            <w:shd w:val="solid" w:color="99CC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62</w:t>
            </w:r>
          </w:p>
        </w:tc>
        <w:tc>
          <w:tcPr>
            <w:tcW w:w="455" w:type="pct"/>
            <w:tcBorders>
              <w:top w:val="single" w:sz="2" w:space="0" w:color="000000"/>
              <w:left w:val="single" w:sz="2" w:space="0" w:color="000000"/>
              <w:bottom w:val="single" w:sz="2" w:space="0" w:color="000000"/>
              <w:right w:val="single" w:sz="2" w:space="0" w:color="000000"/>
            </w:tcBorders>
            <w:shd w:val="solid" w:color="FFFF00" w:fill="auto"/>
          </w:tcPr>
          <w:p w:rsidR="000B43E0" w:rsidRPr="00BD2E50" w:rsidRDefault="000B43E0" w:rsidP="000B43E0">
            <w:pPr>
              <w:autoSpaceDE w:val="0"/>
              <w:autoSpaceDN w:val="0"/>
              <w:adjustRightInd w:val="0"/>
              <w:jc w:val="center"/>
              <w:rPr>
                <w:rFonts w:ascii="Times New Roman" w:hAnsi="Times New Roman"/>
                <w:b/>
                <w:bCs/>
                <w:color w:val="000000"/>
              </w:rPr>
            </w:pPr>
            <w:r w:rsidRPr="00BD2E50">
              <w:rPr>
                <w:rFonts w:ascii="Times New Roman" w:hAnsi="Times New Roman"/>
                <w:b/>
                <w:bCs/>
                <w:color w:val="000000"/>
                <w:szCs w:val="22"/>
              </w:rPr>
              <w:t>60</w:t>
            </w:r>
          </w:p>
        </w:tc>
      </w:tr>
    </w:tbl>
    <w:p w:rsidR="00F32695" w:rsidRDefault="00F32695" w:rsidP="00BD2E50">
      <w:pPr>
        <w:pStyle w:val="BodyText1"/>
      </w:pPr>
    </w:p>
    <w:p w:rsidR="00B25CAA" w:rsidRPr="00A40CD0" w:rsidRDefault="00B25CAA" w:rsidP="00BD2E50">
      <w:pPr>
        <w:pStyle w:val="BodyText1"/>
      </w:pPr>
    </w:p>
    <w:sectPr w:rsidR="00B25CAA" w:rsidRPr="00A40CD0" w:rsidSect="00D80E36">
      <w:footerReference w:type="first" r:id="rId221"/>
      <w:pgSz w:w="11906" w:h="16838" w:code="9"/>
      <w:pgMar w:top="1418" w:right="1418" w:bottom="1418" w:left="1418" w:header="56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0E04" w:rsidRDefault="00730E04">
      <w:r>
        <w:separator/>
      </w:r>
    </w:p>
  </w:endnote>
  <w:endnote w:type="continuationSeparator" w:id="0">
    <w:p w:rsidR="00730E04" w:rsidRDefault="00730E04">
      <w:r>
        <w:continuationSeparator/>
      </w:r>
    </w:p>
  </w:endnote>
  <w:endnote w:type="continuationNotice" w:id="1">
    <w:p w:rsidR="00730E04" w:rsidRDefault="00730E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elvetica">
    <w:panose1 w:val="020B0604020202030204"/>
    <w:charset w:val="00"/>
    <w:family w:val="swiss"/>
    <w:pitch w:val="variable"/>
    <w:sig w:usb0="00000007" w:usb1="00000000" w:usb2="00000000" w:usb3="00000000" w:csb0="00000093" w:csb1="00000000"/>
  </w:font>
  <w:font w:name="Arial Bold">
    <w:panose1 w:val="020B07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ill Sans">
    <w:charset w:val="00"/>
    <w:family w:val="auto"/>
    <w:pitch w:val="variable"/>
    <w:sig w:usb0="80000267" w:usb1="00000000" w:usb2="00000000" w:usb3="00000000" w:csb0="000001F7" w:csb1="00000000"/>
  </w:font>
  <w:font w:name="Consolas">
    <w:panose1 w:val="020B0609020204030204"/>
    <w:charset w:val="00"/>
    <w:family w:val="modern"/>
    <w:pitch w:val="fixed"/>
    <w:sig w:usb0="E10002FF" w:usb1="4000FCFF" w:usb2="00000009" w:usb3="00000000" w:csb0="0000019F" w:csb1="00000000"/>
  </w:font>
  <w:font w:name="Palatino">
    <w:altName w:val="Book Antiqua"/>
    <w:charset w:val="00"/>
    <w:family w:val="auto"/>
    <w:pitch w:val="variable"/>
    <w:sig w:usb0="A00002FF" w:usb1="7800205A" w:usb2="14600000" w:usb3="00000000" w:csb0="00000193"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SymbolProp BT">
    <w:altName w:val="Symbol"/>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Pr="0015161D" w:rsidRDefault="000963D1" w:rsidP="00F25171">
    <w:pPr>
      <w:pStyle w:val="Footer"/>
    </w:pPr>
    <w:r w:rsidRPr="00EF4ECA">
      <w:t>Reef Rescue Marine Monitoring Program: Assessment of Terrestrial Run-off Entering the Reef and Inshore Marine Water Quality Monitoring using Earth Observation data</w:t>
    </w:r>
    <w:r>
      <w:t>.  Final Report for 2010/11</w:t>
    </w:r>
    <w:r>
      <w:tab/>
    </w:r>
    <w:r w:rsidR="00EA2F38">
      <w:fldChar w:fldCharType="begin"/>
    </w:r>
    <w:r>
      <w:instrText xml:space="preserve"> PAGE </w:instrText>
    </w:r>
    <w:r w:rsidR="00EA2F38">
      <w:fldChar w:fldCharType="separate"/>
    </w:r>
    <w:r>
      <w:rPr>
        <w:noProof/>
      </w:rPr>
      <w:t>44</w:t>
    </w:r>
    <w:r w:rsidR="00EA2F38">
      <w:rPr>
        <w:noProof/>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Pr="00227715" w:rsidRDefault="000963D1"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EA2F38">
      <w:fldChar w:fldCharType="begin"/>
    </w:r>
    <w:r>
      <w:instrText xml:space="preserve"> PAGE </w:instrText>
    </w:r>
    <w:r w:rsidR="00EA2F38">
      <w:fldChar w:fldCharType="separate"/>
    </w:r>
    <w:r w:rsidR="00313CAF">
      <w:rPr>
        <w:noProof/>
      </w:rPr>
      <w:t>152</w:t>
    </w:r>
    <w:r w:rsidR="00EA2F38">
      <w:rPr>
        <w:noProof/>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rsidP="00EF4ECA">
    <w:pPr>
      <w:pStyle w:val="CoverTitle1"/>
    </w:pPr>
    <w:r w:rsidRPr="00EF4ECA">
      <w:t>Reef Rescue Marine Monitoring Program: Assessment of Terrestrial Run-off Entering the Reef and Inshore Marine Water Quality Monitoring using Earth Observation data</w:t>
    </w:r>
    <w:r>
      <w:t>.</w:t>
    </w:r>
  </w:p>
  <w:p w:rsidR="000963D1" w:rsidRPr="00227715" w:rsidRDefault="000963D1" w:rsidP="00EF4ECA">
    <w:pPr>
      <w:pStyle w:val="CoverTitle1"/>
    </w:pPr>
    <w:r>
      <w:t xml:space="preserve"> Final Report for 2010/11</w:t>
    </w:r>
    <w:r>
      <w:tab/>
    </w:r>
    <w:r>
      <w:tab/>
    </w:r>
    <w:r>
      <w:tab/>
    </w:r>
    <w:r>
      <w:tab/>
    </w:r>
    <w:r w:rsidRPr="00227715">
      <w:tab/>
    </w:r>
    <w:r w:rsidR="00EA2F38">
      <w:fldChar w:fldCharType="begin"/>
    </w:r>
    <w:r>
      <w:instrText xml:space="preserve"> PAGE </w:instrText>
    </w:r>
    <w:r w:rsidR="00EA2F38">
      <w:fldChar w:fldCharType="separate"/>
    </w:r>
    <w:r w:rsidR="009413D9">
      <w:rPr>
        <w:noProof/>
      </w:rPr>
      <w:t>161</w:t>
    </w:r>
    <w:r w:rsidR="00EA2F38">
      <w:rPr>
        <w:noProof/>
      </w:rPr>
      <w:fldChar w:fldCharType="end"/>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Pr="00227715" w:rsidRDefault="000963D1"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EA2F38">
      <w:fldChar w:fldCharType="begin"/>
    </w:r>
    <w:r>
      <w:instrText xml:space="preserve"> PAGE </w:instrText>
    </w:r>
    <w:r w:rsidR="00EA2F38">
      <w:fldChar w:fldCharType="separate"/>
    </w:r>
    <w:r w:rsidR="00313CAF">
      <w:rPr>
        <w:noProof/>
      </w:rPr>
      <w:t>174</w:t>
    </w:r>
    <w:r w:rsidR="00EA2F38">
      <w:rPr>
        <w:noProof/>
      </w:rPr>
      <w:fldChar w:fldCharType="end"/>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Pr="001A67BD" w:rsidRDefault="000963D1" w:rsidP="001A67BD">
    <w:pPr>
      <w:rPr>
        <w:sz w:val="18"/>
      </w:rPr>
    </w:pPr>
    <w:r w:rsidRPr="001A67BD">
      <w:rPr>
        <w:sz w:val="18"/>
      </w:rPr>
      <w:t xml:space="preserve">Reef Rescue Marine Monitoring Program: Assessment of Terrestrial Run-off Entering the Reef and Inshore Marine Water Quality Monitoring using Earth Observation data. </w:t>
    </w:r>
  </w:p>
  <w:p w:rsidR="000963D1" w:rsidRPr="001A67BD" w:rsidRDefault="000963D1" w:rsidP="001A67BD">
    <w:pPr>
      <w:rPr>
        <w:sz w:val="18"/>
      </w:rPr>
    </w:pPr>
    <w:r w:rsidRPr="001A67BD">
      <w:rPr>
        <w:sz w:val="18"/>
      </w:rPr>
      <w:t>Final Report for 2010/11</w:t>
    </w:r>
    <w:r w:rsidRPr="001A67BD">
      <w:rPr>
        <w:sz w:val="18"/>
      </w:rPr>
      <w:tab/>
    </w:r>
    <w:r w:rsidRPr="001A67BD">
      <w:rPr>
        <w:sz w:val="18"/>
      </w:rPr>
      <w:tab/>
    </w:r>
    <w:r w:rsidRPr="001A67BD">
      <w:rPr>
        <w:sz w:val="18"/>
      </w:rPr>
      <w:tab/>
    </w:r>
    <w:r w:rsidRPr="001A67BD">
      <w:rPr>
        <w:sz w:val="18"/>
      </w:rPr>
      <w:tab/>
    </w:r>
    <w:r w:rsidRPr="001A67BD">
      <w:rPr>
        <w:sz w:val="18"/>
      </w:rPr>
      <w:tab/>
    </w:r>
    <w:r w:rsidR="00EA2F38" w:rsidRPr="001A67BD">
      <w:rPr>
        <w:sz w:val="18"/>
      </w:rPr>
      <w:fldChar w:fldCharType="begin"/>
    </w:r>
    <w:r w:rsidRPr="001A67BD">
      <w:rPr>
        <w:sz w:val="18"/>
      </w:rPr>
      <w:instrText xml:space="preserve"> PAGE </w:instrText>
    </w:r>
    <w:r w:rsidR="00EA2F38" w:rsidRPr="001A67BD">
      <w:rPr>
        <w:sz w:val="18"/>
      </w:rPr>
      <w:fldChar w:fldCharType="separate"/>
    </w:r>
    <w:r w:rsidR="00313CAF">
      <w:rPr>
        <w:noProof/>
        <w:sz w:val="18"/>
      </w:rPr>
      <w:t>192</w:t>
    </w:r>
    <w:r w:rsidR="00EA2F38" w:rsidRPr="001A67BD">
      <w:rPr>
        <w:sz w:val="18"/>
      </w:rPr>
      <w:fldChar w:fldCharType="end"/>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Pr="00227715" w:rsidRDefault="000963D1" w:rsidP="00EF4ECA">
    <w:pPr>
      <w:pStyle w:val="CoverTitle1"/>
    </w:pPr>
    <w:r w:rsidRPr="00EF4ECA">
      <w:t>Reef Rescue Marine Monitoring Program: Assessment of Terrestrial Run-off Entering the Reef and Inshore Marine Water Quality Monitoring using Earth Observation data</w:t>
    </w:r>
    <w:r>
      <w:t>. Final Report for 2011/12</w:t>
    </w:r>
    <w:r>
      <w:tab/>
    </w:r>
    <w:r>
      <w:tab/>
    </w:r>
    <w:r>
      <w:tab/>
    </w:r>
    <w:r>
      <w:tab/>
    </w:r>
    <w:r w:rsidRPr="00227715">
      <w:tab/>
    </w:r>
    <w:r w:rsidR="00EA2F38">
      <w:fldChar w:fldCharType="begin"/>
    </w:r>
    <w:r>
      <w:instrText xml:space="preserve"> PAGE </w:instrText>
    </w:r>
    <w:r w:rsidR="00EA2F38">
      <w:fldChar w:fldCharType="separate"/>
    </w:r>
    <w:r w:rsidR="00313CAF">
      <w:rPr>
        <w:noProof/>
      </w:rPr>
      <w:t>34</w:t>
    </w:r>
    <w:r w:rsidR="00EA2F38">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r>
      <w:rPr>
        <w:noProof/>
      </w:rPr>
      <w:drawing>
        <wp:anchor distT="0" distB="0" distL="114300" distR="114300" simplePos="0" relativeHeight="251658240" behindDoc="1" locked="1" layoutInCell="1" allowOverlap="1">
          <wp:simplePos x="0" y="0"/>
          <wp:positionH relativeFrom="page">
            <wp:posOffset>17780</wp:posOffset>
          </wp:positionH>
          <wp:positionV relativeFrom="page">
            <wp:posOffset>6901180</wp:posOffset>
          </wp:positionV>
          <wp:extent cx="7546340" cy="1739900"/>
          <wp:effectExtent l="19050" t="0" r="0" b="0"/>
          <wp:wrapNone/>
          <wp:docPr id="98" name="Picture 18" descr="reportcover_front_bar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portcover_front_bar_col"/>
                  <pic:cNvPicPr>
                    <a:picLocks noChangeAspect="1" noChangeArrowheads="1"/>
                  </pic:cNvPicPr>
                </pic:nvPicPr>
                <pic:blipFill>
                  <a:blip r:embed="rId1"/>
                  <a:srcRect/>
                  <a:stretch>
                    <a:fillRect/>
                  </a:stretch>
                </pic:blipFill>
                <pic:spPr bwMode="auto">
                  <a:xfrm>
                    <a:off x="0" y="0"/>
                    <a:ext cx="7546340" cy="1739900"/>
                  </a:xfrm>
                  <a:prstGeom prst="rect">
                    <a:avLst/>
                  </a:prstGeom>
                  <a:noFill/>
                </pic:spPr>
              </pic:pic>
            </a:graphicData>
          </a:graphic>
        </wp:anchor>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rsidP="00F25171">
    <w:pPr>
      <w:pStyle w:val="Footer"/>
    </w:pPr>
    <w:r w:rsidRPr="00EF4ECA">
      <w:t>Reef Rescue Marine Monitoring Program: Assessment of Terrestrial Run-off Entering the Reef and Inshore Marine Water Quality Monitoring using Earth Observation data</w:t>
    </w:r>
    <w:r>
      <w:t xml:space="preserve">. </w:t>
    </w:r>
  </w:p>
  <w:p w:rsidR="000963D1" w:rsidRPr="0015161D" w:rsidRDefault="000963D1" w:rsidP="00F25171">
    <w:pPr>
      <w:pStyle w:val="Footer"/>
    </w:pPr>
    <w:r>
      <w:t xml:space="preserve"> Final Report for 2010/11</w:t>
    </w:r>
    <w:r>
      <w:tab/>
    </w:r>
    <w:r w:rsidR="00EA2F38">
      <w:fldChar w:fldCharType="begin"/>
    </w:r>
    <w:r>
      <w:instrText xml:space="preserve"> PAGE </w:instrText>
    </w:r>
    <w:r w:rsidR="00EA2F38">
      <w:fldChar w:fldCharType="separate"/>
    </w:r>
    <w:r>
      <w:rPr>
        <w:noProof/>
      </w:rPr>
      <w:t>52</w:t>
    </w:r>
    <w:r w:rsidR="00EA2F38">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rsidP="00EF4ECA">
    <w:pPr>
      <w:pStyle w:val="CoverTitle1"/>
    </w:pPr>
    <w:r w:rsidRPr="00EF4ECA">
      <w:t>Reef Rescue Marine Monitoring Program: Assessment of Terrestrial Run-off Entering the Reef and Inshore Marine Water Quality Monitoring using Earth Observation data</w:t>
    </w:r>
    <w:r>
      <w:t xml:space="preserve">. </w:t>
    </w:r>
  </w:p>
  <w:p w:rsidR="000963D1" w:rsidRPr="00227715" w:rsidRDefault="000963D1" w:rsidP="00EF4ECA">
    <w:pPr>
      <w:pStyle w:val="CoverTitle1"/>
    </w:pPr>
    <w:r>
      <w:t>Final Report for 2010/11</w:t>
    </w:r>
    <w:r>
      <w:tab/>
    </w:r>
    <w:r>
      <w:tab/>
    </w:r>
    <w:r>
      <w:tab/>
    </w:r>
    <w:r>
      <w:tab/>
    </w:r>
    <w:r w:rsidRPr="00227715">
      <w:tab/>
    </w:r>
    <w:r w:rsidR="00EA2F38">
      <w:fldChar w:fldCharType="begin"/>
    </w:r>
    <w:r>
      <w:instrText xml:space="preserve"> PAGE </w:instrText>
    </w:r>
    <w:r w:rsidR="00EA2F38">
      <w:fldChar w:fldCharType="separate"/>
    </w:r>
    <w:r w:rsidR="009413D9">
      <w:rPr>
        <w:noProof/>
      </w:rPr>
      <w:t>85</w:t>
    </w:r>
    <w:r w:rsidR="00EA2F38">
      <w:rPr>
        <w:noProof/>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rsidP="00F25171">
    <w:pPr>
      <w:pStyle w:val="Footer"/>
    </w:pPr>
    <w:r w:rsidRPr="00EF4ECA">
      <w:t>Reef Rescue Marine Monitoring Program: Assessment of Terrestrial Run-off Entering the Reef and Inshore Marine Water Quality Monitoring using Earth Observation data</w:t>
    </w:r>
    <w:r>
      <w:t xml:space="preserve">. </w:t>
    </w:r>
  </w:p>
  <w:p w:rsidR="000963D1" w:rsidRPr="0015161D" w:rsidRDefault="000963D1" w:rsidP="00F25171">
    <w:pPr>
      <w:pStyle w:val="Footer"/>
    </w:pPr>
    <w:r>
      <w:t xml:space="preserve"> Final Report for 2010/11</w:t>
    </w:r>
    <w:r>
      <w:tab/>
    </w:r>
    <w:r w:rsidR="00EA2F38">
      <w:fldChar w:fldCharType="begin"/>
    </w:r>
    <w:r>
      <w:instrText xml:space="preserve"> PAGE </w:instrText>
    </w:r>
    <w:r w:rsidR="00EA2F38">
      <w:fldChar w:fldCharType="separate"/>
    </w:r>
    <w:r>
      <w:rPr>
        <w:noProof/>
      </w:rPr>
      <w:t>146</w:t>
    </w:r>
    <w:r w:rsidR="00EA2F38">
      <w:rPr>
        <w:noProof/>
      </w:rP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Pr="00227715" w:rsidRDefault="000963D1" w:rsidP="00EF4ECA">
    <w:pPr>
      <w:pStyle w:val="CoverTitle1"/>
    </w:pPr>
    <w:r w:rsidRPr="00EF4ECA">
      <w:t>Reef Rescue Marine Monitoring Program: Assessment of Terrestrial Run-off Entering the Reef and Inshore Marine Water Quality Monitoring using Earth Observation data</w:t>
    </w:r>
    <w:r>
      <w:t>. Final Report for 2010/11</w:t>
    </w:r>
    <w:r>
      <w:tab/>
    </w:r>
    <w:r>
      <w:tab/>
    </w:r>
    <w:r>
      <w:tab/>
    </w:r>
    <w:r>
      <w:tab/>
    </w:r>
    <w:r w:rsidRPr="00227715">
      <w:tab/>
    </w:r>
    <w:r w:rsidR="00EA2F38">
      <w:fldChar w:fldCharType="begin"/>
    </w:r>
    <w:r>
      <w:instrText xml:space="preserve"> PAGE </w:instrText>
    </w:r>
    <w:r w:rsidR="00EA2F38">
      <w:fldChar w:fldCharType="separate"/>
    </w:r>
    <w:r w:rsidR="00313CAF">
      <w:rPr>
        <w:noProof/>
      </w:rPr>
      <w:t>92</w:t>
    </w:r>
    <w:r w:rsidR="00EA2F38">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0E04" w:rsidRDefault="00730E04">
      <w:r>
        <w:separator/>
      </w:r>
    </w:p>
  </w:footnote>
  <w:footnote w:type="continuationSeparator" w:id="0">
    <w:p w:rsidR="00730E04" w:rsidRDefault="00730E04">
      <w:r>
        <w:continuationSeparator/>
      </w:r>
    </w:p>
  </w:footnote>
  <w:footnote w:type="continuationNotice" w:id="1">
    <w:p w:rsidR="00730E04" w:rsidRDefault="00730E0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8A285B">
    <w:pPr>
      <w:pStyle w:val="Header"/>
    </w:pPr>
    <w:r>
      <w:rPr>
        <w:noProof/>
      </w:rPr>
      <mc:AlternateContent>
        <mc:Choice Requires="wps">
          <w:drawing>
            <wp:anchor distT="0" distB="0" distL="114300" distR="114300" simplePos="0" relativeHeight="251659264" behindDoc="1" locked="0" layoutInCell="1" allowOverlap="1">
              <wp:simplePos x="0" y="0"/>
              <wp:positionH relativeFrom="column">
                <wp:posOffset>-1062355</wp:posOffset>
              </wp:positionH>
              <wp:positionV relativeFrom="paragraph">
                <wp:posOffset>3683635</wp:posOffset>
              </wp:positionV>
              <wp:extent cx="6743700" cy="3086100"/>
              <wp:effectExtent l="0" t="0" r="19050" b="19050"/>
              <wp:wrapNone/>
              <wp:docPr id="21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3700" cy="3086100"/>
                      </a:xfrm>
                      <a:prstGeom prst="rect">
                        <a:avLst/>
                      </a:prstGeom>
                      <a:solidFill>
                        <a:srgbClr val="FFFFFF"/>
                      </a:solidFill>
                      <a:ln w="9525">
                        <a:solidFill>
                          <a:srgbClr val="FF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83.65pt;margin-top:290.05pt;width:531pt;height:24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" strokecolor="red"/>
          </w:pict>
        </mc:Fallback>
      </mc:AlternateContent>
    </w:r>
    <w:r w:rsidR="000963D1">
      <w:rPr>
        <w:noProof/>
      </w:rPr>
      <w:drawing>
        <wp:anchor distT="0" distB="0" distL="114300" distR="114300" simplePos="0" relativeHeight="251657216" behindDoc="0" locked="1" layoutInCell="1" allowOverlap="1">
          <wp:simplePos x="0" y="0"/>
          <wp:positionH relativeFrom="page">
            <wp:posOffset>0</wp:posOffset>
          </wp:positionH>
          <wp:positionV relativeFrom="page">
            <wp:posOffset>0</wp:posOffset>
          </wp:positionV>
          <wp:extent cx="1784350" cy="10748645"/>
          <wp:effectExtent l="19050" t="0" r="6350" b="0"/>
          <wp:wrapNone/>
          <wp:docPr id="96" name="Picture 17" descr="reportcover_front_lines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portcover_front_lines_col"/>
                  <pic:cNvPicPr>
                    <a:picLocks noChangeAspect="1" noChangeArrowheads="1"/>
                  </pic:cNvPicPr>
                </pic:nvPicPr>
                <pic:blipFill>
                  <a:blip r:embed="rId1"/>
                  <a:srcRect/>
                  <a:stretch>
                    <a:fillRect/>
                  </a:stretch>
                </pic:blipFill>
                <pic:spPr bwMode="auto">
                  <a:xfrm>
                    <a:off x="0" y="0"/>
                    <a:ext cx="1784350" cy="10748645"/>
                  </a:xfrm>
                  <a:prstGeom prst="rect">
                    <a:avLst/>
                  </a:prstGeom>
                  <a:noFill/>
                </pic:spPr>
              </pic:pic>
            </a:graphicData>
          </a:graphic>
        </wp:anchor>
      </w:drawing>
    </w:r>
    <w:r w:rsidR="000963D1">
      <w:rPr>
        <w:noProof/>
      </w:rPr>
      <w:drawing>
        <wp:anchor distT="0" distB="0" distL="114300" distR="114300" simplePos="0" relativeHeight="251656192" behindDoc="1" locked="1" layoutInCell="1" allowOverlap="1">
          <wp:simplePos x="0" y="0"/>
          <wp:positionH relativeFrom="page">
            <wp:posOffset>6156960</wp:posOffset>
          </wp:positionH>
          <wp:positionV relativeFrom="page">
            <wp:posOffset>644525</wp:posOffset>
          </wp:positionV>
          <wp:extent cx="682625" cy="827405"/>
          <wp:effectExtent l="19050" t="0" r="3175" b="0"/>
          <wp:wrapThrough wrapText="bothSides">
            <wp:wrapPolygon edited="0">
              <wp:start x="7233" y="497"/>
              <wp:lineTo x="3617" y="1989"/>
              <wp:lineTo x="-603" y="5968"/>
              <wp:lineTo x="-603" y="10444"/>
              <wp:lineTo x="4220" y="16411"/>
              <wp:lineTo x="1206" y="19893"/>
              <wp:lineTo x="19892" y="19893"/>
              <wp:lineTo x="21098" y="19395"/>
              <wp:lineTo x="17481" y="16411"/>
              <wp:lineTo x="21700" y="10941"/>
              <wp:lineTo x="21700" y="5968"/>
              <wp:lineTo x="17481" y="1989"/>
              <wp:lineTo x="13864" y="497"/>
              <wp:lineTo x="7233" y="497"/>
            </wp:wrapPolygon>
          </wp:wrapThrough>
          <wp:docPr id="97" name="Picture 10" descr="reportcover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portcover_logo"/>
                  <pic:cNvPicPr>
                    <a:picLocks noChangeAspect="1" noChangeArrowheads="1"/>
                  </pic:cNvPicPr>
                </pic:nvPicPr>
                <pic:blipFill>
                  <a:blip r:embed="rId2"/>
                  <a:srcRect/>
                  <a:stretch>
                    <a:fillRect/>
                  </a:stretch>
                </pic:blipFill>
                <pic:spPr bwMode="auto">
                  <a:xfrm>
                    <a:off x="0" y="0"/>
                    <a:ext cx="682625" cy="827405"/>
                  </a:xfrm>
                  <a:prstGeom prst="rect">
                    <a:avLst/>
                  </a:prstGeom>
                  <a:noFill/>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D1" w:rsidRDefault="000963D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28C69FAC"/>
    <w:lvl w:ilvl="0">
      <w:start w:val="1"/>
      <w:numFmt w:val="bullet"/>
      <w:lvlText w:val=""/>
      <w:lvlJc w:val="left"/>
      <w:pPr>
        <w:tabs>
          <w:tab w:val="num" w:pos="643"/>
        </w:tabs>
        <w:ind w:left="643" w:hanging="360"/>
      </w:pPr>
      <w:rPr>
        <w:rFonts w:ascii="Symbol" w:hAnsi="Symbol" w:hint="default"/>
      </w:rPr>
    </w:lvl>
  </w:abstractNum>
  <w:abstractNum w:abstractNumId="1">
    <w:nsid w:val="FFFFFF89"/>
    <w:multiLevelType w:val="singleLevel"/>
    <w:tmpl w:val="D7267486"/>
    <w:lvl w:ilvl="0">
      <w:start w:val="1"/>
      <w:numFmt w:val="bullet"/>
      <w:pStyle w:val="ListBullet2"/>
      <w:lvlText w:val=""/>
      <w:lvlJc w:val="left"/>
      <w:pPr>
        <w:tabs>
          <w:tab w:val="num" w:pos="360"/>
        </w:tabs>
        <w:ind w:left="360" w:hanging="360"/>
      </w:pPr>
      <w:rPr>
        <w:rFonts w:ascii="Symbol" w:hAnsi="Symbol" w:hint="default"/>
      </w:rPr>
    </w:lvl>
  </w:abstractNum>
  <w:abstractNum w:abstractNumId="2">
    <w:nsid w:val="FFFFFFFE"/>
    <w:multiLevelType w:val="singleLevel"/>
    <w:tmpl w:val="A17464F8"/>
    <w:lvl w:ilvl="0">
      <w:numFmt w:val="decimal"/>
      <w:pStyle w:val="Dot1"/>
      <w:lvlText w:val="*"/>
      <w:lvlJc w:val="left"/>
      <w:rPr>
        <w:rFonts w:cs="Times New Roman"/>
      </w:rPr>
    </w:lvl>
  </w:abstractNum>
  <w:abstractNum w:abstractNumId="3">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AFB62CC"/>
    <w:multiLevelType w:val="hybridMultilevel"/>
    <w:tmpl w:val="07BE5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67AA6"/>
    <w:multiLevelType w:val="hybridMultilevel"/>
    <w:tmpl w:val="FC5037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49563D"/>
    <w:multiLevelType w:val="hybridMultilevel"/>
    <w:tmpl w:val="637AA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6E2DF8"/>
    <w:multiLevelType w:val="hybridMultilevel"/>
    <w:tmpl w:val="7D76A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711268"/>
    <w:multiLevelType w:val="hybridMultilevel"/>
    <w:tmpl w:val="B5449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A7E5D14"/>
    <w:multiLevelType w:val="hybridMultilevel"/>
    <w:tmpl w:val="2B86373A"/>
    <w:lvl w:ilvl="0" w:tplc="37788954">
      <w:start w:val="1"/>
      <w:numFmt w:val="bullet"/>
      <w:lvlText w:val=""/>
      <w:lvlJc w:val="left"/>
      <w:pPr>
        <w:ind w:left="720" w:hanging="360"/>
      </w:pPr>
      <w:rPr>
        <w:rFonts w:ascii="Symbol" w:hAnsi="Symbol" w:hint="default"/>
      </w:rPr>
    </w:lvl>
    <w:lvl w:ilvl="1" w:tplc="FD346BBA" w:tentative="1">
      <w:start w:val="1"/>
      <w:numFmt w:val="bullet"/>
      <w:lvlText w:val="o"/>
      <w:lvlJc w:val="left"/>
      <w:pPr>
        <w:ind w:left="1440" w:hanging="360"/>
      </w:pPr>
      <w:rPr>
        <w:rFonts w:ascii="Courier New" w:hAnsi="Courier New" w:cs="Courier New" w:hint="default"/>
      </w:rPr>
    </w:lvl>
    <w:lvl w:ilvl="2" w:tplc="2F32041C" w:tentative="1">
      <w:start w:val="1"/>
      <w:numFmt w:val="bullet"/>
      <w:lvlText w:val=""/>
      <w:lvlJc w:val="left"/>
      <w:pPr>
        <w:ind w:left="2160" w:hanging="360"/>
      </w:pPr>
      <w:rPr>
        <w:rFonts w:ascii="Wingdings" w:hAnsi="Wingdings" w:hint="default"/>
      </w:rPr>
    </w:lvl>
    <w:lvl w:ilvl="3" w:tplc="F44C959C" w:tentative="1">
      <w:start w:val="1"/>
      <w:numFmt w:val="bullet"/>
      <w:lvlText w:val=""/>
      <w:lvlJc w:val="left"/>
      <w:pPr>
        <w:ind w:left="2880" w:hanging="360"/>
      </w:pPr>
      <w:rPr>
        <w:rFonts w:ascii="Symbol" w:hAnsi="Symbol" w:hint="default"/>
      </w:rPr>
    </w:lvl>
    <w:lvl w:ilvl="4" w:tplc="2700A656" w:tentative="1">
      <w:start w:val="1"/>
      <w:numFmt w:val="bullet"/>
      <w:lvlText w:val="o"/>
      <w:lvlJc w:val="left"/>
      <w:pPr>
        <w:ind w:left="3600" w:hanging="360"/>
      </w:pPr>
      <w:rPr>
        <w:rFonts w:ascii="Courier New" w:hAnsi="Courier New" w:cs="Courier New" w:hint="default"/>
      </w:rPr>
    </w:lvl>
    <w:lvl w:ilvl="5" w:tplc="DF043462" w:tentative="1">
      <w:start w:val="1"/>
      <w:numFmt w:val="bullet"/>
      <w:lvlText w:val=""/>
      <w:lvlJc w:val="left"/>
      <w:pPr>
        <w:ind w:left="4320" w:hanging="360"/>
      </w:pPr>
      <w:rPr>
        <w:rFonts w:ascii="Wingdings" w:hAnsi="Wingdings" w:hint="default"/>
      </w:rPr>
    </w:lvl>
    <w:lvl w:ilvl="6" w:tplc="0C22B098" w:tentative="1">
      <w:start w:val="1"/>
      <w:numFmt w:val="bullet"/>
      <w:lvlText w:val=""/>
      <w:lvlJc w:val="left"/>
      <w:pPr>
        <w:ind w:left="5040" w:hanging="360"/>
      </w:pPr>
      <w:rPr>
        <w:rFonts w:ascii="Symbol" w:hAnsi="Symbol" w:hint="default"/>
      </w:rPr>
    </w:lvl>
    <w:lvl w:ilvl="7" w:tplc="53D81F3C" w:tentative="1">
      <w:start w:val="1"/>
      <w:numFmt w:val="bullet"/>
      <w:lvlText w:val="o"/>
      <w:lvlJc w:val="left"/>
      <w:pPr>
        <w:ind w:left="5760" w:hanging="360"/>
      </w:pPr>
      <w:rPr>
        <w:rFonts w:ascii="Courier New" w:hAnsi="Courier New" w:cs="Courier New" w:hint="default"/>
      </w:rPr>
    </w:lvl>
    <w:lvl w:ilvl="8" w:tplc="BABC3C7A" w:tentative="1">
      <w:start w:val="1"/>
      <w:numFmt w:val="bullet"/>
      <w:lvlText w:val=""/>
      <w:lvlJc w:val="left"/>
      <w:pPr>
        <w:ind w:left="6480" w:hanging="360"/>
      </w:pPr>
      <w:rPr>
        <w:rFonts w:ascii="Wingdings" w:hAnsi="Wingdings" w:hint="default"/>
      </w:rPr>
    </w:lvl>
  </w:abstractNum>
  <w:abstractNum w:abstractNumId="10">
    <w:nsid w:val="2B116AA3"/>
    <w:multiLevelType w:val="hybridMultilevel"/>
    <w:tmpl w:val="8A2C3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19210A"/>
    <w:multiLevelType w:val="hybridMultilevel"/>
    <w:tmpl w:val="441AF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66D32E6"/>
    <w:multiLevelType w:val="hybridMultilevel"/>
    <w:tmpl w:val="A066F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BA0693"/>
    <w:multiLevelType w:val="hybridMultilevel"/>
    <w:tmpl w:val="A9022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1BA460F"/>
    <w:multiLevelType w:val="hybridMultilevel"/>
    <w:tmpl w:val="B53C2F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5A2CF8"/>
    <w:multiLevelType w:val="multilevel"/>
    <w:tmpl w:val="DCB249B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533B48C5"/>
    <w:multiLevelType w:val="hybridMultilevel"/>
    <w:tmpl w:val="B4883B2E"/>
    <w:lvl w:ilvl="0" w:tplc="80D63158">
      <w:start w:val="1"/>
      <w:numFmt w:val="decimal"/>
      <w:lvlText w:val="%1."/>
      <w:lvlJc w:val="left"/>
      <w:pPr>
        <w:tabs>
          <w:tab w:val="num" w:pos="1080"/>
        </w:tabs>
        <w:ind w:left="1080" w:hanging="360"/>
      </w:pPr>
      <w:rPr>
        <w:rFonts w:cs="Times New Roman" w:hint="default"/>
      </w:rPr>
    </w:lvl>
    <w:lvl w:ilvl="1" w:tplc="596A8D06" w:tentative="1">
      <w:start w:val="1"/>
      <w:numFmt w:val="lowerLetter"/>
      <w:lvlText w:val="%2."/>
      <w:lvlJc w:val="left"/>
      <w:pPr>
        <w:tabs>
          <w:tab w:val="num" w:pos="1800"/>
        </w:tabs>
        <w:ind w:left="1800" w:hanging="360"/>
      </w:pPr>
      <w:rPr>
        <w:rFonts w:cs="Times New Roman"/>
      </w:rPr>
    </w:lvl>
    <w:lvl w:ilvl="2" w:tplc="96303FB8" w:tentative="1">
      <w:start w:val="1"/>
      <w:numFmt w:val="lowerRoman"/>
      <w:lvlText w:val="%3."/>
      <w:lvlJc w:val="right"/>
      <w:pPr>
        <w:tabs>
          <w:tab w:val="num" w:pos="2520"/>
        </w:tabs>
        <w:ind w:left="2520" w:hanging="180"/>
      </w:pPr>
      <w:rPr>
        <w:rFonts w:cs="Times New Roman"/>
      </w:rPr>
    </w:lvl>
    <w:lvl w:ilvl="3" w:tplc="F0385D34" w:tentative="1">
      <w:start w:val="1"/>
      <w:numFmt w:val="decimal"/>
      <w:lvlText w:val="%4."/>
      <w:lvlJc w:val="left"/>
      <w:pPr>
        <w:tabs>
          <w:tab w:val="num" w:pos="3240"/>
        </w:tabs>
        <w:ind w:left="3240" w:hanging="360"/>
      </w:pPr>
      <w:rPr>
        <w:rFonts w:cs="Times New Roman"/>
      </w:rPr>
    </w:lvl>
    <w:lvl w:ilvl="4" w:tplc="ED88361E" w:tentative="1">
      <w:start w:val="1"/>
      <w:numFmt w:val="lowerLetter"/>
      <w:lvlText w:val="%5."/>
      <w:lvlJc w:val="left"/>
      <w:pPr>
        <w:tabs>
          <w:tab w:val="num" w:pos="3960"/>
        </w:tabs>
        <w:ind w:left="3960" w:hanging="360"/>
      </w:pPr>
      <w:rPr>
        <w:rFonts w:cs="Times New Roman"/>
      </w:rPr>
    </w:lvl>
    <w:lvl w:ilvl="5" w:tplc="6A5CCD80" w:tentative="1">
      <w:start w:val="1"/>
      <w:numFmt w:val="lowerRoman"/>
      <w:lvlText w:val="%6."/>
      <w:lvlJc w:val="right"/>
      <w:pPr>
        <w:tabs>
          <w:tab w:val="num" w:pos="4680"/>
        </w:tabs>
        <w:ind w:left="4680" w:hanging="180"/>
      </w:pPr>
      <w:rPr>
        <w:rFonts w:cs="Times New Roman"/>
      </w:rPr>
    </w:lvl>
    <w:lvl w:ilvl="6" w:tplc="37F2BA22" w:tentative="1">
      <w:start w:val="1"/>
      <w:numFmt w:val="decimal"/>
      <w:lvlText w:val="%7."/>
      <w:lvlJc w:val="left"/>
      <w:pPr>
        <w:tabs>
          <w:tab w:val="num" w:pos="5400"/>
        </w:tabs>
        <w:ind w:left="5400" w:hanging="360"/>
      </w:pPr>
      <w:rPr>
        <w:rFonts w:cs="Times New Roman"/>
      </w:rPr>
    </w:lvl>
    <w:lvl w:ilvl="7" w:tplc="4BB6F07C" w:tentative="1">
      <w:start w:val="1"/>
      <w:numFmt w:val="lowerLetter"/>
      <w:lvlText w:val="%8."/>
      <w:lvlJc w:val="left"/>
      <w:pPr>
        <w:tabs>
          <w:tab w:val="num" w:pos="6120"/>
        </w:tabs>
        <w:ind w:left="6120" w:hanging="360"/>
      </w:pPr>
      <w:rPr>
        <w:rFonts w:cs="Times New Roman"/>
      </w:rPr>
    </w:lvl>
    <w:lvl w:ilvl="8" w:tplc="7F789BAA" w:tentative="1">
      <w:start w:val="1"/>
      <w:numFmt w:val="lowerRoman"/>
      <w:lvlText w:val="%9."/>
      <w:lvlJc w:val="right"/>
      <w:pPr>
        <w:tabs>
          <w:tab w:val="num" w:pos="6840"/>
        </w:tabs>
        <w:ind w:left="6840" w:hanging="180"/>
      </w:pPr>
      <w:rPr>
        <w:rFonts w:cs="Times New Roman"/>
      </w:rPr>
    </w:lvl>
  </w:abstractNum>
  <w:abstractNum w:abstractNumId="17">
    <w:nsid w:val="59B71C09"/>
    <w:multiLevelType w:val="hybridMultilevel"/>
    <w:tmpl w:val="5E6E1FEE"/>
    <w:lvl w:ilvl="0" w:tplc="A87AD44C">
      <w:start w:val="1"/>
      <w:numFmt w:val="bullet"/>
      <w:lvlText w:val=""/>
      <w:lvlJc w:val="left"/>
      <w:pPr>
        <w:ind w:left="720" w:hanging="360"/>
      </w:pPr>
      <w:rPr>
        <w:rFonts w:ascii="Symbol" w:hAnsi="Symbol" w:hint="default"/>
      </w:rPr>
    </w:lvl>
    <w:lvl w:ilvl="1" w:tplc="0C090019" w:tentative="1">
      <w:start w:val="1"/>
      <w:numFmt w:val="bullet"/>
      <w:lvlText w:val="o"/>
      <w:lvlJc w:val="left"/>
      <w:pPr>
        <w:ind w:left="1440" w:hanging="360"/>
      </w:pPr>
      <w:rPr>
        <w:rFonts w:ascii="Courier New" w:hAnsi="Courier New" w:cs="Courier New" w:hint="default"/>
      </w:rPr>
    </w:lvl>
    <w:lvl w:ilvl="2" w:tplc="0C09001B" w:tentative="1">
      <w:start w:val="1"/>
      <w:numFmt w:val="bullet"/>
      <w:lvlText w:val=""/>
      <w:lvlJc w:val="left"/>
      <w:pPr>
        <w:ind w:left="2160" w:hanging="360"/>
      </w:pPr>
      <w:rPr>
        <w:rFonts w:ascii="Wingdings" w:hAnsi="Wingdings" w:hint="default"/>
      </w:rPr>
    </w:lvl>
    <w:lvl w:ilvl="3" w:tplc="0C09000F" w:tentative="1">
      <w:start w:val="1"/>
      <w:numFmt w:val="bullet"/>
      <w:lvlText w:val=""/>
      <w:lvlJc w:val="left"/>
      <w:pPr>
        <w:ind w:left="2880" w:hanging="360"/>
      </w:pPr>
      <w:rPr>
        <w:rFonts w:ascii="Symbol" w:hAnsi="Symbol" w:hint="default"/>
      </w:rPr>
    </w:lvl>
    <w:lvl w:ilvl="4" w:tplc="0C090019" w:tentative="1">
      <w:start w:val="1"/>
      <w:numFmt w:val="bullet"/>
      <w:lvlText w:val="o"/>
      <w:lvlJc w:val="left"/>
      <w:pPr>
        <w:ind w:left="3600" w:hanging="360"/>
      </w:pPr>
      <w:rPr>
        <w:rFonts w:ascii="Courier New" w:hAnsi="Courier New" w:cs="Courier New" w:hint="default"/>
      </w:rPr>
    </w:lvl>
    <w:lvl w:ilvl="5" w:tplc="0C09001B" w:tentative="1">
      <w:start w:val="1"/>
      <w:numFmt w:val="bullet"/>
      <w:lvlText w:val=""/>
      <w:lvlJc w:val="left"/>
      <w:pPr>
        <w:ind w:left="4320" w:hanging="360"/>
      </w:pPr>
      <w:rPr>
        <w:rFonts w:ascii="Wingdings" w:hAnsi="Wingdings" w:hint="default"/>
      </w:rPr>
    </w:lvl>
    <w:lvl w:ilvl="6" w:tplc="0C09000F" w:tentative="1">
      <w:start w:val="1"/>
      <w:numFmt w:val="bullet"/>
      <w:lvlText w:val=""/>
      <w:lvlJc w:val="left"/>
      <w:pPr>
        <w:ind w:left="5040" w:hanging="360"/>
      </w:pPr>
      <w:rPr>
        <w:rFonts w:ascii="Symbol" w:hAnsi="Symbol" w:hint="default"/>
      </w:rPr>
    </w:lvl>
    <w:lvl w:ilvl="7" w:tplc="0C090019" w:tentative="1">
      <w:start w:val="1"/>
      <w:numFmt w:val="bullet"/>
      <w:lvlText w:val="o"/>
      <w:lvlJc w:val="left"/>
      <w:pPr>
        <w:ind w:left="5760" w:hanging="360"/>
      </w:pPr>
      <w:rPr>
        <w:rFonts w:ascii="Courier New" w:hAnsi="Courier New" w:cs="Courier New" w:hint="default"/>
      </w:rPr>
    </w:lvl>
    <w:lvl w:ilvl="8" w:tplc="0C09001B" w:tentative="1">
      <w:start w:val="1"/>
      <w:numFmt w:val="bullet"/>
      <w:lvlText w:val=""/>
      <w:lvlJc w:val="left"/>
      <w:pPr>
        <w:ind w:left="6480" w:hanging="360"/>
      </w:pPr>
      <w:rPr>
        <w:rFonts w:ascii="Wingdings" w:hAnsi="Wingdings" w:hint="default"/>
      </w:rPr>
    </w:lvl>
  </w:abstractNum>
  <w:abstractNum w:abstractNumId="18">
    <w:nsid w:val="5E65133A"/>
    <w:multiLevelType w:val="hybridMultilevel"/>
    <w:tmpl w:val="03C4C7A4"/>
    <w:lvl w:ilvl="0" w:tplc="04090001">
      <w:start w:val="1"/>
      <w:numFmt w:val="lowerLetter"/>
      <w:lvlText w:val="(%1)"/>
      <w:lvlJc w:val="left"/>
      <w:pPr>
        <w:tabs>
          <w:tab w:val="num" w:pos="1080"/>
        </w:tabs>
        <w:ind w:left="1080" w:hanging="360"/>
      </w:pPr>
      <w:rPr>
        <w:rFonts w:cs="Times New Roman" w:hint="default"/>
      </w:rPr>
    </w:lvl>
    <w:lvl w:ilvl="1" w:tplc="04090003" w:tentative="1">
      <w:start w:val="1"/>
      <w:numFmt w:val="lowerLetter"/>
      <w:lvlText w:val="%2."/>
      <w:lvlJc w:val="left"/>
      <w:pPr>
        <w:tabs>
          <w:tab w:val="num" w:pos="1800"/>
        </w:tabs>
        <w:ind w:left="1800" w:hanging="360"/>
      </w:pPr>
      <w:rPr>
        <w:rFonts w:cs="Times New Roman"/>
      </w:rPr>
    </w:lvl>
    <w:lvl w:ilvl="2" w:tplc="04090005" w:tentative="1">
      <w:start w:val="1"/>
      <w:numFmt w:val="lowerRoman"/>
      <w:lvlText w:val="%3."/>
      <w:lvlJc w:val="right"/>
      <w:pPr>
        <w:tabs>
          <w:tab w:val="num" w:pos="2520"/>
        </w:tabs>
        <w:ind w:left="2520" w:hanging="180"/>
      </w:pPr>
      <w:rPr>
        <w:rFonts w:cs="Times New Roman"/>
      </w:rPr>
    </w:lvl>
    <w:lvl w:ilvl="3" w:tplc="04090001" w:tentative="1">
      <w:start w:val="1"/>
      <w:numFmt w:val="decimal"/>
      <w:lvlText w:val="%4."/>
      <w:lvlJc w:val="left"/>
      <w:pPr>
        <w:tabs>
          <w:tab w:val="num" w:pos="3240"/>
        </w:tabs>
        <w:ind w:left="3240" w:hanging="360"/>
      </w:pPr>
      <w:rPr>
        <w:rFonts w:cs="Times New Roman"/>
      </w:rPr>
    </w:lvl>
    <w:lvl w:ilvl="4" w:tplc="04090003" w:tentative="1">
      <w:start w:val="1"/>
      <w:numFmt w:val="lowerLetter"/>
      <w:lvlText w:val="%5."/>
      <w:lvlJc w:val="left"/>
      <w:pPr>
        <w:tabs>
          <w:tab w:val="num" w:pos="3960"/>
        </w:tabs>
        <w:ind w:left="3960" w:hanging="360"/>
      </w:pPr>
      <w:rPr>
        <w:rFonts w:cs="Times New Roman"/>
      </w:rPr>
    </w:lvl>
    <w:lvl w:ilvl="5" w:tplc="04090005" w:tentative="1">
      <w:start w:val="1"/>
      <w:numFmt w:val="lowerRoman"/>
      <w:lvlText w:val="%6."/>
      <w:lvlJc w:val="right"/>
      <w:pPr>
        <w:tabs>
          <w:tab w:val="num" w:pos="4680"/>
        </w:tabs>
        <w:ind w:left="4680" w:hanging="180"/>
      </w:pPr>
      <w:rPr>
        <w:rFonts w:cs="Times New Roman"/>
      </w:rPr>
    </w:lvl>
    <w:lvl w:ilvl="6" w:tplc="04090001" w:tentative="1">
      <w:start w:val="1"/>
      <w:numFmt w:val="decimal"/>
      <w:lvlText w:val="%7."/>
      <w:lvlJc w:val="left"/>
      <w:pPr>
        <w:tabs>
          <w:tab w:val="num" w:pos="5400"/>
        </w:tabs>
        <w:ind w:left="5400" w:hanging="360"/>
      </w:pPr>
      <w:rPr>
        <w:rFonts w:cs="Times New Roman"/>
      </w:rPr>
    </w:lvl>
    <w:lvl w:ilvl="7" w:tplc="04090003" w:tentative="1">
      <w:start w:val="1"/>
      <w:numFmt w:val="lowerLetter"/>
      <w:lvlText w:val="%8."/>
      <w:lvlJc w:val="left"/>
      <w:pPr>
        <w:tabs>
          <w:tab w:val="num" w:pos="6120"/>
        </w:tabs>
        <w:ind w:left="6120" w:hanging="360"/>
      </w:pPr>
      <w:rPr>
        <w:rFonts w:cs="Times New Roman"/>
      </w:rPr>
    </w:lvl>
    <w:lvl w:ilvl="8" w:tplc="04090005" w:tentative="1">
      <w:start w:val="1"/>
      <w:numFmt w:val="lowerRoman"/>
      <w:lvlText w:val="%9."/>
      <w:lvlJc w:val="right"/>
      <w:pPr>
        <w:tabs>
          <w:tab w:val="num" w:pos="6840"/>
        </w:tabs>
        <w:ind w:left="6840" w:hanging="180"/>
      </w:pPr>
      <w:rPr>
        <w:rFonts w:cs="Times New Roman"/>
      </w:rPr>
    </w:lvl>
  </w:abstractNum>
  <w:abstractNum w:abstractNumId="19">
    <w:nsid w:val="620F3606"/>
    <w:multiLevelType w:val="multilevel"/>
    <w:tmpl w:val="DCAC3094"/>
    <w:lvl w:ilvl="0">
      <w:start w:val="1"/>
      <w:numFmt w:val="decimal"/>
      <w:lvlText w:val="%1"/>
      <w:lvlJc w:val="left"/>
      <w:pPr>
        <w:ind w:left="432" w:hanging="432"/>
      </w:pPr>
      <w:rPr>
        <w:rFonts w:cs="Times New Roman" w:hint="default"/>
      </w:rPr>
    </w:lvl>
    <w:lvl w:ilvl="1">
      <w:start w:val="1"/>
      <w:numFmt w:val="decimal"/>
      <w:pStyle w:val="Heading2"/>
      <w:lvlText w:val="%1.%2"/>
      <w:lvlJc w:val="left"/>
      <w:pPr>
        <w:ind w:left="576" w:hanging="576"/>
      </w:pPr>
      <w:rPr>
        <w:rFonts w:cs="Times New Roman" w:hint="default"/>
      </w:rPr>
    </w:lvl>
    <w:lvl w:ilvl="2">
      <w:start w:val="1"/>
      <w:numFmt w:val="decimal"/>
      <w:pStyle w:val="Heading3"/>
      <w:lvlText w:val="%1.%2.%3"/>
      <w:lvlJc w:val="left"/>
      <w:pPr>
        <w:ind w:left="5880" w:hanging="720"/>
      </w:pPr>
      <w:rPr>
        <w:rFonts w:cs="Times New Roman" w:hint="default"/>
      </w:rPr>
    </w:lvl>
    <w:lvl w:ilvl="3">
      <w:start w:val="1"/>
      <w:numFmt w:val="decimal"/>
      <w:pStyle w:val="Heading3"/>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nsid w:val="6DBC1992"/>
    <w:multiLevelType w:val="hybridMultilevel"/>
    <w:tmpl w:val="8FD09F40"/>
    <w:lvl w:ilvl="0" w:tplc="3E665BA8">
      <w:start w:val="1"/>
      <w:numFmt w:val="bullet"/>
      <w:pStyle w:val="ListBullet"/>
      <w:lvlText w:val=""/>
      <w:lvlJc w:val="left"/>
      <w:pPr>
        <w:tabs>
          <w:tab w:val="num" w:pos="360"/>
        </w:tabs>
        <w:ind w:left="360" w:hanging="360"/>
      </w:pPr>
      <w:rPr>
        <w:rFonts w:ascii="Symbol" w:hAnsi="Symbol" w:hint="default"/>
        <w:color w:val="auto"/>
      </w:rPr>
    </w:lvl>
    <w:lvl w:ilvl="1" w:tplc="A6EAD4CE" w:tentative="1">
      <w:start w:val="1"/>
      <w:numFmt w:val="bullet"/>
      <w:lvlText w:val="o"/>
      <w:lvlJc w:val="left"/>
      <w:pPr>
        <w:tabs>
          <w:tab w:val="num" w:pos="1440"/>
        </w:tabs>
        <w:ind w:left="1440" w:hanging="360"/>
      </w:pPr>
      <w:rPr>
        <w:rFonts w:ascii="Courier New" w:hAnsi="Courier New" w:hint="default"/>
      </w:rPr>
    </w:lvl>
    <w:lvl w:ilvl="2" w:tplc="6DC0E4A4" w:tentative="1">
      <w:start w:val="1"/>
      <w:numFmt w:val="bullet"/>
      <w:lvlText w:val=""/>
      <w:lvlJc w:val="left"/>
      <w:pPr>
        <w:tabs>
          <w:tab w:val="num" w:pos="2160"/>
        </w:tabs>
        <w:ind w:left="2160" w:hanging="360"/>
      </w:pPr>
      <w:rPr>
        <w:rFonts w:ascii="Wingdings" w:hAnsi="Wingdings" w:hint="default"/>
      </w:rPr>
    </w:lvl>
    <w:lvl w:ilvl="3" w:tplc="E3B2D266" w:tentative="1">
      <w:start w:val="1"/>
      <w:numFmt w:val="bullet"/>
      <w:lvlText w:val=""/>
      <w:lvlJc w:val="left"/>
      <w:pPr>
        <w:tabs>
          <w:tab w:val="num" w:pos="2880"/>
        </w:tabs>
        <w:ind w:left="2880" w:hanging="360"/>
      </w:pPr>
      <w:rPr>
        <w:rFonts w:ascii="Symbol" w:hAnsi="Symbol" w:hint="default"/>
      </w:rPr>
    </w:lvl>
    <w:lvl w:ilvl="4" w:tplc="51A82C1A" w:tentative="1">
      <w:start w:val="1"/>
      <w:numFmt w:val="bullet"/>
      <w:lvlText w:val="o"/>
      <w:lvlJc w:val="left"/>
      <w:pPr>
        <w:tabs>
          <w:tab w:val="num" w:pos="3600"/>
        </w:tabs>
        <w:ind w:left="3600" w:hanging="360"/>
      </w:pPr>
      <w:rPr>
        <w:rFonts w:ascii="Courier New" w:hAnsi="Courier New" w:hint="default"/>
      </w:rPr>
    </w:lvl>
    <w:lvl w:ilvl="5" w:tplc="272E7CFE" w:tentative="1">
      <w:start w:val="1"/>
      <w:numFmt w:val="bullet"/>
      <w:lvlText w:val=""/>
      <w:lvlJc w:val="left"/>
      <w:pPr>
        <w:tabs>
          <w:tab w:val="num" w:pos="4320"/>
        </w:tabs>
        <w:ind w:left="4320" w:hanging="360"/>
      </w:pPr>
      <w:rPr>
        <w:rFonts w:ascii="Wingdings" w:hAnsi="Wingdings" w:hint="default"/>
      </w:rPr>
    </w:lvl>
    <w:lvl w:ilvl="6" w:tplc="849CF662" w:tentative="1">
      <w:start w:val="1"/>
      <w:numFmt w:val="bullet"/>
      <w:lvlText w:val=""/>
      <w:lvlJc w:val="left"/>
      <w:pPr>
        <w:tabs>
          <w:tab w:val="num" w:pos="5040"/>
        </w:tabs>
        <w:ind w:left="5040" w:hanging="360"/>
      </w:pPr>
      <w:rPr>
        <w:rFonts w:ascii="Symbol" w:hAnsi="Symbol" w:hint="default"/>
      </w:rPr>
    </w:lvl>
    <w:lvl w:ilvl="7" w:tplc="CD302FFC" w:tentative="1">
      <w:start w:val="1"/>
      <w:numFmt w:val="bullet"/>
      <w:lvlText w:val="o"/>
      <w:lvlJc w:val="left"/>
      <w:pPr>
        <w:tabs>
          <w:tab w:val="num" w:pos="5760"/>
        </w:tabs>
        <w:ind w:left="5760" w:hanging="360"/>
      </w:pPr>
      <w:rPr>
        <w:rFonts w:ascii="Courier New" w:hAnsi="Courier New" w:hint="default"/>
      </w:rPr>
    </w:lvl>
    <w:lvl w:ilvl="8" w:tplc="20A0F7E4" w:tentative="1">
      <w:start w:val="1"/>
      <w:numFmt w:val="bullet"/>
      <w:lvlText w:val=""/>
      <w:lvlJc w:val="left"/>
      <w:pPr>
        <w:tabs>
          <w:tab w:val="num" w:pos="6480"/>
        </w:tabs>
        <w:ind w:left="6480" w:hanging="360"/>
      </w:pPr>
      <w:rPr>
        <w:rFonts w:ascii="Wingdings" w:hAnsi="Wingdings" w:hint="default"/>
      </w:rPr>
    </w:lvl>
  </w:abstractNum>
  <w:abstractNum w:abstractNumId="21">
    <w:nsid w:val="6FDF06B0"/>
    <w:multiLevelType w:val="hybridMultilevel"/>
    <w:tmpl w:val="CA3E446E"/>
    <w:lvl w:ilvl="0" w:tplc="FFFFFFFF">
      <w:start w:val="1"/>
      <w:numFmt w:val="bullet"/>
      <w:pStyle w:val="StyleDefaultArial11ptAutoAfter6pt"/>
      <w:lvlText w:val=""/>
      <w:lvlJc w:val="left"/>
      <w:pPr>
        <w:tabs>
          <w:tab w:val="num" w:pos="1004"/>
        </w:tabs>
        <w:ind w:left="1004" w:hanging="360"/>
      </w:pPr>
      <w:rPr>
        <w:rFonts w:ascii="Symbol" w:hAnsi="Symbol" w:hint="default"/>
        <w:color w:val="auto"/>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2">
    <w:nsid w:val="72C06F23"/>
    <w:multiLevelType w:val="hybridMultilevel"/>
    <w:tmpl w:val="E80A5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6E44EA8"/>
    <w:multiLevelType w:val="hybridMultilevel"/>
    <w:tmpl w:val="846EE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8A22BB8"/>
    <w:multiLevelType w:val="hybridMultilevel"/>
    <w:tmpl w:val="31F8817A"/>
    <w:lvl w:ilvl="0" w:tplc="0C090001">
      <w:start w:val="1"/>
      <w:numFmt w:val="decimal"/>
      <w:pStyle w:val="Numberedlist"/>
      <w:lvlText w:val="%1."/>
      <w:lvlJc w:val="left"/>
      <w:pPr>
        <w:tabs>
          <w:tab w:val="num" w:pos="570"/>
        </w:tabs>
        <w:ind w:left="570" w:hanging="570"/>
      </w:pPr>
      <w:rPr>
        <w:rFonts w:cs="Times New Roman" w:hint="default"/>
      </w:rPr>
    </w:lvl>
    <w:lvl w:ilvl="1" w:tplc="0C090003" w:tentative="1">
      <w:start w:val="1"/>
      <w:numFmt w:val="lowerLetter"/>
      <w:lvlText w:val="%2."/>
      <w:lvlJc w:val="left"/>
      <w:pPr>
        <w:tabs>
          <w:tab w:val="num" w:pos="1080"/>
        </w:tabs>
        <w:ind w:left="1080" w:hanging="360"/>
      </w:pPr>
      <w:rPr>
        <w:rFonts w:cs="Times New Roman"/>
      </w:rPr>
    </w:lvl>
    <w:lvl w:ilvl="2" w:tplc="0C090005" w:tentative="1">
      <w:start w:val="1"/>
      <w:numFmt w:val="lowerRoman"/>
      <w:lvlText w:val="%3."/>
      <w:lvlJc w:val="right"/>
      <w:pPr>
        <w:tabs>
          <w:tab w:val="num" w:pos="1800"/>
        </w:tabs>
        <w:ind w:left="1800" w:hanging="180"/>
      </w:pPr>
      <w:rPr>
        <w:rFonts w:cs="Times New Roman"/>
      </w:rPr>
    </w:lvl>
    <w:lvl w:ilvl="3" w:tplc="0C090001" w:tentative="1">
      <w:start w:val="1"/>
      <w:numFmt w:val="decimal"/>
      <w:lvlText w:val="%4."/>
      <w:lvlJc w:val="left"/>
      <w:pPr>
        <w:tabs>
          <w:tab w:val="num" w:pos="2520"/>
        </w:tabs>
        <w:ind w:left="2520" w:hanging="360"/>
      </w:pPr>
      <w:rPr>
        <w:rFonts w:cs="Times New Roman"/>
      </w:rPr>
    </w:lvl>
    <w:lvl w:ilvl="4" w:tplc="0C090003" w:tentative="1">
      <w:start w:val="1"/>
      <w:numFmt w:val="lowerLetter"/>
      <w:lvlText w:val="%5."/>
      <w:lvlJc w:val="left"/>
      <w:pPr>
        <w:tabs>
          <w:tab w:val="num" w:pos="3240"/>
        </w:tabs>
        <w:ind w:left="3240" w:hanging="360"/>
      </w:pPr>
      <w:rPr>
        <w:rFonts w:cs="Times New Roman"/>
      </w:rPr>
    </w:lvl>
    <w:lvl w:ilvl="5" w:tplc="0C090005" w:tentative="1">
      <w:start w:val="1"/>
      <w:numFmt w:val="lowerRoman"/>
      <w:lvlText w:val="%6."/>
      <w:lvlJc w:val="right"/>
      <w:pPr>
        <w:tabs>
          <w:tab w:val="num" w:pos="3960"/>
        </w:tabs>
        <w:ind w:left="3960" w:hanging="180"/>
      </w:pPr>
      <w:rPr>
        <w:rFonts w:cs="Times New Roman"/>
      </w:rPr>
    </w:lvl>
    <w:lvl w:ilvl="6" w:tplc="0C090001" w:tentative="1">
      <w:start w:val="1"/>
      <w:numFmt w:val="decimal"/>
      <w:lvlText w:val="%7."/>
      <w:lvlJc w:val="left"/>
      <w:pPr>
        <w:tabs>
          <w:tab w:val="num" w:pos="4680"/>
        </w:tabs>
        <w:ind w:left="4680" w:hanging="360"/>
      </w:pPr>
      <w:rPr>
        <w:rFonts w:cs="Times New Roman"/>
      </w:rPr>
    </w:lvl>
    <w:lvl w:ilvl="7" w:tplc="0C090003" w:tentative="1">
      <w:start w:val="1"/>
      <w:numFmt w:val="lowerLetter"/>
      <w:lvlText w:val="%8."/>
      <w:lvlJc w:val="left"/>
      <w:pPr>
        <w:tabs>
          <w:tab w:val="num" w:pos="5400"/>
        </w:tabs>
        <w:ind w:left="5400" w:hanging="360"/>
      </w:pPr>
      <w:rPr>
        <w:rFonts w:cs="Times New Roman"/>
      </w:rPr>
    </w:lvl>
    <w:lvl w:ilvl="8" w:tplc="0C090005" w:tentative="1">
      <w:start w:val="1"/>
      <w:numFmt w:val="lowerRoman"/>
      <w:lvlText w:val="%9."/>
      <w:lvlJc w:val="right"/>
      <w:pPr>
        <w:tabs>
          <w:tab w:val="num" w:pos="6120"/>
        </w:tabs>
        <w:ind w:left="6120" w:hanging="180"/>
      </w:pPr>
      <w:rPr>
        <w:rFonts w:cs="Times New Roman"/>
      </w:rPr>
    </w:lvl>
  </w:abstractNum>
  <w:abstractNum w:abstractNumId="25">
    <w:nsid w:val="79980472"/>
    <w:multiLevelType w:val="hybridMultilevel"/>
    <w:tmpl w:val="050E463E"/>
    <w:lvl w:ilvl="0" w:tplc="0C090001">
      <w:start w:val="1"/>
      <w:numFmt w:val="decimal"/>
      <w:pStyle w:val="Heading1"/>
      <w:lvlText w:val="%1."/>
      <w:lvlJc w:val="left"/>
      <w:pPr>
        <w:ind w:left="720" w:hanging="360"/>
      </w:pPr>
      <w:rPr>
        <w:rFonts w:cs="Times New Roman"/>
      </w:rPr>
    </w:lvl>
    <w:lvl w:ilvl="1" w:tplc="0C090003" w:tentative="1">
      <w:start w:val="1"/>
      <w:numFmt w:val="lowerLetter"/>
      <w:lvlText w:val="%2."/>
      <w:lvlJc w:val="left"/>
      <w:pPr>
        <w:ind w:left="1440" w:hanging="360"/>
      </w:pPr>
      <w:rPr>
        <w:rFonts w:cs="Times New Roman"/>
      </w:rPr>
    </w:lvl>
    <w:lvl w:ilvl="2" w:tplc="0C090005" w:tentative="1">
      <w:start w:val="1"/>
      <w:numFmt w:val="lowerRoman"/>
      <w:lvlText w:val="%3."/>
      <w:lvlJc w:val="right"/>
      <w:pPr>
        <w:ind w:left="2160" w:hanging="180"/>
      </w:pPr>
      <w:rPr>
        <w:rFonts w:cs="Times New Roman"/>
      </w:rPr>
    </w:lvl>
    <w:lvl w:ilvl="3" w:tplc="0C090001">
      <w:start w:val="1"/>
      <w:numFmt w:val="decimal"/>
      <w:lvlText w:val="%4."/>
      <w:lvlJc w:val="left"/>
      <w:pPr>
        <w:ind w:left="2880" w:hanging="360"/>
      </w:pPr>
      <w:rPr>
        <w:rFonts w:cs="Times New Roman"/>
      </w:rPr>
    </w:lvl>
    <w:lvl w:ilvl="4" w:tplc="0C090003" w:tentative="1">
      <w:start w:val="1"/>
      <w:numFmt w:val="lowerLetter"/>
      <w:pStyle w:val="Heading5"/>
      <w:lvlText w:val="%5."/>
      <w:lvlJc w:val="left"/>
      <w:pPr>
        <w:ind w:left="3600" w:hanging="360"/>
      </w:pPr>
      <w:rPr>
        <w:rFonts w:cs="Times New Roman"/>
      </w:rPr>
    </w:lvl>
    <w:lvl w:ilvl="5" w:tplc="0C090005">
      <w:start w:val="1"/>
      <w:numFmt w:val="lowerRoman"/>
      <w:pStyle w:val="Heading6"/>
      <w:lvlText w:val="%6."/>
      <w:lvlJc w:val="right"/>
      <w:pPr>
        <w:ind w:left="4320" w:hanging="180"/>
      </w:pPr>
      <w:rPr>
        <w:rFonts w:cs="Times New Roman"/>
      </w:rPr>
    </w:lvl>
    <w:lvl w:ilvl="6" w:tplc="0C090001" w:tentative="1">
      <w:start w:val="1"/>
      <w:numFmt w:val="decimal"/>
      <w:pStyle w:val="Heading7"/>
      <w:lvlText w:val="%7."/>
      <w:lvlJc w:val="left"/>
      <w:pPr>
        <w:ind w:left="5040" w:hanging="360"/>
      </w:pPr>
      <w:rPr>
        <w:rFonts w:cs="Times New Roman"/>
      </w:rPr>
    </w:lvl>
    <w:lvl w:ilvl="7" w:tplc="0C090003" w:tentative="1">
      <w:start w:val="1"/>
      <w:numFmt w:val="lowerLetter"/>
      <w:pStyle w:val="Heading8"/>
      <w:lvlText w:val="%8."/>
      <w:lvlJc w:val="left"/>
      <w:pPr>
        <w:ind w:left="5760" w:hanging="360"/>
      </w:pPr>
      <w:rPr>
        <w:rFonts w:cs="Times New Roman"/>
      </w:rPr>
    </w:lvl>
    <w:lvl w:ilvl="8" w:tplc="0C090005" w:tentative="1">
      <w:start w:val="1"/>
      <w:numFmt w:val="lowerRoman"/>
      <w:pStyle w:val="Heading9"/>
      <w:lvlText w:val="%9."/>
      <w:lvlJc w:val="right"/>
      <w:pPr>
        <w:ind w:left="6480" w:hanging="180"/>
      </w:pPr>
      <w:rPr>
        <w:rFonts w:cs="Times New Roman"/>
      </w:rPr>
    </w:lvl>
  </w:abstractNum>
  <w:abstractNum w:abstractNumId="26">
    <w:nsid w:val="7BDF776C"/>
    <w:multiLevelType w:val="hybridMultilevel"/>
    <w:tmpl w:val="7068B494"/>
    <w:lvl w:ilvl="0" w:tplc="41CA2F06">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
  </w:num>
  <w:num w:numId="4">
    <w:abstractNumId w:val="20"/>
  </w:num>
  <w:num w:numId="5">
    <w:abstractNumId w:val="2"/>
    <w:lvlOverride w:ilvl="0">
      <w:lvl w:ilvl="0">
        <w:start w:val="1"/>
        <w:numFmt w:val="bullet"/>
        <w:pStyle w:val="Dot1"/>
        <w:lvlText w:val=""/>
        <w:legacy w:legacy="1" w:legacySpace="0" w:legacyIndent="360"/>
        <w:lvlJc w:val="left"/>
        <w:pPr>
          <w:ind w:left="360" w:hanging="360"/>
        </w:pPr>
        <w:rPr>
          <w:rFonts w:ascii="Symbol" w:hAnsi="Symbol" w:hint="default"/>
        </w:rPr>
      </w:lvl>
    </w:lvlOverride>
  </w:num>
  <w:num w:numId="6">
    <w:abstractNumId w:val="24"/>
  </w:num>
  <w:num w:numId="7">
    <w:abstractNumId w:val="21"/>
  </w:num>
  <w:num w:numId="8">
    <w:abstractNumId w:val="12"/>
  </w:num>
  <w:num w:numId="9">
    <w:abstractNumId w:val="18"/>
  </w:num>
  <w:num w:numId="10">
    <w:abstractNumId w:val="16"/>
  </w:num>
  <w:num w:numId="11">
    <w:abstractNumId w:val="7"/>
  </w:num>
  <w:num w:numId="12">
    <w:abstractNumId w:val="25"/>
  </w:num>
  <w:num w:numId="13">
    <w:abstractNumId w:val="19"/>
  </w:num>
  <w:num w:numId="14">
    <w:abstractNumId w:val="1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num>
  <w:num w:numId="17">
    <w:abstractNumId w:val="9"/>
  </w:num>
  <w:num w:numId="18">
    <w:abstractNumId w:val="26"/>
  </w:num>
  <w:num w:numId="19">
    <w:abstractNumId w:val="10"/>
  </w:num>
  <w:num w:numId="20">
    <w:abstractNumId w:val="5"/>
  </w:num>
  <w:num w:numId="21">
    <w:abstractNumId w:val="23"/>
  </w:num>
  <w:num w:numId="22">
    <w:abstractNumId w:val="22"/>
  </w:num>
  <w:num w:numId="23">
    <w:abstractNumId w:val="6"/>
  </w:num>
  <w:num w:numId="24">
    <w:abstractNumId w:val="13"/>
  </w:num>
  <w:num w:numId="25">
    <w:abstractNumId w:val="4"/>
  </w:num>
  <w:num w:numId="26">
    <w:abstractNumId w:val="8"/>
  </w:num>
  <w:num w:numId="27">
    <w:abstractNumId w:val="3"/>
  </w:num>
  <w:num w:numId="28">
    <w:abstractNumId w:val="14"/>
  </w:num>
  <w:num w:numId="29">
    <w:abstractNumId w:val="25"/>
  </w:num>
  <w:num w:numId="30">
    <w:abstractNumId w:val="11"/>
  </w:num>
  <w:num w:numId="31">
    <w:abstractNumId w:val="25"/>
  </w:num>
  <w:num w:numId="32">
    <w:abstractNumId w:val="19"/>
  </w:num>
  <w:num w:numId="33">
    <w:abstractNumId w:val="19"/>
  </w:num>
  <w:num w:numId="34">
    <w:abstractNumId w:val="19"/>
  </w:num>
  <w:num w:numId="35">
    <w:abstractNumId w:val="19"/>
  </w:num>
  <w:num w:numId="36">
    <w:abstractNumId w:val="19"/>
  </w:num>
  <w:num w:numId="37">
    <w:abstractNumId w:val="19"/>
  </w:num>
  <w:num w:numId="38">
    <w:abstractNumId w:val="25"/>
  </w:num>
  <w:num w:numId="39">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mirrorMargins/>
  <w:bordersDoNotSurroundHeader/>
  <w:bordersDoNotSurroundFooter/>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lickAndTypeStyle w:val="BodyText1"/>
  <w:drawingGridHorizontalSpacing w:val="110"/>
  <w:displayHorizontalDrawingGridEvery w:val="2"/>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uthor-Date VB&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z0vwsaa0gfvsr1e2sr7p90rtdtevf52r2we9&quot;&gt;2010_February_EarthObservation_Reference_library_VB201207&lt;record-ids&gt;&lt;item&gt;368&lt;/item&gt;&lt;item&gt;453&lt;/item&gt;&lt;item&gt;525&lt;/item&gt;&lt;item&gt;548&lt;/item&gt;&lt;item&gt;1712&lt;/item&gt;&lt;item&gt;1714&lt;/item&gt;&lt;item&gt;2010&lt;/item&gt;&lt;item&gt;2320&lt;/item&gt;&lt;item&gt;3223&lt;/item&gt;&lt;item&gt;3714&lt;/item&gt;&lt;item&gt;3796&lt;/item&gt;&lt;item&gt;3905&lt;/item&gt;&lt;item&gt;4025&lt;/item&gt;&lt;item&gt;4026&lt;/item&gt;&lt;item&gt;4028&lt;/item&gt;&lt;item&gt;4035&lt;/item&gt;&lt;item&gt;4053&lt;/item&gt;&lt;item&gt;4139&lt;/item&gt;&lt;item&gt;4157&lt;/item&gt;&lt;item&gt;4158&lt;/item&gt;&lt;item&gt;4159&lt;/item&gt;&lt;item&gt;4160&lt;/item&gt;&lt;item&gt;4172&lt;/item&gt;&lt;item&gt;4442&lt;/item&gt;&lt;item&gt;4579&lt;/item&gt;&lt;item&gt;4580&lt;/item&gt;&lt;item&gt;4582&lt;/item&gt;&lt;item&gt;4583&lt;/item&gt;&lt;item&gt;4586&lt;/item&gt;&lt;item&gt;4605&lt;/item&gt;&lt;item&gt;4612&lt;/item&gt;&lt;item&gt;4624&lt;/item&gt;&lt;item&gt;4632&lt;/item&gt;&lt;item&gt;4646&lt;/item&gt;&lt;item&gt;4647&lt;/item&gt;&lt;item&gt;4648&lt;/item&gt;&lt;item&gt;4649&lt;/item&gt;&lt;item&gt;4650&lt;/item&gt;&lt;item&gt;4651&lt;/item&gt;&lt;item&gt;4652&lt;/item&gt;&lt;item&gt;4653&lt;/item&gt;&lt;item&gt;4654&lt;/item&gt;&lt;item&gt;4656&lt;/item&gt;&lt;item&gt;4657&lt;/item&gt;&lt;item&gt;4671&lt;/item&gt;&lt;item&gt;4687&lt;/item&gt;&lt;item&gt;4688&lt;/item&gt;&lt;item&gt;4689&lt;/item&gt;&lt;item&gt;4690&lt;/item&gt;&lt;item&gt;4691&lt;/item&gt;&lt;item&gt;4692&lt;/item&gt;&lt;item&gt;4693&lt;/item&gt;&lt;item&gt;4694&lt;/item&gt;&lt;item&gt;4695&lt;/item&gt;&lt;item&gt;4696&lt;/item&gt;&lt;item&gt;4697&lt;/item&gt;&lt;item&gt;4698&lt;/item&gt;&lt;item&gt;4699&lt;/item&gt;&lt;item&gt;4701&lt;/item&gt;&lt;/record-ids&gt;&lt;/item&gt;&lt;/Libraries&gt;"/>
  </w:docVars>
  <w:rsids>
    <w:rsidRoot w:val="001B1630"/>
    <w:rsid w:val="0000330C"/>
    <w:rsid w:val="00003694"/>
    <w:rsid w:val="00003924"/>
    <w:rsid w:val="00003CEA"/>
    <w:rsid w:val="000041C6"/>
    <w:rsid w:val="00004CD7"/>
    <w:rsid w:val="000063E1"/>
    <w:rsid w:val="00006D56"/>
    <w:rsid w:val="0000783D"/>
    <w:rsid w:val="0000785E"/>
    <w:rsid w:val="0001040C"/>
    <w:rsid w:val="000107E7"/>
    <w:rsid w:val="00011892"/>
    <w:rsid w:val="00011D5E"/>
    <w:rsid w:val="00011EA3"/>
    <w:rsid w:val="000120AC"/>
    <w:rsid w:val="000125EC"/>
    <w:rsid w:val="00014DC4"/>
    <w:rsid w:val="00015527"/>
    <w:rsid w:val="00015C44"/>
    <w:rsid w:val="00016856"/>
    <w:rsid w:val="00016B37"/>
    <w:rsid w:val="0001701C"/>
    <w:rsid w:val="000204EC"/>
    <w:rsid w:val="00021727"/>
    <w:rsid w:val="00021A05"/>
    <w:rsid w:val="00022D95"/>
    <w:rsid w:val="000236B0"/>
    <w:rsid w:val="00023790"/>
    <w:rsid w:val="000246C9"/>
    <w:rsid w:val="0002520D"/>
    <w:rsid w:val="00025233"/>
    <w:rsid w:val="000252BF"/>
    <w:rsid w:val="0002758C"/>
    <w:rsid w:val="00027C87"/>
    <w:rsid w:val="000305AC"/>
    <w:rsid w:val="00032AD9"/>
    <w:rsid w:val="00032CD3"/>
    <w:rsid w:val="000344CF"/>
    <w:rsid w:val="00034C62"/>
    <w:rsid w:val="000356EF"/>
    <w:rsid w:val="0003574E"/>
    <w:rsid w:val="00040B21"/>
    <w:rsid w:val="00040E58"/>
    <w:rsid w:val="00042DE9"/>
    <w:rsid w:val="00043469"/>
    <w:rsid w:val="00043538"/>
    <w:rsid w:val="00044211"/>
    <w:rsid w:val="000459C5"/>
    <w:rsid w:val="00045FAF"/>
    <w:rsid w:val="00047350"/>
    <w:rsid w:val="00047532"/>
    <w:rsid w:val="00050AD6"/>
    <w:rsid w:val="0005143E"/>
    <w:rsid w:val="0005258C"/>
    <w:rsid w:val="000525FD"/>
    <w:rsid w:val="000527BF"/>
    <w:rsid w:val="0005289B"/>
    <w:rsid w:val="000558CE"/>
    <w:rsid w:val="00055BC3"/>
    <w:rsid w:val="000563D9"/>
    <w:rsid w:val="0005740A"/>
    <w:rsid w:val="00057673"/>
    <w:rsid w:val="000579A3"/>
    <w:rsid w:val="00057D0D"/>
    <w:rsid w:val="00060446"/>
    <w:rsid w:val="00060858"/>
    <w:rsid w:val="00061119"/>
    <w:rsid w:val="0006132C"/>
    <w:rsid w:val="00062EE8"/>
    <w:rsid w:val="00063448"/>
    <w:rsid w:val="00063B51"/>
    <w:rsid w:val="00064660"/>
    <w:rsid w:val="00064AC8"/>
    <w:rsid w:val="000654E8"/>
    <w:rsid w:val="00066611"/>
    <w:rsid w:val="00066B22"/>
    <w:rsid w:val="00066DB8"/>
    <w:rsid w:val="0006720A"/>
    <w:rsid w:val="000672E5"/>
    <w:rsid w:val="00070182"/>
    <w:rsid w:val="00070DA6"/>
    <w:rsid w:val="00073B4F"/>
    <w:rsid w:val="0007494F"/>
    <w:rsid w:val="00077AB7"/>
    <w:rsid w:val="00080059"/>
    <w:rsid w:val="00080AD8"/>
    <w:rsid w:val="00081FC2"/>
    <w:rsid w:val="00082C1D"/>
    <w:rsid w:val="00082FE6"/>
    <w:rsid w:val="00083520"/>
    <w:rsid w:val="00083D85"/>
    <w:rsid w:val="000872F1"/>
    <w:rsid w:val="000874B0"/>
    <w:rsid w:val="00091872"/>
    <w:rsid w:val="0009335A"/>
    <w:rsid w:val="00095811"/>
    <w:rsid w:val="000958B7"/>
    <w:rsid w:val="000962CE"/>
    <w:rsid w:val="000963D1"/>
    <w:rsid w:val="00096ED8"/>
    <w:rsid w:val="00097E68"/>
    <w:rsid w:val="000A03AB"/>
    <w:rsid w:val="000A07C6"/>
    <w:rsid w:val="000A12E0"/>
    <w:rsid w:val="000A1ED7"/>
    <w:rsid w:val="000A31E7"/>
    <w:rsid w:val="000A35FA"/>
    <w:rsid w:val="000A3BD7"/>
    <w:rsid w:val="000A4E16"/>
    <w:rsid w:val="000A514B"/>
    <w:rsid w:val="000A662F"/>
    <w:rsid w:val="000A6910"/>
    <w:rsid w:val="000B00C0"/>
    <w:rsid w:val="000B0B2C"/>
    <w:rsid w:val="000B0B32"/>
    <w:rsid w:val="000B1BCD"/>
    <w:rsid w:val="000B1DA2"/>
    <w:rsid w:val="000B2772"/>
    <w:rsid w:val="000B31AF"/>
    <w:rsid w:val="000B4084"/>
    <w:rsid w:val="000B43E0"/>
    <w:rsid w:val="000B456C"/>
    <w:rsid w:val="000B4CCB"/>
    <w:rsid w:val="000B5DF8"/>
    <w:rsid w:val="000B61AA"/>
    <w:rsid w:val="000B7A30"/>
    <w:rsid w:val="000C21B2"/>
    <w:rsid w:val="000C491B"/>
    <w:rsid w:val="000C4F54"/>
    <w:rsid w:val="000C6A0F"/>
    <w:rsid w:val="000D0697"/>
    <w:rsid w:val="000D2397"/>
    <w:rsid w:val="000D32AD"/>
    <w:rsid w:val="000D34F9"/>
    <w:rsid w:val="000D4760"/>
    <w:rsid w:val="000D4DA6"/>
    <w:rsid w:val="000D6962"/>
    <w:rsid w:val="000D6A69"/>
    <w:rsid w:val="000D6F13"/>
    <w:rsid w:val="000E0C76"/>
    <w:rsid w:val="000E29B2"/>
    <w:rsid w:val="000E46C5"/>
    <w:rsid w:val="000E4E98"/>
    <w:rsid w:val="000E5FCA"/>
    <w:rsid w:val="000E68F3"/>
    <w:rsid w:val="000E717F"/>
    <w:rsid w:val="000F0806"/>
    <w:rsid w:val="000F128F"/>
    <w:rsid w:val="000F1A09"/>
    <w:rsid w:val="000F1E4C"/>
    <w:rsid w:val="000F21DC"/>
    <w:rsid w:val="000F391B"/>
    <w:rsid w:val="000F3E92"/>
    <w:rsid w:val="000F4929"/>
    <w:rsid w:val="000F51E1"/>
    <w:rsid w:val="000F625C"/>
    <w:rsid w:val="00100A7F"/>
    <w:rsid w:val="001028FD"/>
    <w:rsid w:val="00104055"/>
    <w:rsid w:val="001040D1"/>
    <w:rsid w:val="00104561"/>
    <w:rsid w:val="001047EC"/>
    <w:rsid w:val="00105B3D"/>
    <w:rsid w:val="0010606B"/>
    <w:rsid w:val="00106F14"/>
    <w:rsid w:val="001070A7"/>
    <w:rsid w:val="001118AD"/>
    <w:rsid w:val="00113991"/>
    <w:rsid w:val="00114DC9"/>
    <w:rsid w:val="0011542B"/>
    <w:rsid w:val="00115808"/>
    <w:rsid w:val="00116CEF"/>
    <w:rsid w:val="0011722A"/>
    <w:rsid w:val="00117B99"/>
    <w:rsid w:val="00117E48"/>
    <w:rsid w:val="00120A93"/>
    <w:rsid w:val="00120D27"/>
    <w:rsid w:val="0012315E"/>
    <w:rsid w:val="001231B0"/>
    <w:rsid w:val="001240B3"/>
    <w:rsid w:val="00124169"/>
    <w:rsid w:val="0012417A"/>
    <w:rsid w:val="00124EAC"/>
    <w:rsid w:val="00124EC0"/>
    <w:rsid w:val="00125340"/>
    <w:rsid w:val="001254F8"/>
    <w:rsid w:val="00126BAC"/>
    <w:rsid w:val="001300C2"/>
    <w:rsid w:val="00130BA5"/>
    <w:rsid w:val="00131A08"/>
    <w:rsid w:val="00131AF1"/>
    <w:rsid w:val="00132185"/>
    <w:rsid w:val="001323DD"/>
    <w:rsid w:val="00132847"/>
    <w:rsid w:val="001332C0"/>
    <w:rsid w:val="001338B8"/>
    <w:rsid w:val="00134472"/>
    <w:rsid w:val="00135A64"/>
    <w:rsid w:val="00135D7A"/>
    <w:rsid w:val="00136405"/>
    <w:rsid w:val="00136629"/>
    <w:rsid w:val="0013662C"/>
    <w:rsid w:val="00136669"/>
    <w:rsid w:val="00136DC0"/>
    <w:rsid w:val="00136F92"/>
    <w:rsid w:val="001403DB"/>
    <w:rsid w:val="00141795"/>
    <w:rsid w:val="0014273A"/>
    <w:rsid w:val="001428F7"/>
    <w:rsid w:val="00142FFC"/>
    <w:rsid w:val="00145538"/>
    <w:rsid w:val="00146BE0"/>
    <w:rsid w:val="00146C29"/>
    <w:rsid w:val="0014707F"/>
    <w:rsid w:val="00147332"/>
    <w:rsid w:val="00147B23"/>
    <w:rsid w:val="001502CB"/>
    <w:rsid w:val="0015161D"/>
    <w:rsid w:val="00151A22"/>
    <w:rsid w:val="00153EFF"/>
    <w:rsid w:val="001541B7"/>
    <w:rsid w:val="0015430D"/>
    <w:rsid w:val="00156469"/>
    <w:rsid w:val="00156838"/>
    <w:rsid w:val="001605C8"/>
    <w:rsid w:val="0016086B"/>
    <w:rsid w:val="001608C6"/>
    <w:rsid w:val="00161749"/>
    <w:rsid w:val="00161A3A"/>
    <w:rsid w:val="001663EB"/>
    <w:rsid w:val="00166542"/>
    <w:rsid w:val="00167C26"/>
    <w:rsid w:val="00167D73"/>
    <w:rsid w:val="00167F15"/>
    <w:rsid w:val="001703BD"/>
    <w:rsid w:val="001707B7"/>
    <w:rsid w:val="00170918"/>
    <w:rsid w:val="00171B8E"/>
    <w:rsid w:val="00171CA4"/>
    <w:rsid w:val="00171D42"/>
    <w:rsid w:val="00172009"/>
    <w:rsid w:val="00173A7E"/>
    <w:rsid w:val="00173F3E"/>
    <w:rsid w:val="00173F54"/>
    <w:rsid w:val="00174FA7"/>
    <w:rsid w:val="00175941"/>
    <w:rsid w:val="00175F8C"/>
    <w:rsid w:val="00176D27"/>
    <w:rsid w:val="0017740F"/>
    <w:rsid w:val="001805AC"/>
    <w:rsid w:val="00181A94"/>
    <w:rsid w:val="00181AA4"/>
    <w:rsid w:val="001822B1"/>
    <w:rsid w:val="00182B7C"/>
    <w:rsid w:val="00184BAB"/>
    <w:rsid w:val="00185253"/>
    <w:rsid w:val="001861AB"/>
    <w:rsid w:val="001862A3"/>
    <w:rsid w:val="00186EE5"/>
    <w:rsid w:val="0019041F"/>
    <w:rsid w:val="001905F5"/>
    <w:rsid w:val="00191E00"/>
    <w:rsid w:val="0019238B"/>
    <w:rsid w:val="00192CEB"/>
    <w:rsid w:val="001931C0"/>
    <w:rsid w:val="00193A93"/>
    <w:rsid w:val="00195540"/>
    <w:rsid w:val="001962F2"/>
    <w:rsid w:val="00196F03"/>
    <w:rsid w:val="001A03B2"/>
    <w:rsid w:val="001A0A5F"/>
    <w:rsid w:val="001A194F"/>
    <w:rsid w:val="001A1A13"/>
    <w:rsid w:val="001A2086"/>
    <w:rsid w:val="001A212C"/>
    <w:rsid w:val="001A24B6"/>
    <w:rsid w:val="001A26BF"/>
    <w:rsid w:val="001A2DD7"/>
    <w:rsid w:val="001A3031"/>
    <w:rsid w:val="001A3AFA"/>
    <w:rsid w:val="001A3DE5"/>
    <w:rsid w:val="001A559E"/>
    <w:rsid w:val="001A67BD"/>
    <w:rsid w:val="001A6D76"/>
    <w:rsid w:val="001A7C86"/>
    <w:rsid w:val="001B1630"/>
    <w:rsid w:val="001B179F"/>
    <w:rsid w:val="001B192F"/>
    <w:rsid w:val="001B1DF9"/>
    <w:rsid w:val="001B26EE"/>
    <w:rsid w:val="001B2F50"/>
    <w:rsid w:val="001B30A1"/>
    <w:rsid w:val="001B395C"/>
    <w:rsid w:val="001B542C"/>
    <w:rsid w:val="001B5781"/>
    <w:rsid w:val="001B6E7D"/>
    <w:rsid w:val="001C0D68"/>
    <w:rsid w:val="001C3E8A"/>
    <w:rsid w:val="001C6FBF"/>
    <w:rsid w:val="001C7F53"/>
    <w:rsid w:val="001D19F3"/>
    <w:rsid w:val="001D1ABA"/>
    <w:rsid w:val="001D2005"/>
    <w:rsid w:val="001D240F"/>
    <w:rsid w:val="001D41D9"/>
    <w:rsid w:val="001D4FAA"/>
    <w:rsid w:val="001D618D"/>
    <w:rsid w:val="001D67E4"/>
    <w:rsid w:val="001D7A02"/>
    <w:rsid w:val="001D7DF5"/>
    <w:rsid w:val="001D7E11"/>
    <w:rsid w:val="001E1E85"/>
    <w:rsid w:val="001E23B8"/>
    <w:rsid w:val="001E2BDA"/>
    <w:rsid w:val="001E3251"/>
    <w:rsid w:val="001E33DD"/>
    <w:rsid w:val="001E48E5"/>
    <w:rsid w:val="001E49F7"/>
    <w:rsid w:val="001E4C3F"/>
    <w:rsid w:val="001E4D5C"/>
    <w:rsid w:val="001E5C25"/>
    <w:rsid w:val="001E5C34"/>
    <w:rsid w:val="001E7136"/>
    <w:rsid w:val="001E7A7B"/>
    <w:rsid w:val="001E7F4C"/>
    <w:rsid w:val="001F020C"/>
    <w:rsid w:val="001F069D"/>
    <w:rsid w:val="001F085A"/>
    <w:rsid w:val="001F0DFA"/>
    <w:rsid w:val="001F1514"/>
    <w:rsid w:val="001F49CC"/>
    <w:rsid w:val="001F53CF"/>
    <w:rsid w:val="001F5D16"/>
    <w:rsid w:val="001F6EC3"/>
    <w:rsid w:val="002002EF"/>
    <w:rsid w:val="00200463"/>
    <w:rsid w:val="00203EC2"/>
    <w:rsid w:val="00204236"/>
    <w:rsid w:val="00204DE7"/>
    <w:rsid w:val="002067B7"/>
    <w:rsid w:val="002067ED"/>
    <w:rsid w:val="00207FFD"/>
    <w:rsid w:val="00210273"/>
    <w:rsid w:val="00210318"/>
    <w:rsid w:val="002129CF"/>
    <w:rsid w:val="00213A35"/>
    <w:rsid w:val="002144B1"/>
    <w:rsid w:val="002154A4"/>
    <w:rsid w:val="00216710"/>
    <w:rsid w:val="00216ABB"/>
    <w:rsid w:val="00216AC6"/>
    <w:rsid w:val="00216B81"/>
    <w:rsid w:val="00217BA3"/>
    <w:rsid w:val="002203A7"/>
    <w:rsid w:val="00220B8D"/>
    <w:rsid w:val="00221C94"/>
    <w:rsid w:val="00221D1A"/>
    <w:rsid w:val="00223DF8"/>
    <w:rsid w:val="0022474F"/>
    <w:rsid w:val="00224B95"/>
    <w:rsid w:val="00225081"/>
    <w:rsid w:val="00225CA3"/>
    <w:rsid w:val="00227715"/>
    <w:rsid w:val="00230126"/>
    <w:rsid w:val="00231F85"/>
    <w:rsid w:val="0023309B"/>
    <w:rsid w:val="002347B1"/>
    <w:rsid w:val="00235384"/>
    <w:rsid w:val="00235AF0"/>
    <w:rsid w:val="00240252"/>
    <w:rsid w:val="00241A39"/>
    <w:rsid w:val="00241A66"/>
    <w:rsid w:val="00241CD4"/>
    <w:rsid w:val="00242DE5"/>
    <w:rsid w:val="00242E82"/>
    <w:rsid w:val="00242EE6"/>
    <w:rsid w:val="0024301B"/>
    <w:rsid w:val="002437C4"/>
    <w:rsid w:val="002439BE"/>
    <w:rsid w:val="00243BBD"/>
    <w:rsid w:val="00244B51"/>
    <w:rsid w:val="002461C7"/>
    <w:rsid w:val="002472E6"/>
    <w:rsid w:val="002500D8"/>
    <w:rsid w:val="002511C2"/>
    <w:rsid w:val="002514E1"/>
    <w:rsid w:val="00251CF8"/>
    <w:rsid w:val="00252577"/>
    <w:rsid w:val="00252BD5"/>
    <w:rsid w:val="0025317F"/>
    <w:rsid w:val="00255A0E"/>
    <w:rsid w:val="00256EE8"/>
    <w:rsid w:val="00257617"/>
    <w:rsid w:val="002576FF"/>
    <w:rsid w:val="00257834"/>
    <w:rsid w:val="00257A80"/>
    <w:rsid w:val="0026168A"/>
    <w:rsid w:val="002624C0"/>
    <w:rsid w:val="00264D3C"/>
    <w:rsid w:val="00266DD0"/>
    <w:rsid w:val="00267220"/>
    <w:rsid w:val="00267FE6"/>
    <w:rsid w:val="0027088E"/>
    <w:rsid w:val="00272220"/>
    <w:rsid w:val="00274762"/>
    <w:rsid w:val="00275BDC"/>
    <w:rsid w:val="002775AA"/>
    <w:rsid w:val="00282A74"/>
    <w:rsid w:val="00282E9B"/>
    <w:rsid w:val="00283476"/>
    <w:rsid w:val="00283E9B"/>
    <w:rsid w:val="00284455"/>
    <w:rsid w:val="002844DC"/>
    <w:rsid w:val="00284E05"/>
    <w:rsid w:val="0028655C"/>
    <w:rsid w:val="00286F43"/>
    <w:rsid w:val="002872FE"/>
    <w:rsid w:val="00287957"/>
    <w:rsid w:val="00292352"/>
    <w:rsid w:val="0029237D"/>
    <w:rsid w:val="002929A1"/>
    <w:rsid w:val="00293322"/>
    <w:rsid w:val="00293941"/>
    <w:rsid w:val="00294F75"/>
    <w:rsid w:val="00296C18"/>
    <w:rsid w:val="002A04C7"/>
    <w:rsid w:val="002A090C"/>
    <w:rsid w:val="002A12A2"/>
    <w:rsid w:val="002A2681"/>
    <w:rsid w:val="002A2969"/>
    <w:rsid w:val="002A2C02"/>
    <w:rsid w:val="002A2D70"/>
    <w:rsid w:val="002A2D8A"/>
    <w:rsid w:val="002A3C85"/>
    <w:rsid w:val="002A6AC2"/>
    <w:rsid w:val="002B0F73"/>
    <w:rsid w:val="002B12EF"/>
    <w:rsid w:val="002B167B"/>
    <w:rsid w:val="002B33D0"/>
    <w:rsid w:val="002B3D1A"/>
    <w:rsid w:val="002B4133"/>
    <w:rsid w:val="002B4FFF"/>
    <w:rsid w:val="002B6823"/>
    <w:rsid w:val="002B70A9"/>
    <w:rsid w:val="002C079A"/>
    <w:rsid w:val="002C1068"/>
    <w:rsid w:val="002C28F1"/>
    <w:rsid w:val="002C2BD1"/>
    <w:rsid w:val="002C380A"/>
    <w:rsid w:val="002C3CC0"/>
    <w:rsid w:val="002C4AEB"/>
    <w:rsid w:val="002C54FF"/>
    <w:rsid w:val="002C55BD"/>
    <w:rsid w:val="002C6F9E"/>
    <w:rsid w:val="002C7B67"/>
    <w:rsid w:val="002C7DB8"/>
    <w:rsid w:val="002D03A1"/>
    <w:rsid w:val="002D046E"/>
    <w:rsid w:val="002D1651"/>
    <w:rsid w:val="002D336C"/>
    <w:rsid w:val="002D458B"/>
    <w:rsid w:val="002D5043"/>
    <w:rsid w:val="002D542A"/>
    <w:rsid w:val="002D5819"/>
    <w:rsid w:val="002D7052"/>
    <w:rsid w:val="002D7D0B"/>
    <w:rsid w:val="002E0BD6"/>
    <w:rsid w:val="002E0EF2"/>
    <w:rsid w:val="002E17BD"/>
    <w:rsid w:val="002E1D5C"/>
    <w:rsid w:val="002E2342"/>
    <w:rsid w:val="002E2644"/>
    <w:rsid w:val="002E2808"/>
    <w:rsid w:val="002E63DC"/>
    <w:rsid w:val="002E71B2"/>
    <w:rsid w:val="002F0118"/>
    <w:rsid w:val="002F0686"/>
    <w:rsid w:val="002F0FCB"/>
    <w:rsid w:val="002F11A6"/>
    <w:rsid w:val="002F270C"/>
    <w:rsid w:val="002F5D04"/>
    <w:rsid w:val="002F6DB0"/>
    <w:rsid w:val="002F79D7"/>
    <w:rsid w:val="002F7A0B"/>
    <w:rsid w:val="002F7FCC"/>
    <w:rsid w:val="00300BC3"/>
    <w:rsid w:val="00300FF0"/>
    <w:rsid w:val="003039E6"/>
    <w:rsid w:val="00303EFE"/>
    <w:rsid w:val="00304A45"/>
    <w:rsid w:val="00304FEA"/>
    <w:rsid w:val="003053B6"/>
    <w:rsid w:val="003062AC"/>
    <w:rsid w:val="00306895"/>
    <w:rsid w:val="00306EAB"/>
    <w:rsid w:val="00310289"/>
    <w:rsid w:val="003118BE"/>
    <w:rsid w:val="00312102"/>
    <w:rsid w:val="003127E3"/>
    <w:rsid w:val="00312DDE"/>
    <w:rsid w:val="0031353D"/>
    <w:rsid w:val="00313C4A"/>
    <w:rsid w:val="00313CAF"/>
    <w:rsid w:val="00314074"/>
    <w:rsid w:val="00314757"/>
    <w:rsid w:val="00314B0D"/>
    <w:rsid w:val="00316F6A"/>
    <w:rsid w:val="003177F5"/>
    <w:rsid w:val="00317909"/>
    <w:rsid w:val="00317FB6"/>
    <w:rsid w:val="00320086"/>
    <w:rsid w:val="00321174"/>
    <w:rsid w:val="003217C7"/>
    <w:rsid w:val="0032579F"/>
    <w:rsid w:val="00327BA1"/>
    <w:rsid w:val="00330D3C"/>
    <w:rsid w:val="0033160E"/>
    <w:rsid w:val="003329D8"/>
    <w:rsid w:val="00333570"/>
    <w:rsid w:val="00333B21"/>
    <w:rsid w:val="00334CEA"/>
    <w:rsid w:val="00334E2D"/>
    <w:rsid w:val="00335AF1"/>
    <w:rsid w:val="0033738E"/>
    <w:rsid w:val="00337DCE"/>
    <w:rsid w:val="00337E03"/>
    <w:rsid w:val="00340EB2"/>
    <w:rsid w:val="00341C38"/>
    <w:rsid w:val="00341EAA"/>
    <w:rsid w:val="00342341"/>
    <w:rsid w:val="003434D4"/>
    <w:rsid w:val="00344A35"/>
    <w:rsid w:val="003456A6"/>
    <w:rsid w:val="00345D84"/>
    <w:rsid w:val="003464DC"/>
    <w:rsid w:val="00346580"/>
    <w:rsid w:val="003465BA"/>
    <w:rsid w:val="00346B13"/>
    <w:rsid w:val="00346BE9"/>
    <w:rsid w:val="00347513"/>
    <w:rsid w:val="00347608"/>
    <w:rsid w:val="00351162"/>
    <w:rsid w:val="003512FA"/>
    <w:rsid w:val="00351B64"/>
    <w:rsid w:val="0035259A"/>
    <w:rsid w:val="00354788"/>
    <w:rsid w:val="003552C5"/>
    <w:rsid w:val="003554B8"/>
    <w:rsid w:val="00356238"/>
    <w:rsid w:val="003569E5"/>
    <w:rsid w:val="0035701F"/>
    <w:rsid w:val="00357F25"/>
    <w:rsid w:val="00360926"/>
    <w:rsid w:val="00360A44"/>
    <w:rsid w:val="00360BEB"/>
    <w:rsid w:val="00360E44"/>
    <w:rsid w:val="00362C75"/>
    <w:rsid w:val="00366920"/>
    <w:rsid w:val="00366F2C"/>
    <w:rsid w:val="00366F60"/>
    <w:rsid w:val="00370740"/>
    <w:rsid w:val="00371530"/>
    <w:rsid w:val="00373561"/>
    <w:rsid w:val="00374EBD"/>
    <w:rsid w:val="003763B2"/>
    <w:rsid w:val="00377590"/>
    <w:rsid w:val="00377E60"/>
    <w:rsid w:val="003810CB"/>
    <w:rsid w:val="003810D1"/>
    <w:rsid w:val="0038161B"/>
    <w:rsid w:val="003817D1"/>
    <w:rsid w:val="00382AC3"/>
    <w:rsid w:val="00383CDC"/>
    <w:rsid w:val="00384E4F"/>
    <w:rsid w:val="003857F8"/>
    <w:rsid w:val="00387DB2"/>
    <w:rsid w:val="00387EC7"/>
    <w:rsid w:val="00390880"/>
    <w:rsid w:val="00392229"/>
    <w:rsid w:val="00392451"/>
    <w:rsid w:val="00393734"/>
    <w:rsid w:val="00394101"/>
    <w:rsid w:val="00395363"/>
    <w:rsid w:val="003953A1"/>
    <w:rsid w:val="00395761"/>
    <w:rsid w:val="00395E32"/>
    <w:rsid w:val="0039608A"/>
    <w:rsid w:val="0039660F"/>
    <w:rsid w:val="00396EA4"/>
    <w:rsid w:val="00396F2C"/>
    <w:rsid w:val="003A194D"/>
    <w:rsid w:val="003A269D"/>
    <w:rsid w:val="003A2FB7"/>
    <w:rsid w:val="003A34A3"/>
    <w:rsid w:val="003A4874"/>
    <w:rsid w:val="003A646C"/>
    <w:rsid w:val="003A6733"/>
    <w:rsid w:val="003A6C30"/>
    <w:rsid w:val="003A792B"/>
    <w:rsid w:val="003B0DFD"/>
    <w:rsid w:val="003B13CA"/>
    <w:rsid w:val="003B19A8"/>
    <w:rsid w:val="003B2F38"/>
    <w:rsid w:val="003B58BE"/>
    <w:rsid w:val="003B6854"/>
    <w:rsid w:val="003B6CE6"/>
    <w:rsid w:val="003B6FA1"/>
    <w:rsid w:val="003B71BC"/>
    <w:rsid w:val="003B7492"/>
    <w:rsid w:val="003B7508"/>
    <w:rsid w:val="003C0EB2"/>
    <w:rsid w:val="003C1A0C"/>
    <w:rsid w:val="003C2497"/>
    <w:rsid w:val="003C2B15"/>
    <w:rsid w:val="003C4415"/>
    <w:rsid w:val="003D0B71"/>
    <w:rsid w:val="003D1627"/>
    <w:rsid w:val="003D453F"/>
    <w:rsid w:val="003D4FED"/>
    <w:rsid w:val="003D5794"/>
    <w:rsid w:val="003D6C8C"/>
    <w:rsid w:val="003D7251"/>
    <w:rsid w:val="003D7811"/>
    <w:rsid w:val="003E0682"/>
    <w:rsid w:val="003E0C58"/>
    <w:rsid w:val="003E0D7D"/>
    <w:rsid w:val="003E103A"/>
    <w:rsid w:val="003E4679"/>
    <w:rsid w:val="003E51B3"/>
    <w:rsid w:val="003E53AE"/>
    <w:rsid w:val="003E55F2"/>
    <w:rsid w:val="003E5FB4"/>
    <w:rsid w:val="003E6AED"/>
    <w:rsid w:val="003E707B"/>
    <w:rsid w:val="003E72FA"/>
    <w:rsid w:val="003E7B90"/>
    <w:rsid w:val="003F424E"/>
    <w:rsid w:val="003F4B8C"/>
    <w:rsid w:val="003F5221"/>
    <w:rsid w:val="003F5AAA"/>
    <w:rsid w:val="003F7602"/>
    <w:rsid w:val="004007DE"/>
    <w:rsid w:val="00400D10"/>
    <w:rsid w:val="004011CD"/>
    <w:rsid w:val="00401F6A"/>
    <w:rsid w:val="00403165"/>
    <w:rsid w:val="004039D9"/>
    <w:rsid w:val="00403EF9"/>
    <w:rsid w:val="0040432D"/>
    <w:rsid w:val="00406443"/>
    <w:rsid w:val="00406BD0"/>
    <w:rsid w:val="00407199"/>
    <w:rsid w:val="0040722F"/>
    <w:rsid w:val="0040750B"/>
    <w:rsid w:val="004075E6"/>
    <w:rsid w:val="0040775E"/>
    <w:rsid w:val="004117B9"/>
    <w:rsid w:val="00411A53"/>
    <w:rsid w:val="0041371A"/>
    <w:rsid w:val="00413E79"/>
    <w:rsid w:val="00414E0C"/>
    <w:rsid w:val="00415967"/>
    <w:rsid w:val="004159BD"/>
    <w:rsid w:val="004162D9"/>
    <w:rsid w:val="00416A54"/>
    <w:rsid w:val="00416C80"/>
    <w:rsid w:val="00417E0E"/>
    <w:rsid w:val="00420823"/>
    <w:rsid w:val="00422E01"/>
    <w:rsid w:val="004241CF"/>
    <w:rsid w:val="004241E3"/>
    <w:rsid w:val="0042607F"/>
    <w:rsid w:val="004307D4"/>
    <w:rsid w:val="00430B93"/>
    <w:rsid w:val="00433501"/>
    <w:rsid w:val="00435016"/>
    <w:rsid w:val="004371EF"/>
    <w:rsid w:val="00437EC1"/>
    <w:rsid w:val="00440CF9"/>
    <w:rsid w:val="00440FB5"/>
    <w:rsid w:val="00441698"/>
    <w:rsid w:val="00441B26"/>
    <w:rsid w:val="00442A9B"/>
    <w:rsid w:val="00443447"/>
    <w:rsid w:val="00444027"/>
    <w:rsid w:val="00446023"/>
    <w:rsid w:val="0044691C"/>
    <w:rsid w:val="004502BA"/>
    <w:rsid w:val="00450372"/>
    <w:rsid w:val="00450A8A"/>
    <w:rsid w:val="00452FD2"/>
    <w:rsid w:val="004541F0"/>
    <w:rsid w:val="00454C64"/>
    <w:rsid w:val="00456997"/>
    <w:rsid w:val="004575FB"/>
    <w:rsid w:val="00457B2B"/>
    <w:rsid w:val="00457FAB"/>
    <w:rsid w:val="00461A89"/>
    <w:rsid w:val="004625C7"/>
    <w:rsid w:val="00463F07"/>
    <w:rsid w:val="00464039"/>
    <w:rsid w:val="00465382"/>
    <w:rsid w:val="00465633"/>
    <w:rsid w:val="00465C5D"/>
    <w:rsid w:val="00466389"/>
    <w:rsid w:val="00466F8D"/>
    <w:rsid w:val="004718F3"/>
    <w:rsid w:val="004734DC"/>
    <w:rsid w:val="00474E7B"/>
    <w:rsid w:val="00475472"/>
    <w:rsid w:val="004826B4"/>
    <w:rsid w:val="0048270A"/>
    <w:rsid w:val="00483488"/>
    <w:rsid w:val="004834C4"/>
    <w:rsid w:val="00483885"/>
    <w:rsid w:val="00484174"/>
    <w:rsid w:val="0048582B"/>
    <w:rsid w:val="00486360"/>
    <w:rsid w:val="004868EB"/>
    <w:rsid w:val="00493C95"/>
    <w:rsid w:val="00495759"/>
    <w:rsid w:val="00496315"/>
    <w:rsid w:val="00496717"/>
    <w:rsid w:val="004968C5"/>
    <w:rsid w:val="004A1399"/>
    <w:rsid w:val="004A235A"/>
    <w:rsid w:val="004A2575"/>
    <w:rsid w:val="004A2B0C"/>
    <w:rsid w:val="004A3A14"/>
    <w:rsid w:val="004A429F"/>
    <w:rsid w:val="004A5ED6"/>
    <w:rsid w:val="004A6070"/>
    <w:rsid w:val="004A7B3C"/>
    <w:rsid w:val="004B0598"/>
    <w:rsid w:val="004B073B"/>
    <w:rsid w:val="004B0844"/>
    <w:rsid w:val="004B1383"/>
    <w:rsid w:val="004B1B16"/>
    <w:rsid w:val="004B2FD9"/>
    <w:rsid w:val="004B4178"/>
    <w:rsid w:val="004B4461"/>
    <w:rsid w:val="004B5A53"/>
    <w:rsid w:val="004B623A"/>
    <w:rsid w:val="004B6C50"/>
    <w:rsid w:val="004B6EE0"/>
    <w:rsid w:val="004B7AF9"/>
    <w:rsid w:val="004B7DC3"/>
    <w:rsid w:val="004C0042"/>
    <w:rsid w:val="004C0413"/>
    <w:rsid w:val="004C049E"/>
    <w:rsid w:val="004C0933"/>
    <w:rsid w:val="004C1D5C"/>
    <w:rsid w:val="004C1FF3"/>
    <w:rsid w:val="004C2749"/>
    <w:rsid w:val="004C5916"/>
    <w:rsid w:val="004C6972"/>
    <w:rsid w:val="004C76F0"/>
    <w:rsid w:val="004D2287"/>
    <w:rsid w:val="004D3658"/>
    <w:rsid w:val="004D3F4E"/>
    <w:rsid w:val="004D4B95"/>
    <w:rsid w:val="004E49E8"/>
    <w:rsid w:val="004E6BD5"/>
    <w:rsid w:val="004E6E02"/>
    <w:rsid w:val="004F022B"/>
    <w:rsid w:val="004F03DA"/>
    <w:rsid w:val="004F1C40"/>
    <w:rsid w:val="004F32AC"/>
    <w:rsid w:val="004F473C"/>
    <w:rsid w:val="004F4DDE"/>
    <w:rsid w:val="004F61BF"/>
    <w:rsid w:val="004F6329"/>
    <w:rsid w:val="004F740B"/>
    <w:rsid w:val="00500110"/>
    <w:rsid w:val="00500622"/>
    <w:rsid w:val="005015DB"/>
    <w:rsid w:val="0050286A"/>
    <w:rsid w:val="00503059"/>
    <w:rsid w:val="00503F1A"/>
    <w:rsid w:val="005041B6"/>
    <w:rsid w:val="005050B2"/>
    <w:rsid w:val="00506280"/>
    <w:rsid w:val="00507D20"/>
    <w:rsid w:val="00510DA0"/>
    <w:rsid w:val="00511926"/>
    <w:rsid w:val="0051226E"/>
    <w:rsid w:val="00512350"/>
    <w:rsid w:val="00513027"/>
    <w:rsid w:val="00514B2D"/>
    <w:rsid w:val="0051502F"/>
    <w:rsid w:val="005168D3"/>
    <w:rsid w:val="00517551"/>
    <w:rsid w:val="005201EE"/>
    <w:rsid w:val="00520A63"/>
    <w:rsid w:val="00520AEE"/>
    <w:rsid w:val="00520BAB"/>
    <w:rsid w:val="005217DA"/>
    <w:rsid w:val="005219CC"/>
    <w:rsid w:val="00522911"/>
    <w:rsid w:val="00522B35"/>
    <w:rsid w:val="00525C65"/>
    <w:rsid w:val="00526081"/>
    <w:rsid w:val="005262FE"/>
    <w:rsid w:val="00527075"/>
    <w:rsid w:val="005270F3"/>
    <w:rsid w:val="00530063"/>
    <w:rsid w:val="00531DC7"/>
    <w:rsid w:val="0053270F"/>
    <w:rsid w:val="00533405"/>
    <w:rsid w:val="005335AF"/>
    <w:rsid w:val="0053408A"/>
    <w:rsid w:val="005350C2"/>
    <w:rsid w:val="005353F5"/>
    <w:rsid w:val="00537373"/>
    <w:rsid w:val="00540BE7"/>
    <w:rsid w:val="00541795"/>
    <w:rsid w:val="00541F12"/>
    <w:rsid w:val="00542F89"/>
    <w:rsid w:val="005439BF"/>
    <w:rsid w:val="00544C0B"/>
    <w:rsid w:val="005458DF"/>
    <w:rsid w:val="00547169"/>
    <w:rsid w:val="00547360"/>
    <w:rsid w:val="005475C2"/>
    <w:rsid w:val="00547978"/>
    <w:rsid w:val="00547ADA"/>
    <w:rsid w:val="00550B4E"/>
    <w:rsid w:val="0055249D"/>
    <w:rsid w:val="00553632"/>
    <w:rsid w:val="00554EED"/>
    <w:rsid w:val="00555840"/>
    <w:rsid w:val="005560F9"/>
    <w:rsid w:val="00556995"/>
    <w:rsid w:val="00560A21"/>
    <w:rsid w:val="00561E07"/>
    <w:rsid w:val="005637CD"/>
    <w:rsid w:val="00563A4C"/>
    <w:rsid w:val="00564FBA"/>
    <w:rsid w:val="005657EC"/>
    <w:rsid w:val="00565E8C"/>
    <w:rsid w:val="005714EB"/>
    <w:rsid w:val="00573E4C"/>
    <w:rsid w:val="0057439D"/>
    <w:rsid w:val="00577796"/>
    <w:rsid w:val="00580407"/>
    <w:rsid w:val="005816B4"/>
    <w:rsid w:val="005827DD"/>
    <w:rsid w:val="005852B4"/>
    <w:rsid w:val="00585682"/>
    <w:rsid w:val="005861CD"/>
    <w:rsid w:val="0058746C"/>
    <w:rsid w:val="0059007C"/>
    <w:rsid w:val="00590970"/>
    <w:rsid w:val="00590D6E"/>
    <w:rsid w:val="0059374C"/>
    <w:rsid w:val="005948A6"/>
    <w:rsid w:val="00594C39"/>
    <w:rsid w:val="005950BB"/>
    <w:rsid w:val="00595479"/>
    <w:rsid w:val="00596256"/>
    <w:rsid w:val="005A1033"/>
    <w:rsid w:val="005A1D8E"/>
    <w:rsid w:val="005A29A8"/>
    <w:rsid w:val="005A3359"/>
    <w:rsid w:val="005A5534"/>
    <w:rsid w:val="005A5A94"/>
    <w:rsid w:val="005A66C9"/>
    <w:rsid w:val="005B0E30"/>
    <w:rsid w:val="005B16B1"/>
    <w:rsid w:val="005B2245"/>
    <w:rsid w:val="005B318E"/>
    <w:rsid w:val="005B3CA8"/>
    <w:rsid w:val="005B425E"/>
    <w:rsid w:val="005B4392"/>
    <w:rsid w:val="005B535B"/>
    <w:rsid w:val="005B609E"/>
    <w:rsid w:val="005B61A3"/>
    <w:rsid w:val="005B6407"/>
    <w:rsid w:val="005C0589"/>
    <w:rsid w:val="005C12F8"/>
    <w:rsid w:val="005C19BA"/>
    <w:rsid w:val="005C2E43"/>
    <w:rsid w:val="005C6357"/>
    <w:rsid w:val="005C7D0E"/>
    <w:rsid w:val="005C7EBC"/>
    <w:rsid w:val="005D031C"/>
    <w:rsid w:val="005D0998"/>
    <w:rsid w:val="005D1433"/>
    <w:rsid w:val="005D1F87"/>
    <w:rsid w:val="005D23B6"/>
    <w:rsid w:val="005D2724"/>
    <w:rsid w:val="005D3DC3"/>
    <w:rsid w:val="005D49E0"/>
    <w:rsid w:val="005D6E33"/>
    <w:rsid w:val="005D7849"/>
    <w:rsid w:val="005E01D0"/>
    <w:rsid w:val="005E0259"/>
    <w:rsid w:val="005E12F7"/>
    <w:rsid w:val="005E1E63"/>
    <w:rsid w:val="005E264B"/>
    <w:rsid w:val="005E3A2B"/>
    <w:rsid w:val="005E49F6"/>
    <w:rsid w:val="005E5B07"/>
    <w:rsid w:val="005E6209"/>
    <w:rsid w:val="005F0D19"/>
    <w:rsid w:val="005F0EC7"/>
    <w:rsid w:val="005F188D"/>
    <w:rsid w:val="005F282B"/>
    <w:rsid w:val="005F46B2"/>
    <w:rsid w:val="005F4CED"/>
    <w:rsid w:val="005F55FE"/>
    <w:rsid w:val="005F5F09"/>
    <w:rsid w:val="005F682B"/>
    <w:rsid w:val="005F69BC"/>
    <w:rsid w:val="005F71C0"/>
    <w:rsid w:val="005F7231"/>
    <w:rsid w:val="005F724D"/>
    <w:rsid w:val="005F7B43"/>
    <w:rsid w:val="00601A52"/>
    <w:rsid w:val="00602DCD"/>
    <w:rsid w:val="00603392"/>
    <w:rsid w:val="00603BF5"/>
    <w:rsid w:val="0061111D"/>
    <w:rsid w:val="00612B8B"/>
    <w:rsid w:val="00613524"/>
    <w:rsid w:val="006138FF"/>
    <w:rsid w:val="00614809"/>
    <w:rsid w:val="006203CA"/>
    <w:rsid w:val="00620AD8"/>
    <w:rsid w:val="006228D9"/>
    <w:rsid w:val="00624763"/>
    <w:rsid w:val="00624DC8"/>
    <w:rsid w:val="00626343"/>
    <w:rsid w:val="00626723"/>
    <w:rsid w:val="00631905"/>
    <w:rsid w:val="00633429"/>
    <w:rsid w:val="00633F0F"/>
    <w:rsid w:val="00634A81"/>
    <w:rsid w:val="00635400"/>
    <w:rsid w:val="00635EEC"/>
    <w:rsid w:val="00636461"/>
    <w:rsid w:val="00636977"/>
    <w:rsid w:val="00636C83"/>
    <w:rsid w:val="006403E6"/>
    <w:rsid w:val="00640A60"/>
    <w:rsid w:val="0064278F"/>
    <w:rsid w:val="00642F43"/>
    <w:rsid w:val="00643046"/>
    <w:rsid w:val="006454A0"/>
    <w:rsid w:val="006456D1"/>
    <w:rsid w:val="00645FFF"/>
    <w:rsid w:val="0064693C"/>
    <w:rsid w:val="00647223"/>
    <w:rsid w:val="00647DFB"/>
    <w:rsid w:val="006506F2"/>
    <w:rsid w:val="0065086B"/>
    <w:rsid w:val="006518AC"/>
    <w:rsid w:val="00653BA0"/>
    <w:rsid w:val="006542FC"/>
    <w:rsid w:val="00655907"/>
    <w:rsid w:val="00656260"/>
    <w:rsid w:val="00657994"/>
    <w:rsid w:val="00657A10"/>
    <w:rsid w:val="006603E3"/>
    <w:rsid w:val="00665C97"/>
    <w:rsid w:val="0066789F"/>
    <w:rsid w:val="006678F4"/>
    <w:rsid w:val="006710C2"/>
    <w:rsid w:val="00671742"/>
    <w:rsid w:val="0067284B"/>
    <w:rsid w:val="00673FCC"/>
    <w:rsid w:val="00674774"/>
    <w:rsid w:val="00674E92"/>
    <w:rsid w:val="00675BF7"/>
    <w:rsid w:val="0067605D"/>
    <w:rsid w:val="00676132"/>
    <w:rsid w:val="0067631E"/>
    <w:rsid w:val="00677221"/>
    <w:rsid w:val="00677388"/>
    <w:rsid w:val="0067787A"/>
    <w:rsid w:val="00680377"/>
    <w:rsid w:val="00680827"/>
    <w:rsid w:val="006809D4"/>
    <w:rsid w:val="00681627"/>
    <w:rsid w:val="00682415"/>
    <w:rsid w:val="0068366B"/>
    <w:rsid w:val="006837B7"/>
    <w:rsid w:val="0068406B"/>
    <w:rsid w:val="0068727C"/>
    <w:rsid w:val="00687396"/>
    <w:rsid w:val="0068764F"/>
    <w:rsid w:val="00687950"/>
    <w:rsid w:val="006908E5"/>
    <w:rsid w:val="0069159E"/>
    <w:rsid w:val="00692117"/>
    <w:rsid w:val="0069305F"/>
    <w:rsid w:val="00693E83"/>
    <w:rsid w:val="006A1145"/>
    <w:rsid w:val="006A12D6"/>
    <w:rsid w:val="006A159B"/>
    <w:rsid w:val="006A163F"/>
    <w:rsid w:val="006A1D58"/>
    <w:rsid w:val="006A2A60"/>
    <w:rsid w:val="006A2F05"/>
    <w:rsid w:val="006A3330"/>
    <w:rsid w:val="006A38DA"/>
    <w:rsid w:val="006A570F"/>
    <w:rsid w:val="006A5719"/>
    <w:rsid w:val="006A66E2"/>
    <w:rsid w:val="006A6FFD"/>
    <w:rsid w:val="006A733C"/>
    <w:rsid w:val="006B029D"/>
    <w:rsid w:val="006B077D"/>
    <w:rsid w:val="006B07E9"/>
    <w:rsid w:val="006B1BB2"/>
    <w:rsid w:val="006B1F76"/>
    <w:rsid w:val="006B3009"/>
    <w:rsid w:val="006B34A3"/>
    <w:rsid w:val="006B43F3"/>
    <w:rsid w:val="006B54C3"/>
    <w:rsid w:val="006B5887"/>
    <w:rsid w:val="006B61E8"/>
    <w:rsid w:val="006B622D"/>
    <w:rsid w:val="006B7D9F"/>
    <w:rsid w:val="006C0B2F"/>
    <w:rsid w:val="006C1ACD"/>
    <w:rsid w:val="006C1CAB"/>
    <w:rsid w:val="006C2C03"/>
    <w:rsid w:val="006C2C52"/>
    <w:rsid w:val="006C3CC6"/>
    <w:rsid w:val="006C3F8A"/>
    <w:rsid w:val="006C4982"/>
    <w:rsid w:val="006C5256"/>
    <w:rsid w:val="006C5490"/>
    <w:rsid w:val="006C54ED"/>
    <w:rsid w:val="006C5582"/>
    <w:rsid w:val="006C5921"/>
    <w:rsid w:val="006C5E71"/>
    <w:rsid w:val="006C6401"/>
    <w:rsid w:val="006C74C0"/>
    <w:rsid w:val="006C7E37"/>
    <w:rsid w:val="006D0509"/>
    <w:rsid w:val="006D0697"/>
    <w:rsid w:val="006D06B4"/>
    <w:rsid w:val="006D110A"/>
    <w:rsid w:val="006D1765"/>
    <w:rsid w:val="006D27F2"/>
    <w:rsid w:val="006D3765"/>
    <w:rsid w:val="006D485D"/>
    <w:rsid w:val="006D660F"/>
    <w:rsid w:val="006D67D6"/>
    <w:rsid w:val="006D6CE4"/>
    <w:rsid w:val="006E0F13"/>
    <w:rsid w:val="006E0F29"/>
    <w:rsid w:val="006E2060"/>
    <w:rsid w:val="006E2425"/>
    <w:rsid w:val="006E3042"/>
    <w:rsid w:val="006E33D8"/>
    <w:rsid w:val="006E3496"/>
    <w:rsid w:val="006E38D0"/>
    <w:rsid w:val="006E3CB7"/>
    <w:rsid w:val="006E3F22"/>
    <w:rsid w:val="006E4444"/>
    <w:rsid w:val="006E5055"/>
    <w:rsid w:val="006E7650"/>
    <w:rsid w:val="006E7815"/>
    <w:rsid w:val="006E7B0B"/>
    <w:rsid w:val="006F071D"/>
    <w:rsid w:val="006F1C5B"/>
    <w:rsid w:val="006F3D44"/>
    <w:rsid w:val="006F40FB"/>
    <w:rsid w:val="006F646A"/>
    <w:rsid w:val="006F70BB"/>
    <w:rsid w:val="006F7989"/>
    <w:rsid w:val="007007A1"/>
    <w:rsid w:val="0070250F"/>
    <w:rsid w:val="00702923"/>
    <w:rsid w:val="00702F52"/>
    <w:rsid w:val="00703C16"/>
    <w:rsid w:val="007040A1"/>
    <w:rsid w:val="00704BB1"/>
    <w:rsid w:val="0070667E"/>
    <w:rsid w:val="007077FD"/>
    <w:rsid w:val="00710243"/>
    <w:rsid w:val="0071055A"/>
    <w:rsid w:val="007118AE"/>
    <w:rsid w:val="00712AF1"/>
    <w:rsid w:val="007136CB"/>
    <w:rsid w:val="00714E08"/>
    <w:rsid w:val="007151F0"/>
    <w:rsid w:val="007154AE"/>
    <w:rsid w:val="00715EE6"/>
    <w:rsid w:val="00716080"/>
    <w:rsid w:val="00720D5D"/>
    <w:rsid w:val="00721356"/>
    <w:rsid w:val="00722D1E"/>
    <w:rsid w:val="0072302E"/>
    <w:rsid w:val="00723206"/>
    <w:rsid w:val="007234FC"/>
    <w:rsid w:val="00724291"/>
    <w:rsid w:val="0072470A"/>
    <w:rsid w:val="0072505D"/>
    <w:rsid w:val="007254EF"/>
    <w:rsid w:val="0072576E"/>
    <w:rsid w:val="00725DD6"/>
    <w:rsid w:val="00726524"/>
    <w:rsid w:val="0072673C"/>
    <w:rsid w:val="00727B11"/>
    <w:rsid w:val="007307BA"/>
    <w:rsid w:val="00730E04"/>
    <w:rsid w:val="007314B1"/>
    <w:rsid w:val="00731608"/>
    <w:rsid w:val="00731FC8"/>
    <w:rsid w:val="00734643"/>
    <w:rsid w:val="00735ABA"/>
    <w:rsid w:val="00737108"/>
    <w:rsid w:val="00737A15"/>
    <w:rsid w:val="00737D1B"/>
    <w:rsid w:val="00741160"/>
    <w:rsid w:val="0074119B"/>
    <w:rsid w:val="007426E3"/>
    <w:rsid w:val="0074281C"/>
    <w:rsid w:val="00742D29"/>
    <w:rsid w:val="0074361A"/>
    <w:rsid w:val="00744EBF"/>
    <w:rsid w:val="00746703"/>
    <w:rsid w:val="00746C52"/>
    <w:rsid w:val="0074707E"/>
    <w:rsid w:val="00750316"/>
    <w:rsid w:val="007509A2"/>
    <w:rsid w:val="007513C0"/>
    <w:rsid w:val="00751D2F"/>
    <w:rsid w:val="00751FFC"/>
    <w:rsid w:val="0075209D"/>
    <w:rsid w:val="007529C0"/>
    <w:rsid w:val="00753DD8"/>
    <w:rsid w:val="00754A57"/>
    <w:rsid w:val="00754E80"/>
    <w:rsid w:val="007550CE"/>
    <w:rsid w:val="00755C84"/>
    <w:rsid w:val="00756005"/>
    <w:rsid w:val="00757082"/>
    <w:rsid w:val="00760544"/>
    <w:rsid w:val="00760D52"/>
    <w:rsid w:val="00761A2F"/>
    <w:rsid w:val="00761FF3"/>
    <w:rsid w:val="00763475"/>
    <w:rsid w:val="007637CE"/>
    <w:rsid w:val="00764E7A"/>
    <w:rsid w:val="00765162"/>
    <w:rsid w:val="0076642A"/>
    <w:rsid w:val="00766B60"/>
    <w:rsid w:val="00766BB0"/>
    <w:rsid w:val="00770F40"/>
    <w:rsid w:val="0077344A"/>
    <w:rsid w:val="00774BC1"/>
    <w:rsid w:val="00775C7C"/>
    <w:rsid w:val="00777437"/>
    <w:rsid w:val="00777D80"/>
    <w:rsid w:val="00781F55"/>
    <w:rsid w:val="00782553"/>
    <w:rsid w:val="00782D25"/>
    <w:rsid w:val="007851B8"/>
    <w:rsid w:val="00785D50"/>
    <w:rsid w:val="00785D8A"/>
    <w:rsid w:val="0078720C"/>
    <w:rsid w:val="0079030B"/>
    <w:rsid w:val="0079416C"/>
    <w:rsid w:val="0079439D"/>
    <w:rsid w:val="00794460"/>
    <w:rsid w:val="007977AC"/>
    <w:rsid w:val="007A0E01"/>
    <w:rsid w:val="007A0F39"/>
    <w:rsid w:val="007A15BA"/>
    <w:rsid w:val="007A407B"/>
    <w:rsid w:val="007A609B"/>
    <w:rsid w:val="007A6DE9"/>
    <w:rsid w:val="007B098A"/>
    <w:rsid w:val="007B1D97"/>
    <w:rsid w:val="007B33A6"/>
    <w:rsid w:val="007B3854"/>
    <w:rsid w:val="007B3A4F"/>
    <w:rsid w:val="007B3DEC"/>
    <w:rsid w:val="007B4279"/>
    <w:rsid w:val="007B5DF4"/>
    <w:rsid w:val="007B609B"/>
    <w:rsid w:val="007B75D1"/>
    <w:rsid w:val="007B767A"/>
    <w:rsid w:val="007B7C47"/>
    <w:rsid w:val="007B7EAD"/>
    <w:rsid w:val="007C009A"/>
    <w:rsid w:val="007C01E7"/>
    <w:rsid w:val="007C03A5"/>
    <w:rsid w:val="007C1AEC"/>
    <w:rsid w:val="007C2463"/>
    <w:rsid w:val="007C2EED"/>
    <w:rsid w:val="007C31C6"/>
    <w:rsid w:val="007C3518"/>
    <w:rsid w:val="007C484B"/>
    <w:rsid w:val="007C568B"/>
    <w:rsid w:val="007C7077"/>
    <w:rsid w:val="007D26E3"/>
    <w:rsid w:val="007D3006"/>
    <w:rsid w:val="007D3635"/>
    <w:rsid w:val="007D392B"/>
    <w:rsid w:val="007D3C21"/>
    <w:rsid w:val="007D73E0"/>
    <w:rsid w:val="007D76C1"/>
    <w:rsid w:val="007E14F3"/>
    <w:rsid w:val="007E1DB5"/>
    <w:rsid w:val="007E294B"/>
    <w:rsid w:val="007E3AA0"/>
    <w:rsid w:val="007E4959"/>
    <w:rsid w:val="007E5857"/>
    <w:rsid w:val="007E6696"/>
    <w:rsid w:val="007E7A79"/>
    <w:rsid w:val="007E7CDF"/>
    <w:rsid w:val="007E7EC9"/>
    <w:rsid w:val="007F0191"/>
    <w:rsid w:val="007F0747"/>
    <w:rsid w:val="007F104C"/>
    <w:rsid w:val="007F1BCA"/>
    <w:rsid w:val="007F28AE"/>
    <w:rsid w:val="007F2F80"/>
    <w:rsid w:val="007F3803"/>
    <w:rsid w:val="007F383E"/>
    <w:rsid w:val="007F4CE0"/>
    <w:rsid w:val="007F4DB3"/>
    <w:rsid w:val="007F6998"/>
    <w:rsid w:val="007F7ACC"/>
    <w:rsid w:val="007F7F91"/>
    <w:rsid w:val="00800034"/>
    <w:rsid w:val="008010CE"/>
    <w:rsid w:val="00802432"/>
    <w:rsid w:val="008033AD"/>
    <w:rsid w:val="00803C89"/>
    <w:rsid w:val="00805D17"/>
    <w:rsid w:val="008074E9"/>
    <w:rsid w:val="0081081F"/>
    <w:rsid w:val="00810BD7"/>
    <w:rsid w:val="008117C2"/>
    <w:rsid w:val="0081184F"/>
    <w:rsid w:val="00811CF5"/>
    <w:rsid w:val="00812678"/>
    <w:rsid w:val="00813D81"/>
    <w:rsid w:val="00815190"/>
    <w:rsid w:val="008151C6"/>
    <w:rsid w:val="008162AC"/>
    <w:rsid w:val="0081647E"/>
    <w:rsid w:val="00817ED8"/>
    <w:rsid w:val="00821572"/>
    <w:rsid w:val="0082300B"/>
    <w:rsid w:val="00823F54"/>
    <w:rsid w:val="008240CD"/>
    <w:rsid w:val="00824269"/>
    <w:rsid w:val="00824788"/>
    <w:rsid w:val="008252A5"/>
    <w:rsid w:val="0082530F"/>
    <w:rsid w:val="0082535A"/>
    <w:rsid w:val="008264A5"/>
    <w:rsid w:val="00827507"/>
    <w:rsid w:val="00827608"/>
    <w:rsid w:val="00827A0E"/>
    <w:rsid w:val="00827B8A"/>
    <w:rsid w:val="008303B2"/>
    <w:rsid w:val="00830DD6"/>
    <w:rsid w:val="00831826"/>
    <w:rsid w:val="00831FED"/>
    <w:rsid w:val="00832FCF"/>
    <w:rsid w:val="008333B6"/>
    <w:rsid w:val="0083404D"/>
    <w:rsid w:val="00835155"/>
    <w:rsid w:val="00835BD2"/>
    <w:rsid w:val="00836B0E"/>
    <w:rsid w:val="008379B1"/>
    <w:rsid w:val="00837FC0"/>
    <w:rsid w:val="0084205D"/>
    <w:rsid w:val="0084286E"/>
    <w:rsid w:val="00842A95"/>
    <w:rsid w:val="008437FC"/>
    <w:rsid w:val="00843855"/>
    <w:rsid w:val="008447B4"/>
    <w:rsid w:val="00845B9B"/>
    <w:rsid w:val="00846551"/>
    <w:rsid w:val="00846707"/>
    <w:rsid w:val="00846CE2"/>
    <w:rsid w:val="00847049"/>
    <w:rsid w:val="008477F9"/>
    <w:rsid w:val="00850283"/>
    <w:rsid w:val="00852430"/>
    <w:rsid w:val="0085257E"/>
    <w:rsid w:val="00852737"/>
    <w:rsid w:val="00852FB6"/>
    <w:rsid w:val="00853508"/>
    <w:rsid w:val="0085381B"/>
    <w:rsid w:val="0085415D"/>
    <w:rsid w:val="00854630"/>
    <w:rsid w:val="00854AEE"/>
    <w:rsid w:val="00854F5A"/>
    <w:rsid w:val="00855155"/>
    <w:rsid w:val="008551B0"/>
    <w:rsid w:val="00856207"/>
    <w:rsid w:val="00856778"/>
    <w:rsid w:val="008600E4"/>
    <w:rsid w:val="00860207"/>
    <w:rsid w:val="00861F26"/>
    <w:rsid w:val="00862279"/>
    <w:rsid w:val="008627FB"/>
    <w:rsid w:val="00862B32"/>
    <w:rsid w:val="0086345F"/>
    <w:rsid w:val="0086413C"/>
    <w:rsid w:val="00865E58"/>
    <w:rsid w:val="008676E5"/>
    <w:rsid w:val="00867723"/>
    <w:rsid w:val="008705A2"/>
    <w:rsid w:val="00870D10"/>
    <w:rsid w:val="00870DCA"/>
    <w:rsid w:val="0087150D"/>
    <w:rsid w:val="00872CA7"/>
    <w:rsid w:val="008736FD"/>
    <w:rsid w:val="00873981"/>
    <w:rsid w:val="00873D55"/>
    <w:rsid w:val="0087589D"/>
    <w:rsid w:val="0087718B"/>
    <w:rsid w:val="00877F33"/>
    <w:rsid w:val="00880E8A"/>
    <w:rsid w:val="00881964"/>
    <w:rsid w:val="00881FD2"/>
    <w:rsid w:val="008822A6"/>
    <w:rsid w:val="0088369D"/>
    <w:rsid w:val="00883BC8"/>
    <w:rsid w:val="00883C6B"/>
    <w:rsid w:val="00885BA2"/>
    <w:rsid w:val="00887346"/>
    <w:rsid w:val="00887983"/>
    <w:rsid w:val="008903ED"/>
    <w:rsid w:val="00890FE1"/>
    <w:rsid w:val="008910C4"/>
    <w:rsid w:val="00892764"/>
    <w:rsid w:val="00893A33"/>
    <w:rsid w:val="00893ACD"/>
    <w:rsid w:val="008940C1"/>
    <w:rsid w:val="00894379"/>
    <w:rsid w:val="0089485C"/>
    <w:rsid w:val="00895AF5"/>
    <w:rsid w:val="00895CC8"/>
    <w:rsid w:val="00896D09"/>
    <w:rsid w:val="008972C5"/>
    <w:rsid w:val="00897F19"/>
    <w:rsid w:val="008A00D8"/>
    <w:rsid w:val="008A0ECF"/>
    <w:rsid w:val="008A19F3"/>
    <w:rsid w:val="008A1A65"/>
    <w:rsid w:val="008A1D97"/>
    <w:rsid w:val="008A2694"/>
    <w:rsid w:val="008A285B"/>
    <w:rsid w:val="008A330D"/>
    <w:rsid w:val="008A364B"/>
    <w:rsid w:val="008A5127"/>
    <w:rsid w:val="008A5E4A"/>
    <w:rsid w:val="008A6850"/>
    <w:rsid w:val="008B0291"/>
    <w:rsid w:val="008B0880"/>
    <w:rsid w:val="008B191C"/>
    <w:rsid w:val="008B25EF"/>
    <w:rsid w:val="008B2BC5"/>
    <w:rsid w:val="008B3E66"/>
    <w:rsid w:val="008B65CF"/>
    <w:rsid w:val="008B6DF5"/>
    <w:rsid w:val="008B75B6"/>
    <w:rsid w:val="008C08BE"/>
    <w:rsid w:val="008C116B"/>
    <w:rsid w:val="008C1702"/>
    <w:rsid w:val="008C1B13"/>
    <w:rsid w:val="008C1DB8"/>
    <w:rsid w:val="008C1ED2"/>
    <w:rsid w:val="008C3B73"/>
    <w:rsid w:val="008C3FFD"/>
    <w:rsid w:val="008C4D57"/>
    <w:rsid w:val="008C5725"/>
    <w:rsid w:val="008D01A6"/>
    <w:rsid w:val="008D0A63"/>
    <w:rsid w:val="008D197B"/>
    <w:rsid w:val="008D3E1E"/>
    <w:rsid w:val="008D4555"/>
    <w:rsid w:val="008D4FEF"/>
    <w:rsid w:val="008D5F2E"/>
    <w:rsid w:val="008D6BBF"/>
    <w:rsid w:val="008E12BD"/>
    <w:rsid w:val="008E1FE9"/>
    <w:rsid w:val="008E3705"/>
    <w:rsid w:val="008E3954"/>
    <w:rsid w:val="008E3CD4"/>
    <w:rsid w:val="008E3ED2"/>
    <w:rsid w:val="008E5912"/>
    <w:rsid w:val="008E5EB2"/>
    <w:rsid w:val="008F0804"/>
    <w:rsid w:val="008F21E2"/>
    <w:rsid w:val="008F28F4"/>
    <w:rsid w:val="008F3A9B"/>
    <w:rsid w:val="008F4DE9"/>
    <w:rsid w:val="008F640A"/>
    <w:rsid w:val="008F6B76"/>
    <w:rsid w:val="008F7BAD"/>
    <w:rsid w:val="00901410"/>
    <w:rsid w:val="009031A2"/>
    <w:rsid w:val="00903646"/>
    <w:rsid w:val="00903AE0"/>
    <w:rsid w:val="00903FFE"/>
    <w:rsid w:val="0090408E"/>
    <w:rsid w:val="00904328"/>
    <w:rsid w:val="00905177"/>
    <w:rsid w:val="00905243"/>
    <w:rsid w:val="00905BD3"/>
    <w:rsid w:val="0090648D"/>
    <w:rsid w:val="00906A40"/>
    <w:rsid w:val="00906CFE"/>
    <w:rsid w:val="00907416"/>
    <w:rsid w:val="00907972"/>
    <w:rsid w:val="00910D16"/>
    <w:rsid w:val="00911102"/>
    <w:rsid w:val="00912A29"/>
    <w:rsid w:val="00912A7C"/>
    <w:rsid w:val="00912AD8"/>
    <w:rsid w:val="00912B41"/>
    <w:rsid w:val="00913384"/>
    <w:rsid w:val="009150BE"/>
    <w:rsid w:val="00915750"/>
    <w:rsid w:val="00916617"/>
    <w:rsid w:val="00920051"/>
    <w:rsid w:val="00920241"/>
    <w:rsid w:val="009202A6"/>
    <w:rsid w:val="0092061F"/>
    <w:rsid w:val="00921F19"/>
    <w:rsid w:val="009226CE"/>
    <w:rsid w:val="00922F46"/>
    <w:rsid w:val="009237C5"/>
    <w:rsid w:val="00923D46"/>
    <w:rsid w:val="00923DEF"/>
    <w:rsid w:val="009246EB"/>
    <w:rsid w:val="0092551F"/>
    <w:rsid w:val="0092752A"/>
    <w:rsid w:val="00927E5C"/>
    <w:rsid w:val="00927F7F"/>
    <w:rsid w:val="009309B2"/>
    <w:rsid w:val="00931958"/>
    <w:rsid w:val="009326EF"/>
    <w:rsid w:val="00932E73"/>
    <w:rsid w:val="00933C8B"/>
    <w:rsid w:val="00934417"/>
    <w:rsid w:val="00936C3E"/>
    <w:rsid w:val="009379EC"/>
    <w:rsid w:val="00937D0C"/>
    <w:rsid w:val="009410DA"/>
    <w:rsid w:val="00941367"/>
    <w:rsid w:val="009413D9"/>
    <w:rsid w:val="009419C1"/>
    <w:rsid w:val="00941BC2"/>
    <w:rsid w:val="0094202A"/>
    <w:rsid w:val="00943B50"/>
    <w:rsid w:val="00943E88"/>
    <w:rsid w:val="00944D55"/>
    <w:rsid w:val="00945037"/>
    <w:rsid w:val="009461BA"/>
    <w:rsid w:val="00946202"/>
    <w:rsid w:val="009466D8"/>
    <w:rsid w:val="00946C04"/>
    <w:rsid w:val="00946FEA"/>
    <w:rsid w:val="0094732C"/>
    <w:rsid w:val="009505AE"/>
    <w:rsid w:val="00950BF0"/>
    <w:rsid w:val="009513B8"/>
    <w:rsid w:val="009521AC"/>
    <w:rsid w:val="00952B3B"/>
    <w:rsid w:val="00955567"/>
    <w:rsid w:val="00955695"/>
    <w:rsid w:val="009557F8"/>
    <w:rsid w:val="00956E25"/>
    <w:rsid w:val="0096041E"/>
    <w:rsid w:val="00960876"/>
    <w:rsid w:val="00960BA8"/>
    <w:rsid w:val="00960D18"/>
    <w:rsid w:val="009618C8"/>
    <w:rsid w:val="009635C0"/>
    <w:rsid w:val="00963E69"/>
    <w:rsid w:val="00967A2D"/>
    <w:rsid w:val="009726F5"/>
    <w:rsid w:val="0097295C"/>
    <w:rsid w:val="00974541"/>
    <w:rsid w:val="00974617"/>
    <w:rsid w:val="0097515A"/>
    <w:rsid w:val="00976D4F"/>
    <w:rsid w:val="009778BA"/>
    <w:rsid w:val="009811C2"/>
    <w:rsid w:val="00981A15"/>
    <w:rsid w:val="00982995"/>
    <w:rsid w:val="00982C45"/>
    <w:rsid w:val="00983251"/>
    <w:rsid w:val="009836A5"/>
    <w:rsid w:val="00984679"/>
    <w:rsid w:val="0098513D"/>
    <w:rsid w:val="009864D3"/>
    <w:rsid w:val="0098651F"/>
    <w:rsid w:val="00986C60"/>
    <w:rsid w:val="009875E1"/>
    <w:rsid w:val="00990751"/>
    <w:rsid w:val="00991087"/>
    <w:rsid w:val="00991407"/>
    <w:rsid w:val="00991F07"/>
    <w:rsid w:val="00992146"/>
    <w:rsid w:val="00993FD0"/>
    <w:rsid w:val="00994EB0"/>
    <w:rsid w:val="00995A48"/>
    <w:rsid w:val="00996A05"/>
    <w:rsid w:val="00996A24"/>
    <w:rsid w:val="009A0AEE"/>
    <w:rsid w:val="009A1282"/>
    <w:rsid w:val="009A225F"/>
    <w:rsid w:val="009A2725"/>
    <w:rsid w:val="009A399B"/>
    <w:rsid w:val="009A63D9"/>
    <w:rsid w:val="009A675E"/>
    <w:rsid w:val="009A74A8"/>
    <w:rsid w:val="009A7916"/>
    <w:rsid w:val="009B0702"/>
    <w:rsid w:val="009B1942"/>
    <w:rsid w:val="009B2A3D"/>
    <w:rsid w:val="009B3E20"/>
    <w:rsid w:val="009B410C"/>
    <w:rsid w:val="009B4A9B"/>
    <w:rsid w:val="009B4F2F"/>
    <w:rsid w:val="009B57F3"/>
    <w:rsid w:val="009B5AA7"/>
    <w:rsid w:val="009B7615"/>
    <w:rsid w:val="009B7683"/>
    <w:rsid w:val="009C0CDE"/>
    <w:rsid w:val="009C153F"/>
    <w:rsid w:val="009C1C12"/>
    <w:rsid w:val="009C277A"/>
    <w:rsid w:val="009C39EF"/>
    <w:rsid w:val="009C3B33"/>
    <w:rsid w:val="009C3BF9"/>
    <w:rsid w:val="009C42F1"/>
    <w:rsid w:val="009C4E74"/>
    <w:rsid w:val="009C503C"/>
    <w:rsid w:val="009C6083"/>
    <w:rsid w:val="009C6556"/>
    <w:rsid w:val="009C7438"/>
    <w:rsid w:val="009C7ABF"/>
    <w:rsid w:val="009D17CA"/>
    <w:rsid w:val="009D3995"/>
    <w:rsid w:val="009D40DF"/>
    <w:rsid w:val="009D4236"/>
    <w:rsid w:val="009D4E3A"/>
    <w:rsid w:val="009D4F32"/>
    <w:rsid w:val="009D61F8"/>
    <w:rsid w:val="009D7E61"/>
    <w:rsid w:val="009D7F38"/>
    <w:rsid w:val="009E0C34"/>
    <w:rsid w:val="009E1184"/>
    <w:rsid w:val="009E2E41"/>
    <w:rsid w:val="009E3133"/>
    <w:rsid w:val="009E3304"/>
    <w:rsid w:val="009E3D79"/>
    <w:rsid w:val="009E7942"/>
    <w:rsid w:val="009F398E"/>
    <w:rsid w:val="009F3E27"/>
    <w:rsid w:val="009F477C"/>
    <w:rsid w:val="009F48E3"/>
    <w:rsid w:val="009F5663"/>
    <w:rsid w:val="009F58DB"/>
    <w:rsid w:val="009F7049"/>
    <w:rsid w:val="00A000A7"/>
    <w:rsid w:val="00A00C4F"/>
    <w:rsid w:val="00A01065"/>
    <w:rsid w:val="00A0181F"/>
    <w:rsid w:val="00A0240B"/>
    <w:rsid w:val="00A02F78"/>
    <w:rsid w:val="00A03C08"/>
    <w:rsid w:val="00A05D4A"/>
    <w:rsid w:val="00A07098"/>
    <w:rsid w:val="00A0772B"/>
    <w:rsid w:val="00A12779"/>
    <w:rsid w:val="00A12C1D"/>
    <w:rsid w:val="00A12C5B"/>
    <w:rsid w:val="00A137A0"/>
    <w:rsid w:val="00A170BF"/>
    <w:rsid w:val="00A2138D"/>
    <w:rsid w:val="00A21AFA"/>
    <w:rsid w:val="00A22563"/>
    <w:rsid w:val="00A227E2"/>
    <w:rsid w:val="00A239B9"/>
    <w:rsid w:val="00A24EA2"/>
    <w:rsid w:val="00A2556E"/>
    <w:rsid w:val="00A25B44"/>
    <w:rsid w:val="00A26BAE"/>
    <w:rsid w:val="00A34387"/>
    <w:rsid w:val="00A356DC"/>
    <w:rsid w:val="00A357D5"/>
    <w:rsid w:val="00A35AE0"/>
    <w:rsid w:val="00A35E1A"/>
    <w:rsid w:val="00A360DD"/>
    <w:rsid w:val="00A3612D"/>
    <w:rsid w:val="00A36D36"/>
    <w:rsid w:val="00A36DC2"/>
    <w:rsid w:val="00A37237"/>
    <w:rsid w:val="00A37E7B"/>
    <w:rsid w:val="00A40CD0"/>
    <w:rsid w:val="00A4223C"/>
    <w:rsid w:val="00A42780"/>
    <w:rsid w:val="00A42CCC"/>
    <w:rsid w:val="00A42DB1"/>
    <w:rsid w:val="00A4469A"/>
    <w:rsid w:val="00A4591F"/>
    <w:rsid w:val="00A46C63"/>
    <w:rsid w:val="00A50E1D"/>
    <w:rsid w:val="00A51441"/>
    <w:rsid w:val="00A51B85"/>
    <w:rsid w:val="00A51BF4"/>
    <w:rsid w:val="00A532BB"/>
    <w:rsid w:val="00A543E1"/>
    <w:rsid w:val="00A54416"/>
    <w:rsid w:val="00A547B2"/>
    <w:rsid w:val="00A6111E"/>
    <w:rsid w:val="00A625E6"/>
    <w:rsid w:val="00A627F7"/>
    <w:rsid w:val="00A62C94"/>
    <w:rsid w:val="00A634F2"/>
    <w:rsid w:val="00A63597"/>
    <w:rsid w:val="00A63757"/>
    <w:rsid w:val="00A642B6"/>
    <w:rsid w:val="00A6470F"/>
    <w:rsid w:val="00A65D97"/>
    <w:rsid w:val="00A662BE"/>
    <w:rsid w:val="00A67CFF"/>
    <w:rsid w:val="00A7108C"/>
    <w:rsid w:val="00A7222B"/>
    <w:rsid w:val="00A72FFD"/>
    <w:rsid w:val="00A73E3C"/>
    <w:rsid w:val="00A74097"/>
    <w:rsid w:val="00A742D4"/>
    <w:rsid w:val="00A743B1"/>
    <w:rsid w:val="00A74650"/>
    <w:rsid w:val="00A75535"/>
    <w:rsid w:val="00A76837"/>
    <w:rsid w:val="00A76C72"/>
    <w:rsid w:val="00A77270"/>
    <w:rsid w:val="00A801FA"/>
    <w:rsid w:val="00A804F9"/>
    <w:rsid w:val="00A8185A"/>
    <w:rsid w:val="00A81CC2"/>
    <w:rsid w:val="00A8213A"/>
    <w:rsid w:val="00A82629"/>
    <w:rsid w:val="00A8317D"/>
    <w:rsid w:val="00A83434"/>
    <w:rsid w:val="00A84B86"/>
    <w:rsid w:val="00A84BDB"/>
    <w:rsid w:val="00A8511C"/>
    <w:rsid w:val="00A85B63"/>
    <w:rsid w:val="00A8617F"/>
    <w:rsid w:val="00A866FD"/>
    <w:rsid w:val="00A86BC7"/>
    <w:rsid w:val="00A86E53"/>
    <w:rsid w:val="00A87073"/>
    <w:rsid w:val="00A875EA"/>
    <w:rsid w:val="00A87743"/>
    <w:rsid w:val="00A90CB6"/>
    <w:rsid w:val="00A91018"/>
    <w:rsid w:val="00A92091"/>
    <w:rsid w:val="00A926CE"/>
    <w:rsid w:val="00A95D43"/>
    <w:rsid w:val="00A961A7"/>
    <w:rsid w:val="00A973CF"/>
    <w:rsid w:val="00AA0802"/>
    <w:rsid w:val="00AA18C2"/>
    <w:rsid w:val="00AA2009"/>
    <w:rsid w:val="00AA24B0"/>
    <w:rsid w:val="00AA2E7E"/>
    <w:rsid w:val="00AA3384"/>
    <w:rsid w:val="00AA4995"/>
    <w:rsid w:val="00AA4F6C"/>
    <w:rsid w:val="00AA59B7"/>
    <w:rsid w:val="00AA66BC"/>
    <w:rsid w:val="00AA7533"/>
    <w:rsid w:val="00AB01B2"/>
    <w:rsid w:val="00AB04F1"/>
    <w:rsid w:val="00AB18E8"/>
    <w:rsid w:val="00AB19B2"/>
    <w:rsid w:val="00AB1F3A"/>
    <w:rsid w:val="00AB46A4"/>
    <w:rsid w:val="00AB6483"/>
    <w:rsid w:val="00AC0512"/>
    <w:rsid w:val="00AC0FC7"/>
    <w:rsid w:val="00AC17E1"/>
    <w:rsid w:val="00AC2422"/>
    <w:rsid w:val="00AC2781"/>
    <w:rsid w:val="00AC2F22"/>
    <w:rsid w:val="00AC30D4"/>
    <w:rsid w:val="00AC316A"/>
    <w:rsid w:val="00AC3EFC"/>
    <w:rsid w:val="00AD0631"/>
    <w:rsid w:val="00AD1DB2"/>
    <w:rsid w:val="00AD4860"/>
    <w:rsid w:val="00AD498E"/>
    <w:rsid w:val="00AD4A78"/>
    <w:rsid w:val="00AD55EE"/>
    <w:rsid w:val="00AD6F47"/>
    <w:rsid w:val="00AE0A9F"/>
    <w:rsid w:val="00AE0D6D"/>
    <w:rsid w:val="00AE1310"/>
    <w:rsid w:val="00AE2FE2"/>
    <w:rsid w:val="00AE33F2"/>
    <w:rsid w:val="00AE3814"/>
    <w:rsid w:val="00AE4292"/>
    <w:rsid w:val="00AE4860"/>
    <w:rsid w:val="00AE6E36"/>
    <w:rsid w:val="00AE7678"/>
    <w:rsid w:val="00AE7A77"/>
    <w:rsid w:val="00AF0243"/>
    <w:rsid w:val="00AF0498"/>
    <w:rsid w:val="00AF0B5D"/>
    <w:rsid w:val="00AF2728"/>
    <w:rsid w:val="00AF2DC4"/>
    <w:rsid w:val="00AF421A"/>
    <w:rsid w:val="00AF4BC9"/>
    <w:rsid w:val="00AF70D6"/>
    <w:rsid w:val="00B015E2"/>
    <w:rsid w:val="00B016FB"/>
    <w:rsid w:val="00B027EE"/>
    <w:rsid w:val="00B03388"/>
    <w:rsid w:val="00B037B1"/>
    <w:rsid w:val="00B04E97"/>
    <w:rsid w:val="00B05790"/>
    <w:rsid w:val="00B05B3D"/>
    <w:rsid w:val="00B06974"/>
    <w:rsid w:val="00B07C69"/>
    <w:rsid w:val="00B10DB3"/>
    <w:rsid w:val="00B10DC6"/>
    <w:rsid w:val="00B112C3"/>
    <w:rsid w:val="00B11F3B"/>
    <w:rsid w:val="00B133C3"/>
    <w:rsid w:val="00B16F86"/>
    <w:rsid w:val="00B17D79"/>
    <w:rsid w:val="00B17DE3"/>
    <w:rsid w:val="00B22764"/>
    <w:rsid w:val="00B232CA"/>
    <w:rsid w:val="00B233C9"/>
    <w:rsid w:val="00B23661"/>
    <w:rsid w:val="00B23B11"/>
    <w:rsid w:val="00B23E54"/>
    <w:rsid w:val="00B23EDC"/>
    <w:rsid w:val="00B240AB"/>
    <w:rsid w:val="00B2556D"/>
    <w:rsid w:val="00B25CAA"/>
    <w:rsid w:val="00B26135"/>
    <w:rsid w:val="00B26EE9"/>
    <w:rsid w:val="00B27788"/>
    <w:rsid w:val="00B278E3"/>
    <w:rsid w:val="00B3089E"/>
    <w:rsid w:val="00B3136A"/>
    <w:rsid w:val="00B34B46"/>
    <w:rsid w:val="00B35927"/>
    <w:rsid w:val="00B35A4E"/>
    <w:rsid w:val="00B37E0C"/>
    <w:rsid w:val="00B41058"/>
    <w:rsid w:val="00B41E6B"/>
    <w:rsid w:val="00B437B0"/>
    <w:rsid w:val="00B45301"/>
    <w:rsid w:val="00B45CE0"/>
    <w:rsid w:val="00B45F63"/>
    <w:rsid w:val="00B46310"/>
    <w:rsid w:val="00B46459"/>
    <w:rsid w:val="00B46A9B"/>
    <w:rsid w:val="00B4709E"/>
    <w:rsid w:val="00B47D73"/>
    <w:rsid w:val="00B47FA1"/>
    <w:rsid w:val="00B5069B"/>
    <w:rsid w:val="00B50DB7"/>
    <w:rsid w:val="00B51B93"/>
    <w:rsid w:val="00B51E24"/>
    <w:rsid w:val="00B53AE1"/>
    <w:rsid w:val="00B5493F"/>
    <w:rsid w:val="00B54B9B"/>
    <w:rsid w:val="00B55DDA"/>
    <w:rsid w:val="00B569A9"/>
    <w:rsid w:val="00B56CC3"/>
    <w:rsid w:val="00B60277"/>
    <w:rsid w:val="00B602B2"/>
    <w:rsid w:val="00B60F50"/>
    <w:rsid w:val="00B63327"/>
    <w:rsid w:val="00B63BF8"/>
    <w:rsid w:val="00B65198"/>
    <w:rsid w:val="00B65481"/>
    <w:rsid w:val="00B654B4"/>
    <w:rsid w:val="00B65E2D"/>
    <w:rsid w:val="00B700AF"/>
    <w:rsid w:val="00B73D03"/>
    <w:rsid w:val="00B74926"/>
    <w:rsid w:val="00B74D25"/>
    <w:rsid w:val="00B7644B"/>
    <w:rsid w:val="00B76606"/>
    <w:rsid w:val="00B80371"/>
    <w:rsid w:val="00B803C4"/>
    <w:rsid w:val="00B8040D"/>
    <w:rsid w:val="00B80BEB"/>
    <w:rsid w:val="00B81704"/>
    <w:rsid w:val="00B8479F"/>
    <w:rsid w:val="00B849B9"/>
    <w:rsid w:val="00B86CAA"/>
    <w:rsid w:val="00B87D9A"/>
    <w:rsid w:val="00B90CA6"/>
    <w:rsid w:val="00B913FE"/>
    <w:rsid w:val="00B930B3"/>
    <w:rsid w:val="00B936E6"/>
    <w:rsid w:val="00B93F7E"/>
    <w:rsid w:val="00B9461C"/>
    <w:rsid w:val="00B94DFD"/>
    <w:rsid w:val="00B95A52"/>
    <w:rsid w:val="00B97F84"/>
    <w:rsid w:val="00BA0D04"/>
    <w:rsid w:val="00BA19B4"/>
    <w:rsid w:val="00BA29F7"/>
    <w:rsid w:val="00BA317F"/>
    <w:rsid w:val="00BA31FF"/>
    <w:rsid w:val="00BA391C"/>
    <w:rsid w:val="00BA5A69"/>
    <w:rsid w:val="00BA5A7D"/>
    <w:rsid w:val="00BA5E71"/>
    <w:rsid w:val="00BA6A54"/>
    <w:rsid w:val="00BB0666"/>
    <w:rsid w:val="00BB0B57"/>
    <w:rsid w:val="00BB0F49"/>
    <w:rsid w:val="00BB11CE"/>
    <w:rsid w:val="00BB22C6"/>
    <w:rsid w:val="00BB45CD"/>
    <w:rsid w:val="00BB5B93"/>
    <w:rsid w:val="00BB62B8"/>
    <w:rsid w:val="00BB7DDB"/>
    <w:rsid w:val="00BB7F01"/>
    <w:rsid w:val="00BC0136"/>
    <w:rsid w:val="00BC0EBA"/>
    <w:rsid w:val="00BC0EFE"/>
    <w:rsid w:val="00BC4695"/>
    <w:rsid w:val="00BC5094"/>
    <w:rsid w:val="00BC5A5B"/>
    <w:rsid w:val="00BC77CE"/>
    <w:rsid w:val="00BD0C73"/>
    <w:rsid w:val="00BD2107"/>
    <w:rsid w:val="00BD25B1"/>
    <w:rsid w:val="00BD2A20"/>
    <w:rsid w:val="00BD2E50"/>
    <w:rsid w:val="00BD3B74"/>
    <w:rsid w:val="00BD457A"/>
    <w:rsid w:val="00BD494A"/>
    <w:rsid w:val="00BD4F27"/>
    <w:rsid w:val="00BD522E"/>
    <w:rsid w:val="00BD6F3D"/>
    <w:rsid w:val="00BD74A1"/>
    <w:rsid w:val="00BE1991"/>
    <w:rsid w:val="00BE1B3F"/>
    <w:rsid w:val="00BE58EF"/>
    <w:rsid w:val="00BE6A7E"/>
    <w:rsid w:val="00BF1305"/>
    <w:rsid w:val="00BF339F"/>
    <w:rsid w:val="00BF4112"/>
    <w:rsid w:val="00BF524D"/>
    <w:rsid w:val="00BF57D8"/>
    <w:rsid w:val="00BF7211"/>
    <w:rsid w:val="00BF7EF6"/>
    <w:rsid w:val="00C01488"/>
    <w:rsid w:val="00C01E2E"/>
    <w:rsid w:val="00C025AB"/>
    <w:rsid w:val="00C0390F"/>
    <w:rsid w:val="00C04107"/>
    <w:rsid w:val="00C04387"/>
    <w:rsid w:val="00C05040"/>
    <w:rsid w:val="00C051AF"/>
    <w:rsid w:val="00C064D2"/>
    <w:rsid w:val="00C07225"/>
    <w:rsid w:val="00C0750F"/>
    <w:rsid w:val="00C07585"/>
    <w:rsid w:val="00C07FB0"/>
    <w:rsid w:val="00C1069A"/>
    <w:rsid w:val="00C128D7"/>
    <w:rsid w:val="00C1302A"/>
    <w:rsid w:val="00C141EB"/>
    <w:rsid w:val="00C14FA4"/>
    <w:rsid w:val="00C152ED"/>
    <w:rsid w:val="00C15828"/>
    <w:rsid w:val="00C1689E"/>
    <w:rsid w:val="00C16D69"/>
    <w:rsid w:val="00C172AD"/>
    <w:rsid w:val="00C17C91"/>
    <w:rsid w:val="00C20414"/>
    <w:rsid w:val="00C20C4C"/>
    <w:rsid w:val="00C22449"/>
    <w:rsid w:val="00C22A05"/>
    <w:rsid w:val="00C23522"/>
    <w:rsid w:val="00C23DB1"/>
    <w:rsid w:val="00C23DF5"/>
    <w:rsid w:val="00C25E68"/>
    <w:rsid w:val="00C27306"/>
    <w:rsid w:val="00C27F24"/>
    <w:rsid w:val="00C300ED"/>
    <w:rsid w:val="00C30371"/>
    <w:rsid w:val="00C30460"/>
    <w:rsid w:val="00C31190"/>
    <w:rsid w:val="00C31392"/>
    <w:rsid w:val="00C31403"/>
    <w:rsid w:val="00C326E4"/>
    <w:rsid w:val="00C32BB2"/>
    <w:rsid w:val="00C338D7"/>
    <w:rsid w:val="00C34B98"/>
    <w:rsid w:val="00C355CA"/>
    <w:rsid w:val="00C35791"/>
    <w:rsid w:val="00C36355"/>
    <w:rsid w:val="00C36F8E"/>
    <w:rsid w:val="00C37057"/>
    <w:rsid w:val="00C40583"/>
    <w:rsid w:val="00C432A7"/>
    <w:rsid w:val="00C43D79"/>
    <w:rsid w:val="00C44378"/>
    <w:rsid w:val="00C45CAE"/>
    <w:rsid w:val="00C46222"/>
    <w:rsid w:val="00C46C77"/>
    <w:rsid w:val="00C502A2"/>
    <w:rsid w:val="00C50609"/>
    <w:rsid w:val="00C517DE"/>
    <w:rsid w:val="00C51D2F"/>
    <w:rsid w:val="00C52183"/>
    <w:rsid w:val="00C53528"/>
    <w:rsid w:val="00C53B37"/>
    <w:rsid w:val="00C54CB4"/>
    <w:rsid w:val="00C54E85"/>
    <w:rsid w:val="00C5568A"/>
    <w:rsid w:val="00C5590D"/>
    <w:rsid w:val="00C560E7"/>
    <w:rsid w:val="00C56B24"/>
    <w:rsid w:val="00C57174"/>
    <w:rsid w:val="00C572C0"/>
    <w:rsid w:val="00C572C3"/>
    <w:rsid w:val="00C57998"/>
    <w:rsid w:val="00C6119D"/>
    <w:rsid w:val="00C61332"/>
    <w:rsid w:val="00C62293"/>
    <w:rsid w:val="00C62C90"/>
    <w:rsid w:val="00C62DAE"/>
    <w:rsid w:val="00C6421D"/>
    <w:rsid w:val="00C6525C"/>
    <w:rsid w:val="00C669EF"/>
    <w:rsid w:val="00C67590"/>
    <w:rsid w:val="00C67837"/>
    <w:rsid w:val="00C67848"/>
    <w:rsid w:val="00C705D6"/>
    <w:rsid w:val="00C731AD"/>
    <w:rsid w:val="00C735AB"/>
    <w:rsid w:val="00C75282"/>
    <w:rsid w:val="00C760FF"/>
    <w:rsid w:val="00C77C34"/>
    <w:rsid w:val="00C80F89"/>
    <w:rsid w:val="00C80FB7"/>
    <w:rsid w:val="00C8171E"/>
    <w:rsid w:val="00C83410"/>
    <w:rsid w:val="00C83416"/>
    <w:rsid w:val="00C83BEB"/>
    <w:rsid w:val="00C84ED4"/>
    <w:rsid w:val="00C851BD"/>
    <w:rsid w:val="00C85325"/>
    <w:rsid w:val="00C85A1E"/>
    <w:rsid w:val="00C86B67"/>
    <w:rsid w:val="00C908C7"/>
    <w:rsid w:val="00C90DBA"/>
    <w:rsid w:val="00C90FDB"/>
    <w:rsid w:val="00C918B8"/>
    <w:rsid w:val="00C92033"/>
    <w:rsid w:val="00C9247A"/>
    <w:rsid w:val="00C92667"/>
    <w:rsid w:val="00C9282A"/>
    <w:rsid w:val="00C933F6"/>
    <w:rsid w:val="00C95851"/>
    <w:rsid w:val="00C96201"/>
    <w:rsid w:val="00C96BD8"/>
    <w:rsid w:val="00CA18B3"/>
    <w:rsid w:val="00CA1993"/>
    <w:rsid w:val="00CA1C87"/>
    <w:rsid w:val="00CA3233"/>
    <w:rsid w:val="00CA406F"/>
    <w:rsid w:val="00CA40C2"/>
    <w:rsid w:val="00CA4D1B"/>
    <w:rsid w:val="00CA4FFC"/>
    <w:rsid w:val="00CA6717"/>
    <w:rsid w:val="00CA7E96"/>
    <w:rsid w:val="00CB22B4"/>
    <w:rsid w:val="00CB2D3B"/>
    <w:rsid w:val="00CB35C0"/>
    <w:rsid w:val="00CB3783"/>
    <w:rsid w:val="00CB3FDB"/>
    <w:rsid w:val="00CB51D1"/>
    <w:rsid w:val="00CB5F67"/>
    <w:rsid w:val="00CB65E3"/>
    <w:rsid w:val="00CC057D"/>
    <w:rsid w:val="00CC359E"/>
    <w:rsid w:val="00CC36E3"/>
    <w:rsid w:val="00CC3700"/>
    <w:rsid w:val="00CC4217"/>
    <w:rsid w:val="00CC4312"/>
    <w:rsid w:val="00CC4966"/>
    <w:rsid w:val="00CC4A61"/>
    <w:rsid w:val="00CC5FE8"/>
    <w:rsid w:val="00CC70FD"/>
    <w:rsid w:val="00CC7297"/>
    <w:rsid w:val="00CD1584"/>
    <w:rsid w:val="00CD1717"/>
    <w:rsid w:val="00CD1F36"/>
    <w:rsid w:val="00CD2116"/>
    <w:rsid w:val="00CD2B9C"/>
    <w:rsid w:val="00CD2E5C"/>
    <w:rsid w:val="00CD3549"/>
    <w:rsid w:val="00CD420B"/>
    <w:rsid w:val="00CD4370"/>
    <w:rsid w:val="00CD4B38"/>
    <w:rsid w:val="00CD60A5"/>
    <w:rsid w:val="00CD6152"/>
    <w:rsid w:val="00CD7BF4"/>
    <w:rsid w:val="00CD7F9E"/>
    <w:rsid w:val="00CE033B"/>
    <w:rsid w:val="00CE03B9"/>
    <w:rsid w:val="00CE0598"/>
    <w:rsid w:val="00CE0664"/>
    <w:rsid w:val="00CE09F5"/>
    <w:rsid w:val="00CE1236"/>
    <w:rsid w:val="00CE1ABF"/>
    <w:rsid w:val="00CE3024"/>
    <w:rsid w:val="00CE3B30"/>
    <w:rsid w:val="00CE4954"/>
    <w:rsid w:val="00CE5AB8"/>
    <w:rsid w:val="00CE5FF9"/>
    <w:rsid w:val="00CE6C8C"/>
    <w:rsid w:val="00CE7E62"/>
    <w:rsid w:val="00CF06CE"/>
    <w:rsid w:val="00CF1C00"/>
    <w:rsid w:val="00CF22B6"/>
    <w:rsid w:val="00CF2D10"/>
    <w:rsid w:val="00CF3155"/>
    <w:rsid w:val="00CF3689"/>
    <w:rsid w:val="00CF3A88"/>
    <w:rsid w:val="00CF4B87"/>
    <w:rsid w:val="00CF4DCB"/>
    <w:rsid w:val="00CF52A0"/>
    <w:rsid w:val="00CF5DF4"/>
    <w:rsid w:val="00CF5FF1"/>
    <w:rsid w:val="00CF6878"/>
    <w:rsid w:val="00D00FEB"/>
    <w:rsid w:val="00D0312C"/>
    <w:rsid w:val="00D03294"/>
    <w:rsid w:val="00D0386E"/>
    <w:rsid w:val="00D03AD3"/>
    <w:rsid w:val="00D03C96"/>
    <w:rsid w:val="00D0560D"/>
    <w:rsid w:val="00D05AF1"/>
    <w:rsid w:val="00D06F1C"/>
    <w:rsid w:val="00D11D25"/>
    <w:rsid w:val="00D122EC"/>
    <w:rsid w:val="00D12DD9"/>
    <w:rsid w:val="00D14A82"/>
    <w:rsid w:val="00D15A87"/>
    <w:rsid w:val="00D160B6"/>
    <w:rsid w:val="00D17CBE"/>
    <w:rsid w:val="00D17DBB"/>
    <w:rsid w:val="00D21D54"/>
    <w:rsid w:val="00D226BA"/>
    <w:rsid w:val="00D2557D"/>
    <w:rsid w:val="00D25A80"/>
    <w:rsid w:val="00D27673"/>
    <w:rsid w:val="00D27D98"/>
    <w:rsid w:val="00D30447"/>
    <w:rsid w:val="00D311E0"/>
    <w:rsid w:val="00D3208E"/>
    <w:rsid w:val="00D329AD"/>
    <w:rsid w:val="00D329C4"/>
    <w:rsid w:val="00D33361"/>
    <w:rsid w:val="00D3372F"/>
    <w:rsid w:val="00D34121"/>
    <w:rsid w:val="00D34413"/>
    <w:rsid w:val="00D34CA8"/>
    <w:rsid w:val="00D403D2"/>
    <w:rsid w:val="00D41F02"/>
    <w:rsid w:val="00D42665"/>
    <w:rsid w:val="00D44159"/>
    <w:rsid w:val="00D4507A"/>
    <w:rsid w:val="00D45828"/>
    <w:rsid w:val="00D45846"/>
    <w:rsid w:val="00D45AB2"/>
    <w:rsid w:val="00D45B4E"/>
    <w:rsid w:val="00D45D92"/>
    <w:rsid w:val="00D46BBE"/>
    <w:rsid w:val="00D46EE7"/>
    <w:rsid w:val="00D506BE"/>
    <w:rsid w:val="00D50C5D"/>
    <w:rsid w:val="00D50D44"/>
    <w:rsid w:val="00D522E3"/>
    <w:rsid w:val="00D536F8"/>
    <w:rsid w:val="00D53F43"/>
    <w:rsid w:val="00D54349"/>
    <w:rsid w:val="00D54EE7"/>
    <w:rsid w:val="00D55147"/>
    <w:rsid w:val="00D56338"/>
    <w:rsid w:val="00D56BA9"/>
    <w:rsid w:val="00D57C6E"/>
    <w:rsid w:val="00D603C2"/>
    <w:rsid w:val="00D60499"/>
    <w:rsid w:val="00D612E5"/>
    <w:rsid w:val="00D629EE"/>
    <w:rsid w:val="00D62EB8"/>
    <w:rsid w:val="00D63F2E"/>
    <w:rsid w:val="00D64AA0"/>
    <w:rsid w:val="00D6575F"/>
    <w:rsid w:val="00D658B5"/>
    <w:rsid w:val="00D65EB0"/>
    <w:rsid w:val="00D65F68"/>
    <w:rsid w:val="00D6605E"/>
    <w:rsid w:val="00D66D43"/>
    <w:rsid w:val="00D71D14"/>
    <w:rsid w:val="00D72721"/>
    <w:rsid w:val="00D74FF3"/>
    <w:rsid w:val="00D756F5"/>
    <w:rsid w:val="00D75D97"/>
    <w:rsid w:val="00D7602B"/>
    <w:rsid w:val="00D767D5"/>
    <w:rsid w:val="00D774EE"/>
    <w:rsid w:val="00D80C0E"/>
    <w:rsid w:val="00D80E36"/>
    <w:rsid w:val="00D818FC"/>
    <w:rsid w:val="00D842D9"/>
    <w:rsid w:val="00D84489"/>
    <w:rsid w:val="00D85916"/>
    <w:rsid w:val="00D85A6B"/>
    <w:rsid w:val="00D85E69"/>
    <w:rsid w:val="00D85F46"/>
    <w:rsid w:val="00D86330"/>
    <w:rsid w:val="00D8717B"/>
    <w:rsid w:val="00D908F3"/>
    <w:rsid w:val="00D90A4A"/>
    <w:rsid w:val="00D90AD7"/>
    <w:rsid w:val="00D90F82"/>
    <w:rsid w:val="00D91B50"/>
    <w:rsid w:val="00D91B84"/>
    <w:rsid w:val="00D91DA0"/>
    <w:rsid w:val="00D92229"/>
    <w:rsid w:val="00D93AFA"/>
    <w:rsid w:val="00D94404"/>
    <w:rsid w:val="00D95305"/>
    <w:rsid w:val="00D956D9"/>
    <w:rsid w:val="00D959EE"/>
    <w:rsid w:val="00D95D53"/>
    <w:rsid w:val="00D9658C"/>
    <w:rsid w:val="00D96A84"/>
    <w:rsid w:val="00D97921"/>
    <w:rsid w:val="00D979A0"/>
    <w:rsid w:val="00D97ACA"/>
    <w:rsid w:val="00DA0745"/>
    <w:rsid w:val="00DA0750"/>
    <w:rsid w:val="00DA2908"/>
    <w:rsid w:val="00DA313B"/>
    <w:rsid w:val="00DA3382"/>
    <w:rsid w:val="00DA35A6"/>
    <w:rsid w:val="00DA4E0D"/>
    <w:rsid w:val="00DA5749"/>
    <w:rsid w:val="00DA5DC1"/>
    <w:rsid w:val="00DA6C1C"/>
    <w:rsid w:val="00DB04C9"/>
    <w:rsid w:val="00DB310C"/>
    <w:rsid w:val="00DB3613"/>
    <w:rsid w:val="00DB374D"/>
    <w:rsid w:val="00DB3B0E"/>
    <w:rsid w:val="00DB3EF7"/>
    <w:rsid w:val="00DB40E4"/>
    <w:rsid w:val="00DB4643"/>
    <w:rsid w:val="00DB49A8"/>
    <w:rsid w:val="00DB5226"/>
    <w:rsid w:val="00DB6FC1"/>
    <w:rsid w:val="00DB7BAF"/>
    <w:rsid w:val="00DB7C45"/>
    <w:rsid w:val="00DB7CA9"/>
    <w:rsid w:val="00DB7D0C"/>
    <w:rsid w:val="00DC1EEC"/>
    <w:rsid w:val="00DC2210"/>
    <w:rsid w:val="00DC3152"/>
    <w:rsid w:val="00DC3FD4"/>
    <w:rsid w:val="00DC4749"/>
    <w:rsid w:val="00DC48D2"/>
    <w:rsid w:val="00DC4D36"/>
    <w:rsid w:val="00DC4D58"/>
    <w:rsid w:val="00DC4DE1"/>
    <w:rsid w:val="00DC5C14"/>
    <w:rsid w:val="00DC5E52"/>
    <w:rsid w:val="00DC6434"/>
    <w:rsid w:val="00DD1969"/>
    <w:rsid w:val="00DD34CF"/>
    <w:rsid w:val="00DD407E"/>
    <w:rsid w:val="00DD46A1"/>
    <w:rsid w:val="00DD4E4D"/>
    <w:rsid w:val="00DD5509"/>
    <w:rsid w:val="00DD5C24"/>
    <w:rsid w:val="00DD671D"/>
    <w:rsid w:val="00DD7013"/>
    <w:rsid w:val="00DD74A4"/>
    <w:rsid w:val="00DD7CAF"/>
    <w:rsid w:val="00DE0431"/>
    <w:rsid w:val="00DE0786"/>
    <w:rsid w:val="00DE0889"/>
    <w:rsid w:val="00DE1723"/>
    <w:rsid w:val="00DE172E"/>
    <w:rsid w:val="00DE2655"/>
    <w:rsid w:val="00DE26C3"/>
    <w:rsid w:val="00DE365E"/>
    <w:rsid w:val="00DE3778"/>
    <w:rsid w:val="00DE384F"/>
    <w:rsid w:val="00DE4C42"/>
    <w:rsid w:val="00DE5821"/>
    <w:rsid w:val="00DE7666"/>
    <w:rsid w:val="00DE7A16"/>
    <w:rsid w:val="00DF0B8C"/>
    <w:rsid w:val="00DF215E"/>
    <w:rsid w:val="00DF272B"/>
    <w:rsid w:val="00DF515A"/>
    <w:rsid w:val="00DF5B32"/>
    <w:rsid w:val="00E007C1"/>
    <w:rsid w:val="00E00FFF"/>
    <w:rsid w:val="00E01220"/>
    <w:rsid w:val="00E019C4"/>
    <w:rsid w:val="00E01BB9"/>
    <w:rsid w:val="00E02420"/>
    <w:rsid w:val="00E033FD"/>
    <w:rsid w:val="00E0375F"/>
    <w:rsid w:val="00E06262"/>
    <w:rsid w:val="00E102EA"/>
    <w:rsid w:val="00E10DB3"/>
    <w:rsid w:val="00E11A30"/>
    <w:rsid w:val="00E12036"/>
    <w:rsid w:val="00E123DD"/>
    <w:rsid w:val="00E126B0"/>
    <w:rsid w:val="00E129A2"/>
    <w:rsid w:val="00E12BC5"/>
    <w:rsid w:val="00E14AD2"/>
    <w:rsid w:val="00E16172"/>
    <w:rsid w:val="00E16BD6"/>
    <w:rsid w:val="00E171F4"/>
    <w:rsid w:val="00E176E1"/>
    <w:rsid w:val="00E202FD"/>
    <w:rsid w:val="00E21016"/>
    <w:rsid w:val="00E234A9"/>
    <w:rsid w:val="00E24DC2"/>
    <w:rsid w:val="00E25948"/>
    <w:rsid w:val="00E2656A"/>
    <w:rsid w:val="00E30062"/>
    <w:rsid w:val="00E30C6A"/>
    <w:rsid w:val="00E3168E"/>
    <w:rsid w:val="00E34033"/>
    <w:rsid w:val="00E35FBD"/>
    <w:rsid w:val="00E37B0E"/>
    <w:rsid w:val="00E37C28"/>
    <w:rsid w:val="00E4252D"/>
    <w:rsid w:val="00E4275A"/>
    <w:rsid w:val="00E4291F"/>
    <w:rsid w:val="00E42F7B"/>
    <w:rsid w:val="00E43478"/>
    <w:rsid w:val="00E434FF"/>
    <w:rsid w:val="00E44379"/>
    <w:rsid w:val="00E453A4"/>
    <w:rsid w:val="00E45B31"/>
    <w:rsid w:val="00E45CDF"/>
    <w:rsid w:val="00E45CEF"/>
    <w:rsid w:val="00E46254"/>
    <w:rsid w:val="00E4626B"/>
    <w:rsid w:val="00E47064"/>
    <w:rsid w:val="00E472A9"/>
    <w:rsid w:val="00E47C24"/>
    <w:rsid w:val="00E50490"/>
    <w:rsid w:val="00E52383"/>
    <w:rsid w:val="00E52653"/>
    <w:rsid w:val="00E538E6"/>
    <w:rsid w:val="00E53B9E"/>
    <w:rsid w:val="00E53F06"/>
    <w:rsid w:val="00E555A2"/>
    <w:rsid w:val="00E564F4"/>
    <w:rsid w:val="00E609E7"/>
    <w:rsid w:val="00E60BFB"/>
    <w:rsid w:val="00E60EC4"/>
    <w:rsid w:val="00E61D44"/>
    <w:rsid w:val="00E62801"/>
    <w:rsid w:val="00E62B87"/>
    <w:rsid w:val="00E63AEC"/>
    <w:rsid w:val="00E646F0"/>
    <w:rsid w:val="00E65875"/>
    <w:rsid w:val="00E65D77"/>
    <w:rsid w:val="00E65EFE"/>
    <w:rsid w:val="00E670C3"/>
    <w:rsid w:val="00E71F66"/>
    <w:rsid w:val="00E73994"/>
    <w:rsid w:val="00E7561C"/>
    <w:rsid w:val="00E76241"/>
    <w:rsid w:val="00E76769"/>
    <w:rsid w:val="00E80081"/>
    <w:rsid w:val="00E80D29"/>
    <w:rsid w:val="00E81FC3"/>
    <w:rsid w:val="00E83256"/>
    <w:rsid w:val="00E833AC"/>
    <w:rsid w:val="00E84410"/>
    <w:rsid w:val="00E84512"/>
    <w:rsid w:val="00E8551B"/>
    <w:rsid w:val="00E86AE9"/>
    <w:rsid w:val="00E86F26"/>
    <w:rsid w:val="00E877AC"/>
    <w:rsid w:val="00E902FC"/>
    <w:rsid w:val="00E904BD"/>
    <w:rsid w:val="00E91ABD"/>
    <w:rsid w:val="00E959D8"/>
    <w:rsid w:val="00E95C9B"/>
    <w:rsid w:val="00E96200"/>
    <w:rsid w:val="00E96E5B"/>
    <w:rsid w:val="00E97CDF"/>
    <w:rsid w:val="00EA22F6"/>
    <w:rsid w:val="00EA257E"/>
    <w:rsid w:val="00EA2741"/>
    <w:rsid w:val="00EA2954"/>
    <w:rsid w:val="00EA2F38"/>
    <w:rsid w:val="00EA41B5"/>
    <w:rsid w:val="00EA4362"/>
    <w:rsid w:val="00EA4372"/>
    <w:rsid w:val="00EA46CD"/>
    <w:rsid w:val="00EA47C9"/>
    <w:rsid w:val="00EA6809"/>
    <w:rsid w:val="00EA6AB4"/>
    <w:rsid w:val="00EB0026"/>
    <w:rsid w:val="00EB051F"/>
    <w:rsid w:val="00EB195F"/>
    <w:rsid w:val="00EB2F7F"/>
    <w:rsid w:val="00EB3180"/>
    <w:rsid w:val="00EB3FF7"/>
    <w:rsid w:val="00EB44A2"/>
    <w:rsid w:val="00EB4DD7"/>
    <w:rsid w:val="00EB6107"/>
    <w:rsid w:val="00EB636A"/>
    <w:rsid w:val="00EC0426"/>
    <w:rsid w:val="00EC16C7"/>
    <w:rsid w:val="00EC27C2"/>
    <w:rsid w:val="00EC2CA8"/>
    <w:rsid w:val="00EC2E9B"/>
    <w:rsid w:val="00EC30EF"/>
    <w:rsid w:val="00EC419B"/>
    <w:rsid w:val="00EC46EA"/>
    <w:rsid w:val="00EC552B"/>
    <w:rsid w:val="00ED2679"/>
    <w:rsid w:val="00ED2C34"/>
    <w:rsid w:val="00ED3833"/>
    <w:rsid w:val="00ED4010"/>
    <w:rsid w:val="00ED4C2D"/>
    <w:rsid w:val="00ED75D3"/>
    <w:rsid w:val="00ED7C9C"/>
    <w:rsid w:val="00EE21FA"/>
    <w:rsid w:val="00EE2AF0"/>
    <w:rsid w:val="00EE2B1C"/>
    <w:rsid w:val="00EE351C"/>
    <w:rsid w:val="00EE5FA8"/>
    <w:rsid w:val="00EE61CA"/>
    <w:rsid w:val="00EE6A06"/>
    <w:rsid w:val="00EF0E9E"/>
    <w:rsid w:val="00EF236C"/>
    <w:rsid w:val="00EF34BD"/>
    <w:rsid w:val="00EF4DC3"/>
    <w:rsid w:val="00EF4ECA"/>
    <w:rsid w:val="00EF5A10"/>
    <w:rsid w:val="00EF6954"/>
    <w:rsid w:val="00EF779A"/>
    <w:rsid w:val="00F00A83"/>
    <w:rsid w:val="00F00EA3"/>
    <w:rsid w:val="00F013C6"/>
    <w:rsid w:val="00F019FD"/>
    <w:rsid w:val="00F01C5A"/>
    <w:rsid w:val="00F0333F"/>
    <w:rsid w:val="00F0399B"/>
    <w:rsid w:val="00F04584"/>
    <w:rsid w:val="00F07CF3"/>
    <w:rsid w:val="00F1321E"/>
    <w:rsid w:val="00F13AD6"/>
    <w:rsid w:val="00F13BB3"/>
    <w:rsid w:val="00F1415C"/>
    <w:rsid w:val="00F15894"/>
    <w:rsid w:val="00F15B15"/>
    <w:rsid w:val="00F15F4F"/>
    <w:rsid w:val="00F1601B"/>
    <w:rsid w:val="00F20892"/>
    <w:rsid w:val="00F20F80"/>
    <w:rsid w:val="00F21D69"/>
    <w:rsid w:val="00F23302"/>
    <w:rsid w:val="00F24FD8"/>
    <w:rsid w:val="00F2504F"/>
    <w:rsid w:val="00F25171"/>
    <w:rsid w:val="00F2664A"/>
    <w:rsid w:val="00F26CF9"/>
    <w:rsid w:val="00F26ECE"/>
    <w:rsid w:val="00F27FA6"/>
    <w:rsid w:val="00F3007C"/>
    <w:rsid w:val="00F32695"/>
    <w:rsid w:val="00F33E17"/>
    <w:rsid w:val="00F34417"/>
    <w:rsid w:val="00F347A9"/>
    <w:rsid w:val="00F351D7"/>
    <w:rsid w:val="00F35ADD"/>
    <w:rsid w:val="00F3606E"/>
    <w:rsid w:val="00F3650D"/>
    <w:rsid w:val="00F373CB"/>
    <w:rsid w:val="00F43CBF"/>
    <w:rsid w:val="00F441EC"/>
    <w:rsid w:val="00F47255"/>
    <w:rsid w:val="00F472C4"/>
    <w:rsid w:val="00F50BEE"/>
    <w:rsid w:val="00F522D3"/>
    <w:rsid w:val="00F52891"/>
    <w:rsid w:val="00F55838"/>
    <w:rsid w:val="00F55E47"/>
    <w:rsid w:val="00F56593"/>
    <w:rsid w:val="00F608F8"/>
    <w:rsid w:val="00F60C84"/>
    <w:rsid w:val="00F61171"/>
    <w:rsid w:val="00F61809"/>
    <w:rsid w:val="00F638D0"/>
    <w:rsid w:val="00F64014"/>
    <w:rsid w:val="00F64937"/>
    <w:rsid w:val="00F66C9E"/>
    <w:rsid w:val="00F70702"/>
    <w:rsid w:val="00F708C8"/>
    <w:rsid w:val="00F70D37"/>
    <w:rsid w:val="00F710BE"/>
    <w:rsid w:val="00F723A7"/>
    <w:rsid w:val="00F72BC4"/>
    <w:rsid w:val="00F72C63"/>
    <w:rsid w:val="00F73D84"/>
    <w:rsid w:val="00F74C9F"/>
    <w:rsid w:val="00F7577A"/>
    <w:rsid w:val="00F7796B"/>
    <w:rsid w:val="00F800FC"/>
    <w:rsid w:val="00F80B12"/>
    <w:rsid w:val="00F80C50"/>
    <w:rsid w:val="00F82027"/>
    <w:rsid w:val="00F831D7"/>
    <w:rsid w:val="00F833B1"/>
    <w:rsid w:val="00F83B35"/>
    <w:rsid w:val="00F841B9"/>
    <w:rsid w:val="00F85681"/>
    <w:rsid w:val="00F85CFE"/>
    <w:rsid w:val="00F86987"/>
    <w:rsid w:val="00F8698E"/>
    <w:rsid w:val="00F9002A"/>
    <w:rsid w:val="00F9182D"/>
    <w:rsid w:val="00F91883"/>
    <w:rsid w:val="00F92B12"/>
    <w:rsid w:val="00F933C7"/>
    <w:rsid w:val="00F94780"/>
    <w:rsid w:val="00F95DC4"/>
    <w:rsid w:val="00F973E6"/>
    <w:rsid w:val="00FA0EB5"/>
    <w:rsid w:val="00FA0EE1"/>
    <w:rsid w:val="00FA182E"/>
    <w:rsid w:val="00FA37DD"/>
    <w:rsid w:val="00FA4DE2"/>
    <w:rsid w:val="00FA4EBF"/>
    <w:rsid w:val="00FA5410"/>
    <w:rsid w:val="00FA54F5"/>
    <w:rsid w:val="00FA6854"/>
    <w:rsid w:val="00FA6AC1"/>
    <w:rsid w:val="00FA7642"/>
    <w:rsid w:val="00FA77E2"/>
    <w:rsid w:val="00FB0BB9"/>
    <w:rsid w:val="00FB19DC"/>
    <w:rsid w:val="00FB1BAF"/>
    <w:rsid w:val="00FB230E"/>
    <w:rsid w:val="00FB3B04"/>
    <w:rsid w:val="00FB4156"/>
    <w:rsid w:val="00FB47D6"/>
    <w:rsid w:val="00FB52F9"/>
    <w:rsid w:val="00FB61A3"/>
    <w:rsid w:val="00FB7D47"/>
    <w:rsid w:val="00FC1368"/>
    <w:rsid w:val="00FC1ECD"/>
    <w:rsid w:val="00FC5F0B"/>
    <w:rsid w:val="00FC66F8"/>
    <w:rsid w:val="00FC6A90"/>
    <w:rsid w:val="00FD105C"/>
    <w:rsid w:val="00FD1DC2"/>
    <w:rsid w:val="00FD2E6F"/>
    <w:rsid w:val="00FD3305"/>
    <w:rsid w:val="00FD3C8F"/>
    <w:rsid w:val="00FD435D"/>
    <w:rsid w:val="00FD4A53"/>
    <w:rsid w:val="00FD4D32"/>
    <w:rsid w:val="00FD51EA"/>
    <w:rsid w:val="00FD6BC1"/>
    <w:rsid w:val="00FD79C5"/>
    <w:rsid w:val="00FD7A6C"/>
    <w:rsid w:val="00FE12FB"/>
    <w:rsid w:val="00FE1B0D"/>
    <w:rsid w:val="00FE1BD7"/>
    <w:rsid w:val="00FE286B"/>
    <w:rsid w:val="00FE2B37"/>
    <w:rsid w:val="00FE31D7"/>
    <w:rsid w:val="00FE5B13"/>
    <w:rsid w:val="00FE5CCD"/>
    <w:rsid w:val="00FE6D01"/>
    <w:rsid w:val="00FE78EC"/>
    <w:rsid w:val="00FF1AF1"/>
    <w:rsid w:val="00FF37AF"/>
    <w:rsid w:val="00FF441A"/>
    <w:rsid w:val="00FF5CE1"/>
    <w:rsid w:val="00FF6909"/>
    <w:rsid w:val="00FF6DD2"/>
    <w:rsid w:val="00FF75E9"/>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AU" w:eastAsia="en-A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lsdException w:name="toc 2" w:semiHidden="0" w:uiPriority="39"/>
    <w:lsdException w:name="toc 3" w:semiHidden="0" w:uiPriority="39"/>
    <w:lsdException w:name="toc 4" w:semiHidden="0" w:uiPriority="39"/>
    <w:lsdException w:name="toc 5" w:semiHidden="0"/>
    <w:lsdException w:name="toc 6" w:semiHidden="0"/>
    <w:lsdException w:name="toc 7" w:semiHidden="0"/>
    <w:lsdException w:name="toc 8" w:semiHidden="0"/>
    <w:lsdException w:name="toc 9" w:semiHidden="0"/>
    <w:lsdException w:name="Normal Indent" w:locked="1" w:unhideWhenUsed="1"/>
    <w:lsdException w:name="footnote text" w:locked="1" w:unhideWhenUsed="1"/>
    <w:lsdException w:name="annotation text" w:locked="1" w:unhideWhenUsed="1"/>
    <w:lsdException w:name="header" w:locked="1" w:uiPriority="0" w:unhideWhenUsed="1"/>
    <w:lsdException w:name="footer" w:locked="1" w:unhideWhenUsed="1"/>
    <w:lsdException w:name="index heading" w:locked="1" w:unhideWhenUsed="1"/>
    <w:lsdException w:name="caption" w:semiHidden="0" w:uiPriority="35"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1"/>
    <w:lsdException w:name="Body Text" w:locked="1" w:uiPriority="0"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59"/>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9C3B33"/>
    <w:rPr>
      <w:rFonts w:ascii="Arial" w:hAnsi="Arial"/>
      <w:szCs w:val="24"/>
    </w:rPr>
  </w:style>
  <w:style w:type="paragraph" w:styleId="Heading1">
    <w:name w:val="heading 1"/>
    <w:basedOn w:val="Normal"/>
    <w:next w:val="Normal"/>
    <w:link w:val="Heading1Char"/>
    <w:autoRedefine/>
    <w:qFormat/>
    <w:rsid w:val="00943B50"/>
    <w:pPr>
      <w:numPr>
        <w:numId w:val="12"/>
      </w:numPr>
      <w:spacing w:before="360" w:after="240"/>
      <w:outlineLvl w:val="0"/>
    </w:pPr>
    <w:rPr>
      <w:rFonts w:cs="Arial"/>
      <w:b/>
      <w:bCs/>
      <w:caps/>
      <w:color w:val="000000"/>
      <w:kern w:val="32"/>
      <w:sz w:val="28"/>
      <w:szCs w:val="32"/>
    </w:rPr>
  </w:style>
  <w:style w:type="paragraph" w:styleId="Heading2">
    <w:name w:val="heading 2"/>
    <w:basedOn w:val="Normal"/>
    <w:next w:val="Normal"/>
    <w:link w:val="Heading2Char"/>
    <w:autoRedefine/>
    <w:qFormat/>
    <w:rsid w:val="007E294B"/>
    <w:pPr>
      <w:keepNext/>
      <w:numPr>
        <w:ilvl w:val="1"/>
        <w:numId w:val="13"/>
      </w:numPr>
      <w:spacing w:before="360" w:after="240"/>
      <w:outlineLvl w:val="1"/>
    </w:pPr>
    <w:rPr>
      <w:rFonts w:cs="Arial"/>
      <w:b/>
      <w:bCs/>
      <w:sz w:val="28"/>
      <w:szCs w:val="22"/>
    </w:rPr>
  </w:style>
  <w:style w:type="paragraph" w:styleId="Heading3">
    <w:name w:val="heading 3"/>
    <w:basedOn w:val="Normal"/>
    <w:next w:val="Normal"/>
    <w:link w:val="Heading3Char"/>
    <w:autoRedefine/>
    <w:uiPriority w:val="99"/>
    <w:qFormat/>
    <w:rsid w:val="007E294B"/>
    <w:pPr>
      <w:keepNext/>
      <w:numPr>
        <w:ilvl w:val="2"/>
        <w:numId w:val="13"/>
      </w:numPr>
      <w:tabs>
        <w:tab w:val="num" w:pos="792"/>
      </w:tabs>
      <w:spacing w:before="240" w:after="240"/>
      <w:ind w:left="720"/>
      <w:outlineLvl w:val="2"/>
    </w:pPr>
    <w:rPr>
      <w:rFonts w:cs="Arial"/>
      <w:b/>
      <w:iCs/>
      <w:sz w:val="24"/>
      <w:szCs w:val="20"/>
    </w:rPr>
  </w:style>
  <w:style w:type="paragraph" w:styleId="Heading4">
    <w:name w:val="heading 4"/>
    <w:basedOn w:val="Heading3"/>
    <w:next w:val="BodyText"/>
    <w:link w:val="Heading4Char"/>
    <w:autoRedefine/>
    <w:qFormat/>
    <w:rsid w:val="00105B3D"/>
    <w:pPr>
      <w:tabs>
        <w:tab w:val="num" w:pos="3240"/>
      </w:tabs>
      <w:outlineLvl w:val="3"/>
    </w:pPr>
    <w:rPr>
      <w:b w:val="0"/>
      <w:i/>
      <w:iCs w:val="0"/>
    </w:rPr>
  </w:style>
  <w:style w:type="paragraph" w:styleId="Heading5">
    <w:name w:val="heading 5"/>
    <w:basedOn w:val="Normal"/>
    <w:next w:val="Normal"/>
    <w:link w:val="Heading5Char"/>
    <w:qFormat/>
    <w:rsid w:val="00D956D9"/>
    <w:pPr>
      <w:numPr>
        <w:ilvl w:val="4"/>
        <w:numId w:val="12"/>
      </w:numPr>
      <w:spacing w:before="240" w:after="60"/>
      <w:ind w:left="1008" w:hanging="1008"/>
      <w:outlineLvl w:val="4"/>
    </w:pPr>
    <w:rPr>
      <w:rFonts w:ascii="Helvetica" w:hAnsi="Helvetica"/>
      <w:szCs w:val="20"/>
      <w:lang w:eastAsia="en-US"/>
    </w:rPr>
  </w:style>
  <w:style w:type="paragraph" w:styleId="Heading6">
    <w:name w:val="heading 6"/>
    <w:basedOn w:val="Normal"/>
    <w:next w:val="Normal"/>
    <w:link w:val="Heading6Char"/>
    <w:qFormat/>
    <w:rsid w:val="00D956D9"/>
    <w:pPr>
      <w:numPr>
        <w:ilvl w:val="5"/>
        <w:numId w:val="12"/>
      </w:numPr>
      <w:spacing w:before="240" w:after="60"/>
      <w:ind w:left="1152" w:hanging="1152"/>
      <w:outlineLvl w:val="5"/>
    </w:pPr>
    <w:rPr>
      <w:rFonts w:ascii="Helvetica" w:hAnsi="Helvetica"/>
      <w:i/>
      <w:szCs w:val="20"/>
      <w:lang w:eastAsia="en-US"/>
    </w:rPr>
  </w:style>
  <w:style w:type="paragraph" w:styleId="Heading7">
    <w:name w:val="heading 7"/>
    <w:basedOn w:val="Normal"/>
    <w:next w:val="Normal"/>
    <w:link w:val="Heading7Char"/>
    <w:qFormat/>
    <w:rsid w:val="00D956D9"/>
    <w:pPr>
      <w:numPr>
        <w:ilvl w:val="6"/>
        <w:numId w:val="12"/>
      </w:numPr>
      <w:spacing w:before="240" w:after="60"/>
      <w:ind w:left="1296" w:hanging="1296"/>
      <w:outlineLvl w:val="6"/>
    </w:pPr>
    <w:rPr>
      <w:rFonts w:ascii="Helvetica" w:hAnsi="Helvetica"/>
      <w:sz w:val="20"/>
      <w:szCs w:val="20"/>
      <w:lang w:eastAsia="en-US"/>
    </w:rPr>
  </w:style>
  <w:style w:type="paragraph" w:styleId="Heading8">
    <w:name w:val="heading 8"/>
    <w:basedOn w:val="Normal"/>
    <w:next w:val="Normal"/>
    <w:link w:val="Heading8Char"/>
    <w:qFormat/>
    <w:rsid w:val="00D956D9"/>
    <w:pPr>
      <w:numPr>
        <w:ilvl w:val="7"/>
        <w:numId w:val="12"/>
      </w:numPr>
      <w:spacing w:before="240" w:after="60"/>
      <w:ind w:left="1440" w:hanging="1440"/>
      <w:outlineLvl w:val="7"/>
    </w:pPr>
    <w:rPr>
      <w:rFonts w:ascii="Helvetica" w:hAnsi="Helvetica"/>
      <w:i/>
      <w:sz w:val="20"/>
      <w:szCs w:val="20"/>
      <w:lang w:eastAsia="en-US"/>
    </w:rPr>
  </w:style>
  <w:style w:type="paragraph" w:styleId="Heading9">
    <w:name w:val="heading 9"/>
    <w:basedOn w:val="Normal"/>
    <w:next w:val="Normal"/>
    <w:link w:val="Heading9Char"/>
    <w:qFormat/>
    <w:rsid w:val="00D956D9"/>
    <w:pPr>
      <w:numPr>
        <w:ilvl w:val="8"/>
        <w:numId w:val="12"/>
      </w:numPr>
      <w:spacing w:before="240" w:after="60"/>
      <w:ind w:left="1584" w:hanging="1584"/>
      <w:outlineLvl w:val="8"/>
    </w:pPr>
    <w:rPr>
      <w:rFonts w:ascii="Helvetica" w:hAnsi="Helvetica"/>
      <w:i/>
      <w:sz w:val="1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943B50"/>
    <w:rPr>
      <w:rFonts w:ascii="Arial" w:hAnsi="Arial" w:cs="Arial"/>
      <w:b/>
      <w:bCs/>
      <w:caps/>
      <w:color w:val="000000"/>
      <w:kern w:val="32"/>
      <w:sz w:val="28"/>
      <w:szCs w:val="32"/>
    </w:rPr>
  </w:style>
  <w:style w:type="character" w:customStyle="1" w:styleId="Heading2Char">
    <w:name w:val="Heading 2 Char"/>
    <w:basedOn w:val="DefaultParagraphFont"/>
    <w:link w:val="Heading2"/>
    <w:locked/>
    <w:rsid w:val="007E294B"/>
    <w:rPr>
      <w:rFonts w:ascii="Arial" w:hAnsi="Arial" w:cs="Arial"/>
      <w:b/>
      <w:bCs/>
      <w:sz w:val="28"/>
    </w:rPr>
  </w:style>
  <w:style w:type="character" w:customStyle="1" w:styleId="Heading3Char">
    <w:name w:val="Heading 3 Char"/>
    <w:basedOn w:val="DefaultParagraphFont"/>
    <w:link w:val="Heading3"/>
    <w:uiPriority w:val="99"/>
    <w:locked/>
    <w:rsid w:val="007E294B"/>
    <w:rPr>
      <w:rFonts w:ascii="Arial" w:hAnsi="Arial" w:cs="Arial"/>
      <w:b/>
      <w:iCs/>
      <w:sz w:val="24"/>
      <w:szCs w:val="20"/>
    </w:rPr>
  </w:style>
  <w:style w:type="character" w:customStyle="1" w:styleId="Heading4Char">
    <w:name w:val="Heading 4 Char"/>
    <w:basedOn w:val="DefaultParagraphFont"/>
    <w:link w:val="Heading4"/>
    <w:locked/>
    <w:rsid w:val="00547169"/>
    <w:rPr>
      <w:rFonts w:ascii="Arial" w:hAnsi="Arial" w:cs="Arial"/>
      <w:i/>
      <w:sz w:val="24"/>
      <w:szCs w:val="20"/>
    </w:rPr>
  </w:style>
  <w:style w:type="character" w:customStyle="1" w:styleId="Heading5Char">
    <w:name w:val="Heading 5 Char"/>
    <w:basedOn w:val="DefaultParagraphFont"/>
    <w:link w:val="Heading5"/>
    <w:locked/>
    <w:rsid w:val="00D956D9"/>
    <w:rPr>
      <w:rFonts w:ascii="Helvetica" w:hAnsi="Helvetica"/>
      <w:szCs w:val="20"/>
      <w:lang w:eastAsia="en-US"/>
    </w:rPr>
  </w:style>
  <w:style w:type="character" w:customStyle="1" w:styleId="Heading6Char">
    <w:name w:val="Heading 6 Char"/>
    <w:basedOn w:val="DefaultParagraphFont"/>
    <w:link w:val="Heading6"/>
    <w:locked/>
    <w:rsid w:val="00D956D9"/>
    <w:rPr>
      <w:rFonts w:ascii="Helvetica" w:hAnsi="Helvetica"/>
      <w:i/>
      <w:szCs w:val="20"/>
      <w:lang w:eastAsia="en-US"/>
    </w:rPr>
  </w:style>
  <w:style w:type="character" w:customStyle="1" w:styleId="Heading7Char">
    <w:name w:val="Heading 7 Char"/>
    <w:basedOn w:val="DefaultParagraphFont"/>
    <w:link w:val="Heading7"/>
    <w:locked/>
    <w:rsid w:val="00D956D9"/>
    <w:rPr>
      <w:rFonts w:ascii="Helvetica" w:hAnsi="Helvetica"/>
      <w:sz w:val="20"/>
      <w:szCs w:val="20"/>
      <w:lang w:eastAsia="en-US"/>
    </w:rPr>
  </w:style>
  <w:style w:type="character" w:customStyle="1" w:styleId="Heading8Char">
    <w:name w:val="Heading 8 Char"/>
    <w:basedOn w:val="DefaultParagraphFont"/>
    <w:link w:val="Heading8"/>
    <w:locked/>
    <w:rsid w:val="00D956D9"/>
    <w:rPr>
      <w:rFonts w:ascii="Helvetica" w:hAnsi="Helvetica"/>
      <w:i/>
      <w:sz w:val="20"/>
      <w:szCs w:val="20"/>
      <w:lang w:eastAsia="en-US"/>
    </w:rPr>
  </w:style>
  <w:style w:type="character" w:customStyle="1" w:styleId="Heading9Char">
    <w:name w:val="Heading 9 Char"/>
    <w:basedOn w:val="DefaultParagraphFont"/>
    <w:link w:val="Heading9"/>
    <w:locked/>
    <w:rsid w:val="00D956D9"/>
    <w:rPr>
      <w:rFonts w:ascii="Helvetica" w:hAnsi="Helvetica"/>
      <w:i/>
      <w:sz w:val="18"/>
      <w:szCs w:val="20"/>
      <w:lang w:eastAsia="en-US"/>
    </w:rPr>
  </w:style>
  <w:style w:type="paragraph" w:customStyle="1" w:styleId="PresentationDate">
    <w:name w:val="Presentation Date"/>
    <w:basedOn w:val="ListBullet"/>
    <w:uiPriority w:val="99"/>
    <w:semiHidden/>
    <w:rsid w:val="00676132"/>
    <w:pPr>
      <w:numPr>
        <w:numId w:val="0"/>
      </w:numPr>
      <w:spacing w:line="312" w:lineRule="auto"/>
    </w:pPr>
    <w:rPr>
      <w:rFonts w:cs="Arial"/>
      <w:sz w:val="14"/>
      <w:szCs w:val="14"/>
    </w:rPr>
  </w:style>
  <w:style w:type="paragraph" w:styleId="ListBullet">
    <w:name w:val="List Bullet"/>
    <w:basedOn w:val="BodyText"/>
    <w:autoRedefine/>
    <w:uiPriority w:val="99"/>
    <w:rsid w:val="00676132"/>
    <w:pPr>
      <w:numPr>
        <w:numId w:val="4"/>
      </w:numPr>
      <w:tabs>
        <w:tab w:val="clear" w:pos="360"/>
      </w:tabs>
      <w:ind w:left="357" w:hanging="357"/>
    </w:pPr>
  </w:style>
  <w:style w:type="paragraph" w:styleId="BodyText">
    <w:name w:val="Body Text"/>
    <w:basedOn w:val="Normal"/>
    <w:link w:val="BodyTextChar1"/>
    <w:autoRedefine/>
    <w:rsid w:val="002E0BD6"/>
    <w:pPr>
      <w:spacing w:before="120" w:line="288" w:lineRule="auto"/>
    </w:pPr>
    <w:rPr>
      <w:rFonts w:ascii="Times New Roman" w:hAnsi="Times New Roman"/>
      <w:szCs w:val="22"/>
      <w:lang w:eastAsia="en-US"/>
    </w:rPr>
  </w:style>
  <w:style w:type="character" w:customStyle="1" w:styleId="BodyTextChar">
    <w:name w:val="Body Text Char"/>
    <w:basedOn w:val="DefaultParagraphFont"/>
    <w:locked/>
    <w:rsid w:val="000A4E16"/>
    <w:rPr>
      <w:rFonts w:ascii="Arial" w:hAnsi="Arial" w:cs="Times New Roman"/>
      <w:sz w:val="24"/>
      <w:szCs w:val="24"/>
      <w:lang w:val="en-AU" w:eastAsia="en-US" w:bidi="ar-SA"/>
    </w:rPr>
  </w:style>
  <w:style w:type="paragraph" w:styleId="Caption">
    <w:name w:val="caption"/>
    <w:basedOn w:val="Normal"/>
    <w:next w:val="Normal"/>
    <w:link w:val="CaptionChar"/>
    <w:autoRedefine/>
    <w:uiPriority w:val="35"/>
    <w:qFormat/>
    <w:rsid w:val="004F4DDE"/>
    <w:pPr>
      <w:spacing w:before="120" w:after="240" w:line="240" w:lineRule="atLeast"/>
      <w:jc w:val="both"/>
    </w:pPr>
    <w:rPr>
      <w:rFonts w:ascii="Times New Roman" w:hAnsi="Times New Roman"/>
      <w:bCs/>
      <w:color w:val="000000"/>
      <w:szCs w:val="22"/>
    </w:rPr>
  </w:style>
  <w:style w:type="paragraph" w:styleId="TOC2">
    <w:name w:val="toc 2"/>
    <w:basedOn w:val="Normal"/>
    <w:next w:val="Normal"/>
    <w:autoRedefine/>
    <w:uiPriority w:val="39"/>
    <w:rsid w:val="00216ABB"/>
    <w:pPr>
      <w:tabs>
        <w:tab w:val="right" w:leader="dot" w:pos="9061"/>
      </w:tabs>
      <w:spacing w:before="240"/>
      <w:ind w:left="567"/>
    </w:pPr>
    <w:rPr>
      <w:b/>
      <w:sz w:val="24"/>
      <w:szCs w:val="20"/>
    </w:rPr>
  </w:style>
  <w:style w:type="paragraph" w:styleId="TOC1">
    <w:name w:val="toc 1"/>
    <w:basedOn w:val="Normal"/>
    <w:next w:val="Normal"/>
    <w:link w:val="TOC1Char"/>
    <w:autoRedefine/>
    <w:uiPriority w:val="39"/>
    <w:rsid w:val="00932E73"/>
    <w:pPr>
      <w:tabs>
        <w:tab w:val="right" w:leader="dot" w:pos="9061"/>
      </w:tabs>
      <w:spacing w:before="360"/>
    </w:pPr>
    <w:rPr>
      <w:rFonts w:ascii="Arial Bold" w:hAnsi="Arial Bold"/>
      <w:b/>
      <w:caps/>
      <w:sz w:val="24"/>
    </w:rPr>
  </w:style>
  <w:style w:type="paragraph" w:styleId="TOC3">
    <w:name w:val="toc 3"/>
    <w:basedOn w:val="Normal"/>
    <w:next w:val="Normal"/>
    <w:uiPriority w:val="39"/>
    <w:rsid w:val="00216ABB"/>
    <w:pPr>
      <w:ind w:left="1134"/>
    </w:pPr>
    <w:rPr>
      <w:b/>
    </w:rPr>
  </w:style>
  <w:style w:type="paragraph" w:styleId="BalloonText">
    <w:name w:val="Balloon Text"/>
    <w:basedOn w:val="Normal"/>
    <w:link w:val="BalloonTextChar"/>
    <w:uiPriority w:val="99"/>
    <w:semiHidden/>
    <w:rsid w:val="00E37C2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52383"/>
    <w:rPr>
      <w:rFonts w:cs="Times New Roman"/>
      <w:sz w:val="2"/>
    </w:rPr>
  </w:style>
  <w:style w:type="character" w:customStyle="1" w:styleId="CaptionChar">
    <w:name w:val="Caption Char"/>
    <w:basedOn w:val="DefaultParagraphFont"/>
    <w:link w:val="Caption"/>
    <w:uiPriority w:val="35"/>
    <w:locked/>
    <w:rsid w:val="004F4DDE"/>
    <w:rPr>
      <w:rFonts w:cs="Times New Roman"/>
      <w:bCs/>
      <w:color w:val="000000"/>
      <w:sz w:val="22"/>
      <w:szCs w:val="22"/>
      <w:lang w:val="en-AU" w:eastAsia="en-AU"/>
    </w:rPr>
  </w:style>
  <w:style w:type="paragraph" w:customStyle="1" w:styleId="TableText">
    <w:name w:val="Table Text"/>
    <w:basedOn w:val="Normal"/>
    <w:autoRedefine/>
    <w:uiPriority w:val="99"/>
    <w:rsid w:val="00DB3B0E"/>
    <w:pPr>
      <w:spacing w:before="100" w:after="40" w:line="240" w:lineRule="atLeast"/>
    </w:pPr>
    <w:rPr>
      <w:rFonts w:ascii="Times New Roman" w:hAnsi="Times New Roman"/>
    </w:rPr>
  </w:style>
  <w:style w:type="paragraph" w:customStyle="1" w:styleId="Reportbody">
    <w:name w:val="Report_body"/>
    <w:basedOn w:val="Normal"/>
    <w:link w:val="ReportbodyChar"/>
    <w:uiPriority w:val="99"/>
    <w:semiHidden/>
    <w:rsid w:val="00312102"/>
    <w:pPr>
      <w:spacing w:after="120" w:line="260" w:lineRule="exact"/>
    </w:pPr>
    <w:rPr>
      <w:rFonts w:eastAsia="MS Mincho"/>
      <w:lang w:val="en-US" w:eastAsia="en-US"/>
    </w:rPr>
  </w:style>
  <w:style w:type="character" w:customStyle="1" w:styleId="ReportbodyChar">
    <w:name w:val="Report_body Char"/>
    <w:basedOn w:val="DefaultParagraphFont"/>
    <w:link w:val="Reportbody"/>
    <w:uiPriority w:val="99"/>
    <w:locked/>
    <w:rsid w:val="00312102"/>
    <w:rPr>
      <w:rFonts w:ascii="Arial" w:eastAsia="MS Mincho" w:hAnsi="Arial" w:cs="Times New Roman"/>
      <w:sz w:val="24"/>
      <w:szCs w:val="24"/>
      <w:lang w:val="en-US" w:eastAsia="en-US" w:bidi="ar-SA"/>
    </w:rPr>
  </w:style>
  <w:style w:type="paragraph" w:customStyle="1" w:styleId="CoverTitle1">
    <w:name w:val="CoverTitle1"/>
    <w:basedOn w:val="Normal"/>
    <w:link w:val="CoverTitle1Char"/>
    <w:autoRedefine/>
    <w:uiPriority w:val="99"/>
    <w:rsid w:val="00EF4ECA"/>
    <w:pPr>
      <w:keepNext/>
    </w:pPr>
    <w:rPr>
      <w:sz w:val="16"/>
      <w:szCs w:val="16"/>
    </w:rPr>
  </w:style>
  <w:style w:type="paragraph" w:customStyle="1" w:styleId="CoverTitle2">
    <w:name w:val="CoverTitle2"/>
    <w:basedOn w:val="Normal"/>
    <w:next w:val="Normal"/>
    <w:link w:val="CoverTitle2Char"/>
    <w:autoRedefine/>
    <w:uiPriority w:val="99"/>
    <w:rsid w:val="00347513"/>
    <w:pPr>
      <w:spacing w:line="280" w:lineRule="atLeast"/>
      <w:ind w:right="68"/>
    </w:pPr>
    <w:rPr>
      <w:color w:val="000000"/>
      <w:sz w:val="24"/>
      <w:szCs w:val="22"/>
    </w:rPr>
  </w:style>
  <w:style w:type="character" w:customStyle="1" w:styleId="CoverTitle2Char">
    <w:name w:val="CoverTitle2 Char"/>
    <w:basedOn w:val="DefaultParagraphFont"/>
    <w:link w:val="CoverTitle2"/>
    <w:uiPriority w:val="99"/>
    <w:locked/>
    <w:rsid w:val="00347513"/>
    <w:rPr>
      <w:rFonts w:ascii="Arial" w:hAnsi="Arial" w:cs="Times New Roman"/>
      <w:color w:val="000000"/>
      <w:sz w:val="22"/>
      <w:szCs w:val="22"/>
      <w:lang w:val="en-AU" w:eastAsia="en-AU" w:bidi="ar-SA"/>
    </w:rPr>
  </w:style>
  <w:style w:type="character" w:customStyle="1" w:styleId="CoverTitle1Char">
    <w:name w:val="CoverTitle1 Char"/>
    <w:basedOn w:val="DefaultParagraphFont"/>
    <w:link w:val="CoverTitle1"/>
    <w:uiPriority w:val="99"/>
    <w:locked/>
    <w:rsid w:val="00EF4ECA"/>
    <w:rPr>
      <w:rFonts w:ascii="Arial" w:hAnsi="Arial" w:cs="Times New Roman"/>
      <w:sz w:val="16"/>
      <w:szCs w:val="16"/>
      <w:lang w:val="en-AU" w:eastAsia="en-AU"/>
    </w:rPr>
  </w:style>
  <w:style w:type="paragraph" w:customStyle="1" w:styleId="CoverTitle3">
    <w:name w:val="CoverTitle3"/>
    <w:basedOn w:val="Normal"/>
    <w:uiPriority w:val="99"/>
    <w:semiHidden/>
    <w:rsid w:val="003B71BC"/>
    <w:pPr>
      <w:spacing w:before="100" w:after="100"/>
    </w:pPr>
    <w:rPr>
      <w:color w:val="FFFFFF"/>
      <w:sz w:val="18"/>
    </w:rPr>
  </w:style>
  <w:style w:type="paragraph" w:customStyle="1" w:styleId="Notice">
    <w:name w:val="Notice"/>
    <w:basedOn w:val="BodyText"/>
    <w:uiPriority w:val="99"/>
    <w:semiHidden/>
    <w:rsid w:val="00676132"/>
    <w:pPr>
      <w:shd w:val="clear" w:color="auto" w:fill="D9D9D9"/>
    </w:pPr>
    <w:rPr>
      <w:sz w:val="18"/>
      <w:szCs w:val="18"/>
    </w:rPr>
  </w:style>
  <w:style w:type="character" w:customStyle="1" w:styleId="Red">
    <w:name w:val="Red"/>
    <w:basedOn w:val="DefaultParagraphFont"/>
    <w:uiPriority w:val="99"/>
    <w:rsid w:val="00CC4966"/>
    <w:rPr>
      <w:rFonts w:ascii="Arial" w:hAnsi="Arial" w:cs="Times New Roman"/>
      <w:color w:val="FF0000"/>
      <w:sz w:val="22"/>
    </w:rPr>
  </w:style>
  <w:style w:type="character" w:styleId="CommentReference">
    <w:name w:val="annotation reference"/>
    <w:basedOn w:val="DefaultParagraphFont"/>
    <w:uiPriority w:val="99"/>
    <w:semiHidden/>
    <w:rsid w:val="00E37C28"/>
    <w:rPr>
      <w:rFonts w:cs="Times New Roman"/>
      <w:sz w:val="16"/>
      <w:szCs w:val="16"/>
    </w:rPr>
  </w:style>
  <w:style w:type="paragraph" w:styleId="Footer">
    <w:name w:val="footer"/>
    <w:basedOn w:val="Normal"/>
    <w:link w:val="FooterChar"/>
    <w:uiPriority w:val="99"/>
    <w:rsid w:val="0081081F"/>
    <w:pPr>
      <w:tabs>
        <w:tab w:val="right" w:pos="9072"/>
      </w:tabs>
    </w:pPr>
    <w:rPr>
      <w:sz w:val="16"/>
      <w:szCs w:val="16"/>
    </w:rPr>
  </w:style>
  <w:style w:type="character" w:customStyle="1" w:styleId="FooterChar">
    <w:name w:val="Footer Char"/>
    <w:basedOn w:val="DefaultParagraphFont"/>
    <w:link w:val="Footer"/>
    <w:uiPriority w:val="99"/>
    <w:locked/>
    <w:rsid w:val="00E52383"/>
    <w:rPr>
      <w:rFonts w:ascii="Arial" w:hAnsi="Arial" w:cs="Times New Roman"/>
      <w:sz w:val="24"/>
      <w:szCs w:val="24"/>
    </w:rPr>
  </w:style>
  <w:style w:type="paragraph" w:styleId="CommentText">
    <w:name w:val="annotation text"/>
    <w:basedOn w:val="Normal"/>
    <w:link w:val="CommentTextChar"/>
    <w:uiPriority w:val="99"/>
    <w:semiHidden/>
    <w:rsid w:val="00E37C28"/>
    <w:rPr>
      <w:sz w:val="20"/>
      <w:szCs w:val="20"/>
    </w:rPr>
  </w:style>
  <w:style w:type="character" w:customStyle="1" w:styleId="CommentTextChar">
    <w:name w:val="Comment Text Char"/>
    <w:basedOn w:val="DefaultParagraphFont"/>
    <w:link w:val="CommentText"/>
    <w:uiPriority w:val="99"/>
    <w:locked/>
    <w:rsid w:val="0074119B"/>
    <w:rPr>
      <w:rFonts w:ascii="Arial" w:hAnsi="Arial" w:cs="Times New Roman"/>
      <w:lang w:val="en-AU" w:eastAsia="en-AU" w:bidi="ar-SA"/>
    </w:rPr>
  </w:style>
  <w:style w:type="paragraph" w:styleId="CommentSubject">
    <w:name w:val="annotation subject"/>
    <w:basedOn w:val="CommentText"/>
    <w:next w:val="CommentText"/>
    <w:link w:val="CommentSubjectChar"/>
    <w:uiPriority w:val="99"/>
    <w:semiHidden/>
    <w:rsid w:val="00E37C28"/>
    <w:rPr>
      <w:b/>
      <w:bCs/>
    </w:rPr>
  </w:style>
  <w:style w:type="character" w:customStyle="1" w:styleId="CommentSubjectChar">
    <w:name w:val="Comment Subject Char"/>
    <w:basedOn w:val="CommentTextChar"/>
    <w:link w:val="CommentSubject"/>
    <w:uiPriority w:val="99"/>
    <w:semiHidden/>
    <w:locked/>
    <w:rsid w:val="00E52383"/>
    <w:rPr>
      <w:rFonts w:ascii="Arial" w:hAnsi="Arial" w:cs="Times New Roman"/>
      <w:b/>
      <w:bCs/>
      <w:sz w:val="20"/>
      <w:szCs w:val="20"/>
      <w:lang w:val="en-AU" w:eastAsia="en-AU" w:bidi="ar-SA"/>
    </w:rPr>
  </w:style>
  <w:style w:type="paragraph" w:styleId="DocumentMap">
    <w:name w:val="Document Map"/>
    <w:basedOn w:val="Normal"/>
    <w:link w:val="DocumentMapChar"/>
    <w:uiPriority w:val="99"/>
    <w:semiHidden/>
    <w:rsid w:val="00E37C28"/>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52383"/>
    <w:rPr>
      <w:rFonts w:cs="Times New Roman"/>
      <w:sz w:val="2"/>
    </w:rPr>
  </w:style>
  <w:style w:type="character" w:styleId="EndnoteReference">
    <w:name w:val="endnote reference"/>
    <w:basedOn w:val="DefaultParagraphFont"/>
    <w:uiPriority w:val="99"/>
    <w:semiHidden/>
    <w:rsid w:val="00E37C28"/>
    <w:rPr>
      <w:rFonts w:cs="Times New Roman"/>
      <w:vertAlign w:val="superscript"/>
    </w:rPr>
  </w:style>
  <w:style w:type="paragraph" w:styleId="EndnoteText">
    <w:name w:val="endnote text"/>
    <w:basedOn w:val="Normal"/>
    <w:link w:val="EndnoteTextChar"/>
    <w:uiPriority w:val="99"/>
    <w:semiHidden/>
    <w:rsid w:val="00E37C28"/>
    <w:rPr>
      <w:sz w:val="20"/>
      <w:szCs w:val="20"/>
    </w:rPr>
  </w:style>
  <w:style w:type="character" w:customStyle="1" w:styleId="EndnoteTextChar">
    <w:name w:val="Endnote Text Char"/>
    <w:basedOn w:val="DefaultParagraphFont"/>
    <w:link w:val="EndnoteText"/>
    <w:uiPriority w:val="99"/>
    <w:semiHidden/>
    <w:locked/>
    <w:rsid w:val="00E52383"/>
    <w:rPr>
      <w:rFonts w:ascii="Arial" w:hAnsi="Arial" w:cs="Times New Roman"/>
      <w:sz w:val="20"/>
      <w:szCs w:val="20"/>
    </w:rPr>
  </w:style>
  <w:style w:type="character" w:styleId="FootnoteReference">
    <w:name w:val="footnote reference"/>
    <w:basedOn w:val="DefaultParagraphFont"/>
    <w:uiPriority w:val="99"/>
    <w:semiHidden/>
    <w:rsid w:val="00E37C28"/>
    <w:rPr>
      <w:rFonts w:cs="Times New Roman"/>
      <w:vertAlign w:val="superscript"/>
    </w:rPr>
  </w:style>
  <w:style w:type="paragraph" w:styleId="FootnoteText">
    <w:name w:val="footnote text"/>
    <w:basedOn w:val="Normal"/>
    <w:link w:val="FootnoteTextChar"/>
    <w:uiPriority w:val="99"/>
    <w:semiHidden/>
    <w:rsid w:val="00E37C28"/>
    <w:rPr>
      <w:sz w:val="20"/>
      <w:szCs w:val="20"/>
    </w:rPr>
  </w:style>
  <w:style w:type="character" w:customStyle="1" w:styleId="FootnoteTextChar">
    <w:name w:val="Footnote Text Char"/>
    <w:basedOn w:val="DefaultParagraphFont"/>
    <w:link w:val="FootnoteText"/>
    <w:uiPriority w:val="99"/>
    <w:semiHidden/>
    <w:locked/>
    <w:rsid w:val="00E52383"/>
    <w:rPr>
      <w:rFonts w:ascii="Arial" w:hAnsi="Arial" w:cs="Times New Roman"/>
      <w:sz w:val="20"/>
      <w:szCs w:val="20"/>
    </w:rPr>
  </w:style>
  <w:style w:type="paragraph" w:styleId="Index1">
    <w:name w:val="index 1"/>
    <w:basedOn w:val="Normal"/>
    <w:next w:val="Normal"/>
    <w:autoRedefine/>
    <w:uiPriority w:val="99"/>
    <w:semiHidden/>
    <w:rsid w:val="00E37C28"/>
    <w:pPr>
      <w:ind w:left="220" w:hanging="220"/>
    </w:pPr>
  </w:style>
  <w:style w:type="paragraph" w:styleId="Index2">
    <w:name w:val="index 2"/>
    <w:basedOn w:val="Normal"/>
    <w:next w:val="Normal"/>
    <w:autoRedefine/>
    <w:uiPriority w:val="99"/>
    <w:semiHidden/>
    <w:rsid w:val="00E37C28"/>
    <w:pPr>
      <w:ind w:left="440" w:hanging="220"/>
    </w:pPr>
  </w:style>
  <w:style w:type="paragraph" w:styleId="Index3">
    <w:name w:val="index 3"/>
    <w:basedOn w:val="Normal"/>
    <w:next w:val="Normal"/>
    <w:autoRedefine/>
    <w:uiPriority w:val="99"/>
    <w:semiHidden/>
    <w:rsid w:val="00E37C28"/>
    <w:pPr>
      <w:ind w:left="660" w:hanging="220"/>
    </w:pPr>
  </w:style>
  <w:style w:type="paragraph" w:styleId="Index4">
    <w:name w:val="index 4"/>
    <w:basedOn w:val="Normal"/>
    <w:next w:val="Normal"/>
    <w:autoRedefine/>
    <w:uiPriority w:val="99"/>
    <w:semiHidden/>
    <w:rsid w:val="00E37C28"/>
    <w:pPr>
      <w:ind w:left="880" w:hanging="220"/>
    </w:pPr>
  </w:style>
  <w:style w:type="paragraph" w:styleId="Index5">
    <w:name w:val="index 5"/>
    <w:basedOn w:val="Normal"/>
    <w:next w:val="Normal"/>
    <w:autoRedefine/>
    <w:uiPriority w:val="99"/>
    <w:semiHidden/>
    <w:rsid w:val="00E37C28"/>
    <w:pPr>
      <w:ind w:left="1100" w:hanging="220"/>
    </w:pPr>
  </w:style>
  <w:style w:type="paragraph" w:styleId="Index6">
    <w:name w:val="index 6"/>
    <w:basedOn w:val="Normal"/>
    <w:next w:val="Normal"/>
    <w:autoRedefine/>
    <w:uiPriority w:val="99"/>
    <w:semiHidden/>
    <w:rsid w:val="00E37C28"/>
    <w:pPr>
      <w:ind w:left="1320" w:hanging="220"/>
    </w:pPr>
  </w:style>
  <w:style w:type="paragraph" w:styleId="Index7">
    <w:name w:val="index 7"/>
    <w:basedOn w:val="Normal"/>
    <w:next w:val="Normal"/>
    <w:autoRedefine/>
    <w:uiPriority w:val="99"/>
    <w:semiHidden/>
    <w:rsid w:val="00E37C28"/>
    <w:pPr>
      <w:ind w:left="1540" w:hanging="220"/>
    </w:pPr>
  </w:style>
  <w:style w:type="paragraph" w:styleId="Index8">
    <w:name w:val="index 8"/>
    <w:basedOn w:val="Normal"/>
    <w:next w:val="Normal"/>
    <w:autoRedefine/>
    <w:uiPriority w:val="99"/>
    <w:semiHidden/>
    <w:rsid w:val="00E37C28"/>
    <w:pPr>
      <w:ind w:left="1760" w:hanging="220"/>
    </w:pPr>
  </w:style>
  <w:style w:type="paragraph" w:styleId="Index9">
    <w:name w:val="index 9"/>
    <w:basedOn w:val="Normal"/>
    <w:next w:val="Normal"/>
    <w:autoRedefine/>
    <w:uiPriority w:val="99"/>
    <w:semiHidden/>
    <w:rsid w:val="00E37C28"/>
    <w:pPr>
      <w:ind w:left="1980" w:hanging="220"/>
    </w:pPr>
  </w:style>
  <w:style w:type="paragraph" w:styleId="IndexHeading">
    <w:name w:val="index heading"/>
    <w:basedOn w:val="Normal"/>
    <w:next w:val="Index1"/>
    <w:uiPriority w:val="99"/>
    <w:semiHidden/>
    <w:rsid w:val="00E37C28"/>
    <w:rPr>
      <w:rFonts w:cs="Arial"/>
      <w:b/>
      <w:bCs/>
    </w:rPr>
  </w:style>
  <w:style w:type="paragraph" w:styleId="MacroText">
    <w:name w:val="macro"/>
    <w:link w:val="MacroTextChar"/>
    <w:uiPriority w:val="99"/>
    <w:semiHidden/>
    <w:rsid w:val="00E37C28"/>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0"/>
      <w:szCs w:val="20"/>
    </w:rPr>
  </w:style>
  <w:style w:type="character" w:customStyle="1" w:styleId="MacroTextChar">
    <w:name w:val="Macro Text Char"/>
    <w:basedOn w:val="DefaultParagraphFont"/>
    <w:link w:val="MacroText"/>
    <w:uiPriority w:val="99"/>
    <w:semiHidden/>
    <w:locked/>
    <w:rsid w:val="00E52383"/>
    <w:rPr>
      <w:rFonts w:ascii="Courier New" w:hAnsi="Courier New" w:cs="Courier New"/>
      <w:lang w:val="en-AU" w:eastAsia="en-AU" w:bidi="ar-SA"/>
    </w:rPr>
  </w:style>
  <w:style w:type="paragraph" w:styleId="TOAHeading">
    <w:name w:val="toa heading"/>
    <w:basedOn w:val="Normal"/>
    <w:next w:val="Normal"/>
    <w:uiPriority w:val="99"/>
    <w:semiHidden/>
    <w:rsid w:val="00E37C28"/>
    <w:pPr>
      <w:spacing w:before="120"/>
    </w:pPr>
    <w:rPr>
      <w:rFonts w:cs="Arial"/>
      <w:b/>
      <w:bCs/>
      <w:sz w:val="24"/>
    </w:rPr>
  </w:style>
  <w:style w:type="paragraph" w:styleId="TOC4">
    <w:name w:val="toc 4"/>
    <w:basedOn w:val="Normal"/>
    <w:next w:val="Normal"/>
    <w:autoRedefine/>
    <w:uiPriority w:val="39"/>
    <w:rsid w:val="00932E73"/>
    <w:pPr>
      <w:ind w:left="1134"/>
    </w:pPr>
    <w:rPr>
      <w:i/>
    </w:rPr>
  </w:style>
  <w:style w:type="paragraph" w:styleId="TOC5">
    <w:name w:val="toc 5"/>
    <w:basedOn w:val="Normal"/>
    <w:next w:val="Normal"/>
    <w:autoRedefine/>
    <w:uiPriority w:val="99"/>
    <w:semiHidden/>
    <w:rsid w:val="00E37C28"/>
    <w:pPr>
      <w:ind w:left="880"/>
    </w:pPr>
  </w:style>
  <w:style w:type="paragraph" w:styleId="TOC6">
    <w:name w:val="toc 6"/>
    <w:basedOn w:val="Normal"/>
    <w:next w:val="Normal"/>
    <w:autoRedefine/>
    <w:uiPriority w:val="99"/>
    <w:semiHidden/>
    <w:rsid w:val="00E37C28"/>
    <w:pPr>
      <w:ind w:left="1100"/>
    </w:pPr>
  </w:style>
  <w:style w:type="paragraph" w:styleId="TOC7">
    <w:name w:val="toc 7"/>
    <w:basedOn w:val="Normal"/>
    <w:next w:val="Normal"/>
    <w:autoRedefine/>
    <w:uiPriority w:val="99"/>
    <w:semiHidden/>
    <w:rsid w:val="00E37C28"/>
    <w:pPr>
      <w:ind w:left="1320"/>
    </w:pPr>
  </w:style>
  <w:style w:type="paragraph" w:styleId="TOC8">
    <w:name w:val="toc 8"/>
    <w:basedOn w:val="Normal"/>
    <w:next w:val="Normal"/>
    <w:autoRedefine/>
    <w:uiPriority w:val="99"/>
    <w:semiHidden/>
    <w:rsid w:val="00E37C28"/>
    <w:pPr>
      <w:ind w:left="1540"/>
    </w:pPr>
  </w:style>
  <w:style w:type="paragraph" w:styleId="TOC9">
    <w:name w:val="toc 9"/>
    <w:basedOn w:val="Normal"/>
    <w:next w:val="Normal"/>
    <w:autoRedefine/>
    <w:uiPriority w:val="99"/>
    <w:semiHidden/>
    <w:rsid w:val="00E37C28"/>
    <w:pPr>
      <w:ind w:left="1760"/>
    </w:pPr>
  </w:style>
  <w:style w:type="character" w:customStyle="1" w:styleId="TOC1Char">
    <w:name w:val="TOC 1 Char"/>
    <w:basedOn w:val="DefaultParagraphFont"/>
    <w:link w:val="TOC1"/>
    <w:uiPriority w:val="39"/>
    <w:locked/>
    <w:rsid w:val="00932E73"/>
    <w:rPr>
      <w:rFonts w:ascii="Arial Bold" w:hAnsi="Arial Bold" w:cs="Times New Roman"/>
      <w:b/>
      <w:caps/>
      <w:sz w:val="24"/>
      <w:szCs w:val="24"/>
      <w:lang w:val="en-AU" w:eastAsia="en-AU" w:bidi="ar-SA"/>
    </w:rPr>
  </w:style>
  <w:style w:type="character" w:styleId="Hyperlink">
    <w:name w:val="Hyperlink"/>
    <w:basedOn w:val="DefaultParagraphFont"/>
    <w:uiPriority w:val="99"/>
    <w:rsid w:val="00E37C28"/>
    <w:rPr>
      <w:rFonts w:cs="Times New Roman"/>
      <w:color w:val="0000FF"/>
      <w:u w:val="single"/>
    </w:rPr>
  </w:style>
  <w:style w:type="paragraph" w:customStyle="1" w:styleId="Tableheading">
    <w:name w:val="Table heading"/>
    <w:basedOn w:val="Caption"/>
    <w:next w:val="TableText"/>
    <w:autoRedefine/>
    <w:uiPriority w:val="99"/>
    <w:semiHidden/>
    <w:rsid w:val="003C4415"/>
  </w:style>
  <w:style w:type="paragraph" w:styleId="Header">
    <w:name w:val="header"/>
    <w:basedOn w:val="Normal"/>
    <w:link w:val="HeaderChar"/>
    <w:semiHidden/>
    <w:rsid w:val="00BF1305"/>
    <w:pPr>
      <w:tabs>
        <w:tab w:val="center" w:pos="4153"/>
        <w:tab w:val="right" w:pos="8306"/>
      </w:tabs>
    </w:pPr>
  </w:style>
  <w:style w:type="character" w:customStyle="1" w:styleId="HeaderChar">
    <w:name w:val="Header Char"/>
    <w:basedOn w:val="DefaultParagraphFont"/>
    <w:link w:val="Header"/>
    <w:uiPriority w:val="99"/>
    <w:semiHidden/>
    <w:locked/>
    <w:rsid w:val="00E52383"/>
    <w:rPr>
      <w:rFonts w:ascii="Arial" w:hAnsi="Arial" w:cs="Times New Roman"/>
      <w:sz w:val="24"/>
      <w:szCs w:val="24"/>
    </w:rPr>
  </w:style>
  <w:style w:type="character" w:styleId="PageNumber">
    <w:name w:val="page number"/>
    <w:basedOn w:val="DefaultParagraphFont"/>
    <w:uiPriority w:val="99"/>
    <w:semiHidden/>
    <w:rsid w:val="00BF1305"/>
    <w:rPr>
      <w:rFonts w:cs="Times New Roman"/>
    </w:rPr>
  </w:style>
  <w:style w:type="paragraph" w:customStyle="1" w:styleId="CommercialinConfidence">
    <w:name w:val="Commercial in Confidence"/>
    <w:basedOn w:val="Heading2"/>
    <w:uiPriority w:val="99"/>
    <w:semiHidden/>
    <w:rsid w:val="00A6111E"/>
    <w:pPr>
      <w:spacing w:before="0" w:after="4" w:line="280" w:lineRule="exact"/>
    </w:pPr>
    <w:rPr>
      <w:bCs w:val="0"/>
      <w:iCs/>
      <w:color w:val="000000"/>
      <w:szCs w:val="24"/>
      <w:lang w:val="en-US" w:eastAsia="en-US"/>
    </w:rPr>
  </w:style>
  <w:style w:type="table" w:styleId="TableContemporary">
    <w:name w:val="Table Contemporary"/>
    <w:basedOn w:val="TableNormal"/>
    <w:uiPriority w:val="99"/>
    <w:semiHidden/>
    <w:rsid w:val="007E4959"/>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customStyle="1" w:styleId="Dot1">
    <w:name w:val="Dot 1"/>
    <w:basedOn w:val="BodyText"/>
    <w:uiPriority w:val="99"/>
    <w:semiHidden/>
    <w:rsid w:val="00676132"/>
    <w:pPr>
      <w:numPr>
        <w:numId w:val="5"/>
      </w:numPr>
      <w:tabs>
        <w:tab w:val="left" w:pos="360"/>
      </w:tabs>
      <w:spacing w:after="160" w:line="280" w:lineRule="exact"/>
      <w:ind w:left="357" w:hanging="357"/>
    </w:pPr>
  </w:style>
  <w:style w:type="paragraph" w:customStyle="1" w:styleId="Cover-Title">
    <w:name w:val="Cover - Title"/>
    <w:basedOn w:val="Heading1"/>
    <w:uiPriority w:val="99"/>
    <w:semiHidden/>
    <w:rsid w:val="0025317F"/>
    <w:rPr>
      <w:color w:val="auto"/>
      <w:sz w:val="36"/>
      <w:szCs w:val="36"/>
    </w:rPr>
  </w:style>
  <w:style w:type="character" w:customStyle="1" w:styleId="BodyTextChar1">
    <w:name w:val="Body Text Char1"/>
    <w:basedOn w:val="DefaultParagraphFont"/>
    <w:link w:val="BodyText"/>
    <w:locked/>
    <w:rsid w:val="002E0BD6"/>
    <w:rPr>
      <w:lang w:eastAsia="en-US"/>
    </w:rPr>
  </w:style>
  <w:style w:type="paragraph" w:styleId="BlockText">
    <w:name w:val="Block Text"/>
    <w:basedOn w:val="Normal"/>
    <w:uiPriority w:val="99"/>
    <w:semiHidden/>
    <w:rsid w:val="007E4959"/>
    <w:pPr>
      <w:spacing w:after="120"/>
      <w:ind w:left="1440" w:right="1440"/>
    </w:pPr>
  </w:style>
  <w:style w:type="paragraph" w:customStyle="1" w:styleId="Dot2">
    <w:name w:val="Dot 2"/>
    <w:basedOn w:val="ListBullet"/>
    <w:autoRedefine/>
    <w:uiPriority w:val="99"/>
    <w:semiHidden/>
    <w:rsid w:val="00676132"/>
    <w:pPr>
      <w:tabs>
        <w:tab w:val="left" w:pos="709"/>
      </w:tabs>
      <w:ind w:left="714"/>
    </w:pPr>
  </w:style>
  <w:style w:type="paragraph" w:customStyle="1" w:styleId="Numberedlist">
    <w:name w:val="Numbered list"/>
    <w:basedOn w:val="BodyText"/>
    <w:uiPriority w:val="99"/>
    <w:rsid w:val="00676132"/>
    <w:pPr>
      <w:numPr>
        <w:numId w:val="6"/>
      </w:numPr>
      <w:spacing w:line="280" w:lineRule="exact"/>
    </w:pPr>
  </w:style>
  <w:style w:type="paragraph" w:customStyle="1" w:styleId="indent">
    <w:name w:val="indent"/>
    <w:basedOn w:val="BodyText"/>
    <w:next w:val="Normal"/>
    <w:uiPriority w:val="99"/>
    <w:semiHidden/>
    <w:rsid w:val="00676132"/>
    <w:pPr>
      <w:spacing w:line="280" w:lineRule="exact"/>
      <w:ind w:left="709"/>
    </w:pPr>
  </w:style>
  <w:style w:type="character" w:customStyle="1" w:styleId="italic">
    <w:name w:val="italic"/>
    <w:basedOn w:val="DefaultParagraphFont"/>
    <w:uiPriority w:val="99"/>
    <w:semiHidden/>
    <w:rsid w:val="001118AD"/>
    <w:rPr>
      <w:rFonts w:cs="Times New Roman"/>
      <w:i/>
    </w:rPr>
  </w:style>
  <w:style w:type="paragraph" w:styleId="ListBullet2">
    <w:name w:val="List Bullet 2"/>
    <w:basedOn w:val="ListBullet"/>
    <w:autoRedefine/>
    <w:uiPriority w:val="99"/>
    <w:rsid w:val="00676132"/>
    <w:pPr>
      <w:numPr>
        <w:numId w:val="1"/>
      </w:numPr>
      <w:tabs>
        <w:tab w:val="clear" w:pos="360"/>
        <w:tab w:val="left" w:pos="714"/>
      </w:tabs>
      <w:ind w:left="714"/>
    </w:pPr>
  </w:style>
  <w:style w:type="paragraph" w:customStyle="1" w:styleId="bodycopy">
    <w:name w:val="body copy"/>
    <w:basedOn w:val="Normal"/>
    <w:uiPriority w:val="99"/>
    <w:semiHidden/>
    <w:rsid w:val="00A03C08"/>
    <w:pPr>
      <w:suppressAutoHyphens/>
      <w:autoSpaceDE w:val="0"/>
      <w:autoSpaceDN w:val="0"/>
      <w:adjustRightInd w:val="0"/>
      <w:spacing w:after="102" w:line="250" w:lineRule="atLeast"/>
      <w:textAlignment w:val="baseline"/>
    </w:pPr>
    <w:rPr>
      <w:rFonts w:ascii="Gill Sans" w:hAnsi="Gill Sans" w:cs="Gill Sans"/>
      <w:color w:val="000000"/>
      <w:sz w:val="18"/>
      <w:szCs w:val="18"/>
    </w:rPr>
  </w:style>
  <w:style w:type="paragraph" w:customStyle="1" w:styleId="Level3heading">
    <w:name w:val="Level 3 heading"/>
    <w:basedOn w:val="Normal"/>
    <w:uiPriority w:val="99"/>
    <w:semiHidden/>
    <w:rsid w:val="00A03C08"/>
    <w:pPr>
      <w:keepNext/>
      <w:keepLines/>
      <w:suppressAutoHyphens/>
      <w:autoSpaceDE w:val="0"/>
      <w:autoSpaceDN w:val="0"/>
      <w:adjustRightInd w:val="0"/>
      <w:spacing w:before="170" w:after="102" w:line="270" w:lineRule="atLeast"/>
      <w:textAlignment w:val="baseline"/>
    </w:pPr>
    <w:rPr>
      <w:rFonts w:ascii="Gill Sans" w:hAnsi="Gill Sans" w:cs="Gill Sans"/>
      <w:color w:val="00DDC9"/>
      <w:szCs w:val="22"/>
    </w:rPr>
  </w:style>
  <w:style w:type="paragraph" w:customStyle="1" w:styleId="Level4heading">
    <w:name w:val="Level 4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color w:val="000000"/>
      <w:sz w:val="20"/>
      <w:szCs w:val="20"/>
    </w:rPr>
  </w:style>
  <w:style w:type="paragraph" w:customStyle="1" w:styleId="Level5heading">
    <w:name w:val="Level 5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i/>
      <w:iCs/>
      <w:color w:val="000000"/>
      <w:sz w:val="18"/>
      <w:szCs w:val="18"/>
    </w:rPr>
  </w:style>
  <w:style w:type="paragraph" w:customStyle="1" w:styleId="bullet">
    <w:name w:val="bullet"/>
    <w:basedOn w:val="bodycopy"/>
    <w:uiPriority w:val="99"/>
    <w:semiHidden/>
    <w:rsid w:val="00A03C08"/>
    <w:pPr>
      <w:ind w:left="170" w:hanging="170"/>
    </w:pPr>
  </w:style>
  <w:style w:type="paragraph" w:styleId="TableofFigures">
    <w:name w:val="table of figures"/>
    <w:basedOn w:val="Normal"/>
    <w:next w:val="Normal"/>
    <w:uiPriority w:val="99"/>
    <w:rsid w:val="00356238"/>
    <w:pPr>
      <w:tabs>
        <w:tab w:val="left" w:pos="8640"/>
      </w:tabs>
      <w:ind w:left="1008" w:hanging="1008"/>
    </w:pPr>
  </w:style>
  <w:style w:type="paragraph" w:customStyle="1" w:styleId="BodyText1">
    <w:name w:val="Body Text1"/>
    <w:basedOn w:val="Normal"/>
    <w:uiPriority w:val="99"/>
    <w:semiHidden/>
    <w:rsid w:val="00F933C7"/>
    <w:pPr>
      <w:spacing w:after="240" w:line="280" w:lineRule="exact"/>
    </w:pPr>
    <w:rPr>
      <w:rFonts w:ascii="Times New Roman" w:hAnsi="Times New Roman"/>
      <w:kern w:val="28"/>
      <w:szCs w:val="22"/>
    </w:rPr>
  </w:style>
  <w:style w:type="paragraph" w:styleId="NormalWeb">
    <w:name w:val="Normal (Web)"/>
    <w:basedOn w:val="Normal"/>
    <w:uiPriority w:val="99"/>
    <w:rsid w:val="000B0B2C"/>
    <w:pPr>
      <w:spacing w:before="100" w:beforeAutospacing="1" w:after="100" w:afterAutospacing="1"/>
    </w:pPr>
    <w:rPr>
      <w:rFonts w:ascii="Times New Roman" w:hAnsi="Times New Roman"/>
      <w:sz w:val="24"/>
    </w:rPr>
  </w:style>
  <w:style w:type="paragraph" w:customStyle="1" w:styleId="AAAAProjectHeading">
    <w:name w:val="AAAA Project Heading"/>
    <w:basedOn w:val="TOC3"/>
    <w:uiPriority w:val="99"/>
    <w:rsid w:val="00CB22B4"/>
    <w:pPr>
      <w:pBdr>
        <w:top w:val="single" w:sz="4" w:space="1" w:color="auto"/>
        <w:left w:val="single" w:sz="4" w:space="4" w:color="auto"/>
        <w:bottom w:val="single" w:sz="4" w:space="1" w:color="auto"/>
        <w:right w:val="single" w:sz="4" w:space="4" w:color="auto"/>
      </w:pBdr>
      <w:shd w:val="clear" w:color="auto" w:fill="C0C0C0"/>
      <w:ind w:left="1620" w:hanging="1620"/>
    </w:pPr>
    <w:rPr>
      <w:bCs/>
      <w:i/>
      <w:iCs/>
      <w:sz w:val="24"/>
      <w:szCs w:val="20"/>
      <w:lang w:val="en-US" w:eastAsia="en-US"/>
    </w:rPr>
  </w:style>
  <w:style w:type="paragraph" w:customStyle="1" w:styleId="normaltext">
    <w:name w:val="normal text"/>
    <w:basedOn w:val="Normal"/>
    <w:link w:val="normaltextChar"/>
    <w:uiPriority w:val="99"/>
    <w:rsid w:val="003C0EB2"/>
    <w:rPr>
      <w:lang w:eastAsia="en-US"/>
    </w:rPr>
  </w:style>
  <w:style w:type="character" w:customStyle="1" w:styleId="normaltextChar">
    <w:name w:val="normal text Char"/>
    <w:basedOn w:val="DefaultParagraphFont"/>
    <w:link w:val="normaltext"/>
    <w:uiPriority w:val="99"/>
    <w:locked/>
    <w:rsid w:val="003C0EB2"/>
    <w:rPr>
      <w:rFonts w:ascii="Arial" w:hAnsi="Arial" w:cs="Times New Roman"/>
      <w:sz w:val="24"/>
      <w:szCs w:val="24"/>
      <w:lang w:val="en-AU" w:eastAsia="en-US" w:bidi="ar-SA"/>
    </w:rPr>
  </w:style>
  <w:style w:type="paragraph" w:customStyle="1" w:styleId="Sub-heading">
    <w:name w:val="Sub-heading"/>
    <w:next w:val="normaltext"/>
    <w:link w:val="Sub-headingCharChar"/>
    <w:uiPriority w:val="99"/>
    <w:rsid w:val="003C0EB2"/>
    <w:rPr>
      <w:rFonts w:ascii="Arial" w:hAnsi="Arial" w:cs="Arial"/>
      <w:b/>
      <w:sz w:val="24"/>
      <w:lang w:val="en-US" w:eastAsia="en-US"/>
    </w:rPr>
  </w:style>
  <w:style w:type="character" w:customStyle="1" w:styleId="Sub-headingCharChar">
    <w:name w:val="Sub-heading Char Char"/>
    <w:basedOn w:val="DefaultParagraphFont"/>
    <w:link w:val="Sub-heading"/>
    <w:uiPriority w:val="99"/>
    <w:locked/>
    <w:rsid w:val="003C0EB2"/>
    <w:rPr>
      <w:rFonts w:ascii="Arial" w:hAnsi="Arial" w:cs="Arial"/>
      <w:b/>
      <w:sz w:val="22"/>
      <w:szCs w:val="22"/>
      <w:lang w:val="en-US" w:eastAsia="en-US" w:bidi="ar-SA"/>
    </w:rPr>
  </w:style>
  <w:style w:type="table" w:styleId="TableGrid">
    <w:name w:val="Table Grid"/>
    <w:basedOn w:val="TableNormal"/>
    <w:uiPriority w:val="59"/>
    <w:rsid w:val="003C0EB2"/>
    <w:pPr>
      <w:spacing w:before="120" w:after="12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uiPriority w:val="99"/>
    <w:rsid w:val="003C0EB2"/>
    <w:pPr>
      <w:jc w:val="both"/>
    </w:pPr>
    <w:rPr>
      <w:sz w:val="24"/>
      <w:szCs w:val="24"/>
      <w:lang w:val="de-DE" w:eastAsia="de-DE"/>
    </w:rPr>
  </w:style>
  <w:style w:type="paragraph" w:customStyle="1" w:styleId="OOtext">
    <w:name w:val="OO text"/>
    <w:uiPriority w:val="99"/>
    <w:rsid w:val="00E14AD2"/>
    <w:pPr>
      <w:spacing w:after="60"/>
    </w:pPr>
    <w:rPr>
      <w:sz w:val="24"/>
      <w:szCs w:val="24"/>
      <w:lang w:val="en-US" w:eastAsia="de-DE"/>
    </w:rPr>
  </w:style>
  <w:style w:type="paragraph" w:customStyle="1" w:styleId="OceanOptics-Heading">
    <w:name w:val="OceanOptics-Heading"/>
    <w:basedOn w:val="OOtext"/>
    <w:uiPriority w:val="99"/>
    <w:rsid w:val="00256EE8"/>
    <w:pPr>
      <w:spacing w:before="240" w:line="360" w:lineRule="auto"/>
    </w:pPr>
    <w:rPr>
      <w:b/>
      <w:caps/>
    </w:rPr>
  </w:style>
  <w:style w:type="paragraph" w:customStyle="1" w:styleId="Figure">
    <w:name w:val="Figure"/>
    <w:basedOn w:val="Normal"/>
    <w:link w:val="FigureChar"/>
    <w:uiPriority w:val="99"/>
    <w:rsid w:val="00256EE8"/>
    <w:pPr>
      <w:widowControl w:val="0"/>
      <w:suppressAutoHyphens/>
      <w:jc w:val="center"/>
    </w:pPr>
    <w:rPr>
      <w:rFonts w:ascii="Times New Roman" w:hAnsi="Times New Roman"/>
      <w:kern w:val="1"/>
      <w:sz w:val="24"/>
      <w:szCs w:val="20"/>
      <w:lang w:val="en-GB"/>
    </w:rPr>
  </w:style>
  <w:style w:type="character" w:customStyle="1" w:styleId="FigureChar">
    <w:name w:val="Figure Char"/>
    <w:basedOn w:val="DefaultParagraphFont"/>
    <w:link w:val="Figure"/>
    <w:uiPriority w:val="99"/>
    <w:locked/>
    <w:rsid w:val="00256EE8"/>
    <w:rPr>
      <w:rFonts w:cs="Times New Roman"/>
      <w:kern w:val="1"/>
      <w:sz w:val="24"/>
      <w:lang w:val="en-GB" w:bidi="ar-SA"/>
    </w:rPr>
  </w:style>
  <w:style w:type="paragraph" w:customStyle="1" w:styleId="tabletext0">
    <w:name w:val="table text"/>
    <w:basedOn w:val="BodyText"/>
    <w:next w:val="BodyText1"/>
    <w:uiPriority w:val="99"/>
    <w:rsid w:val="00676132"/>
    <w:pPr>
      <w:spacing w:before="0"/>
    </w:pPr>
  </w:style>
  <w:style w:type="paragraph" w:customStyle="1" w:styleId="SPIEbodytext">
    <w:name w:val="SPIE body text"/>
    <w:basedOn w:val="Normal"/>
    <w:link w:val="SPIEbodytextCharChar"/>
    <w:uiPriority w:val="99"/>
    <w:rsid w:val="00100A7F"/>
    <w:pPr>
      <w:spacing w:after="120"/>
      <w:jc w:val="both"/>
    </w:pPr>
    <w:rPr>
      <w:rFonts w:ascii="Times New Roman" w:hAnsi="Times New Roman"/>
      <w:sz w:val="20"/>
      <w:lang w:val="en-US" w:eastAsia="en-US"/>
    </w:rPr>
  </w:style>
  <w:style w:type="character" w:customStyle="1" w:styleId="SPIEbodytextCharChar">
    <w:name w:val="SPIE body text Char Char"/>
    <w:basedOn w:val="DefaultParagraphFont"/>
    <w:link w:val="SPIEbodytext"/>
    <w:uiPriority w:val="99"/>
    <w:locked/>
    <w:rsid w:val="00100A7F"/>
    <w:rPr>
      <w:rFonts w:cs="Times New Roman"/>
      <w:sz w:val="24"/>
      <w:szCs w:val="24"/>
      <w:lang w:val="en-US" w:eastAsia="en-US" w:bidi="ar-SA"/>
    </w:rPr>
  </w:style>
  <w:style w:type="paragraph" w:customStyle="1" w:styleId="Paragraph2">
    <w:name w:val="Paragraph 2"/>
    <w:basedOn w:val="Normal"/>
    <w:uiPriority w:val="99"/>
    <w:rsid w:val="0069305F"/>
    <w:pPr>
      <w:ind w:firstLine="288"/>
      <w:jc w:val="both"/>
    </w:pPr>
    <w:rPr>
      <w:rFonts w:ascii="Times New Roman" w:hAnsi="Times New Roman"/>
      <w:sz w:val="20"/>
      <w:lang w:val="en-US" w:eastAsia="en-US"/>
    </w:rPr>
  </w:style>
  <w:style w:type="paragraph" w:customStyle="1" w:styleId="RRRCheader1">
    <w:name w:val="RRRC header 1"/>
    <w:basedOn w:val="Normal"/>
    <w:next w:val="Normal"/>
    <w:uiPriority w:val="99"/>
    <w:rsid w:val="00136629"/>
    <w:pPr>
      <w:autoSpaceDE w:val="0"/>
      <w:autoSpaceDN w:val="0"/>
      <w:adjustRightInd w:val="0"/>
      <w:spacing w:after="227" w:line="288" w:lineRule="auto"/>
      <w:textAlignment w:val="center"/>
    </w:pPr>
    <w:rPr>
      <w:rFonts w:cs="Arial"/>
      <w:b/>
      <w:bCs/>
      <w:color w:val="000000"/>
      <w:sz w:val="28"/>
      <w:szCs w:val="28"/>
      <w:lang w:val="en-GB" w:eastAsia="en-US"/>
    </w:rPr>
  </w:style>
  <w:style w:type="paragraph" w:customStyle="1" w:styleId="RRRCgeneralparagraph">
    <w:name w:val="RRRC general paragraph"/>
    <w:basedOn w:val="Normal"/>
    <w:uiPriority w:val="99"/>
    <w:rsid w:val="00136629"/>
    <w:pPr>
      <w:suppressAutoHyphens/>
      <w:autoSpaceDE w:val="0"/>
      <w:autoSpaceDN w:val="0"/>
      <w:adjustRightInd w:val="0"/>
      <w:spacing w:line="288" w:lineRule="auto"/>
      <w:jc w:val="both"/>
      <w:textAlignment w:val="center"/>
    </w:pPr>
    <w:rPr>
      <w:rFonts w:cs="Arial"/>
      <w:color w:val="000000"/>
      <w:szCs w:val="22"/>
      <w:lang w:val="en-GB" w:eastAsia="en-US"/>
    </w:rPr>
  </w:style>
  <w:style w:type="paragraph" w:customStyle="1" w:styleId="StyleDefaultArial11ptAutoAfter6pt">
    <w:name w:val="Style Default + Arial 11 pt Auto After:  6 pt"/>
    <w:basedOn w:val="Normal"/>
    <w:uiPriority w:val="99"/>
    <w:rsid w:val="00AF421A"/>
    <w:pPr>
      <w:numPr>
        <w:numId w:val="7"/>
      </w:numPr>
      <w:jc w:val="both"/>
    </w:pPr>
    <w:rPr>
      <w:szCs w:val="22"/>
      <w:lang w:val="en-US" w:eastAsia="en-US"/>
    </w:rPr>
  </w:style>
  <w:style w:type="paragraph" w:customStyle="1" w:styleId="DotPoints">
    <w:name w:val="Dot Points"/>
    <w:basedOn w:val="StyleDefaultArial11ptAutoAfter6pt"/>
    <w:uiPriority w:val="99"/>
    <w:rsid w:val="00AF421A"/>
    <w:pPr>
      <w:tabs>
        <w:tab w:val="left" w:pos="369"/>
      </w:tabs>
      <w:spacing w:before="60" w:after="60"/>
    </w:pPr>
    <w:rPr>
      <w:szCs w:val="20"/>
    </w:rPr>
  </w:style>
  <w:style w:type="paragraph" w:customStyle="1" w:styleId="StyleLinespacingMultiple115li">
    <w:name w:val="Style Line spacing:  Multiple 1.15 li"/>
    <w:basedOn w:val="Normal"/>
    <w:uiPriority w:val="99"/>
    <w:rsid w:val="00AF421A"/>
    <w:pPr>
      <w:jc w:val="both"/>
    </w:pPr>
    <w:rPr>
      <w:szCs w:val="20"/>
      <w:lang w:val="en-US" w:eastAsia="en-US"/>
    </w:rPr>
  </w:style>
  <w:style w:type="paragraph" w:customStyle="1" w:styleId="TABLECAPTION">
    <w:name w:val="TABLE CAPTION"/>
    <w:basedOn w:val="Normal"/>
    <w:uiPriority w:val="99"/>
    <w:rsid w:val="0074119B"/>
    <w:pPr>
      <w:jc w:val="both"/>
    </w:pPr>
    <w:rPr>
      <w:sz w:val="20"/>
      <w:szCs w:val="22"/>
      <w:lang w:val="en-US" w:eastAsia="en-US"/>
    </w:rPr>
  </w:style>
  <w:style w:type="paragraph" w:customStyle="1" w:styleId="Default">
    <w:name w:val="Default"/>
    <w:uiPriority w:val="99"/>
    <w:rsid w:val="007A15B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99"/>
    <w:qFormat/>
    <w:rsid w:val="00066611"/>
    <w:rPr>
      <w:rFonts w:cs="Times New Roman"/>
      <w:i/>
      <w:iCs/>
    </w:rPr>
  </w:style>
  <w:style w:type="paragraph" w:styleId="PlainText">
    <w:name w:val="Plain Text"/>
    <w:basedOn w:val="Normal"/>
    <w:link w:val="PlainTextChar"/>
    <w:uiPriority w:val="99"/>
    <w:rsid w:val="001D240F"/>
    <w:rPr>
      <w:rFonts w:ascii="Consolas" w:hAnsi="Consolas"/>
      <w:sz w:val="21"/>
      <w:szCs w:val="21"/>
      <w:lang w:val="en-US" w:eastAsia="en-US"/>
    </w:rPr>
  </w:style>
  <w:style w:type="character" w:customStyle="1" w:styleId="PlainTextChar">
    <w:name w:val="Plain Text Char"/>
    <w:basedOn w:val="DefaultParagraphFont"/>
    <w:link w:val="PlainText"/>
    <w:uiPriority w:val="99"/>
    <w:locked/>
    <w:rsid w:val="001D240F"/>
    <w:rPr>
      <w:rFonts w:ascii="Consolas" w:hAnsi="Consolas" w:cs="Times New Roman"/>
      <w:sz w:val="21"/>
      <w:szCs w:val="21"/>
    </w:rPr>
  </w:style>
  <w:style w:type="paragraph" w:customStyle="1" w:styleId="Contents">
    <w:name w:val="Contents"/>
    <w:basedOn w:val="Normal"/>
    <w:uiPriority w:val="99"/>
    <w:rsid w:val="00CD2116"/>
    <w:pPr>
      <w:spacing w:after="80" w:line="260" w:lineRule="exact"/>
    </w:pPr>
    <w:rPr>
      <w:rFonts w:ascii="Arial Bold" w:hAnsi="Arial Bold"/>
      <w:b/>
      <w:sz w:val="28"/>
      <w:szCs w:val="22"/>
    </w:rPr>
  </w:style>
  <w:style w:type="paragraph" w:styleId="Revision">
    <w:name w:val="Revision"/>
    <w:hidden/>
    <w:uiPriority w:val="99"/>
    <w:semiHidden/>
    <w:rsid w:val="00C30371"/>
    <w:rPr>
      <w:rFonts w:ascii="Arial" w:hAnsi="Arial"/>
      <w:szCs w:val="24"/>
    </w:rPr>
  </w:style>
  <w:style w:type="paragraph" w:styleId="ListParagraph">
    <w:name w:val="List Paragraph"/>
    <w:basedOn w:val="Normal"/>
    <w:uiPriority w:val="34"/>
    <w:qFormat/>
    <w:rsid w:val="00D45B4E"/>
    <w:pPr>
      <w:ind w:left="720"/>
      <w:contextualSpacing/>
    </w:pPr>
    <w:rPr>
      <w:rFonts w:ascii="Palatino" w:hAnsi="Palatino"/>
      <w:sz w:val="24"/>
      <w:szCs w:val="20"/>
      <w:lang w:eastAsia="en-US"/>
    </w:rPr>
  </w:style>
  <w:style w:type="character" w:styleId="FollowedHyperlink">
    <w:name w:val="FollowedHyperlink"/>
    <w:basedOn w:val="DefaultParagraphFont"/>
    <w:uiPriority w:val="99"/>
    <w:rsid w:val="00B65E2D"/>
    <w:rPr>
      <w:rFonts w:cs="Times New Roman"/>
      <w:color w:val="800080"/>
      <w:u w:val="single"/>
    </w:rPr>
  </w:style>
  <w:style w:type="paragraph" w:customStyle="1" w:styleId="head1nonumb">
    <w:name w:val="head 1 no numb"/>
    <w:basedOn w:val="Heading1"/>
    <w:next w:val="BodyText1"/>
    <w:link w:val="head1nonumbChar"/>
    <w:uiPriority w:val="99"/>
    <w:rsid w:val="00D80E36"/>
    <w:pPr>
      <w:pageBreakBefore/>
      <w:numPr>
        <w:numId w:val="0"/>
      </w:numPr>
    </w:pPr>
  </w:style>
  <w:style w:type="character" w:customStyle="1" w:styleId="head1nonumbChar">
    <w:name w:val="head 1 no numb Char"/>
    <w:basedOn w:val="Heading1Char"/>
    <w:link w:val="head1nonumb"/>
    <w:uiPriority w:val="99"/>
    <w:locked/>
    <w:rsid w:val="00D80E36"/>
    <w:rPr>
      <w:rFonts w:ascii="Arial" w:hAnsi="Arial" w:cs="Arial"/>
      <w:b/>
      <w:bCs/>
      <w:caps/>
      <w:color w:val="000000"/>
      <w:kern w:val="32"/>
      <w:sz w:val="28"/>
      <w:szCs w:val="32"/>
    </w:rPr>
  </w:style>
  <w:style w:type="paragraph" w:customStyle="1" w:styleId="head2nonumb">
    <w:name w:val="head 2 no numb"/>
    <w:basedOn w:val="Heading2"/>
    <w:next w:val="BodyText1"/>
    <w:link w:val="head2nonumbChar"/>
    <w:uiPriority w:val="99"/>
    <w:rsid w:val="009C3B33"/>
    <w:pPr>
      <w:numPr>
        <w:ilvl w:val="0"/>
        <w:numId w:val="0"/>
      </w:numPr>
    </w:pPr>
  </w:style>
  <w:style w:type="character" w:customStyle="1" w:styleId="head2nonumbChar">
    <w:name w:val="head 2 no numb Char"/>
    <w:basedOn w:val="Heading2Char"/>
    <w:link w:val="head2nonumb"/>
    <w:uiPriority w:val="99"/>
    <w:locked/>
    <w:rsid w:val="009C3B33"/>
    <w:rPr>
      <w:rFonts w:ascii="Arial" w:hAnsi="Arial" w:cs="Arial"/>
      <w:b/>
      <w:bCs/>
      <w:sz w:val="28"/>
    </w:rPr>
  </w:style>
  <w:style w:type="paragraph" w:customStyle="1" w:styleId="H1NoNumber">
    <w:name w:val="H1NoNumber"/>
    <w:basedOn w:val="Heading1"/>
    <w:rsid w:val="002F6DB0"/>
    <w:pPr>
      <w:keepNext/>
      <w:tabs>
        <w:tab w:val="left" w:pos="567"/>
        <w:tab w:val="num" w:pos="792"/>
        <w:tab w:val="left" w:pos="851"/>
      </w:tabs>
      <w:spacing w:before="240" w:after="120" w:line="240" w:lineRule="atLeast"/>
      <w:ind w:left="792"/>
    </w:pPr>
    <w:rPr>
      <w:rFonts w:ascii="Arial Bold" w:hAnsi="Arial Bold"/>
      <w:color w:val="auto"/>
      <w:sz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AU" w:eastAsia="en-AU"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39"/>
    <w:lsdException w:name="toc 2" w:semiHidden="0" w:uiPriority="39"/>
    <w:lsdException w:name="toc 3" w:semiHidden="0" w:uiPriority="39"/>
    <w:lsdException w:name="toc 4" w:semiHidden="0" w:uiPriority="39"/>
    <w:lsdException w:name="toc 5" w:semiHidden="0"/>
    <w:lsdException w:name="toc 6" w:semiHidden="0"/>
    <w:lsdException w:name="toc 7" w:semiHidden="0"/>
    <w:lsdException w:name="toc 8" w:semiHidden="0"/>
    <w:lsdException w:name="toc 9" w:semiHidden="0"/>
    <w:lsdException w:name="Normal Indent" w:locked="1" w:unhideWhenUsed="1"/>
    <w:lsdException w:name="footnote text" w:locked="1" w:unhideWhenUsed="1"/>
    <w:lsdException w:name="annotation text" w:locked="1" w:unhideWhenUsed="1"/>
    <w:lsdException w:name="header" w:locked="1" w:uiPriority="0" w:unhideWhenUsed="1"/>
    <w:lsdException w:name="footer" w:locked="1" w:unhideWhenUsed="1"/>
    <w:lsdException w:name="index heading" w:locked="1" w:unhideWhenUsed="1"/>
    <w:lsdException w:name="caption" w:semiHidden="0" w:uiPriority="35"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1"/>
    <w:lsdException w:name="Body Text" w:locked="1" w:uiPriority="0"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59"/>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9C3B33"/>
    <w:rPr>
      <w:rFonts w:ascii="Arial" w:hAnsi="Arial"/>
      <w:szCs w:val="24"/>
    </w:rPr>
  </w:style>
  <w:style w:type="paragraph" w:styleId="Heading1">
    <w:name w:val="heading 1"/>
    <w:basedOn w:val="Normal"/>
    <w:next w:val="Normal"/>
    <w:link w:val="Heading1Char"/>
    <w:autoRedefine/>
    <w:qFormat/>
    <w:rsid w:val="00943B50"/>
    <w:pPr>
      <w:numPr>
        <w:numId w:val="12"/>
      </w:numPr>
      <w:spacing w:before="360" w:after="240"/>
      <w:outlineLvl w:val="0"/>
    </w:pPr>
    <w:rPr>
      <w:rFonts w:cs="Arial"/>
      <w:b/>
      <w:bCs/>
      <w:caps/>
      <w:color w:val="000000"/>
      <w:kern w:val="32"/>
      <w:sz w:val="28"/>
      <w:szCs w:val="32"/>
    </w:rPr>
  </w:style>
  <w:style w:type="paragraph" w:styleId="Heading2">
    <w:name w:val="heading 2"/>
    <w:basedOn w:val="Normal"/>
    <w:next w:val="Normal"/>
    <w:link w:val="Heading2Char"/>
    <w:autoRedefine/>
    <w:qFormat/>
    <w:rsid w:val="007E294B"/>
    <w:pPr>
      <w:keepNext/>
      <w:numPr>
        <w:ilvl w:val="1"/>
        <w:numId w:val="13"/>
      </w:numPr>
      <w:spacing w:before="360" w:after="240"/>
      <w:outlineLvl w:val="1"/>
    </w:pPr>
    <w:rPr>
      <w:rFonts w:cs="Arial"/>
      <w:b/>
      <w:bCs/>
      <w:sz w:val="28"/>
      <w:szCs w:val="22"/>
    </w:rPr>
  </w:style>
  <w:style w:type="paragraph" w:styleId="Heading3">
    <w:name w:val="heading 3"/>
    <w:basedOn w:val="Normal"/>
    <w:next w:val="Normal"/>
    <w:link w:val="Heading3Char"/>
    <w:autoRedefine/>
    <w:uiPriority w:val="99"/>
    <w:qFormat/>
    <w:rsid w:val="007E294B"/>
    <w:pPr>
      <w:keepNext/>
      <w:numPr>
        <w:ilvl w:val="2"/>
        <w:numId w:val="13"/>
      </w:numPr>
      <w:tabs>
        <w:tab w:val="num" w:pos="792"/>
      </w:tabs>
      <w:spacing w:before="240" w:after="240"/>
      <w:ind w:left="720"/>
      <w:outlineLvl w:val="2"/>
    </w:pPr>
    <w:rPr>
      <w:rFonts w:cs="Arial"/>
      <w:b/>
      <w:iCs/>
      <w:sz w:val="24"/>
      <w:szCs w:val="20"/>
    </w:rPr>
  </w:style>
  <w:style w:type="paragraph" w:styleId="Heading4">
    <w:name w:val="heading 4"/>
    <w:basedOn w:val="Heading3"/>
    <w:next w:val="BodyText"/>
    <w:link w:val="Heading4Char"/>
    <w:autoRedefine/>
    <w:qFormat/>
    <w:rsid w:val="00105B3D"/>
    <w:pPr>
      <w:tabs>
        <w:tab w:val="num" w:pos="3240"/>
      </w:tabs>
      <w:outlineLvl w:val="3"/>
    </w:pPr>
    <w:rPr>
      <w:b w:val="0"/>
      <w:i/>
      <w:iCs w:val="0"/>
    </w:rPr>
  </w:style>
  <w:style w:type="paragraph" w:styleId="Heading5">
    <w:name w:val="heading 5"/>
    <w:basedOn w:val="Normal"/>
    <w:next w:val="Normal"/>
    <w:link w:val="Heading5Char"/>
    <w:qFormat/>
    <w:rsid w:val="00D956D9"/>
    <w:pPr>
      <w:numPr>
        <w:ilvl w:val="4"/>
        <w:numId w:val="12"/>
      </w:numPr>
      <w:spacing w:before="240" w:after="60"/>
      <w:ind w:left="1008" w:hanging="1008"/>
      <w:outlineLvl w:val="4"/>
    </w:pPr>
    <w:rPr>
      <w:rFonts w:ascii="Helvetica" w:hAnsi="Helvetica"/>
      <w:szCs w:val="20"/>
      <w:lang w:eastAsia="en-US"/>
    </w:rPr>
  </w:style>
  <w:style w:type="paragraph" w:styleId="Heading6">
    <w:name w:val="heading 6"/>
    <w:basedOn w:val="Normal"/>
    <w:next w:val="Normal"/>
    <w:link w:val="Heading6Char"/>
    <w:qFormat/>
    <w:rsid w:val="00D956D9"/>
    <w:pPr>
      <w:numPr>
        <w:ilvl w:val="5"/>
        <w:numId w:val="12"/>
      </w:numPr>
      <w:spacing w:before="240" w:after="60"/>
      <w:ind w:left="1152" w:hanging="1152"/>
      <w:outlineLvl w:val="5"/>
    </w:pPr>
    <w:rPr>
      <w:rFonts w:ascii="Helvetica" w:hAnsi="Helvetica"/>
      <w:i/>
      <w:szCs w:val="20"/>
      <w:lang w:eastAsia="en-US"/>
    </w:rPr>
  </w:style>
  <w:style w:type="paragraph" w:styleId="Heading7">
    <w:name w:val="heading 7"/>
    <w:basedOn w:val="Normal"/>
    <w:next w:val="Normal"/>
    <w:link w:val="Heading7Char"/>
    <w:qFormat/>
    <w:rsid w:val="00D956D9"/>
    <w:pPr>
      <w:numPr>
        <w:ilvl w:val="6"/>
        <w:numId w:val="12"/>
      </w:numPr>
      <w:spacing w:before="240" w:after="60"/>
      <w:ind w:left="1296" w:hanging="1296"/>
      <w:outlineLvl w:val="6"/>
    </w:pPr>
    <w:rPr>
      <w:rFonts w:ascii="Helvetica" w:hAnsi="Helvetica"/>
      <w:sz w:val="20"/>
      <w:szCs w:val="20"/>
      <w:lang w:eastAsia="en-US"/>
    </w:rPr>
  </w:style>
  <w:style w:type="paragraph" w:styleId="Heading8">
    <w:name w:val="heading 8"/>
    <w:basedOn w:val="Normal"/>
    <w:next w:val="Normal"/>
    <w:link w:val="Heading8Char"/>
    <w:qFormat/>
    <w:rsid w:val="00D956D9"/>
    <w:pPr>
      <w:numPr>
        <w:ilvl w:val="7"/>
        <w:numId w:val="12"/>
      </w:numPr>
      <w:spacing w:before="240" w:after="60"/>
      <w:ind w:left="1440" w:hanging="1440"/>
      <w:outlineLvl w:val="7"/>
    </w:pPr>
    <w:rPr>
      <w:rFonts w:ascii="Helvetica" w:hAnsi="Helvetica"/>
      <w:i/>
      <w:sz w:val="20"/>
      <w:szCs w:val="20"/>
      <w:lang w:eastAsia="en-US"/>
    </w:rPr>
  </w:style>
  <w:style w:type="paragraph" w:styleId="Heading9">
    <w:name w:val="heading 9"/>
    <w:basedOn w:val="Normal"/>
    <w:next w:val="Normal"/>
    <w:link w:val="Heading9Char"/>
    <w:qFormat/>
    <w:rsid w:val="00D956D9"/>
    <w:pPr>
      <w:numPr>
        <w:ilvl w:val="8"/>
        <w:numId w:val="12"/>
      </w:numPr>
      <w:spacing w:before="240" w:after="60"/>
      <w:ind w:left="1584" w:hanging="1584"/>
      <w:outlineLvl w:val="8"/>
    </w:pPr>
    <w:rPr>
      <w:rFonts w:ascii="Helvetica" w:hAnsi="Helvetica"/>
      <w:i/>
      <w:sz w:val="1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943B50"/>
    <w:rPr>
      <w:rFonts w:ascii="Arial" w:hAnsi="Arial" w:cs="Arial"/>
      <w:b/>
      <w:bCs/>
      <w:caps/>
      <w:color w:val="000000"/>
      <w:kern w:val="32"/>
      <w:sz w:val="28"/>
      <w:szCs w:val="32"/>
    </w:rPr>
  </w:style>
  <w:style w:type="character" w:customStyle="1" w:styleId="Heading2Char">
    <w:name w:val="Heading 2 Char"/>
    <w:basedOn w:val="DefaultParagraphFont"/>
    <w:link w:val="Heading2"/>
    <w:locked/>
    <w:rsid w:val="007E294B"/>
    <w:rPr>
      <w:rFonts w:ascii="Arial" w:hAnsi="Arial" w:cs="Arial"/>
      <w:b/>
      <w:bCs/>
      <w:sz w:val="28"/>
    </w:rPr>
  </w:style>
  <w:style w:type="character" w:customStyle="1" w:styleId="Heading3Char">
    <w:name w:val="Heading 3 Char"/>
    <w:basedOn w:val="DefaultParagraphFont"/>
    <w:link w:val="Heading3"/>
    <w:uiPriority w:val="99"/>
    <w:locked/>
    <w:rsid w:val="007E294B"/>
    <w:rPr>
      <w:rFonts w:ascii="Arial" w:hAnsi="Arial" w:cs="Arial"/>
      <w:b/>
      <w:iCs/>
      <w:sz w:val="24"/>
      <w:szCs w:val="20"/>
    </w:rPr>
  </w:style>
  <w:style w:type="character" w:customStyle="1" w:styleId="Heading4Char">
    <w:name w:val="Heading 4 Char"/>
    <w:basedOn w:val="DefaultParagraphFont"/>
    <w:link w:val="Heading4"/>
    <w:locked/>
    <w:rsid w:val="00547169"/>
    <w:rPr>
      <w:rFonts w:ascii="Arial" w:hAnsi="Arial" w:cs="Arial"/>
      <w:i/>
      <w:sz w:val="24"/>
      <w:szCs w:val="20"/>
    </w:rPr>
  </w:style>
  <w:style w:type="character" w:customStyle="1" w:styleId="Heading5Char">
    <w:name w:val="Heading 5 Char"/>
    <w:basedOn w:val="DefaultParagraphFont"/>
    <w:link w:val="Heading5"/>
    <w:locked/>
    <w:rsid w:val="00D956D9"/>
    <w:rPr>
      <w:rFonts w:ascii="Helvetica" w:hAnsi="Helvetica"/>
      <w:szCs w:val="20"/>
      <w:lang w:eastAsia="en-US"/>
    </w:rPr>
  </w:style>
  <w:style w:type="character" w:customStyle="1" w:styleId="Heading6Char">
    <w:name w:val="Heading 6 Char"/>
    <w:basedOn w:val="DefaultParagraphFont"/>
    <w:link w:val="Heading6"/>
    <w:locked/>
    <w:rsid w:val="00D956D9"/>
    <w:rPr>
      <w:rFonts w:ascii="Helvetica" w:hAnsi="Helvetica"/>
      <w:i/>
      <w:szCs w:val="20"/>
      <w:lang w:eastAsia="en-US"/>
    </w:rPr>
  </w:style>
  <w:style w:type="character" w:customStyle="1" w:styleId="Heading7Char">
    <w:name w:val="Heading 7 Char"/>
    <w:basedOn w:val="DefaultParagraphFont"/>
    <w:link w:val="Heading7"/>
    <w:locked/>
    <w:rsid w:val="00D956D9"/>
    <w:rPr>
      <w:rFonts w:ascii="Helvetica" w:hAnsi="Helvetica"/>
      <w:sz w:val="20"/>
      <w:szCs w:val="20"/>
      <w:lang w:eastAsia="en-US"/>
    </w:rPr>
  </w:style>
  <w:style w:type="character" w:customStyle="1" w:styleId="Heading8Char">
    <w:name w:val="Heading 8 Char"/>
    <w:basedOn w:val="DefaultParagraphFont"/>
    <w:link w:val="Heading8"/>
    <w:locked/>
    <w:rsid w:val="00D956D9"/>
    <w:rPr>
      <w:rFonts w:ascii="Helvetica" w:hAnsi="Helvetica"/>
      <w:i/>
      <w:sz w:val="20"/>
      <w:szCs w:val="20"/>
      <w:lang w:eastAsia="en-US"/>
    </w:rPr>
  </w:style>
  <w:style w:type="character" w:customStyle="1" w:styleId="Heading9Char">
    <w:name w:val="Heading 9 Char"/>
    <w:basedOn w:val="DefaultParagraphFont"/>
    <w:link w:val="Heading9"/>
    <w:locked/>
    <w:rsid w:val="00D956D9"/>
    <w:rPr>
      <w:rFonts w:ascii="Helvetica" w:hAnsi="Helvetica"/>
      <w:i/>
      <w:sz w:val="18"/>
      <w:szCs w:val="20"/>
      <w:lang w:eastAsia="en-US"/>
    </w:rPr>
  </w:style>
  <w:style w:type="paragraph" w:customStyle="1" w:styleId="PresentationDate">
    <w:name w:val="Presentation Date"/>
    <w:basedOn w:val="ListBullet"/>
    <w:uiPriority w:val="99"/>
    <w:semiHidden/>
    <w:rsid w:val="00676132"/>
    <w:pPr>
      <w:numPr>
        <w:numId w:val="0"/>
      </w:numPr>
      <w:spacing w:line="312" w:lineRule="auto"/>
    </w:pPr>
    <w:rPr>
      <w:rFonts w:cs="Arial"/>
      <w:sz w:val="14"/>
      <w:szCs w:val="14"/>
    </w:rPr>
  </w:style>
  <w:style w:type="paragraph" w:styleId="ListBullet">
    <w:name w:val="List Bullet"/>
    <w:basedOn w:val="BodyText"/>
    <w:autoRedefine/>
    <w:uiPriority w:val="99"/>
    <w:rsid w:val="00676132"/>
    <w:pPr>
      <w:numPr>
        <w:numId w:val="4"/>
      </w:numPr>
      <w:tabs>
        <w:tab w:val="clear" w:pos="360"/>
      </w:tabs>
      <w:ind w:left="357" w:hanging="357"/>
    </w:pPr>
  </w:style>
  <w:style w:type="paragraph" w:styleId="BodyText">
    <w:name w:val="Body Text"/>
    <w:basedOn w:val="Normal"/>
    <w:link w:val="BodyTextChar1"/>
    <w:autoRedefine/>
    <w:rsid w:val="002E0BD6"/>
    <w:pPr>
      <w:spacing w:before="120" w:line="288" w:lineRule="auto"/>
    </w:pPr>
    <w:rPr>
      <w:rFonts w:ascii="Times New Roman" w:hAnsi="Times New Roman"/>
      <w:szCs w:val="22"/>
      <w:lang w:eastAsia="en-US"/>
    </w:rPr>
  </w:style>
  <w:style w:type="character" w:customStyle="1" w:styleId="BodyTextChar">
    <w:name w:val="Body Text Char"/>
    <w:basedOn w:val="DefaultParagraphFont"/>
    <w:locked/>
    <w:rsid w:val="000A4E16"/>
    <w:rPr>
      <w:rFonts w:ascii="Arial" w:hAnsi="Arial" w:cs="Times New Roman"/>
      <w:sz w:val="24"/>
      <w:szCs w:val="24"/>
      <w:lang w:val="en-AU" w:eastAsia="en-US" w:bidi="ar-SA"/>
    </w:rPr>
  </w:style>
  <w:style w:type="paragraph" w:styleId="Caption">
    <w:name w:val="caption"/>
    <w:basedOn w:val="Normal"/>
    <w:next w:val="Normal"/>
    <w:link w:val="CaptionChar"/>
    <w:autoRedefine/>
    <w:uiPriority w:val="35"/>
    <w:qFormat/>
    <w:rsid w:val="004F4DDE"/>
    <w:pPr>
      <w:spacing w:before="120" w:after="240" w:line="240" w:lineRule="atLeast"/>
      <w:jc w:val="both"/>
    </w:pPr>
    <w:rPr>
      <w:rFonts w:ascii="Times New Roman" w:hAnsi="Times New Roman"/>
      <w:bCs/>
      <w:color w:val="000000"/>
      <w:szCs w:val="22"/>
    </w:rPr>
  </w:style>
  <w:style w:type="paragraph" w:styleId="TOC2">
    <w:name w:val="toc 2"/>
    <w:basedOn w:val="Normal"/>
    <w:next w:val="Normal"/>
    <w:autoRedefine/>
    <w:uiPriority w:val="39"/>
    <w:rsid w:val="00216ABB"/>
    <w:pPr>
      <w:tabs>
        <w:tab w:val="right" w:leader="dot" w:pos="9061"/>
      </w:tabs>
      <w:spacing w:before="240"/>
      <w:ind w:left="567"/>
    </w:pPr>
    <w:rPr>
      <w:b/>
      <w:sz w:val="24"/>
      <w:szCs w:val="20"/>
    </w:rPr>
  </w:style>
  <w:style w:type="paragraph" w:styleId="TOC1">
    <w:name w:val="toc 1"/>
    <w:basedOn w:val="Normal"/>
    <w:next w:val="Normal"/>
    <w:link w:val="TOC1Char"/>
    <w:autoRedefine/>
    <w:uiPriority w:val="39"/>
    <w:rsid w:val="00932E73"/>
    <w:pPr>
      <w:tabs>
        <w:tab w:val="right" w:leader="dot" w:pos="9061"/>
      </w:tabs>
      <w:spacing w:before="360"/>
    </w:pPr>
    <w:rPr>
      <w:rFonts w:ascii="Arial Bold" w:hAnsi="Arial Bold"/>
      <w:b/>
      <w:caps/>
      <w:sz w:val="24"/>
    </w:rPr>
  </w:style>
  <w:style w:type="paragraph" w:styleId="TOC3">
    <w:name w:val="toc 3"/>
    <w:basedOn w:val="Normal"/>
    <w:next w:val="Normal"/>
    <w:uiPriority w:val="39"/>
    <w:rsid w:val="00216ABB"/>
    <w:pPr>
      <w:ind w:left="1134"/>
    </w:pPr>
    <w:rPr>
      <w:b/>
    </w:rPr>
  </w:style>
  <w:style w:type="paragraph" w:styleId="BalloonText">
    <w:name w:val="Balloon Text"/>
    <w:basedOn w:val="Normal"/>
    <w:link w:val="BalloonTextChar"/>
    <w:uiPriority w:val="99"/>
    <w:semiHidden/>
    <w:rsid w:val="00E37C2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52383"/>
    <w:rPr>
      <w:rFonts w:cs="Times New Roman"/>
      <w:sz w:val="2"/>
    </w:rPr>
  </w:style>
  <w:style w:type="character" w:customStyle="1" w:styleId="CaptionChar">
    <w:name w:val="Caption Char"/>
    <w:basedOn w:val="DefaultParagraphFont"/>
    <w:link w:val="Caption"/>
    <w:uiPriority w:val="35"/>
    <w:locked/>
    <w:rsid w:val="004F4DDE"/>
    <w:rPr>
      <w:rFonts w:cs="Times New Roman"/>
      <w:bCs/>
      <w:color w:val="000000"/>
      <w:sz w:val="22"/>
      <w:szCs w:val="22"/>
      <w:lang w:val="en-AU" w:eastAsia="en-AU"/>
    </w:rPr>
  </w:style>
  <w:style w:type="paragraph" w:customStyle="1" w:styleId="TableText">
    <w:name w:val="Table Text"/>
    <w:basedOn w:val="Normal"/>
    <w:autoRedefine/>
    <w:uiPriority w:val="99"/>
    <w:rsid w:val="00DB3B0E"/>
    <w:pPr>
      <w:spacing w:before="100" w:after="40" w:line="240" w:lineRule="atLeast"/>
    </w:pPr>
    <w:rPr>
      <w:rFonts w:ascii="Times New Roman" w:hAnsi="Times New Roman"/>
    </w:rPr>
  </w:style>
  <w:style w:type="paragraph" w:customStyle="1" w:styleId="Reportbody">
    <w:name w:val="Report_body"/>
    <w:basedOn w:val="Normal"/>
    <w:link w:val="ReportbodyChar"/>
    <w:uiPriority w:val="99"/>
    <w:semiHidden/>
    <w:rsid w:val="00312102"/>
    <w:pPr>
      <w:spacing w:after="120" w:line="260" w:lineRule="exact"/>
    </w:pPr>
    <w:rPr>
      <w:rFonts w:eastAsia="MS Mincho"/>
      <w:lang w:val="en-US" w:eastAsia="en-US"/>
    </w:rPr>
  </w:style>
  <w:style w:type="character" w:customStyle="1" w:styleId="ReportbodyChar">
    <w:name w:val="Report_body Char"/>
    <w:basedOn w:val="DefaultParagraphFont"/>
    <w:link w:val="Reportbody"/>
    <w:uiPriority w:val="99"/>
    <w:locked/>
    <w:rsid w:val="00312102"/>
    <w:rPr>
      <w:rFonts w:ascii="Arial" w:eastAsia="MS Mincho" w:hAnsi="Arial" w:cs="Times New Roman"/>
      <w:sz w:val="24"/>
      <w:szCs w:val="24"/>
      <w:lang w:val="en-US" w:eastAsia="en-US" w:bidi="ar-SA"/>
    </w:rPr>
  </w:style>
  <w:style w:type="paragraph" w:customStyle="1" w:styleId="CoverTitle1">
    <w:name w:val="CoverTitle1"/>
    <w:basedOn w:val="Normal"/>
    <w:link w:val="CoverTitle1Char"/>
    <w:autoRedefine/>
    <w:uiPriority w:val="99"/>
    <w:rsid w:val="00EF4ECA"/>
    <w:pPr>
      <w:keepNext/>
    </w:pPr>
    <w:rPr>
      <w:sz w:val="16"/>
      <w:szCs w:val="16"/>
    </w:rPr>
  </w:style>
  <w:style w:type="paragraph" w:customStyle="1" w:styleId="CoverTitle2">
    <w:name w:val="CoverTitle2"/>
    <w:basedOn w:val="Normal"/>
    <w:next w:val="Normal"/>
    <w:link w:val="CoverTitle2Char"/>
    <w:autoRedefine/>
    <w:uiPriority w:val="99"/>
    <w:rsid w:val="00347513"/>
    <w:pPr>
      <w:spacing w:line="280" w:lineRule="atLeast"/>
      <w:ind w:right="68"/>
    </w:pPr>
    <w:rPr>
      <w:color w:val="000000"/>
      <w:sz w:val="24"/>
      <w:szCs w:val="22"/>
    </w:rPr>
  </w:style>
  <w:style w:type="character" w:customStyle="1" w:styleId="CoverTitle2Char">
    <w:name w:val="CoverTitle2 Char"/>
    <w:basedOn w:val="DefaultParagraphFont"/>
    <w:link w:val="CoverTitle2"/>
    <w:uiPriority w:val="99"/>
    <w:locked/>
    <w:rsid w:val="00347513"/>
    <w:rPr>
      <w:rFonts w:ascii="Arial" w:hAnsi="Arial" w:cs="Times New Roman"/>
      <w:color w:val="000000"/>
      <w:sz w:val="22"/>
      <w:szCs w:val="22"/>
      <w:lang w:val="en-AU" w:eastAsia="en-AU" w:bidi="ar-SA"/>
    </w:rPr>
  </w:style>
  <w:style w:type="character" w:customStyle="1" w:styleId="CoverTitle1Char">
    <w:name w:val="CoverTitle1 Char"/>
    <w:basedOn w:val="DefaultParagraphFont"/>
    <w:link w:val="CoverTitle1"/>
    <w:uiPriority w:val="99"/>
    <w:locked/>
    <w:rsid w:val="00EF4ECA"/>
    <w:rPr>
      <w:rFonts w:ascii="Arial" w:hAnsi="Arial" w:cs="Times New Roman"/>
      <w:sz w:val="16"/>
      <w:szCs w:val="16"/>
      <w:lang w:val="en-AU" w:eastAsia="en-AU"/>
    </w:rPr>
  </w:style>
  <w:style w:type="paragraph" w:customStyle="1" w:styleId="CoverTitle3">
    <w:name w:val="CoverTitle3"/>
    <w:basedOn w:val="Normal"/>
    <w:uiPriority w:val="99"/>
    <w:semiHidden/>
    <w:rsid w:val="003B71BC"/>
    <w:pPr>
      <w:spacing w:before="100" w:after="100"/>
    </w:pPr>
    <w:rPr>
      <w:color w:val="FFFFFF"/>
      <w:sz w:val="18"/>
    </w:rPr>
  </w:style>
  <w:style w:type="paragraph" w:customStyle="1" w:styleId="Notice">
    <w:name w:val="Notice"/>
    <w:basedOn w:val="BodyText"/>
    <w:uiPriority w:val="99"/>
    <w:semiHidden/>
    <w:rsid w:val="00676132"/>
    <w:pPr>
      <w:shd w:val="clear" w:color="auto" w:fill="D9D9D9"/>
    </w:pPr>
    <w:rPr>
      <w:sz w:val="18"/>
      <w:szCs w:val="18"/>
    </w:rPr>
  </w:style>
  <w:style w:type="character" w:customStyle="1" w:styleId="Red">
    <w:name w:val="Red"/>
    <w:basedOn w:val="DefaultParagraphFont"/>
    <w:uiPriority w:val="99"/>
    <w:rsid w:val="00CC4966"/>
    <w:rPr>
      <w:rFonts w:ascii="Arial" w:hAnsi="Arial" w:cs="Times New Roman"/>
      <w:color w:val="FF0000"/>
      <w:sz w:val="22"/>
    </w:rPr>
  </w:style>
  <w:style w:type="character" w:styleId="CommentReference">
    <w:name w:val="annotation reference"/>
    <w:basedOn w:val="DefaultParagraphFont"/>
    <w:uiPriority w:val="99"/>
    <w:semiHidden/>
    <w:rsid w:val="00E37C28"/>
    <w:rPr>
      <w:rFonts w:cs="Times New Roman"/>
      <w:sz w:val="16"/>
      <w:szCs w:val="16"/>
    </w:rPr>
  </w:style>
  <w:style w:type="paragraph" w:styleId="Footer">
    <w:name w:val="footer"/>
    <w:basedOn w:val="Normal"/>
    <w:link w:val="FooterChar"/>
    <w:uiPriority w:val="99"/>
    <w:rsid w:val="0081081F"/>
    <w:pPr>
      <w:tabs>
        <w:tab w:val="right" w:pos="9072"/>
      </w:tabs>
    </w:pPr>
    <w:rPr>
      <w:sz w:val="16"/>
      <w:szCs w:val="16"/>
    </w:rPr>
  </w:style>
  <w:style w:type="character" w:customStyle="1" w:styleId="FooterChar">
    <w:name w:val="Footer Char"/>
    <w:basedOn w:val="DefaultParagraphFont"/>
    <w:link w:val="Footer"/>
    <w:uiPriority w:val="99"/>
    <w:locked/>
    <w:rsid w:val="00E52383"/>
    <w:rPr>
      <w:rFonts w:ascii="Arial" w:hAnsi="Arial" w:cs="Times New Roman"/>
      <w:sz w:val="24"/>
      <w:szCs w:val="24"/>
    </w:rPr>
  </w:style>
  <w:style w:type="paragraph" w:styleId="CommentText">
    <w:name w:val="annotation text"/>
    <w:basedOn w:val="Normal"/>
    <w:link w:val="CommentTextChar"/>
    <w:uiPriority w:val="99"/>
    <w:semiHidden/>
    <w:rsid w:val="00E37C28"/>
    <w:rPr>
      <w:sz w:val="20"/>
      <w:szCs w:val="20"/>
    </w:rPr>
  </w:style>
  <w:style w:type="character" w:customStyle="1" w:styleId="CommentTextChar">
    <w:name w:val="Comment Text Char"/>
    <w:basedOn w:val="DefaultParagraphFont"/>
    <w:link w:val="CommentText"/>
    <w:uiPriority w:val="99"/>
    <w:locked/>
    <w:rsid w:val="0074119B"/>
    <w:rPr>
      <w:rFonts w:ascii="Arial" w:hAnsi="Arial" w:cs="Times New Roman"/>
      <w:lang w:val="en-AU" w:eastAsia="en-AU" w:bidi="ar-SA"/>
    </w:rPr>
  </w:style>
  <w:style w:type="paragraph" w:styleId="CommentSubject">
    <w:name w:val="annotation subject"/>
    <w:basedOn w:val="CommentText"/>
    <w:next w:val="CommentText"/>
    <w:link w:val="CommentSubjectChar"/>
    <w:uiPriority w:val="99"/>
    <w:semiHidden/>
    <w:rsid w:val="00E37C28"/>
    <w:rPr>
      <w:b/>
      <w:bCs/>
    </w:rPr>
  </w:style>
  <w:style w:type="character" w:customStyle="1" w:styleId="CommentSubjectChar">
    <w:name w:val="Comment Subject Char"/>
    <w:basedOn w:val="CommentTextChar"/>
    <w:link w:val="CommentSubject"/>
    <w:uiPriority w:val="99"/>
    <w:semiHidden/>
    <w:locked/>
    <w:rsid w:val="00E52383"/>
    <w:rPr>
      <w:rFonts w:ascii="Arial" w:hAnsi="Arial" w:cs="Times New Roman"/>
      <w:b/>
      <w:bCs/>
      <w:sz w:val="20"/>
      <w:szCs w:val="20"/>
      <w:lang w:val="en-AU" w:eastAsia="en-AU" w:bidi="ar-SA"/>
    </w:rPr>
  </w:style>
  <w:style w:type="paragraph" w:styleId="DocumentMap">
    <w:name w:val="Document Map"/>
    <w:basedOn w:val="Normal"/>
    <w:link w:val="DocumentMapChar"/>
    <w:uiPriority w:val="99"/>
    <w:semiHidden/>
    <w:rsid w:val="00E37C28"/>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E52383"/>
    <w:rPr>
      <w:rFonts w:cs="Times New Roman"/>
      <w:sz w:val="2"/>
    </w:rPr>
  </w:style>
  <w:style w:type="character" w:styleId="EndnoteReference">
    <w:name w:val="endnote reference"/>
    <w:basedOn w:val="DefaultParagraphFont"/>
    <w:uiPriority w:val="99"/>
    <w:semiHidden/>
    <w:rsid w:val="00E37C28"/>
    <w:rPr>
      <w:rFonts w:cs="Times New Roman"/>
      <w:vertAlign w:val="superscript"/>
    </w:rPr>
  </w:style>
  <w:style w:type="paragraph" w:styleId="EndnoteText">
    <w:name w:val="endnote text"/>
    <w:basedOn w:val="Normal"/>
    <w:link w:val="EndnoteTextChar"/>
    <w:uiPriority w:val="99"/>
    <w:semiHidden/>
    <w:rsid w:val="00E37C28"/>
    <w:rPr>
      <w:sz w:val="20"/>
      <w:szCs w:val="20"/>
    </w:rPr>
  </w:style>
  <w:style w:type="character" w:customStyle="1" w:styleId="EndnoteTextChar">
    <w:name w:val="Endnote Text Char"/>
    <w:basedOn w:val="DefaultParagraphFont"/>
    <w:link w:val="EndnoteText"/>
    <w:uiPriority w:val="99"/>
    <w:semiHidden/>
    <w:locked/>
    <w:rsid w:val="00E52383"/>
    <w:rPr>
      <w:rFonts w:ascii="Arial" w:hAnsi="Arial" w:cs="Times New Roman"/>
      <w:sz w:val="20"/>
      <w:szCs w:val="20"/>
    </w:rPr>
  </w:style>
  <w:style w:type="character" w:styleId="FootnoteReference">
    <w:name w:val="footnote reference"/>
    <w:basedOn w:val="DefaultParagraphFont"/>
    <w:uiPriority w:val="99"/>
    <w:semiHidden/>
    <w:rsid w:val="00E37C28"/>
    <w:rPr>
      <w:rFonts w:cs="Times New Roman"/>
      <w:vertAlign w:val="superscript"/>
    </w:rPr>
  </w:style>
  <w:style w:type="paragraph" w:styleId="FootnoteText">
    <w:name w:val="footnote text"/>
    <w:basedOn w:val="Normal"/>
    <w:link w:val="FootnoteTextChar"/>
    <w:uiPriority w:val="99"/>
    <w:semiHidden/>
    <w:rsid w:val="00E37C28"/>
    <w:rPr>
      <w:sz w:val="20"/>
      <w:szCs w:val="20"/>
    </w:rPr>
  </w:style>
  <w:style w:type="character" w:customStyle="1" w:styleId="FootnoteTextChar">
    <w:name w:val="Footnote Text Char"/>
    <w:basedOn w:val="DefaultParagraphFont"/>
    <w:link w:val="FootnoteText"/>
    <w:uiPriority w:val="99"/>
    <w:semiHidden/>
    <w:locked/>
    <w:rsid w:val="00E52383"/>
    <w:rPr>
      <w:rFonts w:ascii="Arial" w:hAnsi="Arial" w:cs="Times New Roman"/>
      <w:sz w:val="20"/>
      <w:szCs w:val="20"/>
    </w:rPr>
  </w:style>
  <w:style w:type="paragraph" w:styleId="Index1">
    <w:name w:val="index 1"/>
    <w:basedOn w:val="Normal"/>
    <w:next w:val="Normal"/>
    <w:autoRedefine/>
    <w:uiPriority w:val="99"/>
    <w:semiHidden/>
    <w:rsid w:val="00E37C28"/>
    <w:pPr>
      <w:ind w:left="220" w:hanging="220"/>
    </w:pPr>
  </w:style>
  <w:style w:type="paragraph" w:styleId="Index2">
    <w:name w:val="index 2"/>
    <w:basedOn w:val="Normal"/>
    <w:next w:val="Normal"/>
    <w:autoRedefine/>
    <w:uiPriority w:val="99"/>
    <w:semiHidden/>
    <w:rsid w:val="00E37C28"/>
    <w:pPr>
      <w:ind w:left="440" w:hanging="220"/>
    </w:pPr>
  </w:style>
  <w:style w:type="paragraph" w:styleId="Index3">
    <w:name w:val="index 3"/>
    <w:basedOn w:val="Normal"/>
    <w:next w:val="Normal"/>
    <w:autoRedefine/>
    <w:uiPriority w:val="99"/>
    <w:semiHidden/>
    <w:rsid w:val="00E37C28"/>
    <w:pPr>
      <w:ind w:left="660" w:hanging="220"/>
    </w:pPr>
  </w:style>
  <w:style w:type="paragraph" w:styleId="Index4">
    <w:name w:val="index 4"/>
    <w:basedOn w:val="Normal"/>
    <w:next w:val="Normal"/>
    <w:autoRedefine/>
    <w:uiPriority w:val="99"/>
    <w:semiHidden/>
    <w:rsid w:val="00E37C28"/>
    <w:pPr>
      <w:ind w:left="880" w:hanging="220"/>
    </w:pPr>
  </w:style>
  <w:style w:type="paragraph" w:styleId="Index5">
    <w:name w:val="index 5"/>
    <w:basedOn w:val="Normal"/>
    <w:next w:val="Normal"/>
    <w:autoRedefine/>
    <w:uiPriority w:val="99"/>
    <w:semiHidden/>
    <w:rsid w:val="00E37C28"/>
    <w:pPr>
      <w:ind w:left="1100" w:hanging="220"/>
    </w:pPr>
  </w:style>
  <w:style w:type="paragraph" w:styleId="Index6">
    <w:name w:val="index 6"/>
    <w:basedOn w:val="Normal"/>
    <w:next w:val="Normal"/>
    <w:autoRedefine/>
    <w:uiPriority w:val="99"/>
    <w:semiHidden/>
    <w:rsid w:val="00E37C28"/>
    <w:pPr>
      <w:ind w:left="1320" w:hanging="220"/>
    </w:pPr>
  </w:style>
  <w:style w:type="paragraph" w:styleId="Index7">
    <w:name w:val="index 7"/>
    <w:basedOn w:val="Normal"/>
    <w:next w:val="Normal"/>
    <w:autoRedefine/>
    <w:uiPriority w:val="99"/>
    <w:semiHidden/>
    <w:rsid w:val="00E37C28"/>
    <w:pPr>
      <w:ind w:left="1540" w:hanging="220"/>
    </w:pPr>
  </w:style>
  <w:style w:type="paragraph" w:styleId="Index8">
    <w:name w:val="index 8"/>
    <w:basedOn w:val="Normal"/>
    <w:next w:val="Normal"/>
    <w:autoRedefine/>
    <w:uiPriority w:val="99"/>
    <w:semiHidden/>
    <w:rsid w:val="00E37C28"/>
    <w:pPr>
      <w:ind w:left="1760" w:hanging="220"/>
    </w:pPr>
  </w:style>
  <w:style w:type="paragraph" w:styleId="Index9">
    <w:name w:val="index 9"/>
    <w:basedOn w:val="Normal"/>
    <w:next w:val="Normal"/>
    <w:autoRedefine/>
    <w:uiPriority w:val="99"/>
    <w:semiHidden/>
    <w:rsid w:val="00E37C28"/>
    <w:pPr>
      <w:ind w:left="1980" w:hanging="220"/>
    </w:pPr>
  </w:style>
  <w:style w:type="paragraph" w:styleId="IndexHeading">
    <w:name w:val="index heading"/>
    <w:basedOn w:val="Normal"/>
    <w:next w:val="Index1"/>
    <w:uiPriority w:val="99"/>
    <w:semiHidden/>
    <w:rsid w:val="00E37C28"/>
    <w:rPr>
      <w:rFonts w:cs="Arial"/>
      <w:b/>
      <w:bCs/>
    </w:rPr>
  </w:style>
  <w:style w:type="paragraph" w:styleId="MacroText">
    <w:name w:val="macro"/>
    <w:link w:val="MacroTextChar"/>
    <w:uiPriority w:val="99"/>
    <w:semiHidden/>
    <w:rsid w:val="00E37C28"/>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20"/>
      <w:szCs w:val="20"/>
    </w:rPr>
  </w:style>
  <w:style w:type="character" w:customStyle="1" w:styleId="MacroTextChar">
    <w:name w:val="Macro Text Char"/>
    <w:basedOn w:val="DefaultParagraphFont"/>
    <w:link w:val="MacroText"/>
    <w:uiPriority w:val="99"/>
    <w:semiHidden/>
    <w:locked/>
    <w:rsid w:val="00E52383"/>
    <w:rPr>
      <w:rFonts w:ascii="Courier New" w:hAnsi="Courier New" w:cs="Courier New"/>
      <w:lang w:val="en-AU" w:eastAsia="en-AU" w:bidi="ar-SA"/>
    </w:rPr>
  </w:style>
  <w:style w:type="paragraph" w:styleId="TOAHeading">
    <w:name w:val="toa heading"/>
    <w:basedOn w:val="Normal"/>
    <w:next w:val="Normal"/>
    <w:uiPriority w:val="99"/>
    <w:semiHidden/>
    <w:rsid w:val="00E37C28"/>
    <w:pPr>
      <w:spacing w:before="120"/>
    </w:pPr>
    <w:rPr>
      <w:rFonts w:cs="Arial"/>
      <w:b/>
      <w:bCs/>
      <w:sz w:val="24"/>
    </w:rPr>
  </w:style>
  <w:style w:type="paragraph" w:styleId="TOC4">
    <w:name w:val="toc 4"/>
    <w:basedOn w:val="Normal"/>
    <w:next w:val="Normal"/>
    <w:autoRedefine/>
    <w:uiPriority w:val="39"/>
    <w:rsid w:val="00932E73"/>
    <w:pPr>
      <w:ind w:left="1134"/>
    </w:pPr>
    <w:rPr>
      <w:i/>
    </w:rPr>
  </w:style>
  <w:style w:type="paragraph" w:styleId="TOC5">
    <w:name w:val="toc 5"/>
    <w:basedOn w:val="Normal"/>
    <w:next w:val="Normal"/>
    <w:autoRedefine/>
    <w:uiPriority w:val="99"/>
    <w:semiHidden/>
    <w:rsid w:val="00E37C28"/>
    <w:pPr>
      <w:ind w:left="880"/>
    </w:pPr>
  </w:style>
  <w:style w:type="paragraph" w:styleId="TOC6">
    <w:name w:val="toc 6"/>
    <w:basedOn w:val="Normal"/>
    <w:next w:val="Normal"/>
    <w:autoRedefine/>
    <w:uiPriority w:val="99"/>
    <w:semiHidden/>
    <w:rsid w:val="00E37C28"/>
    <w:pPr>
      <w:ind w:left="1100"/>
    </w:pPr>
  </w:style>
  <w:style w:type="paragraph" w:styleId="TOC7">
    <w:name w:val="toc 7"/>
    <w:basedOn w:val="Normal"/>
    <w:next w:val="Normal"/>
    <w:autoRedefine/>
    <w:uiPriority w:val="99"/>
    <w:semiHidden/>
    <w:rsid w:val="00E37C28"/>
    <w:pPr>
      <w:ind w:left="1320"/>
    </w:pPr>
  </w:style>
  <w:style w:type="paragraph" w:styleId="TOC8">
    <w:name w:val="toc 8"/>
    <w:basedOn w:val="Normal"/>
    <w:next w:val="Normal"/>
    <w:autoRedefine/>
    <w:uiPriority w:val="99"/>
    <w:semiHidden/>
    <w:rsid w:val="00E37C28"/>
    <w:pPr>
      <w:ind w:left="1540"/>
    </w:pPr>
  </w:style>
  <w:style w:type="paragraph" w:styleId="TOC9">
    <w:name w:val="toc 9"/>
    <w:basedOn w:val="Normal"/>
    <w:next w:val="Normal"/>
    <w:autoRedefine/>
    <w:uiPriority w:val="99"/>
    <w:semiHidden/>
    <w:rsid w:val="00E37C28"/>
    <w:pPr>
      <w:ind w:left="1760"/>
    </w:pPr>
  </w:style>
  <w:style w:type="character" w:customStyle="1" w:styleId="TOC1Char">
    <w:name w:val="TOC 1 Char"/>
    <w:basedOn w:val="DefaultParagraphFont"/>
    <w:link w:val="TOC1"/>
    <w:uiPriority w:val="39"/>
    <w:locked/>
    <w:rsid w:val="00932E73"/>
    <w:rPr>
      <w:rFonts w:ascii="Arial Bold" w:hAnsi="Arial Bold" w:cs="Times New Roman"/>
      <w:b/>
      <w:caps/>
      <w:sz w:val="24"/>
      <w:szCs w:val="24"/>
      <w:lang w:val="en-AU" w:eastAsia="en-AU" w:bidi="ar-SA"/>
    </w:rPr>
  </w:style>
  <w:style w:type="character" w:styleId="Hyperlink">
    <w:name w:val="Hyperlink"/>
    <w:basedOn w:val="DefaultParagraphFont"/>
    <w:uiPriority w:val="99"/>
    <w:rsid w:val="00E37C28"/>
    <w:rPr>
      <w:rFonts w:cs="Times New Roman"/>
      <w:color w:val="0000FF"/>
      <w:u w:val="single"/>
    </w:rPr>
  </w:style>
  <w:style w:type="paragraph" w:customStyle="1" w:styleId="Tableheading">
    <w:name w:val="Table heading"/>
    <w:basedOn w:val="Caption"/>
    <w:next w:val="TableText"/>
    <w:autoRedefine/>
    <w:uiPriority w:val="99"/>
    <w:semiHidden/>
    <w:rsid w:val="003C4415"/>
  </w:style>
  <w:style w:type="paragraph" w:styleId="Header">
    <w:name w:val="header"/>
    <w:basedOn w:val="Normal"/>
    <w:link w:val="HeaderChar"/>
    <w:semiHidden/>
    <w:rsid w:val="00BF1305"/>
    <w:pPr>
      <w:tabs>
        <w:tab w:val="center" w:pos="4153"/>
        <w:tab w:val="right" w:pos="8306"/>
      </w:tabs>
    </w:pPr>
  </w:style>
  <w:style w:type="character" w:customStyle="1" w:styleId="HeaderChar">
    <w:name w:val="Header Char"/>
    <w:basedOn w:val="DefaultParagraphFont"/>
    <w:link w:val="Header"/>
    <w:uiPriority w:val="99"/>
    <w:semiHidden/>
    <w:locked/>
    <w:rsid w:val="00E52383"/>
    <w:rPr>
      <w:rFonts w:ascii="Arial" w:hAnsi="Arial" w:cs="Times New Roman"/>
      <w:sz w:val="24"/>
      <w:szCs w:val="24"/>
    </w:rPr>
  </w:style>
  <w:style w:type="character" w:styleId="PageNumber">
    <w:name w:val="page number"/>
    <w:basedOn w:val="DefaultParagraphFont"/>
    <w:uiPriority w:val="99"/>
    <w:semiHidden/>
    <w:rsid w:val="00BF1305"/>
    <w:rPr>
      <w:rFonts w:cs="Times New Roman"/>
    </w:rPr>
  </w:style>
  <w:style w:type="paragraph" w:customStyle="1" w:styleId="CommercialinConfidence">
    <w:name w:val="Commercial in Confidence"/>
    <w:basedOn w:val="Heading2"/>
    <w:uiPriority w:val="99"/>
    <w:semiHidden/>
    <w:rsid w:val="00A6111E"/>
    <w:pPr>
      <w:spacing w:before="0" w:after="4" w:line="280" w:lineRule="exact"/>
    </w:pPr>
    <w:rPr>
      <w:bCs w:val="0"/>
      <w:iCs/>
      <w:color w:val="000000"/>
      <w:szCs w:val="24"/>
      <w:lang w:val="en-US" w:eastAsia="en-US"/>
    </w:rPr>
  </w:style>
  <w:style w:type="table" w:styleId="TableContemporary">
    <w:name w:val="Table Contemporary"/>
    <w:basedOn w:val="TableNormal"/>
    <w:uiPriority w:val="99"/>
    <w:semiHidden/>
    <w:rsid w:val="007E4959"/>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customStyle="1" w:styleId="Dot1">
    <w:name w:val="Dot 1"/>
    <w:basedOn w:val="BodyText"/>
    <w:uiPriority w:val="99"/>
    <w:semiHidden/>
    <w:rsid w:val="00676132"/>
    <w:pPr>
      <w:numPr>
        <w:numId w:val="5"/>
      </w:numPr>
      <w:tabs>
        <w:tab w:val="left" w:pos="360"/>
      </w:tabs>
      <w:spacing w:after="160" w:line="280" w:lineRule="exact"/>
      <w:ind w:left="357" w:hanging="357"/>
    </w:pPr>
  </w:style>
  <w:style w:type="paragraph" w:customStyle="1" w:styleId="Cover-Title">
    <w:name w:val="Cover - Title"/>
    <w:basedOn w:val="Heading1"/>
    <w:uiPriority w:val="99"/>
    <w:semiHidden/>
    <w:rsid w:val="0025317F"/>
    <w:rPr>
      <w:color w:val="auto"/>
      <w:sz w:val="36"/>
      <w:szCs w:val="36"/>
    </w:rPr>
  </w:style>
  <w:style w:type="character" w:customStyle="1" w:styleId="BodyTextChar1">
    <w:name w:val="Body Text Char1"/>
    <w:basedOn w:val="DefaultParagraphFont"/>
    <w:link w:val="BodyText"/>
    <w:locked/>
    <w:rsid w:val="002E0BD6"/>
    <w:rPr>
      <w:lang w:eastAsia="en-US"/>
    </w:rPr>
  </w:style>
  <w:style w:type="paragraph" w:styleId="BlockText">
    <w:name w:val="Block Text"/>
    <w:basedOn w:val="Normal"/>
    <w:uiPriority w:val="99"/>
    <w:semiHidden/>
    <w:rsid w:val="007E4959"/>
    <w:pPr>
      <w:spacing w:after="120"/>
      <w:ind w:left="1440" w:right="1440"/>
    </w:pPr>
  </w:style>
  <w:style w:type="paragraph" w:customStyle="1" w:styleId="Dot2">
    <w:name w:val="Dot 2"/>
    <w:basedOn w:val="ListBullet"/>
    <w:autoRedefine/>
    <w:uiPriority w:val="99"/>
    <w:semiHidden/>
    <w:rsid w:val="00676132"/>
    <w:pPr>
      <w:tabs>
        <w:tab w:val="left" w:pos="709"/>
      </w:tabs>
      <w:ind w:left="714"/>
    </w:pPr>
  </w:style>
  <w:style w:type="paragraph" w:customStyle="1" w:styleId="Numberedlist">
    <w:name w:val="Numbered list"/>
    <w:basedOn w:val="BodyText"/>
    <w:uiPriority w:val="99"/>
    <w:rsid w:val="00676132"/>
    <w:pPr>
      <w:numPr>
        <w:numId w:val="6"/>
      </w:numPr>
      <w:spacing w:line="280" w:lineRule="exact"/>
    </w:pPr>
  </w:style>
  <w:style w:type="paragraph" w:customStyle="1" w:styleId="indent">
    <w:name w:val="indent"/>
    <w:basedOn w:val="BodyText"/>
    <w:next w:val="Normal"/>
    <w:uiPriority w:val="99"/>
    <w:semiHidden/>
    <w:rsid w:val="00676132"/>
    <w:pPr>
      <w:spacing w:line="280" w:lineRule="exact"/>
      <w:ind w:left="709"/>
    </w:pPr>
  </w:style>
  <w:style w:type="character" w:customStyle="1" w:styleId="italic">
    <w:name w:val="italic"/>
    <w:basedOn w:val="DefaultParagraphFont"/>
    <w:uiPriority w:val="99"/>
    <w:semiHidden/>
    <w:rsid w:val="001118AD"/>
    <w:rPr>
      <w:rFonts w:cs="Times New Roman"/>
      <w:i/>
    </w:rPr>
  </w:style>
  <w:style w:type="paragraph" w:styleId="ListBullet2">
    <w:name w:val="List Bullet 2"/>
    <w:basedOn w:val="ListBullet"/>
    <w:autoRedefine/>
    <w:uiPriority w:val="99"/>
    <w:rsid w:val="00676132"/>
    <w:pPr>
      <w:numPr>
        <w:numId w:val="1"/>
      </w:numPr>
      <w:tabs>
        <w:tab w:val="clear" w:pos="360"/>
        <w:tab w:val="left" w:pos="714"/>
      </w:tabs>
      <w:ind w:left="714"/>
    </w:pPr>
  </w:style>
  <w:style w:type="paragraph" w:customStyle="1" w:styleId="bodycopy">
    <w:name w:val="body copy"/>
    <w:basedOn w:val="Normal"/>
    <w:uiPriority w:val="99"/>
    <w:semiHidden/>
    <w:rsid w:val="00A03C08"/>
    <w:pPr>
      <w:suppressAutoHyphens/>
      <w:autoSpaceDE w:val="0"/>
      <w:autoSpaceDN w:val="0"/>
      <w:adjustRightInd w:val="0"/>
      <w:spacing w:after="102" w:line="250" w:lineRule="atLeast"/>
      <w:textAlignment w:val="baseline"/>
    </w:pPr>
    <w:rPr>
      <w:rFonts w:ascii="Gill Sans" w:hAnsi="Gill Sans" w:cs="Gill Sans"/>
      <w:color w:val="000000"/>
      <w:sz w:val="18"/>
      <w:szCs w:val="18"/>
    </w:rPr>
  </w:style>
  <w:style w:type="paragraph" w:customStyle="1" w:styleId="Level3heading">
    <w:name w:val="Level 3 heading"/>
    <w:basedOn w:val="Normal"/>
    <w:uiPriority w:val="99"/>
    <w:semiHidden/>
    <w:rsid w:val="00A03C08"/>
    <w:pPr>
      <w:keepNext/>
      <w:keepLines/>
      <w:suppressAutoHyphens/>
      <w:autoSpaceDE w:val="0"/>
      <w:autoSpaceDN w:val="0"/>
      <w:adjustRightInd w:val="0"/>
      <w:spacing w:before="170" w:after="102" w:line="270" w:lineRule="atLeast"/>
      <w:textAlignment w:val="baseline"/>
    </w:pPr>
    <w:rPr>
      <w:rFonts w:ascii="Gill Sans" w:hAnsi="Gill Sans" w:cs="Gill Sans"/>
      <w:color w:val="00DDC9"/>
      <w:szCs w:val="22"/>
    </w:rPr>
  </w:style>
  <w:style w:type="paragraph" w:customStyle="1" w:styleId="Level4heading">
    <w:name w:val="Level 4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color w:val="000000"/>
      <w:sz w:val="20"/>
      <w:szCs w:val="20"/>
    </w:rPr>
  </w:style>
  <w:style w:type="paragraph" w:customStyle="1" w:styleId="Level5heading">
    <w:name w:val="Level 5 heading"/>
    <w:basedOn w:val="Normal"/>
    <w:uiPriority w:val="99"/>
    <w:semiHidden/>
    <w:rsid w:val="00A03C08"/>
    <w:pPr>
      <w:keepNext/>
      <w:keepLines/>
      <w:suppressAutoHyphens/>
      <w:autoSpaceDE w:val="0"/>
      <w:autoSpaceDN w:val="0"/>
      <w:adjustRightInd w:val="0"/>
      <w:spacing w:before="170" w:after="102" w:line="250" w:lineRule="atLeast"/>
      <w:textAlignment w:val="baseline"/>
    </w:pPr>
    <w:rPr>
      <w:rFonts w:ascii="Gill Sans" w:hAnsi="Gill Sans" w:cs="Gill Sans"/>
      <w:i/>
      <w:iCs/>
      <w:color w:val="000000"/>
      <w:sz w:val="18"/>
      <w:szCs w:val="18"/>
    </w:rPr>
  </w:style>
  <w:style w:type="paragraph" w:customStyle="1" w:styleId="bullet">
    <w:name w:val="bullet"/>
    <w:basedOn w:val="bodycopy"/>
    <w:uiPriority w:val="99"/>
    <w:semiHidden/>
    <w:rsid w:val="00A03C08"/>
    <w:pPr>
      <w:ind w:left="170" w:hanging="170"/>
    </w:pPr>
  </w:style>
  <w:style w:type="paragraph" w:styleId="TableofFigures">
    <w:name w:val="table of figures"/>
    <w:basedOn w:val="Normal"/>
    <w:next w:val="Normal"/>
    <w:uiPriority w:val="99"/>
    <w:rsid w:val="00356238"/>
    <w:pPr>
      <w:tabs>
        <w:tab w:val="left" w:pos="8640"/>
      </w:tabs>
      <w:ind w:left="1008" w:hanging="1008"/>
    </w:pPr>
  </w:style>
  <w:style w:type="paragraph" w:customStyle="1" w:styleId="BodyText1">
    <w:name w:val="Body Text1"/>
    <w:basedOn w:val="Normal"/>
    <w:uiPriority w:val="99"/>
    <w:semiHidden/>
    <w:rsid w:val="00F933C7"/>
    <w:pPr>
      <w:spacing w:after="240" w:line="280" w:lineRule="exact"/>
    </w:pPr>
    <w:rPr>
      <w:rFonts w:ascii="Times New Roman" w:hAnsi="Times New Roman"/>
      <w:kern w:val="28"/>
      <w:szCs w:val="22"/>
    </w:rPr>
  </w:style>
  <w:style w:type="paragraph" w:styleId="NormalWeb">
    <w:name w:val="Normal (Web)"/>
    <w:basedOn w:val="Normal"/>
    <w:uiPriority w:val="99"/>
    <w:rsid w:val="000B0B2C"/>
    <w:pPr>
      <w:spacing w:before="100" w:beforeAutospacing="1" w:after="100" w:afterAutospacing="1"/>
    </w:pPr>
    <w:rPr>
      <w:rFonts w:ascii="Times New Roman" w:hAnsi="Times New Roman"/>
      <w:sz w:val="24"/>
    </w:rPr>
  </w:style>
  <w:style w:type="paragraph" w:customStyle="1" w:styleId="AAAAProjectHeading">
    <w:name w:val="AAAA Project Heading"/>
    <w:basedOn w:val="TOC3"/>
    <w:uiPriority w:val="99"/>
    <w:rsid w:val="00CB22B4"/>
    <w:pPr>
      <w:pBdr>
        <w:top w:val="single" w:sz="4" w:space="1" w:color="auto"/>
        <w:left w:val="single" w:sz="4" w:space="4" w:color="auto"/>
        <w:bottom w:val="single" w:sz="4" w:space="1" w:color="auto"/>
        <w:right w:val="single" w:sz="4" w:space="4" w:color="auto"/>
      </w:pBdr>
      <w:shd w:val="clear" w:color="auto" w:fill="C0C0C0"/>
      <w:ind w:left="1620" w:hanging="1620"/>
    </w:pPr>
    <w:rPr>
      <w:bCs/>
      <w:i/>
      <w:iCs/>
      <w:sz w:val="24"/>
      <w:szCs w:val="20"/>
      <w:lang w:val="en-US" w:eastAsia="en-US"/>
    </w:rPr>
  </w:style>
  <w:style w:type="paragraph" w:customStyle="1" w:styleId="normaltext">
    <w:name w:val="normal text"/>
    <w:basedOn w:val="Normal"/>
    <w:link w:val="normaltextChar"/>
    <w:uiPriority w:val="99"/>
    <w:rsid w:val="003C0EB2"/>
    <w:rPr>
      <w:lang w:eastAsia="en-US"/>
    </w:rPr>
  </w:style>
  <w:style w:type="character" w:customStyle="1" w:styleId="normaltextChar">
    <w:name w:val="normal text Char"/>
    <w:basedOn w:val="DefaultParagraphFont"/>
    <w:link w:val="normaltext"/>
    <w:uiPriority w:val="99"/>
    <w:locked/>
    <w:rsid w:val="003C0EB2"/>
    <w:rPr>
      <w:rFonts w:ascii="Arial" w:hAnsi="Arial" w:cs="Times New Roman"/>
      <w:sz w:val="24"/>
      <w:szCs w:val="24"/>
      <w:lang w:val="en-AU" w:eastAsia="en-US" w:bidi="ar-SA"/>
    </w:rPr>
  </w:style>
  <w:style w:type="paragraph" w:customStyle="1" w:styleId="Sub-heading">
    <w:name w:val="Sub-heading"/>
    <w:next w:val="normaltext"/>
    <w:link w:val="Sub-headingCharChar"/>
    <w:uiPriority w:val="99"/>
    <w:rsid w:val="003C0EB2"/>
    <w:rPr>
      <w:rFonts w:ascii="Arial" w:hAnsi="Arial" w:cs="Arial"/>
      <w:b/>
      <w:sz w:val="24"/>
      <w:lang w:val="en-US" w:eastAsia="en-US"/>
    </w:rPr>
  </w:style>
  <w:style w:type="character" w:customStyle="1" w:styleId="Sub-headingCharChar">
    <w:name w:val="Sub-heading Char Char"/>
    <w:basedOn w:val="DefaultParagraphFont"/>
    <w:link w:val="Sub-heading"/>
    <w:uiPriority w:val="99"/>
    <w:locked/>
    <w:rsid w:val="003C0EB2"/>
    <w:rPr>
      <w:rFonts w:ascii="Arial" w:hAnsi="Arial" w:cs="Arial"/>
      <w:b/>
      <w:sz w:val="22"/>
      <w:szCs w:val="22"/>
      <w:lang w:val="en-US" w:eastAsia="en-US" w:bidi="ar-SA"/>
    </w:rPr>
  </w:style>
  <w:style w:type="table" w:styleId="TableGrid">
    <w:name w:val="Table Grid"/>
    <w:basedOn w:val="TableNormal"/>
    <w:uiPriority w:val="59"/>
    <w:rsid w:val="003C0EB2"/>
    <w:pPr>
      <w:spacing w:before="120" w:after="120"/>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
    <w:name w:val="text"/>
    <w:uiPriority w:val="99"/>
    <w:rsid w:val="003C0EB2"/>
    <w:pPr>
      <w:jc w:val="both"/>
    </w:pPr>
    <w:rPr>
      <w:sz w:val="24"/>
      <w:szCs w:val="24"/>
      <w:lang w:val="de-DE" w:eastAsia="de-DE"/>
    </w:rPr>
  </w:style>
  <w:style w:type="paragraph" w:customStyle="1" w:styleId="OOtext">
    <w:name w:val="OO text"/>
    <w:uiPriority w:val="99"/>
    <w:rsid w:val="00E14AD2"/>
    <w:pPr>
      <w:spacing w:after="60"/>
    </w:pPr>
    <w:rPr>
      <w:sz w:val="24"/>
      <w:szCs w:val="24"/>
      <w:lang w:val="en-US" w:eastAsia="de-DE"/>
    </w:rPr>
  </w:style>
  <w:style w:type="paragraph" w:customStyle="1" w:styleId="OceanOptics-Heading">
    <w:name w:val="OceanOptics-Heading"/>
    <w:basedOn w:val="OOtext"/>
    <w:uiPriority w:val="99"/>
    <w:rsid w:val="00256EE8"/>
    <w:pPr>
      <w:spacing w:before="240" w:line="360" w:lineRule="auto"/>
    </w:pPr>
    <w:rPr>
      <w:b/>
      <w:caps/>
    </w:rPr>
  </w:style>
  <w:style w:type="paragraph" w:customStyle="1" w:styleId="Figure">
    <w:name w:val="Figure"/>
    <w:basedOn w:val="Normal"/>
    <w:link w:val="FigureChar"/>
    <w:uiPriority w:val="99"/>
    <w:rsid w:val="00256EE8"/>
    <w:pPr>
      <w:widowControl w:val="0"/>
      <w:suppressAutoHyphens/>
      <w:jc w:val="center"/>
    </w:pPr>
    <w:rPr>
      <w:rFonts w:ascii="Times New Roman" w:hAnsi="Times New Roman"/>
      <w:kern w:val="1"/>
      <w:sz w:val="24"/>
      <w:szCs w:val="20"/>
      <w:lang w:val="en-GB"/>
    </w:rPr>
  </w:style>
  <w:style w:type="character" w:customStyle="1" w:styleId="FigureChar">
    <w:name w:val="Figure Char"/>
    <w:basedOn w:val="DefaultParagraphFont"/>
    <w:link w:val="Figure"/>
    <w:uiPriority w:val="99"/>
    <w:locked/>
    <w:rsid w:val="00256EE8"/>
    <w:rPr>
      <w:rFonts w:cs="Times New Roman"/>
      <w:kern w:val="1"/>
      <w:sz w:val="24"/>
      <w:lang w:val="en-GB" w:bidi="ar-SA"/>
    </w:rPr>
  </w:style>
  <w:style w:type="paragraph" w:customStyle="1" w:styleId="tabletext0">
    <w:name w:val="table text"/>
    <w:basedOn w:val="BodyText"/>
    <w:next w:val="BodyText1"/>
    <w:uiPriority w:val="99"/>
    <w:rsid w:val="00676132"/>
    <w:pPr>
      <w:spacing w:before="0"/>
    </w:pPr>
  </w:style>
  <w:style w:type="paragraph" w:customStyle="1" w:styleId="SPIEbodytext">
    <w:name w:val="SPIE body text"/>
    <w:basedOn w:val="Normal"/>
    <w:link w:val="SPIEbodytextCharChar"/>
    <w:uiPriority w:val="99"/>
    <w:rsid w:val="00100A7F"/>
    <w:pPr>
      <w:spacing w:after="120"/>
      <w:jc w:val="both"/>
    </w:pPr>
    <w:rPr>
      <w:rFonts w:ascii="Times New Roman" w:hAnsi="Times New Roman"/>
      <w:sz w:val="20"/>
      <w:lang w:val="en-US" w:eastAsia="en-US"/>
    </w:rPr>
  </w:style>
  <w:style w:type="character" w:customStyle="1" w:styleId="SPIEbodytextCharChar">
    <w:name w:val="SPIE body text Char Char"/>
    <w:basedOn w:val="DefaultParagraphFont"/>
    <w:link w:val="SPIEbodytext"/>
    <w:uiPriority w:val="99"/>
    <w:locked/>
    <w:rsid w:val="00100A7F"/>
    <w:rPr>
      <w:rFonts w:cs="Times New Roman"/>
      <w:sz w:val="24"/>
      <w:szCs w:val="24"/>
      <w:lang w:val="en-US" w:eastAsia="en-US" w:bidi="ar-SA"/>
    </w:rPr>
  </w:style>
  <w:style w:type="paragraph" w:customStyle="1" w:styleId="Paragraph2">
    <w:name w:val="Paragraph 2"/>
    <w:basedOn w:val="Normal"/>
    <w:uiPriority w:val="99"/>
    <w:rsid w:val="0069305F"/>
    <w:pPr>
      <w:ind w:firstLine="288"/>
      <w:jc w:val="both"/>
    </w:pPr>
    <w:rPr>
      <w:rFonts w:ascii="Times New Roman" w:hAnsi="Times New Roman"/>
      <w:sz w:val="20"/>
      <w:lang w:val="en-US" w:eastAsia="en-US"/>
    </w:rPr>
  </w:style>
  <w:style w:type="paragraph" w:customStyle="1" w:styleId="RRRCheader1">
    <w:name w:val="RRRC header 1"/>
    <w:basedOn w:val="Normal"/>
    <w:next w:val="Normal"/>
    <w:uiPriority w:val="99"/>
    <w:rsid w:val="00136629"/>
    <w:pPr>
      <w:autoSpaceDE w:val="0"/>
      <w:autoSpaceDN w:val="0"/>
      <w:adjustRightInd w:val="0"/>
      <w:spacing w:after="227" w:line="288" w:lineRule="auto"/>
      <w:textAlignment w:val="center"/>
    </w:pPr>
    <w:rPr>
      <w:rFonts w:cs="Arial"/>
      <w:b/>
      <w:bCs/>
      <w:color w:val="000000"/>
      <w:sz w:val="28"/>
      <w:szCs w:val="28"/>
      <w:lang w:val="en-GB" w:eastAsia="en-US"/>
    </w:rPr>
  </w:style>
  <w:style w:type="paragraph" w:customStyle="1" w:styleId="RRRCgeneralparagraph">
    <w:name w:val="RRRC general paragraph"/>
    <w:basedOn w:val="Normal"/>
    <w:uiPriority w:val="99"/>
    <w:rsid w:val="00136629"/>
    <w:pPr>
      <w:suppressAutoHyphens/>
      <w:autoSpaceDE w:val="0"/>
      <w:autoSpaceDN w:val="0"/>
      <w:adjustRightInd w:val="0"/>
      <w:spacing w:line="288" w:lineRule="auto"/>
      <w:jc w:val="both"/>
      <w:textAlignment w:val="center"/>
    </w:pPr>
    <w:rPr>
      <w:rFonts w:cs="Arial"/>
      <w:color w:val="000000"/>
      <w:szCs w:val="22"/>
      <w:lang w:val="en-GB" w:eastAsia="en-US"/>
    </w:rPr>
  </w:style>
  <w:style w:type="paragraph" w:customStyle="1" w:styleId="StyleDefaultArial11ptAutoAfter6pt">
    <w:name w:val="Style Default + Arial 11 pt Auto After:  6 pt"/>
    <w:basedOn w:val="Normal"/>
    <w:uiPriority w:val="99"/>
    <w:rsid w:val="00AF421A"/>
    <w:pPr>
      <w:numPr>
        <w:numId w:val="7"/>
      </w:numPr>
      <w:jc w:val="both"/>
    </w:pPr>
    <w:rPr>
      <w:szCs w:val="22"/>
      <w:lang w:val="en-US" w:eastAsia="en-US"/>
    </w:rPr>
  </w:style>
  <w:style w:type="paragraph" w:customStyle="1" w:styleId="DotPoints">
    <w:name w:val="Dot Points"/>
    <w:basedOn w:val="StyleDefaultArial11ptAutoAfter6pt"/>
    <w:uiPriority w:val="99"/>
    <w:rsid w:val="00AF421A"/>
    <w:pPr>
      <w:tabs>
        <w:tab w:val="left" w:pos="369"/>
      </w:tabs>
      <w:spacing w:before="60" w:after="60"/>
    </w:pPr>
    <w:rPr>
      <w:szCs w:val="20"/>
    </w:rPr>
  </w:style>
  <w:style w:type="paragraph" w:customStyle="1" w:styleId="StyleLinespacingMultiple115li">
    <w:name w:val="Style Line spacing:  Multiple 1.15 li"/>
    <w:basedOn w:val="Normal"/>
    <w:uiPriority w:val="99"/>
    <w:rsid w:val="00AF421A"/>
    <w:pPr>
      <w:jc w:val="both"/>
    </w:pPr>
    <w:rPr>
      <w:szCs w:val="20"/>
      <w:lang w:val="en-US" w:eastAsia="en-US"/>
    </w:rPr>
  </w:style>
  <w:style w:type="paragraph" w:customStyle="1" w:styleId="TABLECAPTION">
    <w:name w:val="TABLE CAPTION"/>
    <w:basedOn w:val="Normal"/>
    <w:uiPriority w:val="99"/>
    <w:rsid w:val="0074119B"/>
    <w:pPr>
      <w:jc w:val="both"/>
    </w:pPr>
    <w:rPr>
      <w:sz w:val="20"/>
      <w:szCs w:val="22"/>
      <w:lang w:val="en-US" w:eastAsia="en-US"/>
    </w:rPr>
  </w:style>
  <w:style w:type="paragraph" w:customStyle="1" w:styleId="Default">
    <w:name w:val="Default"/>
    <w:uiPriority w:val="99"/>
    <w:rsid w:val="007A15B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99"/>
    <w:qFormat/>
    <w:rsid w:val="00066611"/>
    <w:rPr>
      <w:rFonts w:cs="Times New Roman"/>
      <w:i/>
      <w:iCs/>
    </w:rPr>
  </w:style>
  <w:style w:type="paragraph" w:styleId="PlainText">
    <w:name w:val="Plain Text"/>
    <w:basedOn w:val="Normal"/>
    <w:link w:val="PlainTextChar"/>
    <w:uiPriority w:val="99"/>
    <w:rsid w:val="001D240F"/>
    <w:rPr>
      <w:rFonts w:ascii="Consolas" w:hAnsi="Consolas"/>
      <w:sz w:val="21"/>
      <w:szCs w:val="21"/>
      <w:lang w:val="en-US" w:eastAsia="en-US"/>
    </w:rPr>
  </w:style>
  <w:style w:type="character" w:customStyle="1" w:styleId="PlainTextChar">
    <w:name w:val="Plain Text Char"/>
    <w:basedOn w:val="DefaultParagraphFont"/>
    <w:link w:val="PlainText"/>
    <w:uiPriority w:val="99"/>
    <w:locked/>
    <w:rsid w:val="001D240F"/>
    <w:rPr>
      <w:rFonts w:ascii="Consolas" w:hAnsi="Consolas" w:cs="Times New Roman"/>
      <w:sz w:val="21"/>
      <w:szCs w:val="21"/>
    </w:rPr>
  </w:style>
  <w:style w:type="paragraph" w:customStyle="1" w:styleId="Contents">
    <w:name w:val="Contents"/>
    <w:basedOn w:val="Normal"/>
    <w:uiPriority w:val="99"/>
    <w:rsid w:val="00CD2116"/>
    <w:pPr>
      <w:spacing w:after="80" w:line="260" w:lineRule="exact"/>
    </w:pPr>
    <w:rPr>
      <w:rFonts w:ascii="Arial Bold" w:hAnsi="Arial Bold"/>
      <w:b/>
      <w:sz w:val="28"/>
      <w:szCs w:val="22"/>
    </w:rPr>
  </w:style>
  <w:style w:type="paragraph" w:styleId="Revision">
    <w:name w:val="Revision"/>
    <w:hidden/>
    <w:uiPriority w:val="99"/>
    <w:semiHidden/>
    <w:rsid w:val="00C30371"/>
    <w:rPr>
      <w:rFonts w:ascii="Arial" w:hAnsi="Arial"/>
      <w:szCs w:val="24"/>
    </w:rPr>
  </w:style>
  <w:style w:type="paragraph" w:styleId="ListParagraph">
    <w:name w:val="List Paragraph"/>
    <w:basedOn w:val="Normal"/>
    <w:uiPriority w:val="34"/>
    <w:qFormat/>
    <w:rsid w:val="00D45B4E"/>
    <w:pPr>
      <w:ind w:left="720"/>
      <w:contextualSpacing/>
    </w:pPr>
    <w:rPr>
      <w:rFonts w:ascii="Palatino" w:hAnsi="Palatino"/>
      <w:sz w:val="24"/>
      <w:szCs w:val="20"/>
      <w:lang w:eastAsia="en-US"/>
    </w:rPr>
  </w:style>
  <w:style w:type="character" w:styleId="FollowedHyperlink">
    <w:name w:val="FollowedHyperlink"/>
    <w:basedOn w:val="DefaultParagraphFont"/>
    <w:uiPriority w:val="99"/>
    <w:rsid w:val="00B65E2D"/>
    <w:rPr>
      <w:rFonts w:cs="Times New Roman"/>
      <w:color w:val="800080"/>
      <w:u w:val="single"/>
    </w:rPr>
  </w:style>
  <w:style w:type="paragraph" w:customStyle="1" w:styleId="head1nonumb">
    <w:name w:val="head 1 no numb"/>
    <w:basedOn w:val="Heading1"/>
    <w:next w:val="BodyText1"/>
    <w:link w:val="head1nonumbChar"/>
    <w:uiPriority w:val="99"/>
    <w:rsid w:val="00D80E36"/>
    <w:pPr>
      <w:pageBreakBefore/>
      <w:numPr>
        <w:numId w:val="0"/>
      </w:numPr>
    </w:pPr>
  </w:style>
  <w:style w:type="character" w:customStyle="1" w:styleId="head1nonumbChar">
    <w:name w:val="head 1 no numb Char"/>
    <w:basedOn w:val="Heading1Char"/>
    <w:link w:val="head1nonumb"/>
    <w:uiPriority w:val="99"/>
    <w:locked/>
    <w:rsid w:val="00D80E36"/>
    <w:rPr>
      <w:rFonts w:ascii="Arial" w:hAnsi="Arial" w:cs="Arial"/>
      <w:b/>
      <w:bCs/>
      <w:caps/>
      <w:color w:val="000000"/>
      <w:kern w:val="32"/>
      <w:sz w:val="28"/>
      <w:szCs w:val="32"/>
    </w:rPr>
  </w:style>
  <w:style w:type="paragraph" w:customStyle="1" w:styleId="head2nonumb">
    <w:name w:val="head 2 no numb"/>
    <w:basedOn w:val="Heading2"/>
    <w:next w:val="BodyText1"/>
    <w:link w:val="head2nonumbChar"/>
    <w:uiPriority w:val="99"/>
    <w:rsid w:val="009C3B33"/>
    <w:pPr>
      <w:numPr>
        <w:ilvl w:val="0"/>
        <w:numId w:val="0"/>
      </w:numPr>
    </w:pPr>
  </w:style>
  <w:style w:type="character" w:customStyle="1" w:styleId="head2nonumbChar">
    <w:name w:val="head 2 no numb Char"/>
    <w:basedOn w:val="Heading2Char"/>
    <w:link w:val="head2nonumb"/>
    <w:uiPriority w:val="99"/>
    <w:locked/>
    <w:rsid w:val="009C3B33"/>
    <w:rPr>
      <w:rFonts w:ascii="Arial" w:hAnsi="Arial" w:cs="Arial"/>
      <w:b/>
      <w:bCs/>
      <w:sz w:val="28"/>
    </w:rPr>
  </w:style>
  <w:style w:type="paragraph" w:customStyle="1" w:styleId="H1NoNumber">
    <w:name w:val="H1NoNumber"/>
    <w:basedOn w:val="Heading1"/>
    <w:rsid w:val="002F6DB0"/>
    <w:pPr>
      <w:keepNext/>
      <w:tabs>
        <w:tab w:val="left" w:pos="567"/>
        <w:tab w:val="num" w:pos="792"/>
        <w:tab w:val="left" w:pos="851"/>
      </w:tabs>
      <w:spacing w:before="240" w:after="120" w:line="240" w:lineRule="atLeast"/>
      <w:ind w:left="792"/>
    </w:pPr>
    <w:rPr>
      <w:rFonts w:ascii="Arial Bold" w:hAnsi="Arial Bold"/>
      <w:color w:val="auto"/>
      <w:sz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008514">
      <w:marLeft w:val="0"/>
      <w:marRight w:val="0"/>
      <w:marTop w:val="0"/>
      <w:marBottom w:val="0"/>
      <w:divBdr>
        <w:top w:val="none" w:sz="0" w:space="0" w:color="auto"/>
        <w:left w:val="none" w:sz="0" w:space="0" w:color="auto"/>
        <w:bottom w:val="none" w:sz="0" w:space="0" w:color="auto"/>
        <w:right w:val="none" w:sz="0" w:space="0" w:color="auto"/>
      </w:divBdr>
    </w:div>
    <w:div w:id="108008515">
      <w:marLeft w:val="0"/>
      <w:marRight w:val="0"/>
      <w:marTop w:val="0"/>
      <w:marBottom w:val="0"/>
      <w:divBdr>
        <w:top w:val="none" w:sz="0" w:space="0" w:color="auto"/>
        <w:left w:val="none" w:sz="0" w:space="0" w:color="auto"/>
        <w:bottom w:val="none" w:sz="0" w:space="0" w:color="auto"/>
        <w:right w:val="none" w:sz="0" w:space="0" w:color="auto"/>
      </w:divBdr>
    </w:div>
    <w:div w:id="108008516">
      <w:marLeft w:val="0"/>
      <w:marRight w:val="0"/>
      <w:marTop w:val="0"/>
      <w:marBottom w:val="0"/>
      <w:divBdr>
        <w:top w:val="none" w:sz="0" w:space="0" w:color="auto"/>
        <w:left w:val="none" w:sz="0" w:space="0" w:color="auto"/>
        <w:bottom w:val="none" w:sz="0" w:space="0" w:color="auto"/>
        <w:right w:val="none" w:sz="0" w:space="0" w:color="auto"/>
      </w:divBdr>
    </w:div>
    <w:div w:id="108008517">
      <w:marLeft w:val="0"/>
      <w:marRight w:val="0"/>
      <w:marTop w:val="0"/>
      <w:marBottom w:val="0"/>
      <w:divBdr>
        <w:top w:val="none" w:sz="0" w:space="0" w:color="auto"/>
        <w:left w:val="none" w:sz="0" w:space="0" w:color="auto"/>
        <w:bottom w:val="none" w:sz="0" w:space="0" w:color="auto"/>
        <w:right w:val="none" w:sz="0" w:space="0" w:color="auto"/>
      </w:divBdr>
    </w:div>
    <w:div w:id="108008518">
      <w:marLeft w:val="0"/>
      <w:marRight w:val="0"/>
      <w:marTop w:val="0"/>
      <w:marBottom w:val="0"/>
      <w:divBdr>
        <w:top w:val="none" w:sz="0" w:space="0" w:color="auto"/>
        <w:left w:val="none" w:sz="0" w:space="0" w:color="auto"/>
        <w:bottom w:val="none" w:sz="0" w:space="0" w:color="auto"/>
        <w:right w:val="none" w:sz="0" w:space="0" w:color="auto"/>
      </w:divBdr>
    </w:div>
    <w:div w:id="108008520">
      <w:marLeft w:val="0"/>
      <w:marRight w:val="0"/>
      <w:marTop w:val="0"/>
      <w:marBottom w:val="0"/>
      <w:divBdr>
        <w:top w:val="none" w:sz="0" w:space="0" w:color="auto"/>
        <w:left w:val="none" w:sz="0" w:space="0" w:color="auto"/>
        <w:bottom w:val="none" w:sz="0" w:space="0" w:color="auto"/>
        <w:right w:val="none" w:sz="0" w:space="0" w:color="auto"/>
      </w:divBdr>
    </w:div>
    <w:div w:id="108008521">
      <w:marLeft w:val="0"/>
      <w:marRight w:val="0"/>
      <w:marTop w:val="0"/>
      <w:marBottom w:val="0"/>
      <w:divBdr>
        <w:top w:val="none" w:sz="0" w:space="0" w:color="auto"/>
        <w:left w:val="none" w:sz="0" w:space="0" w:color="auto"/>
        <w:bottom w:val="none" w:sz="0" w:space="0" w:color="auto"/>
        <w:right w:val="none" w:sz="0" w:space="0" w:color="auto"/>
      </w:divBdr>
    </w:div>
    <w:div w:id="108008522">
      <w:marLeft w:val="0"/>
      <w:marRight w:val="0"/>
      <w:marTop w:val="0"/>
      <w:marBottom w:val="0"/>
      <w:divBdr>
        <w:top w:val="none" w:sz="0" w:space="0" w:color="auto"/>
        <w:left w:val="none" w:sz="0" w:space="0" w:color="auto"/>
        <w:bottom w:val="none" w:sz="0" w:space="0" w:color="auto"/>
        <w:right w:val="none" w:sz="0" w:space="0" w:color="auto"/>
      </w:divBdr>
    </w:div>
    <w:div w:id="108008523">
      <w:marLeft w:val="0"/>
      <w:marRight w:val="0"/>
      <w:marTop w:val="0"/>
      <w:marBottom w:val="0"/>
      <w:divBdr>
        <w:top w:val="none" w:sz="0" w:space="0" w:color="auto"/>
        <w:left w:val="none" w:sz="0" w:space="0" w:color="auto"/>
        <w:bottom w:val="none" w:sz="0" w:space="0" w:color="auto"/>
        <w:right w:val="none" w:sz="0" w:space="0" w:color="auto"/>
      </w:divBdr>
    </w:div>
    <w:div w:id="108008524">
      <w:marLeft w:val="0"/>
      <w:marRight w:val="0"/>
      <w:marTop w:val="0"/>
      <w:marBottom w:val="0"/>
      <w:divBdr>
        <w:top w:val="none" w:sz="0" w:space="0" w:color="auto"/>
        <w:left w:val="none" w:sz="0" w:space="0" w:color="auto"/>
        <w:bottom w:val="none" w:sz="0" w:space="0" w:color="auto"/>
        <w:right w:val="none" w:sz="0" w:space="0" w:color="auto"/>
      </w:divBdr>
    </w:div>
    <w:div w:id="108008525">
      <w:marLeft w:val="0"/>
      <w:marRight w:val="0"/>
      <w:marTop w:val="0"/>
      <w:marBottom w:val="0"/>
      <w:divBdr>
        <w:top w:val="none" w:sz="0" w:space="0" w:color="auto"/>
        <w:left w:val="none" w:sz="0" w:space="0" w:color="auto"/>
        <w:bottom w:val="none" w:sz="0" w:space="0" w:color="auto"/>
        <w:right w:val="none" w:sz="0" w:space="0" w:color="auto"/>
      </w:divBdr>
    </w:div>
    <w:div w:id="108008527">
      <w:marLeft w:val="0"/>
      <w:marRight w:val="0"/>
      <w:marTop w:val="0"/>
      <w:marBottom w:val="0"/>
      <w:divBdr>
        <w:top w:val="none" w:sz="0" w:space="0" w:color="auto"/>
        <w:left w:val="none" w:sz="0" w:space="0" w:color="auto"/>
        <w:bottom w:val="none" w:sz="0" w:space="0" w:color="auto"/>
        <w:right w:val="none" w:sz="0" w:space="0" w:color="auto"/>
      </w:divBdr>
    </w:div>
    <w:div w:id="108008528">
      <w:marLeft w:val="0"/>
      <w:marRight w:val="0"/>
      <w:marTop w:val="0"/>
      <w:marBottom w:val="0"/>
      <w:divBdr>
        <w:top w:val="none" w:sz="0" w:space="0" w:color="auto"/>
        <w:left w:val="none" w:sz="0" w:space="0" w:color="auto"/>
        <w:bottom w:val="none" w:sz="0" w:space="0" w:color="auto"/>
        <w:right w:val="none" w:sz="0" w:space="0" w:color="auto"/>
      </w:divBdr>
    </w:div>
    <w:div w:id="108008529">
      <w:marLeft w:val="0"/>
      <w:marRight w:val="0"/>
      <w:marTop w:val="0"/>
      <w:marBottom w:val="0"/>
      <w:divBdr>
        <w:top w:val="none" w:sz="0" w:space="0" w:color="auto"/>
        <w:left w:val="none" w:sz="0" w:space="0" w:color="auto"/>
        <w:bottom w:val="none" w:sz="0" w:space="0" w:color="auto"/>
        <w:right w:val="none" w:sz="0" w:space="0" w:color="auto"/>
      </w:divBdr>
    </w:div>
    <w:div w:id="108008530">
      <w:marLeft w:val="0"/>
      <w:marRight w:val="0"/>
      <w:marTop w:val="0"/>
      <w:marBottom w:val="0"/>
      <w:divBdr>
        <w:top w:val="none" w:sz="0" w:space="0" w:color="auto"/>
        <w:left w:val="none" w:sz="0" w:space="0" w:color="auto"/>
        <w:bottom w:val="none" w:sz="0" w:space="0" w:color="auto"/>
        <w:right w:val="none" w:sz="0" w:space="0" w:color="auto"/>
      </w:divBdr>
    </w:div>
    <w:div w:id="108008531">
      <w:marLeft w:val="0"/>
      <w:marRight w:val="0"/>
      <w:marTop w:val="0"/>
      <w:marBottom w:val="0"/>
      <w:divBdr>
        <w:top w:val="none" w:sz="0" w:space="0" w:color="auto"/>
        <w:left w:val="none" w:sz="0" w:space="0" w:color="auto"/>
        <w:bottom w:val="none" w:sz="0" w:space="0" w:color="auto"/>
        <w:right w:val="none" w:sz="0" w:space="0" w:color="auto"/>
      </w:divBdr>
    </w:div>
    <w:div w:id="108008532">
      <w:marLeft w:val="0"/>
      <w:marRight w:val="0"/>
      <w:marTop w:val="0"/>
      <w:marBottom w:val="0"/>
      <w:divBdr>
        <w:top w:val="none" w:sz="0" w:space="0" w:color="auto"/>
        <w:left w:val="none" w:sz="0" w:space="0" w:color="auto"/>
        <w:bottom w:val="none" w:sz="0" w:space="0" w:color="auto"/>
        <w:right w:val="none" w:sz="0" w:space="0" w:color="auto"/>
      </w:divBdr>
    </w:div>
    <w:div w:id="108008533">
      <w:marLeft w:val="0"/>
      <w:marRight w:val="0"/>
      <w:marTop w:val="0"/>
      <w:marBottom w:val="0"/>
      <w:divBdr>
        <w:top w:val="none" w:sz="0" w:space="0" w:color="auto"/>
        <w:left w:val="none" w:sz="0" w:space="0" w:color="auto"/>
        <w:bottom w:val="none" w:sz="0" w:space="0" w:color="auto"/>
        <w:right w:val="none" w:sz="0" w:space="0" w:color="auto"/>
      </w:divBdr>
    </w:div>
    <w:div w:id="108008535">
      <w:marLeft w:val="0"/>
      <w:marRight w:val="0"/>
      <w:marTop w:val="0"/>
      <w:marBottom w:val="0"/>
      <w:divBdr>
        <w:top w:val="none" w:sz="0" w:space="0" w:color="auto"/>
        <w:left w:val="none" w:sz="0" w:space="0" w:color="auto"/>
        <w:bottom w:val="none" w:sz="0" w:space="0" w:color="auto"/>
        <w:right w:val="none" w:sz="0" w:space="0" w:color="auto"/>
      </w:divBdr>
      <w:divsChild>
        <w:div w:id="108008567">
          <w:marLeft w:val="0"/>
          <w:marRight w:val="0"/>
          <w:marTop w:val="0"/>
          <w:marBottom w:val="0"/>
          <w:divBdr>
            <w:top w:val="none" w:sz="0" w:space="0" w:color="auto"/>
            <w:left w:val="none" w:sz="0" w:space="0" w:color="auto"/>
            <w:bottom w:val="none" w:sz="0" w:space="0" w:color="auto"/>
            <w:right w:val="none" w:sz="0" w:space="0" w:color="auto"/>
          </w:divBdr>
        </w:div>
      </w:divsChild>
    </w:div>
    <w:div w:id="108008536">
      <w:marLeft w:val="0"/>
      <w:marRight w:val="0"/>
      <w:marTop w:val="0"/>
      <w:marBottom w:val="0"/>
      <w:divBdr>
        <w:top w:val="none" w:sz="0" w:space="0" w:color="auto"/>
        <w:left w:val="none" w:sz="0" w:space="0" w:color="auto"/>
        <w:bottom w:val="none" w:sz="0" w:space="0" w:color="auto"/>
        <w:right w:val="none" w:sz="0" w:space="0" w:color="auto"/>
      </w:divBdr>
    </w:div>
    <w:div w:id="108008539">
      <w:marLeft w:val="0"/>
      <w:marRight w:val="0"/>
      <w:marTop w:val="0"/>
      <w:marBottom w:val="0"/>
      <w:divBdr>
        <w:top w:val="none" w:sz="0" w:space="0" w:color="auto"/>
        <w:left w:val="none" w:sz="0" w:space="0" w:color="auto"/>
        <w:bottom w:val="none" w:sz="0" w:space="0" w:color="auto"/>
        <w:right w:val="none" w:sz="0" w:space="0" w:color="auto"/>
      </w:divBdr>
    </w:div>
    <w:div w:id="108008540">
      <w:marLeft w:val="0"/>
      <w:marRight w:val="0"/>
      <w:marTop w:val="0"/>
      <w:marBottom w:val="0"/>
      <w:divBdr>
        <w:top w:val="none" w:sz="0" w:space="0" w:color="auto"/>
        <w:left w:val="none" w:sz="0" w:space="0" w:color="auto"/>
        <w:bottom w:val="none" w:sz="0" w:space="0" w:color="auto"/>
        <w:right w:val="none" w:sz="0" w:space="0" w:color="auto"/>
      </w:divBdr>
    </w:div>
    <w:div w:id="108008541">
      <w:marLeft w:val="0"/>
      <w:marRight w:val="0"/>
      <w:marTop w:val="0"/>
      <w:marBottom w:val="0"/>
      <w:divBdr>
        <w:top w:val="none" w:sz="0" w:space="0" w:color="auto"/>
        <w:left w:val="none" w:sz="0" w:space="0" w:color="auto"/>
        <w:bottom w:val="none" w:sz="0" w:space="0" w:color="auto"/>
        <w:right w:val="none" w:sz="0" w:space="0" w:color="auto"/>
      </w:divBdr>
    </w:div>
    <w:div w:id="108008542">
      <w:marLeft w:val="0"/>
      <w:marRight w:val="0"/>
      <w:marTop w:val="0"/>
      <w:marBottom w:val="0"/>
      <w:divBdr>
        <w:top w:val="none" w:sz="0" w:space="0" w:color="auto"/>
        <w:left w:val="none" w:sz="0" w:space="0" w:color="auto"/>
        <w:bottom w:val="none" w:sz="0" w:space="0" w:color="auto"/>
        <w:right w:val="none" w:sz="0" w:space="0" w:color="auto"/>
      </w:divBdr>
    </w:div>
    <w:div w:id="108008549">
      <w:marLeft w:val="0"/>
      <w:marRight w:val="0"/>
      <w:marTop w:val="0"/>
      <w:marBottom w:val="0"/>
      <w:divBdr>
        <w:top w:val="none" w:sz="0" w:space="0" w:color="auto"/>
        <w:left w:val="none" w:sz="0" w:space="0" w:color="auto"/>
        <w:bottom w:val="none" w:sz="0" w:space="0" w:color="auto"/>
        <w:right w:val="none" w:sz="0" w:space="0" w:color="auto"/>
      </w:divBdr>
    </w:div>
    <w:div w:id="108008551">
      <w:marLeft w:val="0"/>
      <w:marRight w:val="0"/>
      <w:marTop w:val="0"/>
      <w:marBottom w:val="0"/>
      <w:divBdr>
        <w:top w:val="none" w:sz="0" w:space="0" w:color="auto"/>
        <w:left w:val="none" w:sz="0" w:space="0" w:color="auto"/>
        <w:bottom w:val="none" w:sz="0" w:space="0" w:color="auto"/>
        <w:right w:val="none" w:sz="0" w:space="0" w:color="auto"/>
      </w:divBdr>
    </w:div>
    <w:div w:id="108008552">
      <w:marLeft w:val="0"/>
      <w:marRight w:val="0"/>
      <w:marTop w:val="0"/>
      <w:marBottom w:val="0"/>
      <w:divBdr>
        <w:top w:val="none" w:sz="0" w:space="0" w:color="auto"/>
        <w:left w:val="none" w:sz="0" w:space="0" w:color="auto"/>
        <w:bottom w:val="none" w:sz="0" w:space="0" w:color="auto"/>
        <w:right w:val="none" w:sz="0" w:space="0" w:color="auto"/>
      </w:divBdr>
    </w:div>
    <w:div w:id="108008553">
      <w:marLeft w:val="0"/>
      <w:marRight w:val="0"/>
      <w:marTop w:val="0"/>
      <w:marBottom w:val="0"/>
      <w:divBdr>
        <w:top w:val="none" w:sz="0" w:space="0" w:color="auto"/>
        <w:left w:val="none" w:sz="0" w:space="0" w:color="auto"/>
        <w:bottom w:val="none" w:sz="0" w:space="0" w:color="auto"/>
        <w:right w:val="none" w:sz="0" w:space="0" w:color="auto"/>
      </w:divBdr>
    </w:div>
    <w:div w:id="108008554">
      <w:marLeft w:val="0"/>
      <w:marRight w:val="0"/>
      <w:marTop w:val="0"/>
      <w:marBottom w:val="0"/>
      <w:divBdr>
        <w:top w:val="none" w:sz="0" w:space="0" w:color="auto"/>
        <w:left w:val="none" w:sz="0" w:space="0" w:color="auto"/>
        <w:bottom w:val="none" w:sz="0" w:space="0" w:color="auto"/>
        <w:right w:val="none" w:sz="0" w:space="0" w:color="auto"/>
      </w:divBdr>
    </w:div>
    <w:div w:id="108008555">
      <w:marLeft w:val="0"/>
      <w:marRight w:val="0"/>
      <w:marTop w:val="0"/>
      <w:marBottom w:val="0"/>
      <w:divBdr>
        <w:top w:val="none" w:sz="0" w:space="0" w:color="auto"/>
        <w:left w:val="none" w:sz="0" w:space="0" w:color="auto"/>
        <w:bottom w:val="none" w:sz="0" w:space="0" w:color="auto"/>
        <w:right w:val="none" w:sz="0" w:space="0" w:color="auto"/>
      </w:divBdr>
    </w:div>
    <w:div w:id="108008556">
      <w:marLeft w:val="0"/>
      <w:marRight w:val="0"/>
      <w:marTop w:val="0"/>
      <w:marBottom w:val="0"/>
      <w:divBdr>
        <w:top w:val="none" w:sz="0" w:space="0" w:color="auto"/>
        <w:left w:val="none" w:sz="0" w:space="0" w:color="auto"/>
        <w:bottom w:val="none" w:sz="0" w:space="0" w:color="auto"/>
        <w:right w:val="none" w:sz="0" w:space="0" w:color="auto"/>
      </w:divBdr>
    </w:div>
    <w:div w:id="108008557">
      <w:marLeft w:val="0"/>
      <w:marRight w:val="0"/>
      <w:marTop w:val="0"/>
      <w:marBottom w:val="0"/>
      <w:divBdr>
        <w:top w:val="none" w:sz="0" w:space="0" w:color="auto"/>
        <w:left w:val="none" w:sz="0" w:space="0" w:color="auto"/>
        <w:bottom w:val="none" w:sz="0" w:space="0" w:color="auto"/>
        <w:right w:val="none" w:sz="0" w:space="0" w:color="auto"/>
      </w:divBdr>
    </w:div>
    <w:div w:id="108008558">
      <w:marLeft w:val="0"/>
      <w:marRight w:val="0"/>
      <w:marTop w:val="0"/>
      <w:marBottom w:val="0"/>
      <w:divBdr>
        <w:top w:val="none" w:sz="0" w:space="0" w:color="auto"/>
        <w:left w:val="none" w:sz="0" w:space="0" w:color="auto"/>
        <w:bottom w:val="none" w:sz="0" w:space="0" w:color="auto"/>
        <w:right w:val="none" w:sz="0" w:space="0" w:color="auto"/>
      </w:divBdr>
    </w:div>
    <w:div w:id="108008559">
      <w:marLeft w:val="0"/>
      <w:marRight w:val="0"/>
      <w:marTop w:val="0"/>
      <w:marBottom w:val="0"/>
      <w:divBdr>
        <w:top w:val="none" w:sz="0" w:space="0" w:color="auto"/>
        <w:left w:val="none" w:sz="0" w:space="0" w:color="auto"/>
        <w:bottom w:val="none" w:sz="0" w:space="0" w:color="auto"/>
        <w:right w:val="none" w:sz="0" w:space="0" w:color="auto"/>
      </w:divBdr>
    </w:div>
    <w:div w:id="108008560">
      <w:marLeft w:val="0"/>
      <w:marRight w:val="0"/>
      <w:marTop w:val="0"/>
      <w:marBottom w:val="0"/>
      <w:divBdr>
        <w:top w:val="none" w:sz="0" w:space="0" w:color="auto"/>
        <w:left w:val="none" w:sz="0" w:space="0" w:color="auto"/>
        <w:bottom w:val="none" w:sz="0" w:space="0" w:color="auto"/>
        <w:right w:val="none" w:sz="0" w:space="0" w:color="auto"/>
      </w:divBdr>
    </w:div>
    <w:div w:id="108008561">
      <w:marLeft w:val="0"/>
      <w:marRight w:val="0"/>
      <w:marTop w:val="0"/>
      <w:marBottom w:val="0"/>
      <w:divBdr>
        <w:top w:val="none" w:sz="0" w:space="0" w:color="auto"/>
        <w:left w:val="none" w:sz="0" w:space="0" w:color="auto"/>
        <w:bottom w:val="none" w:sz="0" w:space="0" w:color="auto"/>
        <w:right w:val="none" w:sz="0" w:space="0" w:color="auto"/>
      </w:divBdr>
      <w:divsChild>
        <w:div w:id="108008574">
          <w:marLeft w:val="0"/>
          <w:marRight w:val="0"/>
          <w:marTop w:val="0"/>
          <w:marBottom w:val="0"/>
          <w:divBdr>
            <w:top w:val="none" w:sz="0" w:space="0" w:color="auto"/>
            <w:left w:val="none" w:sz="0" w:space="0" w:color="auto"/>
            <w:bottom w:val="none" w:sz="0" w:space="0" w:color="auto"/>
            <w:right w:val="none" w:sz="0" w:space="0" w:color="auto"/>
          </w:divBdr>
          <w:divsChild>
            <w:div w:id="108008584">
              <w:marLeft w:val="0"/>
              <w:marRight w:val="0"/>
              <w:marTop w:val="0"/>
              <w:marBottom w:val="0"/>
              <w:divBdr>
                <w:top w:val="none" w:sz="0" w:space="0" w:color="auto"/>
                <w:left w:val="none" w:sz="0" w:space="0" w:color="auto"/>
                <w:bottom w:val="none" w:sz="0" w:space="0" w:color="auto"/>
                <w:right w:val="none" w:sz="0" w:space="0" w:color="auto"/>
              </w:divBdr>
              <w:divsChild>
                <w:div w:id="108008563">
                  <w:marLeft w:val="0"/>
                  <w:marRight w:val="0"/>
                  <w:marTop w:val="0"/>
                  <w:marBottom w:val="0"/>
                  <w:divBdr>
                    <w:top w:val="none" w:sz="0" w:space="0" w:color="auto"/>
                    <w:left w:val="none" w:sz="0" w:space="0" w:color="auto"/>
                    <w:bottom w:val="none" w:sz="0" w:space="0" w:color="auto"/>
                    <w:right w:val="none" w:sz="0" w:space="0" w:color="auto"/>
                  </w:divBdr>
                  <w:divsChild>
                    <w:div w:id="10800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08565">
      <w:marLeft w:val="0"/>
      <w:marRight w:val="0"/>
      <w:marTop w:val="0"/>
      <w:marBottom w:val="0"/>
      <w:divBdr>
        <w:top w:val="none" w:sz="0" w:space="0" w:color="auto"/>
        <w:left w:val="none" w:sz="0" w:space="0" w:color="auto"/>
        <w:bottom w:val="none" w:sz="0" w:space="0" w:color="auto"/>
        <w:right w:val="none" w:sz="0" w:space="0" w:color="auto"/>
      </w:divBdr>
    </w:div>
    <w:div w:id="108008566">
      <w:marLeft w:val="0"/>
      <w:marRight w:val="0"/>
      <w:marTop w:val="0"/>
      <w:marBottom w:val="0"/>
      <w:divBdr>
        <w:top w:val="none" w:sz="0" w:space="0" w:color="auto"/>
        <w:left w:val="none" w:sz="0" w:space="0" w:color="auto"/>
        <w:bottom w:val="none" w:sz="0" w:space="0" w:color="auto"/>
        <w:right w:val="none" w:sz="0" w:space="0" w:color="auto"/>
      </w:divBdr>
      <w:divsChild>
        <w:div w:id="108008579">
          <w:marLeft w:val="0"/>
          <w:marRight w:val="0"/>
          <w:marTop w:val="0"/>
          <w:marBottom w:val="0"/>
          <w:divBdr>
            <w:top w:val="none" w:sz="0" w:space="0" w:color="auto"/>
            <w:left w:val="none" w:sz="0" w:space="0" w:color="auto"/>
            <w:bottom w:val="none" w:sz="0" w:space="0" w:color="auto"/>
            <w:right w:val="none" w:sz="0" w:space="0" w:color="auto"/>
          </w:divBdr>
          <w:divsChild>
            <w:div w:id="108008547">
              <w:marLeft w:val="0"/>
              <w:marRight w:val="0"/>
              <w:marTop w:val="0"/>
              <w:marBottom w:val="0"/>
              <w:divBdr>
                <w:top w:val="none" w:sz="0" w:space="0" w:color="auto"/>
                <w:left w:val="none" w:sz="0" w:space="0" w:color="auto"/>
                <w:bottom w:val="none" w:sz="0" w:space="0" w:color="auto"/>
                <w:right w:val="none" w:sz="0" w:space="0" w:color="auto"/>
              </w:divBdr>
              <w:divsChild>
                <w:div w:id="108008550">
                  <w:marLeft w:val="0"/>
                  <w:marRight w:val="0"/>
                  <w:marTop w:val="0"/>
                  <w:marBottom w:val="0"/>
                  <w:divBdr>
                    <w:top w:val="none" w:sz="0" w:space="0" w:color="auto"/>
                    <w:left w:val="none" w:sz="0" w:space="0" w:color="auto"/>
                    <w:bottom w:val="none" w:sz="0" w:space="0" w:color="auto"/>
                    <w:right w:val="none" w:sz="0" w:space="0" w:color="auto"/>
                  </w:divBdr>
                  <w:divsChild>
                    <w:div w:id="108008534">
                      <w:marLeft w:val="0"/>
                      <w:marRight w:val="0"/>
                      <w:marTop w:val="0"/>
                      <w:marBottom w:val="0"/>
                      <w:divBdr>
                        <w:top w:val="none" w:sz="0" w:space="0" w:color="auto"/>
                        <w:left w:val="none" w:sz="0" w:space="0" w:color="auto"/>
                        <w:bottom w:val="none" w:sz="0" w:space="0" w:color="auto"/>
                        <w:right w:val="none" w:sz="0" w:space="0" w:color="auto"/>
                      </w:divBdr>
                      <w:divsChild>
                        <w:div w:id="108008546">
                          <w:marLeft w:val="0"/>
                          <w:marRight w:val="0"/>
                          <w:marTop w:val="0"/>
                          <w:marBottom w:val="0"/>
                          <w:divBdr>
                            <w:top w:val="none" w:sz="0" w:space="0" w:color="auto"/>
                            <w:left w:val="none" w:sz="0" w:space="0" w:color="auto"/>
                            <w:bottom w:val="none" w:sz="0" w:space="0" w:color="auto"/>
                            <w:right w:val="none" w:sz="0" w:space="0" w:color="auto"/>
                          </w:divBdr>
                          <w:divsChild>
                            <w:div w:id="108008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08568">
      <w:marLeft w:val="0"/>
      <w:marRight w:val="0"/>
      <w:marTop w:val="0"/>
      <w:marBottom w:val="0"/>
      <w:divBdr>
        <w:top w:val="none" w:sz="0" w:space="0" w:color="auto"/>
        <w:left w:val="none" w:sz="0" w:space="0" w:color="auto"/>
        <w:bottom w:val="none" w:sz="0" w:space="0" w:color="auto"/>
        <w:right w:val="none" w:sz="0" w:space="0" w:color="auto"/>
      </w:divBdr>
    </w:div>
    <w:div w:id="108008569">
      <w:marLeft w:val="0"/>
      <w:marRight w:val="0"/>
      <w:marTop w:val="0"/>
      <w:marBottom w:val="0"/>
      <w:divBdr>
        <w:top w:val="none" w:sz="0" w:space="0" w:color="auto"/>
        <w:left w:val="none" w:sz="0" w:space="0" w:color="auto"/>
        <w:bottom w:val="none" w:sz="0" w:space="0" w:color="auto"/>
        <w:right w:val="none" w:sz="0" w:space="0" w:color="auto"/>
      </w:divBdr>
    </w:div>
    <w:div w:id="108008570">
      <w:marLeft w:val="0"/>
      <w:marRight w:val="0"/>
      <w:marTop w:val="0"/>
      <w:marBottom w:val="0"/>
      <w:divBdr>
        <w:top w:val="none" w:sz="0" w:space="0" w:color="auto"/>
        <w:left w:val="none" w:sz="0" w:space="0" w:color="auto"/>
        <w:bottom w:val="none" w:sz="0" w:space="0" w:color="auto"/>
        <w:right w:val="none" w:sz="0" w:space="0" w:color="auto"/>
      </w:divBdr>
    </w:div>
    <w:div w:id="108008571">
      <w:marLeft w:val="0"/>
      <w:marRight w:val="0"/>
      <w:marTop w:val="0"/>
      <w:marBottom w:val="0"/>
      <w:divBdr>
        <w:top w:val="none" w:sz="0" w:space="0" w:color="auto"/>
        <w:left w:val="none" w:sz="0" w:space="0" w:color="auto"/>
        <w:bottom w:val="none" w:sz="0" w:space="0" w:color="auto"/>
        <w:right w:val="none" w:sz="0" w:space="0" w:color="auto"/>
      </w:divBdr>
      <w:divsChild>
        <w:div w:id="108008526">
          <w:marLeft w:val="0"/>
          <w:marRight w:val="0"/>
          <w:marTop w:val="0"/>
          <w:marBottom w:val="0"/>
          <w:divBdr>
            <w:top w:val="none" w:sz="0" w:space="0" w:color="auto"/>
            <w:left w:val="none" w:sz="0" w:space="0" w:color="auto"/>
            <w:bottom w:val="none" w:sz="0" w:space="0" w:color="auto"/>
            <w:right w:val="none" w:sz="0" w:space="0" w:color="auto"/>
          </w:divBdr>
          <w:divsChild>
            <w:div w:id="108008537">
              <w:marLeft w:val="0"/>
              <w:marRight w:val="0"/>
              <w:marTop w:val="0"/>
              <w:marBottom w:val="0"/>
              <w:divBdr>
                <w:top w:val="none" w:sz="0" w:space="0" w:color="auto"/>
                <w:left w:val="none" w:sz="0" w:space="0" w:color="auto"/>
                <w:bottom w:val="none" w:sz="0" w:space="0" w:color="auto"/>
                <w:right w:val="none" w:sz="0" w:space="0" w:color="auto"/>
              </w:divBdr>
              <w:divsChild>
                <w:div w:id="108008545">
                  <w:marLeft w:val="0"/>
                  <w:marRight w:val="0"/>
                  <w:marTop w:val="0"/>
                  <w:marBottom w:val="0"/>
                  <w:divBdr>
                    <w:top w:val="none" w:sz="0" w:space="0" w:color="auto"/>
                    <w:left w:val="none" w:sz="0" w:space="0" w:color="auto"/>
                    <w:bottom w:val="none" w:sz="0" w:space="0" w:color="auto"/>
                    <w:right w:val="none" w:sz="0" w:space="0" w:color="auto"/>
                  </w:divBdr>
                  <w:divsChild>
                    <w:div w:id="10800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08572">
      <w:marLeft w:val="0"/>
      <w:marRight w:val="0"/>
      <w:marTop w:val="0"/>
      <w:marBottom w:val="0"/>
      <w:divBdr>
        <w:top w:val="none" w:sz="0" w:space="0" w:color="auto"/>
        <w:left w:val="none" w:sz="0" w:space="0" w:color="auto"/>
        <w:bottom w:val="none" w:sz="0" w:space="0" w:color="auto"/>
        <w:right w:val="none" w:sz="0" w:space="0" w:color="auto"/>
      </w:divBdr>
    </w:div>
    <w:div w:id="108008573">
      <w:marLeft w:val="0"/>
      <w:marRight w:val="0"/>
      <w:marTop w:val="0"/>
      <w:marBottom w:val="0"/>
      <w:divBdr>
        <w:top w:val="none" w:sz="0" w:space="0" w:color="auto"/>
        <w:left w:val="none" w:sz="0" w:space="0" w:color="auto"/>
        <w:bottom w:val="none" w:sz="0" w:space="0" w:color="auto"/>
        <w:right w:val="none" w:sz="0" w:space="0" w:color="auto"/>
      </w:divBdr>
      <w:divsChild>
        <w:div w:id="108008538">
          <w:marLeft w:val="0"/>
          <w:marRight w:val="0"/>
          <w:marTop w:val="0"/>
          <w:marBottom w:val="0"/>
          <w:divBdr>
            <w:top w:val="none" w:sz="0" w:space="0" w:color="auto"/>
            <w:left w:val="none" w:sz="0" w:space="0" w:color="auto"/>
            <w:bottom w:val="none" w:sz="0" w:space="0" w:color="auto"/>
            <w:right w:val="none" w:sz="0" w:space="0" w:color="auto"/>
          </w:divBdr>
          <w:divsChild>
            <w:div w:id="108008519">
              <w:marLeft w:val="0"/>
              <w:marRight w:val="0"/>
              <w:marTop w:val="0"/>
              <w:marBottom w:val="0"/>
              <w:divBdr>
                <w:top w:val="none" w:sz="0" w:space="0" w:color="auto"/>
                <w:left w:val="none" w:sz="0" w:space="0" w:color="auto"/>
                <w:bottom w:val="none" w:sz="0" w:space="0" w:color="auto"/>
                <w:right w:val="none" w:sz="0" w:space="0" w:color="auto"/>
              </w:divBdr>
            </w:div>
            <w:div w:id="108008543">
              <w:marLeft w:val="0"/>
              <w:marRight w:val="0"/>
              <w:marTop w:val="0"/>
              <w:marBottom w:val="0"/>
              <w:divBdr>
                <w:top w:val="none" w:sz="0" w:space="0" w:color="auto"/>
                <w:left w:val="none" w:sz="0" w:space="0" w:color="auto"/>
                <w:bottom w:val="none" w:sz="0" w:space="0" w:color="auto"/>
                <w:right w:val="none" w:sz="0" w:space="0" w:color="auto"/>
              </w:divBdr>
            </w:div>
            <w:div w:id="108008544">
              <w:marLeft w:val="0"/>
              <w:marRight w:val="0"/>
              <w:marTop w:val="0"/>
              <w:marBottom w:val="0"/>
              <w:divBdr>
                <w:top w:val="none" w:sz="0" w:space="0" w:color="auto"/>
                <w:left w:val="none" w:sz="0" w:space="0" w:color="auto"/>
                <w:bottom w:val="none" w:sz="0" w:space="0" w:color="auto"/>
                <w:right w:val="none" w:sz="0" w:space="0" w:color="auto"/>
              </w:divBdr>
            </w:div>
            <w:div w:id="108008564">
              <w:marLeft w:val="0"/>
              <w:marRight w:val="0"/>
              <w:marTop w:val="0"/>
              <w:marBottom w:val="0"/>
              <w:divBdr>
                <w:top w:val="none" w:sz="0" w:space="0" w:color="auto"/>
                <w:left w:val="none" w:sz="0" w:space="0" w:color="auto"/>
                <w:bottom w:val="none" w:sz="0" w:space="0" w:color="auto"/>
                <w:right w:val="none" w:sz="0" w:space="0" w:color="auto"/>
              </w:divBdr>
            </w:div>
            <w:div w:id="108008577">
              <w:marLeft w:val="0"/>
              <w:marRight w:val="0"/>
              <w:marTop w:val="0"/>
              <w:marBottom w:val="0"/>
              <w:divBdr>
                <w:top w:val="none" w:sz="0" w:space="0" w:color="auto"/>
                <w:left w:val="none" w:sz="0" w:space="0" w:color="auto"/>
                <w:bottom w:val="none" w:sz="0" w:space="0" w:color="auto"/>
                <w:right w:val="none" w:sz="0" w:space="0" w:color="auto"/>
              </w:divBdr>
            </w:div>
            <w:div w:id="10800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08575">
      <w:marLeft w:val="0"/>
      <w:marRight w:val="0"/>
      <w:marTop w:val="0"/>
      <w:marBottom w:val="0"/>
      <w:divBdr>
        <w:top w:val="none" w:sz="0" w:space="0" w:color="auto"/>
        <w:left w:val="none" w:sz="0" w:space="0" w:color="auto"/>
        <w:bottom w:val="none" w:sz="0" w:space="0" w:color="auto"/>
        <w:right w:val="none" w:sz="0" w:space="0" w:color="auto"/>
      </w:divBdr>
    </w:div>
    <w:div w:id="108008576">
      <w:marLeft w:val="0"/>
      <w:marRight w:val="0"/>
      <w:marTop w:val="0"/>
      <w:marBottom w:val="0"/>
      <w:divBdr>
        <w:top w:val="none" w:sz="0" w:space="0" w:color="auto"/>
        <w:left w:val="none" w:sz="0" w:space="0" w:color="auto"/>
        <w:bottom w:val="none" w:sz="0" w:space="0" w:color="auto"/>
        <w:right w:val="none" w:sz="0" w:space="0" w:color="auto"/>
      </w:divBdr>
    </w:div>
    <w:div w:id="108008581">
      <w:marLeft w:val="0"/>
      <w:marRight w:val="0"/>
      <w:marTop w:val="0"/>
      <w:marBottom w:val="0"/>
      <w:divBdr>
        <w:top w:val="none" w:sz="0" w:space="0" w:color="auto"/>
        <w:left w:val="none" w:sz="0" w:space="0" w:color="auto"/>
        <w:bottom w:val="none" w:sz="0" w:space="0" w:color="auto"/>
        <w:right w:val="none" w:sz="0" w:space="0" w:color="auto"/>
      </w:divBdr>
    </w:div>
    <w:div w:id="108008582">
      <w:marLeft w:val="0"/>
      <w:marRight w:val="0"/>
      <w:marTop w:val="0"/>
      <w:marBottom w:val="0"/>
      <w:divBdr>
        <w:top w:val="none" w:sz="0" w:space="0" w:color="auto"/>
        <w:left w:val="none" w:sz="0" w:space="0" w:color="auto"/>
        <w:bottom w:val="none" w:sz="0" w:space="0" w:color="auto"/>
        <w:right w:val="none" w:sz="0" w:space="0" w:color="auto"/>
      </w:divBdr>
    </w:div>
    <w:div w:id="108008583">
      <w:marLeft w:val="0"/>
      <w:marRight w:val="0"/>
      <w:marTop w:val="0"/>
      <w:marBottom w:val="0"/>
      <w:divBdr>
        <w:top w:val="none" w:sz="0" w:space="0" w:color="auto"/>
        <w:left w:val="none" w:sz="0" w:space="0" w:color="auto"/>
        <w:bottom w:val="none" w:sz="0" w:space="0" w:color="auto"/>
        <w:right w:val="none" w:sz="0" w:space="0" w:color="auto"/>
      </w:divBdr>
      <w:divsChild>
        <w:div w:id="108008578">
          <w:marLeft w:val="0"/>
          <w:marRight w:val="0"/>
          <w:marTop w:val="0"/>
          <w:marBottom w:val="0"/>
          <w:divBdr>
            <w:top w:val="none" w:sz="0" w:space="0" w:color="auto"/>
            <w:left w:val="none" w:sz="0" w:space="0" w:color="auto"/>
            <w:bottom w:val="none" w:sz="0" w:space="0" w:color="auto"/>
            <w:right w:val="none" w:sz="0" w:space="0" w:color="auto"/>
          </w:divBdr>
        </w:div>
      </w:divsChild>
    </w:div>
    <w:div w:id="108008585">
      <w:marLeft w:val="0"/>
      <w:marRight w:val="0"/>
      <w:marTop w:val="0"/>
      <w:marBottom w:val="0"/>
      <w:divBdr>
        <w:top w:val="none" w:sz="0" w:space="0" w:color="auto"/>
        <w:left w:val="none" w:sz="0" w:space="0" w:color="auto"/>
        <w:bottom w:val="none" w:sz="0" w:space="0" w:color="auto"/>
        <w:right w:val="none" w:sz="0" w:space="0" w:color="auto"/>
      </w:divBdr>
    </w:div>
    <w:div w:id="108008586">
      <w:marLeft w:val="0"/>
      <w:marRight w:val="0"/>
      <w:marTop w:val="0"/>
      <w:marBottom w:val="0"/>
      <w:divBdr>
        <w:top w:val="none" w:sz="0" w:space="0" w:color="auto"/>
        <w:left w:val="none" w:sz="0" w:space="0" w:color="auto"/>
        <w:bottom w:val="none" w:sz="0" w:space="0" w:color="auto"/>
        <w:right w:val="none" w:sz="0" w:space="0" w:color="auto"/>
      </w:divBdr>
    </w:div>
    <w:div w:id="108008587">
      <w:marLeft w:val="0"/>
      <w:marRight w:val="0"/>
      <w:marTop w:val="0"/>
      <w:marBottom w:val="0"/>
      <w:divBdr>
        <w:top w:val="none" w:sz="0" w:space="0" w:color="auto"/>
        <w:left w:val="none" w:sz="0" w:space="0" w:color="auto"/>
        <w:bottom w:val="none" w:sz="0" w:space="0" w:color="auto"/>
        <w:right w:val="none" w:sz="0" w:space="0" w:color="auto"/>
      </w:divBdr>
    </w:div>
    <w:div w:id="108008588">
      <w:marLeft w:val="0"/>
      <w:marRight w:val="0"/>
      <w:marTop w:val="0"/>
      <w:marBottom w:val="0"/>
      <w:divBdr>
        <w:top w:val="none" w:sz="0" w:space="0" w:color="auto"/>
        <w:left w:val="none" w:sz="0" w:space="0" w:color="auto"/>
        <w:bottom w:val="none" w:sz="0" w:space="0" w:color="auto"/>
        <w:right w:val="none" w:sz="0" w:space="0" w:color="auto"/>
      </w:divBdr>
    </w:div>
    <w:div w:id="108008589">
      <w:marLeft w:val="0"/>
      <w:marRight w:val="0"/>
      <w:marTop w:val="0"/>
      <w:marBottom w:val="0"/>
      <w:divBdr>
        <w:top w:val="none" w:sz="0" w:space="0" w:color="auto"/>
        <w:left w:val="none" w:sz="0" w:space="0" w:color="auto"/>
        <w:bottom w:val="none" w:sz="0" w:space="0" w:color="auto"/>
        <w:right w:val="none" w:sz="0" w:space="0" w:color="auto"/>
      </w:divBdr>
    </w:div>
    <w:div w:id="161360362">
      <w:bodyDiv w:val="1"/>
      <w:marLeft w:val="0"/>
      <w:marRight w:val="0"/>
      <w:marTop w:val="0"/>
      <w:marBottom w:val="0"/>
      <w:divBdr>
        <w:top w:val="none" w:sz="0" w:space="0" w:color="auto"/>
        <w:left w:val="none" w:sz="0" w:space="0" w:color="auto"/>
        <w:bottom w:val="none" w:sz="0" w:space="0" w:color="auto"/>
        <w:right w:val="none" w:sz="0" w:space="0" w:color="auto"/>
      </w:divBdr>
    </w:div>
    <w:div w:id="305932542">
      <w:bodyDiv w:val="1"/>
      <w:marLeft w:val="0"/>
      <w:marRight w:val="0"/>
      <w:marTop w:val="0"/>
      <w:marBottom w:val="0"/>
      <w:divBdr>
        <w:top w:val="none" w:sz="0" w:space="0" w:color="auto"/>
        <w:left w:val="none" w:sz="0" w:space="0" w:color="auto"/>
        <w:bottom w:val="none" w:sz="0" w:space="0" w:color="auto"/>
        <w:right w:val="none" w:sz="0" w:space="0" w:color="auto"/>
      </w:divBdr>
    </w:div>
    <w:div w:id="319770577">
      <w:bodyDiv w:val="1"/>
      <w:marLeft w:val="0"/>
      <w:marRight w:val="0"/>
      <w:marTop w:val="0"/>
      <w:marBottom w:val="0"/>
      <w:divBdr>
        <w:top w:val="none" w:sz="0" w:space="0" w:color="auto"/>
        <w:left w:val="none" w:sz="0" w:space="0" w:color="auto"/>
        <w:bottom w:val="none" w:sz="0" w:space="0" w:color="auto"/>
        <w:right w:val="none" w:sz="0" w:space="0" w:color="auto"/>
      </w:divBdr>
    </w:div>
    <w:div w:id="464546178">
      <w:bodyDiv w:val="1"/>
      <w:marLeft w:val="0"/>
      <w:marRight w:val="0"/>
      <w:marTop w:val="0"/>
      <w:marBottom w:val="0"/>
      <w:divBdr>
        <w:top w:val="none" w:sz="0" w:space="0" w:color="auto"/>
        <w:left w:val="none" w:sz="0" w:space="0" w:color="auto"/>
        <w:bottom w:val="none" w:sz="0" w:space="0" w:color="auto"/>
        <w:right w:val="none" w:sz="0" w:space="0" w:color="auto"/>
      </w:divBdr>
    </w:div>
    <w:div w:id="503713715">
      <w:bodyDiv w:val="1"/>
      <w:marLeft w:val="0"/>
      <w:marRight w:val="0"/>
      <w:marTop w:val="0"/>
      <w:marBottom w:val="0"/>
      <w:divBdr>
        <w:top w:val="none" w:sz="0" w:space="0" w:color="auto"/>
        <w:left w:val="none" w:sz="0" w:space="0" w:color="auto"/>
        <w:bottom w:val="none" w:sz="0" w:space="0" w:color="auto"/>
        <w:right w:val="none" w:sz="0" w:space="0" w:color="auto"/>
      </w:divBdr>
    </w:div>
    <w:div w:id="597713012">
      <w:bodyDiv w:val="1"/>
      <w:marLeft w:val="0"/>
      <w:marRight w:val="0"/>
      <w:marTop w:val="0"/>
      <w:marBottom w:val="0"/>
      <w:divBdr>
        <w:top w:val="none" w:sz="0" w:space="0" w:color="auto"/>
        <w:left w:val="none" w:sz="0" w:space="0" w:color="auto"/>
        <w:bottom w:val="none" w:sz="0" w:space="0" w:color="auto"/>
        <w:right w:val="none" w:sz="0" w:space="0" w:color="auto"/>
      </w:divBdr>
    </w:div>
    <w:div w:id="617101904">
      <w:bodyDiv w:val="1"/>
      <w:marLeft w:val="0"/>
      <w:marRight w:val="0"/>
      <w:marTop w:val="0"/>
      <w:marBottom w:val="0"/>
      <w:divBdr>
        <w:top w:val="none" w:sz="0" w:space="0" w:color="auto"/>
        <w:left w:val="none" w:sz="0" w:space="0" w:color="auto"/>
        <w:bottom w:val="none" w:sz="0" w:space="0" w:color="auto"/>
        <w:right w:val="none" w:sz="0" w:space="0" w:color="auto"/>
      </w:divBdr>
    </w:div>
    <w:div w:id="717782219">
      <w:bodyDiv w:val="1"/>
      <w:marLeft w:val="0"/>
      <w:marRight w:val="0"/>
      <w:marTop w:val="0"/>
      <w:marBottom w:val="0"/>
      <w:divBdr>
        <w:top w:val="none" w:sz="0" w:space="0" w:color="auto"/>
        <w:left w:val="none" w:sz="0" w:space="0" w:color="auto"/>
        <w:bottom w:val="none" w:sz="0" w:space="0" w:color="auto"/>
        <w:right w:val="none" w:sz="0" w:space="0" w:color="auto"/>
      </w:divBdr>
    </w:div>
    <w:div w:id="866675204">
      <w:bodyDiv w:val="1"/>
      <w:marLeft w:val="0"/>
      <w:marRight w:val="0"/>
      <w:marTop w:val="0"/>
      <w:marBottom w:val="0"/>
      <w:divBdr>
        <w:top w:val="none" w:sz="0" w:space="0" w:color="auto"/>
        <w:left w:val="none" w:sz="0" w:space="0" w:color="auto"/>
        <w:bottom w:val="none" w:sz="0" w:space="0" w:color="auto"/>
        <w:right w:val="none" w:sz="0" w:space="0" w:color="auto"/>
      </w:divBdr>
    </w:div>
    <w:div w:id="963997989">
      <w:bodyDiv w:val="1"/>
      <w:marLeft w:val="0"/>
      <w:marRight w:val="0"/>
      <w:marTop w:val="0"/>
      <w:marBottom w:val="0"/>
      <w:divBdr>
        <w:top w:val="none" w:sz="0" w:space="0" w:color="auto"/>
        <w:left w:val="none" w:sz="0" w:space="0" w:color="auto"/>
        <w:bottom w:val="none" w:sz="0" w:space="0" w:color="auto"/>
        <w:right w:val="none" w:sz="0" w:space="0" w:color="auto"/>
      </w:divBdr>
    </w:div>
    <w:div w:id="1026978300">
      <w:bodyDiv w:val="1"/>
      <w:marLeft w:val="0"/>
      <w:marRight w:val="0"/>
      <w:marTop w:val="0"/>
      <w:marBottom w:val="0"/>
      <w:divBdr>
        <w:top w:val="none" w:sz="0" w:space="0" w:color="auto"/>
        <w:left w:val="none" w:sz="0" w:space="0" w:color="auto"/>
        <w:bottom w:val="none" w:sz="0" w:space="0" w:color="auto"/>
        <w:right w:val="none" w:sz="0" w:space="0" w:color="auto"/>
      </w:divBdr>
    </w:div>
    <w:div w:id="1104377201">
      <w:bodyDiv w:val="1"/>
      <w:marLeft w:val="0"/>
      <w:marRight w:val="0"/>
      <w:marTop w:val="0"/>
      <w:marBottom w:val="0"/>
      <w:divBdr>
        <w:top w:val="none" w:sz="0" w:space="0" w:color="auto"/>
        <w:left w:val="none" w:sz="0" w:space="0" w:color="auto"/>
        <w:bottom w:val="none" w:sz="0" w:space="0" w:color="auto"/>
        <w:right w:val="none" w:sz="0" w:space="0" w:color="auto"/>
      </w:divBdr>
    </w:div>
    <w:div w:id="1231378821">
      <w:bodyDiv w:val="1"/>
      <w:marLeft w:val="0"/>
      <w:marRight w:val="0"/>
      <w:marTop w:val="0"/>
      <w:marBottom w:val="0"/>
      <w:divBdr>
        <w:top w:val="none" w:sz="0" w:space="0" w:color="auto"/>
        <w:left w:val="none" w:sz="0" w:space="0" w:color="auto"/>
        <w:bottom w:val="none" w:sz="0" w:space="0" w:color="auto"/>
        <w:right w:val="none" w:sz="0" w:space="0" w:color="auto"/>
      </w:divBdr>
    </w:div>
    <w:div w:id="1683968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92.tiff"/><Relationship Id="rId21" Type="http://schemas.openxmlformats.org/officeDocument/2006/relationships/image" Target="media/image7.emf"/><Relationship Id="rId42" Type="http://schemas.openxmlformats.org/officeDocument/2006/relationships/image" Target="media/image28.tiff"/><Relationship Id="rId63" Type="http://schemas.openxmlformats.org/officeDocument/2006/relationships/image" Target="media/image47.tiff"/><Relationship Id="rId84" Type="http://schemas.openxmlformats.org/officeDocument/2006/relationships/image" Target="media/image61.tiff"/><Relationship Id="rId138" Type="http://schemas.openxmlformats.org/officeDocument/2006/relationships/image" Target="media/image113.tiff"/><Relationship Id="rId159" Type="http://schemas.openxmlformats.org/officeDocument/2006/relationships/image" Target="media/image134.emf"/><Relationship Id="rId170" Type="http://schemas.openxmlformats.org/officeDocument/2006/relationships/image" Target="media/image143.tiff"/><Relationship Id="rId191" Type="http://schemas.openxmlformats.org/officeDocument/2006/relationships/image" Target="media/image163.png"/><Relationship Id="rId205" Type="http://schemas.openxmlformats.org/officeDocument/2006/relationships/image" Target="media/image177.wmf"/><Relationship Id="rId107" Type="http://schemas.openxmlformats.org/officeDocument/2006/relationships/image" Target="media/image82.tiff"/><Relationship Id="rId11" Type="http://schemas.openxmlformats.org/officeDocument/2006/relationships/endnotes" Target="endnotes.xml"/><Relationship Id="rId32" Type="http://schemas.openxmlformats.org/officeDocument/2006/relationships/image" Target="media/image18.emf"/><Relationship Id="rId53" Type="http://schemas.openxmlformats.org/officeDocument/2006/relationships/header" Target="header4.xml"/><Relationship Id="rId74" Type="http://schemas.openxmlformats.org/officeDocument/2006/relationships/footer" Target="footer6.xml"/><Relationship Id="rId128" Type="http://schemas.openxmlformats.org/officeDocument/2006/relationships/image" Target="media/image103.tiff"/><Relationship Id="rId149" Type="http://schemas.openxmlformats.org/officeDocument/2006/relationships/image" Target="media/image124.tiff"/><Relationship Id="rId5" Type="http://schemas.openxmlformats.org/officeDocument/2006/relationships/numbering" Target="numbering.xml"/><Relationship Id="rId95" Type="http://schemas.openxmlformats.org/officeDocument/2006/relationships/image" Target="media/image72.tiff"/><Relationship Id="rId160" Type="http://schemas.openxmlformats.org/officeDocument/2006/relationships/image" Target="media/image135.png"/><Relationship Id="rId181" Type="http://schemas.openxmlformats.org/officeDocument/2006/relationships/footer" Target="footer14.xml"/><Relationship Id="rId216" Type="http://schemas.openxmlformats.org/officeDocument/2006/relationships/image" Target="media/image183.png"/><Relationship Id="rId22" Type="http://schemas.openxmlformats.org/officeDocument/2006/relationships/image" Target="media/image8.png"/><Relationship Id="rId43" Type="http://schemas.openxmlformats.org/officeDocument/2006/relationships/image" Target="media/image29.emf"/><Relationship Id="rId64" Type="http://schemas.openxmlformats.org/officeDocument/2006/relationships/image" Target="media/image48.tiff"/><Relationship Id="rId118" Type="http://schemas.openxmlformats.org/officeDocument/2006/relationships/image" Target="media/image93.tiff"/><Relationship Id="rId139" Type="http://schemas.openxmlformats.org/officeDocument/2006/relationships/image" Target="media/image114.emf"/><Relationship Id="rId85" Type="http://schemas.openxmlformats.org/officeDocument/2006/relationships/image" Target="media/image62.tiff"/><Relationship Id="rId150" Type="http://schemas.openxmlformats.org/officeDocument/2006/relationships/image" Target="media/image125.tiff"/><Relationship Id="rId171" Type="http://schemas.openxmlformats.org/officeDocument/2006/relationships/image" Target="media/image144.tiff"/><Relationship Id="rId192" Type="http://schemas.openxmlformats.org/officeDocument/2006/relationships/image" Target="media/image164.jpeg"/><Relationship Id="rId206" Type="http://schemas.openxmlformats.org/officeDocument/2006/relationships/footer" Target="footer15.xml"/><Relationship Id="rId12" Type="http://schemas.openxmlformats.org/officeDocument/2006/relationships/header" Target="header1.xml"/><Relationship Id="rId33" Type="http://schemas.openxmlformats.org/officeDocument/2006/relationships/image" Target="media/image19.emf"/><Relationship Id="rId108" Type="http://schemas.openxmlformats.org/officeDocument/2006/relationships/image" Target="media/image83.tiff"/><Relationship Id="rId129" Type="http://schemas.openxmlformats.org/officeDocument/2006/relationships/image" Target="media/image104.tiff"/><Relationship Id="rId54" Type="http://schemas.openxmlformats.org/officeDocument/2006/relationships/footer" Target="footer4.xml"/><Relationship Id="rId75" Type="http://schemas.openxmlformats.org/officeDocument/2006/relationships/footer" Target="footer7.xml"/><Relationship Id="rId96" Type="http://schemas.openxmlformats.org/officeDocument/2006/relationships/image" Target="media/image73.tiff"/><Relationship Id="rId140" Type="http://schemas.openxmlformats.org/officeDocument/2006/relationships/image" Target="media/image115.png"/><Relationship Id="rId161" Type="http://schemas.openxmlformats.org/officeDocument/2006/relationships/header" Target="header6.xml"/><Relationship Id="rId182" Type="http://schemas.openxmlformats.org/officeDocument/2006/relationships/image" Target="media/image154.png"/><Relationship Id="rId217" Type="http://schemas.openxmlformats.org/officeDocument/2006/relationships/image" Target="media/image184.png"/><Relationship Id="rId6" Type="http://schemas.openxmlformats.org/officeDocument/2006/relationships/styles" Target="styles.xml"/><Relationship Id="rId23" Type="http://schemas.openxmlformats.org/officeDocument/2006/relationships/image" Target="media/image9.png"/><Relationship Id="rId119" Type="http://schemas.openxmlformats.org/officeDocument/2006/relationships/image" Target="media/image94.emf"/><Relationship Id="rId44" Type="http://schemas.openxmlformats.org/officeDocument/2006/relationships/image" Target="media/image30.emf"/><Relationship Id="rId65" Type="http://schemas.openxmlformats.org/officeDocument/2006/relationships/image" Target="media/image49.tiff"/><Relationship Id="rId86" Type="http://schemas.openxmlformats.org/officeDocument/2006/relationships/image" Target="media/image63.tiff"/><Relationship Id="rId130" Type="http://schemas.openxmlformats.org/officeDocument/2006/relationships/image" Target="media/image105.tiff"/><Relationship Id="rId151" Type="http://schemas.openxmlformats.org/officeDocument/2006/relationships/image" Target="media/image126.tiff"/><Relationship Id="rId172" Type="http://schemas.openxmlformats.org/officeDocument/2006/relationships/image" Target="media/image145.tiff"/><Relationship Id="rId193" Type="http://schemas.openxmlformats.org/officeDocument/2006/relationships/image" Target="media/image165.png"/><Relationship Id="rId207" Type="http://schemas.openxmlformats.org/officeDocument/2006/relationships/header" Target="header7.xml"/><Relationship Id="rId13" Type="http://schemas.openxmlformats.org/officeDocument/2006/relationships/header" Target="header2.xml"/><Relationship Id="rId109" Type="http://schemas.openxmlformats.org/officeDocument/2006/relationships/image" Target="media/image84.tiff"/><Relationship Id="rId34" Type="http://schemas.openxmlformats.org/officeDocument/2006/relationships/image" Target="media/image20.emf"/><Relationship Id="rId55" Type="http://schemas.openxmlformats.org/officeDocument/2006/relationships/image" Target="media/image39.tiff"/><Relationship Id="rId76" Type="http://schemas.openxmlformats.org/officeDocument/2006/relationships/image" Target="media/image57.emf"/><Relationship Id="rId97" Type="http://schemas.openxmlformats.org/officeDocument/2006/relationships/image" Target="media/image74.tiff"/><Relationship Id="rId120" Type="http://schemas.openxmlformats.org/officeDocument/2006/relationships/image" Target="media/image95.png"/><Relationship Id="rId141" Type="http://schemas.openxmlformats.org/officeDocument/2006/relationships/image" Target="media/image116.tiff"/><Relationship Id="rId7" Type="http://schemas.microsoft.com/office/2007/relationships/stylesWithEffects" Target="stylesWithEffects.xml"/><Relationship Id="rId162" Type="http://schemas.openxmlformats.org/officeDocument/2006/relationships/footer" Target="footer13.xml"/><Relationship Id="rId183" Type="http://schemas.openxmlformats.org/officeDocument/2006/relationships/image" Target="media/image155.png"/><Relationship Id="rId218" Type="http://schemas.openxmlformats.org/officeDocument/2006/relationships/image" Target="media/image185.png"/><Relationship Id="rId24" Type="http://schemas.openxmlformats.org/officeDocument/2006/relationships/image" Target="media/image10.png"/><Relationship Id="rId45" Type="http://schemas.openxmlformats.org/officeDocument/2006/relationships/image" Target="media/image31.tiff"/><Relationship Id="rId66" Type="http://schemas.openxmlformats.org/officeDocument/2006/relationships/image" Target="media/image50.tiff"/><Relationship Id="rId87" Type="http://schemas.openxmlformats.org/officeDocument/2006/relationships/image" Target="media/image64.tiff"/><Relationship Id="rId110" Type="http://schemas.openxmlformats.org/officeDocument/2006/relationships/image" Target="media/image85.tiff"/><Relationship Id="rId131" Type="http://schemas.openxmlformats.org/officeDocument/2006/relationships/image" Target="media/image106.tiff"/><Relationship Id="rId152" Type="http://schemas.openxmlformats.org/officeDocument/2006/relationships/image" Target="media/image127.tiff"/><Relationship Id="rId173" Type="http://schemas.openxmlformats.org/officeDocument/2006/relationships/image" Target="media/image146.tiff"/><Relationship Id="rId194" Type="http://schemas.openxmlformats.org/officeDocument/2006/relationships/image" Target="media/image166.jpeg"/><Relationship Id="rId208" Type="http://schemas.openxmlformats.org/officeDocument/2006/relationships/footer" Target="footer16.xml"/><Relationship Id="rId14" Type="http://schemas.openxmlformats.org/officeDocument/2006/relationships/footer" Target="footer1.xml"/><Relationship Id="rId35" Type="http://schemas.openxmlformats.org/officeDocument/2006/relationships/image" Target="media/image21.emf"/><Relationship Id="rId56" Type="http://schemas.openxmlformats.org/officeDocument/2006/relationships/image" Target="media/image40.tiff"/><Relationship Id="rId77" Type="http://schemas.openxmlformats.org/officeDocument/2006/relationships/image" Target="media/image58.png"/><Relationship Id="rId100" Type="http://schemas.openxmlformats.org/officeDocument/2006/relationships/image" Target="media/image75.emf"/><Relationship Id="rId8" Type="http://schemas.openxmlformats.org/officeDocument/2006/relationships/settings" Target="settings.xml"/><Relationship Id="rId51" Type="http://schemas.openxmlformats.org/officeDocument/2006/relationships/image" Target="media/image37.emf"/><Relationship Id="rId72" Type="http://schemas.openxmlformats.org/officeDocument/2006/relationships/image" Target="media/image56.tiff"/><Relationship Id="rId93" Type="http://schemas.openxmlformats.org/officeDocument/2006/relationships/image" Target="media/image70.tiff"/><Relationship Id="rId98" Type="http://schemas.openxmlformats.org/officeDocument/2006/relationships/footer" Target="footer11.xml"/><Relationship Id="rId121" Type="http://schemas.openxmlformats.org/officeDocument/2006/relationships/image" Target="media/image96.tiff"/><Relationship Id="rId142" Type="http://schemas.openxmlformats.org/officeDocument/2006/relationships/image" Target="media/image117.tiff"/><Relationship Id="rId163" Type="http://schemas.openxmlformats.org/officeDocument/2006/relationships/image" Target="media/image136.tiff"/><Relationship Id="rId184" Type="http://schemas.openxmlformats.org/officeDocument/2006/relationships/image" Target="media/image156.png"/><Relationship Id="rId189" Type="http://schemas.openxmlformats.org/officeDocument/2006/relationships/image" Target="media/image161.png"/><Relationship Id="rId219" Type="http://schemas.openxmlformats.org/officeDocument/2006/relationships/image" Target="media/image186.png"/><Relationship Id="rId3" Type="http://schemas.openxmlformats.org/officeDocument/2006/relationships/customXml" Target="../customXml/item3.xml"/><Relationship Id="rId214" Type="http://schemas.openxmlformats.org/officeDocument/2006/relationships/image" Target="media/image181.png"/><Relationship Id="rId25" Type="http://schemas.openxmlformats.org/officeDocument/2006/relationships/image" Target="media/image11.png"/><Relationship Id="rId46" Type="http://schemas.openxmlformats.org/officeDocument/2006/relationships/image" Target="media/image32.png"/><Relationship Id="rId67" Type="http://schemas.openxmlformats.org/officeDocument/2006/relationships/image" Target="media/image51.tiff"/><Relationship Id="rId116" Type="http://schemas.openxmlformats.org/officeDocument/2006/relationships/image" Target="media/image91.tiff"/><Relationship Id="rId137" Type="http://schemas.openxmlformats.org/officeDocument/2006/relationships/image" Target="media/image112.tiff"/><Relationship Id="rId158" Type="http://schemas.openxmlformats.org/officeDocument/2006/relationships/image" Target="media/image133.tiff"/><Relationship Id="rId20" Type="http://schemas.openxmlformats.org/officeDocument/2006/relationships/image" Target="media/image6.png"/><Relationship Id="rId41" Type="http://schemas.openxmlformats.org/officeDocument/2006/relationships/image" Target="media/image27.emf"/><Relationship Id="rId62" Type="http://schemas.openxmlformats.org/officeDocument/2006/relationships/image" Target="media/image46.tiff"/><Relationship Id="rId83" Type="http://schemas.openxmlformats.org/officeDocument/2006/relationships/image" Target="media/image60.tiff"/><Relationship Id="rId88" Type="http://schemas.openxmlformats.org/officeDocument/2006/relationships/image" Target="media/image65.tiff"/><Relationship Id="rId111" Type="http://schemas.openxmlformats.org/officeDocument/2006/relationships/image" Target="media/image86.tiff"/><Relationship Id="rId132" Type="http://schemas.openxmlformats.org/officeDocument/2006/relationships/image" Target="media/image107.tiff"/><Relationship Id="rId153" Type="http://schemas.openxmlformats.org/officeDocument/2006/relationships/image" Target="media/image128.tiff"/><Relationship Id="rId174" Type="http://schemas.openxmlformats.org/officeDocument/2006/relationships/image" Target="media/image147.tiff"/><Relationship Id="rId179" Type="http://schemas.openxmlformats.org/officeDocument/2006/relationships/image" Target="media/image152.tiff"/><Relationship Id="rId195" Type="http://schemas.openxmlformats.org/officeDocument/2006/relationships/image" Target="media/image167.png"/><Relationship Id="rId209" Type="http://schemas.openxmlformats.org/officeDocument/2006/relationships/footer" Target="footer17.xml"/><Relationship Id="rId190" Type="http://schemas.openxmlformats.org/officeDocument/2006/relationships/image" Target="media/image162.jpeg"/><Relationship Id="rId204" Type="http://schemas.openxmlformats.org/officeDocument/2006/relationships/image" Target="media/image176.png"/><Relationship Id="rId220" Type="http://schemas.openxmlformats.org/officeDocument/2006/relationships/image" Target="media/image187.png"/><Relationship Id="rId15" Type="http://schemas.openxmlformats.org/officeDocument/2006/relationships/footer" Target="footer2.xml"/><Relationship Id="rId36" Type="http://schemas.openxmlformats.org/officeDocument/2006/relationships/image" Target="media/image22.emf"/><Relationship Id="rId57" Type="http://schemas.openxmlformats.org/officeDocument/2006/relationships/image" Target="media/image41.tiff"/><Relationship Id="rId106" Type="http://schemas.openxmlformats.org/officeDocument/2006/relationships/image" Target="media/image81.tiff"/><Relationship Id="rId127" Type="http://schemas.openxmlformats.org/officeDocument/2006/relationships/image" Target="media/image102.tiff"/><Relationship Id="rId10" Type="http://schemas.openxmlformats.org/officeDocument/2006/relationships/footnotes" Target="footnotes.xml"/><Relationship Id="rId31" Type="http://schemas.openxmlformats.org/officeDocument/2006/relationships/image" Target="media/image17.emf"/><Relationship Id="rId52" Type="http://schemas.openxmlformats.org/officeDocument/2006/relationships/image" Target="media/image38.png"/><Relationship Id="rId73" Type="http://schemas.openxmlformats.org/officeDocument/2006/relationships/footer" Target="footer5.xml"/><Relationship Id="rId78" Type="http://schemas.openxmlformats.org/officeDocument/2006/relationships/footer" Target="footer8.xml"/><Relationship Id="rId94" Type="http://schemas.openxmlformats.org/officeDocument/2006/relationships/image" Target="media/image71.tiff"/><Relationship Id="rId99" Type="http://schemas.openxmlformats.org/officeDocument/2006/relationships/footer" Target="footer12.xml"/><Relationship Id="rId101" Type="http://schemas.openxmlformats.org/officeDocument/2006/relationships/image" Target="media/image76.emf"/><Relationship Id="rId122" Type="http://schemas.openxmlformats.org/officeDocument/2006/relationships/image" Target="media/image97.tiff"/><Relationship Id="rId143" Type="http://schemas.openxmlformats.org/officeDocument/2006/relationships/image" Target="media/image118.tiff"/><Relationship Id="rId148" Type="http://schemas.openxmlformats.org/officeDocument/2006/relationships/image" Target="media/image123.tiff"/><Relationship Id="rId164" Type="http://schemas.openxmlformats.org/officeDocument/2006/relationships/image" Target="media/image137.tiff"/><Relationship Id="rId169" Type="http://schemas.openxmlformats.org/officeDocument/2006/relationships/image" Target="media/image142.tiff"/><Relationship Id="rId185" Type="http://schemas.openxmlformats.org/officeDocument/2006/relationships/image" Target="media/image157.png"/><Relationship Id="rId4" Type="http://schemas.openxmlformats.org/officeDocument/2006/relationships/customXml" Target="../customXml/item4.xml"/><Relationship Id="rId9" Type="http://schemas.openxmlformats.org/officeDocument/2006/relationships/webSettings" Target="webSettings.xml"/><Relationship Id="rId180" Type="http://schemas.openxmlformats.org/officeDocument/2006/relationships/image" Target="media/image153.tiff"/><Relationship Id="rId210" Type="http://schemas.openxmlformats.org/officeDocument/2006/relationships/footer" Target="footer18.xml"/><Relationship Id="rId215" Type="http://schemas.openxmlformats.org/officeDocument/2006/relationships/image" Target="media/image182.png"/><Relationship Id="rId26" Type="http://schemas.openxmlformats.org/officeDocument/2006/relationships/image" Target="media/image12.png"/><Relationship Id="rId47" Type="http://schemas.openxmlformats.org/officeDocument/2006/relationships/image" Target="media/image33.png"/><Relationship Id="rId68" Type="http://schemas.openxmlformats.org/officeDocument/2006/relationships/image" Target="media/image52.tiff"/><Relationship Id="rId89" Type="http://schemas.openxmlformats.org/officeDocument/2006/relationships/image" Target="media/image66.tiff"/><Relationship Id="rId112" Type="http://schemas.openxmlformats.org/officeDocument/2006/relationships/image" Target="media/image87.tiff"/><Relationship Id="rId133" Type="http://schemas.openxmlformats.org/officeDocument/2006/relationships/image" Target="media/image108.tiff"/><Relationship Id="rId154" Type="http://schemas.openxmlformats.org/officeDocument/2006/relationships/image" Target="media/image129.tiff"/><Relationship Id="rId175" Type="http://schemas.openxmlformats.org/officeDocument/2006/relationships/image" Target="media/image148.tiff"/><Relationship Id="rId196" Type="http://schemas.openxmlformats.org/officeDocument/2006/relationships/image" Target="media/image168.wmf"/><Relationship Id="rId200" Type="http://schemas.openxmlformats.org/officeDocument/2006/relationships/image" Target="media/image172.wmf"/><Relationship Id="rId16" Type="http://schemas.openxmlformats.org/officeDocument/2006/relationships/header" Target="header3.xml"/><Relationship Id="rId221" Type="http://schemas.openxmlformats.org/officeDocument/2006/relationships/footer" Target="footer19.xml"/><Relationship Id="rId37" Type="http://schemas.openxmlformats.org/officeDocument/2006/relationships/image" Target="media/image23.emf"/><Relationship Id="rId58" Type="http://schemas.openxmlformats.org/officeDocument/2006/relationships/image" Target="media/image42.tiff"/><Relationship Id="rId79" Type="http://schemas.openxmlformats.org/officeDocument/2006/relationships/footer" Target="footer9.xml"/><Relationship Id="rId102" Type="http://schemas.openxmlformats.org/officeDocument/2006/relationships/image" Target="media/image77.tiff"/><Relationship Id="rId123" Type="http://schemas.openxmlformats.org/officeDocument/2006/relationships/image" Target="media/image98.tiff"/><Relationship Id="rId144" Type="http://schemas.openxmlformats.org/officeDocument/2006/relationships/image" Target="media/image119.tiff"/><Relationship Id="rId90" Type="http://schemas.openxmlformats.org/officeDocument/2006/relationships/image" Target="media/image67.tiff"/><Relationship Id="rId165" Type="http://schemas.openxmlformats.org/officeDocument/2006/relationships/image" Target="media/image138.tiff"/><Relationship Id="rId186" Type="http://schemas.openxmlformats.org/officeDocument/2006/relationships/image" Target="media/image158.png"/><Relationship Id="rId211" Type="http://schemas.openxmlformats.org/officeDocument/2006/relationships/image" Target="media/image178.emf"/><Relationship Id="rId27" Type="http://schemas.openxmlformats.org/officeDocument/2006/relationships/image" Target="media/image13.png"/><Relationship Id="rId48" Type="http://schemas.openxmlformats.org/officeDocument/2006/relationships/image" Target="media/image34.tiff"/><Relationship Id="rId69" Type="http://schemas.openxmlformats.org/officeDocument/2006/relationships/image" Target="media/image53.tiff"/><Relationship Id="rId113" Type="http://schemas.openxmlformats.org/officeDocument/2006/relationships/image" Target="media/image88.tiff"/><Relationship Id="rId134" Type="http://schemas.openxmlformats.org/officeDocument/2006/relationships/image" Target="media/image109.tiff"/><Relationship Id="rId80" Type="http://schemas.openxmlformats.org/officeDocument/2006/relationships/header" Target="header5.xml"/><Relationship Id="rId155" Type="http://schemas.openxmlformats.org/officeDocument/2006/relationships/image" Target="media/image130.tiff"/><Relationship Id="rId176" Type="http://schemas.openxmlformats.org/officeDocument/2006/relationships/image" Target="media/image149.tiff"/><Relationship Id="rId197" Type="http://schemas.openxmlformats.org/officeDocument/2006/relationships/image" Target="media/image169.wmf"/><Relationship Id="rId201" Type="http://schemas.openxmlformats.org/officeDocument/2006/relationships/image" Target="media/image173.wmf"/><Relationship Id="rId222" Type="http://schemas.openxmlformats.org/officeDocument/2006/relationships/fontTable" Target="fontTable.xml"/><Relationship Id="rId17" Type="http://schemas.openxmlformats.org/officeDocument/2006/relationships/footer" Target="footer3.xml"/><Relationship Id="rId38" Type="http://schemas.openxmlformats.org/officeDocument/2006/relationships/image" Target="media/image24.emf"/><Relationship Id="rId59" Type="http://schemas.openxmlformats.org/officeDocument/2006/relationships/image" Target="media/image43.tiff"/><Relationship Id="rId103" Type="http://schemas.openxmlformats.org/officeDocument/2006/relationships/image" Target="media/image78.tiff"/><Relationship Id="rId124" Type="http://schemas.openxmlformats.org/officeDocument/2006/relationships/image" Target="media/image99.tiff"/><Relationship Id="rId70" Type="http://schemas.openxmlformats.org/officeDocument/2006/relationships/image" Target="media/image54.tiff"/><Relationship Id="rId91" Type="http://schemas.openxmlformats.org/officeDocument/2006/relationships/image" Target="media/image68.tiff"/><Relationship Id="rId145" Type="http://schemas.openxmlformats.org/officeDocument/2006/relationships/image" Target="media/image120.tiff"/><Relationship Id="rId166" Type="http://schemas.openxmlformats.org/officeDocument/2006/relationships/image" Target="media/image139.tiff"/><Relationship Id="rId187" Type="http://schemas.openxmlformats.org/officeDocument/2006/relationships/image" Target="media/image159.png"/><Relationship Id="rId1" Type="http://schemas.openxmlformats.org/officeDocument/2006/relationships/customXml" Target="../customXml/item1.xml"/><Relationship Id="rId212" Type="http://schemas.openxmlformats.org/officeDocument/2006/relationships/image" Target="media/image179.png"/><Relationship Id="rId28" Type="http://schemas.openxmlformats.org/officeDocument/2006/relationships/image" Target="media/image14.emf"/><Relationship Id="rId49" Type="http://schemas.openxmlformats.org/officeDocument/2006/relationships/image" Target="media/image35.tiff"/><Relationship Id="rId114" Type="http://schemas.openxmlformats.org/officeDocument/2006/relationships/image" Target="media/image89.tiff"/><Relationship Id="rId60" Type="http://schemas.openxmlformats.org/officeDocument/2006/relationships/image" Target="media/image44.tiff"/><Relationship Id="rId81" Type="http://schemas.openxmlformats.org/officeDocument/2006/relationships/footer" Target="footer10.xml"/><Relationship Id="rId135" Type="http://schemas.openxmlformats.org/officeDocument/2006/relationships/image" Target="media/image110.tiff"/><Relationship Id="rId156" Type="http://schemas.openxmlformats.org/officeDocument/2006/relationships/image" Target="media/image131.tiff"/><Relationship Id="rId177" Type="http://schemas.openxmlformats.org/officeDocument/2006/relationships/image" Target="media/image150.tiff"/><Relationship Id="rId198" Type="http://schemas.openxmlformats.org/officeDocument/2006/relationships/image" Target="media/image170.wmf"/><Relationship Id="rId202" Type="http://schemas.openxmlformats.org/officeDocument/2006/relationships/image" Target="media/image174.wmf"/><Relationship Id="rId223" Type="http://schemas.openxmlformats.org/officeDocument/2006/relationships/theme" Target="theme/theme1.xml"/><Relationship Id="rId18" Type="http://schemas.openxmlformats.org/officeDocument/2006/relationships/image" Target="media/image4.emf"/><Relationship Id="rId39" Type="http://schemas.openxmlformats.org/officeDocument/2006/relationships/image" Target="media/image25.emf"/><Relationship Id="rId50" Type="http://schemas.openxmlformats.org/officeDocument/2006/relationships/image" Target="media/image36.tiff"/><Relationship Id="rId104" Type="http://schemas.openxmlformats.org/officeDocument/2006/relationships/image" Target="media/image79.tiff"/><Relationship Id="rId125" Type="http://schemas.openxmlformats.org/officeDocument/2006/relationships/image" Target="media/image100.tiff"/><Relationship Id="rId146" Type="http://schemas.openxmlformats.org/officeDocument/2006/relationships/image" Target="media/image121.tiff"/><Relationship Id="rId167" Type="http://schemas.openxmlformats.org/officeDocument/2006/relationships/image" Target="media/image140.tiff"/><Relationship Id="rId188" Type="http://schemas.openxmlformats.org/officeDocument/2006/relationships/image" Target="media/image160.png"/><Relationship Id="rId71" Type="http://schemas.openxmlformats.org/officeDocument/2006/relationships/image" Target="media/image55.tiff"/><Relationship Id="rId92" Type="http://schemas.openxmlformats.org/officeDocument/2006/relationships/image" Target="media/image69.tiff"/><Relationship Id="rId213" Type="http://schemas.openxmlformats.org/officeDocument/2006/relationships/image" Target="media/image180.png"/><Relationship Id="rId2" Type="http://schemas.openxmlformats.org/officeDocument/2006/relationships/customXml" Target="../customXml/item2.xml"/><Relationship Id="rId29" Type="http://schemas.openxmlformats.org/officeDocument/2006/relationships/image" Target="media/image15.emf"/><Relationship Id="rId40" Type="http://schemas.openxmlformats.org/officeDocument/2006/relationships/image" Target="media/image26.emf"/><Relationship Id="rId115" Type="http://schemas.openxmlformats.org/officeDocument/2006/relationships/image" Target="media/image90.tiff"/><Relationship Id="rId136" Type="http://schemas.openxmlformats.org/officeDocument/2006/relationships/image" Target="media/image111.tiff"/><Relationship Id="rId157" Type="http://schemas.openxmlformats.org/officeDocument/2006/relationships/image" Target="media/image132.tiff"/><Relationship Id="rId178" Type="http://schemas.openxmlformats.org/officeDocument/2006/relationships/image" Target="media/image151.tiff"/><Relationship Id="rId61" Type="http://schemas.openxmlformats.org/officeDocument/2006/relationships/image" Target="media/image45.tiff"/><Relationship Id="rId82" Type="http://schemas.openxmlformats.org/officeDocument/2006/relationships/image" Target="media/image59.tiff"/><Relationship Id="rId199" Type="http://schemas.openxmlformats.org/officeDocument/2006/relationships/image" Target="media/image171.wmf"/><Relationship Id="rId203" Type="http://schemas.openxmlformats.org/officeDocument/2006/relationships/image" Target="media/image175.wmf"/><Relationship Id="rId19" Type="http://schemas.openxmlformats.org/officeDocument/2006/relationships/image" Target="media/image5.jpeg"/><Relationship Id="rId30" Type="http://schemas.openxmlformats.org/officeDocument/2006/relationships/image" Target="media/image16.emf"/><Relationship Id="rId105" Type="http://schemas.openxmlformats.org/officeDocument/2006/relationships/image" Target="media/image80.tiff"/><Relationship Id="rId126" Type="http://schemas.openxmlformats.org/officeDocument/2006/relationships/image" Target="media/image101.tiff"/><Relationship Id="rId147" Type="http://schemas.openxmlformats.org/officeDocument/2006/relationships/image" Target="media/image122.tiff"/><Relationship Id="rId168" Type="http://schemas.openxmlformats.org/officeDocument/2006/relationships/image" Target="media/image141.tiff"/></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66A3D6-EAF3-4462-9DE1-262EBFB11432}">
  <ds:schemaRefs>
    <ds:schemaRef ds:uri="http://schemas.openxmlformats.org/officeDocument/2006/bibliography"/>
  </ds:schemaRefs>
</ds:datastoreItem>
</file>

<file path=customXml/itemProps2.xml><?xml version="1.0" encoding="utf-8"?>
<ds:datastoreItem xmlns:ds="http://schemas.openxmlformats.org/officeDocument/2006/customXml" ds:itemID="{7A6D9A40-DDBC-4DE1-A6AF-7D895A6B7C78}">
  <ds:schemaRefs>
    <ds:schemaRef ds:uri="http://schemas.openxmlformats.org/officeDocument/2006/bibliography"/>
  </ds:schemaRefs>
</ds:datastoreItem>
</file>

<file path=customXml/itemProps3.xml><?xml version="1.0" encoding="utf-8"?>
<ds:datastoreItem xmlns:ds="http://schemas.openxmlformats.org/officeDocument/2006/customXml" ds:itemID="{7D9469E0-3F4F-449D-A1BC-BD44AA3E8F7C}">
  <ds:schemaRefs>
    <ds:schemaRef ds:uri="http://schemas.openxmlformats.org/officeDocument/2006/bibliography"/>
  </ds:schemaRefs>
</ds:datastoreItem>
</file>

<file path=customXml/itemProps4.xml><?xml version="1.0" encoding="utf-8"?>
<ds:datastoreItem xmlns:ds="http://schemas.openxmlformats.org/officeDocument/2006/customXml" ds:itemID="{3BA48517-DCFC-4F55-95BD-DD97567DD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192</Pages>
  <Words>67247</Words>
  <Characters>383310</Characters>
  <Application>Microsoft Office Word</Application>
  <DocSecurity>0</DocSecurity>
  <Lines>3194</Lines>
  <Paragraphs>899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449658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2014-10-23T01:03:00Z</dcterms:created>
  <dcterms:modified xsi:type="dcterms:W3CDTF">2014-10-23T01:04:00Z</dcterms:modified>
</cp:coreProperties>
</file>